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FFA5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2DC22E2A" w14:textId="734C35FF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01548631" w14:textId="77777777" w:rsidR="00535F28" w:rsidRPr="00EB6DEF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kern w:val="0"/>
          <w:sz w:val="24"/>
          <w:szCs w:val="24"/>
          <w:lang w:val="es-ES"/>
        </w:rPr>
      </w:pPr>
      <w:r w:rsidRPr="00EB6DEF">
        <w:rPr>
          <w:rFonts w:ascii="Cambria" w:eastAsia="Times New Roman" w:hAnsi="Cambria"/>
          <w:b/>
          <w:bCs/>
          <w:kern w:val="0"/>
          <w:sz w:val="24"/>
          <w:szCs w:val="24"/>
          <w:lang w:val="es-ES"/>
        </w:rPr>
        <w:t>TÍTULO DEL DOCUMENTO</w:t>
      </w:r>
    </w:p>
    <w:p w14:paraId="22ACC08C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58637DEC" w14:textId="4DC06242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046BCBBE" w14:textId="77777777" w:rsidR="00535F28" w:rsidRPr="00EB6DEF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</w:rPr>
      </w:pPr>
      <w:r w:rsidRPr="00EB6DEF">
        <w:rPr>
          <w:rFonts w:ascii="Cambria" w:eastAsia="Times New Roman" w:hAnsi="Cambria"/>
          <w:kern w:val="0"/>
          <w:sz w:val="20"/>
          <w:szCs w:val="20"/>
        </w:rPr>
        <w:t>John D. Smith, John D. Jones</w:t>
      </w:r>
      <w:r w:rsidRPr="002B0AF9">
        <w:rPr>
          <w:rFonts w:ascii="Cambria" w:eastAsia="Times New Roman" w:hAnsi="Cambria"/>
          <w:kern w:val="0"/>
          <w:sz w:val="20"/>
          <w:szCs w:val="20"/>
          <w:vertAlign w:val="superscript"/>
          <w:lang w:val="es-ES"/>
        </w:rPr>
        <w:footnoteReference w:id="1"/>
      </w:r>
      <w:r w:rsidRPr="00EB6DEF">
        <w:rPr>
          <w:rFonts w:ascii="Cambria" w:eastAsia="Times New Roman" w:hAnsi="Cambria"/>
          <w:kern w:val="0"/>
          <w:sz w:val="20"/>
          <w:szCs w:val="20"/>
        </w:rPr>
        <w:t xml:space="preserve"> </w:t>
      </w:r>
    </w:p>
    <w:p w14:paraId="3673DBD7" w14:textId="77777777" w:rsidR="00535F28" w:rsidRPr="00EB6DEF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</w:rPr>
      </w:pPr>
    </w:p>
    <w:p w14:paraId="15C59A34" w14:textId="68866A19" w:rsidR="00535F28" w:rsidRPr="00EB6DEF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</w:rPr>
      </w:pPr>
    </w:p>
    <w:p w14:paraId="7F683E13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>RESUMEN</w:t>
      </w:r>
    </w:p>
    <w:p w14:paraId="5D225B0F" w14:textId="77777777" w:rsidR="00535F28" w:rsidRPr="002B0AF9" w:rsidRDefault="00535F28" w:rsidP="00535F28">
      <w:pPr>
        <w:widowControl w:val="0"/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</w:p>
    <w:p w14:paraId="0F55B1DA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6594AE11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ind w:left="572" w:right="572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>Los márgenes derecho e izquierdo del texto de los Resúmenes deben SANGRARSE 1.2 cm. El resumen no debe superar las 180 palabras y no debe contener citas. La Secretaría traducirá los resúmenes a los dos idiomas restantes de ICCAT y los insertará en la primera página.</w:t>
      </w:r>
    </w:p>
    <w:p w14:paraId="13E6B305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146E8F6D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</w:pPr>
    </w:p>
    <w:p w14:paraId="7080FC72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 xml:space="preserve">PALABRAS CLAVE </w:t>
      </w: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[</w:t>
      </w:r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 xml:space="preserve">cursiva, </w:t>
      </w: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centrado]</w:t>
      </w:r>
    </w:p>
    <w:p w14:paraId="1F6195EE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</w:pPr>
    </w:p>
    <w:p w14:paraId="7DC19051" w14:textId="13D45D8A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 xml:space="preserve">Se debe elegir de la lista incluida </w:t>
      </w:r>
      <w:hyperlink r:id="rId7" w:history="1">
        <w:r w:rsidRPr="002B0AF9">
          <w:rPr>
            <w:rFonts w:ascii="Cambria" w:eastAsia="Times New Roman" w:hAnsi="Cambria"/>
            <w:b/>
            <w:bCs/>
            <w:i/>
            <w:iCs/>
            <w:color w:val="0000FF"/>
            <w:kern w:val="0"/>
            <w:sz w:val="20"/>
            <w:szCs w:val="20"/>
            <w:lang w:val="es-ES"/>
          </w:rPr>
          <w:t>aquí</w:t>
        </w:r>
        <w:r w:rsidRPr="002B0AF9">
          <w:rPr>
            <w:rFonts w:ascii="Cambria" w:eastAsia="Times New Roman" w:hAnsi="Cambria"/>
            <w:i/>
            <w:iCs/>
            <w:color w:val="0000FF"/>
            <w:kern w:val="0"/>
            <w:sz w:val="20"/>
            <w:szCs w:val="20"/>
            <w:lang w:val="es-ES"/>
          </w:rPr>
          <w:t xml:space="preserve"> </w:t>
        </w:r>
      </w:hyperlink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 xml:space="preserve">o de la lista </w:t>
      </w:r>
      <w:r w:rsidR="00EB6DEF"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  <w:t>adjunta</w:t>
      </w:r>
    </w:p>
    <w:p w14:paraId="05CA70DC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center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42585E18" w14:textId="2921880F" w:rsidR="00EB6DEF" w:rsidRDefault="00EB6DEF">
      <w:pPr>
        <w:suppressAutoHyphens w:val="0"/>
        <w:autoSpaceDN/>
        <w:spacing w:line="278" w:lineRule="auto"/>
        <w:rPr>
          <w:rFonts w:ascii="Cambria" w:eastAsia="Times New Roman" w:hAnsi="Cambria"/>
          <w:kern w:val="0"/>
          <w:sz w:val="20"/>
          <w:szCs w:val="20"/>
          <w:lang w:val="es-ES"/>
        </w:rPr>
      </w:pPr>
      <w:r>
        <w:rPr>
          <w:rFonts w:ascii="Cambria" w:eastAsia="Times New Roman" w:hAnsi="Cambria"/>
          <w:kern w:val="0"/>
          <w:sz w:val="20"/>
          <w:szCs w:val="20"/>
          <w:lang w:val="es-ES"/>
        </w:rPr>
        <w:br w:type="page"/>
      </w:r>
    </w:p>
    <w:p w14:paraId="066D78FA" w14:textId="6281C2CB" w:rsidR="00535F28" w:rsidRPr="00EB6DEF" w:rsidRDefault="00EB6DEF" w:rsidP="00EB6DEF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 w:rsidRPr="00EB6DEF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lastRenderedPageBreak/>
        <w:t>Introducción</w:t>
      </w:r>
    </w:p>
    <w:p w14:paraId="59AF8206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3D1BFBE4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[Todos los márgenes en 2,5 cm. Párrafos SIN sangrar.] El texto de los documentos puede escribirse en cualquiera de los tres idiomas oficiales de la Comisión (inglés, francés, español). </w:t>
      </w:r>
    </w:p>
    <w:p w14:paraId="759B4041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5FFCE311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039FDAEC" w14:textId="623CFCF8" w:rsidR="00535F28" w:rsidRPr="002B0AF9" w:rsidRDefault="00EB6DEF" w:rsidP="00535F28">
      <w:pPr>
        <w:keepNext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  <w:tab w:val="left" w:pos="1945"/>
        </w:tabs>
        <w:suppressAutoHyphens w:val="0"/>
        <w:autoSpaceDE w:val="0"/>
        <w:adjustRightInd w:val="0"/>
        <w:spacing w:after="0" w:line="240" w:lineRule="auto"/>
        <w:ind w:left="426" w:hanging="426"/>
        <w:jc w:val="both"/>
        <w:outlineLvl w:val="0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Datos y métodos</w:t>
      </w:r>
    </w:p>
    <w:p w14:paraId="269E37BF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1ECD7414" w14:textId="77777777" w:rsidR="00535F28" w:rsidRPr="002B0AF9" w:rsidRDefault="00535F28" w:rsidP="00535F28">
      <w:pPr>
        <w:widowControl w:val="0"/>
        <w:numPr>
          <w:ilvl w:val="1"/>
          <w:numId w:val="2"/>
        </w:numPr>
        <w:tabs>
          <w:tab w:val="left" w:pos="0"/>
          <w:tab w:val="num" w:pos="426"/>
        </w:tabs>
        <w:suppressAutoHyphens w:val="0"/>
        <w:autoSpaceDE w:val="0"/>
        <w:adjustRightInd w:val="0"/>
        <w:spacing w:after="0" w:line="240" w:lineRule="auto"/>
        <w:ind w:left="0" w:firstLine="0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b/>
          <w:bCs/>
          <w:i/>
          <w:iCs/>
          <w:kern w:val="0"/>
          <w:sz w:val="20"/>
          <w:szCs w:val="20"/>
          <w:lang w:val="es-ES"/>
        </w:rPr>
        <w:t xml:space="preserve">Subtítulos: Cursiva, negrita, primera letra en mayúsculas </w:t>
      </w:r>
      <w:r w:rsidRPr="002B0AF9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[espacio doble antes de los subtítulos y entre párrafos]</w:t>
      </w:r>
    </w:p>
    <w:p w14:paraId="4AEAE700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i/>
          <w:iCs/>
          <w:kern w:val="0"/>
          <w:sz w:val="20"/>
          <w:szCs w:val="20"/>
          <w:lang w:val="es-ES"/>
        </w:rPr>
      </w:pPr>
    </w:p>
    <w:p w14:paraId="30ACCCA2" w14:textId="77777777" w:rsidR="00535F28" w:rsidRPr="002B0AF9" w:rsidRDefault="00535F28" w:rsidP="00535F28">
      <w:pPr>
        <w:widowControl w:val="0"/>
        <w:numPr>
          <w:ilvl w:val="2"/>
          <w:numId w:val="2"/>
        </w:numPr>
        <w:tabs>
          <w:tab w:val="left" w:pos="0"/>
          <w:tab w:val="left" w:pos="288"/>
          <w:tab w:val="left" w:pos="426"/>
          <w:tab w:val="num" w:pos="1134"/>
          <w:tab w:val="left" w:pos="1945"/>
        </w:tabs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Cambria" w:eastAsia="Times New Roman" w:hAnsi="Cambria"/>
          <w:i/>
          <w:iCs/>
          <w:kern w:val="0"/>
          <w:sz w:val="20"/>
          <w:szCs w:val="20"/>
          <w:lang w:val="pt-BR"/>
        </w:rPr>
      </w:pPr>
      <w:r w:rsidRPr="002B0AF9">
        <w:rPr>
          <w:rFonts w:ascii="Cambria" w:eastAsia="Times New Roman" w:hAnsi="Cambria"/>
          <w:i/>
          <w:iCs/>
          <w:kern w:val="0"/>
          <w:sz w:val="20"/>
          <w:szCs w:val="20"/>
          <w:lang w:val="pt-BR"/>
        </w:rPr>
        <w:t>Subtítulos dentro de subtítulos: cursiva, minúsculas</w:t>
      </w:r>
    </w:p>
    <w:p w14:paraId="70333053" w14:textId="77777777" w:rsidR="00535F28" w:rsidRDefault="00535F28" w:rsidP="00EB6DEF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pt-BR"/>
        </w:rPr>
      </w:pPr>
    </w:p>
    <w:p w14:paraId="1693004A" w14:textId="77BE5664" w:rsidR="00EB6DEF" w:rsidRPr="00EB6DEF" w:rsidRDefault="00EB6DEF" w:rsidP="00EB6DEF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 w:rsidRPr="00EB6DEF">
        <w:rPr>
          <w:rFonts w:ascii="Cambria" w:eastAsia="Times New Roman" w:hAnsi="Cambria"/>
          <w:kern w:val="0"/>
          <w:sz w:val="20"/>
          <w:szCs w:val="20"/>
          <w:lang w:val="es-ES"/>
        </w:rPr>
        <w:t>Los datos utilizados en este análisis se resumen en la</w:t>
      </w: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 xml:space="preserve"> Tabla1 </w:t>
      </w:r>
      <w:r w:rsidRPr="00EB6DEF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y la captura total por año se presenta en la </w:t>
      </w: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Figura 1.</w:t>
      </w:r>
    </w:p>
    <w:p w14:paraId="76D1D94F" w14:textId="77777777" w:rsidR="00535F28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4C956854" w14:textId="421F566F" w:rsidR="00EB6DEF" w:rsidRDefault="00EB6DEF" w:rsidP="00EB6DEF">
      <w:pPr>
        <w:widowControl w:val="0"/>
        <w:tabs>
          <w:tab w:val="left" w:pos="0"/>
          <w:tab w:val="left" w:pos="426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 xml:space="preserve">2. </w:t>
      </w: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ab/>
        <w:t>Análisis</w:t>
      </w:r>
    </w:p>
    <w:p w14:paraId="0AB4612B" w14:textId="77777777" w:rsidR="00EB6DEF" w:rsidRDefault="00EB6DEF" w:rsidP="00EB6DEF">
      <w:pPr>
        <w:widowControl w:val="0"/>
        <w:tabs>
          <w:tab w:val="left" w:pos="0"/>
          <w:tab w:val="left" w:pos="426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69F78C26" w14:textId="0E98BFA9" w:rsidR="00EB6DEF" w:rsidRDefault="00EB6DEF" w:rsidP="00EB6DEF">
      <w:pPr>
        <w:widowControl w:val="0"/>
        <w:tabs>
          <w:tab w:val="left" w:pos="0"/>
          <w:tab w:val="left" w:pos="426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>
        <w:rPr>
          <w:rFonts w:ascii="Cambria" w:eastAsia="Times New Roman" w:hAnsi="Cambria"/>
          <w:kern w:val="0"/>
          <w:sz w:val="20"/>
          <w:szCs w:val="20"/>
          <w:lang w:val="es-ES"/>
        </w:rPr>
        <w:t>Facilitar aquí un resumen completo y descriptivo de los análisis realizados con las referencias adecuadas.</w:t>
      </w:r>
    </w:p>
    <w:p w14:paraId="5AAACC79" w14:textId="77777777" w:rsidR="00EB6DEF" w:rsidRPr="00EB6DEF" w:rsidRDefault="00EB6DEF" w:rsidP="00EB6DEF">
      <w:pPr>
        <w:widowControl w:val="0"/>
        <w:tabs>
          <w:tab w:val="left" w:pos="0"/>
          <w:tab w:val="left" w:pos="426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6B8AA0F6" w14:textId="4D5C0849" w:rsidR="00535F28" w:rsidRPr="00EB6DEF" w:rsidRDefault="00EB6DEF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bookmarkStart w:id="0" w:name="_Hlk207287445"/>
      <w:r w:rsidRPr="00EB6DEF">
        <w:rPr>
          <w:rFonts w:ascii="Cambria" w:eastAsia="Times New Roman" w:hAnsi="Cambria"/>
          <w:kern w:val="0"/>
          <w:sz w:val="20"/>
          <w:szCs w:val="20"/>
          <w:lang w:val="es-ES"/>
        </w:rPr>
        <w:t>Ejemplo de una f</w:t>
      </w:r>
      <w:r w:rsidR="00535F28" w:rsidRPr="00EB6DEF">
        <w:rPr>
          <w:rFonts w:ascii="Cambria" w:eastAsia="Times New Roman" w:hAnsi="Cambria"/>
          <w:kern w:val="0"/>
          <w:sz w:val="20"/>
          <w:szCs w:val="20"/>
          <w:lang w:val="es-ES"/>
        </w:rPr>
        <w:t>órmula</w:t>
      </w:r>
      <w:r w:rsidRPr="00EB6DEF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 para el documento:</w:t>
      </w:r>
    </w:p>
    <w:p w14:paraId="404DE18C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06D28C28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kern w:val="0"/>
          <w:position w:val="-26"/>
          <w:sz w:val="20"/>
          <w:szCs w:val="20"/>
          <w:lang w:val="es-ES"/>
        </w:rPr>
        <w:object w:dxaOrig="1644" w:dyaOrig="504" w14:anchorId="3E7A3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82.5pt;height:24.35pt" o:ole="">
            <v:imagedata r:id="rId8" o:title=""/>
          </v:shape>
          <o:OLEObject Type="Embed" ProgID="Equation.3" ShapeID="_x0000_i1034" DrawAspect="Content" ObjectID="_1833612583" r:id="rId9"/>
        </w:object>
      </w:r>
    </w:p>
    <w:p w14:paraId="56579B45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bookmarkEnd w:id="0"/>
    <w:p w14:paraId="79EC7D81" w14:textId="1FD909D9" w:rsidR="00535F28" w:rsidRPr="002B0AF9" w:rsidRDefault="00EB6DEF" w:rsidP="00EB6DEF">
      <w:pPr>
        <w:widowControl w:val="0"/>
        <w:tabs>
          <w:tab w:val="left" w:pos="0"/>
          <w:tab w:val="left" w:pos="426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3.</w:t>
      </w:r>
      <w:r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ab/>
        <w:t>Resultados y conclusiones</w:t>
      </w:r>
    </w:p>
    <w:p w14:paraId="2974FCBD" w14:textId="77777777" w:rsidR="00EB6DEF" w:rsidRDefault="00EB6DEF" w:rsidP="00535F28">
      <w:pPr>
        <w:widowControl w:val="0"/>
        <w:tabs>
          <w:tab w:val="left" w:pos="0"/>
          <w:tab w:val="left" w:pos="288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004CE8AC" w14:textId="6F969E83" w:rsidR="00EB6DEF" w:rsidRDefault="00EB6DEF" w:rsidP="00535F28">
      <w:pPr>
        <w:widowControl w:val="0"/>
        <w:tabs>
          <w:tab w:val="left" w:pos="0"/>
          <w:tab w:val="left" w:pos="288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>
        <w:rPr>
          <w:rFonts w:ascii="Cambria" w:eastAsia="Times New Roman" w:hAnsi="Cambria"/>
          <w:kern w:val="0"/>
          <w:sz w:val="20"/>
          <w:szCs w:val="20"/>
          <w:lang w:val="es-ES"/>
        </w:rPr>
        <w:t>Resumir aquí los hallazgos más importantes y las conclusiones generales.</w:t>
      </w:r>
    </w:p>
    <w:p w14:paraId="4F1360E3" w14:textId="77777777" w:rsidR="00EB6DEF" w:rsidRDefault="00EB6DEF" w:rsidP="00535F28">
      <w:pPr>
        <w:widowControl w:val="0"/>
        <w:tabs>
          <w:tab w:val="left" w:pos="0"/>
          <w:tab w:val="left" w:pos="288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0097BD19" w14:textId="207FD3C8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Tablas y Figuras</w:t>
      </w:r>
      <w:r w:rsidR="00EB6DEF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 xml:space="preserve"> </w:t>
      </w:r>
      <w:r w:rsidR="00EB6DEF" w:rsidRPr="00EB6DEF">
        <w:rPr>
          <w:rFonts w:ascii="Cambria" w:eastAsia="Times New Roman" w:hAnsi="Cambria"/>
          <w:kern w:val="0"/>
          <w:sz w:val="20"/>
          <w:szCs w:val="20"/>
          <w:highlight w:val="cyan"/>
          <w:lang w:val="es-ES"/>
        </w:rPr>
        <w:t>[</w:t>
      </w:r>
      <w:r w:rsidR="00EB6DEF" w:rsidRPr="00EB6DEF">
        <w:rPr>
          <w:rFonts w:ascii="Cambria" w:eastAsia="Times New Roman" w:hAnsi="Cambria"/>
          <w:kern w:val="0"/>
          <w:sz w:val="20"/>
          <w:szCs w:val="20"/>
          <w:highlight w:val="cyan"/>
          <w:lang w:val="es-ES"/>
        </w:rPr>
        <w:t>Deben insertarse dentro del texto y lo más cerca posible del lugar donde se hace referencia a ellas por primera vez</w:t>
      </w:r>
      <w:r w:rsidR="00EB6DEF" w:rsidRPr="00EB6DEF">
        <w:rPr>
          <w:rFonts w:ascii="Cambria" w:eastAsia="Times New Roman" w:hAnsi="Cambria"/>
          <w:kern w:val="0"/>
          <w:sz w:val="20"/>
          <w:szCs w:val="20"/>
          <w:highlight w:val="cyan"/>
          <w:lang w:val="es-ES"/>
        </w:rPr>
        <w:t>]</w:t>
      </w:r>
    </w:p>
    <w:p w14:paraId="583E05AD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3E74CE66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Tabla 1.</w:t>
      </w: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  Las leyendas de las tablas deben ser cortas y permitir que la tabla sea inteligible por sí misma. </w:t>
      </w:r>
    </w:p>
    <w:p w14:paraId="221EF8F9" w14:textId="77777777" w:rsidR="00535F28" w:rsidRPr="002B0AF9" w:rsidRDefault="00535F28" w:rsidP="00535F28">
      <w:pPr>
        <w:widowControl w:val="0"/>
        <w:tabs>
          <w:tab w:val="right" w:leader="hyphen" w:pos="9061"/>
        </w:tabs>
        <w:suppressAutoHyphens w:val="0"/>
        <w:autoSpaceDE w:val="0"/>
        <w:spacing w:after="0" w:line="240" w:lineRule="auto"/>
        <w:outlineLvl w:val="0"/>
        <w:rPr>
          <w:rFonts w:ascii="Cambria" w:hAnsi="Cambria"/>
          <w:kern w:val="0"/>
          <w:sz w:val="20"/>
          <w:szCs w:val="24"/>
          <w:lang w:val="es-ES"/>
        </w:rPr>
      </w:pPr>
      <w:r w:rsidRPr="002B0AF9">
        <w:rPr>
          <w:rFonts w:ascii="Cambria" w:hAnsi="Cambria"/>
          <w:color w:val="232323"/>
          <w:kern w:val="0"/>
          <w:sz w:val="20"/>
          <w:szCs w:val="24"/>
          <w:lang w:val="es-ES"/>
        </w:rPr>
        <w:tab/>
      </w:r>
    </w:p>
    <w:p w14:paraId="19421ABD" w14:textId="77777777" w:rsidR="00535F28" w:rsidRPr="002B0AF9" w:rsidRDefault="00535F28" w:rsidP="00535F28">
      <w:pPr>
        <w:widowControl w:val="0"/>
        <w:suppressAutoHyphens w:val="0"/>
        <w:autoSpaceDE w:val="0"/>
        <w:spacing w:after="0" w:line="240" w:lineRule="auto"/>
        <w:rPr>
          <w:rFonts w:ascii="Cambria" w:hAnsi="Cambria"/>
          <w:color w:val="232323"/>
          <w:spacing w:val="-2"/>
          <w:w w:val="105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color w:val="232323"/>
          <w:w w:val="105"/>
          <w:kern w:val="0"/>
          <w:sz w:val="20"/>
          <w:szCs w:val="20"/>
          <w:lang w:val="es-ES"/>
        </w:rPr>
        <w:t>Para las tablas</w:t>
      </w:r>
      <w:r w:rsidRPr="002B0AF9">
        <w:rPr>
          <w:rFonts w:ascii="Cambria" w:hAnsi="Cambria"/>
          <w:color w:val="232323"/>
          <w:spacing w:val="-2"/>
          <w:w w:val="105"/>
          <w:kern w:val="0"/>
          <w:sz w:val="20"/>
          <w:szCs w:val="24"/>
          <w:lang w:val="es-ES"/>
        </w:rPr>
        <w:t>:</w:t>
      </w:r>
    </w:p>
    <w:p w14:paraId="18087391" w14:textId="77777777" w:rsidR="00535F28" w:rsidRPr="002B0AF9" w:rsidRDefault="00535F28" w:rsidP="00535F28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4"/>
          <w:lang w:val="es-ES"/>
        </w:rPr>
        <w:t xml:space="preserve"> utilizar Cambria 10;</w:t>
      </w:r>
    </w:p>
    <w:p w14:paraId="17465047" w14:textId="77777777" w:rsidR="00535F28" w:rsidRPr="002B0AF9" w:rsidRDefault="00535F28" w:rsidP="00535F28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4"/>
          <w:lang w:val="es-ES"/>
        </w:rPr>
        <w:t xml:space="preserve"> evitar las cuadrículas</w:t>
      </w: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;</w:t>
      </w:r>
    </w:p>
    <w:p w14:paraId="7F827C05" w14:textId="77777777" w:rsidR="00535F28" w:rsidRPr="002B0AF9" w:rsidRDefault="00535F28" w:rsidP="00535F28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4"/>
          <w:lang w:val="es-ES"/>
        </w:rPr>
        <w:t xml:space="preserve"> mantener los márgenes estándar (anteriores);</w:t>
      </w:r>
    </w:p>
    <w:p w14:paraId="4BDCCFEA" w14:textId="77777777" w:rsidR="00535F28" w:rsidRPr="002B0AF9" w:rsidRDefault="00535F28" w:rsidP="00535F28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4"/>
          <w:lang w:val="es-ES"/>
        </w:rPr>
        <w:t xml:space="preserve"> no pegar “imágenes” si es posible, preparar o convertir su tabla a MS Word;</w:t>
      </w:r>
    </w:p>
    <w:p w14:paraId="712126D6" w14:textId="77777777" w:rsidR="00535F28" w:rsidRPr="002B0AF9" w:rsidRDefault="00535F28" w:rsidP="00535F28">
      <w:pPr>
        <w:widowControl w:val="0"/>
        <w:numPr>
          <w:ilvl w:val="0"/>
          <w:numId w:val="3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lang w:val="es-ES"/>
        </w:rPr>
        <w:t xml:space="preserve"> todos los símbolos no usuales deben explicarse en la leyenda;</w:t>
      </w:r>
    </w:p>
    <w:p w14:paraId="1FDBCFFD" w14:textId="77777777" w:rsidR="00535F28" w:rsidRPr="002B0AF9" w:rsidRDefault="00535F28" w:rsidP="00535F28">
      <w:pPr>
        <w:widowControl w:val="0"/>
        <w:numPr>
          <w:ilvl w:val="0"/>
          <w:numId w:val="3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lang w:val="es-ES"/>
        </w:rPr>
        <w:t xml:space="preserve"> otros comentarios pueden ir al pie de la tabla.  </w:t>
      </w:r>
    </w:p>
    <w:p w14:paraId="4EC6D448" w14:textId="77777777" w:rsidR="00535F28" w:rsidRPr="002B0AF9" w:rsidRDefault="00535F28" w:rsidP="00535F28">
      <w:pPr>
        <w:widowControl w:val="0"/>
        <w:tabs>
          <w:tab w:val="left" w:pos="567"/>
          <w:tab w:val="left" w:pos="855"/>
          <w:tab w:val="left" w:pos="1143"/>
          <w:tab w:val="left" w:pos="1431"/>
          <w:tab w:val="left" w:pos="1719"/>
          <w:tab w:val="left" w:pos="2543"/>
          <w:tab w:val="left" w:pos="6213"/>
          <w:tab w:val="left" w:pos="7083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3CCAB0EA" w14:textId="77777777" w:rsidR="00535F28" w:rsidRPr="002B0AF9" w:rsidRDefault="00535F28" w:rsidP="00535F28">
      <w:pPr>
        <w:widowControl w:val="0"/>
        <w:tabs>
          <w:tab w:val="left" w:pos="567"/>
          <w:tab w:val="left" w:pos="855"/>
          <w:tab w:val="left" w:pos="1143"/>
          <w:tab w:val="left" w:pos="1431"/>
          <w:tab w:val="left" w:pos="1719"/>
          <w:tab w:val="left" w:pos="2543"/>
          <w:tab w:val="left" w:pos="6213"/>
          <w:tab w:val="left" w:pos="7083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Para las figuras:</w:t>
      </w:r>
    </w:p>
    <w:p w14:paraId="46F1C3EB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4"/>
          <w:lang w:val="es-ES"/>
        </w:rPr>
        <w:t>evitar las cuadrículas</w:t>
      </w: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;</w:t>
      </w:r>
    </w:p>
    <w:p w14:paraId="43F5F014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adjustRightInd w:val="0"/>
        <w:spacing w:after="0" w:line="240" w:lineRule="auto"/>
        <w:rPr>
          <w:rFonts w:ascii="Cambria" w:eastAsia="Times New Roman" w:hAnsi="Cambria"/>
          <w:kern w:val="0"/>
          <w:sz w:val="20"/>
          <w:szCs w:val="24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4"/>
          <w:lang w:val="es-ES"/>
        </w:rPr>
        <w:t>mantener los márgenes estándar (anteriores);</w:t>
      </w:r>
    </w:p>
    <w:p w14:paraId="4D0803B6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identificar claramente las escalas numéricas, unidades y leyendas de los ejes X- e Y- para cada figura;</w:t>
      </w:r>
    </w:p>
    <w:p w14:paraId="47832BCB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lang w:val="es-ES"/>
        </w:rPr>
        <w:t>todos los símbolos deben explicarse en la leyenda de la figura;</w:t>
      </w:r>
    </w:p>
    <w:p w14:paraId="0E33D9F3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en su archivo de gráficos utilizar “copiar” y en su archivo de MS Word utilizar “pegado especial” – “imagen” para minimizar el espacio en el archivo;</w:t>
      </w:r>
    </w:p>
    <w:p w14:paraId="763CF286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lang w:val="es-ES"/>
        </w:rPr>
        <w:t>preparar las figuras con una resolución de calidad, utilizando aplicaciones capaces de generar alta resolución (formato .</w:t>
      </w:r>
      <w:proofErr w:type="spellStart"/>
      <w:r w:rsidRPr="002B0AF9">
        <w:rPr>
          <w:rFonts w:ascii="Cambria" w:eastAsia="Times New Roman" w:hAnsi="Cambria"/>
          <w:kern w:val="0"/>
          <w:sz w:val="20"/>
          <w:lang w:val="es-ES"/>
        </w:rPr>
        <w:t>jpg</w:t>
      </w:r>
      <w:proofErr w:type="spellEnd"/>
      <w:r w:rsidRPr="002B0AF9">
        <w:rPr>
          <w:rFonts w:ascii="Cambria" w:eastAsia="Times New Roman" w:hAnsi="Cambria"/>
          <w:kern w:val="0"/>
          <w:sz w:val="20"/>
          <w:lang w:val="es-ES"/>
        </w:rPr>
        <w:t>, .gif o .</w:t>
      </w:r>
      <w:proofErr w:type="spellStart"/>
      <w:r w:rsidRPr="002B0AF9">
        <w:rPr>
          <w:rFonts w:ascii="Cambria" w:eastAsia="Times New Roman" w:hAnsi="Cambria"/>
          <w:kern w:val="0"/>
          <w:sz w:val="20"/>
          <w:lang w:val="es-ES"/>
        </w:rPr>
        <w:t>tif</w:t>
      </w:r>
      <w:proofErr w:type="spellEnd"/>
      <w:r w:rsidRPr="002B0AF9">
        <w:rPr>
          <w:rFonts w:ascii="Cambria" w:eastAsia="Times New Roman" w:hAnsi="Cambria"/>
          <w:kern w:val="0"/>
          <w:sz w:val="20"/>
          <w:lang w:val="es-ES"/>
        </w:rPr>
        <w:t>).  Es necesario asegurarse de que las figuras se vean claras y legibles sin aumento.</w:t>
      </w:r>
    </w:p>
    <w:p w14:paraId="1B31082D" w14:textId="77777777" w:rsidR="00535F28" w:rsidRPr="002B0AF9" w:rsidRDefault="00535F28" w:rsidP="00535F28">
      <w:pPr>
        <w:widowControl w:val="0"/>
        <w:numPr>
          <w:ilvl w:val="0"/>
          <w:numId w:val="4"/>
        </w:numPr>
        <w:tabs>
          <w:tab w:val="left" w:pos="0"/>
          <w:tab w:val="left" w:pos="288"/>
          <w:tab w:val="left" w:pos="426"/>
          <w:tab w:val="left" w:pos="1560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hacer clic en la figura, luego en “formato”, “imagen,” “diseño” y elegir “en línea con el texto” para obtener mejores resultados.</w:t>
      </w:r>
    </w:p>
    <w:p w14:paraId="431365D0" w14:textId="77777777" w:rsidR="00535F28" w:rsidRPr="002B0AF9" w:rsidRDefault="00535F28" w:rsidP="00535F28">
      <w:pPr>
        <w:widowControl w:val="0"/>
        <w:tabs>
          <w:tab w:val="left" w:leader="hyphen" w:pos="8764"/>
        </w:tabs>
        <w:suppressAutoHyphens w:val="0"/>
        <w:autoSpaceDE w:val="0"/>
        <w:spacing w:after="0" w:line="240" w:lineRule="auto"/>
        <w:outlineLvl w:val="0"/>
        <w:rPr>
          <w:rFonts w:ascii="Cambria" w:hAnsi="Cambria"/>
          <w:kern w:val="0"/>
          <w:sz w:val="20"/>
          <w:szCs w:val="24"/>
          <w:lang w:val="es-ES"/>
        </w:rPr>
      </w:pPr>
      <w:r w:rsidRPr="002B0AF9">
        <w:rPr>
          <w:rFonts w:ascii="Cambria" w:hAnsi="Cambria"/>
          <w:color w:val="232323"/>
          <w:spacing w:val="-10"/>
          <w:w w:val="70"/>
          <w:kern w:val="0"/>
          <w:sz w:val="20"/>
          <w:szCs w:val="24"/>
          <w:lang w:val="es-ES"/>
        </w:rPr>
        <w:t>-</w:t>
      </w:r>
      <w:r w:rsidRPr="002B0AF9">
        <w:rPr>
          <w:rFonts w:ascii="Cambria" w:hAnsi="Cambria"/>
          <w:color w:val="232323"/>
          <w:kern w:val="0"/>
          <w:sz w:val="20"/>
          <w:szCs w:val="24"/>
          <w:lang w:val="es-ES"/>
        </w:rPr>
        <w:tab/>
      </w:r>
    </w:p>
    <w:p w14:paraId="5A35B0A1" w14:textId="77777777" w:rsidR="00535F28" w:rsidRPr="002B0AF9" w:rsidRDefault="00535F28" w:rsidP="00535F28">
      <w:pPr>
        <w:widowControl w:val="0"/>
        <w:tabs>
          <w:tab w:val="left" w:pos="567"/>
          <w:tab w:val="left" w:pos="855"/>
          <w:tab w:val="left" w:pos="1143"/>
          <w:tab w:val="left" w:pos="1431"/>
          <w:tab w:val="left" w:pos="1719"/>
          <w:tab w:val="left" w:pos="2543"/>
          <w:tab w:val="left" w:pos="6213"/>
          <w:tab w:val="left" w:pos="7083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>Figura 1.</w:t>
      </w:r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  Las leyendas de las figuras deben ser cortas pero suficientes para permitir que la figura sea inteligible por sí misma. </w:t>
      </w:r>
    </w:p>
    <w:p w14:paraId="58C6090C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4055F52A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</w:pPr>
    </w:p>
    <w:p w14:paraId="3CAB2400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b/>
          <w:bCs/>
          <w:kern w:val="0"/>
          <w:sz w:val="20"/>
          <w:szCs w:val="20"/>
          <w:lang w:val="es-ES"/>
        </w:rPr>
        <w:t xml:space="preserve">Referencias </w:t>
      </w:r>
    </w:p>
    <w:p w14:paraId="0C90E261" w14:textId="77777777" w:rsidR="00535F28" w:rsidRPr="002B0AF9" w:rsidRDefault="00535F28" w:rsidP="00535F28">
      <w:pPr>
        <w:widowControl w:val="0"/>
        <w:tabs>
          <w:tab w:val="left" w:pos="0"/>
          <w:tab w:val="left" w:pos="288"/>
          <w:tab w:val="left" w:pos="572"/>
          <w:tab w:val="left" w:pos="1945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6838EC4E" w14:textId="77777777" w:rsidR="00535F28" w:rsidRPr="002B0AF9" w:rsidRDefault="00535F28" w:rsidP="00535F28">
      <w:pPr>
        <w:suppressAutoHyphens w:val="0"/>
        <w:spacing w:after="0" w:line="240" w:lineRule="auto"/>
        <w:ind w:left="426" w:hanging="426"/>
        <w:jc w:val="both"/>
        <w:rPr>
          <w:rFonts w:ascii="Cambria" w:hAnsi="Cambria"/>
          <w:kern w:val="0"/>
          <w:sz w:val="20"/>
          <w:szCs w:val="20"/>
        </w:rPr>
      </w:pPr>
      <w:r w:rsidRPr="00535F28">
        <w:rPr>
          <w:rFonts w:ascii="Cambria" w:hAnsi="Cambria"/>
          <w:kern w:val="2"/>
          <w:sz w:val="20"/>
          <w:szCs w:val="24"/>
        </w:rPr>
        <w:t xml:space="preserve">Anon. 2003. </w:t>
      </w:r>
      <w:r w:rsidRPr="002B0AF9">
        <w:rPr>
          <w:rFonts w:ascii="Cambria" w:hAnsi="Cambria"/>
          <w:kern w:val="2"/>
          <w:sz w:val="20"/>
          <w:szCs w:val="24"/>
        </w:rPr>
        <w:t xml:space="preserve">Report </w:t>
      </w:r>
      <w:proofErr w:type="gramStart"/>
      <w:r w:rsidRPr="002B0AF9">
        <w:rPr>
          <w:rFonts w:ascii="Cambria" w:hAnsi="Cambria"/>
          <w:kern w:val="2"/>
          <w:sz w:val="20"/>
          <w:szCs w:val="24"/>
        </w:rPr>
        <w:t>of</w:t>
      </w:r>
      <w:proofErr w:type="gramEnd"/>
      <w:r w:rsidRPr="002B0AF9">
        <w:rPr>
          <w:rFonts w:ascii="Cambria" w:hAnsi="Cambria"/>
          <w:kern w:val="2"/>
          <w:sz w:val="20"/>
          <w:szCs w:val="24"/>
        </w:rPr>
        <w:t xml:space="preserve"> the 2002 Atlantic Swordfish Stock Assessment Sessio</w:t>
      </w:r>
      <w:r w:rsidRPr="002B0AF9">
        <w:rPr>
          <w:rFonts w:ascii="Cambria" w:hAnsi="Cambria"/>
          <w:kern w:val="2"/>
          <w:sz w:val="20"/>
          <w:szCs w:val="20"/>
        </w:rPr>
        <w:t xml:space="preserve">n. </w:t>
      </w:r>
      <w:hyperlink r:id="rId10" w:history="1">
        <w:r w:rsidRPr="002B0AF9">
          <w:rPr>
            <w:rFonts w:ascii="Cambria" w:hAnsi="Cambria"/>
            <w:color w:val="467886"/>
            <w:kern w:val="2"/>
            <w:sz w:val="20"/>
            <w:szCs w:val="20"/>
          </w:rPr>
          <w:t>Collect. Vol. Sci. Pap. ICCAT 55(4): 1289-1415</w:t>
        </w:r>
      </w:hyperlink>
      <w:r w:rsidRPr="002B0AF9">
        <w:rPr>
          <w:rFonts w:ascii="Cambria" w:hAnsi="Cambria"/>
          <w:kern w:val="2"/>
          <w:sz w:val="20"/>
          <w:szCs w:val="20"/>
        </w:rPr>
        <w:t>.</w:t>
      </w:r>
    </w:p>
    <w:p w14:paraId="6ACE645E" w14:textId="77777777" w:rsidR="00535F28" w:rsidRPr="002B0AF9" w:rsidRDefault="00535F28" w:rsidP="00535F28">
      <w:pPr>
        <w:suppressAutoHyphens w:val="0"/>
        <w:spacing w:after="0" w:line="240" w:lineRule="auto"/>
        <w:rPr>
          <w:rFonts w:ascii="Cambria" w:hAnsi="Cambria"/>
          <w:kern w:val="2"/>
          <w:sz w:val="20"/>
          <w:szCs w:val="20"/>
        </w:rPr>
      </w:pPr>
    </w:p>
    <w:p w14:paraId="300EF032" w14:textId="77777777" w:rsidR="00EB6DEF" w:rsidRPr="00F212D2" w:rsidRDefault="00EB6DEF" w:rsidP="00EB6DEF">
      <w:pPr>
        <w:suppressAutoHyphens w:val="0"/>
        <w:autoSpaceDN/>
        <w:spacing w:after="0" w:line="240" w:lineRule="auto"/>
        <w:ind w:left="426" w:hanging="426"/>
        <w:rPr>
          <w:rFonts w:ascii="Cambria" w:hAnsi="Cambria"/>
          <w:kern w:val="2"/>
          <w:sz w:val="20"/>
          <w:szCs w:val="20"/>
          <w14:ligatures w14:val="standardContextual"/>
        </w:rPr>
      </w:pPr>
      <w:r w:rsidRPr="00F212D2">
        <w:rPr>
          <w:rFonts w:ascii="Cambria" w:hAnsi="Cambria"/>
          <w:kern w:val="2"/>
          <w:sz w:val="20"/>
          <w:szCs w:val="20"/>
          <w14:ligatures w14:val="standardContextual"/>
        </w:rPr>
        <w:t xml:space="preserve">FAO. 2025. Fishery and Aquaculture Statistics – Yearbook 2022. FAO Yearbook of Fishery and Aquaculture Statistics. Rome. </w:t>
      </w:r>
      <w:hyperlink r:id="rId11" w:history="1">
        <w:r w:rsidRPr="00F212D2">
          <w:rPr>
            <w:rStyle w:val="Hyperlink"/>
            <w:rFonts w:ascii="Cambria" w:hAnsi="Cambria"/>
            <w:kern w:val="2"/>
            <w:sz w:val="20"/>
            <w:szCs w:val="20"/>
            <w14:ligatures w14:val="standardContextual"/>
          </w:rPr>
          <w:t>https://doi.org/10.4060/cd4312en</w:t>
        </w:r>
      </w:hyperlink>
    </w:p>
    <w:p w14:paraId="51049138" w14:textId="77777777" w:rsidR="00535F28" w:rsidRPr="002B0AF9" w:rsidRDefault="00535F28" w:rsidP="00535F28">
      <w:pPr>
        <w:suppressAutoHyphens w:val="0"/>
        <w:spacing w:after="0" w:line="240" w:lineRule="auto"/>
        <w:rPr>
          <w:rFonts w:ascii="Cambria" w:hAnsi="Cambria"/>
          <w:kern w:val="2"/>
          <w:sz w:val="20"/>
          <w:szCs w:val="20"/>
        </w:rPr>
      </w:pPr>
    </w:p>
    <w:p w14:paraId="3743E411" w14:textId="62EC7333" w:rsidR="00535F28" w:rsidRPr="002B0AF9" w:rsidRDefault="00535F28" w:rsidP="00535F28">
      <w:pPr>
        <w:suppressAutoHyphens w:val="0"/>
        <w:spacing w:after="0" w:line="240" w:lineRule="auto"/>
        <w:ind w:left="426" w:hanging="426"/>
        <w:jc w:val="both"/>
        <w:rPr>
          <w:rFonts w:ascii="Cambria" w:hAnsi="Cambria"/>
          <w:kern w:val="2"/>
          <w:sz w:val="20"/>
          <w:szCs w:val="20"/>
        </w:rPr>
      </w:pPr>
      <w:r w:rsidRPr="00C76EC7">
        <w:rPr>
          <w:rFonts w:ascii="Cambria" w:hAnsi="Cambria"/>
          <w:kern w:val="2"/>
          <w:sz w:val="20"/>
          <w:szCs w:val="20"/>
        </w:rPr>
        <w:t>Acevedo-Iglesias S., Herrera M., Ramos M.L., Báez J.C., Ruiz J., Rodríguez-Rodríguez G., Rojo V., Pascual-</w:t>
      </w:r>
      <w:proofErr w:type="spellStart"/>
      <w:r w:rsidRPr="00C76EC7">
        <w:rPr>
          <w:rFonts w:ascii="Cambria" w:hAnsi="Cambria"/>
          <w:kern w:val="2"/>
          <w:sz w:val="20"/>
          <w:szCs w:val="20"/>
        </w:rPr>
        <w:t>Alayón</w:t>
      </w:r>
      <w:proofErr w:type="spellEnd"/>
      <w:r w:rsidRPr="00C76EC7">
        <w:rPr>
          <w:rFonts w:ascii="Cambria" w:hAnsi="Cambria"/>
          <w:kern w:val="2"/>
          <w:sz w:val="20"/>
          <w:szCs w:val="20"/>
        </w:rPr>
        <w:t xml:space="preserve"> P.J., Abascal F.J. 2025. </w:t>
      </w:r>
      <w:r w:rsidRPr="002B0AF9">
        <w:rPr>
          <w:rFonts w:ascii="Cambria" w:hAnsi="Cambria"/>
          <w:kern w:val="2"/>
          <w:sz w:val="20"/>
          <w:szCs w:val="20"/>
        </w:rPr>
        <w:t xml:space="preserve">Bycatch trend and its fate of the Spanish-owned tuna purse seiners fleet from the Atlantic and Indian oceans: Impacts of the implementation of good practices, Marine Policy, Volume 177, 106694, </w:t>
      </w:r>
      <w:hyperlink r:id="rId12" w:tgtFrame="_blank" w:tooltip="Persistent link using digital object identifier" w:history="1">
        <w:r w:rsidRPr="002B0AF9">
          <w:rPr>
            <w:rFonts w:ascii="Cambria" w:hAnsi="Cambria"/>
            <w:color w:val="467886"/>
            <w:kern w:val="2"/>
            <w:sz w:val="20"/>
            <w:szCs w:val="20"/>
          </w:rPr>
          <w:t>https://doi.org/10.1016/j.marpol.2025.106694</w:t>
        </w:r>
      </w:hyperlink>
    </w:p>
    <w:p w14:paraId="42912808" w14:textId="77777777" w:rsidR="00535F28" w:rsidRPr="002B0AF9" w:rsidRDefault="00535F28" w:rsidP="00535F28">
      <w:pPr>
        <w:suppressAutoHyphens w:val="0"/>
        <w:spacing w:after="0" w:line="240" w:lineRule="auto"/>
        <w:ind w:left="426" w:hanging="426"/>
        <w:rPr>
          <w:rFonts w:ascii="Cambria" w:hAnsi="Cambria"/>
          <w:kern w:val="2"/>
          <w:sz w:val="20"/>
          <w:szCs w:val="20"/>
        </w:rPr>
      </w:pPr>
    </w:p>
    <w:p w14:paraId="55B99C2A" w14:textId="77777777" w:rsidR="00535F28" w:rsidRPr="002B0AF9" w:rsidRDefault="00535F28" w:rsidP="00EB6DEF">
      <w:pPr>
        <w:suppressAutoHyphens w:val="0"/>
        <w:spacing w:after="0" w:line="240" w:lineRule="auto"/>
        <w:ind w:left="426" w:hanging="426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  <w:r w:rsidRPr="002B0AF9">
        <w:rPr>
          <w:rFonts w:ascii="Cambria" w:eastAsia="Times New Roman" w:hAnsi="Cambria"/>
          <w:kern w:val="0"/>
          <w:sz w:val="20"/>
          <w:szCs w:val="20"/>
        </w:rPr>
        <w:t>Wood C. M., 1991. Acid-base and ion balance, metabolism, and their interactions, after exhaustive exercise in fish. </w:t>
      </w:r>
      <w:proofErr w:type="spellStart"/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Journal</w:t>
      </w:r>
      <w:proofErr w:type="spellEnd"/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 </w:t>
      </w:r>
      <w:proofErr w:type="spellStart"/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of</w:t>
      </w:r>
      <w:proofErr w:type="spellEnd"/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 Experimental </w:t>
      </w:r>
      <w:proofErr w:type="spellStart"/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>Biology</w:t>
      </w:r>
      <w:proofErr w:type="spellEnd"/>
      <w:r w:rsidRPr="002B0AF9">
        <w:rPr>
          <w:rFonts w:ascii="Cambria" w:eastAsia="Times New Roman" w:hAnsi="Cambria"/>
          <w:kern w:val="0"/>
          <w:sz w:val="20"/>
          <w:szCs w:val="20"/>
          <w:lang w:val="es-ES"/>
        </w:rPr>
        <w:t xml:space="preserve">, 160(1), 285-308. </w:t>
      </w:r>
      <w:hyperlink r:id="rId13" w:tgtFrame="_blank" w:history="1">
        <w:r w:rsidRPr="002B0AF9">
          <w:rPr>
            <w:rFonts w:ascii="Cambria" w:eastAsia="Times New Roman" w:hAnsi="Cambria"/>
            <w:color w:val="467886"/>
            <w:kern w:val="0"/>
            <w:sz w:val="20"/>
            <w:szCs w:val="20"/>
            <w:lang w:val="es-ES"/>
          </w:rPr>
          <w:t>https://doi.org/10.1242/jeb.160.1.285</w:t>
        </w:r>
      </w:hyperlink>
    </w:p>
    <w:p w14:paraId="4CA8C841" w14:textId="77777777" w:rsidR="00535F28" w:rsidRPr="002B0AF9" w:rsidRDefault="00535F28" w:rsidP="00535F28">
      <w:pPr>
        <w:widowControl w:val="0"/>
        <w:tabs>
          <w:tab w:val="left" w:pos="567"/>
          <w:tab w:val="left" w:pos="855"/>
          <w:tab w:val="left" w:pos="1143"/>
          <w:tab w:val="left" w:pos="1431"/>
          <w:tab w:val="left" w:pos="1719"/>
          <w:tab w:val="left" w:pos="2543"/>
          <w:tab w:val="left" w:pos="6213"/>
          <w:tab w:val="left" w:pos="7083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02174D05" w14:textId="77777777" w:rsidR="00535F28" w:rsidRPr="002B0AF9" w:rsidRDefault="00535F28" w:rsidP="00535F28">
      <w:pPr>
        <w:widowControl w:val="0"/>
        <w:tabs>
          <w:tab w:val="left" w:pos="567"/>
          <w:tab w:val="left" w:pos="855"/>
          <w:tab w:val="left" w:pos="1143"/>
          <w:tab w:val="left" w:pos="1431"/>
          <w:tab w:val="left" w:pos="1719"/>
          <w:tab w:val="left" w:pos="2543"/>
          <w:tab w:val="left" w:pos="6213"/>
          <w:tab w:val="left" w:pos="7083"/>
        </w:tabs>
        <w:suppressAutoHyphens w:val="0"/>
        <w:autoSpaceDE w:val="0"/>
        <w:adjustRightInd w:val="0"/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val="es-ES"/>
        </w:rPr>
      </w:pPr>
    </w:p>
    <w:p w14:paraId="3742E12A" w14:textId="77777777" w:rsidR="00535F28" w:rsidRPr="002B0AF9" w:rsidRDefault="00535F28" w:rsidP="00535F28">
      <w:pPr>
        <w:suppressAutoHyphens w:val="0"/>
        <w:autoSpaceDN/>
        <w:spacing w:after="0" w:line="240" w:lineRule="auto"/>
        <w:rPr>
          <w:rFonts w:ascii="Cambria" w:eastAsia="Times New Roman" w:hAnsi="Cambria"/>
          <w:kern w:val="0"/>
          <w:sz w:val="20"/>
          <w:szCs w:val="20"/>
          <w:lang w:val="es-ES"/>
        </w:rPr>
        <w:sectPr w:rsidR="00535F28" w:rsidRPr="002B0AF9" w:rsidSect="00EB6DEF">
          <w:headerReference w:type="first" r:id="rId14"/>
          <w:endnotePr>
            <w:numFmt w:val="decimal"/>
          </w:endnotePr>
          <w:pgSz w:w="11911" w:h="16832"/>
          <w:pgMar w:top="1418" w:right="1418" w:bottom="1418" w:left="1418" w:header="851" w:footer="1134" w:gutter="0"/>
          <w:cols w:space="720"/>
          <w:titlePg/>
          <w:docGrid w:linePitch="299"/>
        </w:sectPr>
      </w:pPr>
    </w:p>
    <w:p w14:paraId="6B81867C" w14:textId="77777777" w:rsidR="00535F28" w:rsidRPr="002B0AF9" w:rsidRDefault="00535F28" w:rsidP="00535F28">
      <w:pPr>
        <w:widowControl w:val="0"/>
        <w:suppressAutoHyphens w:val="0"/>
        <w:spacing w:before="17" w:after="0"/>
        <w:ind w:left="767" w:right="748"/>
        <w:jc w:val="center"/>
        <w:rPr>
          <w:rFonts w:ascii="Cambria" w:eastAsia="Times New Roman" w:hAnsi="Cambria"/>
          <w:b/>
          <w:bCs/>
          <w:iCs/>
          <w:kern w:val="0"/>
          <w:sz w:val="20"/>
          <w:szCs w:val="20"/>
          <w:lang w:val="es-ES"/>
        </w:rPr>
      </w:pPr>
      <w:r w:rsidRPr="002B0AF9">
        <w:rPr>
          <w:rFonts w:ascii="Cambria" w:eastAsia="Calibri" w:hAnsi="Cambria"/>
          <w:b/>
          <w:bCs/>
          <w:iCs/>
          <w:color w:val="313131"/>
          <w:w w:val="105"/>
          <w:kern w:val="0"/>
          <w:sz w:val="20"/>
          <w:szCs w:val="20"/>
          <w:lang w:val="es-ES"/>
        </w:rPr>
        <w:lastRenderedPageBreak/>
        <w:t>Lista de palabras clave*</w:t>
      </w:r>
    </w:p>
    <w:p w14:paraId="63112DE5" w14:textId="77777777" w:rsidR="00535F28" w:rsidRPr="002B0AF9" w:rsidRDefault="00535F28" w:rsidP="00535F28">
      <w:pPr>
        <w:widowControl w:val="0"/>
        <w:suppressAutoHyphens w:val="0"/>
        <w:spacing w:before="2" w:after="0" w:line="240" w:lineRule="auto"/>
        <w:rPr>
          <w:rFonts w:ascii="Cambria" w:eastAsia="Times New Roman" w:hAnsi="Cambria"/>
          <w:i/>
          <w:kern w:val="0"/>
          <w:sz w:val="9"/>
          <w:szCs w:val="9"/>
          <w:lang w:val="es-ES"/>
        </w:rPr>
      </w:pPr>
    </w:p>
    <w:p w14:paraId="251A84EE" w14:textId="77777777" w:rsidR="00535F28" w:rsidRPr="002B0AF9" w:rsidRDefault="00535F28" w:rsidP="00535F28">
      <w:pPr>
        <w:widowControl w:val="0"/>
        <w:suppressAutoHyphens w:val="0"/>
        <w:spacing w:before="2" w:after="0" w:line="240" w:lineRule="auto"/>
        <w:rPr>
          <w:rFonts w:ascii="Cambria" w:eastAsia="Times New Roman" w:hAnsi="Cambria"/>
          <w:i/>
          <w:kern w:val="0"/>
          <w:sz w:val="9"/>
          <w:szCs w:val="9"/>
          <w:lang w:val="es-ES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22"/>
        <w:gridCol w:w="1271"/>
        <w:gridCol w:w="1535"/>
        <w:gridCol w:w="1211"/>
        <w:gridCol w:w="1492"/>
        <w:gridCol w:w="1549"/>
        <w:gridCol w:w="1605"/>
        <w:gridCol w:w="1680"/>
        <w:gridCol w:w="1559"/>
      </w:tblGrid>
      <w:tr w:rsidR="00535F28" w:rsidRPr="002B0AF9" w14:paraId="64979523" w14:textId="77777777" w:rsidTr="004F7C29">
        <w:trPr>
          <w:trHeight w:val="29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708" w14:textId="77777777" w:rsidR="00535F28" w:rsidRPr="002B0AF9" w:rsidRDefault="00535F28" w:rsidP="004F7C29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Analysis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5D7" w14:textId="77777777" w:rsidR="00535F28" w:rsidRPr="002B0AF9" w:rsidRDefault="00535F28" w:rsidP="004F7C29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Biology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D231" w14:textId="77777777" w:rsidR="00535F28" w:rsidRPr="002B0AF9" w:rsidRDefault="00535F28" w:rsidP="004F7C29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Environment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69A9" w14:textId="77777777" w:rsidR="00535F28" w:rsidRPr="002B0AF9" w:rsidRDefault="00535F28" w:rsidP="004F7C29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Fishery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3349" w14:textId="77777777" w:rsidR="00535F28" w:rsidRPr="002B0AF9" w:rsidRDefault="00535F28" w:rsidP="004F7C29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Statistics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6EE2" w14:textId="77777777" w:rsidR="00535F28" w:rsidRPr="002B0AF9" w:rsidRDefault="00535F28" w:rsidP="004F7C29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b/>
                <w:bCs/>
                <w:i/>
                <w:iCs/>
                <w:color w:val="313131"/>
                <w:kern w:val="0"/>
                <w:sz w:val="12"/>
                <w:szCs w:val="12"/>
              </w:rPr>
              <w:t>Management</w:t>
            </w:r>
          </w:p>
        </w:tc>
      </w:tr>
      <w:tr w:rsidR="00535F28" w:rsidRPr="002B0AF9" w14:paraId="623F4C7D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530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Accuracy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224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Abundance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363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Electrophoresis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D05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Nursery grounds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771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Spawning seasons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1A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Bottom topography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3BA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Aquaculture products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61E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nets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111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Aerial surveys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A8D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Coastal zone management</w:t>
            </w:r>
          </w:p>
        </w:tc>
      </w:tr>
      <w:tr w:rsidR="00535F28" w:rsidRPr="002B0AF9" w14:paraId="3FE0FA09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4D4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Artificial intelligence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458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Age at recruitment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2B3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Escapement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5DB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Otoliths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E7F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Stock identification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4C4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Climatic data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914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Aquaculture systems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98E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technology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763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Age composition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DA8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Ecosystem management</w:t>
            </w:r>
          </w:p>
        </w:tc>
      </w:tr>
      <w:tr w:rsidR="00535F28" w:rsidRPr="002B0AF9" w14:paraId="66D2C988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088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Autocorrelation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EE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Age determination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42D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Ethology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9E7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Parasites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718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Stomach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45A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Convergence zones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F1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Aquaculture techniques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F2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Floating structures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E5E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Biological sampling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0F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Exclusive Economic Zone</w:t>
            </w:r>
          </w:p>
        </w:tc>
      </w:tr>
      <w:tr w:rsidR="00535F28" w:rsidRPr="002B0AF9" w14:paraId="0EC91360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12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Catchability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69C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Algal blooms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175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Evolution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DD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Plankton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E2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Tagging mortality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6F4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Current data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23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Artisanal fishing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CD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Gillnets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654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By catch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C02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Exclusive rights</w:t>
            </w:r>
          </w:p>
        </w:tc>
      </w:tr>
      <w:tr w:rsidR="00535F28" w:rsidRPr="002B0AF9" w14:paraId="2F98A6EA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0BB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Catch ratio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E8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Animal morphology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58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Fecundity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A54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characteristics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E20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Taxonomy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76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Dissolved oxygen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39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Attracting techniques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6E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High seas fisheries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B36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Catch composition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AC4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boundaries</w:t>
            </w:r>
          </w:p>
        </w:tc>
      </w:tr>
      <w:tr w:rsidR="00535F28" w:rsidRPr="002B0AF9" w14:paraId="4EA51F80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1C4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Computer programs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7FC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Animal reproductive organs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CBE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Feeding </w:t>
            </w:r>
            <w:proofErr w:type="spellStart"/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829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density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7F4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Vulnerability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5E8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Environmental conditions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EA9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Bait fishing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728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Holding capacity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BE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Catch statistics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9D8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disputes</w:t>
            </w:r>
          </w:p>
        </w:tc>
      </w:tr>
      <w:tr w:rsidR="00535F28" w:rsidRPr="002B0AF9" w14:paraId="642CC08B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4FD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Econometrics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928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Annual variations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C0A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Feeding migrations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87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dynamics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A4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Yield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2E1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Environmental effects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880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Canning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E2D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Joint ventures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F0D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Data collections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E0B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management</w:t>
            </w:r>
          </w:p>
        </w:tc>
      </w:tr>
      <w:tr w:rsidR="00535F28" w:rsidRPr="002B0AF9" w14:paraId="47D2803F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7C3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Economic analysis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2F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proofErr w:type="spellStart"/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322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diseases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88C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genetics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A02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Zoobenthos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9C5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Environmental factors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8B3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Capture fishery economics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B3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Line fishing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C91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catch statistics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089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policy</w:t>
            </w:r>
          </w:p>
        </w:tc>
      </w:tr>
      <w:tr w:rsidR="00535F28" w:rsidRPr="002B0AF9" w14:paraId="57147930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CB7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Economic models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D1F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Biomass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DD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eggs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A34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numbers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103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Zooplankton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84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oceanography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75F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Coastal fisheries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F5E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Long lining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2D6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conversion factors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BE3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regulations</w:t>
            </w:r>
          </w:p>
        </w:tc>
      </w:tr>
      <w:tr w:rsidR="00535F28" w:rsidRPr="002B0AF9" w14:paraId="1A428CB8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FB7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Experimental research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7DB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Biometrics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B69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larvae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A80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Population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20C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A0B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Long-term changes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B54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Commercial fishing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12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Multispecies fisheries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660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Fishery statistics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80E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International waters</w:t>
            </w:r>
          </w:p>
        </w:tc>
      </w:tr>
      <w:tr w:rsidR="00535F28" w:rsidRPr="002B0AF9" w14:paraId="43AD49CB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1E0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economics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9CD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Biochemical analysis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757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physiology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1BA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Potential resources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5D9D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0D4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Mercury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397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Echosounders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9E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Net fishing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46B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surveys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AAC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Legislation</w:t>
            </w:r>
          </w:p>
        </w:tc>
      </w:tr>
      <w:tr w:rsidR="00535F28" w:rsidRPr="002B0AF9" w14:paraId="4AC58263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BEB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mortality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829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Biophysics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FFE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biology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E09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Potential yield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00BB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C88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Mixed layer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68B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Exploitation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333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Pelagic fisheries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2B9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effort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DCF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Licensing</w:t>
            </w:r>
          </w:p>
        </w:tc>
      </w:tr>
      <w:tr w:rsidR="00535F28" w:rsidRPr="002B0AF9" w14:paraId="5B510874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F29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power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66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Biotechnology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AD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sciences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45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Predation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00D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44C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Oceanography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0F7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detection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F57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Processed fishery products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51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Imaging techniques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15A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Overfishing</w:t>
            </w:r>
          </w:p>
        </w:tc>
      </w:tr>
      <w:tr w:rsidR="00535F28" w:rsidRPr="002B0AF9" w14:paraId="19D91277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20F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Gear selectivity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2B0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Blood cells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05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Food preferences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7F7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Prediction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E4BA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8E0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Pelagic environment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C5C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fillets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687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Purse seining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884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Length-weight relationships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BB5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Quota regulations</w:t>
            </w:r>
          </w:p>
        </w:tc>
      </w:tr>
      <w:tr w:rsidR="00535F28" w:rsidRPr="002B0AF9" w14:paraId="2202AACE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8B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Least squares method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956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Body size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79D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Forage fish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CD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Proteins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9DD3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2F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Pollution effects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E98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handling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000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Radar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6BB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Logbooks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82F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Resource conservation</w:t>
            </w:r>
          </w:p>
        </w:tc>
      </w:tr>
      <w:tr w:rsidR="00535F28" w:rsidRPr="002B0AF9" w14:paraId="21F56AF5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6F9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Mathematical models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A3A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Body temperature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5FE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Genetics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6B0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Recruitment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6E32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4EE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River plumes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CC7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products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7F7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Shark fisheries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0BC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Remote sensing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50D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Season regulations</w:t>
            </w:r>
          </w:p>
        </w:tc>
      </w:tr>
      <w:tr w:rsidR="00535F28" w:rsidRPr="002B0AF9" w14:paraId="2A2169A8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FAB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Multivariate analysis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3C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Bones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FA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Geographical distribution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788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Recruitment 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B439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DF1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Salinity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AD9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storage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DFF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Ship design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B33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Research vessels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00F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Size limit regulations</w:t>
            </w:r>
          </w:p>
        </w:tc>
      </w:tr>
      <w:tr w:rsidR="00535F28" w:rsidRPr="002B0AF9" w14:paraId="0BDBB9D8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23C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Natural mortality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69A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Breeding seasons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F5C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Growth curves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790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Reproductive </w:t>
            </w:r>
            <w:proofErr w:type="spellStart"/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FCE7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C8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Seasonal variations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705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 utilization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A41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Sport fishing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716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Size composition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4F1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Surveillance and enforcement</w:t>
            </w:r>
          </w:p>
        </w:tc>
      </w:tr>
      <w:tr w:rsidR="00535F28" w:rsidRPr="002B0AF9" w14:paraId="3A01CD5A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50B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Numerical analysis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32C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Breeding sites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B0A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Habitat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8B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Reproductive cycle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F663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149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Short-term changes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FDB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development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DA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Trap fishing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F31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Size distribution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047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Trade</w:t>
            </w:r>
          </w:p>
        </w:tc>
      </w:tr>
      <w:tr w:rsidR="00535F28" w:rsidRPr="002B0AF9" w14:paraId="1E372C68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CF2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Random processes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2D1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Buoyancy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931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Homing </w:t>
            </w:r>
            <w:proofErr w:type="spellStart"/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A02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Resource availability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1197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B48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Spatial variations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B35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engineering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1CA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Trawling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88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Sonic tags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519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Underutilized species</w:t>
            </w:r>
          </w:p>
        </w:tc>
      </w:tr>
      <w:tr w:rsidR="00535F28" w:rsidRPr="002B0AF9" w14:paraId="50402EDF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52B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Simulation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2F5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Chemical composition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1C0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Identification keys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A7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Schooling </w:t>
            </w:r>
            <w:proofErr w:type="spellStart"/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behaviour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B5F2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E00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Surface layers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419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industry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78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Trolling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B0F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Statistical sampling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DE47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</w:tr>
      <w:tr w:rsidR="00535F28" w:rsidRPr="002B0AF9" w14:paraId="03E86F40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FC2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Steady state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2CA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Density dependence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7C2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Juveniles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C54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Sex determination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1DF3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BA3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Surface salinity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6A2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products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82F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Tuna fisheries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BA2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Tagging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B514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</w:tr>
      <w:tr w:rsidR="00535F28" w:rsidRPr="002B0AF9" w14:paraId="44693E97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997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Stochastic processes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E19D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Depleted stocks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222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Life history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C4A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Sex ratio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F585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ACA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Surface temperature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865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Fishery technology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D6D3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5C54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F024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5F28" w:rsidRPr="002B0AF9" w14:paraId="42B84E75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F276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Stochastic models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56E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Diving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EB6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Longevity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C88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Sexual dimorphism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5E9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A99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Temporal distribution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C4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buoys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D29F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D6EF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5902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5F28" w:rsidRPr="002B0AF9" w14:paraId="1D61A951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93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Stock assessment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9C8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DNA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35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Migrations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2F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Sexual maturity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091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0C6C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Thermocline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6B9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capacity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7053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EC48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4E9D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5F28" w:rsidRPr="002B0AF9" w14:paraId="26237381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874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Time series analysis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A48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Ecological aggregations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194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Morphometry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75CA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Spawning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7450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082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Water pollution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AB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gear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4DF7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EDE0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687E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5F28" w:rsidRPr="002B0AF9" w14:paraId="48A2E7BC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EB8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Variance analysis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DDA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Ecological associations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1A1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0C89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Spawning grounds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E878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17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Wind-driven circulation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11B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grounds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6D86" w14:textId="77777777" w:rsidR="00535F28" w:rsidRPr="002B0AF9" w:rsidRDefault="00535F28" w:rsidP="004F7C29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6654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6448" w14:textId="77777777" w:rsidR="00535F28" w:rsidRPr="002B0AF9" w:rsidRDefault="00535F28" w:rsidP="004F7C29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35F28" w:rsidRPr="002B0AF9" w14:paraId="396E7A5C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FF6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Yield predictions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C4D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Ecosystems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4F9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2B0AF9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CFCF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 xml:space="preserve">Spawning migrations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196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8EA1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2B0AF9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A20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Fishing lines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19A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2B0AF9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8105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2B0AF9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9D1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  <w:r w:rsidRPr="002B0AF9"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535F28" w:rsidRPr="002B0AF9" w14:paraId="76B73A31" w14:textId="77777777" w:rsidTr="004F7C29">
        <w:trPr>
          <w:trHeight w:val="1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F0B0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  <w:r w:rsidRPr="002B0AF9"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  <w:t>Yield/recruit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84E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5A27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418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F2DE3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46BE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27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Cambria" w:eastAsia="Times New Roman" w:hAnsi="Cambria"/>
                <w:color w:val="313131"/>
                <w:kern w:val="0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2A478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C4192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5DCB" w14:textId="77777777" w:rsidR="00535F28" w:rsidRPr="002B0AF9" w:rsidRDefault="00535F28" w:rsidP="004F7C29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12"/>
                <w:szCs w:val="12"/>
              </w:rPr>
            </w:pPr>
          </w:p>
        </w:tc>
      </w:tr>
    </w:tbl>
    <w:p w14:paraId="58B65682" w14:textId="52A6F25B" w:rsidR="00FB70EF" w:rsidRPr="00535F28" w:rsidRDefault="00535F28" w:rsidP="00535F28">
      <w:pPr>
        <w:suppressAutoHyphens w:val="0"/>
        <w:spacing w:after="0" w:line="240" w:lineRule="auto"/>
        <w:ind w:right="1418"/>
        <w:jc w:val="both"/>
        <w:rPr>
          <w:lang w:val="es-ES"/>
        </w:rPr>
      </w:pPr>
      <w:r w:rsidRPr="002B0AF9">
        <w:rPr>
          <w:rFonts w:ascii="Cambria" w:hAnsi="Cambria"/>
          <w:kern w:val="2"/>
          <w:sz w:val="16"/>
          <w:szCs w:val="16"/>
          <w:lang w:val="es-ES"/>
        </w:rPr>
        <w:t>* También se pueden utilizar nombres de especies o cualquier otra palabra clave.</w:t>
      </w:r>
    </w:p>
    <w:sectPr w:rsidR="00FB70EF" w:rsidRPr="00535F28" w:rsidSect="00535F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B2C8" w14:textId="77777777" w:rsidR="00F64889" w:rsidRDefault="00F64889" w:rsidP="00535F28">
      <w:pPr>
        <w:spacing w:after="0" w:line="240" w:lineRule="auto"/>
      </w:pPr>
      <w:r>
        <w:separator/>
      </w:r>
    </w:p>
  </w:endnote>
  <w:endnote w:type="continuationSeparator" w:id="0">
    <w:p w14:paraId="2AA45194" w14:textId="77777777" w:rsidR="00F64889" w:rsidRDefault="00F64889" w:rsidP="0053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68EC" w14:textId="77777777" w:rsidR="00F64889" w:rsidRDefault="00F64889" w:rsidP="00535F28">
      <w:pPr>
        <w:spacing w:after="0" w:line="240" w:lineRule="auto"/>
      </w:pPr>
      <w:r>
        <w:separator/>
      </w:r>
    </w:p>
  </w:footnote>
  <w:footnote w:type="continuationSeparator" w:id="0">
    <w:p w14:paraId="53FD2837" w14:textId="77777777" w:rsidR="00F64889" w:rsidRDefault="00F64889" w:rsidP="00535F28">
      <w:pPr>
        <w:spacing w:after="0" w:line="240" w:lineRule="auto"/>
      </w:pPr>
      <w:r>
        <w:continuationSeparator/>
      </w:r>
    </w:p>
  </w:footnote>
  <w:footnote w:id="1">
    <w:p w14:paraId="5BBA1A87" w14:textId="77777777" w:rsidR="00535F28" w:rsidRDefault="00535F28" w:rsidP="00535F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16"/>
          <w:szCs w:val="20"/>
          <w:lang w:val="es-ES"/>
        </w:rPr>
      </w:pPr>
      <w:r>
        <w:rPr>
          <w:rStyle w:val="FootnoteReference"/>
          <w:sz w:val="16"/>
        </w:rPr>
        <w:footnoteRef/>
      </w:r>
      <w:r w:rsidRPr="001A5C1C">
        <w:rPr>
          <w:rFonts w:ascii="Cambria" w:hAnsi="Cambria"/>
          <w:sz w:val="16"/>
          <w:szCs w:val="18"/>
          <w:lang w:val="es-ES"/>
        </w:rPr>
        <w:t xml:space="preserve"> Afiliación, direcciones, etc. Dirección de correo electrónico del autor principal. [Cambria 8] Rogamos utilizar el comando “insertar nota al pie” de MS Word.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CC5E" w14:textId="77777777" w:rsidR="00EB6DEF" w:rsidRPr="00EB6DEF" w:rsidRDefault="00EB6DEF" w:rsidP="00EB6DEF">
    <w:pPr>
      <w:widowControl w:val="0"/>
      <w:tabs>
        <w:tab w:val="center" w:pos="4320"/>
        <w:tab w:val="right" w:pos="8640"/>
      </w:tabs>
      <w:suppressAutoHyphens w:val="0"/>
      <w:autoSpaceDE w:val="0"/>
      <w:adjustRightInd w:val="0"/>
      <w:spacing w:after="0" w:line="240" w:lineRule="auto"/>
      <w:rPr>
        <w:rFonts w:ascii="Arial" w:eastAsia="Times New Roman" w:hAnsi="Arial" w:cs="Arial"/>
        <w:kern w:val="0"/>
        <w:sz w:val="24"/>
        <w:szCs w:val="24"/>
        <w:lang w:val="es-ES"/>
      </w:rPr>
    </w:pPr>
    <w:r w:rsidRPr="00EB6DEF">
      <w:rPr>
        <w:rFonts w:ascii="Arial" w:eastAsia="Times New Roman" w:hAnsi="Arial" w:cs="Arial"/>
        <w:kern w:val="0"/>
        <w:sz w:val="20"/>
        <w:szCs w:val="20"/>
        <w:lang w:val="es-ES"/>
      </w:rPr>
      <w:t>SCRS/2025/XX</w:t>
    </w:r>
  </w:p>
  <w:p w14:paraId="6ADDFDBE" w14:textId="77777777" w:rsidR="00EB6DEF" w:rsidRDefault="00EB6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559"/>
    <w:multiLevelType w:val="hybridMultilevel"/>
    <w:tmpl w:val="83F265A2"/>
    <w:lvl w:ilvl="0" w:tplc="06B4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35C"/>
    <w:multiLevelType w:val="multilevel"/>
    <w:tmpl w:val="6782534A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i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4C117AA3"/>
    <w:multiLevelType w:val="hybridMultilevel"/>
    <w:tmpl w:val="8EEA33FC"/>
    <w:lvl w:ilvl="0" w:tplc="06B4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751E9"/>
    <w:multiLevelType w:val="multilevel"/>
    <w:tmpl w:val="911080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/>
      </w:rPr>
    </w:lvl>
  </w:abstractNum>
  <w:num w:numId="1" w16cid:durableId="1844322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221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7361">
    <w:abstractNumId w:val="2"/>
  </w:num>
  <w:num w:numId="4" w16cid:durableId="120705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28"/>
    <w:rsid w:val="00296684"/>
    <w:rsid w:val="002D0BED"/>
    <w:rsid w:val="00535F28"/>
    <w:rsid w:val="00581EC5"/>
    <w:rsid w:val="005F68CB"/>
    <w:rsid w:val="0080394C"/>
    <w:rsid w:val="0081048F"/>
    <w:rsid w:val="00EB6DEF"/>
    <w:rsid w:val="00F64889"/>
    <w:rsid w:val="00F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9D54"/>
  <w15:chartTrackingRefBased/>
  <w15:docId w15:val="{E835F2A6-D95B-4A54-B2EE-490E8F61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28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F2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535F28"/>
    <w:rPr>
      <w:vertAlign w:val="superscript"/>
    </w:rPr>
  </w:style>
  <w:style w:type="paragraph" w:styleId="BodyText2">
    <w:name w:val="Body Text 2"/>
    <w:basedOn w:val="Normal"/>
    <w:link w:val="BodyText2Char"/>
    <w:semiHidden/>
    <w:unhideWhenUsed/>
    <w:rsid w:val="00535F28"/>
    <w:pPr>
      <w:widowControl w:val="0"/>
      <w:suppressAutoHyphens w:val="0"/>
      <w:autoSpaceDE w:val="0"/>
      <w:adjustRightInd w:val="0"/>
      <w:spacing w:after="0" w:line="240" w:lineRule="auto"/>
      <w:jc w:val="right"/>
    </w:pPr>
    <w:rPr>
      <w:rFonts w:ascii="Times New Roman" w:eastAsia="Times New Roman" w:hAnsi="Times New Roman"/>
      <w:kern w:val="0"/>
      <w:sz w:val="20"/>
      <w:szCs w:val="24"/>
      <w:lang w:val="es-ES"/>
    </w:rPr>
  </w:style>
  <w:style w:type="character" w:customStyle="1" w:styleId="BodyText2Char">
    <w:name w:val="Body Text 2 Char"/>
    <w:basedOn w:val="DefaultParagraphFont"/>
    <w:link w:val="BodyText2"/>
    <w:semiHidden/>
    <w:rsid w:val="00535F28"/>
    <w:rPr>
      <w:rFonts w:ascii="Times New Roman" w:eastAsia="Times New Roman" w:hAnsi="Times New Roman" w:cs="Times New Roman"/>
      <w:kern w:val="0"/>
      <w:sz w:val="20"/>
      <w:lang w:val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EB6D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EF"/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EF"/>
    <w:rPr>
      <w:rFonts w:ascii="Aptos" w:eastAsia="Aptos" w:hAnsi="Aptos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i.org/10.1242/jeb.160.1.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voc.fao.org/skosmosAsfa/asfa/en/index" TargetMode="External"/><Relationship Id="rId12" Type="http://schemas.openxmlformats.org/officeDocument/2006/relationships/hyperlink" Target="https://doi.org/10.1016/j.marpol.2025.10669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060/cd4312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ccat.int/Documents/CVSP/CV055_2003/n_4/CV055041289.pd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Andrés</dc:creator>
  <cp:keywords/>
  <dc:description/>
  <cp:lastModifiedBy>Marisa de Andrés</cp:lastModifiedBy>
  <cp:revision>1</cp:revision>
  <dcterms:created xsi:type="dcterms:W3CDTF">2026-02-26T10:45:00Z</dcterms:created>
  <dcterms:modified xsi:type="dcterms:W3CDTF">2026-02-26T11:03:00Z</dcterms:modified>
</cp:coreProperties>
</file>