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8994" w14:textId="77777777" w:rsidR="00835BC2" w:rsidRPr="00036366" w:rsidRDefault="00835BC2" w:rsidP="009119C1">
      <w:pPr>
        <w:ind w:right="2"/>
        <w:jc w:val="right"/>
        <w:rPr>
          <w:rFonts w:asciiTheme="majorHAnsi" w:eastAsia="Cambria" w:hAnsiTheme="majorHAnsi" w:cs="Cambria"/>
          <w:b/>
          <w:sz w:val="20"/>
          <w:szCs w:val="20"/>
        </w:rPr>
      </w:pPr>
      <w:r w:rsidRPr="00036366">
        <w:rPr>
          <w:rFonts w:asciiTheme="majorHAnsi" w:hAnsiTheme="majorHAnsi"/>
          <w:b/>
          <w:sz w:val="20"/>
        </w:rPr>
        <w:t>Original: inglés</w:t>
      </w:r>
    </w:p>
    <w:p w14:paraId="3421DA73" w14:textId="77777777" w:rsidR="007A1D59" w:rsidRPr="00036366" w:rsidRDefault="007A1D59" w:rsidP="00AC217E">
      <w:pPr>
        <w:spacing w:before="9"/>
        <w:ind w:right="2"/>
        <w:jc w:val="center"/>
        <w:rPr>
          <w:rFonts w:asciiTheme="majorHAnsi" w:eastAsia="Cambria" w:hAnsiTheme="majorHAnsi" w:cs="Cambria"/>
          <w:sz w:val="13"/>
          <w:szCs w:val="13"/>
        </w:rPr>
      </w:pPr>
    </w:p>
    <w:p w14:paraId="7B665038" w14:textId="56F2F63A" w:rsidR="007A1D59" w:rsidRPr="00036366" w:rsidRDefault="003C4830" w:rsidP="00AC217E">
      <w:pPr>
        <w:pStyle w:val="Heading1"/>
        <w:ind w:left="0" w:right="2" w:firstLine="0"/>
        <w:jc w:val="center"/>
        <w:rPr>
          <w:b w:val="0"/>
          <w:bCs w:val="0"/>
        </w:rPr>
      </w:pPr>
      <w:r w:rsidRPr="00036366">
        <w:t xml:space="preserve">Directrices para la presentación de documentos </w:t>
      </w:r>
      <w:r w:rsidRPr="00036366">
        <w:br/>
        <w:t>a la 2</w:t>
      </w:r>
      <w:r w:rsidR="00936BE8" w:rsidRPr="00036366">
        <w:t>9</w:t>
      </w:r>
      <w:r w:rsidRPr="00036366">
        <w:rPr>
          <w:vertAlign w:val="superscript"/>
        </w:rPr>
        <w:t>a</w:t>
      </w:r>
      <w:r w:rsidRPr="00036366">
        <w:t xml:space="preserve"> Reunión ordinaria de la Comisión</w:t>
      </w:r>
    </w:p>
    <w:p w14:paraId="1F20682F" w14:textId="77777777" w:rsidR="007A1D59" w:rsidRPr="00036366" w:rsidRDefault="007A1D59">
      <w:pPr>
        <w:spacing w:before="1"/>
        <w:ind w:right="2"/>
        <w:rPr>
          <w:rFonts w:ascii="Cambria" w:eastAsia="Cambria" w:hAnsi="Cambria" w:cs="Cambria"/>
          <w:b/>
          <w:bCs/>
          <w:sz w:val="20"/>
          <w:szCs w:val="20"/>
        </w:rPr>
      </w:pPr>
    </w:p>
    <w:p w14:paraId="5972EA94" w14:textId="340D20D4" w:rsidR="007A1D59" w:rsidRPr="00036366" w:rsidRDefault="00055618" w:rsidP="000F39CC">
      <w:pPr>
        <w:ind w:right="2"/>
        <w:jc w:val="both"/>
        <w:rPr>
          <w:rFonts w:ascii="Cambria" w:eastAsia="Cambria" w:hAnsi="Cambria" w:cs="Cambria"/>
          <w:b/>
          <w:bCs/>
          <w:sz w:val="20"/>
          <w:szCs w:val="20"/>
        </w:rPr>
      </w:pPr>
      <w:r w:rsidRPr="00036366">
        <w:rPr>
          <w:rFonts w:ascii="Cambria"/>
          <w:b/>
          <w:sz w:val="20"/>
        </w:rPr>
        <w:t>Todos los documentos DEBER</w:t>
      </w:r>
      <w:r w:rsidRPr="00036366">
        <w:rPr>
          <w:rFonts w:ascii="Cambria"/>
          <w:b/>
          <w:sz w:val="20"/>
        </w:rPr>
        <w:t>Í</w:t>
      </w:r>
      <w:r w:rsidRPr="00036366">
        <w:rPr>
          <w:rFonts w:ascii="Cambria"/>
          <w:b/>
          <w:sz w:val="20"/>
        </w:rPr>
        <w:t>AN enviarse por correo electr</w:t>
      </w:r>
      <w:r w:rsidRPr="00036366">
        <w:rPr>
          <w:rFonts w:ascii="Cambria"/>
          <w:b/>
          <w:sz w:val="20"/>
        </w:rPr>
        <w:t>ó</w:t>
      </w:r>
      <w:r w:rsidRPr="00036366">
        <w:rPr>
          <w:rFonts w:ascii="Cambria"/>
          <w:b/>
          <w:sz w:val="20"/>
        </w:rPr>
        <w:t xml:space="preserve">nico a </w:t>
      </w:r>
      <w:hyperlink r:id="rId7" w:history="1">
        <w:r w:rsidR="00E472CE" w:rsidRPr="00036366">
          <w:rPr>
            <w:rStyle w:val="Hyperlink"/>
            <w:rFonts w:ascii="Cambria"/>
            <w:b/>
            <w:sz w:val="20"/>
            <w:u w:val="none"/>
          </w:rPr>
          <w:t>camille.manel@iccat.int</w:t>
        </w:r>
      </w:hyperlink>
      <w:r w:rsidR="00E472CE" w:rsidRPr="00036366">
        <w:rPr>
          <w:rFonts w:ascii="Cambria"/>
          <w:b/>
          <w:sz w:val="20"/>
        </w:rPr>
        <w:t xml:space="preserve"> y </w:t>
      </w:r>
      <w:hyperlink r:id="rId8" w:history="1">
        <w:r w:rsidR="00E472CE" w:rsidRPr="00036366">
          <w:rPr>
            <w:rStyle w:val="Hyperlink"/>
            <w:rFonts w:ascii="Cambria"/>
            <w:b/>
            <w:sz w:val="20"/>
            <w:u w:val="none"/>
          </w:rPr>
          <w:t>miguel.santos@iccat.int</w:t>
        </w:r>
      </w:hyperlink>
      <w:r w:rsidR="00DB1E39" w:rsidRPr="00036366">
        <w:rPr>
          <w:rStyle w:val="Hyperlink"/>
          <w:rFonts w:ascii="Cambria"/>
          <w:b/>
          <w:color w:val="auto"/>
          <w:sz w:val="20"/>
          <w:u w:val="none"/>
        </w:rPr>
        <w:t>.</w:t>
      </w:r>
      <w:r w:rsidR="00E472CE" w:rsidRPr="00036366">
        <w:rPr>
          <w:rFonts w:ascii="Cambria"/>
          <w:b/>
          <w:sz w:val="20"/>
        </w:rPr>
        <w:t xml:space="preserve"> </w:t>
      </w:r>
    </w:p>
    <w:p w14:paraId="4E9B7F82" w14:textId="77777777" w:rsidR="00D13921" w:rsidRPr="00036366" w:rsidRDefault="00D13921">
      <w:pPr>
        <w:ind w:right="2"/>
        <w:rPr>
          <w:rFonts w:ascii="Cambria" w:eastAsia="Cambria" w:hAnsi="Cambria" w:cs="Cambria"/>
          <w:b/>
          <w:bCs/>
          <w:sz w:val="20"/>
          <w:szCs w:val="20"/>
        </w:rPr>
      </w:pPr>
    </w:p>
    <w:p w14:paraId="51259984" w14:textId="4C847E9F" w:rsidR="007A1D59" w:rsidRPr="00036366" w:rsidRDefault="00055618" w:rsidP="000F39CC">
      <w:pPr>
        <w:numPr>
          <w:ilvl w:val="0"/>
          <w:numId w:val="1"/>
        </w:numPr>
        <w:tabs>
          <w:tab w:val="left" w:pos="0"/>
          <w:tab w:val="left" w:pos="426"/>
        </w:tabs>
        <w:ind w:left="0" w:right="2" w:firstLine="0"/>
        <w:jc w:val="both"/>
        <w:rPr>
          <w:rFonts w:ascii="Cambria" w:eastAsia="Cambria" w:hAnsi="Cambria" w:cs="Cambria"/>
          <w:b/>
          <w:bCs/>
          <w:sz w:val="20"/>
          <w:szCs w:val="20"/>
        </w:rPr>
      </w:pPr>
      <w:r w:rsidRPr="00036366">
        <w:rPr>
          <w:rFonts w:ascii="Cambria"/>
          <w:b/>
          <w:sz w:val="20"/>
        </w:rPr>
        <w:t xml:space="preserve">Proyectos de </w:t>
      </w:r>
      <w:r w:rsidR="003C4830" w:rsidRPr="00036366">
        <w:rPr>
          <w:rFonts w:ascii="Cambria"/>
          <w:b/>
          <w:sz w:val="20"/>
        </w:rPr>
        <w:t xml:space="preserve">Recomendaciones </w:t>
      </w:r>
      <w:r w:rsidRPr="00036366">
        <w:rPr>
          <w:rFonts w:ascii="Cambria"/>
          <w:b/>
          <w:sz w:val="20"/>
        </w:rPr>
        <w:t xml:space="preserve">y </w:t>
      </w:r>
      <w:r w:rsidR="003C4830" w:rsidRPr="00036366">
        <w:rPr>
          <w:rFonts w:ascii="Cambria"/>
          <w:b/>
          <w:sz w:val="20"/>
        </w:rPr>
        <w:t xml:space="preserve">Resoluciones </w:t>
      </w:r>
    </w:p>
    <w:p w14:paraId="11FA843D" w14:textId="77777777" w:rsidR="003C4830" w:rsidRPr="00036366" w:rsidRDefault="003C4830" w:rsidP="003C4830">
      <w:pPr>
        <w:tabs>
          <w:tab w:val="left" w:pos="0"/>
        </w:tabs>
        <w:ind w:right="2"/>
        <w:rPr>
          <w:rFonts w:ascii="Cambria" w:eastAsia="Cambria" w:hAnsi="Cambria" w:cs="Cambria"/>
          <w:b/>
          <w:bCs/>
          <w:sz w:val="20"/>
          <w:szCs w:val="20"/>
        </w:rPr>
      </w:pPr>
    </w:p>
    <w:p w14:paraId="757A3C45" w14:textId="7FD14CAF" w:rsidR="004A495C" w:rsidRPr="00036366" w:rsidRDefault="00055618" w:rsidP="000F39CC">
      <w:pPr>
        <w:pStyle w:val="BodyText"/>
        <w:tabs>
          <w:tab w:val="left" w:pos="0"/>
        </w:tabs>
        <w:ind w:left="0" w:right="2"/>
        <w:jc w:val="both"/>
      </w:pPr>
      <w:r w:rsidRPr="00036366">
        <w:t xml:space="preserve">De conformidad con la Circular ICCAT# </w:t>
      </w:r>
      <w:r w:rsidR="00936BE8" w:rsidRPr="00036366">
        <w:t>0</w:t>
      </w:r>
      <w:r w:rsidR="008353AE" w:rsidRPr="00036366">
        <w:t>2124</w:t>
      </w:r>
      <w:r w:rsidR="00C069CB" w:rsidRPr="00036366">
        <w:t>/202</w:t>
      </w:r>
      <w:r w:rsidR="00D86D4B" w:rsidRPr="00036366">
        <w:t>5</w:t>
      </w:r>
      <w:r w:rsidR="003C4830" w:rsidRPr="00036366">
        <w:t xml:space="preserve"> del </w:t>
      </w:r>
      <w:r w:rsidR="00C069CB" w:rsidRPr="00036366">
        <w:t>1</w:t>
      </w:r>
      <w:r w:rsidR="00711644" w:rsidRPr="00036366">
        <w:t xml:space="preserve">4 de marzo </w:t>
      </w:r>
      <w:r w:rsidR="00C069CB" w:rsidRPr="00036366">
        <w:t>de 202</w:t>
      </w:r>
      <w:r w:rsidR="00D86D4B" w:rsidRPr="00036366">
        <w:t>5</w:t>
      </w:r>
      <w:r w:rsidRPr="00036366">
        <w:t xml:space="preserve">, en consulta con el presidente, se notificó a las CPC que la fecha límite para la recepción de propuestas que no dependen del asesoramiento científico es el </w:t>
      </w:r>
      <w:r w:rsidR="00711644" w:rsidRPr="00036366">
        <w:rPr>
          <w:b/>
          <w:bCs/>
        </w:rPr>
        <w:t>17</w:t>
      </w:r>
      <w:r w:rsidRPr="00036366">
        <w:rPr>
          <w:b/>
          <w:bCs/>
        </w:rPr>
        <w:t xml:space="preserve"> de octubre de </w:t>
      </w:r>
      <w:r w:rsidR="00F874DE" w:rsidRPr="00036366">
        <w:rPr>
          <w:b/>
          <w:bCs/>
        </w:rPr>
        <w:t>2025</w:t>
      </w:r>
      <w:r w:rsidRPr="00036366">
        <w:t xml:space="preserve">. </w:t>
      </w:r>
      <w:r w:rsidRPr="00036366">
        <w:rPr>
          <w:color w:val="050505"/>
        </w:rPr>
        <w:t xml:space="preserve">Las propuestas y los documentos recibidos dentro de este plazo establecido se traducirán y circularán antes de la reunión, y se les concederá prioridad en las discusiones. </w:t>
      </w:r>
      <w:r w:rsidRPr="00036366">
        <w:rPr>
          <w:b/>
          <w:bCs/>
        </w:rPr>
        <w:t>Las propuestas que se presenten fuera de este plazo no se considerarán en la reunión de 202</w:t>
      </w:r>
      <w:r w:rsidR="00F874DE" w:rsidRPr="00036366">
        <w:rPr>
          <w:b/>
          <w:bCs/>
        </w:rPr>
        <w:t>5</w:t>
      </w:r>
      <w:r w:rsidRPr="00036366">
        <w:rPr>
          <w:b/>
          <w:bCs/>
        </w:rPr>
        <w:t xml:space="preserve">, </w:t>
      </w:r>
      <w:r w:rsidRPr="00036366">
        <w:t xml:space="preserve">a no ser que el presidente lo apruebe. </w:t>
      </w:r>
    </w:p>
    <w:p w14:paraId="26C416C8" w14:textId="77777777" w:rsidR="004A495C" w:rsidRPr="00036366" w:rsidRDefault="004A495C" w:rsidP="003C4830">
      <w:pPr>
        <w:pStyle w:val="BodyText"/>
        <w:tabs>
          <w:tab w:val="left" w:pos="0"/>
        </w:tabs>
        <w:ind w:left="0" w:right="2"/>
        <w:jc w:val="both"/>
      </w:pPr>
    </w:p>
    <w:p w14:paraId="329FFCE3" w14:textId="295110BD" w:rsidR="007A1D59" w:rsidRPr="00036366" w:rsidRDefault="00055618" w:rsidP="000F39CC">
      <w:pPr>
        <w:pStyle w:val="BodyText"/>
        <w:tabs>
          <w:tab w:val="left" w:pos="0"/>
        </w:tabs>
        <w:ind w:left="0" w:right="2"/>
        <w:jc w:val="both"/>
      </w:pPr>
      <w:r w:rsidRPr="00036366">
        <w:rPr>
          <w:color w:val="050505"/>
        </w:rPr>
        <w:t xml:space="preserve">Los proyectos de propuestas que dependen del asesoramiento del SCRS deben enviarse a la Secretaría antes del </w:t>
      </w:r>
      <w:r w:rsidR="00F874DE" w:rsidRPr="00036366">
        <w:rPr>
          <w:b/>
          <w:bCs/>
          <w:color w:val="050505"/>
        </w:rPr>
        <w:t>10</w:t>
      </w:r>
      <w:r w:rsidRPr="00036366">
        <w:rPr>
          <w:b/>
          <w:bCs/>
          <w:color w:val="050505"/>
        </w:rPr>
        <w:t xml:space="preserve"> de noviembre de </w:t>
      </w:r>
      <w:r w:rsidR="00C069CB" w:rsidRPr="00036366">
        <w:rPr>
          <w:b/>
          <w:bCs/>
          <w:color w:val="050505"/>
        </w:rPr>
        <w:t>202</w:t>
      </w:r>
      <w:r w:rsidR="00F874DE" w:rsidRPr="00036366">
        <w:rPr>
          <w:b/>
          <w:bCs/>
          <w:color w:val="050505"/>
        </w:rPr>
        <w:t>5</w:t>
      </w:r>
      <w:r w:rsidRPr="00036366">
        <w:rPr>
          <w:color w:val="050505"/>
        </w:rPr>
        <w:t xml:space="preserve">, cuando sea posible. El plazo final para la recepción de propuestas es las 11:00 h del </w:t>
      </w:r>
      <w:r w:rsidR="00C1237C" w:rsidRPr="00036366">
        <w:rPr>
          <w:b/>
          <w:bCs/>
          <w:color w:val="050505"/>
        </w:rPr>
        <w:t>20</w:t>
      </w:r>
      <w:r w:rsidRPr="00036366">
        <w:rPr>
          <w:b/>
          <w:bCs/>
          <w:color w:val="050505"/>
        </w:rPr>
        <w:t xml:space="preserve"> de noviembre de </w:t>
      </w:r>
      <w:r w:rsidR="00C069CB" w:rsidRPr="00036366">
        <w:rPr>
          <w:b/>
          <w:bCs/>
          <w:color w:val="050505"/>
        </w:rPr>
        <w:t>202</w:t>
      </w:r>
      <w:r w:rsidR="00C1237C" w:rsidRPr="00036366">
        <w:rPr>
          <w:b/>
          <w:bCs/>
          <w:color w:val="050505"/>
        </w:rPr>
        <w:t>5</w:t>
      </w:r>
      <w:r w:rsidRPr="00036366">
        <w:rPr>
          <w:b/>
          <w:bCs/>
          <w:color w:val="050505"/>
        </w:rPr>
        <w:t>.</w:t>
      </w:r>
      <w:r w:rsidRPr="00036366">
        <w:rPr>
          <w:color w:val="050505"/>
        </w:rPr>
        <w:t xml:space="preserve"> Las propuestas aplazadas de la reunión de la Comisión de </w:t>
      </w:r>
      <w:r w:rsidR="00C1237C" w:rsidRPr="00036366">
        <w:rPr>
          <w:color w:val="050505"/>
        </w:rPr>
        <w:t>2024</w:t>
      </w:r>
      <w:r w:rsidRPr="00036366">
        <w:rPr>
          <w:color w:val="050505"/>
        </w:rPr>
        <w:t xml:space="preserve"> o de reuniones intersesiones de </w:t>
      </w:r>
      <w:r w:rsidR="001B01A0" w:rsidRPr="00036366">
        <w:rPr>
          <w:color w:val="050505"/>
        </w:rPr>
        <w:t>2025</w:t>
      </w:r>
      <w:r w:rsidRPr="00036366">
        <w:rPr>
          <w:color w:val="050505"/>
        </w:rPr>
        <w:t xml:space="preserve"> no se volverán a presentar a menos que sus autores las presenten de nuevo antes de la fecha límite del </w:t>
      </w:r>
      <w:r w:rsidR="00203E25">
        <w:rPr>
          <w:b/>
          <w:bCs/>
          <w:color w:val="050505"/>
        </w:rPr>
        <w:t>17</w:t>
      </w:r>
      <w:r w:rsidR="001B01A0" w:rsidRPr="00036366">
        <w:rPr>
          <w:b/>
          <w:bCs/>
          <w:color w:val="050505"/>
        </w:rPr>
        <w:t xml:space="preserve"> </w:t>
      </w:r>
      <w:r w:rsidRPr="00036366">
        <w:rPr>
          <w:b/>
          <w:bCs/>
          <w:color w:val="050505"/>
        </w:rPr>
        <w:t xml:space="preserve">de octubre de </w:t>
      </w:r>
      <w:r w:rsidR="001B01A0" w:rsidRPr="00036366">
        <w:rPr>
          <w:b/>
          <w:bCs/>
          <w:color w:val="050505"/>
        </w:rPr>
        <w:t>2025</w:t>
      </w:r>
      <w:r w:rsidR="00C069CB" w:rsidRPr="00036366">
        <w:rPr>
          <w:b/>
          <w:bCs/>
          <w:color w:val="050505"/>
        </w:rPr>
        <w:t xml:space="preserve"> </w:t>
      </w:r>
      <w:r w:rsidRPr="00036366">
        <w:rPr>
          <w:color w:val="050505"/>
        </w:rPr>
        <w:t xml:space="preserve">o que hayan sido remitidas desde una reunión intersesiones para su consideración por parte de la Comisión por el presidente del organismo subsidiario. </w:t>
      </w:r>
      <w:r w:rsidRPr="00036366">
        <w:t>Se ruega a todos lo</w:t>
      </w:r>
      <w:r w:rsidR="003C4830" w:rsidRPr="00036366">
        <w:t>s</w:t>
      </w:r>
      <w:r w:rsidRPr="00036366">
        <w:t xml:space="preserve"> autores que presenten revisiones a las propuestas ya discutidas que marquen claramente los cambios y que las envíen lo antes posible a la Secretaría para facilitar la distribución y discusión del texto revisado en los tres idiomas. Estas versiones pueden ser solicitadas a la Secretaría o descargarse del sitio web de la reunión (enlace: </w:t>
      </w:r>
      <w:hyperlink r:id="rId9" w:history="1">
        <w:r w:rsidR="00E472CE" w:rsidRPr="00036366">
          <w:rPr>
            <w:rStyle w:val="Hyperlink"/>
            <w:u w:val="none"/>
          </w:rPr>
          <w:t>WORD DOCS</w:t>
        </w:r>
      </w:hyperlink>
      <w:r w:rsidRPr="00036366">
        <w:t xml:space="preserve">) por aquellas personas autorizadas a presentar documentos (aparte del Jefe de delegación) en nombre de su delegación. </w:t>
      </w:r>
    </w:p>
    <w:p w14:paraId="167BF42C" w14:textId="77777777" w:rsidR="001C513D" w:rsidRPr="00036366" w:rsidRDefault="001C513D" w:rsidP="000F39CC">
      <w:pPr>
        <w:pStyle w:val="BodyText"/>
        <w:tabs>
          <w:tab w:val="left" w:pos="0"/>
        </w:tabs>
        <w:ind w:left="0" w:right="2"/>
        <w:jc w:val="both"/>
      </w:pPr>
    </w:p>
    <w:p w14:paraId="44D4DF5F" w14:textId="476AB671" w:rsidR="001C513D" w:rsidRPr="00036366" w:rsidRDefault="00B80244" w:rsidP="00B80244">
      <w:pPr>
        <w:pStyle w:val="BodyText"/>
        <w:tabs>
          <w:tab w:val="left" w:pos="0"/>
        </w:tabs>
        <w:ind w:left="0" w:right="2"/>
        <w:jc w:val="both"/>
      </w:pPr>
      <w:r w:rsidRPr="00036366">
        <w:t xml:space="preserve">Tras la decisión adoptada en la reunión anual de la Comisión de 2023, </w:t>
      </w:r>
      <w:r w:rsidRPr="00036366">
        <w:rPr>
          <w:b/>
          <w:bCs/>
        </w:rPr>
        <w:t xml:space="preserve">todas las nuevas propuestas deberán ir acompañadas de una portada. </w:t>
      </w:r>
      <w:r w:rsidRPr="00036366">
        <w:t xml:space="preserve">El modelo de portada está disponible </w:t>
      </w:r>
      <w:r w:rsidR="001C513D" w:rsidRPr="00036366">
        <w:t xml:space="preserve"> </w:t>
      </w:r>
      <w:hyperlink r:id="rId10" w:history="1">
        <w:r w:rsidRPr="00036366">
          <w:rPr>
            <w:rStyle w:val="Hyperlink"/>
          </w:rPr>
          <w:t>aquí</w:t>
        </w:r>
      </w:hyperlink>
      <w:r w:rsidRPr="00036366">
        <w:t xml:space="preserve">. </w:t>
      </w:r>
      <w:r w:rsidR="00BB568C" w:rsidRPr="00036366">
        <w:t>Ruego marque con una "x" la casilla correcta.</w:t>
      </w:r>
    </w:p>
    <w:p w14:paraId="05DE865A" w14:textId="77777777" w:rsidR="001C513D" w:rsidRPr="00036366" w:rsidRDefault="001C513D" w:rsidP="000F39CC">
      <w:pPr>
        <w:pStyle w:val="BodyText"/>
        <w:tabs>
          <w:tab w:val="left" w:pos="0"/>
        </w:tabs>
        <w:ind w:left="0" w:right="2"/>
        <w:jc w:val="both"/>
        <w:rPr>
          <w:spacing w:val="-1"/>
        </w:rPr>
      </w:pPr>
    </w:p>
    <w:p w14:paraId="01FDB171" w14:textId="5C9DC2EB" w:rsidR="00D13921" w:rsidRPr="00036366" w:rsidRDefault="00D13921" w:rsidP="003C4830">
      <w:pPr>
        <w:pStyle w:val="BodyText"/>
        <w:tabs>
          <w:tab w:val="left" w:pos="0"/>
        </w:tabs>
        <w:ind w:left="0" w:right="2"/>
        <w:jc w:val="both"/>
        <w:rPr>
          <w:color w:val="050505"/>
        </w:rPr>
      </w:pPr>
      <w:r w:rsidRPr="00036366">
        <w:t xml:space="preserve">Por cuestiones logísticas, antes del </w:t>
      </w:r>
      <w:r w:rsidR="00203E25">
        <w:rPr>
          <w:b/>
        </w:rPr>
        <w:t>17</w:t>
      </w:r>
      <w:r w:rsidRPr="00036366">
        <w:rPr>
          <w:b/>
        </w:rPr>
        <w:t xml:space="preserve"> de octubre de </w:t>
      </w:r>
      <w:r w:rsidR="00C069CB" w:rsidRPr="00036366">
        <w:rPr>
          <w:b/>
        </w:rPr>
        <w:t>202</w:t>
      </w:r>
      <w:r w:rsidR="003C32CE" w:rsidRPr="00036366">
        <w:rPr>
          <w:b/>
        </w:rPr>
        <w:t>5</w:t>
      </w:r>
      <w:r w:rsidRPr="00036366">
        <w:rPr>
          <w:b/>
        </w:rPr>
        <w:t xml:space="preserve">, </w:t>
      </w:r>
      <w:r w:rsidRPr="00036366">
        <w:t xml:space="preserve">las delegaciones deben proporcionar a la Secretaría el/los nombre(s) de la(s) persona(s) autorizadas a presentar propuestas y/o documentos para la reunión. Los documentos presentados, así como los cambios a documentos previamente distribuidos, deben enviarse por correo electrónico a </w:t>
      </w:r>
      <w:hyperlink r:id="rId11" w:history="1">
        <w:r w:rsidR="00AC217E" w:rsidRPr="00036366">
          <w:rPr>
            <w:rStyle w:val="Hyperlink"/>
            <w:u w:val="none"/>
          </w:rPr>
          <w:t>camille.manel@iccat.int</w:t>
        </w:r>
      </w:hyperlink>
      <w:r w:rsidRPr="00036366">
        <w:rPr>
          <w:rStyle w:val="Hyperlink"/>
          <w:color w:val="050505"/>
          <w:u w:val="none"/>
        </w:rPr>
        <w:t xml:space="preserve"> y</w:t>
      </w:r>
      <w:r w:rsidR="003C4830" w:rsidRPr="00036366">
        <w:rPr>
          <w:rStyle w:val="Hyperlink"/>
          <w:color w:val="050505"/>
          <w:u w:val="none"/>
        </w:rPr>
        <w:t xml:space="preserve"> </w:t>
      </w:r>
      <w:hyperlink r:id="rId12" w:history="1">
        <w:r w:rsidR="003C4830" w:rsidRPr="00036366">
          <w:rPr>
            <w:rStyle w:val="Hyperlink"/>
            <w:u w:val="none"/>
          </w:rPr>
          <w:t>miguel.santos@iccat.int</w:t>
        </w:r>
      </w:hyperlink>
      <w:r w:rsidRPr="00036366">
        <w:rPr>
          <w:color w:val="050505"/>
        </w:rPr>
        <w:t>.</w:t>
      </w:r>
      <w:r w:rsidR="000F39CC" w:rsidRPr="00036366">
        <w:rPr>
          <w:color w:val="050505"/>
        </w:rPr>
        <w:t xml:space="preserve"> </w:t>
      </w:r>
      <w:r w:rsidRPr="00036366">
        <w:t>No se circulará</w:t>
      </w:r>
      <w:r w:rsidR="003C32CE" w:rsidRPr="00036366">
        <w:t>/publicará</w:t>
      </w:r>
      <w:r w:rsidRPr="00036366">
        <w:t xml:space="preserve"> ningún documento que no haya seguido este trámite.</w:t>
      </w:r>
    </w:p>
    <w:p w14:paraId="7C8CEB7A" w14:textId="77777777" w:rsidR="00D13921" w:rsidRPr="00036366" w:rsidRDefault="00D13921" w:rsidP="003C4830">
      <w:pPr>
        <w:pStyle w:val="BodyText"/>
        <w:tabs>
          <w:tab w:val="left" w:pos="0"/>
        </w:tabs>
        <w:ind w:left="0" w:right="2"/>
        <w:jc w:val="both"/>
      </w:pPr>
    </w:p>
    <w:p w14:paraId="4532A6B3" w14:textId="5FAC820B" w:rsidR="00D13921" w:rsidRPr="00036366" w:rsidRDefault="00D13921" w:rsidP="003C4830">
      <w:pPr>
        <w:pStyle w:val="BodyText"/>
        <w:tabs>
          <w:tab w:val="left" w:pos="0"/>
        </w:tabs>
        <w:ind w:left="0" w:right="2"/>
        <w:jc w:val="both"/>
      </w:pPr>
      <w:r w:rsidRPr="00036366">
        <w:t xml:space="preserve">Las versiones revisadas de los documentos deberán proporcionarlas las mismas delegaciones que </w:t>
      </w:r>
      <w:r w:rsidR="00E472CE" w:rsidRPr="00036366">
        <w:t>hayan presentado los documentos originales</w:t>
      </w:r>
      <w:r w:rsidRPr="00036366">
        <w:t>. La Secretaría sólo tomará nota e incorporará los cambios que se produzcan durante la adopción final.</w:t>
      </w:r>
    </w:p>
    <w:p w14:paraId="433209DA" w14:textId="77777777" w:rsidR="00D13921" w:rsidRPr="00036366" w:rsidRDefault="00D13921" w:rsidP="003C4830">
      <w:pPr>
        <w:tabs>
          <w:tab w:val="left" w:pos="0"/>
        </w:tabs>
        <w:ind w:right="2"/>
        <w:rPr>
          <w:rFonts w:ascii="Cambria" w:eastAsia="Cambria" w:hAnsi="Cambria" w:cs="Cambria"/>
          <w:sz w:val="20"/>
          <w:szCs w:val="20"/>
        </w:rPr>
      </w:pPr>
    </w:p>
    <w:p w14:paraId="71B0CE74" w14:textId="42CFE4C2" w:rsidR="00D13921" w:rsidRPr="00036366" w:rsidRDefault="00D13921" w:rsidP="003C4830">
      <w:pPr>
        <w:pStyle w:val="BodyText"/>
        <w:tabs>
          <w:tab w:val="left" w:pos="0"/>
        </w:tabs>
        <w:ind w:left="0" w:right="2"/>
        <w:jc w:val="both"/>
      </w:pPr>
      <w:r w:rsidRPr="00036366">
        <w:t xml:space="preserve">Con objeto de facilitar el trabajo de traducción y evitar posibles errores, se ruega a las delegaciones que trabajen y marquen los cambios sobre las últimas versiones distribuidas durante la reunión, que podrán </w:t>
      </w:r>
      <w:r w:rsidR="00F33FC0" w:rsidRPr="00036366">
        <w:t>descargarse de</w:t>
      </w:r>
      <w:r w:rsidR="00BD4AE3" w:rsidRPr="00036366">
        <w:t xml:space="preserve"> </w:t>
      </w:r>
      <w:hyperlink r:id="rId13" w:history="1">
        <w:r w:rsidR="00BD4AE3" w:rsidRPr="00036366">
          <w:rPr>
            <w:rStyle w:val="Hyperlink"/>
            <w:u w:val="none"/>
          </w:rPr>
          <w:t>la página web de documentos de la reunión</w:t>
        </w:r>
      </w:hyperlink>
      <w:r w:rsidR="00825B7C" w:rsidRPr="00036366">
        <w:t xml:space="preserve"> o</w:t>
      </w:r>
      <w:r w:rsidR="00BD4AE3" w:rsidRPr="00036366">
        <w:t xml:space="preserve"> </w:t>
      </w:r>
      <w:r w:rsidRPr="00036366">
        <w:t>solicitar</w:t>
      </w:r>
      <w:r w:rsidR="00F33FC0" w:rsidRPr="00036366">
        <w:t>se</w:t>
      </w:r>
      <w:r w:rsidRPr="00036366">
        <w:t xml:space="preserve"> a la Secretaría por las personas autorizadas a presentar documentos (si no es el jefe de delegación) en nombre de su delegación.</w:t>
      </w:r>
      <w:r w:rsidRPr="00036366">
        <w:rPr>
          <w:color w:val="050505"/>
        </w:rPr>
        <w:t xml:space="preserve"> </w:t>
      </w:r>
      <w:r w:rsidR="0007771A" w:rsidRPr="00036366">
        <w:rPr>
          <w:color w:val="050505"/>
        </w:rPr>
        <w:t>Ruego</w:t>
      </w:r>
      <w:r w:rsidRPr="00036366">
        <w:rPr>
          <w:color w:val="050505"/>
        </w:rPr>
        <w:t xml:space="preserve"> </w:t>
      </w:r>
      <w:r w:rsidRPr="00036366">
        <w:rPr>
          <w:b/>
          <w:bCs/>
          <w:color w:val="050505"/>
        </w:rPr>
        <w:t>se asegure de utilizar la versión más reciente de Word al presentar cambios a documentos previamente distribuidos</w:t>
      </w:r>
      <w:r w:rsidR="0007771A" w:rsidRPr="00036366">
        <w:rPr>
          <w:color w:val="050505"/>
        </w:rPr>
        <w:t xml:space="preserve">, que pueden descargarse desde </w:t>
      </w:r>
      <w:hyperlink r:id="rId14" w:history="1">
        <w:r w:rsidR="0007771A" w:rsidRPr="00036366">
          <w:rPr>
            <w:rStyle w:val="Hyperlink"/>
            <w:u w:val="none"/>
          </w:rPr>
          <w:t>la página web de documentos de la reunión</w:t>
        </w:r>
      </w:hyperlink>
    </w:p>
    <w:p w14:paraId="25EAEBB5" w14:textId="77777777" w:rsidR="00D13921" w:rsidRPr="00036366" w:rsidRDefault="00D13921" w:rsidP="003C4830">
      <w:pPr>
        <w:tabs>
          <w:tab w:val="left" w:pos="0"/>
        </w:tabs>
        <w:ind w:right="2"/>
        <w:jc w:val="both"/>
        <w:rPr>
          <w:rFonts w:ascii="Cambria" w:eastAsia="Cambria" w:hAnsi="Cambria" w:cs="Cambria"/>
          <w:sz w:val="20"/>
          <w:szCs w:val="20"/>
        </w:rPr>
      </w:pPr>
    </w:p>
    <w:p w14:paraId="40615705" w14:textId="741CDEEF" w:rsidR="00D13921" w:rsidRPr="00036366" w:rsidRDefault="00D13921" w:rsidP="003C4830">
      <w:pPr>
        <w:tabs>
          <w:tab w:val="left" w:pos="0"/>
        </w:tabs>
        <w:ind w:right="2"/>
        <w:jc w:val="both"/>
        <w:rPr>
          <w:rFonts w:asciiTheme="majorHAnsi" w:eastAsia="Cambria" w:hAnsiTheme="majorHAnsi" w:cs="Cambria"/>
          <w:sz w:val="20"/>
          <w:szCs w:val="20"/>
        </w:rPr>
      </w:pPr>
      <w:r w:rsidRPr="00036366">
        <w:rPr>
          <w:rFonts w:asciiTheme="majorHAnsi" w:hAnsiTheme="majorHAnsi"/>
          <w:sz w:val="20"/>
          <w:szCs w:val="20"/>
        </w:rPr>
        <w:t xml:space="preserve">Además, los archivos WORD de las Recomendaciones y Resoluciones adoptadas entre </w:t>
      </w:r>
      <w:r w:rsidR="00C069CB" w:rsidRPr="00036366">
        <w:rPr>
          <w:rFonts w:asciiTheme="majorHAnsi" w:hAnsiTheme="majorHAnsi"/>
          <w:sz w:val="20"/>
          <w:szCs w:val="20"/>
        </w:rPr>
        <w:t>202</w:t>
      </w:r>
      <w:r w:rsidR="00EF6A47" w:rsidRPr="00036366">
        <w:rPr>
          <w:rFonts w:asciiTheme="majorHAnsi" w:hAnsiTheme="majorHAnsi"/>
          <w:sz w:val="20"/>
          <w:szCs w:val="20"/>
        </w:rPr>
        <w:t>1</w:t>
      </w:r>
      <w:r w:rsidRPr="00036366">
        <w:rPr>
          <w:rFonts w:asciiTheme="majorHAnsi" w:hAnsiTheme="majorHAnsi"/>
          <w:sz w:val="20"/>
          <w:szCs w:val="20"/>
        </w:rPr>
        <w:t xml:space="preserve"> y </w:t>
      </w:r>
      <w:r w:rsidR="00C069CB" w:rsidRPr="00036366">
        <w:rPr>
          <w:rFonts w:asciiTheme="majorHAnsi" w:hAnsiTheme="majorHAnsi"/>
          <w:sz w:val="20"/>
          <w:szCs w:val="20"/>
        </w:rPr>
        <w:t>202</w:t>
      </w:r>
      <w:r w:rsidR="00EF6A47" w:rsidRPr="00036366">
        <w:rPr>
          <w:rFonts w:asciiTheme="majorHAnsi" w:hAnsiTheme="majorHAnsi"/>
          <w:sz w:val="20"/>
          <w:szCs w:val="20"/>
        </w:rPr>
        <w:t>4</w:t>
      </w:r>
      <w:r w:rsidRPr="00036366">
        <w:rPr>
          <w:rFonts w:asciiTheme="majorHAnsi" w:hAnsiTheme="majorHAnsi"/>
          <w:sz w:val="20"/>
          <w:szCs w:val="20"/>
        </w:rPr>
        <w:t xml:space="preserve"> también están disponibles </w:t>
      </w:r>
      <w:r w:rsidR="00AE6105" w:rsidRPr="00036366">
        <w:rPr>
          <w:rFonts w:asciiTheme="majorHAnsi" w:hAnsiTheme="majorHAnsi"/>
          <w:sz w:val="20"/>
          <w:szCs w:val="20"/>
        </w:rPr>
        <w:t xml:space="preserve">y pueden descargarse pulsando </w:t>
      </w:r>
      <w:hyperlink r:id="rId15" w:history="1">
        <w:r w:rsidR="00AE6105" w:rsidRPr="00036366">
          <w:rPr>
            <w:rStyle w:val="Hyperlink"/>
            <w:rFonts w:asciiTheme="majorHAnsi" w:hAnsiTheme="majorHAnsi"/>
            <w:sz w:val="20"/>
            <w:szCs w:val="20"/>
            <w:u w:val="none"/>
          </w:rPr>
          <w:t>aquí</w:t>
        </w:r>
      </w:hyperlink>
      <w:r w:rsidR="00AE6105" w:rsidRPr="00036366">
        <w:rPr>
          <w:rFonts w:asciiTheme="majorHAnsi" w:hAnsiTheme="majorHAnsi"/>
          <w:sz w:val="20"/>
          <w:szCs w:val="20"/>
        </w:rPr>
        <w:t>. Ruego</w:t>
      </w:r>
      <w:r w:rsidRPr="00036366">
        <w:rPr>
          <w:rFonts w:asciiTheme="majorHAnsi" w:hAnsiTheme="majorHAnsi"/>
          <w:sz w:val="20"/>
          <w:szCs w:val="20"/>
        </w:rPr>
        <w:t xml:space="preserve"> utilicen estos archivos con la herramienta de control de cambios activada para enviar cualquier modificación a estos. También estarán disponibles otros documentos previa petición por correo electrónico a  </w:t>
      </w:r>
      <w:hyperlink r:id="rId16" w:history="1">
        <w:r w:rsidR="000F39CC" w:rsidRPr="00036366">
          <w:rPr>
            <w:rStyle w:val="Hyperlink"/>
            <w:rFonts w:asciiTheme="majorHAnsi" w:hAnsiTheme="majorHAnsi"/>
            <w:sz w:val="20"/>
            <w:szCs w:val="20"/>
            <w:u w:val="none"/>
          </w:rPr>
          <w:t>miguel.santos@iccat.int</w:t>
        </w:r>
      </w:hyperlink>
      <w:r w:rsidRPr="00036366">
        <w:rPr>
          <w:rStyle w:val="Hyperlink"/>
          <w:rFonts w:asciiTheme="majorHAnsi" w:hAnsiTheme="majorHAnsi"/>
          <w:color w:val="0000FF"/>
          <w:sz w:val="20"/>
          <w:szCs w:val="20"/>
          <w:u w:val="none"/>
        </w:rPr>
        <w:t xml:space="preserve"> </w:t>
      </w:r>
      <w:r w:rsidRPr="00036366">
        <w:rPr>
          <w:rFonts w:asciiTheme="majorHAnsi" w:hAnsiTheme="majorHAnsi"/>
          <w:sz w:val="20"/>
          <w:szCs w:val="20"/>
        </w:rPr>
        <w:t>y</w:t>
      </w:r>
      <w:r w:rsidR="003C4830" w:rsidRPr="00036366">
        <w:rPr>
          <w:rFonts w:asciiTheme="majorHAnsi" w:hAnsiTheme="majorHAnsi"/>
          <w:sz w:val="20"/>
          <w:szCs w:val="20"/>
        </w:rPr>
        <w:t xml:space="preserve"> </w:t>
      </w:r>
      <w:hyperlink r:id="rId17" w:history="1">
        <w:r w:rsidR="00C069CB" w:rsidRPr="00036366">
          <w:rPr>
            <w:rStyle w:val="Hyperlink"/>
            <w:rFonts w:asciiTheme="majorHAnsi" w:hAnsiTheme="majorHAnsi"/>
            <w:sz w:val="20"/>
            <w:szCs w:val="20"/>
            <w:u w:val="none"/>
          </w:rPr>
          <w:t>marisa.deandres@iccat.int</w:t>
        </w:r>
      </w:hyperlink>
      <w:r w:rsidRPr="00036366">
        <w:rPr>
          <w:rFonts w:asciiTheme="majorHAnsi" w:hAnsiTheme="majorHAnsi"/>
          <w:sz w:val="20"/>
          <w:szCs w:val="20"/>
        </w:rPr>
        <w:t>.</w:t>
      </w:r>
    </w:p>
    <w:p w14:paraId="5D471216" w14:textId="68CE228E" w:rsidR="00D13921" w:rsidRPr="00036366" w:rsidRDefault="00D13921" w:rsidP="003C4830">
      <w:pPr>
        <w:pStyle w:val="BodyText"/>
        <w:tabs>
          <w:tab w:val="left" w:pos="0"/>
        </w:tabs>
        <w:ind w:left="0" w:right="2"/>
        <w:jc w:val="both"/>
      </w:pPr>
    </w:p>
    <w:p w14:paraId="2899A117" w14:textId="77777777" w:rsidR="007A1D59" w:rsidRPr="00036366" w:rsidRDefault="00055618" w:rsidP="00EF70B8">
      <w:pPr>
        <w:pStyle w:val="Heading1"/>
        <w:numPr>
          <w:ilvl w:val="0"/>
          <w:numId w:val="1"/>
        </w:numPr>
        <w:tabs>
          <w:tab w:val="left" w:pos="0"/>
          <w:tab w:val="left" w:pos="426"/>
        </w:tabs>
        <w:ind w:left="0" w:right="2" w:firstLine="0"/>
        <w:jc w:val="both"/>
        <w:rPr>
          <w:b w:val="0"/>
          <w:bCs w:val="0"/>
        </w:rPr>
      </w:pPr>
      <w:r w:rsidRPr="00036366">
        <w:t>Cambios a las tablas de cumplimiento</w:t>
      </w:r>
    </w:p>
    <w:p w14:paraId="28C5A874" w14:textId="77777777" w:rsidR="007A1D59" w:rsidRPr="00036366" w:rsidRDefault="007A1D59" w:rsidP="003C4830">
      <w:pPr>
        <w:tabs>
          <w:tab w:val="left" w:pos="0"/>
        </w:tabs>
        <w:ind w:right="2"/>
        <w:rPr>
          <w:rFonts w:ascii="Cambria" w:eastAsia="Cambria" w:hAnsi="Cambria" w:cs="Cambria"/>
          <w:b/>
          <w:bCs/>
          <w:sz w:val="20"/>
          <w:szCs w:val="20"/>
        </w:rPr>
      </w:pPr>
    </w:p>
    <w:p w14:paraId="41DC2D5A" w14:textId="652D6F15" w:rsidR="007A1D59" w:rsidRPr="00036366" w:rsidRDefault="00DB30B3" w:rsidP="003C4830">
      <w:pPr>
        <w:pStyle w:val="BodyText"/>
        <w:tabs>
          <w:tab w:val="left" w:pos="0"/>
        </w:tabs>
        <w:ind w:left="0" w:right="2"/>
        <w:jc w:val="both"/>
      </w:pPr>
      <w:r w:rsidRPr="00036366">
        <w:t xml:space="preserve">El proyecto de tablas de cumplimiento (también conocido como Anexo de cumplimiento) </w:t>
      </w:r>
      <w:r w:rsidR="00F33FC0" w:rsidRPr="00036366">
        <w:t xml:space="preserve">se circuló para su revisión previa y </w:t>
      </w:r>
      <w:r w:rsidRPr="00036366">
        <w:t xml:space="preserve">estará disponible en el sitio web de la reunión antes de la reunión. Se ruega a todas las CPC </w:t>
      </w:r>
      <w:r w:rsidRPr="00036366">
        <w:lastRenderedPageBreak/>
        <w:t>que revisen de nuevo en detalle las cifras de dichas tablas y que informe</w:t>
      </w:r>
      <w:r w:rsidR="003C4830" w:rsidRPr="00036366">
        <w:t>n</w:t>
      </w:r>
      <w:r w:rsidRPr="00036366">
        <w:t xml:space="preserve"> a la Secretaría, </w:t>
      </w:r>
      <w:r w:rsidRPr="00036366">
        <w:rPr>
          <w:b/>
          <w:bCs/>
        </w:rPr>
        <w:t>antes del inicio de la reunión Comité de cumplimiento</w:t>
      </w:r>
      <w:r w:rsidRPr="00036366">
        <w:t>, de cualquier cambio que deseen solicitar. Cualquier cambio adicional será aceptado por la Secretaría después del inicio de la reunión a discreción del presidente del Comité de Cumplimiento.</w:t>
      </w:r>
    </w:p>
    <w:p w14:paraId="43BE43F9" w14:textId="77777777" w:rsidR="00BF6E84" w:rsidRPr="00036366" w:rsidRDefault="00BF6E84" w:rsidP="003C4830">
      <w:pPr>
        <w:tabs>
          <w:tab w:val="left" w:pos="0"/>
        </w:tabs>
        <w:ind w:right="2"/>
        <w:jc w:val="both"/>
        <w:rPr>
          <w:rFonts w:ascii="Cambria" w:eastAsia="Cambria" w:hAnsi="Cambria" w:cs="Cambria"/>
          <w:sz w:val="20"/>
          <w:szCs w:val="20"/>
        </w:rPr>
      </w:pPr>
    </w:p>
    <w:p w14:paraId="754282CB" w14:textId="77777777" w:rsidR="00BF6E84" w:rsidRPr="00036366" w:rsidRDefault="00BF6E84" w:rsidP="003C4830">
      <w:pPr>
        <w:tabs>
          <w:tab w:val="left" w:pos="0"/>
        </w:tabs>
        <w:spacing w:before="1"/>
        <w:ind w:right="2"/>
        <w:jc w:val="both"/>
        <w:rPr>
          <w:rFonts w:ascii="Cambria" w:eastAsia="Cambria" w:hAnsi="Cambria" w:cs="Cambria"/>
          <w:sz w:val="20"/>
          <w:szCs w:val="20"/>
        </w:rPr>
      </w:pPr>
    </w:p>
    <w:p w14:paraId="13A08FB3" w14:textId="77777777" w:rsidR="00BF6E84" w:rsidRPr="00036366" w:rsidRDefault="00BF6E84" w:rsidP="00EF70B8">
      <w:pPr>
        <w:pStyle w:val="Heading1"/>
        <w:numPr>
          <w:ilvl w:val="0"/>
          <w:numId w:val="1"/>
        </w:numPr>
        <w:tabs>
          <w:tab w:val="left" w:pos="0"/>
          <w:tab w:val="left" w:pos="426"/>
        </w:tabs>
        <w:ind w:left="0" w:right="2" w:firstLine="0"/>
        <w:jc w:val="both"/>
        <w:rPr>
          <w:b w:val="0"/>
          <w:bCs w:val="0"/>
        </w:rPr>
      </w:pPr>
      <w:r w:rsidRPr="00036366">
        <w:t>Presentaciones de cumplimiento</w:t>
      </w:r>
    </w:p>
    <w:p w14:paraId="11B57383" w14:textId="77777777" w:rsidR="00BF6E84" w:rsidRPr="00036366" w:rsidRDefault="00BF6E84" w:rsidP="003C4830">
      <w:pPr>
        <w:tabs>
          <w:tab w:val="left" w:pos="0"/>
        </w:tabs>
        <w:spacing w:before="11"/>
        <w:ind w:right="2"/>
        <w:jc w:val="both"/>
        <w:rPr>
          <w:rFonts w:ascii="Cambria" w:eastAsia="Cambria" w:hAnsi="Cambria" w:cs="Cambria"/>
          <w:b/>
          <w:bCs/>
          <w:sz w:val="20"/>
          <w:szCs w:val="20"/>
        </w:rPr>
      </w:pPr>
    </w:p>
    <w:p w14:paraId="5B8FF584" w14:textId="6FF72480" w:rsidR="00BF6E84" w:rsidRPr="00036366" w:rsidRDefault="00BF6E84" w:rsidP="003C4830">
      <w:pPr>
        <w:tabs>
          <w:tab w:val="left" w:pos="0"/>
        </w:tabs>
        <w:ind w:right="2"/>
        <w:jc w:val="both"/>
        <w:rPr>
          <w:rFonts w:asciiTheme="majorHAnsi" w:hAnsiTheme="majorHAnsi"/>
          <w:spacing w:val="-1"/>
          <w:sz w:val="20"/>
          <w:szCs w:val="20"/>
        </w:rPr>
      </w:pPr>
      <w:r w:rsidRPr="00036366">
        <w:rPr>
          <w:rFonts w:asciiTheme="majorHAnsi" w:hAnsiTheme="majorHAnsi"/>
          <w:sz w:val="20"/>
          <w:szCs w:val="20"/>
        </w:rPr>
        <w:t xml:space="preserve">Antes de finales de octubre se circulará un primer borrador de las tablas resumen de cumplimiento; la Secretaría hará todo lo posible para circular estas tablas tres semanas antes de la </w:t>
      </w:r>
      <w:r w:rsidR="003C4830" w:rsidRPr="00036366">
        <w:rPr>
          <w:rFonts w:asciiTheme="majorHAnsi" w:hAnsiTheme="majorHAnsi"/>
          <w:sz w:val="20"/>
          <w:szCs w:val="20"/>
        </w:rPr>
        <w:t>reunión, a</w:t>
      </w:r>
      <w:r w:rsidRPr="00036366">
        <w:rPr>
          <w:rFonts w:asciiTheme="majorHAnsi" w:hAnsiTheme="majorHAnsi"/>
          <w:sz w:val="20"/>
          <w:szCs w:val="20"/>
        </w:rPr>
        <w:t xml:space="preserve"> saber, </w:t>
      </w:r>
      <w:r w:rsidR="00F33FC0" w:rsidRPr="00036366">
        <w:rPr>
          <w:rFonts w:asciiTheme="majorHAnsi" w:hAnsiTheme="majorHAnsi"/>
          <w:sz w:val="20"/>
          <w:szCs w:val="20"/>
        </w:rPr>
        <w:t>antes d</w:t>
      </w:r>
      <w:r w:rsidRPr="00036366">
        <w:rPr>
          <w:rFonts w:asciiTheme="majorHAnsi" w:hAnsiTheme="majorHAnsi"/>
          <w:sz w:val="20"/>
          <w:szCs w:val="20"/>
        </w:rPr>
        <w:t xml:space="preserve">el </w:t>
      </w:r>
      <w:r w:rsidR="00747698" w:rsidRPr="00036366">
        <w:rPr>
          <w:rFonts w:asciiTheme="majorHAnsi" w:hAnsiTheme="majorHAnsi"/>
          <w:b/>
          <w:bCs/>
          <w:sz w:val="20"/>
          <w:szCs w:val="20"/>
        </w:rPr>
        <w:t>25</w:t>
      </w:r>
      <w:r w:rsidRPr="00036366">
        <w:rPr>
          <w:rFonts w:asciiTheme="majorHAnsi" w:hAnsiTheme="majorHAnsi"/>
          <w:b/>
          <w:bCs/>
          <w:sz w:val="20"/>
          <w:szCs w:val="20"/>
        </w:rPr>
        <w:t xml:space="preserve"> de octubre</w:t>
      </w:r>
      <w:r w:rsidR="00F33FC0" w:rsidRPr="00036366">
        <w:rPr>
          <w:rFonts w:asciiTheme="majorHAnsi" w:hAnsiTheme="majorHAnsi"/>
          <w:b/>
          <w:bCs/>
          <w:sz w:val="20"/>
          <w:szCs w:val="20"/>
        </w:rPr>
        <w:t xml:space="preserve"> de 202</w:t>
      </w:r>
      <w:r w:rsidR="00747698" w:rsidRPr="00036366">
        <w:rPr>
          <w:rFonts w:asciiTheme="majorHAnsi" w:hAnsiTheme="majorHAnsi"/>
          <w:b/>
          <w:bCs/>
          <w:sz w:val="20"/>
          <w:szCs w:val="20"/>
        </w:rPr>
        <w:t>5</w:t>
      </w:r>
      <w:r w:rsidRPr="00036366">
        <w:rPr>
          <w:rFonts w:asciiTheme="majorHAnsi" w:hAnsiTheme="majorHAnsi"/>
          <w:sz w:val="20"/>
          <w:szCs w:val="20"/>
        </w:rPr>
        <w:t xml:space="preserve">. Las presentaciones tardías de cumplimiento deberán realizarse a través de los canales habituales </w:t>
      </w:r>
      <w:r w:rsidR="00AC217E" w:rsidRPr="00036366">
        <w:rPr>
          <w:rFonts w:asciiTheme="majorHAnsi" w:hAnsiTheme="majorHAnsi"/>
          <w:sz w:val="20"/>
          <w:szCs w:val="20"/>
        </w:rPr>
        <w:t>(</w:t>
      </w:r>
      <w:hyperlink r:id="rId18">
        <w:r w:rsidR="00AC217E" w:rsidRPr="00036366">
          <w:rPr>
            <w:rStyle w:val="Hyperlink"/>
            <w:rFonts w:asciiTheme="majorHAnsi" w:hAnsiTheme="majorHAnsi"/>
            <w:sz w:val="20"/>
            <w:szCs w:val="20"/>
            <w:u w:val="none"/>
          </w:rPr>
          <w:t>info@iccat.int</w:t>
        </w:r>
      </w:hyperlink>
      <w:r w:rsidR="00AC217E" w:rsidRPr="00036366">
        <w:rPr>
          <w:rFonts w:asciiTheme="majorHAnsi" w:hAnsiTheme="majorHAnsi"/>
          <w:sz w:val="20"/>
          <w:szCs w:val="20"/>
        </w:rPr>
        <w:t xml:space="preserve">). </w:t>
      </w:r>
      <w:r w:rsidRPr="00036366">
        <w:rPr>
          <w:rFonts w:asciiTheme="majorHAnsi" w:hAnsiTheme="majorHAnsi"/>
          <w:sz w:val="20"/>
          <w:szCs w:val="20"/>
        </w:rPr>
        <w:t xml:space="preserve">Los envíos de explicaciones, información adicional o correcciones debidas a inexactitudes documentadas que se reciban antes del </w:t>
      </w:r>
      <w:r w:rsidR="00B30898" w:rsidRPr="00036366">
        <w:rPr>
          <w:rFonts w:asciiTheme="majorHAnsi" w:hAnsiTheme="majorHAnsi"/>
          <w:b/>
          <w:bCs/>
          <w:sz w:val="20"/>
          <w:szCs w:val="20"/>
        </w:rPr>
        <w:t>10</w:t>
      </w:r>
      <w:r w:rsidRPr="00036366">
        <w:rPr>
          <w:rFonts w:asciiTheme="majorHAnsi" w:hAnsiTheme="majorHAnsi"/>
          <w:b/>
          <w:bCs/>
          <w:sz w:val="20"/>
          <w:szCs w:val="20"/>
        </w:rPr>
        <w:t xml:space="preserve"> de noviembre de </w:t>
      </w:r>
      <w:r w:rsidR="00C069CB" w:rsidRPr="00036366">
        <w:rPr>
          <w:rFonts w:asciiTheme="majorHAnsi" w:hAnsiTheme="majorHAnsi"/>
          <w:b/>
          <w:bCs/>
          <w:sz w:val="20"/>
          <w:szCs w:val="20"/>
        </w:rPr>
        <w:t>202</w:t>
      </w:r>
      <w:r w:rsidR="00B30898" w:rsidRPr="00036366">
        <w:rPr>
          <w:rFonts w:asciiTheme="majorHAnsi" w:hAnsiTheme="majorHAnsi"/>
          <w:b/>
          <w:bCs/>
          <w:sz w:val="20"/>
          <w:szCs w:val="20"/>
        </w:rPr>
        <w:t>5</w:t>
      </w:r>
      <w:r w:rsidR="00C069CB" w:rsidRPr="00036366">
        <w:rPr>
          <w:rFonts w:asciiTheme="majorHAnsi" w:hAnsiTheme="majorHAnsi"/>
          <w:b/>
          <w:bCs/>
          <w:sz w:val="20"/>
          <w:szCs w:val="20"/>
        </w:rPr>
        <w:t xml:space="preserve"> </w:t>
      </w:r>
      <w:r w:rsidRPr="00036366">
        <w:rPr>
          <w:rFonts w:asciiTheme="majorHAnsi" w:hAnsiTheme="majorHAnsi"/>
          <w:sz w:val="20"/>
          <w:szCs w:val="20"/>
        </w:rPr>
        <w:t>se añadirán a las tablas de resumen de cumplimiento revisadas (versión A). La aceptación y la inclusión de la información que se comunique después de dicha fecha quedará a discreción del presidente del Comité de cumplimiento, aunque podrán incluirse las explicaciones dadas durante la reunión</w:t>
      </w:r>
      <w:r w:rsidR="000E70A7" w:rsidRPr="00036366">
        <w:rPr>
          <w:rFonts w:asciiTheme="majorHAnsi" w:hAnsiTheme="majorHAnsi"/>
          <w:sz w:val="20"/>
          <w:szCs w:val="20"/>
        </w:rPr>
        <w:t>. S</w:t>
      </w:r>
      <w:r w:rsidRPr="00036366">
        <w:rPr>
          <w:rFonts w:asciiTheme="majorHAnsi" w:hAnsiTheme="majorHAnsi"/>
          <w:sz w:val="20"/>
          <w:szCs w:val="20"/>
        </w:rPr>
        <w:t xml:space="preserve">i </w:t>
      </w:r>
      <w:r w:rsidR="003C4830" w:rsidRPr="00036366">
        <w:rPr>
          <w:rFonts w:asciiTheme="majorHAnsi" w:hAnsiTheme="majorHAnsi"/>
          <w:sz w:val="20"/>
          <w:szCs w:val="20"/>
        </w:rPr>
        <w:t>alguna</w:t>
      </w:r>
      <w:r w:rsidRPr="00036366">
        <w:rPr>
          <w:rFonts w:asciiTheme="majorHAnsi" w:hAnsiTheme="majorHAnsi"/>
          <w:sz w:val="20"/>
          <w:szCs w:val="20"/>
        </w:rPr>
        <w:t xml:space="preserve"> CPC tiene alguna pregunta para otras CPC en relación con el primer resumen</w:t>
      </w:r>
      <w:r w:rsidR="000E70A7" w:rsidRPr="00036366">
        <w:rPr>
          <w:rFonts w:asciiTheme="majorHAnsi" w:hAnsiTheme="majorHAnsi"/>
          <w:sz w:val="20"/>
          <w:szCs w:val="20"/>
        </w:rPr>
        <w:t>,</w:t>
      </w:r>
      <w:r w:rsidRPr="00036366">
        <w:rPr>
          <w:rFonts w:asciiTheme="majorHAnsi" w:hAnsiTheme="majorHAnsi"/>
          <w:sz w:val="20"/>
          <w:szCs w:val="20"/>
        </w:rPr>
        <w:t xml:space="preserve"> éstas también deberán presentarse lo antes posible tras la recepción del primer borrador para que los afectados puedan preparar una respuesta con antelación. </w:t>
      </w:r>
    </w:p>
    <w:p w14:paraId="322A50F8" w14:textId="4CB4ED12" w:rsidR="007A1D59" w:rsidRPr="00036366" w:rsidRDefault="00BF6E84" w:rsidP="003C4830">
      <w:pPr>
        <w:tabs>
          <w:tab w:val="left" w:pos="0"/>
        </w:tabs>
        <w:ind w:right="2"/>
        <w:jc w:val="both"/>
        <w:rPr>
          <w:rFonts w:ascii="Cambria" w:hAnsi="Cambria"/>
          <w:spacing w:val="-1"/>
        </w:rPr>
      </w:pPr>
      <w:r w:rsidRPr="00036366">
        <w:rPr>
          <w:rFonts w:ascii="Cambria" w:hAnsi="Cambria"/>
        </w:rPr>
        <w:t xml:space="preserve"> </w:t>
      </w:r>
    </w:p>
    <w:p w14:paraId="53F79B1D" w14:textId="77777777" w:rsidR="00BF6E84" w:rsidRPr="00036366" w:rsidRDefault="00BF6E84" w:rsidP="003C4830">
      <w:pPr>
        <w:tabs>
          <w:tab w:val="left" w:pos="0"/>
        </w:tabs>
        <w:ind w:right="2"/>
        <w:jc w:val="both"/>
        <w:rPr>
          <w:rFonts w:ascii="Cambria" w:eastAsia="Cambria" w:hAnsi="Cambria" w:cs="Cambria"/>
          <w:sz w:val="20"/>
          <w:szCs w:val="20"/>
        </w:rPr>
      </w:pPr>
    </w:p>
    <w:p w14:paraId="1C710A45" w14:textId="77777777" w:rsidR="007A1D59" w:rsidRPr="00036366" w:rsidRDefault="00055618" w:rsidP="00EF70B8">
      <w:pPr>
        <w:pStyle w:val="Heading1"/>
        <w:numPr>
          <w:ilvl w:val="0"/>
          <w:numId w:val="1"/>
        </w:numPr>
        <w:tabs>
          <w:tab w:val="left" w:pos="0"/>
          <w:tab w:val="left" w:pos="426"/>
        </w:tabs>
        <w:ind w:left="0" w:right="2" w:firstLine="0"/>
        <w:jc w:val="both"/>
        <w:rPr>
          <w:b w:val="0"/>
          <w:bCs w:val="0"/>
        </w:rPr>
      </w:pPr>
      <w:r w:rsidRPr="00036366">
        <w:t>Declaraciones</w:t>
      </w:r>
    </w:p>
    <w:p w14:paraId="37A3BA2E" w14:textId="77777777" w:rsidR="007A1D59" w:rsidRPr="00036366" w:rsidRDefault="007A1D59" w:rsidP="003C4830">
      <w:pPr>
        <w:tabs>
          <w:tab w:val="left" w:pos="0"/>
        </w:tabs>
        <w:ind w:right="2"/>
        <w:rPr>
          <w:rFonts w:ascii="Cambria" w:eastAsia="Cambria" w:hAnsi="Cambria" w:cs="Cambria"/>
          <w:b/>
          <w:bCs/>
          <w:sz w:val="20"/>
          <w:szCs w:val="20"/>
        </w:rPr>
      </w:pPr>
    </w:p>
    <w:p w14:paraId="1E65D546" w14:textId="4D9EEBEE" w:rsidR="00795BFC" w:rsidRPr="00036366" w:rsidRDefault="00055618" w:rsidP="00A215A6">
      <w:pPr>
        <w:pStyle w:val="BodyText"/>
        <w:tabs>
          <w:tab w:val="left" w:pos="0"/>
        </w:tabs>
        <w:ind w:left="0" w:right="2"/>
        <w:jc w:val="both"/>
        <w:rPr>
          <w:spacing w:val="14"/>
        </w:rPr>
      </w:pPr>
      <w:r w:rsidRPr="00036366">
        <w:t>Todas las CPC y las delegaciones de observadores podrán presentar declaraciones escritas a las sesiones plenarias y/o a los organismos subsidiarios de la Comisión. Las declaraciones deberán ser breves y limitarse a una declaración por delegación por organismo subsidiario, y deben ir claramente marcadas como DECLARACIÓN. Una declaración coauspiciada cuenta como una declaración proporcionada por cada una de las delegaciones auspiciadoras.</w:t>
      </w:r>
    </w:p>
    <w:p w14:paraId="0E67C693" w14:textId="77777777" w:rsidR="00795BFC" w:rsidRPr="00036366" w:rsidRDefault="00795BFC" w:rsidP="00A215A6">
      <w:pPr>
        <w:pStyle w:val="BodyText"/>
        <w:tabs>
          <w:tab w:val="left" w:pos="0"/>
        </w:tabs>
        <w:ind w:left="0" w:right="2"/>
        <w:jc w:val="both"/>
        <w:rPr>
          <w:spacing w:val="14"/>
        </w:rPr>
      </w:pPr>
    </w:p>
    <w:p w14:paraId="1F2A4AA2" w14:textId="15546537" w:rsidR="007A1D59" w:rsidRPr="00036366" w:rsidRDefault="00795BFC" w:rsidP="003C4830">
      <w:pPr>
        <w:pStyle w:val="BodyText"/>
        <w:tabs>
          <w:tab w:val="left" w:pos="0"/>
        </w:tabs>
        <w:ind w:left="0" w:right="2"/>
        <w:jc w:val="both"/>
      </w:pPr>
      <w:r w:rsidRPr="00036366">
        <w:t xml:space="preserve">Le informamos de que existe un </w:t>
      </w:r>
      <w:r w:rsidRPr="00036366">
        <w:rPr>
          <w:b/>
          <w:bCs/>
        </w:rPr>
        <w:t>límite de 450 palabras para las declaraciones presentadas que vayan a ser traducidas</w:t>
      </w:r>
      <w:r w:rsidRPr="00036366">
        <w:t xml:space="preserve"> y posteriormente publicadas en las actas de la Comisión. Si se presentan declaraciones más extensas y quieren que éstas se publiquen en el informe se tendrán que presentar simultáneamente en los tres idiomas oficiales de ICCAT. </w:t>
      </w:r>
      <w:r w:rsidR="00E56D25" w:rsidRPr="00036366">
        <w:t>Solo se podrá presentar una declaración</w:t>
      </w:r>
      <w:r w:rsidR="003E5852" w:rsidRPr="00036366">
        <w:t xml:space="preserve"> a las sesiones </w:t>
      </w:r>
      <w:r w:rsidR="00E72A72" w:rsidRPr="00036366">
        <w:t>plenarias</w:t>
      </w:r>
      <w:r w:rsidR="003E5852" w:rsidRPr="00036366">
        <w:t xml:space="preserve"> y </w:t>
      </w:r>
      <w:r w:rsidR="00E56D25" w:rsidRPr="00036366">
        <w:t>a</w:t>
      </w:r>
      <w:r w:rsidR="003E5852" w:rsidRPr="00036366">
        <w:t xml:space="preserve"> cada órgano subsidiario de la Comisión. </w:t>
      </w:r>
      <w:r w:rsidRPr="00036366">
        <w:t xml:space="preserve">Podría limitarse la publicación del número de </w:t>
      </w:r>
      <w:r w:rsidR="000E70A7" w:rsidRPr="00036366">
        <w:t>declaraciones presentadas</w:t>
      </w:r>
      <w:r w:rsidRPr="00036366">
        <w:t xml:space="preserve"> por cada delegación de observadores en el Informe bienal de la Comisión.</w:t>
      </w:r>
    </w:p>
    <w:p w14:paraId="347DED1D" w14:textId="1CB0C019" w:rsidR="007A1D59" w:rsidRPr="00036366" w:rsidRDefault="007A1D59" w:rsidP="003C4830">
      <w:pPr>
        <w:tabs>
          <w:tab w:val="left" w:pos="0"/>
        </w:tabs>
        <w:ind w:right="2"/>
        <w:rPr>
          <w:rFonts w:ascii="Cambria" w:eastAsia="Cambria" w:hAnsi="Cambria" w:cs="Cambria"/>
          <w:sz w:val="20"/>
          <w:szCs w:val="20"/>
        </w:rPr>
      </w:pPr>
    </w:p>
    <w:p w14:paraId="48EEE2DB" w14:textId="6CDDCC50" w:rsidR="00D13921" w:rsidRPr="00036366" w:rsidRDefault="00795BFC" w:rsidP="003C4830">
      <w:pPr>
        <w:pStyle w:val="BodyText"/>
        <w:tabs>
          <w:tab w:val="left" w:pos="0"/>
        </w:tabs>
        <w:ind w:left="0" w:right="2"/>
        <w:jc w:val="both"/>
      </w:pPr>
      <w:r w:rsidRPr="00036366">
        <w:t>En recientes reuniones de la Comisión algunos observadores han presentado textos cuyo formato y estructura distaban de lo que podía considerarse una declaración. Se recuerda que existen otros cauces de presentación de este tipo de información</w:t>
      </w:r>
      <w:r w:rsidR="000E70A7" w:rsidRPr="00036366">
        <w:t>,</w:t>
      </w:r>
      <w:r w:rsidRPr="00036366">
        <w:t xml:space="preserve"> y se anima a las delegaciones a que ajusten el contenido a un formato de declaración. Los observadores que quieran presentar declaraciones escritas deben hacerlo a través de la Secretaría de ICCAT. Las declaraciones con un contenido inapropiado podrían no aceptarse para su distribución. </w:t>
      </w:r>
    </w:p>
    <w:p w14:paraId="0F81D19D" w14:textId="77777777" w:rsidR="00D13921" w:rsidRPr="00036366" w:rsidRDefault="00D13921" w:rsidP="003C4830">
      <w:pPr>
        <w:pStyle w:val="BodyText"/>
        <w:tabs>
          <w:tab w:val="left" w:pos="0"/>
        </w:tabs>
        <w:ind w:left="0" w:right="2"/>
        <w:jc w:val="both"/>
      </w:pPr>
    </w:p>
    <w:p w14:paraId="5DFE3738" w14:textId="77777777" w:rsidR="007A1D59" w:rsidRPr="00036366" w:rsidRDefault="007A1D59" w:rsidP="003C4830">
      <w:pPr>
        <w:tabs>
          <w:tab w:val="left" w:pos="0"/>
        </w:tabs>
        <w:spacing w:before="1"/>
        <w:ind w:right="2"/>
        <w:rPr>
          <w:rFonts w:ascii="Cambria" w:eastAsia="Cambria" w:hAnsi="Cambria" w:cs="Cambria"/>
          <w:sz w:val="20"/>
          <w:szCs w:val="20"/>
        </w:rPr>
      </w:pPr>
    </w:p>
    <w:p w14:paraId="7C993655" w14:textId="77777777" w:rsidR="007A1D59" w:rsidRPr="00036366" w:rsidRDefault="00055618" w:rsidP="00EF70B8">
      <w:pPr>
        <w:pStyle w:val="Heading1"/>
        <w:numPr>
          <w:ilvl w:val="0"/>
          <w:numId w:val="1"/>
        </w:numPr>
        <w:tabs>
          <w:tab w:val="left" w:pos="0"/>
          <w:tab w:val="left" w:pos="426"/>
        </w:tabs>
        <w:ind w:left="0" w:right="2" w:firstLine="0"/>
        <w:jc w:val="both"/>
        <w:rPr>
          <w:b w:val="0"/>
          <w:bCs w:val="0"/>
        </w:rPr>
      </w:pPr>
      <w:r w:rsidRPr="00036366">
        <w:t>Otros documentos de la reunión</w:t>
      </w:r>
    </w:p>
    <w:p w14:paraId="1CC656AA" w14:textId="77777777" w:rsidR="007A1D59" w:rsidRPr="00036366" w:rsidRDefault="007A1D59" w:rsidP="003C4830">
      <w:pPr>
        <w:tabs>
          <w:tab w:val="left" w:pos="0"/>
        </w:tabs>
        <w:spacing w:before="11"/>
        <w:ind w:right="2"/>
        <w:rPr>
          <w:rFonts w:ascii="Cambria" w:eastAsia="Cambria" w:hAnsi="Cambria" w:cs="Cambria"/>
          <w:b/>
          <w:bCs/>
          <w:sz w:val="19"/>
          <w:szCs w:val="19"/>
        </w:rPr>
      </w:pPr>
    </w:p>
    <w:p w14:paraId="7FF76DED" w14:textId="21ADA0C4" w:rsidR="007A1D59" w:rsidRPr="00036366" w:rsidRDefault="00055618" w:rsidP="003C4830">
      <w:pPr>
        <w:pStyle w:val="BodyText"/>
        <w:tabs>
          <w:tab w:val="left" w:pos="0"/>
        </w:tabs>
        <w:ind w:left="0" w:right="2"/>
        <w:jc w:val="both"/>
      </w:pPr>
      <w:r w:rsidRPr="00036366">
        <w:t>Las CPC o las delegaciones de observadores podrán también presentar documentos de referencia/documentos de posición en apoyo de sus declaraciones para su distribución. Dichos documentos estarán disponibles únicamente en su idioma original. Debido a la naturaleza híbrida de la reunión, todos los documentos estarán disponibles a través del sitio de documentos electrónicos.</w:t>
      </w:r>
    </w:p>
    <w:p w14:paraId="524129D0" w14:textId="77777777" w:rsidR="007A1D59" w:rsidRPr="00036366" w:rsidRDefault="007A1D59" w:rsidP="003C4830">
      <w:pPr>
        <w:tabs>
          <w:tab w:val="left" w:pos="0"/>
        </w:tabs>
        <w:spacing w:before="11"/>
        <w:ind w:right="2"/>
        <w:rPr>
          <w:rFonts w:ascii="Cambria" w:eastAsia="Cambria" w:hAnsi="Cambria" w:cs="Cambria"/>
          <w:sz w:val="19"/>
          <w:szCs w:val="19"/>
        </w:rPr>
      </w:pPr>
    </w:p>
    <w:p w14:paraId="28EDEF33" w14:textId="0A8E4B5F" w:rsidR="007A1D59" w:rsidRPr="00036366" w:rsidRDefault="002070E1" w:rsidP="003C4830">
      <w:pPr>
        <w:pStyle w:val="BodyText"/>
        <w:tabs>
          <w:tab w:val="left" w:pos="0"/>
        </w:tabs>
        <w:ind w:left="0" w:right="2"/>
        <w:jc w:val="both"/>
      </w:pPr>
      <w:r w:rsidRPr="00036366">
        <w:t xml:space="preserve">Una </w:t>
      </w:r>
      <w:r w:rsidR="00913B9D" w:rsidRPr="00036366">
        <w:t>botón</w:t>
      </w:r>
      <w:r w:rsidRPr="00036366">
        <w:t xml:space="preserve"> especial “</w:t>
      </w:r>
      <w:hyperlink r:id="rId19" w:history="1">
        <w:r w:rsidRPr="00036366">
          <w:rPr>
            <w:rStyle w:val="Hyperlink"/>
            <w:u w:val="none"/>
          </w:rPr>
          <w:t>OBSERVERS DOCS</w:t>
        </w:r>
      </w:hyperlink>
      <w:r w:rsidRPr="00036366">
        <w:t>” sustituirá a la mesa habitual puesta a disposición de las delegaciones observadoras para distribuir folletos, documentos informativos, etc. Por lo tanto, dichos documentos deberán entregarse a la Secretaría en formato electrónico.</w:t>
      </w:r>
    </w:p>
    <w:p w14:paraId="30DEBB0F" w14:textId="1571A35A" w:rsidR="004F6F38" w:rsidRPr="00036366" w:rsidRDefault="004F6F38" w:rsidP="00A215A6">
      <w:pPr>
        <w:pStyle w:val="BodyText"/>
        <w:tabs>
          <w:tab w:val="left" w:pos="0"/>
        </w:tabs>
        <w:ind w:left="0" w:right="2"/>
        <w:jc w:val="both"/>
        <w:rPr>
          <w:spacing w:val="-1"/>
        </w:rPr>
      </w:pPr>
    </w:p>
    <w:p w14:paraId="16231BC0" w14:textId="03F52A11" w:rsidR="007A1D59" w:rsidRPr="00036366" w:rsidRDefault="00055618" w:rsidP="00A215A6">
      <w:pPr>
        <w:pStyle w:val="BodyText"/>
        <w:tabs>
          <w:tab w:val="left" w:pos="0"/>
        </w:tabs>
        <w:ind w:left="0" w:right="2"/>
        <w:jc w:val="both"/>
        <w:rPr>
          <w:spacing w:val="-1"/>
        </w:rPr>
      </w:pPr>
      <w:r w:rsidRPr="00036366">
        <w:t xml:space="preserve">En el caso excepcional de que se realicen presentaciones de </w:t>
      </w:r>
      <w:proofErr w:type="spellStart"/>
      <w:r w:rsidR="00345D7C" w:rsidRPr="00036366">
        <w:t>Power</w:t>
      </w:r>
      <w:proofErr w:type="spellEnd"/>
      <w:r w:rsidR="00345D7C" w:rsidRPr="00036366">
        <w:t xml:space="preserve"> Point</w:t>
      </w:r>
      <w:r w:rsidRPr="00036366">
        <w:t>, se ruega a las CPC que proporcionen con antelación una copia electrónica a la Secretaría con el fin de proporcionar el texto a los intérpretes y a las CPC a través del sitio de documentos de la reunión.</w:t>
      </w:r>
    </w:p>
    <w:p w14:paraId="250EA9C4" w14:textId="6CC63577" w:rsidR="00A215A6" w:rsidRPr="00036366" w:rsidRDefault="00A215A6" w:rsidP="00A215A6">
      <w:pPr>
        <w:pStyle w:val="BodyText"/>
        <w:tabs>
          <w:tab w:val="left" w:pos="0"/>
        </w:tabs>
        <w:ind w:left="0" w:right="2"/>
        <w:jc w:val="both"/>
        <w:rPr>
          <w:spacing w:val="-1"/>
        </w:rPr>
      </w:pPr>
    </w:p>
    <w:p w14:paraId="0AFE14F0" w14:textId="77777777" w:rsidR="000E70A7" w:rsidRPr="00036366" w:rsidRDefault="000E70A7" w:rsidP="00A215A6">
      <w:pPr>
        <w:pStyle w:val="BodyText"/>
        <w:tabs>
          <w:tab w:val="left" w:pos="0"/>
        </w:tabs>
        <w:ind w:left="0" w:right="2"/>
        <w:jc w:val="both"/>
        <w:rPr>
          <w:spacing w:val="-1"/>
        </w:rPr>
      </w:pPr>
    </w:p>
    <w:p w14:paraId="1B0B6FEA" w14:textId="2D8DD0DD" w:rsidR="00A215A6" w:rsidRPr="00036366" w:rsidRDefault="00A215A6" w:rsidP="00EF70B8">
      <w:pPr>
        <w:pStyle w:val="Heading1"/>
        <w:numPr>
          <w:ilvl w:val="0"/>
          <w:numId w:val="1"/>
        </w:numPr>
        <w:tabs>
          <w:tab w:val="left" w:pos="0"/>
          <w:tab w:val="left" w:pos="426"/>
        </w:tabs>
        <w:ind w:left="0" w:right="2" w:firstLine="0"/>
        <w:jc w:val="both"/>
        <w:rPr>
          <w:b w:val="0"/>
          <w:bCs w:val="0"/>
        </w:rPr>
      </w:pPr>
      <w:r w:rsidRPr="00036366">
        <w:lastRenderedPageBreak/>
        <w:t>Copias en papel de los documentos</w:t>
      </w:r>
    </w:p>
    <w:p w14:paraId="20D13109" w14:textId="77777777" w:rsidR="00A215A6" w:rsidRPr="00036366" w:rsidRDefault="00A215A6" w:rsidP="00A215A6">
      <w:pPr>
        <w:pStyle w:val="BodyText"/>
        <w:tabs>
          <w:tab w:val="left" w:pos="0"/>
        </w:tabs>
        <w:ind w:left="0" w:right="2"/>
        <w:jc w:val="both"/>
        <w:rPr>
          <w:spacing w:val="-1"/>
        </w:rPr>
      </w:pPr>
    </w:p>
    <w:p w14:paraId="03E66BCD" w14:textId="5FF7D577" w:rsidR="00A215A6" w:rsidRDefault="00A215A6" w:rsidP="00AC217E">
      <w:pPr>
        <w:pStyle w:val="BodyText"/>
        <w:ind w:left="0" w:right="2"/>
        <w:jc w:val="both"/>
      </w:pPr>
      <w:r w:rsidRPr="00036366">
        <w:t xml:space="preserve">En los últimos años, en un esfuerzo por reducir los costes y el impacto medioambiental, la Secretaría ha reducido sustancialmente el número de copias impresas de los documentos de la Comisión y los pone todos a disposición para su descarga en el </w:t>
      </w:r>
      <w:hyperlink r:id="rId20" w:history="1">
        <w:r w:rsidR="00C069CB" w:rsidRPr="00036366">
          <w:rPr>
            <w:rStyle w:val="Hyperlink"/>
            <w:u w:val="none"/>
          </w:rPr>
          <w:t>p</w:t>
        </w:r>
        <w:r w:rsidRPr="00036366">
          <w:rPr>
            <w:rStyle w:val="Hyperlink"/>
            <w:u w:val="none"/>
          </w:rPr>
          <w:t xml:space="preserve">ágina web </w:t>
        </w:r>
        <w:r w:rsidR="000F054A" w:rsidRPr="00036366">
          <w:rPr>
            <w:rStyle w:val="Hyperlink"/>
            <w:u w:val="none"/>
          </w:rPr>
          <w:t xml:space="preserve">de </w:t>
        </w:r>
        <w:r w:rsidRPr="00036366">
          <w:rPr>
            <w:rStyle w:val="Hyperlink"/>
            <w:u w:val="none"/>
          </w:rPr>
          <w:t>ICCAT</w:t>
        </w:r>
      </w:hyperlink>
      <w:r w:rsidRPr="00036366">
        <w:t xml:space="preserve">. </w:t>
      </w:r>
      <w:r w:rsidR="00AC217E" w:rsidRPr="00036366">
        <w:t xml:space="preserve">En </w:t>
      </w:r>
      <w:r w:rsidR="00913B9D" w:rsidRPr="00036366">
        <w:t>2025</w:t>
      </w:r>
      <w:r w:rsidR="00AC217E" w:rsidRPr="00036366">
        <w:t xml:space="preserve"> no se proporcionarán copias impresas. Sin embargo, habrá un ordenador y una impresora disponibles en el lugar de reunión para aquellas delegaciones de las CPC que aún deseen imprimir sus propias copias impresas de los documentos. La Secretaría agradece enormemente su comprensión y cooperación para ayudar a reducir la huella de carbono de la reunión de la Comisión.</w:t>
      </w:r>
      <w:r w:rsidR="00AC217E" w:rsidRPr="00AC217E">
        <w:t xml:space="preserve"> </w:t>
      </w:r>
    </w:p>
    <w:p w14:paraId="777A8A42" w14:textId="77777777" w:rsidR="007A1D59" w:rsidRDefault="007A1D59" w:rsidP="003C4830">
      <w:pPr>
        <w:tabs>
          <w:tab w:val="left" w:pos="0"/>
        </w:tabs>
        <w:ind w:right="2"/>
        <w:rPr>
          <w:rFonts w:ascii="Cambria" w:eastAsia="Cambria" w:hAnsi="Cambria" w:cs="Cambria"/>
          <w:sz w:val="20"/>
          <w:szCs w:val="20"/>
        </w:rPr>
      </w:pPr>
    </w:p>
    <w:p w14:paraId="33170F65" w14:textId="77777777" w:rsidR="007A1D59" w:rsidRDefault="007A1D59">
      <w:pPr>
        <w:ind w:right="2"/>
        <w:rPr>
          <w:rFonts w:ascii="Cambria" w:eastAsia="Cambria" w:hAnsi="Cambria" w:cs="Cambria"/>
          <w:sz w:val="20"/>
          <w:szCs w:val="20"/>
        </w:rPr>
      </w:pPr>
    </w:p>
    <w:p w14:paraId="16B674A1" w14:textId="77777777" w:rsidR="007A1D59" w:rsidRDefault="007A1D59">
      <w:pPr>
        <w:spacing w:before="6"/>
        <w:ind w:right="2"/>
        <w:rPr>
          <w:rFonts w:ascii="Cambria" w:eastAsia="Cambria" w:hAnsi="Cambria" w:cs="Cambria"/>
          <w:sz w:val="18"/>
          <w:szCs w:val="18"/>
        </w:rPr>
      </w:pPr>
    </w:p>
    <w:p w14:paraId="70A4FD48" w14:textId="76B05D66" w:rsidR="007A1D59" w:rsidRDefault="007A1D59">
      <w:pPr>
        <w:pStyle w:val="BodyText"/>
        <w:ind w:left="2" w:right="2"/>
        <w:jc w:val="center"/>
      </w:pPr>
    </w:p>
    <w:sectPr w:rsidR="007A1D59" w:rsidSect="004157B1">
      <w:headerReference w:type="default" r:id="rId21"/>
      <w:footerReference w:type="default" r:id="rId22"/>
      <w:type w:val="continuous"/>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FE849" w14:textId="77777777" w:rsidR="0095294E" w:rsidRDefault="0095294E" w:rsidP="00835BC2">
      <w:r>
        <w:separator/>
      </w:r>
    </w:p>
  </w:endnote>
  <w:endnote w:type="continuationSeparator" w:id="0">
    <w:p w14:paraId="768CCABE" w14:textId="77777777" w:rsidR="0095294E" w:rsidRDefault="0095294E" w:rsidP="0083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516815259"/>
      <w:docPartObj>
        <w:docPartGallery w:val="Page Numbers (Bottom of Page)"/>
        <w:docPartUnique/>
      </w:docPartObj>
    </w:sdtPr>
    <w:sdtEndPr/>
    <w:sdtContent>
      <w:sdt>
        <w:sdtPr>
          <w:rPr>
            <w:rFonts w:ascii="Cambria" w:hAnsi="Cambria"/>
            <w:sz w:val="20"/>
            <w:szCs w:val="20"/>
          </w:rPr>
          <w:id w:val="1728636285"/>
          <w:docPartObj>
            <w:docPartGallery w:val="Page Numbers (Top of Page)"/>
            <w:docPartUnique/>
          </w:docPartObj>
        </w:sdtPr>
        <w:sdtEndPr/>
        <w:sdtContent>
          <w:p w14:paraId="0B13A003" w14:textId="72BC09E8" w:rsidR="005F530C" w:rsidRPr="004F6F38" w:rsidRDefault="00203E25" w:rsidP="004F6F38">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4F6F38" w:rsidRPr="00713AD4">
                  <w:rPr>
                    <w:rFonts w:ascii="Cambria" w:eastAsia="Calibri" w:hAnsi="Cambria" w:cs="Calibri"/>
                    <w:sz w:val="20"/>
                    <w:szCs w:val="20"/>
                  </w:rPr>
                  <w:fldChar w:fldCharType="begin"/>
                </w:r>
                <w:r w:rsidR="004F6F38" w:rsidRPr="00713AD4">
                  <w:rPr>
                    <w:rFonts w:ascii="Cambria" w:eastAsia="Calibri" w:hAnsi="Cambria" w:cs="Calibri"/>
                    <w:sz w:val="20"/>
                    <w:szCs w:val="20"/>
                  </w:rPr>
                  <w:instrText xml:space="preserve"> PAGE </w:instrText>
                </w:r>
                <w:r w:rsidR="004F6F38" w:rsidRPr="00713AD4">
                  <w:rPr>
                    <w:rFonts w:ascii="Cambria" w:eastAsia="Calibri" w:hAnsi="Cambria" w:cs="Calibri"/>
                    <w:sz w:val="20"/>
                    <w:szCs w:val="20"/>
                  </w:rPr>
                  <w:fldChar w:fldCharType="separate"/>
                </w:r>
                <w:r w:rsidR="004F6F38">
                  <w:rPr>
                    <w:rFonts w:ascii="Cambria" w:eastAsia="Calibri" w:hAnsi="Cambria" w:cs="Calibri"/>
                    <w:sz w:val="20"/>
                    <w:szCs w:val="20"/>
                  </w:rPr>
                  <w:t>1</w:t>
                </w:r>
                <w:r w:rsidR="004F6F38" w:rsidRPr="00713AD4">
                  <w:rPr>
                    <w:rFonts w:ascii="Cambria" w:eastAsia="Calibri" w:hAnsi="Cambria" w:cs="Calibri"/>
                    <w:sz w:val="20"/>
                    <w:szCs w:val="20"/>
                  </w:rPr>
                  <w:fldChar w:fldCharType="end"/>
                </w:r>
                <w:r w:rsidR="00600B0E">
                  <w:rPr>
                    <w:rFonts w:ascii="Cambria" w:hAnsi="Cambria"/>
                    <w:sz w:val="20"/>
                    <w:szCs w:val="20"/>
                  </w:rPr>
                  <w:t xml:space="preserve"> </w:t>
                </w:r>
                <w:r w:rsidR="00600B0E">
                  <w:t>/</w:t>
                </w:r>
                <w:r w:rsidR="00600B0E">
                  <w:rPr>
                    <w:rFonts w:ascii="Cambria" w:hAnsi="Cambria"/>
                    <w:sz w:val="20"/>
                    <w:szCs w:val="20"/>
                  </w:rPr>
                  <w:t xml:space="preserve"> </w:t>
                </w:r>
                <w:r w:rsidR="004F6F38" w:rsidRPr="00713AD4">
                  <w:rPr>
                    <w:rFonts w:ascii="Cambria" w:eastAsia="Calibri" w:hAnsi="Cambria" w:cs="Calibri"/>
                    <w:sz w:val="20"/>
                    <w:szCs w:val="20"/>
                  </w:rPr>
                  <w:fldChar w:fldCharType="begin"/>
                </w:r>
                <w:r w:rsidR="004F6F38" w:rsidRPr="00713AD4">
                  <w:rPr>
                    <w:rFonts w:ascii="Cambria" w:eastAsia="Calibri" w:hAnsi="Cambria" w:cs="Calibri"/>
                    <w:sz w:val="20"/>
                    <w:szCs w:val="20"/>
                  </w:rPr>
                  <w:instrText xml:space="preserve"> NUMPAGES  </w:instrText>
                </w:r>
                <w:r w:rsidR="004F6F38" w:rsidRPr="00713AD4">
                  <w:rPr>
                    <w:rFonts w:ascii="Cambria" w:eastAsia="Calibri" w:hAnsi="Cambria" w:cs="Calibri"/>
                    <w:sz w:val="20"/>
                    <w:szCs w:val="20"/>
                  </w:rPr>
                  <w:fldChar w:fldCharType="separate"/>
                </w:r>
                <w:r w:rsidR="004F6F38">
                  <w:rPr>
                    <w:rFonts w:ascii="Cambria" w:eastAsia="Calibri" w:hAnsi="Cambria" w:cs="Calibri"/>
                    <w:sz w:val="20"/>
                    <w:szCs w:val="20"/>
                  </w:rPr>
                  <w:t>1</w:t>
                </w:r>
                <w:r w:rsidR="004F6F38" w:rsidRPr="00713AD4">
                  <w:rPr>
                    <w:rFonts w:ascii="Cambria" w:eastAsia="Calibri" w:hAnsi="Cambria" w:cs="Calibri"/>
                    <w:sz w:val="20"/>
                    <w:szCs w:val="20"/>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76E8" w14:textId="77777777" w:rsidR="0095294E" w:rsidRDefault="0095294E" w:rsidP="00835BC2">
      <w:r>
        <w:separator/>
      </w:r>
    </w:p>
  </w:footnote>
  <w:footnote w:type="continuationSeparator" w:id="0">
    <w:p w14:paraId="547B5231" w14:textId="77777777" w:rsidR="0095294E" w:rsidRDefault="0095294E" w:rsidP="0083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9413" w14:textId="775C7819" w:rsidR="0062786B" w:rsidRPr="00793F38" w:rsidRDefault="0062786B" w:rsidP="0062786B">
    <w:pPr>
      <w:tabs>
        <w:tab w:val="center" w:pos="4680"/>
        <w:tab w:val="left" w:pos="6520"/>
        <w:tab w:val="right" w:pos="9360"/>
        <w:tab w:val="right" w:pos="14240"/>
      </w:tabs>
      <w:jc w:val="right"/>
      <w:rPr>
        <w:rFonts w:ascii="Cambria" w:eastAsia="Calibri" w:hAnsi="Cambria"/>
        <w:b/>
        <w:bCs/>
        <w:sz w:val="20"/>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Cambria" w:hAnsi="Cambria"/>
        <w:b/>
        <w:bCs/>
        <w:sz w:val="20"/>
        <w:szCs w:val="20"/>
      </w:rPr>
      <w:t>GEN_007/202</w:t>
    </w:r>
    <w:r w:rsidR="00FD4AF5">
      <w:rPr>
        <w:rFonts w:ascii="Cambria" w:hAnsi="Cambria"/>
        <w:b/>
        <w:bCs/>
        <w:sz w:val="20"/>
        <w:szCs w:val="20"/>
      </w:rPr>
      <w:t>5</w:t>
    </w:r>
  </w:p>
  <w:p w14:paraId="60645666" w14:textId="268D58B6" w:rsidR="00835BC2" w:rsidRPr="009119C1" w:rsidRDefault="0062786B" w:rsidP="009119C1">
    <w:pPr>
      <w:tabs>
        <w:tab w:val="left" w:pos="7320"/>
      </w:tabs>
      <w:spacing w:line="240" w:lineRule="exact"/>
      <w:jc w:val="right"/>
      <w:rPr>
        <w:rFonts w:ascii="Cambria" w:hAnsi="Cambria"/>
        <w:b/>
        <w:bCs/>
        <w:sz w:val="16"/>
        <w:szCs w:val="16"/>
      </w:rPr>
    </w:pPr>
    <w:r w:rsidRPr="00793F38">
      <w:rPr>
        <w:rFonts w:ascii="Cambria" w:hAnsi="Cambria"/>
        <w:b/>
        <w:bCs/>
        <w:sz w:val="16"/>
        <w:szCs w:val="16"/>
      </w:rPr>
      <w:fldChar w:fldCharType="begin"/>
    </w:r>
    <w:r w:rsidRPr="00793F38">
      <w:rPr>
        <w:rFonts w:ascii="Cambria" w:hAnsi="Cambria"/>
        <w:b/>
        <w:bCs/>
        <w:sz w:val="16"/>
        <w:szCs w:val="16"/>
      </w:rPr>
      <w:instrText xml:space="preserve"> TIME \@ "dd/MM/yyyy H:mm" </w:instrText>
    </w:r>
    <w:r w:rsidRPr="00793F38">
      <w:rPr>
        <w:rFonts w:ascii="Cambria" w:hAnsi="Cambria"/>
        <w:b/>
        <w:bCs/>
        <w:sz w:val="16"/>
        <w:szCs w:val="16"/>
      </w:rPr>
      <w:fldChar w:fldCharType="separate"/>
    </w:r>
    <w:r w:rsidR="00203E25">
      <w:rPr>
        <w:rFonts w:ascii="Cambria" w:hAnsi="Cambria"/>
        <w:b/>
        <w:bCs/>
        <w:noProof/>
        <w:sz w:val="16"/>
        <w:szCs w:val="16"/>
      </w:rPr>
      <w:t>09/10/2025 15:15</w:t>
    </w:r>
    <w:r w:rsidRPr="00793F38">
      <w:rPr>
        <w:rFonts w:ascii="Cambria" w:hAnsi="Cambria"/>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148C0"/>
    <w:multiLevelType w:val="hybridMultilevel"/>
    <w:tmpl w:val="6F44FBF4"/>
    <w:lvl w:ilvl="0" w:tplc="6C08C77C">
      <w:start w:val="1"/>
      <w:numFmt w:val="decimal"/>
      <w:lvlText w:val="%1."/>
      <w:lvlJc w:val="left"/>
      <w:pPr>
        <w:ind w:left="327" w:hanging="210"/>
        <w:jc w:val="left"/>
      </w:pPr>
      <w:rPr>
        <w:rFonts w:ascii="Cambria" w:eastAsia="Cambria" w:hAnsi="Cambria" w:hint="default"/>
        <w:b/>
        <w:bCs/>
        <w:sz w:val="20"/>
        <w:szCs w:val="20"/>
      </w:rPr>
    </w:lvl>
    <w:lvl w:ilvl="1" w:tplc="9616467A">
      <w:start w:val="1"/>
      <w:numFmt w:val="bullet"/>
      <w:lvlText w:val="•"/>
      <w:lvlJc w:val="left"/>
      <w:pPr>
        <w:ind w:left="1225" w:hanging="210"/>
      </w:pPr>
      <w:rPr>
        <w:rFonts w:hint="default"/>
      </w:rPr>
    </w:lvl>
    <w:lvl w:ilvl="2" w:tplc="265CF912">
      <w:start w:val="1"/>
      <w:numFmt w:val="bullet"/>
      <w:lvlText w:val="•"/>
      <w:lvlJc w:val="left"/>
      <w:pPr>
        <w:ind w:left="2123" w:hanging="210"/>
      </w:pPr>
      <w:rPr>
        <w:rFonts w:hint="default"/>
      </w:rPr>
    </w:lvl>
    <w:lvl w:ilvl="3" w:tplc="AC6A12A4">
      <w:start w:val="1"/>
      <w:numFmt w:val="bullet"/>
      <w:lvlText w:val="•"/>
      <w:lvlJc w:val="left"/>
      <w:pPr>
        <w:ind w:left="3021" w:hanging="210"/>
      </w:pPr>
      <w:rPr>
        <w:rFonts w:hint="default"/>
      </w:rPr>
    </w:lvl>
    <w:lvl w:ilvl="4" w:tplc="88CEAFAA">
      <w:start w:val="1"/>
      <w:numFmt w:val="bullet"/>
      <w:lvlText w:val="•"/>
      <w:lvlJc w:val="left"/>
      <w:pPr>
        <w:ind w:left="3919" w:hanging="210"/>
      </w:pPr>
      <w:rPr>
        <w:rFonts w:hint="default"/>
      </w:rPr>
    </w:lvl>
    <w:lvl w:ilvl="5" w:tplc="A8C644C2">
      <w:start w:val="1"/>
      <w:numFmt w:val="bullet"/>
      <w:lvlText w:val="•"/>
      <w:lvlJc w:val="left"/>
      <w:pPr>
        <w:ind w:left="4817" w:hanging="210"/>
      </w:pPr>
      <w:rPr>
        <w:rFonts w:hint="default"/>
      </w:rPr>
    </w:lvl>
    <w:lvl w:ilvl="6" w:tplc="1682D934">
      <w:start w:val="1"/>
      <w:numFmt w:val="bullet"/>
      <w:lvlText w:val="•"/>
      <w:lvlJc w:val="left"/>
      <w:pPr>
        <w:ind w:left="5714" w:hanging="210"/>
      </w:pPr>
      <w:rPr>
        <w:rFonts w:hint="default"/>
      </w:rPr>
    </w:lvl>
    <w:lvl w:ilvl="7" w:tplc="33628D76">
      <w:start w:val="1"/>
      <w:numFmt w:val="bullet"/>
      <w:lvlText w:val="•"/>
      <w:lvlJc w:val="left"/>
      <w:pPr>
        <w:ind w:left="6612" w:hanging="210"/>
      </w:pPr>
      <w:rPr>
        <w:rFonts w:hint="default"/>
      </w:rPr>
    </w:lvl>
    <w:lvl w:ilvl="8" w:tplc="7A3E40FE">
      <w:start w:val="1"/>
      <w:numFmt w:val="bullet"/>
      <w:lvlText w:val="•"/>
      <w:lvlJc w:val="left"/>
      <w:pPr>
        <w:ind w:left="7510" w:hanging="210"/>
      </w:pPr>
      <w:rPr>
        <w:rFonts w:hint="default"/>
      </w:rPr>
    </w:lvl>
  </w:abstractNum>
  <w:num w:numId="1" w16cid:durableId="1161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9"/>
    <w:rsid w:val="000148BF"/>
    <w:rsid w:val="00036366"/>
    <w:rsid w:val="00055618"/>
    <w:rsid w:val="00066D53"/>
    <w:rsid w:val="0007771A"/>
    <w:rsid w:val="000827AF"/>
    <w:rsid w:val="000E70A7"/>
    <w:rsid w:val="000F054A"/>
    <w:rsid w:val="000F39CC"/>
    <w:rsid w:val="00134E9D"/>
    <w:rsid w:val="00135B3A"/>
    <w:rsid w:val="00152B13"/>
    <w:rsid w:val="00166724"/>
    <w:rsid w:val="0017707E"/>
    <w:rsid w:val="001942DA"/>
    <w:rsid w:val="001A12E8"/>
    <w:rsid w:val="001A7986"/>
    <w:rsid w:val="001B01A0"/>
    <w:rsid w:val="001C513D"/>
    <w:rsid w:val="001D3C3A"/>
    <w:rsid w:val="00203E25"/>
    <w:rsid w:val="002070E1"/>
    <w:rsid w:val="002237C0"/>
    <w:rsid w:val="00231529"/>
    <w:rsid w:val="00267D5F"/>
    <w:rsid w:val="00290815"/>
    <w:rsid w:val="002C5921"/>
    <w:rsid w:val="00310398"/>
    <w:rsid w:val="0034365A"/>
    <w:rsid w:val="00343CE5"/>
    <w:rsid w:val="00345D7C"/>
    <w:rsid w:val="0036523A"/>
    <w:rsid w:val="00372233"/>
    <w:rsid w:val="00394EE1"/>
    <w:rsid w:val="003C0E45"/>
    <w:rsid w:val="003C32CE"/>
    <w:rsid w:val="003C4830"/>
    <w:rsid w:val="003E5852"/>
    <w:rsid w:val="004157B1"/>
    <w:rsid w:val="0044529B"/>
    <w:rsid w:val="00465670"/>
    <w:rsid w:val="0048097B"/>
    <w:rsid w:val="00481075"/>
    <w:rsid w:val="004A495C"/>
    <w:rsid w:val="004E061A"/>
    <w:rsid w:val="004F0EAF"/>
    <w:rsid w:val="004F6F38"/>
    <w:rsid w:val="00530085"/>
    <w:rsid w:val="00575CD6"/>
    <w:rsid w:val="005F530C"/>
    <w:rsid w:val="00600B0E"/>
    <w:rsid w:val="0062786B"/>
    <w:rsid w:val="006338E0"/>
    <w:rsid w:val="006345E1"/>
    <w:rsid w:val="00657712"/>
    <w:rsid w:val="006B338C"/>
    <w:rsid w:val="006B66E2"/>
    <w:rsid w:val="0070551E"/>
    <w:rsid w:val="00711644"/>
    <w:rsid w:val="007339CC"/>
    <w:rsid w:val="00747698"/>
    <w:rsid w:val="00750FA2"/>
    <w:rsid w:val="007619CA"/>
    <w:rsid w:val="00774697"/>
    <w:rsid w:val="00795BFC"/>
    <w:rsid w:val="007A06BB"/>
    <w:rsid w:val="007A1D59"/>
    <w:rsid w:val="007A4316"/>
    <w:rsid w:val="007B0E40"/>
    <w:rsid w:val="008104AB"/>
    <w:rsid w:val="008169F6"/>
    <w:rsid w:val="00825B7C"/>
    <w:rsid w:val="008353AE"/>
    <w:rsid w:val="00835BC2"/>
    <w:rsid w:val="00874C04"/>
    <w:rsid w:val="008864E1"/>
    <w:rsid w:val="008B0E94"/>
    <w:rsid w:val="009119C1"/>
    <w:rsid w:val="00913B9D"/>
    <w:rsid w:val="0093684D"/>
    <w:rsid w:val="00936BE8"/>
    <w:rsid w:val="00947C12"/>
    <w:rsid w:val="0095294E"/>
    <w:rsid w:val="009D1E6B"/>
    <w:rsid w:val="009D2995"/>
    <w:rsid w:val="009F61CA"/>
    <w:rsid w:val="00A215A6"/>
    <w:rsid w:val="00A334E4"/>
    <w:rsid w:val="00A34488"/>
    <w:rsid w:val="00A367BE"/>
    <w:rsid w:val="00A5296C"/>
    <w:rsid w:val="00A66148"/>
    <w:rsid w:val="00A663DA"/>
    <w:rsid w:val="00AA1302"/>
    <w:rsid w:val="00AA30AE"/>
    <w:rsid w:val="00AC217E"/>
    <w:rsid w:val="00AE6105"/>
    <w:rsid w:val="00B30898"/>
    <w:rsid w:val="00B80244"/>
    <w:rsid w:val="00BB568C"/>
    <w:rsid w:val="00BB6B8D"/>
    <w:rsid w:val="00BD24E5"/>
    <w:rsid w:val="00BD4AE3"/>
    <w:rsid w:val="00BF6E84"/>
    <w:rsid w:val="00C03AE1"/>
    <w:rsid w:val="00C069CB"/>
    <w:rsid w:val="00C1237C"/>
    <w:rsid w:val="00C24CAD"/>
    <w:rsid w:val="00C7222C"/>
    <w:rsid w:val="00CB4E16"/>
    <w:rsid w:val="00CB6C7B"/>
    <w:rsid w:val="00CD655D"/>
    <w:rsid w:val="00CE1E23"/>
    <w:rsid w:val="00CF062E"/>
    <w:rsid w:val="00CF5339"/>
    <w:rsid w:val="00D13921"/>
    <w:rsid w:val="00D635DB"/>
    <w:rsid w:val="00D86D4B"/>
    <w:rsid w:val="00DB1E39"/>
    <w:rsid w:val="00DB30B3"/>
    <w:rsid w:val="00DC6037"/>
    <w:rsid w:val="00DD5A21"/>
    <w:rsid w:val="00E04535"/>
    <w:rsid w:val="00E472CE"/>
    <w:rsid w:val="00E56D25"/>
    <w:rsid w:val="00E72A72"/>
    <w:rsid w:val="00E74803"/>
    <w:rsid w:val="00E82AA4"/>
    <w:rsid w:val="00E8309D"/>
    <w:rsid w:val="00E92C43"/>
    <w:rsid w:val="00EB587A"/>
    <w:rsid w:val="00EB5BCA"/>
    <w:rsid w:val="00EF6A47"/>
    <w:rsid w:val="00EF70B8"/>
    <w:rsid w:val="00F060A9"/>
    <w:rsid w:val="00F22D9F"/>
    <w:rsid w:val="00F33FC0"/>
    <w:rsid w:val="00F42683"/>
    <w:rsid w:val="00F56B2B"/>
    <w:rsid w:val="00F727E8"/>
    <w:rsid w:val="00F874DE"/>
    <w:rsid w:val="00FD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28" w:hanging="210"/>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mbria" w:eastAsia="Cambria" w:hAnsi="Cambr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7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86"/>
    <w:rPr>
      <w:rFonts w:ascii="Segoe UI" w:hAnsi="Segoe UI" w:cs="Segoe UI"/>
      <w:sz w:val="18"/>
      <w:szCs w:val="18"/>
    </w:rPr>
  </w:style>
  <w:style w:type="character" w:styleId="CommentReference">
    <w:name w:val="annotation reference"/>
    <w:basedOn w:val="DefaultParagraphFont"/>
    <w:uiPriority w:val="99"/>
    <w:semiHidden/>
    <w:unhideWhenUsed/>
    <w:rsid w:val="00CF062E"/>
    <w:rPr>
      <w:sz w:val="16"/>
      <w:szCs w:val="16"/>
    </w:rPr>
  </w:style>
  <w:style w:type="paragraph" w:styleId="CommentText">
    <w:name w:val="annotation text"/>
    <w:basedOn w:val="Normal"/>
    <w:link w:val="CommentTextChar"/>
    <w:uiPriority w:val="99"/>
    <w:semiHidden/>
    <w:unhideWhenUsed/>
    <w:rsid w:val="00CF062E"/>
    <w:rPr>
      <w:sz w:val="20"/>
      <w:szCs w:val="20"/>
    </w:rPr>
  </w:style>
  <w:style w:type="character" w:customStyle="1" w:styleId="CommentTextChar">
    <w:name w:val="Comment Text Char"/>
    <w:basedOn w:val="DefaultParagraphFont"/>
    <w:link w:val="CommentText"/>
    <w:uiPriority w:val="99"/>
    <w:semiHidden/>
    <w:rsid w:val="00CF062E"/>
    <w:rPr>
      <w:sz w:val="20"/>
      <w:szCs w:val="20"/>
    </w:rPr>
  </w:style>
  <w:style w:type="paragraph" w:styleId="CommentSubject">
    <w:name w:val="annotation subject"/>
    <w:basedOn w:val="CommentText"/>
    <w:next w:val="CommentText"/>
    <w:link w:val="CommentSubjectChar"/>
    <w:uiPriority w:val="99"/>
    <w:semiHidden/>
    <w:unhideWhenUsed/>
    <w:rsid w:val="00CF062E"/>
    <w:rPr>
      <w:b/>
      <w:bCs/>
    </w:rPr>
  </w:style>
  <w:style w:type="character" w:customStyle="1" w:styleId="CommentSubjectChar">
    <w:name w:val="Comment Subject Char"/>
    <w:basedOn w:val="CommentTextChar"/>
    <w:link w:val="CommentSubject"/>
    <w:uiPriority w:val="99"/>
    <w:semiHidden/>
    <w:rsid w:val="00CF062E"/>
    <w:rPr>
      <w:b/>
      <w:bCs/>
      <w:sz w:val="20"/>
      <w:szCs w:val="20"/>
    </w:rPr>
  </w:style>
  <w:style w:type="paragraph" w:styleId="Header">
    <w:name w:val="header"/>
    <w:basedOn w:val="Normal"/>
    <w:link w:val="HeaderChar"/>
    <w:uiPriority w:val="99"/>
    <w:unhideWhenUsed/>
    <w:rsid w:val="00835BC2"/>
    <w:pPr>
      <w:tabs>
        <w:tab w:val="center" w:pos="4513"/>
        <w:tab w:val="right" w:pos="9026"/>
      </w:tabs>
    </w:pPr>
  </w:style>
  <w:style w:type="character" w:customStyle="1" w:styleId="HeaderChar">
    <w:name w:val="Header Char"/>
    <w:basedOn w:val="DefaultParagraphFont"/>
    <w:link w:val="Header"/>
    <w:uiPriority w:val="99"/>
    <w:rsid w:val="00835BC2"/>
  </w:style>
  <w:style w:type="paragraph" w:styleId="Footer">
    <w:name w:val="footer"/>
    <w:basedOn w:val="Normal"/>
    <w:link w:val="FooterChar"/>
    <w:uiPriority w:val="99"/>
    <w:unhideWhenUsed/>
    <w:rsid w:val="00835BC2"/>
    <w:pPr>
      <w:tabs>
        <w:tab w:val="center" w:pos="4513"/>
        <w:tab w:val="right" w:pos="9026"/>
      </w:tabs>
    </w:pPr>
  </w:style>
  <w:style w:type="character" w:customStyle="1" w:styleId="FooterChar">
    <w:name w:val="Footer Char"/>
    <w:basedOn w:val="DefaultParagraphFont"/>
    <w:link w:val="Footer"/>
    <w:uiPriority w:val="99"/>
    <w:rsid w:val="00835BC2"/>
  </w:style>
  <w:style w:type="character" w:styleId="Hyperlink">
    <w:name w:val="Hyperlink"/>
    <w:basedOn w:val="DefaultParagraphFont"/>
    <w:uiPriority w:val="99"/>
    <w:unhideWhenUsed/>
    <w:rsid w:val="004F0EAF"/>
    <w:rPr>
      <w:color w:val="0000FF" w:themeColor="hyperlink"/>
      <w:u w:val="single"/>
    </w:rPr>
  </w:style>
  <w:style w:type="character" w:styleId="UnresolvedMention">
    <w:name w:val="Unresolved Mention"/>
    <w:basedOn w:val="DefaultParagraphFont"/>
    <w:uiPriority w:val="99"/>
    <w:semiHidden/>
    <w:unhideWhenUsed/>
    <w:rsid w:val="004F0EAF"/>
    <w:rPr>
      <w:color w:val="605E5C"/>
      <w:shd w:val="clear" w:color="auto" w:fill="E1DFDD"/>
    </w:rPr>
  </w:style>
  <w:style w:type="character" w:styleId="FollowedHyperlink">
    <w:name w:val="FollowedHyperlink"/>
    <w:basedOn w:val="DefaultParagraphFont"/>
    <w:uiPriority w:val="99"/>
    <w:semiHidden/>
    <w:unhideWhenUsed/>
    <w:rsid w:val="002237C0"/>
    <w:rPr>
      <w:color w:val="800080" w:themeColor="followedHyperlink"/>
      <w:u w:val="single"/>
    </w:rPr>
  </w:style>
  <w:style w:type="paragraph" w:styleId="Revision">
    <w:name w:val="Revision"/>
    <w:hidden/>
    <w:uiPriority w:val="99"/>
    <w:semiHidden/>
    <w:rsid w:val="00E7480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santos@iccat.int" TargetMode="External"/><Relationship Id="rId13" Type="http://schemas.openxmlformats.org/officeDocument/2006/relationships/hyperlink" Target="https://www.iccat.int/DocsComm/PageDocs.php" TargetMode="External"/><Relationship Id="rId18" Type="http://schemas.openxmlformats.org/officeDocument/2006/relationships/hyperlink" Target="mailto:info@iccat.i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amille.manel@iccat.int" TargetMode="External"/><Relationship Id="rId12" Type="http://schemas.openxmlformats.org/officeDocument/2006/relationships/hyperlink" Target="mailto:miguel.santos@iccat.int" TargetMode="External"/><Relationship Id="rId17" Type="http://schemas.openxmlformats.org/officeDocument/2006/relationships/hyperlink" Target="mailto:marisa.deandres@iccat.int" TargetMode="External"/><Relationship Id="rId2" Type="http://schemas.openxmlformats.org/officeDocument/2006/relationships/styles" Target="styles.xml"/><Relationship Id="rId16" Type="http://schemas.openxmlformats.org/officeDocument/2006/relationships/hyperlink" Target="mailto:miguel.santos@iccat.int" TargetMode="External"/><Relationship Id="rId20" Type="http://schemas.openxmlformats.org/officeDocument/2006/relationships/hyperlink" Target="https://www.iccat.int/DocsComm/PageDoc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ille.manel@iccat.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ccat.int/DocsComm/recs.php" TargetMode="External"/><Relationship Id="rId23" Type="http://schemas.openxmlformats.org/officeDocument/2006/relationships/fontTable" Target="fontTable.xml"/><Relationship Id="rId10" Type="http://schemas.openxmlformats.org/officeDocument/2006/relationships/hyperlink" Target="https://www.iccat.int/DocsComm/coversheet/proposal_cover_sheet_SPA.docx" TargetMode="External"/><Relationship Id="rId19" Type="http://schemas.openxmlformats.org/officeDocument/2006/relationships/hyperlink" Target="https://www.iccat.int/DocsComm/observers.htm" TargetMode="External"/><Relationship Id="rId4" Type="http://schemas.openxmlformats.org/officeDocument/2006/relationships/webSettings" Target="webSettings.xml"/><Relationship Id="rId9" Type="http://schemas.openxmlformats.org/officeDocument/2006/relationships/hyperlink" Target="https://www.iccat.int/DocsComm/PageDocs.php" TargetMode="External"/><Relationship Id="rId14" Type="http://schemas.openxmlformats.org/officeDocument/2006/relationships/hyperlink" Target="https://www.iccat.int/DocsComm/PageDocs.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8078</Characters>
  <Application>Microsoft Office Word</Application>
  <DocSecurity>0</DocSecurity>
  <Lines>141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2025-10-09T13:22:00Z</dcterms:created>
  <dcterms:modified xsi:type="dcterms:W3CDTF">2025-10-09T13:22:00Z</dcterms:modified>
</cp:coreProperties>
</file>