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83D6" w14:textId="2B77470C" w:rsidR="00892D03" w:rsidRDefault="00892D03" w:rsidP="00892D03">
      <w:pPr>
        <w:jc w:val="right"/>
        <w:rPr>
          <w:rFonts w:ascii="Cambria" w:hAnsi="Cambria"/>
          <w:b/>
          <w:sz w:val="20"/>
        </w:rPr>
      </w:pPr>
      <w:r>
        <w:rPr>
          <w:rFonts w:ascii="Cambria" w:hAnsi="Cambria"/>
          <w:b/>
          <w:sz w:val="20"/>
        </w:rPr>
        <w:t>Original: inglés</w:t>
      </w:r>
    </w:p>
    <w:p w14:paraId="2F368E7A" w14:textId="33959B8F" w:rsidR="006366AA" w:rsidRPr="009C6A06" w:rsidRDefault="009C6A06" w:rsidP="006366AA">
      <w:pPr>
        <w:jc w:val="center"/>
        <w:rPr>
          <w:rFonts w:ascii="Cambria" w:hAnsi="Cambria"/>
          <w:b/>
          <w:bCs/>
          <w:sz w:val="20"/>
          <w:szCs w:val="20"/>
        </w:rPr>
      </w:pPr>
      <w:r>
        <w:rPr>
          <w:rFonts w:ascii="Cambria" w:hAnsi="Cambria"/>
          <w:b/>
          <w:sz w:val="20"/>
        </w:rPr>
        <w:t xml:space="preserve">Declaración de la Unión Europea sobre cuestiones relacionadas </w:t>
      </w:r>
      <w:r w:rsidR="00E76F1E">
        <w:rPr>
          <w:rFonts w:ascii="Cambria" w:hAnsi="Cambria"/>
          <w:b/>
          <w:sz w:val="20"/>
        </w:rPr>
        <w:br/>
      </w:r>
      <w:r>
        <w:rPr>
          <w:rFonts w:ascii="Cambria" w:hAnsi="Cambria"/>
          <w:b/>
          <w:sz w:val="20"/>
        </w:rPr>
        <w:t>con el incumplimiento por parte de Senegal</w:t>
      </w:r>
    </w:p>
    <w:p w14:paraId="5C39EFAC" w14:textId="77777777" w:rsidR="006366AA" w:rsidRPr="00193C06" w:rsidRDefault="006366AA" w:rsidP="00193C06">
      <w:pPr>
        <w:spacing w:after="0" w:line="240" w:lineRule="auto"/>
        <w:rPr>
          <w:rFonts w:ascii="Cambria" w:hAnsi="Cambria"/>
          <w:sz w:val="20"/>
          <w:szCs w:val="20"/>
        </w:rPr>
      </w:pPr>
    </w:p>
    <w:p w14:paraId="5F0D3F90" w14:textId="5E2EC611" w:rsidR="00BB274A" w:rsidRPr="00193C06" w:rsidRDefault="006366AA" w:rsidP="00193C06">
      <w:pPr>
        <w:spacing w:after="0" w:line="240" w:lineRule="auto"/>
        <w:jc w:val="both"/>
        <w:rPr>
          <w:rFonts w:ascii="Cambria" w:hAnsi="Cambria"/>
          <w:sz w:val="20"/>
          <w:szCs w:val="20"/>
        </w:rPr>
      </w:pPr>
      <w:r>
        <w:rPr>
          <w:rFonts w:ascii="Cambria" w:hAnsi="Cambria"/>
          <w:sz w:val="20"/>
        </w:rPr>
        <w:t>La UE formula a continuación nuevas observaciones sobre la respuesta enviada por Senegal en el documento COC_312/2025 y el Anexo 3, «Información adicional presentada por Senegal».</w:t>
      </w:r>
    </w:p>
    <w:p w14:paraId="239E873D" w14:textId="77777777" w:rsidR="00172991" w:rsidRPr="00193C06" w:rsidRDefault="00172991" w:rsidP="00193C06">
      <w:pPr>
        <w:spacing w:after="0" w:line="240" w:lineRule="auto"/>
        <w:rPr>
          <w:rFonts w:ascii="Cambria" w:hAnsi="Cambria"/>
          <w:sz w:val="20"/>
          <w:szCs w:val="20"/>
        </w:rPr>
      </w:pPr>
    </w:p>
    <w:p w14:paraId="1DAF85EC" w14:textId="77777777" w:rsidR="00172991" w:rsidRDefault="00172991" w:rsidP="00193C06">
      <w:pPr>
        <w:spacing w:after="0" w:line="240" w:lineRule="auto"/>
        <w:rPr>
          <w:rFonts w:ascii="Cambria" w:hAnsi="Cambria"/>
          <w:b/>
          <w:i/>
          <w:iCs/>
          <w:sz w:val="20"/>
          <w:szCs w:val="20"/>
        </w:rPr>
      </w:pPr>
      <w:r>
        <w:rPr>
          <w:rFonts w:ascii="Cambria" w:hAnsi="Cambria"/>
          <w:b/>
          <w:i/>
          <w:sz w:val="20"/>
        </w:rPr>
        <w:t>Seguimiento de peticiones anteriores</w:t>
      </w:r>
    </w:p>
    <w:p w14:paraId="4DFFD648" w14:textId="77777777" w:rsidR="003B464C" w:rsidRPr="00193C06" w:rsidRDefault="003B464C" w:rsidP="00193C06">
      <w:pPr>
        <w:spacing w:after="0" w:line="240" w:lineRule="auto"/>
        <w:rPr>
          <w:rFonts w:ascii="Cambria" w:hAnsi="Cambria"/>
          <w:b/>
          <w:i/>
          <w:iCs/>
          <w:sz w:val="20"/>
          <w:szCs w:val="20"/>
        </w:rPr>
      </w:pPr>
    </w:p>
    <w:p w14:paraId="6777B107" w14:textId="048372D6" w:rsidR="00580E4C" w:rsidRDefault="00172991" w:rsidP="00193C06">
      <w:pPr>
        <w:spacing w:after="0" w:line="240" w:lineRule="auto"/>
        <w:jc w:val="both"/>
        <w:rPr>
          <w:rFonts w:ascii="Cambria" w:hAnsi="Cambria"/>
          <w:sz w:val="20"/>
          <w:szCs w:val="20"/>
        </w:rPr>
      </w:pPr>
      <w:r>
        <w:rPr>
          <w:rFonts w:ascii="Cambria" w:hAnsi="Cambria"/>
          <w:sz w:val="20"/>
        </w:rPr>
        <w:t>La UE toma nota de los resultados de las investigaciones realizadas por Senegal y señala que la información que figura en el punto 5, «Nuevos elementos», de la respuesta de Senegal no contiene ninguna de las informaciones que se esperaban de Senegal como Estado del pabellón, Estado rector del puerto y Estado exportador.</w:t>
      </w:r>
    </w:p>
    <w:p w14:paraId="6EB3A37C" w14:textId="77777777" w:rsidR="00157D4C" w:rsidRPr="00193C06" w:rsidRDefault="00157D4C" w:rsidP="00193C06">
      <w:pPr>
        <w:spacing w:after="0" w:line="240" w:lineRule="auto"/>
        <w:jc w:val="both"/>
        <w:rPr>
          <w:rFonts w:ascii="Cambria" w:hAnsi="Cambria"/>
          <w:sz w:val="20"/>
          <w:szCs w:val="20"/>
        </w:rPr>
      </w:pPr>
    </w:p>
    <w:p w14:paraId="127F4BA4" w14:textId="0BE5F657" w:rsidR="00EC71E8" w:rsidRPr="00193C06" w:rsidRDefault="37724EEF" w:rsidP="00193C06">
      <w:pPr>
        <w:spacing w:after="0" w:line="240" w:lineRule="auto"/>
        <w:jc w:val="both"/>
        <w:rPr>
          <w:rFonts w:ascii="Cambria" w:hAnsi="Cambria"/>
          <w:sz w:val="20"/>
          <w:szCs w:val="20"/>
        </w:rPr>
      </w:pPr>
      <w:r>
        <w:rPr>
          <w:rFonts w:ascii="Cambria" w:hAnsi="Cambria"/>
          <w:sz w:val="20"/>
        </w:rPr>
        <w:t xml:space="preserve">Sobre las observaciones de Senegal relativas al Estado importador: </w:t>
      </w:r>
    </w:p>
    <w:p w14:paraId="38858D06" w14:textId="77777777" w:rsidR="00EC71E8" w:rsidRPr="00193C06" w:rsidRDefault="00EC71E8" w:rsidP="00193C06">
      <w:pPr>
        <w:pStyle w:val="ListParagraph"/>
        <w:spacing w:after="0" w:line="240" w:lineRule="auto"/>
        <w:rPr>
          <w:rFonts w:ascii="Cambria" w:hAnsi="Cambria" w:cstheme="minorHAnsi"/>
          <w:sz w:val="20"/>
          <w:szCs w:val="20"/>
        </w:rPr>
      </w:pPr>
    </w:p>
    <w:p w14:paraId="767FECBA" w14:textId="0425D4BA" w:rsidR="00EC71E8" w:rsidRDefault="00EC71E8" w:rsidP="003949FC">
      <w:pPr>
        <w:pStyle w:val="ListParagraph"/>
        <w:numPr>
          <w:ilvl w:val="1"/>
          <w:numId w:val="2"/>
        </w:numPr>
        <w:spacing w:after="0" w:line="240" w:lineRule="auto"/>
        <w:ind w:left="851" w:hanging="425"/>
        <w:jc w:val="both"/>
        <w:rPr>
          <w:rFonts w:ascii="Cambria" w:hAnsi="Cambria"/>
          <w:sz w:val="20"/>
          <w:szCs w:val="20"/>
        </w:rPr>
      </w:pPr>
      <w:r>
        <w:rPr>
          <w:rFonts w:ascii="Cambria" w:hAnsi="Cambria"/>
          <w:sz w:val="20"/>
        </w:rPr>
        <w:t xml:space="preserve">En cuanto a la solicitud de Senegal (2 de mayo de 2025 – Circular ICCAT n.º 00476/2025) de facilitar «la lista de todos los importadores de los productos certificados en cuestión, junto con sus direcciones y los puntos de entrada en el mercado europeo», la respuesta de la UE figura en anexo a la comunicación de Senegal, en la que se menciona claramente la solicitud de la UE a Senegal de: </w:t>
      </w:r>
    </w:p>
    <w:p w14:paraId="22DD4025" w14:textId="77777777" w:rsidR="003949FC" w:rsidRPr="00193C06" w:rsidRDefault="003949FC" w:rsidP="003949FC">
      <w:pPr>
        <w:pStyle w:val="ListParagraph"/>
        <w:spacing w:after="0" w:line="240" w:lineRule="auto"/>
        <w:ind w:left="851"/>
        <w:jc w:val="both"/>
        <w:rPr>
          <w:rFonts w:ascii="Cambria" w:hAnsi="Cambria"/>
          <w:sz w:val="20"/>
          <w:szCs w:val="20"/>
        </w:rPr>
      </w:pPr>
    </w:p>
    <w:p w14:paraId="24A99BB3" w14:textId="095E7CA6" w:rsidR="00EC71E8" w:rsidRPr="00707487" w:rsidRDefault="00EC71E8" w:rsidP="00707487">
      <w:pPr>
        <w:pStyle w:val="ListParagraph"/>
        <w:numPr>
          <w:ilvl w:val="0"/>
          <w:numId w:val="6"/>
        </w:numPr>
        <w:spacing w:after="0" w:line="240" w:lineRule="auto"/>
        <w:ind w:left="1276" w:hanging="425"/>
        <w:jc w:val="both"/>
        <w:rPr>
          <w:rFonts w:ascii="Cambria" w:hAnsi="Cambria" w:cstheme="minorHAnsi"/>
          <w:sz w:val="20"/>
          <w:szCs w:val="20"/>
        </w:rPr>
      </w:pPr>
      <w:r>
        <w:rPr>
          <w:rFonts w:ascii="Cambria" w:hAnsi="Cambria"/>
          <w:sz w:val="20"/>
        </w:rPr>
        <w:t>Aclarar el fundamento jurídico de esta solicitud.</w:t>
      </w:r>
    </w:p>
    <w:p w14:paraId="19C6ECE2" w14:textId="15810736" w:rsidR="00EC71E8" w:rsidRPr="00193C06" w:rsidRDefault="7E458DB8" w:rsidP="00707487">
      <w:pPr>
        <w:pStyle w:val="ListParagraph"/>
        <w:numPr>
          <w:ilvl w:val="0"/>
          <w:numId w:val="6"/>
        </w:numPr>
        <w:spacing w:after="0" w:line="240" w:lineRule="auto"/>
        <w:ind w:left="1276" w:hanging="425"/>
        <w:jc w:val="both"/>
        <w:rPr>
          <w:rFonts w:ascii="Cambria" w:hAnsi="Cambria"/>
          <w:sz w:val="20"/>
          <w:szCs w:val="20"/>
        </w:rPr>
      </w:pPr>
      <w:r>
        <w:rPr>
          <w:rFonts w:ascii="Cambria" w:hAnsi="Cambria"/>
          <w:sz w:val="20"/>
        </w:rPr>
        <w:t>De qué manera la lista de importadores facilitaría las investigaciones de Senegal.</w:t>
      </w:r>
    </w:p>
    <w:p w14:paraId="1E393C18" w14:textId="77777777" w:rsidR="00707487" w:rsidRDefault="00707487" w:rsidP="00193C06">
      <w:pPr>
        <w:spacing w:after="0" w:line="240" w:lineRule="auto"/>
        <w:ind w:left="1440"/>
        <w:rPr>
          <w:rFonts w:ascii="Cambria" w:hAnsi="Cambria"/>
          <w:sz w:val="20"/>
          <w:szCs w:val="20"/>
        </w:rPr>
      </w:pPr>
    </w:p>
    <w:p w14:paraId="7F7A5F2F" w14:textId="404B278E" w:rsidR="00EC71E8" w:rsidRDefault="00EC71E8" w:rsidP="00983D18">
      <w:pPr>
        <w:spacing w:after="0" w:line="240" w:lineRule="auto"/>
        <w:ind w:left="1440" w:hanging="589"/>
        <w:rPr>
          <w:rFonts w:ascii="Cambria" w:hAnsi="Cambria"/>
          <w:sz w:val="20"/>
          <w:szCs w:val="20"/>
        </w:rPr>
      </w:pPr>
      <w:r>
        <w:rPr>
          <w:rFonts w:ascii="Cambria" w:hAnsi="Cambria"/>
          <w:sz w:val="20"/>
        </w:rPr>
        <w:t>Senegal nunca respondió a esto.</w:t>
      </w:r>
    </w:p>
    <w:p w14:paraId="76EA56B0" w14:textId="77777777" w:rsidR="00983D18" w:rsidRPr="00193C06" w:rsidRDefault="00983D18" w:rsidP="00983D18">
      <w:pPr>
        <w:spacing w:after="0" w:line="240" w:lineRule="auto"/>
        <w:ind w:left="1440" w:hanging="589"/>
        <w:rPr>
          <w:rFonts w:ascii="Cambria" w:hAnsi="Cambria"/>
          <w:sz w:val="20"/>
          <w:szCs w:val="20"/>
        </w:rPr>
      </w:pPr>
    </w:p>
    <w:p w14:paraId="14A27A0D" w14:textId="30EBD487" w:rsidR="00EC71E8" w:rsidRPr="00193C06" w:rsidRDefault="00EC71E8" w:rsidP="00983D18">
      <w:pPr>
        <w:pStyle w:val="ListParagraph"/>
        <w:spacing w:after="0" w:line="240" w:lineRule="auto"/>
        <w:ind w:left="851"/>
        <w:jc w:val="both"/>
        <w:rPr>
          <w:rFonts w:ascii="Cambria" w:hAnsi="Cambria"/>
          <w:sz w:val="20"/>
          <w:szCs w:val="20"/>
        </w:rPr>
      </w:pPr>
      <w:r>
        <w:rPr>
          <w:rFonts w:ascii="Cambria" w:hAnsi="Cambria"/>
          <w:sz w:val="20"/>
        </w:rPr>
        <w:t>La interpretación de la Recomendación 06-13 sobre medidas comerciales ya fue aclarada el año pasado por el Comité de Cumplimiento, y la UE llama la atención de Senegal sobre el hecho de que el objetivo de la información recopilada de conformidad con el punto 1(1) de la Recomendación 06-13 es identificar los buques que desembarcaron las especies en cuestión, así como los puntos de exportación.</w:t>
      </w:r>
    </w:p>
    <w:p w14:paraId="3830EE75" w14:textId="77777777" w:rsidR="00EC71E8" w:rsidRPr="00193C06" w:rsidRDefault="00EC71E8" w:rsidP="00193C06">
      <w:pPr>
        <w:pStyle w:val="ListParagraph"/>
        <w:spacing w:after="0" w:line="240" w:lineRule="auto"/>
        <w:ind w:left="1440"/>
        <w:rPr>
          <w:rFonts w:ascii="Cambria" w:hAnsi="Cambria" w:cstheme="minorHAnsi"/>
          <w:sz w:val="20"/>
          <w:szCs w:val="20"/>
        </w:rPr>
      </w:pPr>
    </w:p>
    <w:p w14:paraId="4838DF03" w14:textId="6B831F9D" w:rsidR="00EC71E8" w:rsidRPr="00193C06" w:rsidRDefault="00EC71E8" w:rsidP="003949FC">
      <w:pPr>
        <w:pStyle w:val="ListParagraph"/>
        <w:numPr>
          <w:ilvl w:val="1"/>
          <w:numId w:val="2"/>
        </w:numPr>
        <w:spacing w:after="0" w:line="240" w:lineRule="auto"/>
        <w:ind w:left="851" w:hanging="425"/>
        <w:jc w:val="both"/>
        <w:rPr>
          <w:rFonts w:ascii="Cambria" w:hAnsi="Cambria"/>
          <w:i/>
          <w:iCs/>
          <w:sz w:val="20"/>
          <w:szCs w:val="20"/>
        </w:rPr>
      </w:pPr>
      <w:r>
        <w:rPr>
          <w:rFonts w:ascii="Cambria" w:hAnsi="Cambria"/>
          <w:sz w:val="20"/>
        </w:rPr>
        <w:t>En lo que respecta a la empresa senegalesa TUNASEN, que la UE ha estado investigando dada la posible implicación de ciudadanos de la UE, el Estado miembro de la UE encargado del caso nunca obtuvo respuesta a las preguntas adicionales que planteó a Senegal desde 2024, a pesar de dos recordatorios en 2025. La UE agradecería que Senegal atendiera rápidamente estas solicitudes.</w:t>
      </w:r>
    </w:p>
    <w:p w14:paraId="48D04E21" w14:textId="77777777" w:rsidR="00EC71E8" w:rsidRPr="00193C06" w:rsidRDefault="00EC71E8" w:rsidP="00193C06">
      <w:pPr>
        <w:pStyle w:val="ListParagraph"/>
        <w:spacing w:after="0" w:line="240" w:lineRule="auto"/>
        <w:ind w:left="1440"/>
        <w:rPr>
          <w:rFonts w:ascii="Cambria" w:hAnsi="Cambria"/>
          <w:bCs/>
          <w:i/>
          <w:iCs/>
          <w:sz w:val="20"/>
          <w:szCs w:val="20"/>
        </w:rPr>
      </w:pPr>
    </w:p>
    <w:p w14:paraId="7A52323C" w14:textId="77777777" w:rsidR="00EC71E8" w:rsidRPr="00193C06" w:rsidRDefault="00EC71E8" w:rsidP="003949FC">
      <w:pPr>
        <w:pStyle w:val="ListParagraph"/>
        <w:numPr>
          <w:ilvl w:val="1"/>
          <w:numId w:val="2"/>
        </w:numPr>
        <w:spacing w:after="0" w:line="240" w:lineRule="auto"/>
        <w:ind w:left="851" w:hanging="425"/>
        <w:jc w:val="both"/>
        <w:rPr>
          <w:rFonts w:ascii="Cambria" w:hAnsi="Cambria"/>
          <w:bCs/>
          <w:i/>
          <w:iCs/>
          <w:sz w:val="20"/>
          <w:szCs w:val="20"/>
        </w:rPr>
      </w:pPr>
      <w:r>
        <w:rPr>
          <w:rFonts w:ascii="Cambria" w:hAnsi="Cambria"/>
          <w:sz w:val="20"/>
        </w:rPr>
        <w:t xml:space="preserve">La UE también desea aclarar que toda la información disponible relacionada con las importaciones fraudulentas en la UE ya se transmitió en 2023 a las autoridades investigadoras competentes de la UE. </w:t>
      </w:r>
    </w:p>
    <w:p w14:paraId="3E5E175E" w14:textId="77777777" w:rsidR="00EC71E8" w:rsidRPr="00193C06" w:rsidRDefault="00EC71E8" w:rsidP="00193C06">
      <w:pPr>
        <w:pStyle w:val="ListParagraph"/>
        <w:spacing w:after="0" w:line="240" w:lineRule="auto"/>
        <w:rPr>
          <w:rFonts w:ascii="Cambria" w:hAnsi="Cambria"/>
          <w:bCs/>
          <w:i/>
          <w:iCs/>
          <w:sz w:val="20"/>
          <w:szCs w:val="20"/>
        </w:rPr>
      </w:pPr>
    </w:p>
    <w:p w14:paraId="3AB33675" w14:textId="2D1C0940" w:rsidR="00EC71E8" w:rsidRPr="00193C06" w:rsidRDefault="00EC71E8" w:rsidP="003949FC">
      <w:pPr>
        <w:pStyle w:val="ListParagraph"/>
        <w:numPr>
          <w:ilvl w:val="1"/>
          <w:numId w:val="2"/>
        </w:numPr>
        <w:spacing w:after="0" w:line="240" w:lineRule="auto"/>
        <w:ind w:left="851" w:hanging="425"/>
        <w:jc w:val="both"/>
        <w:rPr>
          <w:rFonts w:ascii="Cambria" w:hAnsi="Cambria"/>
          <w:i/>
          <w:iCs/>
          <w:sz w:val="20"/>
          <w:szCs w:val="20"/>
        </w:rPr>
      </w:pPr>
      <w:r>
        <w:rPr>
          <w:rFonts w:ascii="Cambria" w:hAnsi="Cambria"/>
          <w:sz w:val="20"/>
        </w:rPr>
        <w:t>Por último, pero no menos importante, el nombre del ciudadano belga que ha sido compartido con</w:t>
      </w:r>
      <w:r w:rsidR="004D5B77">
        <w:rPr>
          <w:rFonts w:ascii="Cambria" w:hAnsi="Cambria"/>
          <w:sz w:val="20"/>
        </w:rPr>
        <w:t xml:space="preserve"> </w:t>
      </w:r>
      <w:r>
        <w:rPr>
          <w:rFonts w:ascii="Cambria" w:hAnsi="Cambria"/>
          <w:sz w:val="20"/>
        </w:rPr>
        <w:t xml:space="preserve">Senegal debería ser bien conocido por este país, ya que fue miembro de la delegación senegalesa ante ICCAT en 2015 (Informe de ICCAT para el período bienal 2014-15, Parte II (2015), p. 36), registrado como gerente de ART SAP-MITO, la empresa senegalesa, pero también de </w:t>
      </w:r>
      <w:proofErr w:type="spellStart"/>
      <w:r>
        <w:rPr>
          <w:rFonts w:ascii="Cambria" w:hAnsi="Cambria"/>
          <w:sz w:val="20"/>
        </w:rPr>
        <w:t>Maguro</w:t>
      </w:r>
      <w:proofErr w:type="spellEnd"/>
      <w:r>
        <w:rPr>
          <w:rFonts w:ascii="Cambria" w:hAnsi="Cambria"/>
          <w:sz w:val="20"/>
        </w:rPr>
        <w:t xml:space="preserve">, S.A., la empresa suiza. </w:t>
      </w:r>
    </w:p>
    <w:p w14:paraId="083D0105" w14:textId="77777777" w:rsidR="00EC71E8" w:rsidRPr="00193C06" w:rsidRDefault="00EC71E8" w:rsidP="00193C06">
      <w:pPr>
        <w:pStyle w:val="ListParagraph"/>
        <w:spacing w:after="0" w:line="240" w:lineRule="auto"/>
        <w:rPr>
          <w:rFonts w:ascii="Cambria" w:hAnsi="Cambria"/>
          <w:bCs/>
          <w:i/>
          <w:iCs/>
          <w:sz w:val="20"/>
          <w:szCs w:val="20"/>
        </w:rPr>
      </w:pPr>
    </w:p>
    <w:p w14:paraId="311C82FC" w14:textId="7CDF87D4" w:rsidR="00EC71E8" w:rsidRDefault="00EC71E8" w:rsidP="00193C06">
      <w:pPr>
        <w:spacing w:after="0" w:line="240" w:lineRule="auto"/>
        <w:jc w:val="both"/>
        <w:rPr>
          <w:rFonts w:ascii="Cambria" w:hAnsi="Cambria"/>
          <w:sz w:val="20"/>
          <w:szCs w:val="20"/>
        </w:rPr>
      </w:pPr>
      <w:r>
        <w:rPr>
          <w:rFonts w:ascii="Cambria" w:hAnsi="Cambria"/>
          <w:sz w:val="20"/>
        </w:rPr>
        <w:t>Además de estas aclaraciones sobre las medidas que ha adoptado, la UE desea recordar, una vez más, que este sistema de blanqueo habría sido imposible si Senegal hubiera cumplido debidamente con sus responsabilidades como Estado del pabellón, como Estado rector del puerto y como Estado exportador. La magnitud del fraude refleja la gravedad de los problemas en todas estas áreas. A este respecto, la UE se refiere a los datos que aún faltan en la respuesta de Senegal (en los puntos 1, 2, 3 y 4 y en el anexo).</w:t>
      </w:r>
    </w:p>
    <w:p w14:paraId="695961A1" w14:textId="77777777" w:rsidR="00B14ED7" w:rsidRPr="00193C06" w:rsidRDefault="00B14ED7" w:rsidP="00193C06">
      <w:pPr>
        <w:spacing w:after="0" w:line="240" w:lineRule="auto"/>
        <w:jc w:val="both"/>
        <w:rPr>
          <w:rFonts w:ascii="Cambria" w:hAnsi="Cambria"/>
          <w:i/>
          <w:iCs/>
          <w:sz w:val="20"/>
          <w:szCs w:val="20"/>
        </w:rPr>
      </w:pPr>
    </w:p>
    <w:p w14:paraId="2DD9CF25" w14:textId="206A09EF" w:rsidR="00EC71E8" w:rsidRPr="002C19D8" w:rsidRDefault="00EC71E8" w:rsidP="00193C06">
      <w:pPr>
        <w:spacing w:after="0" w:line="240" w:lineRule="auto"/>
        <w:jc w:val="both"/>
        <w:rPr>
          <w:rFonts w:ascii="Cambria" w:hAnsi="Cambria" w:cstheme="minorHAnsi"/>
          <w:sz w:val="20"/>
          <w:szCs w:val="20"/>
        </w:rPr>
      </w:pPr>
      <w:r w:rsidRPr="00E02E02">
        <w:rPr>
          <w:rFonts w:ascii="Cambria" w:hAnsi="Cambria"/>
          <w:b/>
          <w:bCs/>
          <w:sz w:val="20"/>
        </w:rPr>
        <w:t>Como Estado del pabellón</w:t>
      </w:r>
      <w:r>
        <w:rPr>
          <w:rFonts w:ascii="Cambria" w:hAnsi="Cambria"/>
          <w:sz w:val="20"/>
        </w:rPr>
        <w:t xml:space="preserve">, Senegal sigue sin facilitar los detalles de las capturas realizadas por el Mario 7 y el Mario 11. Se proporcionan datos de captura más detallados para los buques Maximus y Lisboa, pero </w:t>
      </w:r>
      <w:r>
        <w:rPr>
          <w:rFonts w:ascii="Cambria" w:hAnsi="Cambria"/>
          <w:sz w:val="20"/>
        </w:rPr>
        <w:lastRenderedPageBreak/>
        <w:t xml:space="preserve">siguen </w:t>
      </w:r>
      <w:r w:rsidRPr="002C19D8">
        <w:rPr>
          <w:rFonts w:ascii="Cambria" w:hAnsi="Cambria"/>
          <w:sz w:val="20"/>
        </w:rPr>
        <w:t>siendo incompletos: por ejemplo, la tabla 2 indica que el buque Lisboa desembarcó un total de 3</w:t>
      </w:r>
      <w:r w:rsidR="004B1AB5" w:rsidRPr="002C19D8">
        <w:rPr>
          <w:rFonts w:ascii="Cambria" w:hAnsi="Cambria"/>
          <w:sz w:val="20"/>
        </w:rPr>
        <w:t>.</w:t>
      </w:r>
      <w:r w:rsidRPr="002C19D8">
        <w:rPr>
          <w:rFonts w:ascii="Cambria" w:hAnsi="Cambria"/>
          <w:sz w:val="20"/>
        </w:rPr>
        <w:t xml:space="preserve">918 t durante el período 2019-2020, pero la tabla 1 solo proporciona un desglose por especie de 992 </w:t>
      </w:r>
      <w:r w:rsidR="004B1AB5" w:rsidRPr="002C19D8">
        <w:rPr>
          <w:rFonts w:ascii="Cambria" w:hAnsi="Cambria"/>
          <w:sz w:val="20"/>
        </w:rPr>
        <w:t>t</w:t>
      </w:r>
      <w:r w:rsidRPr="002C19D8">
        <w:rPr>
          <w:rFonts w:ascii="Cambria" w:hAnsi="Cambria"/>
          <w:sz w:val="20"/>
        </w:rPr>
        <w:t>.</w:t>
      </w:r>
    </w:p>
    <w:p w14:paraId="7F6685DC" w14:textId="77777777" w:rsidR="00717AC7" w:rsidRPr="002C19D8" w:rsidRDefault="00717AC7" w:rsidP="00193C06">
      <w:pPr>
        <w:spacing w:after="0" w:line="240" w:lineRule="auto"/>
        <w:jc w:val="both"/>
        <w:rPr>
          <w:rFonts w:ascii="Cambria" w:hAnsi="Cambria" w:cs="Times New Roman"/>
          <w:i/>
          <w:iCs/>
          <w:sz w:val="20"/>
          <w:szCs w:val="20"/>
        </w:rPr>
      </w:pPr>
    </w:p>
    <w:p w14:paraId="17EC90DE" w14:textId="54196749" w:rsidR="00EC71E8" w:rsidRPr="002C19D8" w:rsidRDefault="00EC71E8" w:rsidP="00193C06">
      <w:pPr>
        <w:spacing w:after="0" w:line="240" w:lineRule="auto"/>
        <w:jc w:val="both"/>
        <w:rPr>
          <w:rFonts w:ascii="Cambria" w:hAnsi="Cambria" w:cstheme="minorHAnsi"/>
          <w:sz w:val="20"/>
          <w:szCs w:val="20"/>
        </w:rPr>
      </w:pPr>
      <w:r w:rsidRPr="002C19D8">
        <w:rPr>
          <w:rFonts w:ascii="Cambria" w:hAnsi="Cambria"/>
          <w:sz w:val="20"/>
        </w:rPr>
        <w:t>La UE también solicita a Senegal que aclare el origen de las cantidades mencionadas en las tablas 1 y 2.</w:t>
      </w:r>
    </w:p>
    <w:p w14:paraId="48B52CD5" w14:textId="77777777" w:rsidR="00533DDA" w:rsidRPr="002C19D8" w:rsidRDefault="00533DDA" w:rsidP="00193C06">
      <w:pPr>
        <w:spacing w:after="0" w:line="240" w:lineRule="auto"/>
        <w:jc w:val="both"/>
        <w:rPr>
          <w:rFonts w:ascii="Cambria" w:hAnsi="Cambria" w:cs="Times New Roman"/>
          <w:i/>
          <w:iCs/>
          <w:sz w:val="20"/>
          <w:szCs w:val="20"/>
        </w:rPr>
      </w:pPr>
    </w:p>
    <w:p w14:paraId="697E40A1" w14:textId="1136B3A1" w:rsidR="00EC71E8" w:rsidRPr="002C19D8" w:rsidRDefault="00EC71E8" w:rsidP="00193C06">
      <w:pPr>
        <w:spacing w:after="0" w:line="240" w:lineRule="auto"/>
        <w:jc w:val="both"/>
        <w:rPr>
          <w:rFonts w:ascii="Cambria" w:hAnsi="Cambria"/>
          <w:sz w:val="20"/>
        </w:rPr>
      </w:pPr>
      <w:r w:rsidRPr="002C19D8">
        <w:rPr>
          <w:rFonts w:ascii="Cambria" w:hAnsi="Cambria"/>
          <w:sz w:val="20"/>
        </w:rPr>
        <w:t>En la tabla 1, la referencia a «cantidades certificadas» podría sugerir que estas cantidades reflejan las que figuran en los certificados transmitidos por la UE, pero las cantidades no coinciden (diferencia evidente en las cantidades de atún blanco comunicadas para el buque Lisboa).</w:t>
      </w:r>
    </w:p>
    <w:p w14:paraId="065C99CD" w14:textId="77777777" w:rsidR="004B1AB5" w:rsidRPr="002C19D8" w:rsidRDefault="004B1AB5" w:rsidP="00193C06">
      <w:pPr>
        <w:spacing w:after="0" w:line="240" w:lineRule="auto"/>
        <w:jc w:val="both"/>
        <w:rPr>
          <w:rFonts w:ascii="Cambria" w:hAnsi="Cambria"/>
          <w:sz w:val="20"/>
          <w:szCs w:val="20"/>
        </w:rPr>
      </w:pPr>
    </w:p>
    <w:p w14:paraId="2B82523B" w14:textId="1B30F926" w:rsidR="00EC71E8" w:rsidRPr="002C19D8" w:rsidRDefault="00EC71E8" w:rsidP="00193C06">
      <w:pPr>
        <w:spacing w:after="0" w:line="240" w:lineRule="auto"/>
        <w:jc w:val="both"/>
        <w:rPr>
          <w:rFonts w:ascii="Cambria" w:hAnsi="Cambria" w:cstheme="minorHAnsi"/>
          <w:sz w:val="20"/>
          <w:szCs w:val="20"/>
        </w:rPr>
      </w:pPr>
      <w:r w:rsidRPr="002C19D8">
        <w:rPr>
          <w:rFonts w:ascii="Cambria" w:hAnsi="Cambria"/>
          <w:sz w:val="20"/>
        </w:rPr>
        <w:t xml:space="preserve">En la tabla 2, las cifras no concuerdan con las presentadas el año pasado por Senegal (COC_312/2024_Addendum_1) – véase más abajo: </w:t>
      </w:r>
    </w:p>
    <w:p w14:paraId="68DE78D2" w14:textId="77777777" w:rsidR="006F1970" w:rsidRPr="00193C06" w:rsidRDefault="006F1970" w:rsidP="00193C06">
      <w:pPr>
        <w:spacing w:after="0" w:line="240" w:lineRule="auto"/>
        <w:jc w:val="both"/>
        <w:rPr>
          <w:rFonts w:ascii="Cambria" w:hAnsi="Cambria" w:cs="Times New Roman"/>
          <w:bCs/>
          <w:i/>
          <w:iCs/>
          <w:sz w:val="20"/>
          <w:szCs w:val="20"/>
        </w:rPr>
      </w:pPr>
    </w:p>
    <w:tbl>
      <w:tblPr>
        <w:tblStyle w:val="TableGrid"/>
        <w:tblW w:w="0" w:type="auto"/>
        <w:tblInd w:w="-318" w:type="dxa"/>
        <w:tblLook w:val="04A0" w:firstRow="1" w:lastRow="0" w:firstColumn="1" w:lastColumn="0" w:noHBand="0" w:noVBand="1"/>
      </w:tblPr>
      <w:tblGrid>
        <w:gridCol w:w="1266"/>
        <w:gridCol w:w="1081"/>
        <w:gridCol w:w="1430"/>
        <w:gridCol w:w="1429"/>
        <w:gridCol w:w="1244"/>
        <w:gridCol w:w="1464"/>
        <w:gridCol w:w="1464"/>
      </w:tblGrid>
      <w:tr w:rsidR="00EC71E8" w:rsidRPr="00193C06" w14:paraId="220A17FD" w14:textId="77777777" w:rsidTr="0084197E">
        <w:trPr>
          <w:trHeight w:val="257"/>
        </w:trPr>
        <w:tc>
          <w:tcPr>
            <w:tcW w:w="1427" w:type="dxa"/>
          </w:tcPr>
          <w:p w14:paraId="419970EF" w14:textId="77777777" w:rsidR="00EC71E8" w:rsidRPr="00193C06" w:rsidRDefault="00EC71E8" w:rsidP="00193C06">
            <w:pPr>
              <w:jc w:val="center"/>
              <w:rPr>
                <w:rFonts w:ascii="Cambria" w:hAnsi="Cambria"/>
                <w:bCs/>
                <w:i/>
                <w:iCs/>
                <w:sz w:val="20"/>
                <w:szCs w:val="20"/>
              </w:rPr>
            </w:pPr>
          </w:p>
        </w:tc>
        <w:tc>
          <w:tcPr>
            <w:tcW w:w="3677" w:type="dxa"/>
            <w:gridSpan w:val="3"/>
          </w:tcPr>
          <w:p w14:paraId="368E4FF3" w14:textId="77777777" w:rsidR="00EC71E8" w:rsidRPr="00193C06" w:rsidRDefault="00EC71E8" w:rsidP="00193C06">
            <w:pPr>
              <w:jc w:val="center"/>
              <w:rPr>
                <w:rFonts w:ascii="Cambria" w:hAnsi="Cambria"/>
                <w:bCs/>
                <w:i/>
                <w:iCs/>
                <w:sz w:val="20"/>
                <w:szCs w:val="20"/>
              </w:rPr>
            </w:pPr>
            <w:r>
              <w:rPr>
                <w:rFonts w:ascii="Cambria" w:hAnsi="Cambria"/>
                <w:i/>
                <w:sz w:val="20"/>
              </w:rPr>
              <w:t>COC_312/2024_Addendum 1</w:t>
            </w:r>
          </w:p>
        </w:tc>
        <w:tc>
          <w:tcPr>
            <w:tcW w:w="4456" w:type="dxa"/>
            <w:gridSpan w:val="3"/>
          </w:tcPr>
          <w:p w14:paraId="0C9DEFED" w14:textId="764BB3F6" w:rsidR="00EC71E8" w:rsidRPr="00193C06" w:rsidRDefault="00EC71E8" w:rsidP="00193C06">
            <w:pPr>
              <w:jc w:val="center"/>
              <w:rPr>
                <w:rFonts w:ascii="Cambria" w:hAnsi="Cambria"/>
                <w:bCs/>
                <w:i/>
                <w:iCs/>
                <w:sz w:val="20"/>
                <w:szCs w:val="20"/>
              </w:rPr>
            </w:pPr>
            <w:r>
              <w:rPr>
                <w:rFonts w:ascii="Cambria" w:hAnsi="Cambria"/>
                <w:i/>
                <w:sz w:val="20"/>
              </w:rPr>
              <w:t>COC 312/2025,  Tabla 2</w:t>
            </w:r>
          </w:p>
        </w:tc>
      </w:tr>
      <w:tr w:rsidR="00EC71E8" w:rsidRPr="00193C06" w14:paraId="409D8A93" w14:textId="77777777" w:rsidTr="00B30FF1">
        <w:tc>
          <w:tcPr>
            <w:tcW w:w="1427" w:type="dxa"/>
          </w:tcPr>
          <w:p w14:paraId="784703EC" w14:textId="77777777" w:rsidR="00EC71E8" w:rsidRPr="00193C06" w:rsidRDefault="00EC71E8" w:rsidP="00193C06">
            <w:pPr>
              <w:jc w:val="center"/>
              <w:rPr>
                <w:rFonts w:ascii="Cambria" w:hAnsi="Cambria"/>
                <w:bCs/>
                <w:sz w:val="20"/>
                <w:szCs w:val="20"/>
              </w:rPr>
            </w:pPr>
          </w:p>
        </w:tc>
        <w:tc>
          <w:tcPr>
            <w:tcW w:w="1168" w:type="dxa"/>
          </w:tcPr>
          <w:p w14:paraId="576E6BB8" w14:textId="77777777" w:rsidR="00EC71E8" w:rsidRPr="00193C06" w:rsidRDefault="00EC71E8" w:rsidP="00193C06">
            <w:pPr>
              <w:jc w:val="center"/>
              <w:rPr>
                <w:rFonts w:ascii="Cambria" w:hAnsi="Cambria"/>
                <w:bCs/>
                <w:i/>
                <w:iCs/>
                <w:sz w:val="20"/>
                <w:szCs w:val="20"/>
              </w:rPr>
            </w:pPr>
            <w:r>
              <w:rPr>
                <w:rFonts w:ascii="Cambria" w:hAnsi="Cambria"/>
                <w:i/>
                <w:sz w:val="20"/>
              </w:rPr>
              <w:t>Entradas</w:t>
            </w:r>
          </w:p>
        </w:tc>
        <w:tc>
          <w:tcPr>
            <w:tcW w:w="1242" w:type="dxa"/>
          </w:tcPr>
          <w:p w14:paraId="42275CC4" w14:textId="77777777" w:rsidR="00EC71E8" w:rsidRPr="00193C06" w:rsidRDefault="00EC71E8" w:rsidP="00193C06">
            <w:pPr>
              <w:jc w:val="center"/>
              <w:rPr>
                <w:rFonts w:ascii="Cambria" w:hAnsi="Cambria"/>
                <w:bCs/>
                <w:i/>
                <w:iCs/>
                <w:sz w:val="20"/>
                <w:szCs w:val="20"/>
              </w:rPr>
            </w:pPr>
            <w:r>
              <w:rPr>
                <w:rFonts w:ascii="Cambria" w:hAnsi="Cambria"/>
                <w:i/>
                <w:sz w:val="20"/>
              </w:rPr>
              <w:t>Desembarques</w:t>
            </w:r>
          </w:p>
        </w:tc>
        <w:tc>
          <w:tcPr>
            <w:tcW w:w="1267" w:type="dxa"/>
          </w:tcPr>
          <w:p w14:paraId="7B1EACC2" w14:textId="77777777" w:rsidR="00EC71E8" w:rsidRPr="00193C06" w:rsidRDefault="00EC71E8" w:rsidP="00193C06">
            <w:pPr>
              <w:jc w:val="center"/>
              <w:rPr>
                <w:rFonts w:ascii="Cambria" w:hAnsi="Cambria"/>
                <w:bCs/>
                <w:i/>
                <w:iCs/>
                <w:sz w:val="20"/>
                <w:szCs w:val="20"/>
              </w:rPr>
            </w:pPr>
            <w:r>
              <w:rPr>
                <w:rFonts w:ascii="Cambria" w:hAnsi="Cambria"/>
                <w:i/>
                <w:sz w:val="20"/>
              </w:rPr>
              <w:t>Cantidad desembarcada (kg)</w:t>
            </w:r>
          </w:p>
        </w:tc>
        <w:tc>
          <w:tcPr>
            <w:tcW w:w="1470" w:type="dxa"/>
          </w:tcPr>
          <w:p w14:paraId="62D67B58" w14:textId="77777777" w:rsidR="00EC71E8" w:rsidRPr="00193C06" w:rsidRDefault="00EC71E8" w:rsidP="00193C06">
            <w:pPr>
              <w:jc w:val="center"/>
              <w:rPr>
                <w:rFonts w:ascii="Cambria" w:hAnsi="Cambria"/>
                <w:bCs/>
                <w:i/>
                <w:iCs/>
                <w:sz w:val="20"/>
                <w:szCs w:val="20"/>
              </w:rPr>
            </w:pPr>
            <w:r>
              <w:rPr>
                <w:rFonts w:ascii="Cambria" w:hAnsi="Cambria"/>
                <w:i/>
                <w:sz w:val="20"/>
              </w:rPr>
              <w:t>Entradas</w:t>
            </w:r>
          </w:p>
        </w:tc>
        <w:tc>
          <w:tcPr>
            <w:tcW w:w="1493" w:type="dxa"/>
          </w:tcPr>
          <w:p w14:paraId="5946DC53" w14:textId="77777777" w:rsidR="00EC71E8" w:rsidRPr="00193C06" w:rsidRDefault="00EC71E8" w:rsidP="00193C06">
            <w:pPr>
              <w:jc w:val="center"/>
              <w:rPr>
                <w:rFonts w:ascii="Cambria" w:hAnsi="Cambria"/>
                <w:bCs/>
                <w:i/>
                <w:iCs/>
                <w:sz w:val="20"/>
                <w:szCs w:val="20"/>
              </w:rPr>
            </w:pPr>
            <w:r>
              <w:rPr>
                <w:rFonts w:ascii="Cambria" w:hAnsi="Cambria"/>
                <w:i/>
                <w:sz w:val="20"/>
              </w:rPr>
              <w:t>Desembarques</w:t>
            </w:r>
          </w:p>
        </w:tc>
        <w:tc>
          <w:tcPr>
            <w:tcW w:w="1493" w:type="dxa"/>
          </w:tcPr>
          <w:p w14:paraId="0E7F3193" w14:textId="77777777" w:rsidR="00EC71E8" w:rsidRPr="00193C06" w:rsidRDefault="00EC71E8" w:rsidP="00193C06">
            <w:pPr>
              <w:jc w:val="center"/>
              <w:rPr>
                <w:rFonts w:ascii="Cambria" w:hAnsi="Cambria"/>
                <w:bCs/>
                <w:i/>
                <w:iCs/>
                <w:sz w:val="20"/>
                <w:szCs w:val="20"/>
              </w:rPr>
            </w:pPr>
            <w:r>
              <w:rPr>
                <w:rFonts w:ascii="Cambria" w:hAnsi="Cambria"/>
                <w:i/>
                <w:sz w:val="20"/>
              </w:rPr>
              <w:t>Cantidad desembarcada (kg)</w:t>
            </w:r>
          </w:p>
        </w:tc>
      </w:tr>
      <w:tr w:rsidR="00EC71E8" w:rsidRPr="00193C06" w14:paraId="2D78644D" w14:textId="77777777" w:rsidTr="00B30FF1">
        <w:tc>
          <w:tcPr>
            <w:tcW w:w="1427" w:type="dxa"/>
          </w:tcPr>
          <w:p w14:paraId="76DA0FC0" w14:textId="77777777" w:rsidR="00EC71E8" w:rsidRPr="00193C06" w:rsidRDefault="00EC71E8" w:rsidP="00193C06">
            <w:pPr>
              <w:jc w:val="center"/>
              <w:rPr>
                <w:rFonts w:ascii="Cambria" w:hAnsi="Cambria"/>
                <w:bCs/>
                <w:sz w:val="20"/>
                <w:szCs w:val="20"/>
              </w:rPr>
            </w:pPr>
            <w:r>
              <w:rPr>
                <w:rFonts w:ascii="Cambria" w:hAnsi="Cambria"/>
                <w:sz w:val="20"/>
              </w:rPr>
              <w:t>MAXIMUS en 2019</w:t>
            </w:r>
          </w:p>
        </w:tc>
        <w:tc>
          <w:tcPr>
            <w:tcW w:w="1168" w:type="dxa"/>
          </w:tcPr>
          <w:p w14:paraId="269B3D9A" w14:textId="77777777" w:rsidR="00EC71E8" w:rsidRPr="00372724" w:rsidRDefault="00EC71E8" w:rsidP="00193C06">
            <w:pPr>
              <w:jc w:val="center"/>
              <w:rPr>
                <w:rFonts w:ascii="Cambria" w:hAnsi="Cambria"/>
                <w:bCs/>
                <w:sz w:val="20"/>
                <w:szCs w:val="20"/>
              </w:rPr>
            </w:pPr>
            <w:r>
              <w:rPr>
                <w:rFonts w:ascii="Cambria" w:hAnsi="Cambria"/>
                <w:sz w:val="20"/>
              </w:rPr>
              <w:t>8</w:t>
            </w:r>
          </w:p>
        </w:tc>
        <w:tc>
          <w:tcPr>
            <w:tcW w:w="1242" w:type="dxa"/>
          </w:tcPr>
          <w:p w14:paraId="2C96F25F" w14:textId="77777777" w:rsidR="00EC71E8" w:rsidRPr="00372724" w:rsidRDefault="00EC71E8" w:rsidP="00193C06">
            <w:pPr>
              <w:jc w:val="center"/>
              <w:rPr>
                <w:rFonts w:ascii="Cambria" w:hAnsi="Cambria"/>
                <w:bCs/>
                <w:sz w:val="20"/>
                <w:szCs w:val="20"/>
              </w:rPr>
            </w:pPr>
            <w:r>
              <w:rPr>
                <w:rFonts w:ascii="Cambria" w:hAnsi="Cambria"/>
                <w:sz w:val="20"/>
              </w:rPr>
              <w:t>8</w:t>
            </w:r>
          </w:p>
        </w:tc>
        <w:tc>
          <w:tcPr>
            <w:tcW w:w="1267" w:type="dxa"/>
          </w:tcPr>
          <w:p w14:paraId="35DCED8B" w14:textId="77777777" w:rsidR="00EC71E8" w:rsidRPr="00372724" w:rsidRDefault="00EC71E8" w:rsidP="00193C06">
            <w:pPr>
              <w:jc w:val="center"/>
              <w:rPr>
                <w:rFonts w:ascii="Cambria" w:hAnsi="Cambria"/>
                <w:bCs/>
                <w:sz w:val="20"/>
                <w:szCs w:val="20"/>
              </w:rPr>
            </w:pPr>
            <w:r>
              <w:rPr>
                <w:rFonts w:ascii="Cambria" w:hAnsi="Cambria"/>
                <w:sz w:val="20"/>
              </w:rPr>
              <w:t>3.349.787</w:t>
            </w:r>
          </w:p>
        </w:tc>
        <w:tc>
          <w:tcPr>
            <w:tcW w:w="1470" w:type="dxa"/>
          </w:tcPr>
          <w:p w14:paraId="7791CED3" w14:textId="77777777" w:rsidR="00EC71E8" w:rsidRPr="00372724" w:rsidRDefault="00EC71E8" w:rsidP="00193C06">
            <w:pPr>
              <w:jc w:val="center"/>
              <w:rPr>
                <w:rFonts w:ascii="Cambria" w:hAnsi="Cambria"/>
                <w:bCs/>
                <w:sz w:val="20"/>
                <w:szCs w:val="20"/>
              </w:rPr>
            </w:pPr>
            <w:r>
              <w:rPr>
                <w:rFonts w:ascii="Cambria" w:hAnsi="Cambria"/>
                <w:sz w:val="20"/>
              </w:rPr>
              <w:t>9</w:t>
            </w:r>
          </w:p>
        </w:tc>
        <w:tc>
          <w:tcPr>
            <w:tcW w:w="1493" w:type="dxa"/>
          </w:tcPr>
          <w:p w14:paraId="2FB872FC" w14:textId="77777777" w:rsidR="00EC71E8" w:rsidRPr="00372724" w:rsidRDefault="00EC71E8" w:rsidP="00193C06">
            <w:pPr>
              <w:jc w:val="center"/>
              <w:rPr>
                <w:rFonts w:ascii="Cambria" w:hAnsi="Cambria"/>
                <w:bCs/>
                <w:sz w:val="20"/>
                <w:szCs w:val="20"/>
              </w:rPr>
            </w:pPr>
            <w:r>
              <w:rPr>
                <w:rFonts w:ascii="Cambria" w:hAnsi="Cambria"/>
                <w:sz w:val="20"/>
              </w:rPr>
              <w:t>8</w:t>
            </w:r>
          </w:p>
        </w:tc>
        <w:tc>
          <w:tcPr>
            <w:tcW w:w="1493" w:type="dxa"/>
          </w:tcPr>
          <w:p w14:paraId="521FEA9D" w14:textId="77777777" w:rsidR="00EC71E8" w:rsidRPr="00372724" w:rsidRDefault="00EC71E8" w:rsidP="00193C06">
            <w:pPr>
              <w:jc w:val="center"/>
              <w:rPr>
                <w:rFonts w:ascii="Cambria" w:hAnsi="Cambria"/>
                <w:bCs/>
                <w:sz w:val="20"/>
                <w:szCs w:val="20"/>
              </w:rPr>
            </w:pPr>
            <w:r>
              <w:rPr>
                <w:rFonts w:ascii="Cambria" w:hAnsi="Cambria"/>
                <w:sz w:val="20"/>
              </w:rPr>
              <w:t>1.499.069</w:t>
            </w:r>
          </w:p>
        </w:tc>
      </w:tr>
      <w:tr w:rsidR="00EC71E8" w:rsidRPr="00193C06" w14:paraId="57396B59" w14:textId="77777777" w:rsidTr="00B30FF1">
        <w:tc>
          <w:tcPr>
            <w:tcW w:w="1427" w:type="dxa"/>
          </w:tcPr>
          <w:p w14:paraId="7EAC9A96" w14:textId="77777777" w:rsidR="00EC71E8" w:rsidRPr="00193C06" w:rsidRDefault="00EC71E8" w:rsidP="00193C06">
            <w:pPr>
              <w:jc w:val="center"/>
              <w:rPr>
                <w:rFonts w:ascii="Cambria" w:hAnsi="Cambria"/>
                <w:bCs/>
                <w:sz w:val="20"/>
                <w:szCs w:val="20"/>
              </w:rPr>
            </w:pPr>
            <w:r>
              <w:rPr>
                <w:rFonts w:ascii="Cambria" w:hAnsi="Cambria"/>
                <w:sz w:val="20"/>
              </w:rPr>
              <w:t>MAXIMUS en 2020</w:t>
            </w:r>
          </w:p>
        </w:tc>
        <w:tc>
          <w:tcPr>
            <w:tcW w:w="1168" w:type="dxa"/>
          </w:tcPr>
          <w:p w14:paraId="3EB36AAC" w14:textId="77777777" w:rsidR="00EC71E8" w:rsidRPr="00372724" w:rsidRDefault="00EC71E8" w:rsidP="00193C06">
            <w:pPr>
              <w:jc w:val="center"/>
              <w:rPr>
                <w:rFonts w:ascii="Cambria" w:hAnsi="Cambria"/>
                <w:bCs/>
                <w:sz w:val="20"/>
                <w:szCs w:val="20"/>
              </w:rPr>
            </w:pPr>
            <w:r>
              <w:rPr>
                <w:rFonts w:ascii="Cambria" w:hAnsi="Cambria"/>
                <w:sz w:val="20"/>
              </w:rPr>
              <w:t>7</w:t>
            </w:r>
          </w:p>
        </w:tc>
        <w:tc>
          <w:tcPr>
            <w:tcW w:w="1242" w:type="dxa"/>
          </w:tcPr>
          <w:p w14:paraId="04101DD5" w14:textId="77777777" w:rsidR="00EC71E8" w:rsidRPr="00372724" w:rsidRDefault="00EC71E8" w:rsidP="00193C06">
            <w:pPr>
              <w:jc w:val="center"/>
              <w:rPr>
                <w:rFonts w:ascii="Cambria" w:hAnsi="Cambria"/>
                <w:bCs/>
                <w:sz w:val="20"/>
                <w:szCs w:val="20"/>
              </w:rPr>
            </w:pPr>
            <w:r>
              <w:rPr>
                <w:rFonts w:ascii="Cambria" w:hAnsi="Cambria"/>
                <w:sz w:val="20"/>
              </w:rPr>
              <w:t>7</w:t>
            </w:r>
          </w:p>
        </w:tc>
        <w:tc>
          <w:tcPr>
            <w:tcW w:w="1267" w:type="dxa"/>
          </w:tcPr>
          <w:p w14:paraId="79552395" w14:textId="77777777" w:rsidR="00EC71E8" w:rsidRPr="00372724" w:rsidRDefault="00EC71E8" w:rsidP="00193C06">
            <w:pPr>
              <w:jc w:val="center"/>
              <w:rPr>
                <w:rFonts w:ascii="Cambria" w:hAnsi="Cambria"/>
                <w:bCs/>
                <w:sz w:val="20"/>
                <w:szCs w:val="20"/>
              </w:rPr>
            </w:pPr>
            <w:r>
              <w:rPr>
                <w:rFonts w:ascii="Cambria" w:hAnsi="Cambria"/>
                <w:sz w:val="20"/>
              </w:rPr>
              <w:t>1.552.684</w:t>
            </w:r>
          </w:p>
        </w:tc>
        <w:tc>
          <w:tcPr>
            <w:tcW w:w="1470" w:type="dxa"/>
          </w:tcPr>
          <w:p w14:paraId="5242F59A" w14:textId="77777777" w:rsidR="00EC71E8" w:rsidRPr="00372724" w:rsidRDefault="00EC71E8" w:rsidP="00193C06">
            <w:pPr>
              <w:jc w:val="center"/>
              <w:rPr>
                <w:rFonts w:ascii="Cambria" w:hAnsi="Cambria"/>
                <w:bCs/>
                <w:sz w:val="20"/>
                <w:szCs w:val="20"/>
              </w:rPr>
            </w:pPr>
            <w:r>
              <w:rPr>
                <w:rFonts w:ascii="Cambria" w:hAnsi="Cambria"/>
                <w:sz w:val="20"/>
              </w:rPr>
              <w:t>6</w:t>
            </w:r>
          </w:p>
        </w:tc>
        <w:tc>
          <w:tcPr>
            <w:tcW w:w="1493" w:type="dxa"/>
          </w:tcPr>
          <w:p w14:paraId="6DD4F321" w14:textId="77777777" w:rsidR="00EC71E8" w:rsidRPr="00372724" w:rsidRDefault="00EC71E8" w:rsidP="00193C06">
            <w:pPr>
              <w:jc w:val="center"/>
              <w:rPr>
                <w:rFonts w:ascii="Cambria" w:hAnsi="Cambria"/>
                <w:bCs/>
                <w:sz w:val="20"/>
                <w:szCs w:val="20"/>
              </w:rPr>
            </w:pPr>
            <w:r>
              <w:rPr>
                <w:rFonts w:ascii="Cambria" w:hAnsi="Cambria"/>
                <w:sz w:val="20"/>
              </w:rPr>
              <w:t>6</w:t>
            </w:r>
          </w:p>
        </w:tc>
        <w:tc>
          <w:tcPr>
            <w:tcW w:w="1493" w:type="dxa"/>
          </w:tcPr>
          <w:p w14:paraId="1D801F31" w14:textId="77777777" w:rsidR="00EC71E8" w:rsidRPr="00372724" w:rsidRDefault="00EC71E8" w:rsidP="00193C06">
            <w:pPr>
              <w:jc w:val="center"/>
              <w:rPr>
                <w:rFonts w:ascii="Cambria" w:hAnsi="Cambria"/>
                <w:bCs/>
                <w:sz w:val="20"/>
                <w:szCs w:val="20"/>
              </w:rPr>
            </w:pPr>
            <w:r>
              <w:rPr>
                <w:rFonts w:ascii="Cambria" w:hAnsi="Cambria"/>
                <w:sz w:val="20"/>
              </w:rPr>
              <w:t>1.101.997</w:t>
            </w:r>
          </w:p>
        </w:tc>
      </w:tr>
      <w:tr w:rsidR="00EC71E8" w:rsidRPr="00193C06" w14:paraId="5F9C30A2" w14:textId="77777777" w:rsidTr="00B30FF1">
        <w:tc>
          <w:tcPr>
            <w:tcW w:w="1427" w:type="dxa"/>
          </w:tcPr>
          <w:p w14:paraId="50D81949" w14:textId="77777777" w:rsidR="00EC71E8" w:rsidRPr="00193C06" w:rsidRDefault="00EC71E8" w:rsidP="00193C06">
            <w:pPr>
              <w:jc w:val="center"/>
              <w:rPr>
                <w:rFonts w:ascii="Cambria" w:hAnsi="Cambria"/>
                <w:bCs/>
                <w:sz w:val="20"/>
                <w:szCs w:val="20"/>
              </w:rPr>
            </w:pPr>
            <w:r>
              <w:rPr>
                <w:rFonts w:ascii="Cambria" w:hAnsi="Cambria"/>
                <w:sz w:val="20"/>
              </w:rPr>
              <w:t>LISBOA en 2019</w:t>
            </w:r>
          </w:p>
        </w:tc>
        <w:tc>
          <w:tcPr>
            <w:tcW w:w="1168" w:type="dxa"/>
          </w:tcPr>
          <w:p w14:paraId="0D4EEB33" w14:textId="77777777" w:rsidR="00EC71E8" w:rsidRPr="00372724" w:rsidRDefault="00EC71E8" w:rsidP="00193C06">
            <w:pPr>
              <w:jc w:val="center"/>
              <w:rPr>
                <w:rFonts w:ascii="Cambria" w:hAnsi="Cambria"/>
                <w:bCs/>
                <w:sz w:val="20"/>
                <w:szCs w:val="20"/>
              </w:rPr>
            </w:pPr>
            <w:r>
              <w:rPr>
                <w:rFonts w:ascii="Cambria" w:hAnsi="Cambria"/>
                <w:sz w:val="20"/>
              </w:rPr>
              <w:t>10</w:t>
            </w:r>
          </w:p>
        </w:tc>
        <w:tc>
          <w:tcPr>
            <w:tcW w:w="1242" w:type="dxa"/>
          </w:tcPr>
          <w:p w14:paraId="27A1C9A9" w14:textId="77777777" w:rsidR="00EC71E8" w:rsidRPr="00372724" w:rsidRDefault="00EC71E8" w:rsidP="00193C06">
            <w:pPr>
              <w:jc w:val="center"/>
              <w:rPr>
                <w:rFonts w:ascii="Cambria" w:hAnsi="Cambria"/>
                <w:bCs/>
                <w:sz w:val="20"/>
                <w:szCs w:val="20"/>
              </w:rPr>
            </w:pPr>
            <w:r>
              <w:rPr>
                <w:rFonts w:ascii="Cambria" w:hAnsi="Cambria"/>
                <w:sz w:val="20"/>
              </w:rPr>
              <w:t>9</w:t>
            </w:r>
          </w:p>
        </w:tc>
        <w:tc>
          <w:tcPr>
            <w:tcW w:w="1267" w:type="dxa"/>
          </w:tcPr>
          <w:p w14:paraId="04C232D6" w14:textId="77777777" w:rsidR="00EC71E8" w:rsidRPr="00372724" w:rsidRDefault="00EC71E8" w:rsidP="00193C06">
            <w:pPr>
              <w:jc w:val="center"/>
              <w:rPr>
                <w:rFonts w:ascii="Cambria" w:hAnsi="Cambria"/>
                <w:bCs/>
                <w:sz w:val="20"/>
                <w:szCs w:val="20"/>
              </w:rPr>
            </w:pPr>
            <w:r>
              <w:rPr>
                <w:rFonts w:ascii="Cambria" w:hAnsi="Cambria"/>
                <w:sz w:val="20"/>
              </w:rPr>
              <w:t>1 658 759</w:t>
            </w:r>
          </w:p>
        </w:tc>
        <w:tc>
          <w:tcPr>
            <w:tcW w:w="1470" w:type="dxa"/>
          </w:tcPr>
          <w:p w14:paraId="2924F870" w14:textId="77777777" w:rsidR="00EC71E8" w:rsidRPr="00372724" w:rsidRDefault="00EC71E8" w:rsidP="00193C06">
            <w:pPr>
              <w:jc w:val="center"/>
              <w:rPr>
                <w:rFonts w:ascii="Cambria" w:hAnsi="Cambria"/>
                <w:bCs/>
                <w:sz w:val="20"/>
                <w:szCs w:val="20"/>
              </w:rPr>
            </w:pPr>
            <w:r>
              <w:rPr>
                <w:rFonts w:ascii="Cambria" w:hAnsi="Cambria"/>
                <w:sz w:val="20"/>
              </w:rPr>
              <w:t>11</w:t>
            </w:r>
          </w:p>
        </w:tc>
        <w:tc>
          <w:tcPr>
            <w:tcW w:w="1493" w:type="dxa"/>
          </w:tcPr>
          <w:p w14:paraId="0A5B991D" w14:textId="77777777" w:rsidR="00EC71E8" w:rsidRPr="00372724" w:rsidRDefault="00EC71E8" w:rsidP="00193C06">
            <w:pPr>
              <w:jc w:val="center"/>
              <w:rPr>
                <w:rFonts w:ascii="Cambria" w:hAnsi="Cambria"/>
                <w:bCs/>
                <w:sz w:val="20"/>
                <w:szCs w:val="20"/>
              </w:rPr>
            </w:pPr>
            <w:r>
              <w:rPr>
                <w:rFonts w:ascii="Cambria" w:hAnsi="Cambria"/>
                <w:sz w:val="20"/>
              </w:rPr>
              <w:t>11</w:t>
            </w:r>
          </w:p>
        </w:tc>
        <w:tc>
          <w:tcPr>
            <w:tcW w:w="1493" w:type="dxa"/>
          </w:tcPr>
          <w:p w14:paraId="770D9864" w14:textId="77777777" w:rsidR="00EC71E8" w:rsidRPr="00372724" w:rsidRDefault="00EC71E8" w:rsidP="00193C06">
            <w:pPr>
              <w:jc w:val="center"/>
              <w:rPr>
                <w:rFonts w:ascii="Cambria" w:hAnsi="Cambria"/>
                <w:bCs/>
                <w:sz w:val="20"/>
                <w:szCs w:val="20"/>
              </w:rPr>
            </w:pPr>
            <w:r>
              <w:rPr>
                <w:rFonts w:ascii="Cambria" w:hAnsi="Cambria"/>
                <w:sz w:val="20"/>
              </w:rPr>
              <w:t>2.161.934</w:t>
            </w:r>
          </w:p>
        </w:tc>
      </w:tr>
      <w:tr w:rsidR="00EC71E8" w:rsidRPr="00193C06" w14:paraId="6F138D64" w14:textId="77777777" w:rsidTr="00B30FF1">
        <w:tc>
          <w:tcPr>
            <w:tcW w:w="1427" w:type="dxa"/>
          </w:tcPr>
          <w:p w14:paraId="06029DE2" w14:textId="77777777" w:rsidR="00EC71E8" w:rsidRPr="00193C06" w:rsidRDefault="00EC71E8" w:rsidP="00193C06">
            <w:pPr>
              <w:jc w:val="center"/>
              <w:rPr>
                <w:rFonts w:ascii="Cambria" w:hAnsi="Cambria"/>
                <w:bCs/>
                <w:sz w:val="20"/>
                <w:szCs w:val="20"/>
              </w:rPr>
            </w:pPr>
            <w:r>
              <w:rPr>
                <w:rFonts w:ascii="Cambria" w:hAnsi="Cambria"/>
                <w:sz w:val="20"/>
              </w:rPr>
              <w:t>LISBOA en 2020</w:t>
            </w:r>
          </w:p>
        </w:tc>
        <w:tc>
          <w:tcPr>
            <w:tcW w:w="1168" w:type="dxa"/>
          </w:tcPr>
          <w:p w14:paraId="2D6F9136" w14:textId="77777777" w:rsidR="00EC71E8" w:rsidRPr="00372724" w:rsidRDefault="00EC71E8" w:rsidP="00193C06">
            <w:pPr>
              <w:jc w:val="center"/>
              <w:rPr>
                <w:rFonts w:ascii="Cambria" w:hAnsi="Cambria"/>
                <w:bCs/>
                <w:sz w:val="20"/>
                <w:szCs w:val="20"/>
              </w:rPr>
            </w:pPr>
            <w:r>
              <w:rPr>
                <w:rFonts w:ascii="Cambria" w:hAnsi="Cambria"/>
                <w:sz w:val="20"/>
              </w:rPr>
              <w:t>8</w:t>
            </w:r>
          </w:p>
        </w:tc>
        <w:tc>
          <w:tcPr>
            <w:tcW w:w="1242" w:type="dxa"/>
          </w:tcPr>
          <w:p w14:paraId="2C22A19B" w14:textId="77777777" w:rsidR="00EC71E8" w:rsidRPr="00372724" w:rsidRDefault="00EC71E8" w:rsidP="00193C06">
            <w:pPr>
              <w:jc w:val="center"/>
              <w:rPr>
                <w:rFonts w:ascii="Cambria" w:hAnsi="Cambria"/>
                <w:bCs/>
                <w:sz w:val="20"/>
                <w:szCs w:val="20"/>
              </w:rPr>
            </w:pPr>
            <w:r>
              <w:rPr>
                <w:rFonts w:ascii="Cambria" w:hAnsi="Cambria"/>
                <w:sz w:val="20"/>
              </w:rPr>
              <w:t>8</w:t>
            </w:r>
          </w:p>
        </w:tc>
        <w:tc>
          <w:tcPr>
            <w:tcW w:w="1267" w:type="dxa"/>
          </w:tcPr>
          <w:p w14:paraId="479E7ABE" w14:textId="77777777" w:rsidR="00EC71E8" w:rsidRPr="00372724" w:rsidRDefault="00EC71E8" w:rsidP="00193C06">
            <w:pPr>
              <w:jc w:val="center"/>
              <w:rPr>
                <w:rFonts w:ascii="Cambria" w:hAnsi="Cambria"/>
                <w:bCs/>
                <w:sz w:val="20"/>
                <w:szCs w:val="20"/>
              </w:rPr>
            </w:pPr>
            <w:r>
              <w:rPr>
                <w:rFonts w:ascii="Cambria" w:hAnsi="Cambria"/>
                <w:sz w:val="20"/>
              </w:rPr>
              <w:t>1.307.497</w:t>
            </w:r>
          </w:p>
        </w:tc>
        <w:tc>
          <w:tcPr>
            <w:tcW w:w="1470" w:type="dxa"/>
          </w:tcPr>
          <w:p w14:paraId="25D7B726" w14:textId="77777777" w:rsidR="00EC71E8" w:rsidRPr="00372724" w:rsidRDefault="00EC71E8" w:rsidP="00193C06">
            <w:pPr>
              <w:jc w:val="center"/>
              <w:rPr>
                <w:rFonts w:ascii="Cambria" w:hAnsi="Cambria"/>
                <w:bCs/>
                <w:sz w:val="20"/>
                <w:szCs w:val="20"/>
              </w:rPr>
            </w:pPr>
            <w:r>
              <w:rPr>
                <w:rFonts w:ascii="Cambria" w:hAnsi="Cambria"/>
                <w:sz w:val="20"/>
              </w:rPr>
              <w:t>8</w:t>
            </w:r>
          </w:p>
        </w:tc>
        <w:tc>
          <w:tcPr>
            <w:tcW w:w="1493" w:type="dxa"/>
          </w:tcPr>
          <w:p w14:paraId="5F99E466" w14:textId="77777777" w:rsidR="00EC71E8" w:rsidRPr="00372724" w:rsidRDefault="00EC71E8" w:rsidP="00193C06">
            <w:pPr>
              <w:jc w:val="center"/>
              <w:rPr>
                <w:rFonts w:ascii="Cambria" w:hAnsi="Cambria"/>
                <w:bCs/>
                <w:sz w:val="20"/>
                <w:szCs w:val="20"/>
              </w:rPr>
            </w:pPr>
            <w:r>
              <w:rPr>
                <w:rFonts w:ascii="Cambria" w:hAnsi="Cambria"/>
                <w:sz w:val="20"/>
              </w:rPr>
              <w:t>8</w:t>
            </w:r>
          </w:p>
        </w:tc>
        <w:tc>
          <w:tcPr>
            <w:tcW w:w="1493" w:type="dxa"/>
          </w:tcPr>
          <w:p w14:paraId="2DDC14B7" w14:textId="77777777" w:rsidR="00EC71E8" w:rsidRPr="00372724" w:rsidRDefault="00EC71E8" w:rsidP="00193C06">
            <w:pPr>
              <w:jc w:val="center"/>
              <w:rPr>
                <w:rFonts w:ascii="Cambria" w:hAnsi="Cambria"/>
                <w:bCs/>
                <w:sz w:val="20"/>
                <w:szCs w:val="20"/>
              </w:rPr>
            </w:pPr>
            <w:r>
              <w:rPr>
                <w:rFonts w:ascii="Cambria" w:hAnsi="Cambria"/>
                <w:sz w:val="20"/>
              </w:rPr>
              <w:t>1.756.289</w:t>
            </w:r>
          </w:p>
        </w:tc>
      </w:tr>
      <w:tr w:rsidR="00EC71E8" w:rsidRPr="00193C06" w14:paraId="39C60E78" w14:textId="77777777" w:rsidTr="00B30FF1">
        <w:tc>
          <w:tcPr>
            <w:tcW w:w="1427" w:type="dxa"/>
          </w:tcPr>
          <w:p w14:paraId="5C241828" w14:textId="77777777" w:rsidR="00EC71E8" w:rsidRPr="00193C06" w:rsidRDefault="00EC71E8" w:rsidP="00193C06">
            <w:pPr>
              <w:jc w:val="center"/>
              <w:rPr>
                <w:rFonts w:ascii="Cambria" w:hAnsi="Cambria"/>
                <w:bCs/>
                <w:sz w:val="20"/>
                <w:szCs w:val="20"/>
              </w:rPr>
            </w:pPr>
            <w:r>
              <w:rPr>
                <w:rFonts w:ascii="Cambria" w:hAnsi="Cambria"/>
                <w:sz w:val="20"/>
              </w:rPr>
              <w:t>TOTAL</w:t>
            </w:r>
          </w:p>
        </w:tc>
        <w:tc>
          <w:tcPr>
            <w:tcW w:w="1168" w:type="dxa"/>
          </w:tcPr>
          <w:p w14:paraId="6FBFA6D9" w14:textId="77777777" w:rsidR="00EC71E8" w:rsidRPr="00372724" w:rsidRDefault="00EC71E8" w:rsidP="00193C06">
            <w:pPr>
              <w:jc w:val="center"/>
              <w:rPr>
                <w:rFonts w:ascii="Cambria" w:hAnsi="Cambria"/>
                <w:bCs/>
                <w:sz w:val="20"/>
                <w:szCs w:val="20"/>
              </w:rPr>
            </w:pPr>
            <w:r>
              <w:rPr>
                <w:rFonts w:ascii="Cambria" w:hAnsi="Cambria"/>
                <w:sz w:val="20"/>
              </w:rPr>
              <w:t>33</w:t>
            </w:r>
          </w:p>
        </w:tc>
        <w:tc>
          <w:tcPr>
            <w:tcW w:w="1242" w:type="dxa"/>
          </w:tcPr>
          <w:p w14:paraId="2670B763" w14:textId="77777777" w:rsidR="00EC71E8" w:rsidRPr="00372724" w:rsidRDefault="00EC71E8" w:rsidP="00193C06">
            <w:pPr>
              <w:jc w:val="center"/>
              <w:rPr>
                <w:rFonts w:ascii="Cambria" w:hAnsi="Cambria"/>
                <w:bCs/>
                <w:sz w:val="20"/>
                <w:szCs w:val="20"/>
              </w:rPr>
            </w:pPr>
            <w:r>
              <w:rPr>
                <w:rFonts w:ascii="Cambria" w:hAnsi="Cambria"/>
                <w:sz w:val="20"/>
              </w:rPr>
              <w:t>32</w:t>
            </w:r>
          </w:p>
        </w:tc>
        <w:tc>
          <w:tcPr>
            <w:tcW w:w="1267" w:type="dxa"/>
          </w:tcPr>
          <w:p w14:paraId="4D3821D0" w14:textId="77777777" w:rsidR="00EC71E8" w:rsidRPr="00372724" w:rsidRDefault="00EC71E8" w:rsidP="00193C06">
            <w:pPr>
              <w:jc w:val="center"/>
              <w:rPr>
                <w:rFonts w:ascii="Cambria" w:hAnsi="Cambria"/>
                <w:bCs/>
                <w:sz w:val="20"/>
                <w:szCs w:val="20"/>
              </w:rPr>
            </w:pPr>
            <w:r>
              <w:rPr>
                <w:rFonts w:ascii="Cambria" w:hAnsi="Cambria"/>
                <w:sz w:val="20"/>
              </w:rPr>
              <w:t>7.868.727</w:t>
            </w:r>
          </w:p>
        </w:tc>
        <w:tc>
          <w:tcPr>
            <w:tcW w:w="1470" w:type="dxa"/>
          </w:tcPr>
          <w:p w14:paraId="7D760206" w14:textId="77777777" w:rsidR="00EC71E8" w:rsidRPr="00372724" w:rsidRDefault="00EC71E8" w:rsidP="00193C06">
            <w:pPr>
              <w:jc w:val="center"/>
              <w:rPr>
                <w:rFonts w:ascii="Cambria" w:hAnsi="Cambria"/>
                <w:bCs/>
                <w:sz w:val="20"/>
                <w:szCs w:val="20"/>
              </w:rPr>
            </w:pPr>
            <w:r>
              <w:rPr>
                <w:rFonts w:ascii="Cambria" w:hAnsi="Cambria"/>
                <w:sz w:val="20"/>
              </w:rPr>
              <w:t>34</w:t>
            </w:r>
          </w:p>
        </w:tc>
        <w:tc>
          <w:tcPr>
            <w:tcW w:w="1493" w:type="dxa"/>
          </w:tcPr>
          <w:p w14:paraId="33389BBD" w14:textId="77777777" w:rsidR="00EC71E8" w:rsidRPr="00372724" w:rsidRDefault="00EC71E8" w:rsidP="00193C06">
            <w:pPr>
              <w:jc w:val="center"/>
              <w:rPr>
                <w:rFonts w:ascii="Cambria" w:hAnsi="Cambria"/>
                <w:bCs/>
                <w:sz w:val="20"/>
                <w:szCs w:val="20"/>
              </w:rPr>
            </w:pPr>
            <w:r>
              <w:rPr>
                <w:rFonts w:ascii="Cambria" w:hAnsi="Cambria"/>
                <w:sz w:val="20"/>
              </w:rPr>
              <w:t>33</w:t>
            </w:r>
          </w:p>
        </w:tc>
        <w:tc>
          <w:tcPr>
            <w:tcW w:w="1493" w:type="dxa"/>
          </w:tcPr>
          <w:p w14:paraId="1DBB695E" w14:textId="77777777" w:rsidR="00EC71E8" w:rsidRPr="00372724" w:rsidRDefault="00EC71E8" w:rsidP="00193C06">
            <w:pPr>
              <w:jc w:val="center"/>
              <w:rPr>
                <w:rFonts w:ascii="Cambria" w:hAnsi="Cambria"/>
                <w:bCs/>
                <w:sz w:val="20"/>
                <w:szCs w:val="20"/>
              </w:rPr>
            </w:pPr>
            <w:r>
              <w:rPr>
                <w:rFonts w:ascii="Cambria" w:hAnsi="Cambria"/>
                <w:sz w:val="20"/>
              </w:rPr>
              <w:t>6.528.289</w:t>
            </w:r>
          </w:p>
        </w:tc>
      </w:tr>
    </w:tbl>
    <w:p w14:paraId="7E25EAD4" w14:textId="77777777" w:rsidR="00EC71E8" w:rsidRPr="00193C06" w:rsidRDefault="00EC71E8" w:rsidP="00193C06">
      <w:pPr>
        <w:spacing w:after="0" w:line="240" w:lineRule="auto"/>
        <w:ind w:left="1440"/>
        <w:rPr>
          <w:rFonts w:ascii="Cambria" w:hAnsi="Cambria"/>
          <w:bCs/>
          <w:i/>
          <w:iCs/>
          <w:sz w:val="20"/>
          <w:szCs w:val="20"/>
        </w:rPr>
      </w:pPr>
    </w:p>
    <w:p w14:paraId="13E94627" w14:textId="26348EE9" w:rsidR="00EC71E8" w:rsidRDefault="00EC71E8" w:rsidP="00193C06">
      <w:pPr>
        <w:spacing w:after="0" w:line="240" w:lineRule="auto"/>
        <w:jc w:val="both"/>
        <w:rPr>
          <w:rFonts w:ascii="Cambria" w:hAnsi="Cambria"/>
          <w:sz w:val="20"/>
          <w:szCs w:val="20"/>
        </w:rPr>
      </w:pPr>
      <w:r>
        <w:rPr>
          <w:rFonts w:ascii="Cambria" w:hAnsi="Cambria"/>
          <w:sz w:val="20"/>
        </w:rPr>
        <w:t>Como resultado, se desconocen las capturas desembarcadas por la flota palangrera de Senegal en 2019 y 2020. La falta de datos detallados sobre las capturas pone en duda la capacidad de Senegal para controlar las cuotas asignadas a su flota.</w:t>
      </w:r>
    </w:p>
    <w:p w14:paraId="6374CBA1" w14:textId="77777777" w:rsidR="00372724" w:rsidRPr="00193C06" w:rsidRDefault="00372724" w:rsidP="00193C06">
      <w:pPr>
        <w:spacing w:after="0" w:line="240" w:lineRule="auto"/>
        <w:jc w:val="both"/>
        <w:rPr>
          <w:rFonts w:ascii="Cambria" w:hAnsi="Cambria" w:cs="Times New Roman"/>
          <w:i/>
          <w:iCs/>
          <w:sz w:val="20"/>
          <w:szCs w:val="20"/>
        </w:rPr>
      </w:pPr>
    </w:p>
    <w:p w14:paraId="7734F7EB" w14:textId="2276CA47" w:rsidR="00EC71E8" w:rsidRPr="00193C06" w:rsidRDefault="00EC71E8" w:rsidP="00B07858">
      <w:pPr>
        <w:spacing w:after="0" w:line="240" w:lineRule="auto"/>
        <w:jc w:val="both"/>
        <w:rPr>
          <w:rFonts w:ascii="Cambria" w:hAnsi="Cambria"/>
          <w:bCs/>
          <w:i/>
          <w:iCs/>
          <w:sz w:val="20"/>
          <w:szCs w:val="20"/>
        </w:rPr>
      </w:pPr>
      <w:r>
        <w:rPr>
          <w:rFonts w:ascii="Cambria" w:hAnsi="Cambria"/>
          <w:sz w:val="20"/>
        </w:rPr>
        <w:t xml:space="preserve">La UE solicita que Senegal comparta con la UE, de forma bilateral, todos los manifiestos aduaneros expedidos a los buques que realizaron exportaciones ilegales a la UE y que se mencionan en el </w:t>
      </w:r>
      <w:r w:rsidRPr="00E02E02">
        <w:rPr>
          <w:rFonts w:ascii="Cambria" w:hAnsi="Cambria"/>
          <w:b/>
          <w:bCs/>
          <w:sz w:val="20"/>
        </w:rPr>
        <w:t>anexo 1,</w:t>
      </w:r>
      <w:r>
        <w:rPr>
          <w:rFonts w:ascii="Cambria" w:hAnsi="Cambria"/>
          <w:sz w:val="20"/>
        </w:rPr>
        <w:t xml:space="preserve"> primera tabla (título «Fecha de entrada de los buques en el puerto de desembarque de 2019 a 2020»).</w:t>
      </w:r>
    </w:p>
    <w:p w14:paraId="4617E396" w14:textId="77777777" w:rsidR="00EC71E8" w:rsidRPr="00193C06" w:rsidRDefault="00EC71E8" w:rsidP="00193C06">
      <w:pPr>
        <w:pStyle w:val="ListParagraph"/>
        <w:spacing w:after="0" w:line="240" w:lineRule="auto"/>
        <w:ind w:left="1800"/>
        <w:rPr>
          <w:rFonts w:ascii="Cambria" w:hAnsi="Cambria"/>
          <w:bCs/>
          <w:i/>
          <w:iCs/>
          <w:sz w:val="20"/>
          <w:szCs w:val="20"/>
        </w:rPr>
      </w:pPr>
    </w:p>
    <w:p w14:paraId="1D82DD04" w14:textId="42528C5B" w:rsidR="00EC71E8" w:rsidRDefault="00EC71E8" w:rsidP="00193C06">
      <w:pPr>
        <w:spacing w:after="0" w:line="240" w:lineRule="auto"/>
        <w:jc w:val="both"/>
        <w:rPr>
          <w:rFonts w:ascii="Cambria" w:hAnsi="Cambria"/>
          <w:sz w:val="20"/>
          <w:szCs w:val="20"/>
        </w:rPr>
      </w:pPr>
      <w:r>
        <w:rPr>
          <w:rFonts w:ascii="Cambria" w:hAnsi="Cambria"/>
          <w:sz w:val="20"/>
        </w:rPr>
        <w:t xml:space="preserve">En lo que respecta al procedimiento de registro del Ocean Star 1 y el Ocean Star 2, la UE toma nota de la información facilitada por Senegal, pero lamenta profundamente que dicha información no se haya facilitado en 2020, cuando el Ocean Star 2 fue incluido en la lista de buques IUU. </w:t>
      </w:r>
    </w:p>
    <w:p w14:paraId="5BDC8940" w14:textId="77777777" w:rsidR="004A184A" w:rsidRPr="00193C06" w:rsidRDefault="004A184A" w:rsidP="00193C06">
      <w:pPr>
        <w:spacing w:after="0" w:line="240" w:lineRule="auto"/>
        <w:jc w:val="both"/>
        <w:rPr>
          <w:rFonts w:ascii="Cambria" w:hAnsi="Cambria"/>
          <w:sz w:val="20"/>
          <w:szCs w:val="20"/>
        </w:rPr>
      </w:pPr>
    </w:p>
    <w:p w14:paraId="35FE8C1D" w14:textId="65996349" w:rsidR="00EC71E8" w:rsidRDefault="00EC71E8" w:rsidP="00193C06">
      <w:pPr>
        <w:spacing w:after="0" w:line="240" w:lineRule="auto"/>
        <w:jc w:val="both"/>
        <w:rPr>
          <w:rFonts w:ascii="Cambria" w:hAnsi="Cambria"/>
          <w:sz w:val="20"/>
          <w:szCs w:val="20"/>
        </w:rPr>
      </w:pPr>
      <w:r w:rsidRPr="00E02E02">
        <w:rPr>
          <w:rFonts w:ascii="Cambria" w:hAnsi="Cambria"/>
          <w:b/>
          <w:bCs/>
          <w:sz w:val="20"/>
        </w:rPr>
        <w:t>Como Estado rector del puerto</w:t>
      </w:r>
      <w:r>
        <w:rPr>
          <w:rFonts w:ascii="Cambria" w:hAnsi="Cambria"/>
          <w:sz w:val="20"/>
        </w:rPr>
        <w:t>, la información sobre los desembarques facilitada en relación con los buques Sage, Ricos n.º 3, Ricos n.º 6 y Mega n.º 2 sigue siendo incompleta. La UE solicita una vez más la información sobre los desembarques por especies. A la UE le preocupa especialmente que la información sobre los desembarques se refiera simplemente al «atún», sin desglosar por especies. La información proporcionada en la tabla 3 del documento tampoco es totalmente coherente con los datos facilitados el año pasado por Senegal (COC_312/2024_Addendum_1). Por ejemplo, el buque Sage aparece mencionado con dos desembarques en 2017 en el documento presentado este año, pero con exactamente la misma cantidad de pescado desembarcado que se indicaba el año pasado, en el que solo se mencionaba un desembarque de ese buque en 2017.</w:t>
      </w:r>
    </w:p>
    <w:p w14:paraId="59E0E70C" w14:textId="77777777" w:rsidR="00712A6A" w:rsidRPr="00193C06" w:rsidRDefault="00712A6A" w:rsidP="00193C06">
      <w:pPr>
        <w:spacing w:after="0" w:line="240" w:lineRule="auto"/>
        <w:jc w:val="both"/>
        <w:rPr>
          <w:rFonts w:ascii="Cambria" w:hAnsi="Cambria"/>
          <w:i/>
          <w:iCs/>
          <w:sz w:val="20"/>
          <w:szCs w:val="20"/>
        </w:rPr>
      </w:pPr>
    </w:p>
    <w:p w14:paraId="01520D2E" w14:textId="2BF9AD36" w:rsidR="00EC71E8" w:rsidRDefault="00EC71E8" w:rsidP="00193C06">
      <w:pPr>
        <w:spacing w:after="0" w:line="240" w:lineRule="auto"/>
        <w:jc w:val="both"/>
        <w:rPr>
          <w:rFonts w:ascii="Cambria" w:hAnsi="Cambria" w:cstheme="minorHAnsi"/>
          <w:sz w:val="20"/>
          <w:szCs w:val="20"/>
        </w:rPr>
      </w:pPr>
      <w:r>
        <w:rPr>
          <w:rFonts w:ascii="Cambria" w:hAnsi="Cambria"/>
          <w:sz w:val="20"/>
        </w:rPr>
        <w:t>La UE también señala que la información facilitada por Senegal confirma las escalas en Dakar de otros dos buques implicados en actividades IUU (Ocean Star 1 y Ocean Star 2). Esa información tampoco se comunicó en 2020, lo que habría permitido a ICCAT incluir también al Ocean Star 1 en la lista de buques IUU.</w:t>
      </w:r>
    </w:p>
    <w:p w14:paraId="667B7A55" w14:textId="77777777" w:rsidR="008F2B75" w:rsidRPr="00E76F1E" w:rsidRDefault="008F2B75" w:rsidP="00193C06">
      <w:pPr>
        <w:spacing w:after="0" w:line="240" w:lineRule="auto"/>
        <w:jc w:val="both"/>
        <w:rPr>
          <w:rFonts w:ascii="Cambria" w:hAnsi="Cambria" w:cs="Times New Roman"/>
          <w:bCs/>
          <w:i/>
          <w:iCs/>
          <w:sz w:val="20"/>
          <w:szCs w:val="20"/>
        </w:rPr>
      </w:pPr>
    </w:p>
    <w:p w14:paraId="1C2EBD2A" w14:textId="3BECB75E" w:rsidR="003A2623" w:rsidRDefault="003A2623" w:rsidP="00193C06">
      <w:pPr>
        <w:spacing w:after="0" w:line="240" w:lineRule="auto"/>
        <w:jc w:val="both"/>
        <w:rPr>
          <w:rFonts w:ascii="Cambria" w:hAnsi="Cambria"/>
          <w:sz w:val="20"/>
          <w:szCs w:val="20"/>
        </w:rPr>
      </w:pPr>
      <w:r>
        <w:rPr>
          <w:rFonts w:ascii="Cambria" w:hAnsi="Cambria"/>
          <w:sz w:val="20"/>
        </w:rPr>
        <w:t>A falta de un informe exhaustivo sobre las actividades y las capturas desembarcadas por los buques, la UE sigue sin estar en condiciones de evaluar si la sanción impuesta a Maximus, tal y como comunicó Senegal el año pasado en la reunión anual (COC_312/2024_Addendum_1), es proporcionada y disuasoria.</w:t>
      </w:r>
    </w:p>
    <w:p w14:paraId="1F193D42" w14:textId="77777777" w:rsidR="00176A3A" w:rsidRPr="00193C06" w:rsidRDefault="00176A3A" w:rsidP="00193C06">
      <w:pPr>
        <w:spacing w:after="0" w:line="240" w:lineRule="auto"/>
        <w:jc w:val="both"/>
        <w:rPr>
          <w:rFonts w:ascii="Cambria" w:hAnsi="Cambria"/>
          <w:bCs/>
          <w:i/>
          <w:iCs/>
          <w:sz w:val="20"/>
          <w:szCs w:val="20"/>
        </w:rPr>
      </w:pPr>
    </w:p>
    <w:p w14:paraId="481BC69B" w14:textId="24DD515E" w:rsidR="003A2623" w:rsidRPr="00E243D9" w:rsidRDefault="003A2623" w:rsidP="00193C06">
      <w:pPr>
        <w:spacing w:after="0" w:line="240" w:lineRule="auto"/>
        <w:jc w:val="both"/>
        <w:rPr>
          <w:rFonts w:ascii="Cambria" w:hAnsi="Cambria"/>
          <w:bCs/>
          <w:sz w:val="20"/>
          <w:szCs w:val="20"/>
        </w:rPr>
      </w:pPr>
      <w:r>
        <w:rPr>
          <w:rFonts w:ascii="Cambria" w:hAnsi="Cambria"/>
          <w:sz w:val="20"/>
        </w:rPr>
        <w:t xml:space="preserve">Además, aunque suponemos que esta investigación como Estado del pabellón ya ha concluido, entendemos que Senegal no tiene intención de imponer otras sanciones aparte de esta, que solo se aplicó al buque </w:t>
      </w:r>
      <w:r>
        <w:rPr>
          <w:rFonts w:ascii="Cambria" w:hAnsi="Cambria"/>
          <w:sz w:val="20"/>
        </w:rPr>
        <w:lastRenderedPageBreak/>
        <w:t>Maximus. Esto contradice el hecho de que otros buques participaron en estas actividades ilegales, así como la declaración realizada el año pasado en</w:t>
      </w:r>
      <w:r w:rsidR="00BA1B42">
        <w:rPr>
          <w:rFonts w:ascii="Cambria" w:hAnsi="Cambria"/>
          <w:sz w:val="20"/>
        </w:rPr>
        <w:t xml:space="preserve"> el documento</w:t>
      </w:r>
      <w:r>
        <w:rPr>
          <w:rFonts w:ascii="Cambria" w:hAnsi="Cambria"/>
          <w:sz w:val="20"/>
        </w:rPr>
        <w:t xml:space="preserve"> COC_312/2024_Addendum_1 («Senegal profundizará en las investigaciones sobre todas estas complejas cuestiones con el fin de determinar todas las ramificaciones de estos asuntos y de identificar mejor a los autores y sus niveles de </w:t>
      </w:r>
      <w:r w:rsidRPr="00E243D9">
        <w:rPr>
          <w:rFonts w:ascii="Cambria" w:hAnsi="Cambria"/>
          <w:sz w:val="20"/>
        </w:rPr>
        <w:t>responsabilidad. Se aplicarán las sanciones correspondientes»)</w:t>
      </w:r>
      <w:r w:rsidR="00E243D9">
        <w:rPr>
          <w:rFonts w:ascii="Cambria" w:hAnsi="Cambria"/>
          <w:sz w:val="20"/>
        </w:rPr>
        <w:t>.</w:t>
      </w:r>
      <w:r w:rsidRPr="00E243D9">
        <w:rPr>
          <w:rFonts w:ascii="Cambria" w:hAnsi="Cambria"/>
          <w:sz w:val="20"/>
        </w:rPr>
        <w:t xml:space="preserve"> La UE desea obtener aclaraciones de Senegal sobre este punto. </w:t>
      </w:r>
    </w:p>
    <w:p w14:paraId="1B41F36F" w14:textId="77777777" w:rsidR="00580E4C" w:rsidRPr="00E243D9" w:rsidRDefault="00580E4C" w:rsidP="00193C06">
      <w:pPr>
        <w:spacing w:after="0" w:line="240" w:lineRule="auto"/>
        <w:rPr>
          <w:rFonts w:ascii="Cambria" w:hAnsi="Cambria" w:cstheme="minorHAnsi"/>
          <w:sz w:val="20"/>
          <w:szCs w:val="20"/>
        </w:rPr>
      </w:pPr>
    </w:p>
    <w:p w14:paraId="542E2F9A" w14:textId="4C53E222" w:rsidR="003A2623" w:rsidRDefault="00172991" w:rsidP="00193C06">
      <w:pPr>
        <w:spacing w:after="0" w:line="240" w:lineRule="auto"/>
        <w:jc w:val="both"/>
        <w:rPr>
          <w:rFonts w:ascii="Cambria" w:hAnsi="Cambria" w:cstheme="minorHAnsi"/>
          <w:b/>
          <w:bCs/>
          <w:i/>
          <w:iCs/>
          <w:sz w:val="20"/>
          <w:szCs w:val="20"/>
        </w:rPr>
      </w:pPr>
      <w:r>
        <w:rPr>
          <w:rFonts w:ascii="Cambria" w:hAnsi="Cambria"/>
          <w:b/>
          <w:i/>
          <w:sz w:val="20"/>
        </w:rPr>
        <w:t>Posible incumplimiento de las Recomendaciones 19-02 y 21-01 de ICCAT (cuota de patudo asignada a Senegal)</w:t>
      </w:r>
    </w:p>
    <w:p w14:paraId="10F16868" w14:textId="77777777" w:rsidR="006877C6" w:rsidRPr="00193C06" w:rsidRDefault="006877C6" w:rsidP="00193C06">
      <w:pPr>
        <w:spacing w:after="0" w:line="240" w:lineRule="auto"/>
        <w:jc w:val="both"/>
        <w:rPr>
          <w:rFonts w:ascii="Cambria" w:hAnsi="Cambria" w:cstheme="minorHAnsi"/>
          <w:b/>
          <w:bCs/>
          <w:i/>
          <w:iCs/>
          <w:sz w:val="20"/>
          <w:szCs w:val="20"/>
        </w:rPr>
      </w:pPr>
    </w:p>
    <w:p w14:paraId="0AE4FA6B" w14:textId="77777777" w:rsidR="003A2623" w:rsidRDefault="003A2623" w:rsidP="00193C06">
      <w:pPr>
        <w:spacing w:after="0" w:line="240" w:lineRule="auto"/>
        <w:jc w:val="both"/>
        <w:rPr>
          <w:rFonts w:ascii="Cambria" w:hAnsi="Cambria"/>
          <w:sz w:val="20"/>
        </w:rPr>
      </w:pPr>
      <w:r>
        <w:rPr>
          <w:rFonts w:ascii="Cambria" w:hAnsi="Cambria"/>
          <w:sz w:val="20"/>
        </w:rPr>
        <w:t xml:space="preserve">La UE tiene serios problemas con la respuesta proporcionada por Senegal y pide al COC que saque todas las conclusiones necesarias de la falta de cooperación de Senegal en este asunto. </w:t>
      </w:r>
    </w:p>
    <w:p w14:paraId="34279FB6" w14:textId="77777777" w:rsidR="00E243D9" w:rsidRPr="00193C06" w:rsidRDefault="00E243D9" w:rsidP="00193C06">
      <w:pPr>
        <w:spacing w:after="0" w:line="240" w:lineRule="auto"/>
        <w:jc w:val="both"/>
        <w:rPr>
          <w:rFonts w:ascii="Cambria" w:hAnsi="Cambria" w:cstheme="minorHAnsi"/>
          <w:sz w:val="20"/>
          <w:szCs w:val="20"/>
        </w:rPr>
      </w:pPr>
    </w:p>
    <w:p w14:paraId="0D679BB0" w14:textId="6BADFFCA" w:rsidR="003A2623" w:rsidRDefault="003A2623" w:rsidP="00193C06">
      <w:pPr>
        <w:spacing w:after="0" w:line="240" w:lineRule="auto"/>
        <w:jc w:val="both"/>
        <w:rPr>
          <w:rFonts w:ascii="Cambria" w:hAnsi="Cambria" w:cstheme="minorHAnsi"/>
          <w:sz w:val="20"/>
          <w:szCs w:val="20"/>
        </w:rPr>
      </w:pPr>
      <w:r>
        <w:rPr>
          <w:rFonts w:ascii="Cambria" w:hAnsi="Cambria"/>
          <w:sz w:val="20"/>
        </w:rPr>
        <w:t>En primer lugar, la UE llama la atención del COC sobre el hecho de que Senegal no haya aclarado ninguna de las incoherencias señaladas por la UE, con la excepción de las 54 t de patudo capturadas en 2021 por la flota artesanal, que, según ha confirmado Senegal, se omitieron del total de capturas notificadas para el ejercicio de control de cuotas.</w:t>
      </w:r>
    </w:p>
    <w:p w14:paraId="62456B5A" w14:textId="77777777" w:rsidR="00A1727E" w:rsidRPr="00193C06" w:rsidRDefault="00A1727E" w:rsidP="00193C06">
      <w:pPr>
        <w:spacing w:after="0" w:line="240" w:lineRule="auto"/>
        <w:jc w:val="both"/>
        <w:rPr>
          <w:rFonts w:ascii="Cambria" w:hAnsi="Cambria" w:cstheme="minorHAnsi"/>
          <w:sz w:val="20"/>
          <w:szCs w:val="20"/>
        </w:rPr>
      </w:pPr>
    </w:p>
    <w:p w14:paraId="5ACC66FC" w14:textId="3D45D51F" w:rsidR="003A2623" w:rsidRPr="002C19D8" w:rsidRDefault="003A2623" w:rsidP="00A1727E">
      <w:pPr>
        <w:pStyle w:val="ListParagraph"/>
        <w:numPr>
          <w:ilvl w:val="0"/>
          <w:numId w:val="5"/>
        </w:numPr>
        <w:spacing w:after="0" w:line="240" w:lineRule="auto"/>
        <w:ind w:left="426" w:hanging="426"/>
        <w:jc w:val="both"/>
        <w:rPr>
          <w:rFonts w:ascii="Cambria" w:hAnsi="Cambria"/>
          <w:sz w:val="20"/>
          <w:szCs w:val="20"/>
        </w:rPr>
      </w:pPr>
      <w:r w:rsidRPr="002C19D8">
        <w:rPr>
          <w:rFonts w:ascii="Cambria" w:hAnsi="Cambria"/>
          <w:sz w:val="20"/>
        </w:rPr>
        <w:t>Senegal no aclara por qué solo se notificaron 756</w:t>
      </w:r>
      <w:r w:rsidRPr="002C19D8">
        <w:rPr>
          <w:rStyle w:val="FootnoteReference"/>
          <w:rFonts w:ascii="Cambria" w:hAnsi="Cambria"/>
          <w:sz w:val="20"/>
          <w:szCs w:val="20"/>
        </w:rPr>
        <w:footnoteReference w:id="1"/>
      </w:r>
      <w:r w:rsidRPr="002C19D8">
        <w:rPr>
          <w:rFonts w:ascii="Cambria" w:hAnsi="Cambria"/>
          <w:sz w:val="20"/>
        </w:rPr>
        <w:t xml:space="preserve"> t de capturas de patudo en 2021, mientras que los datos de importación de la UE ya muestran que se importó un mínimo de 802 t en la UE. Además, estas 802 t no incluyen ninguna importación procedente de los cinco cerqueros cuyos datos de capturas de 2021 se publican en el informe del Marine Stewardship Council elaborado para esta pesquería, ni de uno de los otros dos cerqueros con pabellón senegalés que faenaron ese año. Según los datos del </w:t>
      </w:r>
      <w:r w:rsidR="00393898" w:rsidRPr="002C19D8">
        <w:rPr>
          <w:rFonts w:ascii="Cambria" w:hAnsi="Cambria"/>
          <w:sz w:val="20"/>
        </w:rPr>
        <w:t>cuaderno</w:t>
      </w:r>
      <w:r w:rsidRPr="002C19D8">
        <w:rPr>
          <w:rFonts w:ascii="Cambria" w:hAnsi="Cambria"/>
          <w:sz w:val="20"/>
        </w:rPr>
        <w:t xml:space="preserve"> de pesca disponibles en el informe, el total de capturas de patudo realizadas por estos buques en 2021 fue de 501 t</w:t>
      </w:r>
      <w:r w:rsidR="00A1169C" w:rsidRPr="002C19D8">
        <w:rPr>
          <w:rStyle w:val="FootnoteReference"/>
          <w:rFonts w:ascii="Cambria" w:hAnsi="Cambria"/>
          <w:sz w:val="20"/>
          <w:szCs w:val="20"/>
        </w:rPr>
        <w:footnoteReference w:id="2"/>
      </w:r>
      <w:r w:rsidRPr="002C19D8">
        <w:rPr>
          <w:rFonts w:ascii="Cambria" w:hAnsi="Cambria"/>
          <w:sz w:val="20"/>
        </w:rPr>
        <w:t>. Si sumamos esta captura a la mínima importada a la UE y a la artesanal (501 + 802 + 54), obtenemos una cantidad que ya supera la cuota de Senegal para 2021 (1357 toneladas frente a 1322 toneladas). Y, por supuesto, esta cifra dista mucho de ser exhaustiva, por ejemplo, porque los buques que exportaban a la UE no exportaban todas sus capturas al mercado europeo</w:t>
      </w:r>
      <w:r w:rsidR="006E5C25" w:rsidRPr="002C19D8">
        <w:rPr>
          <w:rStyle w:val="FootnoteReference"/>
          <w:rFonts w:ascii="Cambria" w:hAnsi="Cambria"/>
          <w:sz w:val="20"/>
        </w:rPr>
        <w:footnoteReference w:id="3"/>
      </w:r>
      <w:r w:rsidRPr="002C19D8">
        <w:rPr>
          <w:rFonts w:ascii="Cambria" w:hAnsi="Cambria"/>
          <w:sz w:val="20"/>
        </w:rPr>
        <w:t>. A este respecto, la UE insta a todos las demás CPC que hayan importado patudo procedente de Senegal a que también compartan sus datos de importación.</w:t>
      </w:r>
    </w:p>
    <w:p w14:paraId="6E97A64A" w14:textId="77777777" w:rsidR="003A2623" w:rsidRPr="00193C06" w:rsidRDefault="003A2623" w:rsidP="00193C06">
      <w:pPr>
        <w:pStyle w:val="ListParagraph"/>
        <w:spacing w:after="0" w:line="240" w:lineRule="auto"/>
        <w:jc w:val="both"/>
        <w:rPr>
          <w:rFonts w:ascii="Cambria" w:hAnsi="Cambria" w:cstheme="minorHAnsi"/>
          <w:sz w:val="20"/>
          <w:szCs w:val="20"/>
        </w:rPr>
      </w:pPr>
    </w:p>
    <w:p w14:paraId="4AD34F6E" w14:textId="19F86564" w:rsidR="003A2623" w:rsidRPr="00193C06" w:rsidRDefault="003A2623" w:rsidP="002E1DE7">
      <w:pPr>
        <w:pStyle w:val="ListParagraph"/>
        <w:numPr>
          <w:ilvl w:val="0"/>
          <w:numId w:val="5"/>
        </w:numPr>
        <w:spacing w:after="0" w:line="240" w:lineRule="auto"/>
        <w:ind w:left="426" w:hanging="426"/>
        <w:jc w:val="both"/>
        <w:rPr>
          <w:rFonts w:ascii="Cambria" w:hAnsi="Cambria"/>
          <w:sz w:val="20"/>
          <w:szCs w:val="20"/>
        </w:rPr>
      </w:pPr>
      <w:r>
        <w:rPr>
          <w:rFonts w:ascii="Cambria" w:hAnsi="Cambria"/>
          <w:sz w:val="20"/>
        </w:rPr>
        <w:t>Senegal no aclara la incoherencia de los datos sobre capturas con caña y línea que comunicó a ICCAT. Al menos 175 t capturadas por buques senegaleses con caña y línea en el año 2022 fueron certificadas en los certificados de captura de la UE expedidos por Senegal, pero para ese mismo año Senegal notificó a ICCAT una captura total de patudo de 92 t para esta flota. La respuesta de Senegal no incluye ninguna explicación sobre esta discrepancia, aunque plantea serias dudas sobre la integridad de los informes presentados por Senegal, ya que ni siquiera las capturas sujetas a una certificación específica para su exportación a la UE se comunicaron debidamente a ICCAT.</w:t>
      </w:r>
    </w:p>
    <w:p w14:paraId="279B1431" w14:textId="77777777" w:rsidR="003A2623" w:rsidRPr="00193C06" w:rsidRDefault="003A2623" w:rsidP="00193C06">
      <w:pPr>
        <w:pStyle w:val="ListParagraph"/>
        <w:spacing w:after="0" w:line="240" w:lineRule="auto"/>
        <w:jc w:val="both"/>
        <w:rPr>
          <w:rFonts w:ascii="Cambria" w:hAnsi="Cambria" w:cstheme="minorHAnsi"/>
          <w:sz w:val="20"/>
          <w:szCs w:val="20"/>
        </w:rPr>
      </w:pPr>
    </w:p>
    <w:p w14:paraId="03625E7E" w14:textId="5261A7D3" w:rsidR="003A2623" w:rsidRPr="00193C06" w:rsidRDefault="003A2623" w:rsidP="00193C06">
      <w:pPr>
        <w:spacing w:after="0" w:line="240" w:lineRule="auto"/>
        <w:jc w:val="both"/>
        <w:rPr>
          <w:rFonts w:ascii="Cambria" w:hAnsi="Cambria" w:cstheme="minorHAnsi"/>
          <w:sz w:val="20"/>
          <w:szCs w:val="20"/>
        </w:rPr>
      </w:pPr>
      <w:r>
        <w:rPr>
          <w:rFonts w:ascii="Cambria" w:hAnsi="Cambria"/>
          <w:sz w:val="20"/>
        </w:rPr>
        <w:t xml:space="preserve">En segundo lugar, la UE llama la atención del COC sobre las incoherencias estadísticas de los datos comunicados por Senegal, especialmente cuando se compara la cantidad de patudo por día de pesca en las exportaciones a la UE con la cantidad de patudo por día de pesca en el resto de las capturas comunicadas por Senegal. Senegal rechaza las peticiones de la UE de aclarar estos datos con una declaración en la que afirma que no había ningún incentivo para falsear sus capturas de patudo, ya que, en 2021, estas se situaban muy por debajo de la cuota asignada a Senegal. Este </w:t>
      </w:r>
      <w:r w:rsidR="00462F44">
        <w:rPr>
          <w:rFonts w:ascii="Cambria" w:hAnsi="Cambria"/>
          <w:sz w:val="20"/>
        </w:rPr>
        <w:t>argumento deja</w:t>
      </w:r>
      <w:r>
        <w:rPr>
          <w:rFonts w:ascii="Cambria" w:hAnsi="Cambria"/>
          <w:sz w:val="20"/>
        </w:rPr>
        <w:t xml:space="preserve"> de lado el hecho de que: </w:t>
      </w:r>
    </w:p>
    <w:p w14:paraId="6FCFAE36" w14:textId="77777777" w:rsidR="003A2623" w:rsidRPr="00193C06" w:rsidRDefault="003A2623" w:rsidP="00193C06">
      <w:pPr>
        <w:pStyle w:val="ListParagraph"/>
        <w:spacing w:after="0" w:line="240" w:lineRule="auto"/>
        <w:ind w:left="360"/>
        <w:jc w:val="both"/>
        <w:rPr>
          <w:rFonts w:ascii="Cambria" w:hAnsi="Cambria" w:cstheme="minorHAnsi"/>
          <w:sz w:val="20"/>
          <w:szCs w:val="20"/>
        </w:rPr>
      </w:pPr>
    </w:p>
    <w:p w14:paraId="0D5B2E6E" w14:textId="38F1C69C" w:rsidR="003A2623" w:rsidRPr="00193C06" w:rsidRDefault="00D81893" w:rsidP="002E1DE7">
      <w:pPr>
        <w:pStyle w:val="ListParagraph"/>
        <w:numPr>
          <w:ilvl w:val="0"/>
          <w:numId w:val="7"/>
        </w:numPr>
        <w:spacing w:after="0" w:line="240" w:lineRule="auto"/>
        <w:ind w:left="851" w:hanging="425"/>
        <w:jc w:val="both"/>
        <w:rPr>
          <w:rFonts w:ascii="Cambria" w:hAnsi="Cambria" w:cstheme="minorHAnsi"/>
          <w:sz w:val="20"/>
          <w:szCs w:val="20"/>
        </w:rPr>
      </w:pPr>
      <w:r>
        <w:rPr>
          <w:rFonts w:ascii="Cambria" w:hAnsi="Cambria"/>
          <w:sz w:val="20"/>
        </w:rPr>
        <w:t xml:space="preserve">Como ya se ha mencionado, los datos presentados por la UE apuntan claramente a un rebasamiento de la cuota de 2021. </w:t>
      </w:r>
    </w:p>
    <w:p w14:paraId="7E10D925" w14:textId="77777777" w:rsidR="003A2623" w:rsidRPr="00193C06" w:rsidRDefault="003A2623" w:rsidP="00193C06">
      <w:pPr>
        <w:pStyle w:val="ListParagraph"/>
        <w:spacing w:after="0" w:line="240" w:lineRule="auto"/>
        <w:ind w:left="360"/>
        <w:jc w:val="both"/>
        <w:rPr>
          <w:rFonts w:ascii="Cambria" w:hAnsi="Cambria" w:cstheme="minorHAnsi"/>
          <w:sz w:val="20"/>
          <w:szCs w:val="20"/>
        </w:rPr>
      </w:pPr>
    </w:p>
    <w:p w14:paraId="67676091" w14:textId="37B4B9FF" w:rsidR="003A2623" w:rsidRPr="00193C06" w:rsidRDefault="00D81893" w:rsidP="002E1DE7">
      <w:pPr>
        <w:pStyle w:val="ListParagraph"/>
        <w:numPr>
          <w:ilvl w:val="0"/>
          <w:numId w:val="7"/>
        </w:numPr>
        <w:spacing w:after="0" w:line="240" w:lineRule="auto"/>
        <w:ind w:left="851" w:hanging="425"/>
        <w:jc w:val="both"/>
        <w:rPr>
          <w:rFonts w:ascii="Cambria" w:hAnsi="Cambria" w:cstheme="minorHAnsi"/>
          <w:sz w:val="20"/>
          <w:szCs w:val="20"/>
        </w:rPr>
      </w:pPr>
      <w:r>
        <w:rPr>
          <w:rFonts w:ascii="Cambria" w:hAnsi="Cambria"/>
          <w:sz w:val="20"/>
        </w:rPr>
        <w:t>El número de cerqueros permaneció igual entre 2018 y 2023, pero estos mismos buques habrían pasado de una captura media anual de 2.206 t de patudo antes de 2021 a una captura media anual de 719 t después de 2021.</w:t>
      </w:r>
    </w:p>
    <w:p w14:paraId="03F08BE5" w14:textId="77777777" w:rsidR="003A2623" w:rsidRPr="00193C06" w:rsidRDefault="003A2623" w:rsidP="00193C06">
      <w:pPr>
        <w:pStyle w:val="ListParagraph"/>
        <w:spacing w:after="0" w:line="240" w:lineRule="auto"/>
        <w:ind w:left="360"/>
        <w:jc w:val="both"/>
        <w:rPr>
          <w:rFonts w:ascii="Cambria" w:hAnsi="Cambria" w:cstheme="minorHAnsi"/>
          <w:sz w:val="20"/>
          <w:szCs w:val="20"/>
        </w:rPr>
      </w:pPr>
    </w:p>
    <w:p w14:paraId="3E339547" w14:textId="1DA6EFEE" w:rsidR="003A2623" w:rsidRPr="00193C06" w:rsidRDefault="00D81893" w:rsidP="002E1DE7">
      <w:pPr>
        <w:pStyle w:val="ListParagraph"/>
        <w:numPr>
          <w:ilvl w:val="0"/>
          <w:numId w:val="7"/>
        </w:numPr>
        <w:spacing w:after="0" w:line="240" w:lineRule="auto"/>
        <w:ind w:left="851" w:hanging="425"/>
        <w:jc w:val="both"/>
        <w:rPr>
          <w:rFonts w:ascii="Cambria" w:hAnsi="Cambria" w:cstheme="minorHAnsi"/>
          <w:sz w:val="20"/>
          <w:szCs w:val="20"/>
        </w:rPr>
      </w:pPr>
      <w:r>
        <w:rPr>
          <w:rFonts w:ascii="Cambria" w:hAnsi="Cambria"/>
          <w:sz w:val="20"/>
        </w:rPr>
        <w:lastRenderedPageBreak/>
        <w:t xml:space="preserve">Esta reducción del 67 % de las capturas de patudo se habría logrado al tiempo que se aumentaba en un 52 % el total de capturas con redes de cerco, hasta el punto de que el patudo solo representaría el 1,3 % de las capturas realizadas por estos cerqueros. </w:t>
      </w:r>
    </w:p>
    <w:p w14:paraId="5BF28A66" w14:textId="77777777" w:rsidR="003A2623" w:rsidRPr="00193C06" w:rsidRDefault="003A2623" w:rsidP="00193C06">
      <w:pPr>
        <w:pStyle w:val="ListParagraph"/>
        <w:spacing w:after="0" w:line="240" w:lineRule="auto"/>
        <w:ind w:left="360"/>
        <w:jc w:val="both"/>
        <w:rPr>
          <w:rFonts w:ascii="Cambria" w:hAnsi="Cambria" w:cstheme="minorHAnsi"/>
          <w:sz w:val="20"/>
          <w:szCs w:val="20"/>
        </w:rPr>
      </w:pPr>
    </w:p>
    <w:p w14:paraId="02B46172" w14:textId="709A6154" w:rsidR="003A2623" w:rsidRDefault="003A2623" w:rsidP="00193C06">
      <w:pPr>
        <w:spacing w:after="0" w:line="240" w:lineRule="auto"/>
        <w:jc w:val="both"/>
        <w:rPr>
          <w:rFonts w:ascii="Cambria" w:hAnsi="Cambria" w:cstheme="minorHAnsi"/>
          <w:sz w:val="20"/>
          <w:szCs w:val="20"/>
        </w:rPr>
      </w:pPr>
      <w:r>
        <w:rPr>
          <w:rFonts w:ascii="Cambria" w:hAnsi="Cambria"/>
          <w:sz w:val="20"/>
        </w:rPr>
        <w:t xml:space="preserve">En tercer lugar, la UE no puede aceptar que Senegal rechace las conclusiones de un Estado miembro de la UE cuando los inspectores de pesca de dicho Estado miembro inspeccionaron las capturas realizadas en 2024 por el buque de pesca con caña y línea </w:t>
      </w:r>
      <w:proofErr w:type="spellStart"/>
      <w:r>
        <w:rPr>
          <w:rFonts w:ascii="Cambria" w:hAnsi="Cambria"/>
          <w:sz w:val="20"/>
        </w:rPr>
        <w:t>Cap</w:t>
      </w:r>
      <w:proofErr w:type="spellEnd"/>
      <w:r>
        <w:rPr>
          <w:rFonts w:ascii="Cambria" w:hAnsi="Cambria"/>
          <w:sz w:val="20"/>
        </w:rPr>
        <w:t xml:space="preserve"> Atlantique (exportadas a la UE en contenedores). Aunque los certificados de captura validados por Senegal hacían referencia a 32 t de patudo, los inspectores determinaron que en realidad había 134 t de patudo en estas capturas. La UE no acepta que Senegal cuestione estas conclusiones sin ninguna razón válida, y desea recordar que ya se comunicaron a Senegal en marzo de 2025, con la solicitud de que se aclarara el procedimiento para verificar las capturas notificadas por los operadores y las sanciones impuestas por Senegal. Senegal no ha facilitado ninguno de estos datos y, además, ha comunicado a ICCAT un total de capturas de patudo de solo 125 t para todos los buques de caña y línea que faenaron en 2024.</w:t>
      </w:r>
    </w:p>
    <w:p w14:paraId="17DA8A7E" w14:textId="77777777" w:rsidR="002E1DE7" w:rsidRPr="00193C06" w:rsidRDefault="002E1DE7" w:rsidP="00193C06">
      <w:pPr>
        <w:spacing w:after="0" w:line="240" w:lineRule="auto"/>
        <w:jc w:val="both"/>
        <w:rPr>
          <w:rFonts w:ascii="Cambria" w:hAnsi="Cambria" w:cstheme="minorHAnsi"/>
          <w:sz w:val="20"/>
          <w:szCs w:val="20"/>
        </w:rPr>
      </w:pPr>
    </w:p>
    <w:p w14:paraId="5D0B0597" w14:textId="14AEB195" w:rsidR="003A2623" w:rsidRDefault="003A2623" w:rsidP="00193C06">
      <w:pPr>
        <w:spacing w:after="0" w:line="240" w:lineRule="auto"/>
        <w:jc w:val="both"/>
        <w:rPr>
          <w:rFonts w:ascii="Cambria" w:hAnsi="Cambria" w:cstheme="minorHAnsi"/>
          <w:sz w:val="20"/>
          <w:szCs w:val="20"/>
        </w:rPr>
      </w:pPr>
      <w:r>
        <w:rPr>
          <w:rFonts w:ascii="Cambria" w:hAnsi="Cambria"/>
          <w:sz w:val="20"/>
        </w:rPr>
        <w:t>En resumen, la UE solicita al COC que tome nota de que Senegal no ha proporcionado las aclaraciones que se requerían con urgencia sobre los datos de capturas de patudo</w:t>
      </w:r>
      <w:r w:rsidR="00B82EB8">
        <w:rPr>
          <w:rFonts w:ascii="Cambria" w:hAnsi="Cambria"/>
          <w:sz w:val="20"/>
        </w:rPr>
        <w:t>,</w:t>
      </w:r>
      <w:r>
        <w:rPr>
          <w:rFonts w:ascii="Cambria" w:hAnsi="Cambria"/>
          <w:sz w:val="20"/>
        </w:rPr>
        <w:t xml:space="preserve"> y ha socavado directamente el proceso establecido en la Recomendación 08-09. En lugar de iniciar verificaciones sobre las incoherencias señaladas por la UE, Senegal optó por refutar de manera general cualquier cuestión y el COC se enfrenta ahora a una situación en la que ninguna de estas incoherencias ha sido aclarada, lo que contradice claramente los objetivos del proceso establecidos en la Rec. 08-09. </w:t>
      </w:r>
    </w:p>
    <w:p w14:paraId="17BCD88F" w14:textId="77777777" w:rsidR="002E1DE7" w:rsidRPr="00193C06" w:rsidRDefault="002E1DE7" w:rsidP="00193C06">
      <w:pPr>
        <w:spacing w:after="0" w:line="240" w:lineRule="auto"/>
        <w:jc w:val="both"/>
        <w:rPr>
          <w:rFonts w:ascii="Cambria" w:hAnsi="Cambria" w:cstheme="minorHAnsi"/>
          <w:sz w:val="20"/>
          <w:szCs w:val="20"/>
        </w:rPr>
      </w:pPr>
    </w:p>
    <w:p w14:paraId="0AE24E06" w14:textId="09B7EDCA" w:rsidR="003A2623" w:rsidRPr="00193C06" w:rsidRDefault="003A2623" w:rsidP="00193C06">
      <w:pPr>
        <w:spacing w:after="0" w:line="240" w:lineRule="auto"/>
        <w:jc w:val="both"/>
        <w:rPr>
          <w:rFonts w:ascii="Cambria" w:hAnsi="Cambria" w:cstheme="minorHAnsi"/>
          <w:sz w:val="20"/>
          <w:szCs w:val="20"/>
        </w:rPr>
      </w:pPr>
      <w:r>
        <w:rPr>
          <w:rFonts w:ascii="Cambria" w:hAnsi="Cambria"/>
          <w:sz w:val="20"/>
        </w:rPr>
        <w:t>La UE también insiste con firmeza en la necesidad de realizar una revisión científica de las capturas de los cerqueros comunicadas por Senegal, a fin de evaluar la plausibilidad de que sus capturas de patudo se desvíen completamente de las proporciones observadas en otras flotas de cerqueros.</w:t>
      </w:r>
    </w:p>
    <w:p w14:paraId="26D7F055" w14:textId="77777777" w:rsidR="003A2623" w:rsidRPr="00193C06" w:rsidRDefault="003A2623" w:rsidP="00193C06">
      <w:pPr>
        <w:spacing w:after="0" w:line="240" w:lineRule="auto"/>
        <w:jc w:val="both"/>
        <w:rPr>
          <w:rFonts w:ascii="Cambria" w:hAnsi="Cambria" w:cstheme="minorHAnsi"/>
          <w:sz w:val="20"/>
          <w:szCs w:val="20"/>
        </w:rPr>
      </w:pPr>
    </w:p>
    <w:p w14:paraId="452BB08A" w14:textId="7886BCA6" w:rsidR="003A2623" w:rsidRDefault="003A2623" w:rsidP="00193C06">
      <w:pPr>
        <w:spacing w:after="0" w:line="240" w:lineRule="auto"/>
        <w:jc w:val="both"/>
        <w:rPr>
          <w:rFonts w:ascii="Cambria" w:hAnsi="Cambria" w:cstheme="minorHAnsi"/>
          <w:b/>
          <w:bCs/>
          <w:i/>
          <w:iCs/>
          <w:sz w:val="20"/>
          <w:szCs w:val="20"/>
        </w:rPr>
      </w:pPr>
      <w:r>
        <w:rPr>
          <w:rFonts w:ascii="Cambria" w:hAnsi="Cambria"/>
          <w:b/>
          <w:i/>
          <w:sz w:val="20"/>
        </w:rPr>
        <w:t>Posible incumplimiento de la Recomendación 24-01 de ICCAT (veda a la pesca con DCP)</w:t>
      </w:r>
    </w:p>
    <w:p w14:paraId="3787431D" w14:textId="77777777" w:rsidR="002E1DE7" w:rsidRPr="00193C06" w:rsidRDefault="002E1DE7" w:rsidP="00193C06">
      <w:pPr>
        <w:spacing w:after="0" w:line="240" w:lineRule="auto"/>
        <w:jc w:val="both"/>
        <w:rPr>
          <w:rFonts w:ascii="Cambria" w:hAnsi="Cambria" w:cstheme="minorHAnsi"/>
          <w:b/>
          <w:bCs/>
          <w:i/>
          <w:iCs/>
          <w:sz w:val="20"/>
          <w:szCs w:val="20"/>
        </w:rPr>
      </w:pPr>
    </w:p>
    <w:p w14:paraId="382078CC" w14:textId="2DD7F35C" w:rsidR="003A2623" w:rsidRPr="00193C06" w:rsidRDefault="003A2623" w:rsidP="002E1DE7">
      <w:pPr>
        <w:pStyle w:val="ListParagraph"/>
        <w:numPr>
          <w:ilvl w:val="0"/>
          <w:numId w:val="1"/>
        </w:numPr>
        <w:spacing w:after="0" w:line="240" w:lineRule="auto"/>
        <w:ind w:left="851" w:hanging="425"/>
        <w:jc w:val="both"/>
        <w:rPr>
          <w:rFonts w:ascii="Cambria" w:hAnsi="Cambria" w:cstheme="minorHAnsi"/>
          <w:sz w:val="20"/>
          <w:szCs w:val="20"/>
        </w:rPr>
      </w:pPr>
      <w:r>
        <w:rPr>
          <w:rFonts w:ascii="Cambria" w:hAnsi="Cambria"/>
          <w:sz w:val="20"/>
        </w:rPr>
        <w:t>Además de los resultados esperados de la investigación llevada a cabo por Senegal, la UE solicita a Senegal que facilite los datos del sistema de seguimiento de buques (VMS) y del cuaderno de pesca del Sea Breeze correspondientes a esa marea.</w:t>
      </w:r>
    </w:p>
    <w:p w14:paraId="7BAA577F" w14:textId="77777777" w:rsidR="002244DD" w:rsidRPr="00193C06" w:rsidRDefault="002244DD" w:rsidP="00193C06">
      <w:pPr>
        <w:spacing w:after="0" w:line="240" w:lineRule="auto"/>
        <w:jc w:val="both"/>
        <w:rPr>
          <w:rFonts w:ascii="Cambria" w:hAnsi="Cambria" w:cstheme="minorHAnsi"/>
          <w:sz w:val="20"/>
          <w:szCs w:val="20"/>
        </w:rPr>
      </w:pPr>
    </w:p>
    <w:p w14:paraId="50C6FBB5" w14:textId="77777777" w:rsidR="003A2623" w:rsidRDefault="003A2623" w:rsidP="00193C06">
      <w:pPr>
        <w:spacing w:after="0" w:line="240" w:lineRule="auto"/>
        <w:jc w:val="both"/>
        <w:rPr>
          <w:rFonts w:ascii="Cambria" w:hAnsi="Cambria" w:cstheme="minorHAnsi"/>
          <w:b/>
          <w:bCs/>
          <w:i/>
          <w:iCs/>
          <w:sz w:val="20"/>
          <w:szCs w:val="20"/>
        </w:rPr>
      </w:pPr>
      <w:r>
        <w:rPr>
          <w:rFonts w:ascii="Cambria" w:hAnsi="Cambria"/>
          <w:b/>
          <w:i/>
          <w:sz w:val="20"/>
        </w:rPr>
        <w:t>Información sobre atún rojo</w:t>
      </w:r>
    </w:p>
    <w:p w14:paraId="6D158036" w14:textId="77777777" w:rsidR="002E1DE7" w:rsidRPr="00193C06" w:rsidRDefault="002E1DE7" w:rsidP="00193C06">
      <w:pPr>
        <w:spacing w:after="0" w:line="240" w:lineRule="auto"/>
        <w:jc w:val="both"/>
        <w:rPr>
          <w:rFonts w:ascii="Cambria" w:hAnsi="Cambria" w:cstheme="minorHAnsi"/>
          <w:b/>
          <w:bCs/>
          <w:i/>
          <w:iCs/>
          <w:sz w:val="20"/>
          <w:szCs w:val="20"/>
        </w:rPr>
      </w:pPr>
    </w:p>
    <w:p w14:paraId="7CB3212C" w14:textId="383220E8" w:rsidR="003A2623" w:rsidRDefault="003A2623" w:rsidP="002E1DE7">
      <w:pPr>
        <w:pStyle w:val="ListParagraph"/>
        <w:numPr>
          <w:ilvl w:val="0"/>
          <w:numId w:val="1"/>
        </w:numPr>
        <w:spacing w:after="0" w:line="240" w:lineRule="auto"/>
        <w:ind w:left="851" w:hanging="425"/>
        <w:jc w:val="both"/>
        <w:rPr>
          <w:rFonts w:ascii="Cambria" w:hAnsi="Cambria" w:cstheme="minorHAnsi"/>
          <w:sz w:val="20"/>
          <w:szCs w:val="20"/>
        </w:rPr>
      </w:pPr>
      <w:r>
        <w:rPr>
          <w:rFonts w:ascii="Cambria" w:hAnsi="Cambria"/>
          <w:sz w:val="20"/>
        </w:rPr>
        <w:t>Senegal ha comunicado 225 t de atún rojo para 2024 (COC_304/2025), mientras que en el documento PA2_27/i2025 presentado en la reunión de la Subcomisión 2 de ICCAT, celebrada en marzo de este año, la cantidad verificada en el desembarque de las capturas realizadas por el cerquero Granada el 29 de diciembre de 2024 ya era de 232 t.</w:t>
      </w:r>
    </w:p>
    <w:p w14:paraId="2CC9114E" w14:textId="77777777" w:rsidR="002E1DE7" w:rsidRPr="00193C06" w:rsidRDefault="002E1DE7" w:rsidP="002E1DE7">
      <w:pPr>
        <w:pStyle w:val="ListParagraph"/>
        <w:spacing w:after="0" w:line="240" w:lineRule="auto"/>
        <w:ind w:left="851"/>
        <w:jc w:val="both"/>
        <w:rPr>
          <w:rFonts w:ascii="Cambria" w:hAnsi="Cambria" w:cstheme="minorHAnsi"/>
          <w:sz w:val="20"/>
          <w:szCs w:val="20"/>
        </w:rPr>
      </w:pPr>
    </w:p>
    <w:p w14:paraId="7F0C8DB1" w14:textId="77777777" w:rsidR="003A2623" w:rsidRPr="00193C06" w:rsidRDefault="003A2623" w:rsidP="002E1DE7">
      <w:pPr>
        <w:pStyle w:val="ListParagraph"/>
        <w:numPr>
          <w:ilvl w:val="0"/>
          <w:numId w:val="1"/>
        </w:numPr>
        <w:spacing w:after="0" w:line="240" w:lineRule="auto"/>
        <w:ind w:left="851" w:hanging="425"/>
        <w:jc w:val="both"/>
        <w:rPr>
          <w:rFonts w:ascii="Cambria" w:hAnsi="Cambria" w:cstheme="minorHAnsi"/>
          <w:sz w:val="20"/>
          <w:szCs w:val="20"/>
        </w:rPr>
      </w:pPr>
      <w:r>
        <w:rPr>
          <w:rFonts w:ascii="Cambria" w:hAnsi="Cambria"/>
          <w:sz w:val="20"/>
        </w:rPr>
        <w:t xml:space="preserve">Por lo tanto, la UE solicita aclaraciones a Senegal sobre dicha información </w:t>
      </w:r>
    </w:p>
    <w:p w14:paraId="1FA4B11F" w14:textId="77777777" w:rsidR="003A2623" w:rsidRPr="00193C06" w:rsidRDefault="003A2623" w:rsidP="00193C06">
      <w:pPr>
        <w:pStyle w:val="ListParagraph"/>
        <w:spacing w:after="0" w:line="240" w:lineRule="auto"/>
        <w:ind w:left="1440"/>
        <w:jc w:val="both"/>
        <w:rPr>
          <w:rFonts w:ascii="Cambria" w:hAnsi="Cambria" w:cstheme="minorHAnsi"/>
          <w:sz w:val="20"/>
          <w:szCs w:val="20"/>
        </w:rPr>
      </w:pPr>
    </w:p>
    <w:p w14:paraId="0C2BA272" w14:textId="4DBF23C7" w:rsidR="003A2623" w:rsidRDefault="003A2623" w:rsidP="00193C06">
      <w:pPr>
        <w:spacing w:after="0" w:line="240" w:lineRule="auto"/>
        <w:jc w:val="both"/>
        <w:rPr>
          <w:rFonts w:ascii="Cambria" w:hAnsi="Cambria" w:cstheme="minorHAnsi"/>
          <w:b/>
          <w:bCs/>
          <w:sz w:val="20"/>
          <w:szCs w:val="20"/>
        </w:rPr>
      </w:pPr>
      <w:r>
        <w:rPr>
          <w:rFonts w:ascii="Cambria" w:hAnsi="Cambria"/>
          <w:b/>
          <w:sz w:val="20"/>
        </w:rPr>
        <w:t xml:space="preserve">En conclusión:  </w:t>
      </w:r>
    </w:p>
    <w:p w14:paraId="193F3E00" w14:textId="77777777" w:rsidR="002E1DE7" w:rsidRPr="00193C06" w:rsidRDefault="002E1DE7" w:rsidP="00193C06">
      <w:pPr>
        <w:spacing w:after="0" w:line="240" w:lineRule="auto"/>
        <w:jc w:val="both"/>
        <w:rPr>
          <w:rFonts w:ascii="Cambria" w:hAnsi="Cambria" w:cstheme="minorHAnsi"/>
          <w:b/>
          <w:bCs/>
          <w:sz w:val="20"/>
          <w:szCs w:val="20"/>
        </w:rPr>
      </w:pPr>
    </w:p>
    <w:p w14:paraId="025F0415" w14:textId="711566D7" w:rsidR="003A2623" w:rsidRDefault="003A2623" w:rsidP="002E1DE7">
      <w:pPr>
        <w:pStyle w:val="ListParagraph"/>
        <w:numPr>
          <w:ilvl w:val="0"/>
          <w:numId w:val="1"/>
        </w:numPr>
        <w:spacing w:after="0" w:line="240" w:lineRule="auto"/>
        <w:ind w:left="851" w:hanging="425"/>
        <w:jc w:val="both"/>
        <w:rPr>
          <w:rFonts w:ascii="Cambria" w:hAnsi="Cambria"/>
          <w:sz w:val="20"/>
          <w:szCs w:val="20"/>
        </w:rPr>
      </w:pPr>
      <w:r>
        <w:rPr>
          <w:rFonts w:ascii="Cambria" w:hAnsi="Cambria"/>
          <w:sz w:val="20"/>
        </w:rPr>
        <w:t xml:space="preserve">Las deficiencias críticas detectadas en el cumplimiento por parte de Senegal de sus obligaciones como Estado del pabellón y Estado rector del puerto socavan directamente el sistema de conservación y ordenación establecido por ICCAT y mantienen un riesgo desproporcionado de que el pescado capturado en clara violación de las normas de ICCAT se desembarque en Senegal y se exporte posteriormente a las Partes contratantes de ICCAT. </w:t>
      </w:r>
    </w:p>
    <w:p w14:paraId="43DD8F47" w14:textId="77777777" w:rsidR="002E1DE7" w:rsidRPr="00193C06" w:rsidRDefault="002E1DE7" w:rsidP="002E1DE7">
      <w:pPr>
        <w:pStyle w:val="ListParagraph"/>
        <w:spacing w:after="0" w:line="240" w:lineRule="auto"/>
        <w:ind w:left="851"/>
        <w:jc w:val="both"/>
        <w:rPr>
          <w:rFonts w:ascii="Cambria" w:hAnsi="Cambria"/>
          <w:sz w:val="20"/>
          <w:szCs w:val="20"/>
        </w:rPr>
      </w:pPr>
    </w:p>
    <w:p w14:paraId="122C5760" w14:textId="7DD75E70" w:rsidR="003A2623" w:rsidRPr="00193C06" w:rsidRDefault="003A2623" w:rsidP="002E1DE7">
      <w:pPr>
        <w:pStyle w:val="ListParagraph"/>
        <w:numPr>
          <w:ilvl w:val="0"/>
          <w:numId w:val="1"/>
        </w:numPr>
        <w:spacing w:after="0" w:line="240" w:lineRule="auto"/>
        <w:ind w:left="851" w:hanging="425"/>
        <w:jc w:val="both"/>
        <w:rPr>
          <w:rFonts w:ascii="Cambria" w:hAnsi="Cambria" w:cstheme="minorHAnsi"/>
          <w:sz w:val="20"/>
          <w:szCs w:val="20"/>
        </w:rPr>
      </w:pPr>
      <w:r>
        <w:rPr>
          <w:rFonts w:ascii="Cambria" w:hAnsi="Cambria"/>
          <w:sz w:val="20"/>
        </w:rPr>
        <w:t xml:space="preserve">Teniendo en cuenta el número de desembarques de especies de atún realizados en Senegal por buques que no figuraban en el Registro ICCAT de buques autorizados </w:t>
      </w:r>
      <w:r w:rsidRPr="00193C06">
        <w:rPr>
          <w:rStyle w:val="FootnoteReference"/>
          <w:rFonts w:ascii="Cambria" w:hAnsi="Cambria" w:cstheme="minorHAnsi"/>
          <w:sz w:val="20"/>
          <w:szCs w:val="20"/>
        </w:rPr>
        <w:footnoteReference w:id="4"/>
      </w:r>
      <w:r>
        <w:rPr>
          <w:rFonts w:ascii="Cambria" w:hAnsi="Cambria"/>
          <w:sz w:val="20"/>
        </w:rPr>
        <w:t xml:space="preserve">, la UE solicita que el incumplimiento de la Rec. 23-17 se añada a la lista de cuestiones identificadas en la Rec. 06-13. </w:t>
      </w:r>
    </w:p>
    <w:p w14:paraId="4A20B043" w14:textId="77777777" w:rsidR="003A2623" w:rsidRPr="00193C06" w:rsidRDefault="003A2623" w:rsidP="00193C06">
      <w:pPr>
        <w:pStyle w:val="ListParagraph"/>
        <w:spacing w:after="0" w:line="240" w:lineRule="auto"/>
        <w:jc w:val="both"/>
        <w:rPr>
          <w:rFonts w:ascii="Cambria" w:hAnsi="Cambria" w:cstheme="minorHAnsi"/>
          <w:sz w:val="20"/>
          <w:szCs w:val="20"/>
        </w:rPr>
      </w:pPr>
    </w:p>
    <w:p w14:paraId="5C5F66D2" w14:textId="6B4606FB" w:rsidR="00172991" w:rsidRPr="00193C06" w:rsidRDefault="009C6A06" w:rsidP="00193C06">
      <w:pPr>
        <w:tabs>
          <w:tab w:val="left" w:pos="3837"/>
        </w:tabs>
        <w:spacing w:after="0" w:line="240" w:lineRule="auto"/>
        <w:jc w:val="both"/>
        <w:rPr>
          <w:rFonts w:ascii="Cambria" w:hAnsi="Cambria"/>
          <w:b/>
          <w:sz w:val="20"/>
          <w:szCs w:val="20"/>
        </w:rPr>
      </w:pPr>
      <w:r>
        <w:rPr>
          <w:rFonts w:ascii="Cambria" w:hAnsi="Cambria"/>
          <w:b/>
          <w:sz w:val="20"/>
        </w:rPr>
        <w:tab/>
      </w:r>
    </w:p>
    <w:sectPr w:rsidR="00172991" w:rsidRPr="00193C06" w:rsidSect="003B464C">
      <w:head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A233" w14:textId="77777777" w:rsidR="00043850" w:rsidRDefault="00043850" w:rsidP="00172991">
      <w:pPr>
        <w:spacing w:after="0" w:line="240" w:lineRule="auto"/>
      </w:pPr>
      <w:r>
        <w:separator/>
      </w:r>
    </w:p>
  </w:endnote>
  <w:endnote w:type="continuationSeparator" w:id="0">
    <w:p w14:paraId="6FF04687" w14:textId="77777777" w:rsidR="00043850" w:rsidRDefault="00043850" w:rsidP="0017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5148" w14:textId="77777777" w:rsidR="00043850" w:rsidRDefault="00043850" w:rsidP="00172991">
      <w:pPr>
        <w:spacing w:after="0" w:line="240" w:lineRule="auto"/>
      </w:pPr>
      <w:r>
        <w:separator/>
      </w:r>
    </w:p>
  </w:footnote>
  <w:footnote w:type="continuationSeparator" w:id="0">
    <w:p w14:paraId="7A5C197C" w14:textId="77777777" w:rsidR="00043850" w:rsidRDefault="00043850" w:rsidP="00172991">
      <w:pPr>
        <w:spacing w:after="0" w:line="240" w:lineRule="auto"/>
      </w:pPr>
      <w:r>
        <w:continuationSeparator/>
      </w:r>
    </w:p>
  </w:footnote>
  <w:footnote w:id="1">
    <w:p w14:paraId="77232318" w14:textId="78FC09DC" w:rsidR="003A2623" w:rsidRPr="002E1DE7" w:rsidRDefault="003A2623" w:rsidP="002E1DE7">
      <w:pPr>
        <w:pStyle w:val="FootnoteText"/>
        <w:spacing w:after="0"/>
        <w:rPr>
          <w:rFonts w:ascii="Cambria" w:hAnsi="Cambria"/>
          <w:sz w:val="16"/>
          <w:szCs w:val="16"/>
        </w:rPr>
      </w:pPr>
      <w:r>
        <w:rPr>
          <w:rStyle w:val="FootnoteReference"/>
          <w:rFonts w:ascii="Cambria" w:eastAsiaTheme="majorEastAsia" w:hAnsi="Cambria"/>
          <w:sz w:val="16"/>
          <w:szCs w:val="16"/>
        </w:rPr>
        <w:footnoteRef/>
      </w:r>
      <w:r>
        <w:rPr>
          <w:rFonts w:ascii="Cambria" w:hAnsi="Cambria"/>
          <w:sz w:val="16"/>
        </w:rPr>
        <w:t xml:space="preserve"> 702 t procedentes de buques industriales + 54 t procedentes de barcos artesanales.</w:t>
      </w:r>
    </w:p>
  </w:footnote>
  <w:footnote w:id="2">
    <w:p w14:paraId="3E059ED8" w14:textId="78132B83" w:rsidR="00A1169C" w:rsidRPr="002E1DE7" w:rsidRDefault="00A1169C" w:rsidP="002E1DE7">
      <w:pPr>
        <w:pStyle w:val="FootnoteText"/>
        <w:spacing w:after="0"/>
        <w:ind w:left="0" w:firstLine="0"/>
        <w:rPr>
          <w:rFonts w:ascii="Cambria" w:hAnsi="Cambria"/>
          <w:sz w:val="16"/>
          <w:szCs w:val="16"/>
        </w:rPr>
      </w:pPr>
      <w:r>
        <w:rPr>
          <w:rStyle w:val="FootnoteReference"/>
          <w:rFonts w:ascii="Cambria" w:hAnsi="Cambria"/>
          <w:sz w:val="16"/>
          <w:szCs w:val="16"/>
        </w:rPr>
        <w:footnoteRef/>
      </w:r>
      <w:r>
        <w:rPr>
          <w:rFonts w:ascii="Cambria" w:hAnsi="Cambria"/>
          <w:sz w:val="16"/>
        </w:rPr>
        <w:t xml:space="preserve"> MSC, </w:t>
      </w:r>
      <w:proofErr w:type="spellStart"/>
      <w:r>
        <w:rPr>
          <w:rFonts w:ascii="Cambria" w:hAnsi="Cambria"/>
          <w:sz w:val="16"/>
        </w:rPr>
        <w:t>Initial</w:t>
      </w:r>
      <w:proofErr w:type="spellEnd"/>
      <w:r>
        <w:rPr>
          <w:rFonts w:ascii="Cambria" w:hAnsi="Cambria"/>
          <w:sz w:val="16"/>
        </w:rPr>
        <w:t xml:space="preserve"> </w:t>
      </w:r>
      <w:proofErr w:type="spellStart"/>
      <w:r>
        <w:rPr>
          <w:rFonts w:ascii="Cambria" w:hAnsi="Cambria"/>
          <w:sz w:val="16"/>
        </w:rPr>
        <w:t>Assessment</w:t>
      </w:r>
      <w:proofErr w:type="spellEnd"/>
      <w:r>
        <w:rPr>
          <w:rFonts w:ascii="Cambria" w:hAnsi="Cambria"/>
          <w:sz w:val="16"/>
        </w:rPr>
        <w:t xml:space="preserve">, Public </w:t>
      </w:r>
      <w:proofErr w:type="spellStart"/>
      <w:r>
        <w:rPr>
          <w:rFonts w:ascii="Cambria" w:hAnsi="Cambria"/>
          <w:sz w:val="16"/>
        </w:rPr>
        <w:t>Certification</w:t>
      </w:r>
      <w:proofErr w:type="spellEnd"/>
      <w:r>
        <w:rPr>
          <w:rFonts w:ascii="Cambria" w:hAnsi="Cambria"/>
          <w:sz w:val="16"/>
        </w:rPr>
        <w:t xml:space="preserve"> </w:t>
      </w:r>
      <w:proofErr w:type="spellStart"/>
      <w:r>
        <w:rPr>
          <w:rFonts w:ascii="Cambria" w:hAnsi="Cambria"/>
          <w:sz w:val="16"/>
        </w:rPr>
        <w:t>Report</w:t>
      </w:r>
      <w:proofErr w:type="spellEnd"/>
      <w:r>
        <w:rPr>
          <w:rFonts w:ascii="Cambria" w:hAnsi="Cambria"/>
          <w:sz w:val="16"/>
        </w:rPr>
        <w:t xml:space="preserve">, </w:t>
      </w:r>
      <w:proofErr w:type="spellStart"/>
      <w:r>
        <w:rPr>
          <w:rFonts w:ascii="Cambria" w:hAnsi="Cambria"/>
          <w:sz w:val="16"/>
        </w:rPr>
        <w:t>Capsen</w:t>
      </w:r>
      <w:proofErr w:type="spellEnd"/>
      <w:r>
        <w:rPr>
          <w:rFonts w:ascii="Cambria" w:hAnsi="Cambria"/>
          <w:sz w:val="16"/>
        </w:rPr>
        <w:t xml:space="preserve"> &amp; Grand Bleu Atlantic Ocean </w:t>
      </w:r>
      <w:proofErr w:type="spellStart"/>
      <w:r>
        <w:rPr>
          <w:rFonts w:ascii="Cambria" w:hAnsi="Cambria"/>
          <w:sz w:val="16"/>
        </w:rPr>
        <w:t>purse</w:t>
      </w:r>
      <w:proofErr w:type="spellEnd"/>
      <w:r>
        <w:rPr>
          <w:rFonts w:ascii="Cambria" w:hAnsi="Cambria"/>
          <w:sz w:val="16"/>
        </w:rPr>
        <w:t xml:space="preserve"> </w:t>
      </w:r>
      <w:proofErr w:type="spellStart"/>
      <w:r>
        <w:rPr>
          <w:rFonts w:ascii="Cambria" w:hAnsi="Cambria"/>
          <w:sz w:val="16"/>
        </w:rPr>
        <w:t>seine</w:t>
      </w:r>
      <w:proofErr w:type="spellEnd"/>
      <w:r>
        <w:rPr>
          <w:rFonts w:ascii="Cambria" w:hAnsi="Cambria"/>
          <w:sz w:val="16"/>
        </w:rPr>
        <w:t xml:space="preserve"> </w:t>
      </w:r>
      <w:proofErr w:type="spellStart"/>
      <w:r>
        <w:rPr>
          <w:rFonts w:ascii="Cambria" w:hAnsi="Cambria"/>
          <w:sz w:val="16"/>
        </w:rPr>
        <w:t>skipjack</w:t>
      </w:r>
      <w:proofErr w:type="spellEnd"/>
      <w:r>
        <w:rPr>
          <w:rFonts w:ascii="Cambria" w:hAnsi="Cambria"/>
          <w:sz w:val="16"/>
        </w:rPr>
        <w:t xml:space="preserve"> and </w:t>
      </w:r>
      <w:proofErr w:type="spellStart"/>
      <w:r>
        <w:rPr>
          <w:rFonts w:ascii="Cambria" w:hAnsi="Cambria"/>
          <w:sz w:val="16"/>
        </w:rPr>
        <w:t>yellowfin</w:t>
      </w:r>
      <w:proofErr w:type="spellEnd"/>
      <w:r>
        <w:rPr>
          <w:rFonts w:ascii="Cambria" w:hAnsi="Cambria"/>
          <w:sz w:val="16"/>
        </w:rPr>
        <w:t xml:space="preserve"> tuna </w:t>
      </w:r>
      <w:proofErr w:type="spellStart"/>
      <w:r>
        <w:rPr>
          <w:rFonts w:ascii="Cambria" w:hAnsi="Cambria"/>
          <w:sz w:val="16"/>
        </w:rPr>
        <w:t>fishery</w:t>
      </w:r>
      <w:proofErr w:type="spellEnd"/>
      <w:r>
        <w:rPr>
          <w:rFonts w:ascii="Cambria" w:hAnsi="Cambria"/>
          <w:sz w:val="16"/>
        </w:rPr>
        <w:t>, November 2024, p.120.</w:t>
      </w:r>
    </w:p>
  </w:footnote>
  <w:footnote w:id="3">
    <w:p w14:paraId="3B0DCD25" w14:textId="78D2A633" w:rsidR="006E5C25" w:rsidRPr="00F11D75" w:rsidRDefault="006E5C25" w:rsidP="003E08BA">
      <w:pPr>
        <w:pStyle w:val="FootnoteText"/>
        <w:ind w:left="0" w:firstLine="69"/>
      </w:pPr>
      <w:r>
        <w:rPr>
          <w:rStyle w:val="FootnoteReference"/>
        </w:rPr>
        <w:footnoteRef/>
      </w:r>
      <w:r w:rsidRPr="00F11D75">
        <w:t xml:space="preserve"> </w:t>
      </w:r>
      <w:r w:rsidR="00F11D75" w:rsidRPr="00F11D75">
        <w:rPr>
          <w:rFonts w:ascii="Cambria" w:hAnsi="Cambria" w:cstheme="minorHAnsi"/>
          <w:sz w:val="16"/>
          <w:szCs w:val="16"/>
        </w:rPr>
        <w:t xml:space="preserve">  Por no mencionar que las 802 </w:t>
      </w:r>
      <w:r w:rsidR="00F11D75">
        <w:rPr>
          <w:rFonts w:ascii="Cambria" w:hAnsi="Cambria" w:cstheme="minorHAnsi"/>
          <w:sz w:val="16"/>
          <w:szCs w:val="16"/>
        </w:rPr>
        <w:t>t</w:t>
      </w:r>
      <w:r w:rsidR="00F11D75" w:rsidRPr="00F11D75">
        <w:rPr>
          <w:rFonts w:ascii="Cambria" w:hAnsi="Cambria" w:cstheme="minorHAnsi"/>
          <w:sz w:val="16"/>
          <w:szCs w:val="16"/>
        </w:rPr>
        <w:t xml:space="preserve"> mencionadas anteriormente no incluyen las capturas de BET procedentes de </w:t>
      </w:r>
      <w:r w:rsidR="00F11D75">
        <w:rPr>
          <w:rFonts w:ascii="Cambria" w:hAnsi="Cambria" w:cstheme="minorHAnsi"/>
          <w:sz w:val="16"/>
          <w:szCs w:val="16"/>
        </w:rPr>
        <w:t>mareas</w:t>
      </w:r>
      <w:r w:rsidR="00F11D75" w:rsidRPr="00F11D75">
        <w:rPr>
          <w:rFonts w:ascii="Cambria" w:hAnsi="Cambria" w:cstheme="minorHAnsi"/>
          <w:sz w:val="16"/>
          <w:szCs w:val="16"/>
        </w:rPr>
        <w:t xml:space="preserve"> de pesca que comenzaron en 2021 y finalizaron en 2022. La distribución prorrateada de estas capturas añadiría 62 </w:t>
      </w:r>
      <w:r w:rsidR="00F11D75">
        <w:rPr>
          <w:rFonts w:ascii="Cambria" w:hAnsi="Cambria" w:cstheme="minorHAnsi"/>
          <w:sz w:val="16"/>
          <w:szCs w:val="16"/>
        </w:rPr>
        <w:t>t</w:t>
      </w:r>
      <w:r w:rsidR="00F11D75" w:rsidRPr="00F11D75">
        <w:rPr>
          <w:rFonts w:ascii="Cambria" w:hAnsi="Cambria" w:cstheme="minorHAnsi"/>
          <w:sz w:val="16"/>
          <w:szCs w:val="16"/>
        </w:rPr>
        <w:t xml:space="preserve"> a la captura de 2021.</w:t>
      </w:r>
    </w:p>
  </w:footnote>
  <w:footnote w:id="4">
    <w:p w14:paraId="7B27313D" w14:textId="417F86F4" w:rsidR="003A2623" w:rsidRPr="00193C06" w:rsidRDefault="003A2623" w:rsidP="008207FD">
      <w:pPr>
        <w:pStyle w:val="FootnoteText"/>
        <w:ind w:left="0" w:firstLine="69"/>
        <w:rPr>
          <w:rFonts w:ascii="Cambria" w:hAnsi="Cambria"/>
          <w:sz w:val="16"/>
          <w:szCs w:val="16"/>
        </w:rPr>
      </w:pPr>
      <w:r>
        <w:rPr>
          <w:rStyle w:val="FootnoteReference"/>
          <w:rFonts w:ascii="Cambria" w:eastAsiaTheme="majorEastAsia" w:hAnsi="Cambria"/>
          <w:sz w:val="16"/>
          <w:szCs w:val="16"/>
        </w:rPr>
        <w:footnoteRef/>
      </w:r>
      <w:r>
        <w:rPr>
          <w:rFonts w:ascii="Cambria" w:hAnsi="Cambria"/>
          <w:sz w:val="16"/>
        </w:rPr>
        <w:t xml:space="preserve"> El </w:t>
      </w:r>
      <w:r w:rsidR="006709D9">
        <w:rPr>
          <w:rFonts w:ascii="Cambria" w:hAnsi="Cambria"/>
          <w:sz w:val="16"/>
        </w:rPr>
        <w:t xml:space="preserve">Sage </w:t>
      </w:r>
      <w:r>
        <w:rPr>
          <w:rFonts w:ascii="Cambria" w:hAnsi="Cambria"/>
          <w:sz w:val="16"/>
        </w:rPr>
        <w:t>ya figuraba en la lista de buques IUU en el momento de los desembarques, mientras que los demás buques no figuraban en el Registro ICCAT de buques autorizados.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BDF0" w14:textId="7165B05E" w:rsidR="009C6A06" w:rsidRPr="00BF31DD" w:rsidRDefault="009C6A06" w:rsidP="009C6A06">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COC_329</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/2025</w:t>
    </w:r>
  </w:p>
  <w:p w14:paraId="31D98A96" w14:textId="7663DD35" w:rsidR="009C6A06" w:rsidRDefault="009C6A06" w:rsidP="009C6A06">
    <w:pPr>
      <w:widowControl w:val="0"/>
      <w:tabs>
        <w:tab w:val="left" w:pos="7320"/>
      </w:tabs>
      <w:spacing w:after="0" w:line="240" w:lineRule="exact"/>
      <w:jc w:val="right"/>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2C19D8">
      <w:rPr>
        <w:rFonts w:ascii="Cambria" w:eastAsia="Calibri" w:hAnsi="Cambria" w:cs="Times New Roman"/>
        <w:b/>
        <w:noProof/>
        <w:sz w:val="16"/>
      </w:rPr>
      <w:t>06/02/2026 13:39</w:t>
    </w:r>
    <w:r w:rsidRPr="00D21AA0">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p w14:paraId="10B2A34C" w14:textId="77777777" w:rsidR="00685E84" w:rsidRDefault="00685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C5C"/>
    <w:multiLevelType w:val="hybridMultilevel"/>
    <w:tmpl w:val="5B16C30A"/>
    <w:lvl w:ilvl="0" w:tplc="1584CEA2">
      <w:start w:val="1"/>
      <w:numFmt w:val="decimal"/>
      <w:lvlText w:val="%1)"/>
      <w:lvlJc w:val="left"/>
      <w:pPr>
        <w:ind w:left="360" w:hanging="360"/>
      </w:pPr>
      <w:rPr>
        <w:rFonts w:asciiTheme="minorHAnsi" w:eastAsiaTheme="minorHAnsi" w:hAnsiTheme="minorHAnsi" w:cstheme="minorHAnsi"/>
        <w:color w:val="000000"/>
      </w:rPr>
    </w:lvl>
    <w:lvl w:ilvl="1" w:tplc="EC90E9AE">
      <w:start w:val="1"/>
      <w:numFmt w:val="decimal"/>
      <w:lvlText w:val="%2)"/>
      <w:lvlJc w:val="left"/>
      <w:pPr>
        <w:ind w:left="1080" w:hanging="360"/>
      </w:pPr>
      <w:rPr>
        <w:rFonts w:ascii="Cambria" w:eastAsiaTheme="minorHAnsi" w:hAnsi="Cambria" w:cstheme="minorHAnsi" w:hint="default"/>
        <w:i w:val="0"/>
        <w:iCs w:val="0"/>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0A129F2"/>
    <w:multiLevelType w:val="hybridMultilevel"/>
    <w:tmpl w:val="DBFC10A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47D4572D"/>
    <w:multiLevelType w:val="hybridMultilevel"/>
    <w:tmpl w:val="68CE1B78"/>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530B0F15"/>
    <w:multiLevelType w:val="hybridMultilevel"/>
    <w:tmpl w:val="D5D25BAC"/>
    <w:lvl w:ilvl="0" w:tplc="5906C192">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F814B4"/>
    <w:multiLevelType w:val="hybridMultilevel"/>
    <w:tmpl w:val="A140870E"/>
    <w:lvl w:ilvl="0" w:tplc="861684F8">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45629"/>
    <w:multiLevelType w:val="hybridMultilevel"/>
    <w:tmpl w:val="FF6EDAD8"/>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770D0AD5"/>
    <w:multiLevelType w:val="hybridMultilevel"/>
    <w:tmpl w:val="B9A0B7BC"/>
    <w:lvl w:ilvl="0" w:tplc="BDBED5F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73938528">
    <w:abstractNumId w:val="3"/>
  </w:num>
  <w:num w:numId="2" w16cid:durableId="1257326554">
    <w:abstractNumId w:val="0"/>
  </w:num>
  <w:num w:numId="3" w16cid:durableId="1481000742">
    <w:abstractNumId w:val="2"/>
  </w:num>
  <w:num w:numId="4" w16cid:durableId="919607725">
    <w:abstractNumId w:val="1"/>
  </w:num>
  <w:num w:numId="5" w16cid:durableId="929922423">
    <w:abstractNumId w:val="5"/>
  </w:num>
  <w:num w:numId="6" w16cid:durableId="2112579445">
    <w:abstractNumId w:val="4"/>
  </w:num>
  <w:num w:numId="7" w16cid:durableId="839082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00"/>
    <w:rsid w:val="00043850"/>
    <w:rsid w:val="000606B6"/>
    <w:rsid w:val="000632DD"/>
    <w:rsid w:val="0009161C"/>
    <w:rsid w:val="000A7F20"/>
    <w:rsid w:val="000D35C4"/>
    <w:rsid w:val="000D73E5"/>
    <w:rsid w:val="000F7E32"/>
    <w:rsid w:val="001550C6"/>
    <w:rsid w:val="00157D4C"/>
    <w:rsid w:val="00172991"/>
    <w:rsid w:val="001751A1"/>
    <w:rsid w:val="00176A3A"/>
    <w:rsid w:val="00176B06"/>
    <w:rsid w:val="0018314D"/>
    <w:rsid w:val="00193C06"/>
    <w:rsid w:val="001A577E"/>
    <w:rsid w:val="001B1D70"/>
    <w:rsid w:val="001D4694"/>
    <w:rsid w:val="002244DD"/>
    <w:rsid w:val="00237A82"/>
    <w:rsid w:val="0028207E"/>
    <w:rsid w:val="0028708A"/>
    <w:rsid w:val="00296ED3"/>
    <w:rsid w:val="002C19D8"/>
    <w:rsid w:val="002C1C61"/>
    <w:rsid w:val="002D5AD8"/>
    <w:rsid w:val="002E1DE7"/>
    <w:rsid w:val="002E40F0"/>
    <w:rsid w:val="002F3B47"/>
    <w:rsid w:val="0032722D"/>
    <w:rsid w:val="00336C0C"/>
    <w:rsid w:val="00372724"/>
    <w:rsid w:val="00393898"/>
    <w:rsid w:val="003949FC"/>
    <w:rsid w:val="00396745"/>
    <w:rsid w:val="003A2623"/>
    <w:rsid w:val="003B464C"/>
    <w:rsid w:val="003B6C1E"/>
    <w:rsid w:val="003D6BE5"/>
    <w:rsid w:val="003E08BA"/>
    <w:rsid w:val="003E134A"/>
    <w:rsid w:val="004445EB"/>
    <w:rsid w:val="00462F44"/>
    <w:rsid w:val="00486427"/>
    <w:rsid w:val="004A184A"/>
    <w:rsid w:val="004B1AB5"/>
    <w:rsid w:val="004C7D00"/>
    <w:rsid w:val="004D5B77"/>
    <w:rsid w:val="00505B7A"/>
    <w:rsid w:val="00510842"/>
    <w:rsid w:val="00525947"/>
    <w:rsid w:val="00533DDA"/>
    <w:rsid w:val="00536236"/>
    <w:rsid w:val="00537264"/>
    <w:rsid w:val="0056113D"/>
    <w:rsid w:val="00577349"/>
    <w:rsid w:val="00580E4C"/>
    <w:rsid w:val="00596364"/>
    <w:rsid w:val="005B22F9"/>
    <w:rsid w:val="00615E5B"/>
    <w:rsid w:val="006366AA"/>
    <w:rsid w:val="00643F8F"/>
    <w:rsid w:val="00644E77"/>
    <w:rsid w:val="006709D9"/>
    <w:rsid w:val="0067325A"/>
    <w:rsid w:val="00685E84"/>
    <w:rsid w:val="006877C6"/>
    <w:rsid w:val="006B0DB7"/>
    <w:rsid w:val="006B59D2"/>
    <w:rsid w:val="006C5564"/>
    <w:rsid w:val="006C689F"/>
    <w:rsid w:val="006E5C25"/>
    <w:rsid w:val="006F1970"/>
    <w:rsid w:val="00702034"/>
    <w:rsid w:val="00707487"/>
    <w:rsid w:val="00712A6A"/>
    <w:rsid w:val="00717AC7"/>
    <w:rsid w:val="00731DBC"/>
    <w:rsid w:val="00786343"/>
    <w:rsid w:val="0079774B"/>
    <w:rsid w:val="007A2B97"/>
    <w:rsid w:val="007A63CA"/>
    <w:rsid w:val="0080195F"/>
    <w:rsid w:val="00813638"/>
    <w:rsid w:val="008150BA"/>
    <w:rsid w:val="008207FD"/>
    <w:rsid w:val="0084197E"/>
    <w:rsid w:val="008861F2"/>
    <w:rsid w:val="00892D03"/>
    <w:rsid w:val="008B1E7B"/>
    <w:rsid w:val="008C2F1E"/>
    <w:rsid w:val="008F01AF"/>
    <w:rsid w:val="008F2B75"/>
    <w:rsid w:val="0093224E"/>
    <w:rsid w:val="00983672"/>
    <w:rsid w:val="00983D18"/>
    <w:rsid w:val="00986FCE"/>
    <w:rsid w:val="00995434"/>
    <w:rsid w:val="009C6A06"/>
    <w:rsid w:val="009C793A"/>
    <w:rsid w:val="009D046B"/>
    <w:rsid w:val="009D0725"/>
    <w:rsid w:val="00A1169C"/>
    <w:rsid w:val="00A1727E"/>
    <w:rsid w:val="00A64DA1"/>
    <w:rsid w:val="00A70D47"/>
    <w:rsid w:val="00AB6C43"/>
    <w:rsid w:val="00AF0400"/>
    <w:rsid w:val="00B07858"/>
    <w:rsid w:val="00B13B0B"/>
    <w:rsid w:val="00B14ED7"/>
    <w:rsid w:val="00B26AFD"/>
    <w:rsid w:val="00B40683"/>
    <w:rsid w:val="00B42963"/>
    <w:rsid w:val="00B53C5C"/>
    <w:rsid w:val="00B748EA"/>
    <w:rsid w:val="00B81AEA"/>
    <w:rsid w:val="00B82EB8"/>
    <w:rsid w:val="00B930AE"/>
    <w:rsid w:val="00BA1B42"/>
    <w:rsid w:val="00BA34A6"/>
    <w:rsid w:val="00BB274A"/>
    <w:rsid w:val="00BD3678"/>
    <w:rsid w:val="00BF5D81"/>
    <w:rsid w:val="00C1117C"/>
    <w:rsid w:val="00C227EF"/>
    <w:rsid w:val="00CC6B26"/>
    <w:rsid w:val="00CD4398"/>
    <w:rsid w:val="00D30D49"/>
    <w:rsid w:val="00D66616"/>
    <w:rsid w:val="00D81893"/>
    <w:rsid w:val="00D961A7"/>
    <w:rsid w:val="00DB4C5D"/>
    <w:rsid w:val="00DF4BEC"/>
    <w:rsid w:val="00E02E02"/>
    <w:rsid w:val="00E05737"/>
    <w:rsid w:val="00E243D9"/>
    <w:rsid w:val="00E36939"/>
    <w:rsid w:val="00E67E4D"/>
    <w:rsid w:val="00E76F1E"/>
    <w:rsid w:val="00E976D6"/>
    <w:rsid w:val="00EC5B65"/>
    <w:rsid w:val="00EC71E8"/>
    <w:rsid w:val="00EE480D"/>
    <w:rsid w:val="00F11063"/>
    <w:rsid w:val="00F11D75"/>
    <w:rsid w:val="00F913CF"/>
    <w:rsid w:val="00FA5376"/>
    <w:rsid w:val="00FE3A8A"/>
    <w:rsid w:val="00FE7279"/>
    <w:rsid w:val="011DC9FE"/>
    <w:rsid w:val="01FC1831"/>
    <w:rsid w:val="039FA475"/>
    <w:rsid w:val="049F203D"/>
    <w:rsid w:val="04D06824"/>
    <w:rsid w:val="073CCC58"/>
    <w:rsid w:val="0766DF3A"/>
    <w:rsid w:val="085763C1"/>
    <w:rsid w:val="15D69A92"/>
    <w:rsid w:val="15EF3A52"/>
    <w:rsid w:val="16BC1A73"/>
    <w:rsid w:val="17FD821B"/>
    <w:rsid w:val="180D6D73"/>
    <w:rsid w:val="1A4EDF83"/>
    <w:rsid w:val="1BC5632D"/>
    <w:rsid w:val="1FC35519"/>
    <w:rsid w:val="2FB9B93A"/>
    <w:rsid w:val="31A49226"/>
    <w:rsid w:val="3286D3FA"/>
    <w:rsid w:val="349DD772"/>
    <w:rsid w:val="34B032C6"/>
    <w:rsid w:val="37724EEF"/>
    <w:rsid w:val="3B1C2511"/>
    <w:rsid w:val="4139312D"/>
    <w:rsid w:val="4C6AE1D7"/>
    <w:rsid w:val="50E8886B"/>
    <w:rsid w:val="536EB7A8"/>
    <w:rsid w:val="550E2A69"/>
    <w:rsid w:val="5663A1EB"/>
    <w:rsid w:val="573B7770"/>
    <w:rsid w:val="59C72F63"/>
    <w:rsid w:val="5BFC86AB"/>
    <w:rsid w:val="5F66B415"/>
    <w:rsid w:val="6BE5AA59"/>
    <w:rsid w:val="7272AFA3"/>
    <w:rsid w:val="73CA05CF"/>
    <w:rsid w:val="77768C00"/>
    <w:rsid w:val="779E487D"/>
    <w:rsid w:val="7DE64854"/>
    <w:rsid w:val="7E458DB8"/>
    <w:rsid w:val="7E4859BA"/>
    <w:rsid w:val="7F44A9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2CF38"/>
  <w15:chartTrackingRefBased/>
  <w15:docId w15:val="{761EE658-AA17-4D19-B35F-5F29A8F0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7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D00"/>
    <w:rPr>
      <w:rFonts w:eastAsiaTheme="majorEastAsia" w:cstheme="majorBidi"/>
      <w:color w:val="272727" w:themeColor="text1" w:themeTint="D8"/>
    </w:rPr>
  </w:style>
  <w:style w:type="paragraph" w:styleId="Title">
    <w:name w:val="Title"/>
    <w:basedOn w:val="Normal"/>
    <w:next w:val="Normal"/>
    <w:link w:val="TitleChar"/>
    <w:uiPriority w:val="10"/>
    <w:qFormat/>
    <w:rsid w:val="004C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D00"/>
    <w:pPr>
      <w:spacing w:before="160"/>
      <w:jc w:val="center"/>
    </w:pPr>
    <w:rPr>
      <w:i/>
      <w:iCs/>
      <w:color w:val="404040" w:themeColor="text1" w:themeTint="BF"/>
    </w:rPr>
  </w:style>
  <w:style w:type="character" w:customStyle="1" w:styleId="QuoteChar">
    <w:name w:val="Quote Char"/>
    <w:basedOn w:val="DefaultParagraphFont"/>
    <w:link w:val="Quote"/>
    <w:uiPriority w:val="29"/>
    <w:rsid w:val="004C7D00"/>
    <w:rPr>
      <w:i/>
      <w:iCs/>
      <w:color w:val="404040" w:themeColor="text1" w:themeTint="BF"/>
    </w:rPr>
  </w:style>
  <w:style w:type="paragraph" w:styleId="ListParagraph">
    <w:name w:val="List Paragraph"/>
    <w:basedOn w:val="Normal"/>
    <w:qFormat/>
    <w:rsid w:val="004C7D00"/>
    <w:pPr>
      <w:ind w:left="720"/>
      <w:contextualSpacing/>
    </w:pPr>
  </w:style>
  <w:style w:type="character" w:styleId="IntenseEmphasis">
    <w:name w:val="Intense Emphasis"/>
    <w:basedOn w:val="DefaultParagraphFont"/>
    <w:uiPriority w:val="21"/>
    <w:qFormat/>
    <w:rsid w:val="004C7D00"/>
    <w:rPr>
      <w:i/>
      <w:iCs/>
      <w:color w:val="0F4761" w:themeColor="accent1" w:themeShade="BF"/>
    </w:rPr>
  </w:style>
  <w:style w:type="paragraph" w:styleId="IntenseQuote">
    <w:name w:val="Intense Quote"/>
    <w:basedOn w:val="Normal"/>
    <w:next w:val="Normal"/>
    <w:link w:val="IntenseQuoteChar"/>
    <w:uiPriority w:val="30"/>
    <w:qFormat/>
    <w:rsid w:val="004C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D00"/>
    <w:rPr>
      <w:i/>
      <w:iCs/>
      <w:color w:val="0F4761" w:themeColor="accent1" w:themeShade="BF"/>
    </w:rPr>
  </w:style>
  <w:style w:type="character" w:styleId="IntenseReference">
    <w:name w:val="Intense Reference"/>
    <w:basedOn w:val="DefaultParagraphFont"/>
    <w:uiPriority w:val="32"/>
    <w:qFormat/>
    <w:rsid w:val="004C7D00"/>
    <w:rPr>
      <w:b/>
      <w:bCs/>
      <w:smallCaps/>
      <w:color w:val="0F4761" w:themeColor="accent1" w:themeShade="BF"/>
      <w:spacing w:val="5"/>
    </w:rPr>
  </w:style>
  <w:style w:type="paragraph" w:styleId="FootnoteText">
    <w:name w:val="footnote text"/>
    <w:basedOn w:val="Normal"/>
    <w:link w:val="FootnoteTextChar"/>
    <w:unhideWhenUsed/>
    <w:rsid w:val="00172991"/>
    <w:pPr>
      <w:spacing w:after="120" w:line="240" w:lineRule="auto"/>
      <w:ind w:left="357" w:hanging="357"/>
      <w:jc w:val="both"/>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rsid w:val="00172991"/>
    <w:rPr>
      <w:rFonts w:ascii="Times New Roman" w:eastAsia="Times New Roman" w:hAnsi="Times New Roman" w:cs="Times New Roman"/>
      <w:kern w:val="0"/>
      <w:sz w:val="20"/>
      <w:szCs w:val="20"/>
      <w:lang w:val="es-ES" w:eastAsia="en-GB"/>
      <w14:ligatures w14:val="none"/>
    </w:rPr>
  </w:style>
  <w:style w:type="character" w:styleId="FootnoteReference">
    <w:name w:val="footnote reference"/>
    <w:basedOn w:val="DefaultParagraphFont"/>
    <w:semiHidden/>
    <w:rsid w:val="00172991"/>
    <w:rPr>
      <w:vertAlign w:val="superscript"/>
    </w:rPr>
  </w:style>
  <w:style w:type="character" w:styleId="Hyperlink">
    <w:name w:val="Hyperlink"/>
    <w:basedOn w:val="DefaultParagraphFont"/>
    <w:semiHidden/>
    <w:rsid w:val="00172991"/>
    <w:rPr>
      <w:color w:val="467886" w:themeColor="hyperlink"/>
      <w:u w:val="single"/>
    </w:rPr>
  </w:style>
  <w:style w:type="character" w:styleId="CommentReference">
    <w:name w:val="annotation reference"/>
    <w:basedOn w:val="DefaultParagraphFont"/>
    <w:uiPriority w:val="99"/>
    <w:semiHidden/>
    <w:unhideWhenUsed/>
    <w:rsid w:val="00D30D49"/>
    <w:rPr>
      <w:sz w:val="16"/>
      <w:szCs w:val="16"/>
    </w:rPr>
  </w:style>
  <w:style w:type="paragraph" w:styleId="CommentText">
    <w:name w:val="annotation text"/>
    <w:basedOn w:val="Normal"/>
    <w:link w:val="CommentTextChar"/>
    <w:uiPriority w:val="99"/>
    <w:unhideWhenUsed/>
    <w:rsid w:val="00D30D49"/>
    <w:pPr>
      <w:spacing w:line="240" w:lineRule="auto"/>
    </w:pPr>
    <w:rPr>
      <w:sz w:val="20"/>
      <w:szCs w:val="20"/>
    </w:rPr>
  </w:style>
  <w:style w:type="character" w:customStyle="1" w:styleId="CommentTextChar">
    <w:name w:val="Comment Text Char"/>
    <w:basedOn w:val="DefaultParagraphFont"/>
    <w:link w:val="CommentText"/>
    <w:uiPriority w:val="99"/>
    <w:rsid w:val="00D30D49"/>
    <w:rPr>
      <w:sz w:val="20"/>
      <w:szCs w:val="20"/>
    </w:rPr>
  </w:style>
  <w:style w:type="paragraph" w:styleId="CommentSubject">
    <w:name w:val="annotation subject"/>
    <w:basedOn w:val="CommentText"/>
    <w:next w:val="CommentText"/>
    <w:link w:val="CommentSubjectChar"/>
    <w:uiPriority w:val="99"/>
    <w:semiHidden/>
    <w:unhideWhenUsed/>
    <w:rsid w:val="00D30D49"/>
    <w:rPr>
      <w:b/>
      <w:bCs/>
    </w:rPr>
  </w:style>
  <w:style w:type="character" w:customStyle="1" w:styleId="CommentSubjectChar">
    <w:name w:val="Comment Subject Char"/>
    <w:basedOn w:val="CommentTextChar"/>
    <w:link w:val="CommentSubject"/>
    <w:uiPriority w:val="99"/>
    <w:semiHidden/>
    <w:rsid w:val="00D30D49"/>
    <w:rPr>
      <w:b/>
      <w:bCs/>
      <w:sz w:val="20"/>
      <w:szCs w:val="20"/>
    </w:rPr>
  </w:style>
  <w:style w:type="table" w:styleId="TableGrid">
    <w:name w:val="Table Grid"/>
    <w:basedOn w:val="TableNormal"/>
    <w:uiPriority w:val="39"/>
    <w:rsid w:val="00EC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195F"/>
    <w:pPr>
      <w:spacing w:after="0" w:line="240" w:lineRule="auto"/>
    </w:pPr>
  </w:style>
  <w:style w:type="paragraph" w:styleId="Header">
    <w:name w:val="header"/>
    <w:basedOn w:val="Normal"/>
    <w:link w:val="HeaderChar"/>
    <w:uiPriority w:val="99"/>
    <w:unhideWhenUsed/>
    <w:rsid w:val="00685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E84"/>
  </w:style>
  <w:style w:type="paragraph" w:styleId="Footer">
    <w:name w:val="footer"/>
    <w:basedOn w:val="Normal"/>
    <w:link w:val="FooterChar"/>
    <w:uiPriority w:val="99"/>
    <w:unhideWhenUsed/>
    <w:rsid w:val="00685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e316f6b60cd2d5b6b0c9928c0a419c9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bcf5374ff0d87d29a43559c73945e4d0"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E4605-27F3-40D6-A297-DFA0AEF20E8C}">
  <ds:schemaRefs>
    <ds:schemaRef ds:uri="http://schemas.openxmlformats.org/officeDocument/2006/bibliography"/>
  </ds:schemaRefs>
</ds:datastoreItem>
</file>

<file path=customXml/itemProps2.xml><?xml version="1.0" encoding="utf-8"?>
<ds:datastoreItem xmlns:ds="http://schemas.openxmlformats.org/officeDocument/2006/customXml" ds:itemID="{BDDEBDB9-6989-400A-AFD0-06A50C254348}">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666853D0-1732-47B3-9448-1FCE90DFA20A}">
  <ds:schemaRefs>
    <ds:schemaRef ds:uri="http://schemas.microsoft.com/sharepoint/v3/contenttype/forms"/>
  </ds:schemaRefs>
</ds:datastoreItem>
</file>

<file path=customXml/itemProps4.xml><?xml version="1.0" encoding="utf-8"?>
<ds:datastoreItem xmlns:ds="http://schemas.openxmlformats.org/officeDocument/2006/customXml" ds:itemID="{6BF1F7B4-B7E2-4CB6-8DE6-8AE07C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2164</Words>
  <Characters>12339</Characters>
  <Application>Microsoft Office Word</Application>
  <DocSecurity>0</DocSecurity>
  <Lines>102</Lines>
  <Paragraphs>28</Paragraphs>
  <ScaleCrop>false</ScaleCrop>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García</dc:creator>
  <cp:keywords/>
  <dc:description/>
  <cp:lastModifiedBy>María José García</cp:lastModifiedBy>
  <cp:revision>2</cp:revision>
  <dcterms:created xsi:type="dcterms:W3CDTF">2026-02-06T12:51:00Z</dcterms:created>
  <dcterms:modified xsi:type="dcterms:W3CDTF">2026-02-06T12:51:00Z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2025-11-18T10:31:38Z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1a94e685-3ade-4302-bc0e-beb004b8e0ab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