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4010C" w14:textId="4EB68030" w:rsidR="00BB7CE8" w:rsidRDefault="00BB7CE8" w:rsidP="00437557">
      <w:pPr>
        <w:spacing w:after="0" w:line="240" w:lineRule="auto"/>
        <w:contextualSpacing/>
        <w:jc w:val="right"/>
        <w:rPr>
          <w:rFonts w:ascii="Cambria" w:hAnsi="Cambria"/>
          <w:b/>
          <w:sz w:val="20"/>
        </w:rPr>
      </w:pPr>
      <w:r>
        <w:rPr>
          <w:rFonts w:ascii="Cambria" w:hAnsi="Cambria"/>
          <w:b/>
          <w:sz w:val="20"/>
        </w:rPr>
        <w:t>Original : anglais</w:t>
      </w:r>
    </w:p>
    <w:p w14:paraId="589ADF70" w14:textId="77777777" w:rsidR="00437557" w:rsidRDefault="00437557" w:rsidP="00437557">
      <w:pPr>
        <w:spacing w:after="0" w:line="240" w:lineRule="auto"/>
        <w:contextualSpacing/>
        <w:jc w:val="right"/>
        <w:rPr>
          <w:rFonts w:ascii="Cambria" w:hAnsi="Cambria"/>
          <w:b/>
          <w:sz w:val="20"/>
        </w:rPr>
      </w:pPr>
    </w:p>
    <w:p w14:paraId="2F368E7A" w14:textId="59AD9D9A" w:rsidR="006366AA" w:rsidRDefault="009C6A06" w:rsidP="00437557">
      <w:pPr>
        <w:spacing w:after="0" w:line="240" w:lineRule="auto"/>
        <w:contextualSpacing/>
        <w:jc w:val="center"/>
        <w:rPr>
          <w:rFonts w:ascii="Cambria" w:hAnsi="Cambria"/>
          <w:b/>
          <w:sz w:val="20"/>
        </w:rPr>
      </w:pPr>
      <w:r>
        <w:rPr>
          <w:rFonts w:ascii="Cambria" w:hAnsi="Cambria"/>
          <w:b/>
          <w:sz w:val="20"/>
        </w:rPr>
        <w:t>Déclaration de l'Union européenne sur des questions de non-application du Sénégal</w:t>
      </w:r>
    </w:p>
    <w:p w14:paraId="25C24B7B" w14:textId="77777777" w:rsidR="00437557" w:rsidRPr="009C6A06" w:rsidRDefault="00437557" w:rsidP="00437557">
      <w:pPr>
        <w:spacing w:after="0" w:line="240" w:lineRule="auto"/>
        <w:contextualSpacing/>
        <w:jc w:val="center"/>
        <w:rPr>
          <w:rFonts w:ascii="Cambria" w:hAnsi="Cambria"/>
          <w:b/>
          <w:bCs/>
          <w:sz w:val="20"/>
          <w:szCs w:val="20"/>
        </w:rPr>
      </w:pPr>
    </w:p>
    <w:p w14:paraId="5F0D3F90" w14:textId="29D68175" w:rsidR="00BB274A" w:rsidRPr="009C6A06" w:rsidRDefault="006366AA" w:rsidP="00437557">
      <w:pPr>
        <w:spacing w:after="0" w:line="240" w:lineRule="auto"/>
        <w:contextualSpacing/>
        <w:jc w:val="both"/>
        <w:rPr>
          <w:rFonts w:ascii="Cambria" w:hAnsi="Cambria"/>
          <w:sz w:val="20"/>
          <w:szCs w:val="20"/>
        </w:rPr>
      </w:pPr>
      <w:r>
        <w:rPr>
          <w:rFonts w:ascii="Cambria" w:hAnsi="Cambria"/>
          <w:sz w:val="20"/>
        </w:rPr>
        <w:t>L'UE formule ci-dessous des observations complémentaires concernant la réponse envoyée par le Sénégal sous la référence COC_312/2025 et l'annexe 3 - Informations supplémentaires fournies par le Sénégal.</w:t>
      </w:r>
    </w:p>
    <w:p w14:paraId="239E873D" w14:textId="77777777" w:rsidR="00172991" w:rsidRPr="009C6A06" w:rsidRDefault="00172991" w:rsidP="00437557">
      <w:pPr>
        <w:spacing w:after="0" w:line="240" w:lineRule="auto"/>
        <w:contextualSpacing/>
        <w:rPr>
          <w:rFonts w:ascii="Cambria" w:hAnsi="Cambria"/>
          <w:sz w:val="20"/>
          <w:szCs w:val="20"/>
        </w:rPr>
      </w:pPr>
    </w:p>
    <w:p w14:paraId="1DAF85EC" w14:textId="77777777" w:rsidR="00172991" w:rsidRDefault="00172991" w:rsidP="00437557">
      <w:pPr>
        <w:spacing w:after="0" w:line="240" w:lineRule="auto"/>
        <w:contextualSpacing/>
        <w:rPr>
          <w:rFonts w:ascii="Cambria" w:hAnsi="Cambria"/>
          <w:b/>
          <w:i/>
          <w:sz w:val="20"/>
        </w:rPr>
      </w:pPr>
      <w:r>
        <w:rPr>
          <w:rFonts w:ascii="Cambria" w:hAnsi="Cambria"/>
          <w:b/>
          <w:i/>
          <w:sz w:val="20"/>
        </w:rPr>
        <w:t>Suivi des demandes précédentes</w:t>
      </w:r>
    </w:p>
    <w:p w14:paraId="680561F0" w14:textId="77777777" w:rsidR="00437557" w:rsidRPr="009C6A06" w:rsidRDefault="00437557" w:rsidP="00437557">
      <w:pPr>
        <w:spacing w:after="0" w:line="240" w:lineRule="auto"/>
        <w:contextualSpacing/>
        <w:rPr>
          <w:rFonts w:ascii="Cambria" w:hAnsi="Cambria"/>
          <w:b/>
          <w:i/>
          <w:iCs/>
          <w:sz w:val="20"/>
          <w:szCs w:val="20"/>
        </w:rPr>
      </w:pPr>
    </w:p>
    <w:p w14:paraId="6777B107" w14:textId="048372D6" w:rsidR="00580E4C" w:rsidRPr="009C6A06" w:rsidRDefault="00172991" w:rsidP="00437557">
      <w:pPr>
        <w:spacing w:after="0" w:line="240" w:lineRule="auto"/>
        <w:contextualSpacing/>
        <w:jc w:val="both"/>
        <w:rPr>
          <w:rFonts w:ascii="Cambria" w:hAnsi="Cambria"/>
          <w:sz w:val="20"/>
          <w:szCs w:val="20"/>
        </w:rPr>
      </w:pPr>
      <w:r>
        <w:rPr>
          <w:rFonts w:ascii="Cambria" w:hAnsi="Cambria"/>
          <w:sz w:val="20"/>
        </w:rPr>
        <w:t>L'UE prend note des résultats des enquêtes menées par le Sénégal et constate que les informations figurant au point 5 « Nouveaux éléments » de la réponse du Sénégal ne contiennent aucune des informations attendues du Sénégal en tant qu'État du pavillon, État du port et État exportateur.</w:t>
      </w:r>
    </w:p>
    <w:p w14:paraId="43DBB835" w14:textId="77777777" w:rsidR="00437557" w:rsidRDefault="00437557" w:rsidP="00437557">
      <w:pPr>
        <w:spacing w:after="0" w:line="240" w:lineRule="auto"/>
        <w:contextualSpacing/>
        <w:jc w:val="both"/>
        <w:rPr>
          <w:rFonts w:ascii="Cambria" w:hAnsi="Cambria"/>
          <w:sz w:val="20"/>
        </w:rPr>
      </w:pPr>
    </w:p>
    <w:p w14:paraId="127F4BA4" w14:textId="318B30CB" w:rsidR="00EC71E8" w:rsidRPr="009C6A06" w:rsidRDefault="37724EEF" w:rsidP="00437557">
      <w:pPr>
        <w:spacing w:after="0" w:line="240" w:lineRule="auto"/>
        <w:contextualSpacing/>
        <w:jc w:val="both"/>
        <w:rPr>
          <w:rFonts w:ascii="Cambria" w:hAnsi="Cambria"/>
          <w:sz w:val="20"/>
          <w:szCs w:val="20"/>
        </w:rPr>
      </w:pPr>
      <w:r>
        <w:rPr>
          <w:rFonts w:ascii="Cambria" w:hAnsi="Cambria"/>
          <w:sz w:val="20"/>
        </w:rPr>
        <w:t xml:space="preserve">À propos des remarques du Sénégal concernant l'État importateur : </w:t>
      </w:r>
    </w:p>
    <w:p w14:paraId="38858D06" w14:textId="77777777" w:rsidR="00EC71E8" w:rsidRPr="009C6A06" w:rsidRDefault="00EC71E8" w:rsidP="00437557">
      <w:pPr>
        <w:pStyle w:val="ListParagraph"/>
        <w:spacing w:after="0" w:line="240" w:lineRule="auto"/>
        <w:rPr>
          <w:rFonts w:ascii="Cambria" w:hAnsi="Cambria" w:cstheme="minorHAnsi"/>
          <w:sz w:val="20"/>
          <w:szCs w:val="20"/>
        </w:rPr>
      </w:pPr>
    </w:p>
    <w:p w14:paraId="767FECBA" w14:textId="0425D4BA" w:rsidR="00EC71E8" w:rsidRPr="00155A32" w:rsidRDefault="00EC71E8" w:rsidP="00155A32">
      <w:pPr>
        <w:numPr>
          <w:ilvl w:val="1"/>
          <w:numId w:val="2"/>
        </w:numPr>
        <w:spacing w:after="0" w:line="240" w:lineRule="auto"/>
        <w:ind w:left="851" w:hanging="425"/>
        <w:contextualSpacing/>
        <w:jc w:val="both"/>
        <w:rPr>
          <w:rFonts w:ascii="Cambria" w:hAnsi="Cambria"/>
          <w:sz w:val="20"/>
          <w:szCs w:val="20"/>
        </w:rPr>
      </w:pPr>
      <w:r>
        <w:rPr>
          <w:rFonts w:ascii="Cambria" w:hAnsi="Cambria"/>
          <w:sz w:val="20"/>
        </w:rPr>
        <w:t xml:space="preserve">En ce qui concerne la demande du Sénégal (2 mai 2025 – circulaire ICCAT n° 00476/2025) visant à </w:t>
      </w:r>
      <w:r w:rsidRPr="00155A32">
        <w:rPr>
          <w:rFonts w:ascii="Cambria" w:eastAsia="Aptos" w:hAnsi="Cambria" w:cs="Times New Roman"/>
          <w:sz w:val="20"/>
          <w:szCs w:val="20"/>
          <w:lang w:val="en-IE"/>
        </w:rPr>
        <w:t>fournir</w:t>
      </w:r>
      <w:r>
        <w:rPr>
          <w:rFonts w:ascii="Cambria" w:hAnsi="Cambria"/>
          <w:sz w:val="20"/>
        </w:rPr>
        <w:t xml:space="preserve"> « la liste de tous les importateurs des produits certifiés concernés, ainsi que leurs adresses et les points d'entrée sur le marché européen », la réponse de l'UE figure en annexe à la communication du Sénégal et mentionne clairement la demande adressée par l'UE au Sénégal : </w:t>
      </w:r>
    </w:p>
    <w:p w14:paraId="5DA0AD6E" w14:textId="77777777" w:rsidR="00155A32" w:rsidRPr="009C6A06" w:rsidRDefault="00155A32" w:rsidP="00155A32">
      <w:pPr>
        <w:spacing w:after="0" w:line="240" w:lineRule="auto"/>
        <w:ind w:left="851"/>
        <w:contextualSpacing/>
        <w:jc w:val="both"/>
        <w:rPr>
          <w:rFonts w:ascii="Cambria" w:hAnsi="Cambria"/>
          <w:sz w:val="20"/>
          <w:szCs w:val="20"/>
        </w:rPr>
      </w:pPr>
    </w:p>
    <w:p w14:paraId="24A99BB3" w14:textId="77777777" w:rsidR="00EC71E8" w:rsidRPr="009C6A06" w:rsidRDefault="00EC71E8" w:rsidP="00365411">
      <w:pPr>
        <w:numPr>
          <w:ilvl w:val="2"/>
          <w:numId w:val="2"/>
        </w:numPr>
        <w:spacing w:after="0" w:line="240" w:lineRule="auto"/>
        <w:ind w:left="1276" w:hanging="425"/>
        <w:contextualSpacing/>
        <w:jc w:val="both"/>
        <w:rPr>
          <w:rFonts w:ascii="Cambria" w:hAnsi="Cambria" w:cstheme="minorHAnsi"/>
          <w:sz w:val="20"/>
          <w:szCs w:val="20"/>
        </w:rPr>
      </w:pPr>
      <w:r w:rsidRPr="00365411">
        <w:rPr>
          <w:rFonts w:ascii="Cambria" w:eastAsia="Aptos" w:hAnsi="Cambria" w:cs="Aptos"/>
          <w:sz w:val="20"/>
          <w:szCs w:val="20"/>
          <w:lang w:val="en-IE"/>
        </w:rPr>
        <w:t>Préciser</w:t>
      </w:r>
      <w:r>
        <w:rPr>
          <w:rFonts w:ascii="Cambria" w:hAnsi="Cambria"/>
          <w:sz w:val="20"/>
        </w:rPr>
        <w:t xml:space="preserve"> la base juridique de cette demande.</w:t>
      </w:r>
    </w:p>
    <w:p w14:paraId="19C6ECE2" w14:textId="15810736" w:rsidR="00EC71E8" w:rsidRPr="009C6A06" w:rsidRDefault="7E458DB8" w:rsidP="00365411">
      <w:pPr>
        <w:numPr>
          <w:ilvl w:val="2"/>
          <w:numId w:val="2"/>
        </w:numPr>
        <w:spacing w:after="0" w:line="240" w:lineRule="auto"/>
        <w:ind w:left="1276" w:hanging="425"/>
        <w:contextualSpacing/>
        <w:jc w:val="both"/>
        <w:rPr>
          <w:rFonts w:ascii="Cambria" w:hAnsi="Cambria"/>
          <w:sz w:val="20"/>
          <w:szCs w:val="20"/>
        </w:rPr>
      </w:pPr>
      <w:r>
        <w:rPr>
          <w:rFonts w:ascii="Cambria" w:hAnsi="Cambria"/>
          <w:sz w:val="20"/>
        </w:rPr>
        <w:t xml:space="preserve">De quelle </w:t>
      </w:r>
      <w:r w:rsidRPr="00365411">
        <w:rPr>
          <w:rFonts w:ascii="Cambria" w:eastAsia="Aptos" w:hAnsi="Cambria" w:cs="Aptos"/>
          <w:sz w:val="20"/>
          <w:szCs w:val="20"/>
          <w:lang w:val="en-IE"/>
        </w:rPr>
        <w:t>manière</w:t>
      </w:r>
      <w:r>
        <w:rPr>
          <w:rFonts w:ascii="Cambria" w:hAnsi="Cambria"/>
          <w:sz w:val="20"/>
        </w:rPr>
        <w:t xml:space="preserve"> la liste des importateurs faciliterait les enquêtes menées par le Sénégal.</w:t>
      </w:r>
    </w:p>
    <w:p w14:paraId="38682FEA" w14:textId="77777777" w:rsidR="00365411" w:rsidRDefault="00365411" w:rsidP="00365411">
      <w:pPr>
        <w:spacing w:after="0" w:line="240" w:lineRule="auto"/>
        <w:contextualSpacing/>
        <w:rPr>
          <w:rFonts w:ascii="Cambria" w:hAnsi="Cambria"/>
          <w:sz w:val="20"/>
        </w:rPr>
      </w:pPr>
    </w:p>
    <w:p w14:paraId="7F7A5F2F" w14:textId="60264D16" w:rsidR="00EC71E8" w:rsidRPr="009C6A06" w:rsidRDefault="00EC71E8" w:rsidP="00365411">
      <w:pPr>
        <w:spacing w:after="0" w:line="240" w:lineRule="auto"/>
        <w:ind w:firstLine="720"/>
        <w:contextualSpacing/>
        <w:rPr>
          <w:rFonts w:ascii="Cambria" w:hAnsi="Cambria"/>
          <w:sz w:val="20"/>
          <w:szCs w:val="20"/>
        </w:rPr>
      </w:pPr>
      <w:r>
        <w:rPr>
          <w:rFonts w:ascii="Cambria" w:hAnsi="Cambria"/>
          <w:sz w:val="20"/>
        </w:rPr>
        <w:t>Le Sénégal n'a jamais répondu à cette demande.</w:t>
      </w:r>
    </w:p>
    <w:p w14:paraId="509C7D3C" w14:textId="77777777" w:rsidR="00365411" w:rsidRDefault="00365411" w:rsidP="00365411">
      <w:pPr>
        <w:spacing w:after="0" w:line="240" w:lineRule="auto"/>
        <w:jc w:val="both"/>
        <w:rPr>
          <w:rFonts w:ascii="Cambria" w:hAnsi="Cambria"/>
          <w:sz w:val="20"/>
        </w:rPr>
      </w:pPr>
    </w:p>
    <w:p w14:paraId="14A27A0D" w14:textId="4FD2448C" w:rsidR="00EC71E8" w:rsidRPr="00365411" w:rsidRDefault="00EC71E8" w:rsidP="00365411">
      <w:pPr>
        <w:spacing w:after="0" w:line="240" w:lineRule="auto"/>
        <w:ind w:left="720"/>
        <w:jc w:val="both"/>
        <w:rPr>
          <w:rFonts w:ascii="Cambria" w:hAnsi="Cambria"/>
          <w:sz w:val="20"/>
          <w:szCs w:val="20"/>
        </w:rPr>
      </w:pPr>
      <w:r w:rsidRPr="00365411">
        <w:rPr>
          <w:rFonts w:ascii="Cambria" w:hAnsi="Cambria"/>
          <w:sz w:val="20"/>
        </w:rPr>
        <w:t>L'interprétation de la Recommandation 06-13 relative aux mesures commerciales a déjà été clarifiée l'année dernière par le Comité d'application, et l'UE attire l'attention du Sénégal sur le fait que les informations recueillies conformément au point 1(1) de la Recommandation 06-13 ont pour objectif d'identifier les navires qui ont débarqué les espèces concernées ainsi que les points d'exportation.</w:t>
      </w:r>
    </w:p>
    <w:p w14:paraId="3830EE75" w14:textId="77777777" w:rsidR="00EC71E8" w:rsidRPr="009C6A06" w:rsidRDefault="00EC71E8" w:rsidP="00437557">
      <w:pPr>
        <w:pStyle w:val="ListParagraph"/>
        <w:spacing w:after="0" w:line="240" w:lineRule="auto"/>
        <w:ind w:left="1440"/>
        <w:rPr>
          <w:rFonts w:ascii="Cambria" w:hAnsi="Cambria" w:cstheme="minorHAnsi"/>
          <w:sz w:val="20"/>
          <w:szCs w:val="20"/>
        </w:rPr>
      </w:pPr>
    </w:p>
    <w:p w14:paraId="4838DF03" w14:textId="6B831F9D" w:rsidR="00EC71E8" w:rsidRPr="009C6A06" w:rsidRDefault="00EC71E8" w:rsidP="00365411">
      <w:pPr>
        <w:numPr>
          <w:ilvl w:val="1"/>
          <w:numId w:val="2"/>
        </w:numPr>
        <w:spacing w:after="0" w:line="240" w:lineRule="auto"/>
        <w:ind w:left="851" w:hanging="425"/>
        <w:contextualSpacing/>
        <w:jc w:val="both"/>
        <w:rPr>
          <w:rFonts w:ascii="Cambria" w:hAnsi="Cambria"/>
          <w:i/>
          <w:iCs/>
          <w:sz w:val="20"/>
          <w:szCs w:val="20"/>
        </w:rPr>
      </w:pPr>
      <w:r>
        <w:rPr>
          <w:rFonts w:ascii="Cambria" w:hAnsi="Cambria"/>
          <w:sz w:val="20"/>
        </w:rPr>
        <w:t>En ce qui concerne la société sénégalaise TUNASEN, sur laquelle l'UE mène une enquête en raison de l'implication possible de ressortissants de l'UE, l'État membre de l'UE chargé de l'affaire n'a jamais obtenu de réponse aux questions supplémentaires qu'il a posées au Sénégal depuis 2024, malgré deux rappels en 2025. L'UE apprécierait que le Sénégal réponde rapidement à ces demandes.</w:t>
      </w:r>
    </w:p>
    <w:p w14:paraId="48D04E21" w14:textId="77777777" w:rsidR="00EC71E8" w:rsidRPr="009C6A06" w:rsidRDefault="00EC71E8" w:rsidP="00437557">
      <w:pPr>
        <w:pStyle w:val="ListParagraph"/>
        <w:spacing w:after="0" w:line="240" w:lineRule="auto"/>
        <w:ind w:left="1440"/>
        <w:rPr>
          <w:rFonts w:ascii="Cambria" w:hAnsi="Cambria"/>
          <w:bCs/>
          <w:i/>
          <w:iCs/>
          <w:sz w:val="20"/>
          <w:szCs w:val="20"/>
        </w:rPr>
      </w:pPr>
    </w:p>
    <w:p w14:paraId="7A52323C" w14:textId="77777777" w:rsidR="00EC71E8" w:rsidRPr="009C6A06" w:rsidRDefault="00EC71E8" w:rsidP="00365411">
      <w:pPr>
        <w:numPr>
          <w:ilvl w:val="1"/>
          <w:numId w:val="2"/>
        </w:numPr>
        <w:spacing w:after="0" w:line="240" w:lineRule="auto"/>
        <w:ind w:left="851" w:hanging="425"/>
        <w:contextualSpacing/>
        <w:jc w:val="both"/>
        <w:rPr>
          <w:rFonts w:ascii="Cambria" w:hAnsi="Cambria"/>
          <w:bCs/>
          <w:i/>
          <w:iCs/>
          <w:sz w:val="20"/>
          <w:szCs w:val="20"/>
        </w:rPr>
      </w:pPr>
      <w:r>
        <w:rPr>
          <w:rFonts w:ascii="Cambria" w:hAnsi="Cambria"/>
          <w:sz w:val="20"/>
        </w:rPr>
        <w:t xml:space="preserve">L'UE tient également à préciser que toutes les informations disponibles relatives aux importations frauduleuses dans l'UE ont déjà été transmises en 2023 aux autorités d'enquête compétentes de l'UE. </w:t>
      </w:r>
    </w:p>
    <w:p w14:paraId="3E5E175E" w14:textId="77777777" w:rsidR="00EC71E8" w:rsidRPr="009C6A06" w:rsidRDefault="00EC71E8" w:rsidP="00437557">
      <w:pPr>
        <w:pStyle w:val="ListParagraph"/>
        <w:spacing w:after="0" w:line="240" w:lineRule="auto"/>
        <w:rPr>
          <w:rFonts w:ascii="Cambria" w:hAnsi="Cambria"/>
          <w:bCs/>
          <w:i/>
          <w:iCs/>
          <w:sz w:val="20"/>
          <w:szCs w:val="20"/>
        </w:rPr>
      </w:pPr>
    </w:p>
    <w:p w14:paraId="3AB33675" w14:textId="67B98CCD" w:rsidR="00EC71E8" w:rsidRPr="009C6A06" w:rsidRDefault="00EC71E8" w:rsidP="00365411">
      <w:pPr>
        <w:numPr>
          <w:ilvl w:val="1"/>
          <w:numId w:val="2"/>
        </w:numPr>
        <w:spacing w:after="0" w:line="240" w:lineRule="auto"/>
        <w:ind w:left="851" w:hanging="425"/>
        <w:contextualSpacing/>
        <w:jc w:val="both"/>
        <w:rPr>
          <w:rFonts w:ascii="Cambria" w:hAnsi="Cambria"/>
          <w:i/>
          <w:iCs/>
          <w:sz w:val="20"/>
          <w:szCs w:val="20"/>
        </w:rPr>
      </w:pPr>
      <w:r>
        <w:rPr>
          <w:rFonts w:ascii="Cambria" w:hAnsi="Cambria"/>
          <w:sz w:val="20"/>
        </w:rPr>
        <w:t>Enfin, le nom du ressortissant belge qui a été communiqué par le Sénégal devrait être bien connu du Sénégal, car il était membre de la délégation sénégalaise auprès de l’ICCAT en 2015 (</w:t>
      </w:r>
      <w:r>
        <w:rPr>
          <w:rFonts w:ascii="Cambria" w:hAnsi="Cambria"/>
          <w:i/>
          <w:iCs/>
          <w:sz w:val="20"/>
        </w:rPr>
        <w:t>Rapport de l’ICCAT pour la période biennale 2014-2015, IIe partie (2015)</w:t>
      </w:r>
      <w:r>
        <w:rPr>
          <w:rFonts w:ascii="Cambria" w:hAnsi="Cambria"/>
          <w:sz w:val="20"/>
        </w:rPr>
        <w:t xml:space="preserve">, p. 36), enregistré en tant que directeur de la société sénégalaise ART SAP-MITO, mais aussi de la société suisse Maguro, S.A. </w:t>
      </w:r>
    </w:p>
    <w:p w14:paraId="083D0105" w14:textId="77777777" w:rsidR="00EC71E8" w:rsidRPr="009C6A06" w:rsidRDefault="00EC71E8" w:rsidP="00437557">
      <w:pPr>
        <w:pStyle w:val="ListParagraph"/>
        <w:spacing w:after="0" w:line="240" w:lineRule="auto"/>
        <w:rPr>
          <w:rFonts w:ascii="Cambria" w:hAnsi="Cambria"/>
          <w:bCs/>
          <w:i/>
          <w:iCs/>
          <w:sz w:val="20"/>
          <w:szCs w:val="20"/>
        </w:rPr>
      </w:pPr>
    </w:p>
    <w:p w14:paraId="311C82FC" w14:textId="7CDF87D4" w:rsidR="00EC71E8" w:rsidRPr="009C6A06" w:rsidRDefault="00EC71E8" w:rsidP="00437557">
      <w:pPr>
        <w:spacing w:after="0" w:line="240" w:lineRule="auto"/>
        <w:contextualSpacing/>
        <w:jc w:val="both"/>
        <w:rPr>
          <w:rFonts w:ascii="Cambria" w:hAnsi="Cambria"/>
          <w:i/>
          <w:iCs/>
          <w:sz w:val="20"/>
          <w:szCs w:val="20"/>
        </w:rPr>
      </w:pPr>
      <w:r>
        <w:rPr>
          <w:rFonts w:ascii="Cambria" w:hAnsi="Cambria"/>
          <w:sz w:val="20"/>
        </w:rPr>
        <w:t>Outre ces précisions sur les mesures qu'elle a prises, l'UE tient à rappeler une fois encore que ce système de blanchiment aurait été impossible si le Sénégal avait correctement assumé ses responsabilités en tant qu'État du pavillon, État du port et État exportateur. L'ampleur de la fraude reflète la gravité des questions dans tous ces domaines. À cet égard, l'UE se réfère aux données qui font toujours défaut dans la réponse du Sénégal (aux points 1, 2, 3 et 4 et dans l'annexe).</w:t>
      </w:r>
    </w:p>
    <w:p w14:paraId="58D1ED36" w14:textId="77777777" w:rsidR="00365411" w:rsidRDefault="00365411" w:rsidP="00437557">
      <w:pPr>
        <w:spacing w:after="0" w:line="240" w:lineRule="auto"/>
        <w:contextualSpacing/>
        <w:jc w:val="both"/>
        <w:rPr>
          <w:rFonts w:ascii="Cambria" w:hAnsi="Cambria"/>
          <w:sz w:val="20"/>
        </w:rPr>
      </w:pPr>
    </w:p>
    <w:p w14:paraId="2DD9CF25" w14:textId="37412269" w:rsidR="00EC71E8" w:rsidRPr="009C6A06" w:rsidRDefault="00EC71E8" w:rsidP="00437557">
      <w:pPr>
        <w:spacing w:after="0" w:line="240" w:lineRule="auto"/>
        <w:contextualSpacing/>
        <w:jc w:val="both"/>
        <w:rPr>
          <w:rFonts w:ascii="Cambria" w:hAnsi="Cambria" w:cs="Times New Roman"/>
          <w:bCs/>
          <w:i/>
          <w:iCs/>
          <w:sz w:val="20"/>
          <w:szCs w:val="20"/>
        </w:rPr>
      </w:pPr>
      <w:r>
        <w:rPr>
          <w:rFonts w:ascii="Cambria" w:hAnsi="Cambria"/>
          <w:sz w:val="20"/>
        </w:rPr>
        <w:t>En tant qu'</w:t>
      </w:r>
      <w:r>
        <w:rPr>
          <w:rFonts w:ascii="Cambria" w:hAnsi="Cambria"/>
          <w:b/>
          <w:bCs/>
          <w:sz w:val="20"/>
        </w:rPr>
        <w:t>État du pavillon</w:t>
      </w:r>
      <w:r>
        <w:rPr>
          <w:rFonts w:ascii="Cambria" w:hAnsi="Cambria"/>
          <w:sz w:val="20"/>
        </w:rPr>
        <w:t xml:space="preserve">, le Sénégal ne fournit toujours pas les détails des captures effectuées par le </w:t>
      </w:r>
      <w:r>
        <w:rPr>
          <w:rFonts w:ascii="Cambria" w:hAnsi="Cambria"/>
          <w:i/>
          <w:iCs/>
          <w:sz w:val="20"/>
        </w:rPr>
        <w:t>Mario 7</w:t>
      </w:r>
      <w:r>
        <w:rPr>
          <w:rFonts w:ascii="Cambria" w:hAnsi="Cambria"/>
          <w:sz w:val="20"/>
        </w:rPr>
        <w:t xml:space="preserve"> et le </w:t>
      </w:r>
      <w:r>
        <w:rPr>
          <w:rFonts w:ascii="Cambria" w:hAnsi="Cambria"/>
          <w:i/>
          <w:iCs/>
          <w:sz w:val="20"/>
        </w:rPr>
        <w:t>Mario 11</w:t>
      </w:r>
      <w:r>
        <w:rPr>
          <w:rFonts w:ascii="Cambria" w:hAnsi="Cambria"/>
          <w:sz w:val="20"/>
        </w:rPr>
        <w:t xml:space="preserve">. Des données plus détaillées sur les captures ont été finalement fournies pour les navires </w:t>
      </w:r>
      <w:r>
        <w:rPr>
          <w:rFonts w:ascii="Cambria" w:hAnsi="Cambria"/>
          <w:i/>
          <w:iCs/>
          <w:sz w:val="20"/>
        </w:rPr>
        <w:t>Maximus</w:t>
      </w:r>
      <w:r>
        <w:rPr>
          <w:rFonts w:ascii="Cambria" w:hAnsi="Cambria"/>
          <w:sz w:val="20"/>
        </w:rPr>
        <w:t xml:space="preserve"> et </w:t>
      </w:r>
      <w:r>
        <w:rPr>
          <w:rFonts w:ascii="Cambria" w:hAnsi="Cambria"/>
          <w:i/>
          <w:iCs/>
          <w:sz w:val="20"/>
        </w:rPr>
        <w:t>Lisboa</w:t>
      </w:r>
      <w:r>
        <w:rPr>
          <w:rFonts w:ascii="Cambria" w:hAnsi="Cambria"/>
          <w:sz w:val="20"/>
        </w:rPr>
        <w:t xml:space="preserve">, mais elles restent incomplètes : à titre d'exemple, le tableau 2 indique que le navire </w:t>
      </w:r>
      <w:r>
        <w:rPr>
          <w:rFonts w:ascii="Cambria" w:hAnsi="Cambria"/>
          <w:i/>
          <w:iCs/>
          <w:sz w:val="20"/>
        </w:rPr>
        <w:t>Lisboa</w:t>
      </w:r>
      <w:r>
        <w:rPr>
          <w:rFonts w:ascii="Cambria" w:hAnsi="Cambria"/>
          <w:sz w:val="20"/>
        </w:rPr>
        <w:t xml:space="preserve"> a débarqué un total de 3.918 tonnes au cours de la période 2019-2020, mais le tableau 1 ne fournit qu'une ventilation par espèce de 992 tonnes.</w:t>
      </w:r>
    </w:p>
    <w:p w14:paraId="19ADB7C8" w14:textId="77777777" w:rsidR="00365411" w:rsidRDefault="00365411" w:rsidP="00437557">
      <w:pPr>
        <w:spacing w:after="0" w:line="240" w:lineRule="auto"/>
        <w:contextualSpacing/>
        <w:jc w:val="both"/>
        <w:rPr>
          <w:rFonts w:ascii="Cambria" w:hAnsi="Cambria"/>
          <w:sz w:val="20"/>
        </w:rPr>
      </w:pPr>
    </w:p>
    <w:p w14:paraId="17EC90DE" w14:textId="08860D02" w:rsidR="00EC71E8" w:rsidRPr="009C6A06" w:rsidRDefault="00EC71E8" w:rsidP="00437557">
      <w:pPr>
        <w:spacing w:after="0" w:line="240" w:lineRule="auto"/>
        <w:contextualSpacing/>
        <w:jc w:val="both"/>
        <w:rPr>
          <w:rFonts w:ascii="Cambria" w:hAnsi="Cambria" w:cs="Times New Roman"/>
          <w:bCs/>
          <w:i/>
          <w:iCs/>
          <w:sz w:val="20"/>
          <w:szCs w:val="20"/>
        </w:rPr>
      </w:pPr>
      <w:r>
        <w:rPr>
          <w:rFonts w:ascii="Cambria" w:hAnsi="Cambria"/>
          <w:sz w:val="20"/>
        </w:rPr>
        <w:lastRenderedPageBreak/>
        <w:t>L'UE demande également au Sénégal de clarifier la source des quantités mentionnées dans les tableaux 1 et 2.</w:t>
      </w:r>
    </w:p>
    <w:p w14:paraId="43887EC8" w14:textId="77777777" w:rsidR="00365411" w:rsidRDefault="00365411" w:rsidP="00437557">
      <w:pPr>
        <w:spacing w:after="0" w:line="240" w:lineRule="auto"/>
        <w:contextualSpacing/>
        <w:jc w:val="both"/>
        <w:rPr>
          <w:rFonts w:ascii="Cambria" w:hAnsi="Cambria"/>
          <w:sz w:val="20"/>
        </w:rPr>
      </w:pPr>
    </w:p>
    <w:p w14:paraId="697E40A1" w14:textId="38703405" w:rsidR="00EC71E8" w:rsidRDefault="00EC71E8" w:rsidP="00437557">
      <w:pPr>
        <w:spacing w:after="0" w:line="240" w:lineRule="auto"/>
        <w:contextualSpacing/>
        <w:jc w:val="both"/>
        <w:rPr>
          <w:rFonts w:ascii="Cambria" w:hAnsi="Cambria"/>
          <w:sz w:val="20"/>
        </w:rPr>
      </w:pPr>
      <w:r>
        <w:rPr>
          <w:rFonts w:ascii="Cambria" w:hAnsi="Cambria"/>
          <w:sz w:val="20"/>
        </w:rPr>
        <w:t xml:space="preserve">Dans le tableau 1, la référence aux « quantités certifiées » pourrait suggérer que ces quantités correspondent à celles indiquées dans les certificats transmis par l'UE, mais les quantités ne concordent pas (différence évidente dans les quantités de germon déclarées pour </w:t>
      </w:r>
      <w:r>
        <w:rPr>
          <w:rFonts w:ascii="Cambria" w:hAnsi="Cambria"/>
          <w:i/>
          <w:iCs/>
          <w:sz w:val="20"/>
        </w:rPr>
        <w:t>Lisboa</w:t>
      </w:r>
      <w:r>
        <w:rPr>
          <w:rFonts w:ascii="Cambria" w:hAnsi="Cambria"/>
          <w:sz w:val="20"/>
        </w:rPr>
        <w:t>).</w:t>
      </w:r>
    </w:p>
    <w:p w14:paraId="1F3C7224" w14:textId="77777777" w:rsidR="00365411" w:rsidRPr="009C6A06" w:rsidRDefault="00365411" w:rsidP="00437557">
      <w:pPr>
        <w:spacing w:after="0" w:line="240" w:lineRule="auto"/>
        <w:contextualSpacing/>
        <w:jc w:val="both"/>
        <w:rPr>
          <w:rFonts w:ascii="Cambria" w:hAnsi="Cambria"/>
          <w:sz w:val="20"/>
          <w:szCs w:val="20"/>
        </w:rPr>
      </w:pPr>
    </w:p>
    <w:p w14:paraId="2B82523B" w14:textId="71005E25" w:rsidR="00EC71E8" w:rsidRDefault="00EC71E8" w:rsidP="00437557">
      <w:pPr>
        <w:spacing w:after="0" w:line="240" w:lineRule="auto"/>
        <w:contextualSpacing/>
        <w:jc w:val="both"/>
        <w:rPr>
          <w:rFonts w:ascii="Cambria" w:hAnsi="Cambria"/>
          <w:sz w:val="20"/>
        </w:rPr>
      </w:pPr>
      <w:r>
        <w:rPr>
          <w:rFonts w:ascii="Cambria" w:hAnsi="Cambria"/>
          <w:sz w:val="20"/>
        </w:rPr>
        <w:t xml:space="preserve">Dans le tableau 2, les chiffres ne concordent pas avec ceux soumis l'année dernière par le Sénégal (COC_312/2024_Addendum_1) – voir ci-dessous : </w:t>
      </w:r>
    </w:p>
    <w:p w14:paraId="59BE1B63" w14:textId="77777777" w:rsidR="00365411" w:rsidRPr="009C6A06" w:rsidRDefault="00365411" w:rsidP="00437557">
      <w:pPr>
        <w:spacing w:after="0" w:line="240" w:lineRule="auto"/>
        <w:contextualSpacing/>
        <w:jc w:val="both"/>
        <w:rPr>
          <w:rFonts w:ascii="Cambria" w:hAnsi="Cambria" w:cs="Times New Roman"/>
          <w:bCs/>
          <w:i/>
          <w:iCs/>
          <w:sz w:val="20"/>
          <w:szCs w:val="20"/>
        </w:rPr>
      </w:pPr>
    </w:p>
    <w:tbl>
      <w:tblPr>
        <w:tblStyle w:val="TableGrid"/>
        <w:tblW w:w="0" w:type="auto"/>
        <w:tblInd w:w="-318" w:type="dxa"/>
        <w:tblLook w:val="04A0" w:firstRow="1" w:lastRow="0" w:firstColumn="1" w:lastColumn="0" w:noHBand="0" w:noVBand="1"/>
      </w:tblPr>
      <w:tblGrid>
        <w:gridCol w:w="1298"/>
        <w:gridCol w:w="1078"/>
        <w:gridCol w:w="1531"/>
        <w:gridCol w:w="1219"/>
        <w:gridCol w:w="1295"/>
        <w:gridCol w:w="1531"/>
        <w:gridCol w:w="1382"/>
      </w:tblGrid>
      <w:tr w:rsidR="00EC71E8" w:rsidRPr="009C6A06" w14:paraId="220A17FD" w14:textId="77777777" w:rsidTr="00EC71E8">
        <w:trPr>
          <w:trHeight w:val="648"/>
        </w:trPr>
        <w:tc>
          <w:tcPr>
            <w:tcW w:w="1427" w:type="dxa"/>
          </w:tcPr>
          <w:p w14:paraId="419970EF" w14:textId="77777777" w:rsidR="00EC71E8" w:rsidRPr="009C6A06" w:rsidRDefault="00EC71E8" w:rsidP="00437557">
            <w:pPr>
              <w:contextualSpacing/>
              <w:jc w:val="center"/>
              <w:rPr>
                <w:rFonts w:ascii="Cambria" w:hAnsi="Cambria"/>
                <w:bCs/>
                <w:i/>
                <w:iCs/>
                <w:sz w:val="20"/>
                <w:szCs w:val="20"/>
              </w:rPr>
            </w:pPr>
          </w:p>
        </w:tc>
        <w:tc>
          <w:tcPr>
            <w:tcW w:w="3677" w:type="dxa"/>
            <w:gridSpan w:val="3"/>
          </w:tcPr>
          <w:p w14:paraId="368E4FF3" w14:textId="77777777" w:rsidR="00EC71E8" w:rsidRPr="009C6A06" w:rsidRDefault="00EC71E8" w:rsidP="00437557">
            <w:pPr>
              <w:contextualSpacing/>
              <w:jc w:val="center"/>
              <w:rPr>
                <w:rFonts w:ascii="Cambria" w:hAnsi="Cambria"/>
                <w:bCs/>
                <w:i/>
                <w:iCs/>
                <w:sz w:val="20"/>
                <w:szCs w:val="20"/>
              </w:rPr>
            </w:pPr>
            <w:r>
              <w:rPr>
                <w:rFonts w:ascii="Cambria" w:hAnsi="Cambria"/>
                <w:i/>
                <w:sz w:val="20"/>
              </w:rPr>
              <w:t>COC_312/2024_Addendum 1</w:t>
            </w:r>
          </w:p>
        </w:tc>
        <w:tc>
          <w:tcPr>
            <w:tcW w:w="4456" w:type="dxa"/>
            <w:gridSpan w:val="3"/>
          </w:tcPr>
          <w:p w14:paraId="0C9DEFED" w14:textId="03B3D08E" w:rsidR="00EC71E8" w:rsidRPr="009C6A06" w:rsidRDefault="00EC71E8" w:rsidP="00437557">
            <w:pPr>
              <w:contextualSpacing/>
              <w:jc w:val="center"/>
              <w:rPr>
                <w:rFonts w:ascii="Cambria" w:hAnsi="Cambria"/>
                <w:bCs/>
                <w:i/>
                <w:iCs/>
                <w:sz w:val="20"/>
                <w:szCs w:val="20"/>
              </w:rPr>
            </w:pPr>
            <w:r>
              <w:rPr>
                <w:rFonts w:ascii="Cambria" w:hAnsi="Cambria"/>
                <w:i/>
                <w:sz w:val="20"/>
              </w:rPr>
              <w:t>COC 312/2025,  tableau 2 .</w:t>
            </w:r>
          </w:p>
        </w:tc>
      </w:tr>
      <w:tr w:rsidR="00EC71E8" w:rsidRPr="009C6A06" w14:paraId="409D8A93" w14:textId="77777777" w:rsidTr="00B30FF1">
        <w:tc>
          <w:tcPr>
            <w:tcW w:w="1427" w:type="dxa"/>
          </w:tcPr>
          <w:p w14:paraId="784703EC" w14:textId="77777777" w:rsidR="00EC71E8" w:rsidRPr="009C6A06" w:rsidRDefault="00EC71E8" w:rsidP="00437557">
            <w:pPr>
              <w:contextualSpacing/>
              <w:jc w:val="center"/>
              <w:rPr>
                <w:rFonts w:ascii="Cambria" w:hAnsi="Cambria"/>
                <w:bCs/>
                <w:sz w:val="20"/>
                <w:szCs w:val="20"/>
              </w:rPr>
            </w:pPr>
          </w:p>
        </w:tc>
        <w:tc>
          <w:tcPr>
            <w:tcW w:w="1168" w:type="dxa"/>
          </w:tcPr>
          <w:p w14:paraId="576E6BB8" w14:textId="77777777" w:rsidR="00EC71E8" w:rsidRPr="009C6A06" w:rsidRDefault="00EC71E8" w:rsidP="00437557">
            <w:pPr>
              <w:contextualSpacing/>
              <w:jc w:val="center"/>
              <w:rPr>
                <w:rFonts w:ascii="Cambria" w:hAnsi="Cambria"/>
                <w:bCs/>
                <w:i/>
                <w:iCs/>
                <w:sz w:val="20"/>
                <w:szCs w:val="20"/>
              </w:rPr>
            </w:pPr>
            <w:r>
              <w:rPr>
                <w:rFonts w:ascii="Cambria" w:hAnsi="Cambria"/>
                <w:i/>
                <w:sz w:val="20"/>
              </w:rPr>
              <w:t>Entrées</w:t>
            </w:r>
          </w:p>
        </w:tc>
        <w:tc>
          <w:tcPr>
            <w:tcW w:w="1242" w:type="dxa"/>
          </w:tcPr>
          <w:p w14:paraId="42275CC4" w14:textId="77777777" w:rsidR="00EC71E8" w:rsidRPr="009C6A06" w:rsidRDefault="00EC71E8" w:rsidP="00437557">
            <w:pPr>
              <w:contextualSpacing/>
              <w:jc w:val="center"/>
              <w:rPr>
                <w:rFonts w:ascii="Cambria" w:hAnsi="Cambria"/>
                <w:bCs/>
                <w:i/>
                <w:iCs/>
                <w:sz w:val="20"/>
                <w:szCs w:val="20"/>
              </w:rPr>
            </w:pPr>
            <w:r>
              <w:rPr>
                <w:rFonts w:ascii="Cambria" w:hAnsi="Cambria"/>
                <w:i/>
                <w:sz w:val="20"/>
              </w:rPr>
              <w:t>Débarquements</w:t>
            </w:r>
          </w:p>
        </w:tc>
        <w:tc>
          <w:tcPr>
            <w:tcW w:w="1267" w:type="dxa"/>
          </w:tcPr>
          <w:p w14:paraId="7B1EACC2" w14:textId="77777777" w:rsidR="00EC71E8" w:rsidRPr="009C6A06" w:rsidRDefault="00EC71E8" w:rsidP="00437557">
            <w:pPr>
              <w:contextualSpacing/>
              <w:jc w:val="center"/>
              <w:rPr>
                <w:rFonts w:ascii="Cambria" w:hAnsi="Cambria"/>
                <w:bCs/>
                <w:i/>
                <w:iCs/>
                <w:sz w:val="20"/>
                <w:szCs w:val="20"/>
              </w:rPr>
            </w:pPr>
            <w:r>
              <w:rPr>
                <w:rFonts w:ascii="Cambria" w:hAnsi="Cambria"/>
                <w:i/>
                <w:sz w:val="20"/>
              </w:rPr>
              <w:t>Quantité débarquée (kg)</w:t>
            </w:r>
          </w:p>
        </w:tc>
        <w:tc>
          <w:tcPr>
            <w:tcW w:w="1470" w:type="dxa"/>
          </w:tcPr>
          <w:p w14:paraId="62D67B58" w14:textId="77777777" w:rsidR="00EC71E8" w:rsidRPr="009C6A06" w:rsidRDefault="00EC71E8" w:rsidP="00437557">
            <w:pPr>
              <w:contextualSpacing/>
              <w:jc w:val="center"/>
              <w:rPr>
                <w:rFonts w:ascii="Cambria" w:hAnsi="Cambria"/>
                <w:bCs/>
                <w:i/>
                <w:iCs/>
                <w:sz w:val="20"/>
                <w:szCs w:val="20"/>
              </w:rPr>
            </w:pPr>
            <w:r>
              <w:rPr>
                <w:rFonts w:ascii="Cambria" w:hAnsi="Cambria"/>
                <w:i/>
                <w:sz w:val="20"/>
              </w:rPr>
              <w:t>Entrées</w:t>
            </w:r>
          </w:p>
        </w:tc>
        <w:tc>
          <w:tcPr>
            <w:tcW w:w="1493" w:type="dxa"/>
          </w:tcPr>
          <w:p w14:paraId="5946DC53" w14:textId="77777777" w:rsidR="00EC71E8" w:rsidRPr="009C6A06" w:rsidRDefault="00EC71E8" w:rsidP="00437557">
            <w:pPr>
              <w:contextualSpacing/>
              <w:jc w:val="center"/>
              <w:rPr>
                <w:rFonts w:ascii="Cambria" w:hAnsi="Cambria"/>
                <w:bCs/>
                <w:i/>
                <w:iCs/>
                <w:sz w:val="20"/>
                <w:szCs w:val="20"/>
              </w:rPr>
            </w:pPr>
            <w:r>
              <w:rPr>
                <w:rFonts w:ascii="Cambria" w:hAnsi="Cambria"/>
                <w:i/>
                <w:sz w:val="20"/>
              </w:rPr>
              <w:t>Débarquements</w:t>
            </w:r>
          </w:p>
        </w:tc>
        <w:tc>
          <w:tcPr>
            <w:tcW w:w="1493" w:type="dxa"/>
          </w:tcPr>
          <w:p w14:paraId="0E7F3193" w14:textId="77777777" w:rsidR="00EC71E8" w:rsidRPr="009C6A06" w:rsidRDefault="00EC71E8" w:rsidP="00437557">
            <w:pPr>
              <w:contextualSpacing/>
              <w:jc w:val="center"/>
              <w:rPr>
                <w:rFonts w:ascii="Cambria" w:hAnsi="Cambria"/>
                <w:bCs/>
                <w:i/>
                <w:iCs/>
                <w:sz w:val="20"/>
                <w:szCs w:val="20"/>
              </w:rPr>
            </w:pPr>
            <w:r>
              <w:rPr>
                <w:rFonts w:ascii="Cambria" w:hAnsi="Cambria"/>
                <w:i/>
                <w:sz w:val="20"/>
              </w:rPr>
              <w:t>Quantité débarquée (kg)</w:t>
            </w:r>
          </w:p>
        </w:tc>
      </w:tr>
      <w:tr w:rsidR="00EC71E8" w:rsidRPr="009C6A06" w14:paraId="2D78644D" w14:textId="77777777" w:rsidTr="00B30FF1">
        <w:tc>
          <w:tcPr>
            <w:tcW w:w="1427" w:type="dxa"/>
          </w:tcPr>
          <w:p w14:paraId="76DA0FC0" w14:textId="77777777" w:rsidR="00EC71E8" w:rsidRPr="009C6A06" w:rsidRDefault="00EC71E8" w:rsidP="00437557">
            <w:pPr>
              <w:contextualSpacing/>
              <w:jc w:val="center"/>
              <w:rPr>
                <w:rFonts w:ascii="Cambria" w:hAnsi="Cambria"/>
                <w:bCs/>
                <w:sz w:val="20"/>
                <w:szCs w:val="20"/>
              </w:rPr>
            </w:pPr>
            <w:r>
              <w:rPr>
                <w:rFonts w:ascii="Cambria" w:hAnsi="Cambria"/>
                <w:i/>
                <w:iCs/>
                <w:sz w:val="20"/>
              </w:rPr>
              <w:t>Maximus</w:t>
            </w:r>
            <w:r>
              <w:rPr>
                <w:rFonts w:ascii="Cambria" w:hAnsi="Cambria"/>
                <w:sz w:val="20"/>
              </w:rPr>
              <w:t xml:space="preserve"> en 2019</w:t>
            </w:r>
          </w:p>
        </w:tc>
        <w:tc>
          <w:tcPr>
            <w:tcW w:w="1168" w:type="dxa"/>
          </w:tcPr>
          <w:p w14:paraId="269B3D9A" w14:textId="77777777" w:rsidR="00EC71E8" w:rsidRPr="009C6A06" w:rsidRDefault="00EC71E8" w:rsidP="00437557">
            <w:pPr>
              <w:contextualSpacing/>
              <w:jc w:val="center"/>
              <w:rPr>
                <w:rFonts w:ascii="Cambria" w:hAnsi="Cambria"/>
                <w:bCs/>
                <w:i/>
                <w:iCs/>
                <w:sz w:val="20"/>
                <w:szCs w:val="20"/>
              </w:rPr>
            </w:pPr>
            <w:r>
              <w:rPr>
                <w:rFonts w:ascii="Cambria" w:hAnsi="Cambria"/>
                <w:i/>
                <w:sz w:val="20"/>
              </w:rPr>
              <w:t>8</w:t>
            </w:r>
          </w:p>
        </w:tc>
        <w:tc>
          <w:tcPr>
            <w:tcW w:w="1242" w:type="dxa"/>
          </w:tcPr>
          <w:p w14:paraId="2C96F25F" w14:textId="77777777" w:rsidR="00EC71E8" w:rsidRPr="009C6A06" w:rsidRDefault="00EC71E8" w:rsidP="00437557">
            <w:pPr>
              <w:contextualSpacing/>
              <w:jc w:val="center"/>
              <w:rPr>
                <w:rFonts w:ascii="Cambria" w:hAnsi="Cambria"/>
                <w:bCs/>
                <w:i/>
                <w:iCs/>
                <w:sz w:val="20"/>
                <w:szCs w:val="20"/>
              </w:rPr>
            </w:pPr>
            <w:r>
              <w:rPr>
                <w:rFonts w:ascii="Cambria" w:hAnsi="Cambria"/>
                <w:i/>
                <w:sz w:val="20"/>
              </w:rPr>
              <w:t>8</w:t>
            </w:r>
          </w:p>
        </w:tc>
        <w:tc>
          <w:tcPr>
            <w:tcW w:w="1267" w:type="dxa"/>
          </w:tcPr>
          <w:p w14:paraId="35DCED8B" w14:textId="77777777" w:rsidR="00EC71E8" w:rsidRPr="009C6A06" w:rsidRDefault="00EC71E8" w:rsidP="00437557">
            <w:pPr>
              <w:contextualSpacing/>
              <w:jc w:val="center"/>
              <w:rPr>
                <w:rFonts w:ascii="Cambria" w:hAnsi="Cambria"/>
                <w:bCs/>
                <w:i/>
                <w:iCs/>
                <w:sz w:val="20"/>
                <w:szCs w:val="20"/>
              </w:rPr>
            </w:pPr>
            <w:r>
              <w:rPr>
                <w:rFonts w:ascii="Cambria" w:hAnsi="Cambria"/>
                <w:i/>
                <w:sz w:val="20"/>
              </w:rPr>
              <w:t>3 349 787</w:t>
            </w:r>
          </w:p>
        </w:tc>
        <w:tc>
          <w:tcPr>
            <w:tcW w:w="1470" w:type="dxa"/>
          </w:tcPr>
          <w:p w14:paraId="7791CED3" w14:textId="77777777" w:rsidR="00EC71E8" w:rsidRPr="009C6A06" w:rsidRDefault="00EC71E8" w:rsidP="00437557">
            <w:pPr>
              <w:contextualSpacing/>
              <w:jc w:val="center"/>
              <w:rPr>
                <w:rFonts w:ascii="Cambria" w:hAnsi="Cambria"/>
                <w:bCs/>
                <w:i/>
                <w:iCs/>
                <w:sz w:val="20"/>
                <w:szCs w:val="20"/>
              </w:rPr>
            </w:pPr>
            <w:r>
              <w:rPr>
                <w:rFonts w:ascii="Cambria" w:hAnsi="Cambria"/>
                <w:i/>
                <w:sz w:val="20"/>
              </w:rPr>
              <w:t>9</w:t>
            </w:r>
          </w:p>
        </w:tc>
        <w:tc>
          <w:tcPr>
            <w:tcW w:w="1493" w:type="dxa"/>
          </w:tcPr>
          <w:p w14:paraId="2FB872FC" w14:textId="77777777" w:rsidR="00EC71E8" w:rsidRPr="009C6A06" w:rsidRDefault="00EC71E8" w:rsidP="00437557">
            <w:pPr>
              <w:contextualSpacing/>
              <w:jc w:val="center"/>
              <w:rPr>
                <w:rFonts w:ascii="Cambria" w:hAnsi="Cambria"/>
                <w:bCs/>
                <w:i/>
                <w:iCs/>
                <w:sz w:val="20"/>
                <w:szCs w:val="20"/>
              </w:rPr>
            </w:pPr>
            <w:r>
              <w:rPr>
                <w:rFonts w:ascii="Cambria" w:hAnsi="Cambria"/>
                <w:i/>
                <w:sz w:val="20"/>
              </w:rPr>
              <w:t>8</w:t>
            </w:r>
          </w:p>
        </w:tc>
        <w:tc>
          <w:tcPr>
            <w:tcW w:w="1493" w:type="dxa"/>
          </w:tcPr>
          <w:p w14:paraId="521FEA9D" w14:textId="77777777" w:rsidR="00EC71E8" w:rsidRPr="009C6A06" w:rsidRDefault="00EC71E8" w:rsidP="00437557">
            <w:pPr>
              <w:contextualSpacing/>
              <w:jc w:val="center"/>
              <w:rPr>
                <w:rFonts w:ascii="Cambria" w:hAnsi="Cambria"/>
                <w:bCs/>
                <w:i/>
                <w:iCs/>
                <w:sz w:val="20"/>
                <w:szCs w:val="20"/>
              </w:rPr>
            </w:pPr>
            <w:r>
              <w:rPr>
                <w:rFonts w:ascii="Cambria" w:hAnsi="Cambria"/>
                <w:i/>
                <w:sz w:val="20"/>
              </w:rPr>
              <w:t>1 499 069</w:t>
            </w:r>
          </w:p>
        </w:tc>
      </w:tr>
      <w:tr w:rsidR="00EC71E8" w:rsidRPr="009C6A06" w14:paraId="57396B59" w14:textId="77777777" w:rsidTr="00B30FF1">
        <w:tc>
          <w:tcPr>
            <w:tcW w:w="1427" w:type="dxa"/>
          </w:tcPr>
          <w:p w14:paraId="7EAC9A96" w14:textId="77777777" w:rsidR="00EC71E8" w:rsidRPr="009C6A06" w:rsidRDefault="00EC71E8" w:rsidP="00437557">
            <w:pPr>
              <w:contextualSpacing/>
              <w:jc w:val="center"/>
              <w:rPr>
                <w:rFonts w:ascii="Cambria" w:hAnsi="Cambria"/>
                <w:bCs/>
                <w:sz w:val="20"/>
                <w:szCs w:val="20"/>
              </w:rPr>
            </w:pPr>
            <w:r>
              <w:rPr>
                <w:rFonts w:ascii="Cambria" w:hAnsi="Cambria"/>
                <w:i/>
                <w:iCs/>
                <w:sz w:val="20"/>
              </w:rPr>
              <w:t>Maximus</w:t>
            </w:r>
            <w:r>
              <w:rPr>
                <w:rFonts w:ascii="Cambria" w:hAnsi="Cambria"/>
                <w:sz w:val="20"/>
              </w:rPr>
              <w:t xml:space="preserve"> en 2020</w:t>
            </w:r>
          </w:p>
        </w:tc>
        <w:tc>
          <w:tcPr>
            <w:tcW w:w="1168" w:type="dxa"/>
          </w:tcPr>
          <w:p w14:paraId="3EB36AAC" w14:textId="77777777" w:rsidR="00EC71E8" w:rsidRPr="009C6A06" w:rsidRDefault="00EC71E8" w:rsidP="00437557">
            <w:pPr>
              <w:contextualSpacing/>
              <w:jc w:val="center"/>
              <w:rPr>
                <w:rFonts w:ascii="Cambria" w:hAnsi="Cambria"/>
                <w:bCs/>
                <w:i/>
                <w:iCs/>
                <w:sz w:val="20"/>
                <w:szCs w:val="20"/>
              </w:rPr>
            </w:pPr>
            <w:r>
              <w:rPr>
                <w:rFonts w:ascii="Cambria" w:hAnsi="Cambria"/>
                <w:i/>
                <w:sz w:val="20"/>
              </w:rPr>
              <w:t>7</w:t>
            </w:r>
          </w:p>
        </w:tc>
        <w:tc>
          <w:tcPr>
            <w:tcW w:w="1242" w:type="dxa"/>
          </w:tcPr>
          <w:p w14:paraId="04101DD5" w14:textId="77777777" w:rsidR="00EC71E8" w:rsidRPr="009C6A06" w:rsidRDefault="00EC71E8" w:rsidP="00437557">
            <w:pPr>
              <w:contextualSpacing/>
              <w:jc w:val="center"/>
              <w:rPr>
                <w:rFonts w:ascii="Cambria" w:hAnsi="Cambria"/>
                <w:bCs/>
                <w:i/>
                <w:iCs/>
                <w:sz w:val="20"/>
                <w:szCs w:val="20"/>
              </w:rPr>
            </w:pPr>
            <w:r>
              <w:rPr>
                <w:rFonts w:ascii="Cambria" w:hAnsi="Cambria"/>
                <w:i/>
                <w:sz w:val="20"/>
              </w:rPr>
              <w:t>7</w:t>
            </w:r>
          </w:p>
        </w:tc>
        <w:tc>
          <w:tcPr>
            <w:tcW w:w="1267" w:type="dxa"/>
          </w:tcPr>
          <w:p w14:paraId="79552395" w14:textId="77777777" w:rsidR="00EC71E8" w:rsidRPr="009C6A06" w:rsidRDefault="00EC71E8" w:rsidP="00437557">
            <w:pPr>
              <w:contextualSpacing/>
              <w:jc w:val="center"/>
              <w:rPr>
                <w:rFonts w:ascii="Cambria" w:hAnsi="Cambria"/>
                <w:bCs/>
                <w:i/>
                <w:iCs/>
                <w:sz w:val="20"/>
                <w:szCs w:val="20"/>
              </w:rPr>
            </w:pPr>
            <w:r>
              <w:rPr>
                <w:rFonts w:ascii="Cambria" w:hAnsi="Cambria"/>
                <w:i/>
                <w:sz w:val="20"/>
              </w:rPr>
              <w:t>1 552 684</w:t>
            </w:r>
          </w:p>
        </w:tc>
        <w:tc>
          <w:tcPr>
            <w:tcW w:w="1470" w:type="dxa"/>
          </w:tcPr>
          <w:p w14:paraId="5242F59A" w14:textId="77777777" w:rsidR="00EC71E8" w:rsidRPr="009C6A06" w:rsidRDefault="00EC71E8" w:rsidP="00437557">
            <w:pPr>
              <w:contextualSpacing/>
              <w:jc w:val="center"/>
              <w:rPr>
                <w:rFonts w:ascii="Cambria" w:hAnsi="Cambria"/>
                <w:bCs/>
                <w:i/>
                <w:iCs/>
                <w:sz w:val="20"/>
                <w:szCs w:val="20"/>
              </w:rPr>
            </w:pPr>
            <w:r>
              <w:rPr>
                <w:rFonts w:ascii="Cambria" w:hAnsi="Cambria"/>
                <w:i/>
                <w:sz w:val="20"/>
              </w:rPr>
              <w:t>6</w:t>
            </w:r>
          </w:p>
        </w:tc>
        <w:tc>
          <w:tcPr>
            <w:tcW w:w="1493" w:type="dxa"/>
          </w:tcPr>
          <w:p w14:paraId="6DD4F321" w14:textId="77777777" w:rsidR="00EC71E8" w:rsidRPr="009C6A06" w:rsidRDefault="00EC71E8" w:rsidP="00437557">
            <w:pPr>
              <w:contextualSpacing/>
              <w:jc w:val="center"/>
              <w:rPr>
                <w:rFonts w:ascii="Cambria" w:hAnsi="Cambria"/>
                <w:bCs/>
                <w:i/>
                <w:iCs/>
                <w:sz w:val="20"/>
                <w:szCs w:val="20"/>
              </w:rPr>
            </w:pPr>
            <w:r>
              <w:rPr>
                <w:rFonts w:ascii="Cambria" w:hAnsi="Cambria"/>
                <w:i/>
                <w:sz w:val="20"/>
              </w:rPr>
              <w:t>6</w:t>
            </w:r>
          </w:p>
        </w:tc>
        <w:tc>
          <w:tcPr>
            <w:tcW w:w="1493" w:type="dxa"/>
          </w:tcPr>
          <w:p w14:paraId="1D801F31" w14:textId="77777777" w:rsidR="00EC71E8" w:rsidRPr="009C6A06" w:rsidRDefault="00EC71E8" w:rsidP="00437557">
            <w:pPr>
              <w:contextualSpacing/>
              <w:jc w:val="center"/>
              <w:rPr>
                <w:rFonts w:ascii="Cambria" w:hAnsi="Cambria"/>
                <w:bCs/>
                <w:i/>
                <w:iCs/>
                <w:sz w:val="20"/>
                <w:szCs w:val="20"/>
              </w:rPr>
            </w:pPr>
            <w:r>
              <w:rPr>
                <w:rFonts w:ascii="Cambria" w:hAnsi="Cambria"/>
                <w:i/>
                <w:sz w:val="20"/>
              </w:rPr>
              <w:t>1 101 997</w:t>
            </w:r>
          </w:p>
        </w:tc>
      </w:tr>
      <w:tr w:rsidR="00EC71E8" w:rsidRPr="009C6A06" w14:paraId="5F9C30A2" w14:textId="77777777" w:rsidTr="00B30FF1">
        <w:tc>
          <w:tcPr>
            <w:tcW w:w="1427" w:type="dxa"/>
          </w:tcPr>
          <w:p w14:paraId="50D81949" w14:textId="77777777" w:rsidR="00EC71E8" w:rsidRPr="009C6A06" w:rsidRDefault="00EC71E8" w:rsidP="00437557">
            <w:pPr>
              <w:contextualSpacing/>
              <w:jc w:val="center"/>
              <w:rPr>
                <w:rFonts w:ascii="Cambria" w:hAnsi="Cambria"/>
                <w:bCs/>
                <w:sz w:val="20"/>
                <w:szCs w:val="20"/>
              </w:rPr>
            </w:pPr>
            <w:r>
              <w:rPr>
                <w:rFonts w:ascii="Cambria" w:hAnsi="Cambria"/>
                <w:i/>
                <w:iCs/>
                <w:sz w:val="20"/>
              </w:rPr>
              <w:t>Lisboa</w:t>
            </w:r>
            <w:r>
              <w:rPr>
                <w:rFonts w:ascii="Cambria" w:hAnsi="Cambria"/>
                <w:sz w:val="20"/>
              </w:rPr>
              <w:t xml:space="preserve"> en 2019</w:t>
            </w:r>
          </w:p>
        </w:tc>
        <w:tc>
          <w:tcPr>
            <w:tcW w:w="1168" w:type="dxa"/>
          </w:tcPr>
          <w:p w14:paraId="0D4EEB33" w14:textId="77777777" w:rsidR="00EC71E8" w:rsidRPr="009C6A06" w:rsidRDefault="00EC71E8" w:rsidP="00437557">
            <w:pPr>
              <w:contextualSpacing/>
              <w:jc w:val="center"/>
              <w:rPr>
                <w:rFonts w:ascii="Cambria" w:hAnsi="Cambria"/>
                <w:bCs/>
                <w:i/>
                <w:iCs/>
                <w:sz w:val="20"/>
                <w:szCs w:val="20"/>
              </w:rPr>
            </w:pPr>
            <w:r>
              <w:rPr>
                <w:rFonts w:ascii="Cambria" w:hAnsi="Cambria"/>
                <w:i/>
                <w:sz w:val="20"/>
              </w:rPr>
              <w:t>10</w:t>
            </w:r>
          </w:p>
        </w:tc>
        <w:tc>
          <w:tcPr>
            <w:tcW w:w="1242" w:type="dxa"/>
          </w:tcPr>
          <w:p w14:paraId="27A1C9A9" w14:textId="77777777" w:rsidR="00EC71E8" w:rsidRPr="009C6A06" w:rsidRDefault="00EC71E8" w:rsidP="00437557">
            <w:pPr>
              <w:contextualSpacing/>
              <w:jc w:val="center"/>
              <w:rPr>
                <w:rFonts w:ascii="Cambria" w:hAnsi="Cambria"/>
                <w:bCs/>
                <w:i/>
                <w:iCs/>
                <w:sz w:val="20"/>
                <w:szCs w:val="20"/>
              </w:rPr>
            </w:pPr>
            <w:r>
              <w:rPr>
                <w:rFonts w:ascii="Cambria" w:hAnsi="Cambria"/>
                <w:i/>
                <w:sz w:val="20"/>
              </w:rPr>
              <w:t>9</w:t>
            </w:r>
          </w:p>
        </w:tc>
        <w:tc>
          <w:tcPr>
            <w:tcW w:w="1267" w:type="dxa"/>
          </w:tcPr>
          <w:p w14:paraId="04C232D6" w14:textId="77777777" w:rsidR="00EC71E8" w:rsidRPr="009C6A06" w:rsidRDefault="00EC71E8" w:rsidP="00437557">
            <w:pPr>
              <w:contextualSpacing/>
              <w:jc w:val="center"/>
              <w:rPr>
                <w:rFonts w:ascii="Cambria" w:hAnsi="Cambria"/>
                <w:bCs/>
                <w:i/>
                <w:iCs/>
                <w:sz w:val="20"/>
                <w:szCs w:val="20"/>
              </w:rPr>
            </w:pPr>
            <w:r>
              <w:rPr>
                <w:rFonts w:ascii="Cambria" w:hAnsi="Cambria"/>
                <w:i/>
                <w:sz w:val="20"/>
              </w:rPr>
              <w:t>1 658 759</w:t>
            </w:r>
          </w:p>
        </w:tc>
        <w:tc>
          <w:tcPr>
            <w:tcW w:w="1470" w:type="dxa"/>
          </w:tcPr>
          <w:p w14:paraId="2924F870" w14:textId="77777777" w:rsidR="00EC71E8" w:rsidRPr="009C6A06" w:rsidRDefault="00EC71E8" w:rsidP="00437557">
            <w:pPr>
              <w:contextualSpacing/>
              <w:jc w:val="center"/>
              <w:rPr>
                <w:rFonts w:ascii="Cambria" w:hAnsi="Cambria"/>
                <w:bCs/>
                <w:i/>
                <w:iCs/>
                <w:sz w:val="20"/>
                <w:szCs w:val="20"/>
              </w:rPr>
            </w:pPr>
            <w:r>
              <w:rPr>
                <w:rFonts w:ascii="Cambria" w:hAnsi="Cambria"/>
                <w:i/>
                <w:sz w:val="20"/>
              </w:rPr>
              <w:t>11</w:t>
            </w:r>
          </w:p>
        </w:tc>
        <w:tc>
          <w:tcPr>
            <w:tcW w:w="1493" w:type="dxa"/>
          </w:tcPr>
          <w:p w14:paraId="0A5B991D" w14:textId="77777777" w:rsidR="00EC71E8" w:rsidRPr="009C6A06" w:rsidRDefault="00EC71E8" w:rsidP="00437557">
            <w:pPr>
              <w:contextualSpacing/>
              <w:jc w:val="center"/>
              <w:rPr>
                <w:rFonts w:ascii="Cambria" w:hAnsi="Cambria"/>
                <w:bCs/>
                <w:i/>
                <w:iCs/>
                <w:sz w:val="20"/>
                <w:szCs w:val="20"/>
              </w:rPr>
            </w:pPr>
            <w:r>
              <w:rPr>
                <w:rFonts w:ascii="Cambria" w:hAnsi="Cambria"/>
                <w:i/>
                <w:sz w:val="20"/>
              </w:rPr>
              <w:t>11</w:t>
            </w:r>
          </w:p>
        </w:tc>
        <w:tc>
          <w:tcPr>
            <w:tcW w:w="1493" w:type="dxa"/>
          </w:tcPr>
          <w:p w14:paraId="770D9864" w14:textId="77777777" w:rsidR="00EC71E8" w:rsidRPr="009C6A06" w:rsidRDefault="00EC71E8" w:rsidP="00437557">
            <w:pPr>
              <w:contextualSpacing/>
              <w:jc w:val="center"/>
              <w:rPr>
                <w:rFonts w:ascii="Cambria" w:hAnsi="Cambria"/>
                <w:bCs/>
                <w:i/>
                <w:iCs/>
                <w:sz w:val="20"/>
                <w:szCs w:val="20"/>
              </w:rPr>
            </w:pPr>
            <w:r>
              <w:rPr>
                <w:rFonts w:ascii="Cambria" w:hAnsi="Cambria"/>
                <w:i/>
                <w:sz w:val="20"/>
              </w:rPr>
              <w:t>2 161 934</w:t>
            </w:r>
          </w:p>
        </w:tc>
      </w:tr>
      <w:tr w:rsidR="00EC71E8" w:rsidRPr="009C6A06" w14:paraId="6F138D64" w14:textId="77777777" w:rsidTr="00B30FF1">
        <w:tc>
          <w:tcPr>
            <w:tcW w:w="1427" w:type="dxa"/>
          </w:tcPr>
          <w:p w14:paraId="06029DE2" w14:textId="77777777" w:rsidR="00EC71E8" w:rsidRPr="009C6A06" w:rsidRDefault="00EC71E8" w:rsidP="00437557">
            <w:pPr>
              <w:contextualSpacing/>
              <w:jc w:val="center"/>
              <w:rPr>
                <w:rFonts w:ascii="Cambria" w:hAnsi="Cambria"/>
                <w:bCs/>
                <w:sz w:val="20"/>
                <w:szCs w:val="20"/>
              </w:rPr>
            </w:pPr>
            <w:r>
              <w:rPr>
                <w:rFonts w:ascii="Cambria" w:hAnsi="Cambria"/>
                <w:i/>
                <w:iCs/>
                <w:sz w:val="20"/>
              </w:rPr>
              <w:t>Lisboa</w:t>
            </w:r>
            <w:r>
              <w:rPr>
                <w:rFonts w:ascii="Cambria" w:hAnsi="Cambria"/>
                <w:sz w:val="20"/>
              </w:rPr>
              <w:t xml:space="preserve"> en 2020</w:t>
            </w:r>
          </w:p>
        </w:tc>
        <w:tc>
          <w:tcPr>
            <w:tcW w:w="1168" w:type="dxa"/>
          </w:tcPr>
          <w:p w14:paraId="2D6F9136" w14:textId="77777777" w:rsidR="00EC71E8" w:rsidRPr="009C6A06" w:rsidRDefault="00EC71E8" w:rsidP="00437557">
            <w:pPr>
              <w:contextualSpacing/>
              <w:jc w:val="center"/>
              <w:rPr>
                <w:rFonts w:ascii="Cambria" w:hAnsi="Cambria"/>
                <w:bCs/>
                <w:i/>
                <w:iCs/>
                <w:sz w:val="20"/>
                <w:szCs w:val="20"/>
              </w:rPr>
            </w:pPr>
            <w:r>
              <w:rPr>
                <w:rFonts w:ascii="Cambria" w:hAnsi="Cambria"/>
                <w:i/>
                <w:sz w:val="20"/>
              </w:rPr>
              <w:t>8</w:t>
            </w:r>
          </w:p>
        </w:tc>
        <w:tc>
          <w:tcPr>
            <w:tcW w:w="1242" w:type="dxa"/>
          </w:tcPr>
          <w:p w14:paraId="2C22A19B" w14:textId="77777777" w:rsidR="00EC71E8" w:rsidRPr="009C6A06" w:rsidRDefault="00EC71E8" w:rsidP="00437557">
            <w:pPr>
              <w:contextualSpacing/>
              <w:jc w:val="center"/>
              <w:rPr>
                <w:rFonts w:ascii="Cambria" w:hAnsi="Cambria"/>
                <w:bCs/>
                <w:i/>
                <w:iCs/>
                <w:sz w:val="20"/>
                <w:szCs w:val="20"/>
              </w:rPr>
            </w:pPr>
            <w:r>
              <w:rPr>
                <w:rFonts w:ascii="Cambria" w:hAnsi="Cambria"/>
                <w:i/>
                <w:sz w:val="20"/>
              </w:rPr>
              <w:t>8</w:t>
            </w:r>
          </w:p>
        </w:tc>
        <w:tc>
          <w:tcPr>
            <w:tcW w:w="1267" w:type="dxa"/>
          </w:tcPr>
          <w:p w14:paraId="479E7ABE" w14:textId="77777777" w:rsidR="00EC71E8" w:rsidRPr="009C6A06" w:rsidRDefault="00EC71E8" w:rsidP="00437557">
            <w:pPr>
              <w:contextualSpacing/>
              <w:jc w:val="center"/>
              <w:rPr>
                <w:rFonts w:ascii="Cambria" w:hAnsi="Cambria"/>
                <w:bCs/>
                <w:i/>
                <w:iCs/>
                <w:sz w:val="20"/>
                <w:szCs w:val="20"/>
              </w:rPr>
            </w:pPr>
            <w:r>
              <w:rPr>
                <w:rFonts w:ascii="Cambria" w:hAnsi="Cambria"/>
                <w:i/>
                <w:sz w:val="20"/>
              </w:rPr>
              <w:t>1 307 497</w:t>
            </w:r>
          </w:p>
        </w:tc>
        <w:tc>
          <w:tcPr>
            <w:tcW w:w="1470" w:type="dxa"/>
          </w:tcPr>
          <w:p w14:paraId="25D7B726" w14:textId="77777777" w:rsidR="00EC71E8" w:rsidRPr="009C6A06" w:rsidRDefault="00EC71E8" w:rsidP="00437557">
            <w:pPr>
              <w:contextualSpacing/>
              <w:jc w:val="center"/>
              <w:rPr>
                <w:rFonts w:ascii="Cambria" w:hAnsi="Cambria"/>
                <w:bCs/>
                <w:i/>
                <w:iCs/>
                <w:sz w:val="20"/>
                <w:szCs w:val="20"/>
              </w:rPr>
            </w:pPr>
            <w:r>
              <w:rPr>
                <w:rFonts w:ascii="Cambria" w:hAnsi="Cambria"/>
                <w:i/>
                <w:sz w:val="20"/>
              </w:rPr>
              <w:t>8</w:t>
            </w:r>
          </w:p>
        </w:tc>
        <w:tc>
          <w:tcPr>
            <w:tcW w:w="1493" w:type="dxa"/>
          </w:tcPr>
          <w:p w14:paraId="5F99E466" w14:textId="77777777" w:rsidR="00EC71E8" w:rsidRPr="009C6A06" w:rsidRDefault="00EC71E8" w:rsidP="00437557">
            <w:pPr>
              <w:contextualSpacing/>
              <w:jc w:val="center"/>
              <w:rPr>
                <w:rFonts w:ascii="Cambria" w:hAnsi="Cambria"/>
                <w:bCs/>
                <w:i/>
                <w:iCs/>
                <w:sz w:val="20"/>
                <w:szCs w:val="20"/>
              </w:rPr>
            </w:pPr>
            <w:r>
              <w:rPr>
                <w:rFonts w:ascii="Cambria" w:hAnsi="Cambria"/>
                <w:i/>
                <w:sz w:val="20"/>
              </w:rPr>
              <w:t>8</w:t>
            </w:r>
          </w:p>
        </w:tc>
        <w:tc>
          <w:tcPr>
            <w:tcW w:w="1493" w:type="dxa"/>
          </w:tcPr>
          <w:p w14:paraId="2DDC14B7" w14:textId="77777777" w:rsidR="00EC71E8" w:rsidRPr="009C6A06" w:rsidRDefault="00EC71E8" w:rsidP="00437557">
            <w:pPr>
              <w:contextualSpacing/>
              <w:jc w:val="center"/>
              <w:rPr>
                <w:rFonts w:ascii="Cambria" w:hAnsi="Cambria"/>
                <w:bCs/>
                <w:i/>
                <w:iCs/>
                <w:sz w:val="20"/>
                <w:szCs w:val="20"/>
              </w:rPr>
            </w:pPr>
            <w:r>
              <w:rPr>
                <w:rFonts w:ascii="Cambria" w:hAnsi="Cambria"/>
                <w:i/>
                <w:sz w:val="20"/>
              </w:rPr>
              <w:t>1 756 289</w:t>
            </w:r>
          </w:p>
        </w:tc>
      </w:tr>
      <w:tr w:rsidR="00EC71E8" w:rsidRPr="009C6A06" w14:paraId="39C60E78" w14:textId="77777777" w:rsidTr="00B30FF1">
        <w:tc>
          <w:tcPr>
            <w:tcW w:w="1427" w:type="dxa"/>
          </w:tcPr>
          <w:p w14:paraId="5C241828" w14:textId="77777777" w:rsidR="00EC71E8" w:rsidRPr="009C6A06" w:rsidRDefault="00EC71E8" w:rsidP="00437557">
            <w:pPr>
              <w:contextualSpacing/>
              <w:jc w:val="center"/>
              <w:rPr>
                <w:rFonts w:ascii="Cambria" w:hAnsi="Cambria"/>
                <w:bCs/>
                <w:sz w:val="20"/>
                <w:szCs w:val="20"/>
              </w:rPr>
            </w:pPr>
            <w:r>
              <w:rPr>
                <w:rFonts w:ascii="Cambria" w:hAnsi="Cambria"/>
                <w:sz w:val="20"/>
              </w:rPr>
              <w:t>TOTAL</w:t>
            </w:r>
          </w:p>
        </w:tc>
        <w:tc>
          <w:tcPr>
            <w:tcW w:w="1168" w:type="dxa"/>
          </w:tcPr>
          <w:p w14:paraId="6FBFA6D9" w14:textId="77777777" w:rsidR="00EC71E8" w:rsidRPr="009C6A06" w:rsidRDefault="00EC71E8" w:rsidP="00437557">
            <w:pPr>
              <w:contextualSpacing/>
              <w:jc w:val="center"/>
              <w:rPr>
                <w:rFonts w:ascii="Cambria" w:hAnsi="Cambria"/>
                <w:bCs/>
                <w:i/>
                <w:iCs/>
                <w:sz w:val="20"/>
                <w:szCs w:val="20"/>
              </w:rPr>
            </w:pPr>
            <w:r>
              <w:rPr>
                <w:rFonts w:ascii="Cambria" w:hAnsi="Cambria"/>
                <w:i/>
                <w:sz w:val="20"/>
              </w:rPr>
              <w:t>33</w:t>
            </w:r>
          </w:p>
        </w:tc>
        <w:tc>
          <w:tcPr>
            <w:tcW w:w="1242" w:type="dxa"/>
          </w:tcPr>
          <w:p w14:paraId="2670B763" w14:textId="77777777" w:rsidR="00EC71E8" w:rsidRPr="009C6A06" w:rsidRDefault="00EC71E8" w:rsidP="00437557">
            <w:pPr>
              <w:contextualSpacing/>
              <w:jc w:val="center"/>
              <w:rPr>
                <w:rFonts w:ascii="Cambria" w:hAnsi="Cambria"/>
                <w:bCs/>
                <w:i/>
                <w:iCs/>
                <w:sz w:val="20"/>
                <w:szCs w:val="20"/>
              </w:rPr>
            </w:pPr>
            <w:r>
              <w:rPr>
                <w:rFonts w:ascii="Cambria" w:hAnsi="Cambria"/>
                <w:i/>
                <w:sz w:val="20"/>
              </w:rPr>
              <w:t>32</w:t>
            </w:r>
          </w:p>
        </w:tc>
        <w:tc>
          <w:tcPr>
            <w:tcW w:w="1267" w:type="dxa"/>
          </w:tcPr>
          <w:p w14:paraId="4D3821D0" w14:textId="77777777" w:rsidR="00EC71E8" w:rsidRPr="009C6A06" w:rsidRDefault="00EC71E8" w:rsidP="00437557">
            <w:pPr>
              <w:contextualSpacing/>
              <w:jc w:val="center"/>
              <w:rPr>
                <w:rFonts w:ascii="Cambria" w:hAnsi="Cambria"/>
                <w:bCs/>
                <w:i/>
                <w:iCs/>
                <w:sz w:val="20"/>
                <w:szCs w:val="20"/>
              </w:rPr>
            </w:pPr>
            <w:r>
              <w:rPr>
                <w:rFonts w:ascii="Cambria" w:hAnsi="Cambria"/>
                <w:i/>
                <w:sz w:val="20"/>
              </w:rPr>
              <w:t>7 868 727</w:t>
            </w:r>
          </w:p>
        </w:tc>
        <w:tc>
          <w:tcPr>
            <w:tcW w:w="1470" w:type="dxa"/>
          </w:tcPr>
          <w:p w14:paraId="7D760206" w14:textId="77777777" w:rsidR="00EC71E8" w:rsidRPr="009C6A06" w:rsidRDefault="00EC71E8" w:rsidP="00437557">
            <w:pPr>
              <w:contextualSpacing/>
              <w:jc w:val="center"/>
              <w:rPr>
                <w:rFonts w:ascii="Cambria" w:hAnsi="Cambria"/>
                <w:bCs/>
                <w:i/>
                <w:iCs/>
                <w:sz w:val="20"/>
                <w:szCs w:val="20"/>
              </w:rPr>
            </w:pPr>
            <w:r>
              <w:rPr>
                <w:rFonts w:ascii="Cambria" w:hAnsi="Cambria"/>
                <w:i/>
                <w:sz w:val="20"/>
              </w:rPr>
              <w:t>34</w:t>
            </w:r>
          </w:p>
        </w:tc>
        <w:tc>
          <w:tcPr>
            <w:tcW w:w="1493" w:type="dxa"/>
          </w:tcPr>
          <w:p w14:paraId="33389BBD" w14:textId="77777777" w:rsidR="00EC71E8" w:rsidRPr="009C6A06" w:rsidRDefault="00EC71E8" w:rsidP="00437557">
            <w:pPr>
              <w:contextualSpacing/>
              <w:jc w:val="center"/>
              <w:rPr>
                <w:rFonts w:ascii="Cambria" w:hAnsi="Cambria"/>
                <w:bCs/>
                <w:i/>
                <w:iCs/>
                <w:sz w:val="20"/>
                <w:szCs w:val="20"/>
              </w:rPr>
            </w:pPr>
            <w:r>
              <w:rPr>
                <w:rFonts w:ascii="Cambria" w:hAnsi="Cambria"/>
                <w:i/>
                <w:sz w:val="20"/>
              </w:rPr>
              <w:t>33</w:t>
            </w:r>
          </w:p>
        </w:tc>
        <w:tc>
          <w:tcPr>
            <w:tcW w:w="1493" w:type="dxa"/>
          </w:tcPr>
          <w:p w14:paraId="1DBB695E" w14:textId="77777777" w:rsidR="00EC71E8" w:rsidRPr="009C6A06" w:rsidRDefault="00EC71E8" w:rsidP="00437557">
            <w:pPr>
              <w:contextualSpacing/>
              <w:jc w:val="center"/>
              <w:rPr>
                <w:rFonts w:ascii="Cambria" w:hAnsi="Cambria"/>
                <w:bCs/>
                <w:i/>
                <w:iCs/>
                <w:sz w:val="20"/>
                <w:szCs w:val="20"/>
              </w:rPr>
            </w:pPr>
            <w:r>
              <w:rPr>
                <w:rFonts w:ascii="Cambria" w:hAnsi="Cambria"/>
                <w:i/>
                <w:sz w:val="20"/>
              </w:rPr>
              <w:t>6 528 289</w:t>
            </w:r>
          </w:p>
        </w:tc>
      </w:tr>
    </w:tbl>
    <w:p w14:paraId="0FAED409" w14:textId="77777777" w:rsidR="00EC71E8" w:rsidRPr="009C6A06" w:rsidRDefault="00EC71E8" w:rsidP="00437557">
      <w:pPr>
        <w:pStyle w:val="ListParagraph"/>
        <w:spacing w:after="0" w:line="240" w:lineRule="auto"/>
        <w:ind w:left="1800"/>
        <w:rPr>
          <w:rFonts w:ascii="Cambria" w:hAnsi="Cambria"/>
          <w:bCs/>
          <w:i/>
          <w:iCs/>
          <w:sz w:val="20"/>
          <w:szCs w:val="20"/>
        </w:rPr>
      </w:pPr>
    </w:p>
    <w:p w14:paraId="13E94627" w14:textId="26348EE9" w:rsidR="00EC71E8" w:rsidRPr="009C6A06" w:rsidRDefault="00EC71E8" w:rsidP="00365411">
      <w:pPr>
        <w:spacing w:after="0" w:line="240" w:lineRule="auto"/>
        <w:contextualSpacing/>
        <w:jc w:val="both"/>
        <w:rPr>
          <w:rFonts w:ascii="Cambria" w:hAnsi="Cambria" w:cs="Times New Roman"/>
          <w:i/>
          <w:iCs/>
          <w:sz w:val="20"/>
          <w:szCs w:val="20"/>
        </w:rPr>
      </w:pPr>
      <w:r>
        <w:rPr>
          <w:rFonts w:ascii="Cambria" w:hAnsi="Cambria"/>
          <w:sz w:val="20"/>
        </w:rPr>
        <w:t>En conséquence, les captures débarquées par la flottille palangrière sénégalaise en 2019 et 2020 restent inconnues. L'absence de données détaillées sur les captures jette le doute sur la capacité du Sénégal à contrôler les quotas attribués à sa flottille.</w:t>
      </w:r>
    </w:p>
    <w:p w14:paraId="0C5F6233" w14:textId="77777777" w:rsidR="00365411" w:rsidRDefault="00365411" w:rsidP="00365411">
      <w:pPr>
        <w:spacing w:after="0" w:line="240" w:lineRule="auto"/>
        <w:contextualSpacing/>
        <w:jc w:val="both"/>
        <w:rPr>
          <w:rFonts w:ascii="Cambria" w:hAnsi="Cambria"/>
          <w:sz w:val="20"/>
        </w:rPr>
      </w:pPr>
    </w:p>
    <w:p w14:paraId="7734F7EB" w14:textId="016149F8" w:rsidR="00EC71E8" w:rsidRPr="009C6A06" w:rsidRDefault="00EC71E8" w:rsidP="00365411">
      <w:pPr>
        <w:spacing w:after="0" w:line="240" w:lineRule="auto"/>
        <w:contextualSpacing/>
        <w:jc w:val="both"/>
        <w:rPr>
          <w:rFonts w:ascii="Cambria" w:hAnsi="Cambria"/>
          <w:bCs/>
          <w:i/>
          <w:iCs/>
          <w:sz w:val="20"/>
          <w:szCs w:val="20"/>
        </w:rPr>
      </w:pPr>
      <w:r>
        <w:rPr>
          <w:rFonts w:ascii="Cambria" w:hAnsi="Cambria"/>
          <w:sz w:val="20"/>
        </w:rPr>
        <w:t>L'UE demande au Sénégal de lui communiquer, sur une base bilatérale, tous les manifestes douaniers délivrés aux navires qui ont effectué des exportations illégales vers l'UE et qui sont mentionnés dans l'annexe 1, premier tableau (intitulé « date d'entrée des navires au port débarquement de 2019 à 2020 »).</w:t>
      </w:r>
    </w:p>
    <w:p w14:paraId="4617E396" w14:textId="77777777" w:rsidR="00EC71E8" w:rsidRPr="009C6A06" w:rsidRDefault="00EC71E8" w:rsidP="00365411">
      <w:pPr>
        <w:pStyle w:val="ListParagraph"/>
        <w:spacing w:after="0" w:line="240" w:lineRule="auto"/>
        <w:ind w:left="1800"/>
        <w:jc w:val="both"/>
        <w:rPr>
          <w:rFonts w:ascii="Cambria" w:hAnsi="Cambria"/>
          <w:bCs/>
          <w:i/>
          <w:iCs/>
          <w:sz w:val="20"/>
          <w:szCs w:val="20"/>
        </w:rPr>
      </w:pPr>
    </w:p>
    <w:p w14:paraId="1D82DD04" w14:textId="27592329" w:rsidR="00EC71E8" w:rsidRPr="009C6A06" w:rsidRDefault="00EC71E8" w:rsidP="00365411">
      <w:pPr>
        <w:spacing w:after="0" w:line="240" w:lineRule="auto"/>
        <w:contextualSpacing/>
        <w:jc w:val="both"/>
        <w:rPr>
          <w:rFonts w:ascii="Cambria" w:hAnsi="Cambria"/>
          <w:sz w:val="20"/>
          <w:szCs w:val="20"/>
        </w:rPr>
      </w:pPr>
      <w:r>
        <w:rPr>
          <w:rFonts w:ascii="Cambria" w:hAnsi="Cambria"/>
          <w:sz w:val="20"/>
        </w:rPr>
        <w:t>En ce qui concerne la procédure d'immatriculation de l'</w:t>
      </w:r>
      <w:r>
        <w:rPr>
          <w:rFonts w:ascii="Cambria" w:hAnsi="Cambria"/>
          <w:i/>
          <w:iCs/>
          <w:sz w:val="20"/>
        </w:rPr>
        <w:t>Ocean Star 1</w:t>
      </w:r>
      <w:r>
        <w:rPr>
          <w:rFonts w:ascii="Cambria" w:hAnsi="Cambria"/>
          <w:sz w:val="20"/>
        </w:rPr>
        <w:t xml:space="preserve"> et de l'</w:t>
      </w:r>
      <w:r>
        <w:rPr>
          <w:rFonts w:ascii="Cambria" w:hAnsi="Cambria"/>
          <w:i/>
          <w:iCs/>
          <w:sz w:val="20"/>
        </w:rPr>
        <w:t>Ocean Star 2</w:t>
      </w:r>
      <w:r>
        <w:rPr>
          <w:rFonts w:ascii="Cambria" w:hAnsi="Cambria"/>
          <w:sz w:val="20"/>
        </w:rPr>
        <w:t>, l'UE prend note des informations fournies par le Sénégal, mais regrette vivement que ces informations n'aient pas été communiquées en 2020, lorsque l'</w:t>
      </w:r>
      <w:r>
        <w:rPr>
          <w:rFonts w:ascii="Cambria" w:hAnsi="Cambria"/>
          <w:i/>
          <w:iCs/>
          <w:sz w:val="20"/>
        </w:rPr>
        <w:t>Ocean Star 2</w:t>
      </w:r>
      <w:r>
        <w:rPr>
          <w:rFonts w:ascii="Cambria" w:hAnsi="Cambria"/>
          <w:sz w:val="20"/>
        </w:rPr>
        <w:t xml:space="preserve"> a été inscrit sur la liste des navires IUU. </w:t>
      </w:r>
    </w:p>
    <w:p w14:paraId="360CB58E" w14:textId="77777777" w:rsidR="00365411" w:rsidRDefault="00365411" w:rsidP="00437557">
      <w:pPr>
        <w:spacing w:after="0" w:line="240" w:lineRule="auto"/>
        <w:contextualSpacing/>
        <w:jc w:val="both"/>
        <w:rPr>
          <w:rFonts w:ascii="Cambria" w:hAnsi="Cambria"/>
          <w:sz w:val="20"/>
        </w:rPr>
      </w:pPr>
    </w:p>
    <w:p w14:paraId="35FE8C1D" w14:textId="4246ED5C" w:rsidR="00EC71E8" w:rsidRDefault="00EC71E8" w:rsidP="00437557">
      <w:pPr>
        <w:spacing w:after="0" w:line="240" w:lineRule="auto"/>
        <w:contextualSpacing/>
        <w:jc w:val="both"/>
        <w:rPr>
          <w:rFonts w:ascii="Cambria" w:hAnsi="Cambria"/>
          <w:sz w:val="20"/>
        </w:rPr>
      </w:pPr>
      <w:r>
        <w:rPr>
          <w:rFonts w:ascii="Cambria" w:hAnsi="Cambria"/>
          <w:sz w:val="20"/>
        </w:rPr>
        <w:t>En tant qu'</w:t>
      </w:r>
      <w:r>
        <w:rPr>
          <w:rFonts w:ascii="Cambria" w:hAnsi="Cambria"/>
          <w:b/>
          <w:bCs/>
          <w:sz w:val="20"/>
        </w:rPr>
        <w:t>État du port</w:t>
      </w:r>
      <w:r>
        <w:rPr>
          <w:rFonts w:ascii="Cambria" w:hAnsi="Cambria"/>
          <w:sz w:val="20"/>
        </w:rPr>
        <w:t xml:space="preserve">, les informations fournies concernant les débarquements des navires </w:t>
      </w:r>
      <w:r>
        <w:rPr>
          <w:rFonts w:ascii="Cambria" w:hAnsi="Cambria"/>
          <w:i/>
          <w:iCs/>
          <w:sz w:val="20"/>
        </w:rPr>
        <w:t>Sage</w:t>
      </w:r>
      <w:r>
        <w:rPr>
          <w:rFonts w:ascii="Cambria" w:hAnsi="Cambria"/>
          <w:sz w:val="20"/>
        </w:rPr>
        <w:t xml:space="preserve">, </w:t>
      </w:r>
      <w:r>
        <w:rPr>
          <w:rFonts w:ascii="Cambria" w:hAnsi="Cambria"/>
          <w:i/>
          <w:iCs/>
          <w:sz w:val="20"/>
        </w:rPr>
        <w:t>Ricos n° 3</w:t>
      </w:r>
      <w:r>
        <w:rPr>
          <w:rFonts w:ascii="Cambria" w:hAnsi="Cambria"/>
          <w:sz w:val="20"/>
        </w:rPr>
        <w:t xml:space="preserve">, </w:t>
      </w:r>
      <w:r>
        <w:rPr>
          <w:rFonts w:ascii="Cambria" w:hAnsi="Cambria"/>
          <w:i/>
          <w:iCs/>
          <w:sz w:val="20"/>
        </w:rPr>
        <w:t>Ricos n° 6</w:t>
      </w:r>
      <w:r>
        <w:rPr>
          <w:rFonts w:ascii="Cambria" w:hAnsi="Cambria"/>
          <w:sz w:val="20"/>
        </w:rPr>
        <w:t xml:space="preserve"> et </w:t>
      </w:r>
      <w:r>
        <w:rPr>
          <w:rFonts w:ascii="Cambria" w:hAnsi="Cambria"/>
          <w:i/>
          <w:iCs/>
          <w:sz w:val="20"/>
        </w:rPr>
        <w:t>Mega n° 2</w:t>
      </w:r>
      <w:r>
        <w:rPr>
          <w:rFonts w:ascii="Cambria" w:hAnsi="Cambria"/>
          <w:sz w:val="20"/>
        </w:rPr>
        <w:t xml:space="preserve"> sont encore incomplètes. L'UE demande une nouvelle fois les informations relatives aux débarquements par espèce. L'UE est particulièrement préoccupée par le fait que les informations sur les débarquements font simplement référence au « thon », sans aucune ventilation par espèce. Les informations fournies dans le tableau 3 du document ne sont pas non plus tout à fait cohérentes avec les données fournies l'année dernière par le Sénégal (COC_312/2024_Addendum_1). Par exemple, le navire </w:t>
      </w:r>
      <w:r>
        <w:rPr>
          <w:rFonts w:ascii="Cambria" w:hAnsi="Cambria"/>
          <w:i/>
          <w:iCs/>
          <w:sz w:val="20"/>
        </w:rPr>
        <w:t>Sage</w:t>
      </w:r>
      <w:r>
        <w:rPr>
          <w:rFonts w:ascii="Cambria" w:hAnsi="Cambria"/>
          <w:sz w:val="20"/>
        </w:rPr>
        <w:t xml:space="preserve"> est mentionné avec deux débarquements en 2017 dans le document soumis cette année, mais avec exactement la même quantité de poisson débarquée que celle indiquée l'année dernière, où seul un débarquement pour ce navire en 2017 était mentionné.</w:t>
      </w:r>
    </w:p>
    <w:p w14:paraId="642F5F54" w14:textId="77777777" w:rsidR="00365411" w:rsidRPr="009C6A06" w:rsidRDefault="00365411" w:rsidP="00437557">
      <w:pPr>
        <w:spacing w:after="0" w:line="240" w:lineRule="auto"/>
        <w:contextualSpacing/>
        <w:jc w:val="both"/>
        <w:rPr>
          <w:rFonts w:ascii="Cambria" w:hAnsi="Cambria"/>
          <w:i/>
          <w:iCs/>
          <w:sz w:val="20"/>
          <w:szCs w:val="20"/>
        </w:rPr>
      </w:pPr>
    </w:p>
    <w:p w14:paraId="01520D2E" w14:textId="36289F36" w:rsidR="00EC71E8" w:rsidRPr="009C6A06" w:rsidRDefault="00EC71E8" w:rsidP="00437557">
      <w:pPr>
        <w:spacing w:after="0" w:line="240" w:lineRule="auto"/>
        <w:contextualSpacing/>
        <w:jc w:val="both"/>
        <w:rPr>
          <w:rFonts w:ascii="Cambria" w:hAnsi="Cambria" w:cs="Times New Roman"/>
          <w:bCs/>
          <w:i/>
          <w:iCs/>
          <w:sz w:val="20"/>
          <w:szCs w:val="20"/>
        </w:rPr>
      </w:pPr>
      <w:r>
        <w:rPr>
          <w:rFonts w:ascii="Cambria" w:hAnsi="Cambria"/>
          <w:sz w:val="20"/>
        </w:rPr>
        <w:t>L'UE note également que les informations fournies par le Sénégal confirment l'escale à Dakar de deux autres navires impliqués dans des activités IUU (</w:t>
      </w:r>
      <w:r>
        <w:rPr>
          <w:rFonts w:ascii="Cambria" w:hAnsi="Cambria"/>
          <w:i/>
          <w:iCs/>
          <w:sz w:val="20"/>
        </w:rPr>
        <w:t>Ocean Star 1</w:t>
      </w:r>
      <w:r>
        <w:rPr>
          <w:rFonts w:ascii="Cambria" w:hAnsi="Cambria"/>
          <w:sz w:val="20"/>
        </w:rPr>
        <w:t xml:space="preserve"> et </w:t>
      </w:r>
      <w:r>
        <w:rPr>
          <w:rFonts w:ascii="Cambria" w:hAnsi="Cambria"/>
          <w:i/>
          <w:iCs/>
          <w:sz w:val="20"/>
        </w:rPr>
        <w:t>Ocean Star 2</w:t>
      </w:r>
      <w:r>
        <w:rPr>
          <w:rFonts w:ascii="Cambria" w:hAnsi="Cambria"/>
          <w:sz w:val="20"/>
        </w:rPr>
        <w:t>). Cette information n'a pas non plus été déclarée en 2020, alors qu'elle aurait permis à l’ICCAT d'inscrire également l'</w:t>
      </w:r>
      <w:r>
        <w:rPr>
          <w:rFonts w:ascii="Cambria" w:hAnsi="Cambria"/>
          <w:i/>
          <w:iCs/>
          <w:sz w:val="20"/>
        </w:rPr>
        <w:t>Ocean Star 1</w:t>
      </w:r>
      <w:r>
        <w:rPr>
          <w:rFonts w:ascii="Cambria" w:hAnsi="Cambria"/>
          <w:sz w:val="20"/>
        </w:rPr>
        <w:t xml:space="preserve"> sur la liste des navires IUU.</w:t>
      </w:r>
    </w:p>
    <w:p w14:paraId="3F7782C5" w14:textId="77777777" w:rsidR="00365411" w:rsidRDefault="00365411" w:rsidP="00437557">
      <w:pPr>
        <w:spacing w:after="0" w:line="240" w:lineRule="auto"/>
        <w:contextualSpacing/>
        <w:jc w:val="both"/>
        <w:rPr>
          <w:rFonts w:ascii="Cambria" w:hAnsi="Cambria"/>
          <w:sz w:val="20"/>
        </w:rPr>
      </w:pPr>
    </w:p>
    <w:p w14:paraId="1C2EBD2A" w14:textId="086901D2" w:rsidR="003A2623" w:rsidRPr="009C6A06" w:rsidRDefault="003A2623" w:rsidP="00437557">
      <w:pPr>
        <w:spacing w:after="0" w:line="240" w:lineRule="auto"/>
        <w:contextualSpacing/>
        <w:jc w:val="both"/>
        <w:rPr>
          <w:rFonts w:ascii="Cambria" w:hAnsi="Cambria"/>
          <w:bCs/>
          <w:i/>
          <w:iCs/>
          <w:sz w:val="20"/>
          <w:szCs w:val="20"/>
        </w:rPr>
      </w:pPr>
      <w:r>
        <w:rPr>
          <w:rFonts w:ascii="Cambria" w:hAnsi="Cambria"/>
          <w:sz w:val="20"/>
        </w:rPr>
        <w:t xml:space="preserve">En l'absence d'un rapport complet sur les activités et les captures débarquées par les navires, l'UE n'est toujours pas en mesure d'évaluer si la sanction appliquée à </w:t>
      </w:r>
      <w:r>
        <w:rPr>
          <w:rFonts w:ascii="Cambria" w:hAnsi="Cambria"/>
          <w:i/>
          <w:iCs/>
          <w:sz w:val="20"/>
        </w:rPr>
        <w:t>Maximus</w:t>
      </w:r>
      <w:r>
        <w:rPr>
          <w:rFonts w:ascii="Cambria" w:hAnsi="Cambria"/>
          <w:sz w:val="20"/>
        </w:rPr>
        <w:t>, telle que communiquée l'année dernière par le Sénégal lors de la réunion annuelle (COC_312/2024-Addendum_1), est proportionnée et dissuasive.</w:t>
      </w:r>
    </w:p>
    <w:p w14:paraId="52E28B83" w14:textId="77777777" w:rsidR="00365411" w:rsidRDefault="00365411">
      <w:pPr>
        <w:rPr>
          <w:rFonts w:ascii="Cambria" w:hAnsi="Cambria"/>
          <w:sz w:val="20"/>
        </w:rPr>
      </w:pPr>
      <w:r>
        <w:rPr>
          <w:rFonts w:ascii="Cambria" w:hAnsi="Cambria"/>
          <w:sz w:val="20"/>
        </w:rPr>
        <w:br w:type="page"/>
      </w:r>
    </w:p>
    <w:p w14:paraId="481BC69B" w14:textId="66E0A338" w:rsidR="003A2623" w:rsidRPr="009C6A06" w:rsidRDefault="003A2623" w:rsidP="00437557">
      <w:pPr>
        <w:spacing w:after="0" w:line="240" w:lineRule="auto"/>
        <w:contextualSpacing/>
        <w:jc w:val="both"/>
        <w:rPr>
          <w:rFonts w:ascii="Cambria" w:hAnsi="Cambria"/>
          <w:bCs/>
          <w:sz w:val="20"/>
          <w:szCs w:val="20"/>
        </w:rPr>
      </w:pPr>
      <w:r>
        <w:rPr>
          <w:rFonts w:ascii="Cambria" w:hAnsi="Cambria"/>
          <w:sz w:val="20"/>
        </w:rPr>
        <w:lastRenderedPageBreak/>
        <w:t xml:space="preserve">De plus, tout en supposant que cette enquête en tant qu'État du pavillon est désormais terminée, nous comprenons que le Sénégal n'a pas l'intention d'imposer d'autres sanctions que celle-ci, qui ne concernait que </w:t>
      </w:r>
      <w:r>
        <w:rPr>
          <w:rFonts w:ascii="Cambria" w:hAnsi="Cambria"/>
          <w:i/>
          <w:iCs/>
          <w:sz w:val="20"/>
        </w:rPr>
        <w:t>Maximus</w:t>
      </w:r>
      <w:r>
        <w:rPr>
          <w:rFonts w:ascii="Cambria" w:hAnsi="Cambria"/>
          <w:sz w:val="20"/>
        </w:rPr>
        <w:t>. Cela contredit le fait que d'autres navires ont participé à ces activités illégales, ainsi que la déclaration faite l'année dernière dans le document COC-312/2024-Addendum_1 (« Le Sénégal va approfondir les enquêtes sur toutes ces questions complexes en vue de déterminer toutes les ramifications de ces affaires, de mieux identifier les auteurs et leurs niveaux de responsabilité.</w:t>
      </w:r>
      <w:r>
        <w:rPr>
          <w:rFonts w:ascii="Cambria" w:hAnsi="Cambria"/>
          <w:i/>
          <w:sz w:val="20"/>
        </w:rPr>
        <w:t xml:space="preserve"> </w:t>
      </w:r>
      <w:r>
        <w:rPr>
          <w:rFonts w:ascii="Cambria" w:hAnsi="Cambria"/>
          <w:sz w:val="20"/>
        </w:rPr>
        <w:t xml:space="preserve">Des sanctions appropriées seront appliquées ».) L'UE souhaiterait obtenir des éclaircissements de la part du Sénégal sur ce point. </w:t>
      </w:r>
    </w:p>
    <w:p w14:paraId="1B41F36F" w14:textId="77777777" w:rsidR="00580E4C" w:rsidRPr="009C6A06" w:rsidRDefault="00580E4C" w:rsidP="00437557">
      <w:pPr>
        <w:spacing w:after="0" w:line="240" w:lineRule="auto"/>
        <w:contextualSpacing/>
        <w:rPr>
          <w:rFonts w:ascii="Cambria" w:hAnsi="Cambria" w:cstheme="minorHAnsi"/>
          <w:sz w:val="20"/>
          <w:szCs w:val="20"/>
          <w:highlight w:val="cyan"/>
        </w:rPr>
      </w:pPr>
    </w:p>
    <w:p w14:paraId="542E2F9A" w14:textId="4C53E222" w:rsidR="003A2623" w:rsidRPr="009C6A06" w:rsidRDefault="00172991" w:rsidP="00437557">
      <w:pPr>
        <w:spacing w:after="0" w:line="240" w:lineRule="auto"/>
        <w:contextualSpacing/>
        <w:jc w:val="both"/>
        <w:rPr>
          <w:rFonts w:ascii="Cambria" w:hAnsi="Cambria" w:cstheme="minorHAnsi"/>
          <w:b/>
          <w:bCs/>
          <w:i/>
          <w:iCs/>
          <w:sz w:val="20"/>
          <w:szCs w:val="20"/>
        </w:rPr>
      </w:pPr>
      <w:r>
        <w:rPr>
          <w:rFonts w:ascii="Cambria" w:hAnsi="Cambria"/>
          <w:b/>
          <w:i/>
          <w:sz w:val="20"/>
        </w:rPr>
        <w:t>Non-application potentielle des Recommandations 19-02 et 21-01 de l’ICCAT (quota de thon obèse alloué au Sénégal)</w:t>
      </w:r>
    </w:p>
    <w:p w14:paraId="512E8531" w14:textId="77777777" w:rsidR="00365411" w:rsidRDefault="00365411" w:rsidP="00437557">
      <w:pPr>
        <w:spacing w:after="0" w:line="240" w:lineRule="auto"/>
        <w:contextualSpacing/>
        <w:jc w:val="both"/>
        <w:rPr>
          <w:rFonts w:ascii="Cambria" w:hAnsi="Cambria"/>
          <w:sz w:val="20"/>
        </w:rPr>
      </w:pPr>
    </w:p>
    <w:p w14:paraId="0AE4FA6B" w14:textId="580EF735" w:rsidR="003A2623" w:rsidRPr="009C6A06" w:rsidRDefault="003A2623" w:rsidP="00437557">
      <w:pPr>
        <w:spacing w:after="0" w:line="240" w:lineRule="auto"/>
        <w:contextualSpacing/>
        <w:jc w:val="both"/>
        <w:rPr>
          <w:rFonts w:ascii="Cambria" w:hAnsi="Cambria" w:cstheme="minorHAnsi"/>
          <w:sz w:val="20"/>
          <w:szCs w:val="20"/>
        </w:rPr>
      </w:pPr>
      <w:r>
        <w:rPr>
          <w:rFonts w:ascii="Cambria" w:hAnsi="Cambria"/>
          <w:sz w:val="20"/>
        </w:rPr>
        <w:t xml:space="preserve">L'UE émet de sérieuses réserves quant à la réponse fournie par le Sénégal et invite le COC à tirer toutes les conclusions qui s'imposent de l'absence de coopération du Sénégal dans cette affaire. </w:t>
      </w:r>
    </w:p>
    <w:p w14:paraId="44F69708" w14:textId="77777777" w:rsidR="00365411" w:rsidRDefault="00365411" w:rsidP="00437557">
      <w:pPr>
        <w:spacing w:after="0" w:line="240" w:lineRule="auto"/>
        <w:contextualSpacing/>
        <w:jc w:val="both"/>
        <w:rPr>
          <w:rFonts w:ascii="Cambria" w:hAnsi="Cambria"/>
          <w:sz w:val="20"/>
        </w:rPr>
      </w:pPr>
    </w:p>
    <w:p w14:paraId="0D679BB0" w14:textId="00B899F2" w:rsidR="003A2623" w:rsidRPr="009C6A06" w:rsidRDefault="003A2623" w:rsidP="00437557">
      <w:pPr>
        <w:spacing w:after="0" w:line="240" w:lineRule="auto"/>
        <w:contextualSpacing/>
        <w:jc w:val="both"/>
        <w:rPr>
          <w:rFonts w:ascii="Cambria" w:hAnsi="Cambria" w:cstheme="minorHAnsi"/>
          <w:sz w:val="20"/>
          <w:szCs w:val="20"/>
        </w:rPr>
      </w:pPr>
      <w:r>
        <w:rPr>
          <w:rFonts w:ascii="Cambria" w:hAnsi="Cambria"/>
          <w:sz w:val="20"/>
        </w:rPr>
        <w:t>Tout d'abord, l'UE attire l'attention du COC sur le fait que le Sénégal n'a clarifié aucune des incohérences signalées par l'UE, à l'exception des 54 tonnes de thon obèse capturées en 2021 par la flottille artisanale, qui, comme l'a confirmé le Sénégal, ont été omises du total des captures déclarées dans le cadre de l'exercice de contrôle des quotas.</w:t>
      </w:r>
    </w:p>
    <w:p w14:paraId="5EB96353" w14:textId="77777777" w:rsidR="00365411" w:rsidRPr="00365411" w:rsidRDefault="00365411" w:rsidP="00365411">
      <w:pPr>
        <w:pStyle w:val="ListParagraph"/>
        <w:spacing w:after="0" w:line="240" w:lineRule="auto"/>
        <w:ind w:left="360"/>
        <w:jc w:val="both"/>
        <w:rPr>
          <w:rFonts w:ascii="Cambria" w:hAnsi="Cambria"/>
          <w:sz w:val="20"/>
          <w:szCs w:val="20"/>
        </w:rPr>
      </w:pPr>
    </w:p>
    <w:p w14:paraId="5ACC66FC" w14:textId="430CD7A3" w:rsidR="003A2623" w:rsidRPr="009C6A06" w:rsidRDefault="003A2623" w:rsidP="00437557">
      <w:pPr>
        <w:pStyle w:val="ListParagraph"/>
        <w:numPr>
          <w:ilvl w:val="0"/>
          <w:numId w:val="5"/>
        </w:numPr>
        <w:spacing w:after="0" w:line="240" w:lineRule="auto"/>
        <w:jc w:val="both"/>
        <w:rPr>
          <w:rFonts w:ascii="Cambria" w:hAnsi="Cambria"/>
          <w:sz w:val="20"/>
          <w:szCs w:val="20"/>
        </w:rPr>
      </w:pPr>
      <w:r>
        <w:rPr>
          <w:rFonts w:ascii="Cambria" w:hAnsi="Cambria"/>
          <w:sz w:val="20"/>
        </w:rPr>
        <w:t>Le Sénégal n'explique pas pourquoi seules 756</w:t>
      </w:r>
      <w:r w:rsidRPr="009C6A06">
        <w:rPr>
          <w:rStyle w:val="FootnoteReference"/>
          <w:rFonts w:ascii="Cambria" w:hAnsi="Cambria"/>
          <w:sz w:val="20"/>
          <w:szCs w:val="20"/>
        </w:rPr>
        <w:footnoteReference w:id="1"/>
      </w:r>
      <w:r>
        <w:rPr>
          <w:rFonts w:ascii="Cambria" w:hAnsi="Cambria"/>
          <w:sz w:val="20"/>
        </w:rPr>
        <w:t xml:space="preserve"> tonnes de prises de thon obèse ont été déclarées en 2021, alors que les données sur les importations de l'UE montrent déjà qu'au moins 802 tonnes ont été importées dans l'UE. De plus, ces 802 tonnes n'incluent aucune importation provenant des 5 senneurs dont les données de capture pour 2021 sont publiées dans le rapport du Marine Stewardship Council consacré à cette pêcherie, ni de l'un des deux autres senneurs battant pavillon sénégalais cette année-là. Selon les données du journal de bord disponibles dans le rapport, le total des captures de thon obèse réalisées par ces navires en 2021 s'élevait à 501 tonnes</w:t>
      </w:r>
      <w:r w:rsidR="00A1169C" w:rsidRPr="009C6A06">
        <w:rPr>
          <w:rStyle w:val="FootnoteReference"/>
          <w:rFonts w:ascii="Cambria" w:hAnsi="Cambria"/>
          <w:sz w:val="20"/>
          <w:szCs w:val="20"/>
        </w:rPr>
        <w:footnoteReference w:id="2"/>
      </w:r>
      <w:r>
        <w:rPr>
          <w:rFonts w:ascii="Cambria" w:hAnsi="Cambria"/>
          <w:sz w:val="20"/>
        </w:rPr>
        <w:t>. Il suffit d'ajouter ces captures au minimum importé dans l'UE et à la pêche artisanale (501 + 802 + 54) pour obtenir une quantité qui dépasse déjà le quota du Sénégal pour 2021 (1.357 tonnes contre 1.322 tonnes). Et bien sûr, ce montant est loin d'être exhaustif, notamment parce que les navires qui ont exporté vers l'UE n'ont pas exporté la totalité de leurs captures vers le marché européen</w:t>
      </w:r>
      <w:r w:rsidRPr="009C6A06">
        <w:rPr>
          <w:rStyle w:val="FootnoteReference"/>
          <w:rFonts w:ascii="Cambria" w:hAnsi="Cambria"/>
          <w:sz w:val="20"/>
          <w:szCs w:val="20"/>
        </w:rPr>
        <w:footnoteReference w:id="3"/>
      </w:r>
      <w:r>
        <w:rPr>
          <w:rFonts w:ascii="Cambria" w:hAnsi="Cambria"/>
          <w:sz w:val="20"/>
        </w:rPr>
        <w:t>. À cet égard, l'UE invite toutes les autres CPC qui ont importé du thon obèse en provenance du Sénégal à communiquer également leurs données d'importation.</w:t>
      </w:r>
    </w:p>
    <w:p w14:paraId="6E97A64A" w14:textId="77777777" w:rsidR="003A2623" w:rsidRPr="009C6A06" w:rsidRDefault="003A2623" w:rsidP="00437557">
      <w:pPr>
        <w:pStyle w:val="ListParagraph"/>
        <w:spacing w:after="0" w:line="240" w:lineRule="auto"/>
        <w:jc w:val="both"/>
        <w:rPr>
          <w:rFonts w:ascii="Cambria" w:hAnsi="Cambria" w:cstheme="minorHAnsi"/>
          <w:sz w:val="20"/>
          <w:szCs w:val="20"/>
        </w:rPr>
      </w:pPr>
    </w:p>
    <w:p w14:paraId="4AD34F6E" w14:textId="621079AB" w:rsidR="003A2623" w:rsidRPr="009C6A06" w:rsidRDefault="003A2623" w:rsidP="00437557">
      <w:pPr>
        <w:pStyle w:val="ListParagraph"/>
        <w:numPr>
          <w:ilvl w:val="0"/>
          <w:numId w:val="5"/>
        </w:numPr>
        <w:spacing w:after="0" w:line="240" w:lineRule="auto"/>
        <w:jc w:val="both"/>
        <w:rPr>
          <w:rFonts w:ascii="Cambria" w:hAnsi="Cambria"/>
          <w:sz w:val="20"/>
          <w:szCs w:val="20"/>
        </w:rPr>
      </w:pPr>
      <w:r>
        <w:rPr>
          <w:rFonts w:ascii="Cambria" w:hAnsi="Cambria"/>
          <w:sz w:val="20"/>
        </w:rPr>
        <w:t>Le Sénégal n'apporte aucune clarification quant à l'incohérence des données relatives aux captures réalisées à la canne et au moulinet qu'il a déclarées à l’ICCAT. Au moins 175 tonnes capturées par les navires sénégalais à canne et au moulinet en 2022 ont été certifiées dans les certificats de capture délivrés par le Sénégal à l'UE, mais pour cette même année, le Sénégal a déclaré à l’ICCAT un total de 92 tonnes de thon obèse capturé par cette flottille. La réponse du Sénégal ne fournit aucune explication à cette divergence, bien qu'elle jette un doute sérieux sur l'intégrité des déclarations du Sénégal, puisque même les captures soumises à une certification spécifique pour l'exportation vers l'UE n'ont pas été correctement déclarées à l’ICCAT.</w:t>
      </w:r>
    </w:p>
    <w:p w14:paraId="279B1431" w14:textId="77777777" w:rsidR="003A2623" w:rsidRPr="009C6A06" w:rsidRDefault="003A2623" w:rsidP="00437557">
      <w:pPr>
        <w:pStyle w:val="ListParagraph"/>
        <w:spacing w:after="0" w:line="240" w:lineRule="auto"/>
        <w:jc w:val="both"/>
        <w:rPr>
          <w:rFonts w:ascii="Cambria" w:hAnsi="Cambria" w:cstheme="minorHAnsi"/>
          <w:sz w:val="20"/>
          <w:szCs w:val="20"/>
        </w:rPr>
      </w:pPr>
    </w:p>
    <w:p w14:paraId="03625E7E" w14:textId="2952A465" w:rsidR="003A2623" w:rsidRPr="009C6A06" w:rsidRDefault="003A2623" w:rsidP="00437557">
      <w:pPr>
        <w:spacing w:after="0" w:line="240" w:lineRule="auto"/>
        <w:contextualSpacing/>
        <w:jc w:val="both"/>
        <w:rPr>
          <w:rFonts w:ascii="Cambria" w:hAnsi="Cambria" w:cstheme="minorHAnsi"/>
          <w:sz w:val="20"/>
          <w:szCs w:val="20"/>
        </w:rPr>
      </w:pPr>
      <w:r>
        <w:rPr>
          <w:rFonts w:ascii="Cambria" w:hAnsi="Cambria"/>
          <w:sz w:val="20"/>
        </w:rPr>
        <w:t xml:space="preserve">Deuxièmement, l'UE attire l'attention du COC sur les incohérences statistiques des données déclarées par le Sénégal, notamment lorsqu'on compare le montant de thon obèse par jour de pêche dans les exportations vers l'UE avec le montant de thon obèse par jour de pêche dans le reste des captures déclarées par le Sénégal. Le Sénégal rejette les demandes de l'UE visant à clarifier ces données, affirmant qu'il n'y avait aucune raison de déclarer de manière erronée ses captures de thon obèse, car en 2021, celles-ci étaient bien inférieures au quota alloué au Sénégal. Cet argument ne tient pas compte du fait que : </w:t>
      </w:r>
    </w:p>
    <w:p w14:paraId="6FCFAE36" w14:textId="77777777" w:rsidR="003A2623" w:rsidRPr="009C6A06" w:rsidRDefault="003A2623" w:rsidP="00437557">
      <w:pPr>
        <w:pStyle w:val="ListParagraph"/>
        <w:spacing w:after="0" w:line="240" w:lineRule="auto"/>
        <w:ind w:left="360"/>
        <w:jc w:val="both"/>
        <w:rPr>
          <w:rFonts w:ascii="Cambria" w:hAnsi="Cambria" w:cstheme="minorHAnsi"/>
          <w:sz w:val="20"/>
          <w:szCs w:val="20"/>
        </w:rPr>
      </w:pPr>
    </w:p>
    <w:p w14:paraId="0D5B2E6E" w14:textId="07029A64" w:rsidR="003A2623" w:rsidRPr="009C6A06" w:rsidRDefault="003A2623" w:rsidP="00365411">
      <w:pPr>
        <w:pStyle w:val="ListParagraph"/>
        <w:spacing w:after="0" w:line="240" w:lineRule="auto"/>
        <w:ind w:left="851" w:hanging="425"/>
        <w:jc w:val="both"/>
        <w:rPr>
          <w:rFonts w:ascii="Cambria" w:hAnsi="Cambria" w:cstheme="minorHAnsi"/>
          <w:sz w:val="20"/>
          <w:szCs w:val="20"/>
        </w:rPr>
      </w:pPr>
      <w:r>
        <w:rPr>
          <w:rFonts w:ascii="Cambria" w:hAnsi="Cambria"/>
          <w:sz w:val="20"/>
        </w:rPr>
        <w:t xml:space="preserve">(a) </w:t>
      </w:r>
      <w:r w:rsidR="00365411">
        <w:rPr>
          <w:rFonts w:ascii="Cambria" w:hAnsi="Cambria"/>
          <w:sz w:val="20"/>
        </w:rPr>
        <w:tab/>
      </w:r>
      <w:r>
        <w:rPr>
          <w:rFonts w:ascii="Cambria" w:hAnsi="Cambria"/>
          <w:sz w:val="20"/>
        </w:rPr>
        <w:t xml:space="preserve">Comme déjà mentionné, les données soumises par l'UE indiquent clairement un dépassement du quota de 2021. </w:t>
      </w:r>
    </w:p>
    <w:p w14:paraId="7E10D925" w14:textId="77777777" w:rsidR="003A2623" w:rsidRPr="009C6A06" w:rsidRDefault="003A2623" w:rsidP="00437557">
      <w:pPr>
        <w:pStyle w:val="ListParagraph"/>
        <w:spacing w:after="0" w:line="240" w:lineRule="auto"/>
        <w:ind w:left="360"/>
        <w:jc w:val="both"/>
        <w:rPr>
          <w:rFonts w:ascii="Cambria" w:hAnsi="Cambria" w:cstheme="minorHAnsi"/>
          <w:sz w:val="20"/>
          <w:szCs w:val="20"/>
        </w:rPr>
      </w:pPr>
    </w:p>
    <w:p w14:paraId="67676091" w14:textId="1430C471" w:rsidR="003A2623" w:rsidRPr="009C6A06" w:rsidRDefault="003A2623" w:rsidP="00365411">
      <w:pPr>
        <w:pStyle w:val="ListParagraph"/>
        <w:spacing w:after="0" w:line="240" w:lineRule="auto"/>
        <w:ind w:left="851" w:hanging="425"/>
        <w:jc w:val="both"/>
        <w:rPr>
          <w:rFonts w:ascii="Cambria" w:hAnsi="Cambria" w:cstheme="minorHAnsi"/>
          <w:sz w:val="20"/>
          <w:szCs w:val="20"/>
        </w:rPr>
      </w:pPr>
      <w:r>
        <w:rPr>
          <w:rFonts w:ascii="Cambria" w:hAnsi="Cambria"/>
          <w:sz w:val="20"/>
        </w:rPr>
        <w:lastRenderedPageBreak/>
        <w:t xml:space="preserve">(b) </w:t>
      </w:r>
      <w:r w:rsidR="00365411">
        <w:rPr>
          <w:rFonts w:ascii="Cambria" w:hAnsi="Cambria"/>
          <w:sz w:val="20"/>
        </w:rPr>
        <w:tab/>
        <w:t xml:space="preserve">Le </w:t>
      </w:r>
      <w:r>
        <w:rPr>
          <w:rFonts w:ascii="Cambria" w:hAnsi="Cambria"/>
          <w:sz w:val="20"/>
        </w:rPr>
        <w:t>nombre de senneurs est resté le même entre 2018 et 2023, mais ces mêmes navires auraient réussi à passer d'une capture annuelle moyenne de 2.206 tonnes de thon obèse avant 2021 à une capture annuelle moyenne de 719 tonnes après 2021.</w:t>
      </w:r>
    </w:p>
    <w:p w14:paraId="03F08BE5" w14:textId="77777777" w:rsidR="003A2623" w:rsidRPr="009C6A06" w:rsidRDefault="003A2623" w:rsidP="00437557">
      <w:pPr>
        <w:pStyle w:val="ListParagraph"/>
        <w:spacing w:after="0" w:line="240" w:lineRule="auto"/>
        <w:ind w:left="360"/>
        <w:jc w:val="both"/>
        <w:rPr>
          <w:rFonts w:ascii="Cambria" w:hAnsi="Cambria" w:cstheme="minorHAnsi"/>
          <w:sz w:val="20"/>
          <w:szCs w:val="20"/>
        </w:rPr>
      </w:pPr>
    </w:p>
    <w:p w14:paraId="3E339547" w14:textId="74AC2B28" w:rsidR="003A2623" w:rsidRPr="009C6A06" w:rsidRDefault="003A2623" w:rsidP="00365411">
      <w:pPr>
        <w:pStyle w:val="ListParagraph"/>
        <w:spacing w:after="0" w:line="240" w:lineRule="auto"/>
        <w:ind w:left="851" w:hanging="425"/>
        <w:jc w:val="both"/>
        <w:rPr>
          <w:rFonts w:ascii="Cambria" w:hAnsi="Cambria" w:cstheme="minorHAnsi"/>
          <w:sz w:val="20"/>
          <w:szCs w:val="20"/>
        </w:rPr>
      </w:pPr>
      <w:r>
        <w:rPr>
          <w:rFonts w:ascii="Cambria" w:hAnsi="Cambria"/>
          <w:sz w:val="20"/>
        </w:rPr>
        <w:t xml:space="preserve">(c) </w:t>
      </w:r>
      <w:r w:rsidR="00365411">
        <w:rPr>
          <w:rFonts w:ascii="Cambria" w:hAnsi="Cambria"/>
          <w:sz w:val="20"/>
        </w:rPr>
        <w:tab/>
        <w:t xml:space="preserve">Cette </w:t>
      </w:r>
      <w:r>
        <w:rPr>
          <w:rFonts w:ascii="Cambria" w:hAnsi="Cambria"/>
          <w:sz w:val="20"/>
        </w:rPr>
        <w:t xml:space="preserve">réduction de 67 % des captures de thon obèse aurait été obtenue tout en augmentant de 52 % les captures totales des senneurs, de sorte que le thon obèse ne représenterait plus que 1,3 % des captures effectuées par ces senneurs. </w:t>
      </w:r>
    </w:p>
    <w:p w14:paraId="5BF28A66" w14:textId="77777777" w:rsidR="003A2623" w:rsidRPr="009C6A06" w:rsidRDefault="003A2623" w:rsidP="00437557">
      <w:pPr>
        <w:pStyle w:val="ListParagraph"/>
        <w:spacing w:after="0" w:line="240" w:lineRule="auto"/>
        <w:ind w:left="360"/>
        <w:jc w:val="both"/>
        <w:rPr>
          <w:rFonts w:ascii="Cambria" w:hAnsi="Cambria" w:cstheme="minorHAnsi"/>
          <w:sz w:val="20"/>
          <w:szCs w:val="20"/>
        </w:rPr>
      </w:pPr>
    </w:p>
    <w:p w14:paraId="02B46172" w14:textId="77777777" w:rsidR="003A2623" w:rsidRPr="009C6A06" w:rsidRDefault="003A2623" w:rsidP="00437557">
      <w:pPr>
        <w:spacing w:after="0" w:line="240" w:lineRule="auto"/>
        <w:contextualSpacing/>
        <w:jc w:val="both"/>
        <w:rPr>
          <w:rFonts w:ascii="Cambria" w:hAnsi="Cambria" w:cstheme="minorHAnsi"/>
          <w:sz w:val="20"/>
          <w:szCs w:val="20"/>
        </w:rPr>
      </w:pPr>
      <w:r>
        <w:rPr>
          <w:rFonts w:ascii="Cambria" w:hAnsi="Cambria"/>
          <w:sz w:val="20"/>
        </w:rPr>
        <w:t xml:space="preserve">Troisièmement, l'UE ne peut accepter que le Sénégal rejette les conclusions formulées par un État membre de l'UE lorsque les inspecteurs des pêches de cet État membre ont contrôlé les captures effectuées en 2024 par le navire pêchant à la canne et au moulinet </w:t>
      </w:r>
      <w:r>
        <w:rPr>
          <w:rFonts w:ascii="Cambria" w:hAnsi="Cambria"/>
          <w:i/>
          <w:iCs/>
          <w:sz w:val="20"/>
        </w:rPr>
        <w:t>Cap Atlantique</w:t>
      </w:r>
      <w:r>
        <w:rPr>
          <w:rFonts w:ascii="Cambria" w:hAnsi="Cambria"/>
          <w:sz w:val="20"/>
        </w:rPr>
        <w:t xml:space="preserve"> (exportées vers l'UE dans des conteneurs). Alors que les certificats de capture validés par le Sénégal faisaient état de 32 tonnes de thon obèse, les inspecteurs ont déterminé qu'il y avait en réalité 134 tonnes de thon obèse dans ces captures. L'UE n'accepte pas que le Sénégal conteste ces conclusions sans raison valable et tient à rappeler qu'elles lui ont déjà été communiquées en mars 2025, accompagnées d'une demande visant à clarifier la procédure de vérification des captures déclarées par les opérateurs et les sanctions imposées par le Sénégal. Aucune de ces informations n'a été soumise par le Sénégal, qui déclare en outre à l’ICCAT un total de captures de thon obèse de seulement 125 tonnes pour l'ensemble des navires pêchant à la canne et au moulinet ayant opéré en 2024.</w:t>
      </w:r>
    </w:p>
    <w:p w14:paraId="0D6855CA" w14:textId="77777777" w:rsidR="00365411" w:rsidRDefault="00365411" w:rsidP="00437557">
      <w:pPr>
        <w:spacing w:after="0" w:line="240" w:lineRule="auto"/>
        <w:contextualSpacing/>
        <w:jc w:val="both"/>
        <w:rPr>
          <w:rFonts w:ascii="Cambria" w:hAnsi="Cambria"/>
          <w:sz w:val="20"/>
        </w:rPr>
      </w:pPr>
    </w:p>
    <w:p w14:paraId="5D0B0597" w14:textId="0C009532" w:rsidR="003A2623" w:rsidRPr="009C6A06" w:rsidRDefault="003A2623" w:rsidP="00437557">
      <w:pPr>
        <w:spacing w:after="0" w:line="240" w:lineRule="auto"/>
        <w:contextualSpacing/>
        <w:jc w:val="both"/>
        <w:rPr>
          <w:rFonts w:ascii="Cambria" w:hAnsi="Cambria" w:cstheme="minorHAnsi"/>
          <w:sz w:val="20"/>
          <w:szCs w:val="20"/>
        </w:rPr>
      </w:pPr>
      <w:r>
        <w:rPr>
          <w:rFonts w:ascii="Cambria" w:hAnsi="Cambria"/>
          <w:sz w:val="20"/>
        </w:rPr>
        <w:t xml:space="preserve">En résumé, l'UE demande au COC de noter que le Sénégal n'a pas fourni les éclaircissements que ses données de capture de thon obèse exigeaient de toute urgence, et a directement compromis le processus défini dans la Recommandation 08-09. Au lieu de lancer des vérifications sur les incohérences signalées par l'UE, le Sénégal a choisi de réfuter globalement toute question et le COC se trouve désormais confronté à une situation où aucune de ces incohérences n'a été clarifiée, ce qui est en contradiction flagrante avec les objectifs du processus définis dans la Rec. 08-09. </w:t>
      </w:r>
    </w:p>
    <w:p w14:paraId="55A9E30C" w14:textId="77777777" w:rsidR="00365411" w:rsidRDefault="00365411" w:rsidP="00437557">
      <w:pPr>
        <w:spacing w:after="0" w:line="240" w:lineRule="auto"/>
        <w:contextualSpacing/>
        <w:jc w:val="both"/>
        <w:rPr>
          <w:rFonts w:ascii="Cambria" w:hAnsi="Cambria"/>
          <w:sz w:val="20"/>
        </w:rPr>
      </w:pPr>
    </w:p>
    <w:p w14:paraId="0AE24E06" w14:textId="76AFE9D1" w:rsidR="003A2623" w:rsidRPr="009C6A06" w:rsidRDefault="003A2623" w:rsidP="00437557">
      <w:pPr>
        <w:spacing w:after="0" w:line="240" w:lineRule="auto"/>
        <w:contextualSpacing/>
        <w:jc w:val="both"/>
        <w:rPr>
          <w:rFonts w:ascii="Cambria" w:hAnsi="Cambria" w:cstheme="minorHAnsi"/>
          <w:sz w:val="20"/>
          <w:szCs w:val="20"/>
        </w:rPr>
      </w:pPr>
      <w:r>
        <w:rPr>
          <w:rFonts w:ascii="Cambria" w:hAnsi="Cambria"/>
          <w:sz w:val="20"/>
        </w:rPr>
        <w:t>L'UE insiste également très fermement sur la nécessité de procéder à un examen scientifique des captures déclarées par le Sénégal pour les senneurs, afin d'évaluer la plausibilité de leurs captures de thon obèse qui s'écartent complètement des proportions observées dans d'autres flottilles de senneurs.</w:t>
      </w:r>
    </w:p>
    <w:p w14:paraId="26D7F055" w14:textId="77777777" w:rsidR="003A2623" w:rsidRPr="009C6A06" w:rsidRDefault="003A2623" w:rsidP="00437557">
      <w:pPr>
        <w:spacing w:after="0" w:line="240" w:lineRule="auto"/>
        <w:contextualSpacing/>
        <w:jc w:val="both"/>
        <w:rPr>
          <w:rFonts w:ascii="Cambria" w:hAnsi="Cambria" w:cstheme="minorHAnsi"/>
          <w:sz w:val="20"/>
          <w:szCs w:val="20"/>
        </w:rPr>
      </w:pPr>
    </w:p>
    <w:p w14:paraId="452BB08A" w14:textId="77777777" w:rsidR="003A2623" w:rsidRDefault="003A2623" w:rsidP="00437557">
      <w:pPr>
        <w:spacing w:after="0" w:line="240" w:lineRule="auto"/>
        <w:contextualSpacing/>
        <w:jc w:val="both"/>
        <w:rPr>
          <w:rFonts w:ascii="Cambria" w:hAnsi="Cambria"/>
          <w:b/>
          <w:i/>
          <w:sz w:val="20"/>
        </w:rPr>
      </w:pPr>
      <w:r>
        <w:rPr>
          <w:rFonts w:ascii="Cambria" w:hAnsi="Cambria"/>
          <w:b/>
          <w:i/>
          <w:sz w:val="20"/>
        </w:rPr>
        <w:t>Non-application potentielle de la Recommandation 24-01 de l’ICCAT (fermeture des DCP)</w:t>
      </w:r>
    </w:p>
    <w:p w14:paraId="28A5F7F5" w14:textId="77777777" w:rsidR="00365411" w:rsidRPr="009C6A06" w:rsidRDefault="00365411" w:rsidP="00437557">
      <w:pPr>
        <w:spacing w:after="0" w:line="240" w:lineRule="auto"/>
        <w:contextualSpacing/>
        <w:jc w:val="both"/>
        <w:rPr>
          <w:rFonts w:ascii="Cambria" w:hAnsi="Cambria" w:cstheme="minorHAnsi"/>
          <w:b/>
          <w:bCs/>
          <w:i/>
          <w:iCs/>
          <w:sz w:val="20"/>
          <w:szCs w:val="20"/>
        </w:rPr>
      </w:pPr>
    </w:p>
    <w:p w14:paraId="382078CC" w14:textId="77777777" w:rsidR="003A2623" w:rsidRPr="009C6A06" w:rsidRDefault="003A2623" w:rsidP="00437557">
      <w:pPr>
        <w:pStyle w:val="ListParagraph"/>
        <w:numPr>
          <w:ilvl w:val="0"/>
          <w:numId w:val="1"/>
        </w:numPr>
        <w:spacing w:after="0" w:line="240" w:lineRule="auto"/>
        <w:ind w:left="360"/>
        <w:jc w:val="both"/>
        <w:rPr>
          <w:rFonts w:ascii="Cambria" w:hAnsi="Cambria" w:cstheme="minorHAnsi"/>
          <w:sz w:val="20"/>
          <w:szCs w:val="20"/>
        </w:rPr>
      </w:pPr>
      <w:r>
        <w:rPr>
          <w:rFonts w:ascii="Cambria" w:hAnsi="Cambria"/>
          <w:sz w:val="20"/>
        </w:rPr>
        <w:t xml:space="preserve">Outre les résultats attendus de l'enquête menée par le Sénégal, l'UE demande au Sénégal de fournir les données VMS et le journal de bord du </w:t>
      </w:r>
      <w:r>
        <w:rPr>
          <w:rFonts w:ascii="Cambria" w:hAnsi="Cambria"/>
          <w:i/>
          <w:iCs/>
          <w:sz w:val="20"/>
        </w:rPr>
        <w:t>Sea Breeze</w:t>
      </w:r>
      <w:r>
        <w:rPr>
          <w:rFonts w:ascii="Cambria" w:hAnsi="Cambria"/>
          <w:sz w:val="20"/>
        </w:rPr>
        <w:t xml:space="preserve"> pour cette sortie de pêche.</w:t>
      </w:r>
    </w:p>
    <w:p w14:paraId="7BAA577F" w14:textId="77777777" w:rsidR="002244DD" w:rsidRPr="009C6A06" w:rsidRDefault="002244DD" w:rsidP="00437557">
      <w:pPr>
        <w:spacing w:after="0" w:line="240" w:lineRule="auto"/>
        <w:contextualSpacing/>
        <w:jc w:val="both"/>
        <w:rPr>
          <w:rFonts w:ascii="Cambria" w:hAnsi="Cambria" w:cstheme="minorHAnsi"/>
          <w:sz w:val="20"/>
          <w:szCs w:val="20"/>
        </w:rPr>
      </w:pPr>
    </w:p>
    <w:p w14:paraId="50C6FBB5" w14:textId="77777777" w:rsidR="003A2623" w:rsidRDefault="003A2623" w:rsidP="00437557">
      <w:pPr>
        <w:spacing w:after="0" w:line="240" w:lineRule="auto"/>
        <w:contextualSpacing/>
        <w:jc w:val="both"/>
        <w:rPr>
          <w:rFonts w:ascii="Cambria" w:hAnsi="Cambria"/>
          <w:b/>
          <w:i/>
          <w:sz w:val="20"/>
        </w:rPr>
      </w:pPr>
      <w:r>
        <w:rPr>
          <w:rFonts w:ascii="Cambria" w:hAnsi="Cambria"/>
          <w:b/>
          <w:i/>
          <w:sz w:val="20"/>
        </w:rPr>
        <w:t>Déclaration de thon rouge</w:t>
      </w:r>
    </w:p>
    <w:p w14:paraId="1215F0B2" w14:textId="77777777" w:rsidR="00365411" w:rsidRPr="009C6A06" w:rsidRDefault="00365411" w:rsidP="00437557">
      <w:pPr>
        <w:spacing w:after="0" w:line="240" w:lineRule="auto"/>
        <w:contextualSpacing/>
        <w:jc w:val="both"/>
        <w:rPr>
          <w:rFonts w:ascii="Cambria" w:hAnsi="Cambria" w:cstheme="minorHAnsi"/>
          <w:b/>
          <w:bCs/>
          <w:i/>
          <w:iCs/>
          <w:sz w:val="20"/>
          <w:szCs w:val="20"/>
        </w:rPr>
      </w:pPr>
    </w:p>
    <w:p w14:paraId="7CB3212C" w14:textId="77777777" w:rsidR="003A2623" w:rsidRPr="00365411" w:rsidRDefault="003A2623" w:rsidP="00437557">
      <w:pPr>
        <w:pStyle w:val="ListParagraph"/>
        <w:numPr>
          <w:ilvl w:val="0"/>
          <w:numId w:val="1"/>
        </w:numPr>
        <w:spacing w:after="0" w:line="240" w:lineRule="auto"/>
        <w:ind w:left="360"/>
        <w:jc w:val="both"/>
        <w:rPr>
          <w:rFonts w:ascii="Cambria" w:hAnsi="Cambria" w:cstheme="minorHAnsi"/>
          <w:sz w:val="20"/>
          <w:szCs w:val="20"/>
        </w:rPr>
      </w:pPr>
      <w:r>
        <w:rPr>
          <w:rFonts w:ascii="Cambria" w:hAnsi="Cambria"/>
          <w:sz w:val="20"/>
        </w:rPr>
        <w:t xml:space="preserve">Le Sénégal a déclaré 225 tonnes de thon rouge pour 2024 (COC_304/2025), alors que dans le document PA2_27/i2025 présenté lors de la réunion de la Sous-commission 2 de l’ICCAT qui s'est tenue en mars 2025, la quantité vérifiée au débarquement pour les captures effectuées par le senneur </w:t>
      </w:r>
      <w:r>
        <w:rPr>
          <w:rFonts w:ascii="Cambria" w:hAnsi="Cambria"/>
          <w:i/>
          <w:iCs/>
          <w:sz w:val="20"/>
        </w:rPr>
        <w:t>Granada</w:t>
      </w:r>
      <w:r>
        <w:rPr>
          <w:rFonts w:ascii="Cambria" w:hAnsi="Cambria"/>
          <w:sz w:val="20"/>
        </w:rPr>
        <w:t xml:space="preserve"> le 29 décembre 2024 était déjà de 232 tonnes.</w:t>
      </w:r>
    </w:p>
    <w:p w14:paraId="47A1CB63" w14:textId="77777777" w:rsidR="00365411" w:rsidRPr="009C6A06" w:rsidRDefault="00365411" w:rsidP="00365411">
      <w:pPr>
        <w:pStyle w:val="ListParagraph"/>
        <w:spacing w:after="0" w:line="240" w:lineRule="auto"/>
        <w:ind w:left="360"/>
        <w:jc w:val="both"/>
        <w:rPr>
          <w:rFonts w:ascii="Cambria" w:hAnsi="Cambria" w:cstheme="minorHAnsi"/>
          <w:sz w:val="20"/>
          <w:szCs w:val="20"/>
        </w:rPr>
      </w:pPr>
    </w:p>
    <w:p w14:paraId="7F0C8DB1" w14:textId="77777777" w:rsidR="003A2623" w:rsidRPr="009C6A06" w:rsidRDefault="003A2623" w:rsidP="00437557">
      <w:pPr>
        <w:pStyle w:val="ListParagraph"/>
        <w:numPr>
          <w:ilvl w:val="0"/>
          <w:numId w:val="1"/>
        </w:numPr>
        <w:spacing w:after="0" w:line="240" w:lineRule="auto"/>
        <w:ind w:left="360"/>
        <w:jc w:val="both"/>
        <w:rPr>
          <w:rFonts w:ascii="Cambria" w:hAnsi="Cambria" w:cstheme="minorHAnsi"/>
          <w:sz w:val="20"/>
          <w:szCs w:val="20"/>
        </w:rPr>
      </w:pPr>
      <w:r>
        <w:rPr>
          <w:rFonts w:ascii="Cambria" w:hAnsi="Cambria"/>
          <w:sz w:val="20"/>
        </w:rPr>
        <w:t xml:space="preserve">Par conséquent, l'UE demande au Sénégal des éclaircissements sur cette déclaration. </w:t>
      </w:r>
    </w:p>
    <w:p w14:paraId="1FA4B11F" w14:textId="77777777" w:rsidR="003A2623" w:rsidRPr="009C6A06" w:rsidRDefault="003A2623" w:rsidP="00437557">
      <w:pPr>
        <w:pStyle w:val="ListParagraph"/>
        <w:spacing w:after="0" w:line="240" w:lineRule="auto"/>
        <w:ind w:left="1440"/>
        <w:jc w:val="both"/>
        <w:rPr>
          <w:rFonts w:ascii="Cambria" w:hAnsi="Cambria" w:cstheme="minorHAnsi"/>
          <w:sz w:val="20"/>
          <w:szCs w:val="20"/>
        </w:rPr>
      </w:pPr>
    </w:p>
    <w:p w14:paraId="0C2BA272" w14:textId="4DBF23C7" w:rsidR="003A2623" w:rsidRPr="009C6A06" w:rsidRDefault="003A2623" w:rsidP="00437557">
      <w:pPr>
        <w:spacing w:after="0" w:line="240" w:lineRule="auto"/>
        <w:contextualSpacing/>
        <w:jc w:val="both"/>
        <w:rPr>
          <w:rFonts w:ascii="Cambria" w:hAnsi="Cambria" w:cstheme="minorHAnsi"/>
          <w:b/>
          <w:bCs/>
          <w:sz w:val="20"/>
          <w:szCs w:val="20"/>
        </w:rPr>
      </w:pPr>
      <w:r>
        <w:rPr>
          <w:rFonts w:ascii="Cambria" w:hAnsi="Cambria"/>
          <w:b/>
          <w:sz w:val="20"/>
        </w:rPr>
        <w:t xml:space="preserve">Conclusion:  </w:t>
      </w:r>
    </w:p>
    <w:p w14:paraId="025F0415" w14:textId="250481FD" w:rsidR="003A2623" w:rsidRPr="00365411" w:rsidRDefault="003A2623" w:rsidP="00437557">
      <w:pPr>
        <w:pStyle w:val="ListParagraph"/>
        <w:numPr>
          <w:ilvl w:val="0"/>
          <w:numId w:val="1"/>
        </w:numPr>
        <w:spacing w:after="0" w:line="240" w:lineRule="auto"/>
        <w:ind w:left="360"/>
        <w:jc w:val="both"/>
        <w:rPr>
          <w:rFonts w:ascii="Cambria" w:hAnsi="Cambria"/>
          <w:sz w:val="20"/>
          <w:szCs w:val="20"/>
        </w:rPr>
      </w:pPr>
      <w:r>
        <w:rPr>
          <w:rFonts w:ascii="Cambria" w:hAnsi="Cambria"/>
          <w:sz w:val="20"/>
        </w:rPr>
        <w:t>Les défaillances critiques identifiées dans la mise en œuvre par le Sénégal de ses obligations en tant qu'État du pavillon et État du port compromettent directement le système de conservation et de gestion établi par l’ICCAT et maintiennent un risque disproportionné que des poissons capturés en violation flagrante des règles de l’ICCAT soient débarqués au Sénégal puis exportés vers les Parties contractantes de l’ICCAT.</w:t>
      </w:r>
    </w:p>
    <w:p w14:paraId="243986A1" w14:textId="77777777" w:rsidR="00365411" w:rsidRPr="009C6A06" w:rsidRDefault="00365411" w:rsidP="00365411">
      <w:pPr>
        <w:pStyle w:val="ListParagraph"/>
        <w:spacing w:after="0" w:line="240" w:lineRule="auto"/>
        <w:ind w:left="360"/>
        <w:jc w:val="both"/>
        <w:rPr>
          <w:rFonts w:ascii="Cambria" w:hAnsi="Cambria"/>
          <w:sz w:val="20"/>
          <w:szCs w:val="20"/>
        </w:rPr>
      </w:pPr>
    </w:p>
    <w:p w14:paraId="5C5F66D2" w14:textId="5F233A87" w:rsidR="00172991" w:rsidRPr="00365411" w:rsidRDefault="003A2623" w:rsidP="00437557">
      <w:pPr>
        <w:pStyle w:val="ListParagraph"/>
        <w:numPr>
          <w:ilvl w:val="0"/>
          <w:numId w:val="1"/>
        </w:numPr>
        <w:tabs>
          <w:tab w:val="left" w:pos="3837"/>
        </w:tabs>
        <w:spacing w:after="0" w:line="240" w:lineRule="auto"/>
        <w:ind w:left="360"/>
        <w:jc w:val="both"/>
        <w:rPr>
          <w:rFonts w:ascii="Cambria" w:hAnsi="Cambria"/>
          <w:b/>
          <w:sz w:val="20"/>
          <w:szCs w:val="20"/>
        </w:rPr>
      </w:pPr>
      <w:r w:rsidRPr="00365411">
        <w:rPr>
          <w:rFonts w:ascii="Cambria" w:hAnsi="Cambria"/>
          <w:sz w:val="20"/>
        </w:rPr>
        <w:t>Compte tenu du nombre de débarquements d'espèces de thonidés effectués au Sénégal par des navires ne figurant pas sur la liste des navires autorisés de l’ICCAT</w:t>
      </w:r>
      <w:r w:rsidRPr="009C6A06">
        <w:rPr>
          <w:rStyle w:val="FootnoteReference"/>
          <w:rFonts w:ascii="Cambria" w:hAnsi="Cambria" w:cstheme="minorHAnsi"/>
          <w:sz w:val="20"/>
          <w:szCs w:val="20"/>
        </w:rPr>
        <w:footnoteReference w:id="4"/>
      </w:r>
      <w:r w:rsidRPr="00365411">
        <w:rPr>
          <w:rFonts w:ascii="Cambria" w:hAnsi="Cambria"/>
          <w:sz w:val="20"/>
        </w:rPr>
        <w:t xml:space="preserve">, l'UE demande que le non-respect de la Rec. 23-17 soit ajouté à la liste des questions identifiées dans la Rec. 06-13. </w:t>
      </w:r>
    </w:p>
    <w:sectPr w:rsidR="00172991" w:rsidRPr="00365411" w:rsidSect="00437557">
      <w:headerReference w:type="default" r:id="rId11"/>
      <w:pgSz w:w="11906" w:h="16838" w:code="9"/>
      <w:pgMar w:top="1440" w:right="1440" w:bottom="1440" w:left="1440" w:header="85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CC7BC" w14:textId="77777777" w:rsidR="00CC25B9" w:rsidRDefault="00CC25B9" w:rsidP="00172991">
      <w:pPr>
        <w:spacing w:after="0" w:line="240" w:lineRule="auto"/>
      </w:pPr>
      <w:r>
        <w:separator/>
      </w:r>
    </w:p>
  </w:endnote>
  <w:endnote w:type="continuationSeparator" w:id="0">
    <w:p w14:paraId="3C5186B3" w14:textId="77777777" w:rsidR="00CC25B9" w:rsidRDefault="00CC25B9" w:rsidP="00172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AAE5C" w14:textId="77777777" w:rsidR="00CC25B9" w:rsidRDefault="00CC25B9" w:rsidP="00172991">
      <w:pPr>
        <w:spacing w:after="0" w:line="240" w:lineRule="auto"/>
      </w:pPr>
      <w:r>
        <w:separator/>
      </w:r>
    </w:p>
  </w:footnote>
  <w:footnote w:type="continuationSeparator" w:id="0">
    <w:p w14:paraId="2AFE6465" w14:textId="77777777" w:rsidR="00CC25B9" w:rsidRDefault="00CC25B9" w:rsidP="00172991">
      <w:pPr>
        <w:spacing w:after="0" w:line="240" w:lineRule="auto"/>
      </w:pPr>
      <w:r>
        <w:continuationSeparator/>
      </w:r>
    </w:p>
  </w:footnote>
  <w:footnote w:id="1">
    <w:p w14:paraId="77232318" w14:textId="77777777" w:rsidR="003A2623" w:rsidRPr="00365411" w:rsidRDefault="003A2623" w:rsidP="00365411">
      <w:pPr>
        <w:pStyle w:val="FootnoteText"/>
        <w:spacing w:after="0"/>
        <w:contextualSpacing/>
        <w:rPr>
          <w:rFonts w:ascii="Cambria" w:hAnsi="Cambria"/>
          <w:sz w:val="16"/>
          <w:szCs w:val="16"/>
        </w:rPr>
      </w:pPr>
      <w:r w:rsidRPr="00365411">
        <w:rPr>
          <w:rStyle w:val="FootnoteReference"/>
          <w:rFonts w:ascii="Cambria" w:eastAsiaTheme="majorEastAsia" w:hAnsi="Cambria"/>
          <w:sz w:val="16"/>
          <w:szCs w:val="16"/>
        </w:rPr>
        <w:footnoteRef/>
      </w:r>
      <w:r w:rsidRPr="00365411">
        <w:rPr>
          <w:rFonts w:ascii="Cambria" w:hAnsi="Cambria"/>
          <w:sz w:val="16"/>
          <w:szCs w:val="16"/>
        </w:rPr>
        <w:t xml:space="preserve"> 702 tonnes provenant de navires industriels + 54 tonnes provenant de navires artisanaux</w:t>
      </w:r>
    </w:p>
  </w:footnote>
  <w:footnote w:id="2">
    <w:p w14:paraId="3E059ED8" w14:textId="1435AF85" w:rsidR="00A1169C" w:rsidRPr="00365411" w:rsidRDefault="00A1169C" w:rsidP="00365411">
      <w:pPr>
        <w:pStyle w:val="FootnoteText"/>
        <w:spacing w:after="0"/>
        <w:contextualSpacing/>
        <w:rPr>
          <w:rFonts w:ascii="Cambria" w:hAnsi="Cambria"/>
          <w:sz w:val="16"/>
          <w:szCs w:val="16"/>
          <w:lang w:val="en-US"/>
        </w:rPr>
      </w:pPr>
      <w:r w:rsidRPr="00365411">
        <w:rPr>
          <w:rStyle w:val="FootnoteReference"/>
          <w:rFonts w:ascii="Cambria" w:hAnsi="Cambria"/>
          <w:sz w:val="16"/>
          <w:szCs w:val="16"/>
        </w:rPr>
        <w:footnoteRef/>
      </w:r>
      <w:r w:rsidRPr="00365411">
        <w:rPr>
          <w:rFonts w:ascii="Cambria" w:hAnsi="Cambria"/>
          <w:sz w:val="16"/>
          <w:szCs w:val="16"/>
          <w:lang w:val="en-US"/>
        </w:rPr>
        <w:t xml:space="preserve"> MSC, Initial Assessment, Public Certification Report, Capsen &amp; Grand Bleu Atlantic Ocean purse seine skipjack and yellowfin tuna fishery, November 2024, p.120</w:t>
      </w:r>
    </w:p>
  </w:footnote>
  <w:footnote w:id="3">
    <w:p w14:paraId="1A0634E0" w14:textId="77777777" w:rsidR="003A2623" w:rsidRPr="002F13F4" w:rsidRDefault="003A2623" w:rsidP="00365411">
      <w:pPr>
        <w:pStyle w:val="FootnoteText"/>
        <w:spacing w:after="0"/>
        <w:contextualSpacing/>
      </w:pPr>
      <w:r w:rsidRPr="00365411">
        <w:rPr>
          <w:rStyle w:val="FootnoteReference"/>
          <w:rFonts w:ascii="Cambria" w:eastAsiaTheme="majorEastAsia" w:hAnsi="Cambria"/>
          <w:sz w:val="16"/>
          <w:szCs w:val="16"/>
        </w:rPr>
        <w:footnoteRef/>
      </w:r>
      <w:r w:rsidRPr="00365411">
        <w:rPr>
          <w:rFonts w:ascii="Cambria" w:hAnsi="Cambria"/>
          <w:sz w:val="16"/>
          <w:szCs w:val="16"/>
        </w:rPr>
        <w:t xml:space="preserve"> Sans compter que les 802 tonnes susmentionnées n'incluent pas les captures de thon obèse provenant de campagnes de pêche qui ont débuté en 2021 et se sont terminées en 2022. La distribution au prorata temporis de ces captures ajouterait 62 tonnes aux captures de 2021.</w:t>
      </w:r>
    </w:p>
  </w:footnote>
  <w:footnote w:id="4">
    <w:p w14:paraId="7B27313D" w14:textId="77777777" w:rsidR="003A2623" w:rsidRPr="00365411" w:rsidRDefault="003A2623" w:rsidP="003A2623">
      <w:pPr>
        <w:pStyle w:val="FootnoteText"/>
        <w:rPr>
          <w:rFonts w:ascii="Cambria" w:hAnsi="Cambria"/>
          <w:sz w:val="16"/>
          <w:szCs w:val="16"/>
        </w:rPr>
      </w:pPr>
      <w:r w:rsidRPr="00365411">
        <w:rPr>
          <w:rStyle w:val="FootnoteReference"/>
          <w:rFonts w:ascii="Cambria" w:eastAsiaTheme="majorEastAsia" w:hAnsi="Cambria"/>
          <w:sz w:val="16"/>
          <w:szCs w:val="16"/>
        </w:rPr>
        <w:footnoteRef/>
      </w:r>
      <w:r w:rsidRPr="00365411">
        <w:rPr>
          <w:rFonts w:ascii="Cambria" w:hAnsi="Cambria"/>
          <w:sz w:val="16"/>
          <w:szCs w:val="16"/>
        </w:rPr>
        <w:t xml:space="preserve"> </w:t>
      </w:r>
      <w:r w:rsidRPr="00365411">
        <w:rPr>
          <w:rFonts w:ascii="Cambria" w:hAnsi="Cambria"/>
          <w:i/>
          <w:iCs/>
          <w:sz w:val="16"/>
          <w:szCs w:val="16"/>
        </w:rPr>
        <w:t>Sage</w:t>
      </w:r>
      <w:r w:rsidRPr="00365411">
        <w:rPr>
          <w:rFonts w:ascii="Cambria" w:hAnsi="Cambria"/>
          <w:sz w:val="16"/>
          <w:szCs w:val="16"/>
        </w:rPr>
        <w:t xml:space="preserve"> figurait déjà sur la liste des navires IUU au moment des débarquements, les autres navires ne figuraient pas sur le registre des navires autorisés de l’ICCAT.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EBDF0" w14:textId="7165B05E" w:rsidR="009C6A06" w:rsidRPr="00BF31DD" w:rsidRDefault="009C6A06" w:rsidP="009C6A06">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COC_329</w:t>
    </w: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/2025</w:t>
    </w:r>
  </w:p>
  <w:p w14:paraId="31D98A96" w14:textId="65F67277" w:rsidR="009C6A06" w:rsidRDefault="009C6A06" w:rsidP="009C6A06">
    <w:pPr>
      <w:widowControl w:val="0"/>
      <w:tabs>
        <w:tab w:val="left" w:pos="7320"/>
      </w:tabs>
      <w:spacing w:after="0" w:line="240" w:lineRule="exact"/>
      <w:jc w:val="right"/>
    </w:pPr>
    <w:r w:rsidRPr="00D21AA0">
      <w:rPr>
        <w:rFonts w:ascii="Cambria" w:eastAsia="Calibri" w:hAnsi="Cambria" w:cs="Times New Roman"/>
        <w:b/>
        <w:sz w:val="16"/>
      </w:rPr>
      <w:fldChar w:fldCharType="begin"/>
    </w:r>
    <w:r w:rsidRPr="00D21AA0">
      <w:rPr>
        <w:rFonts w:ascii="Cambria" w:eastAsia="Calibri" w:hAnsi="Cambria" w:cs="Times New Roman"/>
        <w:b/>
        <w:sz w:val="16"/>
      </w:rPr>
      <w:instrText xml:space="preserve"> TIME \@ "dd/MM/yyyy H:mm" </w:instrText>
    </w:r>
    <w:r w:rsidRPr="00D21AA0">
      <w:rPr>
        <w:rFonts w:ascii="Cambria" w:eastAsia="Calibri" w:hAnsi="Cambria" w:cs="Times New Roman"/>
        <w:b/>
        <w:sz w:val="16"/>
      </w:rPr>
      <w:fldChar w:fldCharType="separate"/>
    </w:r>
    <w:r w:rsidR="00BB7CE8">
      <w:rPr>
        <w:rFonts w:ascii="Cambria" w:eastAsia="Calibri" w:hAnsi="Cambria" w:cs="Times New Roman"/>
        <w:b/>
        <w:noProof/>
        <w:sz w:val="16"/>
      </w:rPr>
      <w:t>06/02/2026 13:39</w:t>
    </w:r>
    <w:r w:rsidRPr="00D21AA0">
      <w:rPr>
        <w:rFonts w:ascii="Cambria" w:eastAsia="Calibri" w:hAnsi="Cambria" w:cs="Times New Roman"/>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A5C5C"/>
    <w:multiLevelType w:val="hybridMultilevel"/>
    <w:tmpl w:val="A536ABA8"/>
    <w:lvl w:ilvl="0" w:tplc="1584CEA2">
      <w:start w:val="1"/>
      <w:numFmt w:val="decimal"/>
      <w:lvlText w:val="%1)"/>
      <w:lvlJc w:val="left"/>
      <w:pPr>
        <w:ind w:left="360" w:hanging="360"/>
      </w:pPr>
      <w:rPr>
        <w:rFonts w:asciiTheme="minorHAnsi" w:eastAsiaTheme="minorHAnsi" w:hAnsiTheme="minorHAnsi" w:cstheme="minorHAnsi"/>
        <w:color w:val="000000"/>
      </w:rPr>
    </w:lvl>
    <w:lvl w:ilvl="1" w:tplc="D7AC7090">
      <w:start w:val="1"/>
      <w:numFmt w:val="decimal"/>
      <w:lvlText w:val="%2)"/>
      <w:lvlJc w:val="left"/>
      <w:pPr>
        <w:ind w:left="1080" w:hanging="360"/>
      </w:pPr>
      <w:rPr>
        <w:rFonts w:ascii="Cambria" w:eastAsiaTheme="minorHAnsi" w:hAnsi="Cambria" w:cstheme="minorHAnsi" w:hint="default"/>
        <w:i w:val="0"/>
        <w:iCs w:val="0"/>
        <w:sz w:val="20"/>
        <w:szCs w:val="20"/>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40A129F2"/>
    <w:multiLevelType w:val="hybridMultilevel"/>
    <w:tmpl w:val="DBFC10A2"/>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47D4572D"/>
    <w:multiLevelType w:val="hybridMultilevel"/>
    <w:tmpl w:val="68CE1B78"/>
    <w:lvl w:ilvl="0" w:tplc="18090003">
      <w:start w:val="1"/>
      <w:numFmt w:val="bullet"/>
      <w:lvlText w:val="o"/>
      <w:lvlJc w:val="left"/>
      <w:pPr>
        <w:ind w:left="1800" w:hanging="360"/>
      </w:pPr>
      <w:rPr>
        <w:rFonts w:ascii="Courier New" w:hAnsi="Courier New" w:cs="Courier New"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3" w15:restartNumberingAfterBreak="0">
    <w:nsid w:val="530B0F15"/>
    <w:multiLevelType w:val="hybridMultilevel"/>
    <w:tmpl w:val="D5D25BAC"/>
    <w:lvl w:ilvl="0" w:tplc="5906C192">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3045629"/>
    <w:multiLevelType w:val="hybridMultilevel"/>
    <w:tmpl w:val="FF6EDAD8"/>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73938528">
    <w:abstractNumId w:val="3"/>
  </w:num>
  <w:num w:numId="2" w16cid:durableId="1257326554">
    <w:abstractNumId w:val="0"/>
  </w:num>
  <w:num w:numId="3" w16cid:durableId="1481000742">
    <w:abstractNumId w:val="2"/>
  </w:num>
  <w:num w:numId="4" w16cid:durableId="919607725">
    <w:abstractNumId w:val="1"/>
  </w:num>
  <w:num w:numId="5" w16cid:durableId="929922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D00"/>
    <w:rsid w:val="0009161C"/>
    <w:rsid w:val="000A7F20"/>
    <w:rsid w:val="000D35C4"/>
    <w:rsid w:val="001550C6"/>
    <w:rsid w:val="00155A32"/>
    <w:rsid w:val="00172991"/>
    <w:rsid w:val="001751A1"/>
    <w:rsid w:val="00176B06"/>
    <w:rsid w:val="001A577E"/>
    <w:rsid w:val="001D4694"/>
    <w:rsid w:val="002244DD"/>
    <w:rsid w:val="0028207E"/>
    <w:rsid w:val="002D5AD8"/>
    <w:rsid w:val="002E40F0"/>
    <w:rsid w:val="00333047"/>
    <w:rsid w:val="00336C0C"/>
    <w:rsid w:val="00365411"/>
    <w:rsid w:val="00396745"/>
    <w:rsid w:val="003A2623"/>
    <w:rsid w:val="003E134A"/>
    <w:rsid w:val="003E3FC1"/>
    <w:rsid w:val="00437557"/>
    <w:rsid w:val="004445EB"/>
    <w:rsid w:val="004C7D00"/>
    <w:rsid w:val="00537264"/>
    <w:rsid w:val="0056113D"/>
    <w:rsid w:val="00580E4C"/>
    <w:rsid w:val="00615E5B"/>
    <w:rsid w:val="006366AA"/>
    <w:rsid w:val="00644E77"/>
    <w:rsid w:val="00685E84"/>
    <w:rsid w:val="006B0DB7"/>
    <w:rsid w:val="00702034"/>
    <w:rsid w:val="00731DBC"/>
    <w:rsid w:val="00786343"/>
    <w:rsid w:val="0079774B"/>
    <w:rsid w:val="007A2B97"/>
    <w:rsid w:val="0080195F"/>
    <w:rsid w:val="008B1E7B"/>
    <w:rsid w:val="008C2F1E"/>
    <w:rsid w:val="00983672"/>
    <w:rsid w:val="00986FCE"/>
    <w:rsid w:val="009C6A06"/>
    <w:rsid w:val="00A1169C"/>
    <w:rsid w:val="00AE607D"/>
    <w:rsid w:val="00B930AE"/>
    <w:rsid w:val="00BA34A6"/>
    <w:rsid w:val="00BB274A"/>
    <w:rsid w:val="00BB7CE8"/>
    <w:rsid w:val="00BD3678"/>
    <w:rsid w:val="00BF5D81"/>
    <w:rsid w:val="00CC25B9"/>
    <w:rsid w:val="00CD4398"/>
    <w:rsid w:val="00D30D49"/>
    <w:rsid w:val="00D66616"/>
    <w:rsid w:val="00D961A7"/>
    <w:rsid w:val="00DB4C5D"/>
    <w:rsid w:val="00E05737"/>
    <w:rsid w:val="00E36939"/>
    <w:rsid w:val="00E67E4D"/>
    <w:rsid w:val="00EC71E8"/>
    <w:rsid w:val="00EE480D"/>
    <w:rsid w:val="00F913CF"/>
    <w:rsid w:val="00FA5376"/>
    <w:rsid w:val="00FE3A8A"/>
    <w:rsid w:val="00FE7279"/>
    <w:rsid w:val="011DC9FE"/>
    <w:rsid w:val="01FC1831"/>
    <w:rsid w:val="039FA475"/>
    <w:rsid w:val="049F203D"/>
    <w:rsid w:val="04D06824"/>
    <w:rsid w:val="073CCC58"/>
    <w:rsid w:val="0766DF3A"/>
    <w:rsid w:val="085763C1"/>
    <w:rsid w:val="15D69A92"/>
    <w:rsid w:val="15EF3A52"/>
    <w:rsid w:val="16BC1A73"/>
    <w:rsid w:val="17FD821B"/>
    <w:rsid w:val="180D6D73"/>
    <w:rsid w:val="1A4EDF83"/>
    <w:rsid w:val="1BC5632D"/>
    <w:rsid w:val="1FC35519"/>
    <w:rsid w:val="2FB9B93A"/>
    <w:rsid w:val="31A49226"/>
    <w:rsid w:val="3286D3FA"/>
    <w:rsid w:val="349DD772"/>
    <w:rsid w:val="34B032C6"/>
    <w:rsid w:val="37724EEF"/>
    <w:rsid w:val="3B1C2511"/>
    <w:rsid w:val="4139312D"/>
    <w:rsid w:val="4C6AE1D7"/>
    <w:rsid w:val="50E8886B"/>
    <w:rsid w:val="536EB7A8"/>
    <w:rsid w:val="550E2A69"/>
    <w:rsid w:val="5663A1EB"/>
    <w:rsid w:val="573B7770"/>
    <w:rsid w:val="59C72F63"/>
    <w:rsid w:val="5BFC86AB"/>
    <w:rsid w:val="5F66B415"/>
    <w:rsid w:val="6BE5AA59"/>
    <w:rsid w:val="7272AFA3"/>
    <w:rsid w:val="73CA05CF"/>
    <w:rsid w:val="77768C00"/>
    <w:rsid w:val="779E487D"/>
    <w:rsid w:val="7DE64854"/>
    <w:rsid w:val="7E458DB8"/>
    <w:rsid w:val="7E4859BA"/>
    <w:rsid w:val="7F44A9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2CF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7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7D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D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D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D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D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D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D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D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D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D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D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D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D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D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D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D00"/>
    <w:rPr>
      <w:rFonts w:eastAsiaTheme="majorEastAsia" w:cstheme="majorBidi"/>
      <w:color w:val="272727" w:themeColor="text1" w:themeTint="D8"/>
    </w:rPr>
  </w:style>
  <w:style w:type="paragraph" w:styleId="Title">
    <w:name w:val="Title"/>
    <w:basedOn w:val="Normal"/>
    <w:next w:val="Normal"/>
    <w:link w:val="TitleChar"/>
    <w:uiPriority w:val="10"/>
    <w:qFormat/>
    <w:rsid w:val="004C7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D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D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D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D00"/>
    <w:pPr>
      <w:spacing w:before="160"/>
      <w:jc w:val="center"/>
    </w:pPr>
    <w:rPr>
      <w:i/>
      <w:iCs/>
      <w:color w:val="404040" w:themeColor="text1" w:themeTint="BF"/>
    </w:rPr>
  </w:style>
  <w:style w:type="character" w:customStyle="1" w:styleId="QuoteChar">
    <w:name w:val="Quote Char"/>
    <w:basedOn w:val="DefaultParagraphFont"/>
    <w:link w:val="Quote"/>
    <w:uiPriority w:val="29"/>
    <w:rsid w:val="004C7D00"/>
    <w:rPr>
      <w:i/>
      <w:iCs/>
      <w:color w:val="404040" w:themeColor="text1" w:themeTint="BF"/>
    </w:rPr>
  </w:style>
  <w:style w:type="paragraph" w:styleId="ListParagraph">
    <w:name w:val="List Paragraph"/>
    <w:basedOn w:val="Normal"/>
    <w:qFormat/>
    <w:rsid w:val="004C7D00"/>
    <w:pPr>
      <w:ind w:left="720"/>
      <w:contextualSpacing/>
    </w:pPr>
  </w:style>
  <w:style w:type="character" w:styleId="IntenseEmphasis">
    <w:name w:val="Intense Emphasis"/>
    <w:basedOn w:val="DefaultParagraphFont"/>
    <w:uiPriority w:val="21"/>
    <w:qFormat/>
    <w:rsid w:val="004C7D00"/>
    <w:rPr>
      <w:i/>
      <w:iCs/>
      <w:color w:val="0F4761" w:themeColor="accent1" w:themeShade="BF"/>
    </w:rPr>
  </w:style>
  <w:style w:type="paragraph" w:styleId="IntenseQuote">
    <w:name w:val="Intense Quote"/>
    <w:basedOn w:val="Normal"/>
    <w:next w:val="Normal"/>
    <w:link w:val="IntenseQuoteChar"/>
    <w:uiPriority w:val="30"/>
    <w:qFormat/>
    <w:rsid w:val="004C7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D00"/>
    <w:rPr>
      <w:i/>
      <w:iCs/>
      <w:color w:val="0F4761" w:themeColor="accent1" w:themeShade="BF"/>
    </w:rPr>
  </w:style>
  <w:style w:type="character" w:styleId="IntenseReference">
    <w:name w:val="Intense Reference"/>
    <w:basedOn w:val="DefaultParagraphFont"/>
    <w:uiPriority w:val="32"/>
    <w:qFormat/>
    <w:rsid w:val="004C7D00"/>
    <w:rPr>
      <w:b/>
      <w:bCs/>
      <w:smallCaps/>
      <w:color w:val="0F4761" w:themeColor="accent1" w:themeShade="BF"/>
      <w:spacing w:val="5"/>
    </w:rPr>
  </w:style>
  <w:style w:type="paragraph" w:styleId="FootnoteText">
    <w:name w:val="footnote text"/>
    <w:basedOn w:val="Normal"/>
    <w:link w:val="FootnoteTextChar"/>
    <w:unhideWhenUsed/>
    <w:rsid w:val="00172991"/>
    <w:pPr>
      <w:spacing w:after="120" w:line="240" w:lineRule="auto"/>
      <w:ind w:left="357" w:hanging="357"/>
      <w:jc w:val="both"/>
    </w:pPr>
    <w:rPr>
      <w:rFonts w:ascii="Times New Roman" w:eastAsia="Times New Roman" w:hAnsi="Times New Roman" w:cs="Times New Roman"/>
      <w:kern w:val="0"/>
      <w:sz w:val="20"/>
      <w:szCs w:val="20"/>
      <w:lang w:eastAsia="en-GB"/>
      <w14:ligatures w14:val="none"/>
    </w:rPr>
  </w:style>
  <w:style w:type="character" w:customStyle="1" w:styleId="FootnoteTextChar">
    <w:name w:val="Footnote Text Char"/>
    <w:basedOn w:val="DefaultParagraphFont"/>
    <w:link w:val="FootnoteText"/>
    <w:rsid w:val="00172991"/>
    <w:rPr>
      <w:rFonts w:ascii="Times New Roman" w:eastAsia="Times New Roman" w:hAnsi="Times New Roman" w:cs="Times New Roman"/>
      <w:kern w:val="0"/>
      <w:sz w:val="20"/>
      <w:szCs w:val="20"/>
      <w:lang w:val="fr-FR" w:eastAsia="en-GB"/>
      <w14:ligatures w14:val="none"/>
    </w:rPr>
  </w:style>
  <w:style w:type="character" w:styleId="FootnoteReference">
    <w:name w:val="footnote reference"/>
    <w:basedOn w:val="DefaultParagraphFont"/>
    <w:semiHidden/>
    <w:rsid w:val="00172991"/>
    <w:rPr>
      <w:vertAlign w:val="superscript"/>
    </w:rPr>
  </w:style>
  <w:style w:type="character" w:styleId="Hyperlink">
    <w:name w:val="Hyperlink"/>
    <w:basedOn w:val="DefaultParagraphFont"/>
    <w:semiHidden/>
    <w:rsid w:val="00172991"/>
    <w:rPr>
      <w:color w:val="467886" w:themeColor="hyperlink"/>
      <w:u w:val="single"/>
    </w:rPr>
  </w:style>
  <w:style w:type="character" w:styleId="CommentReference">
    <w:name w:val="annotation reference"/>
    <w:basedOn w:val="DefaultParagraphFont"/>
    <w:uiPriority w:val="99"/>
    <w:semiHidden/>
    <w:unhideWhenUsed/>
    <w:rsid w:val="00D30D49"/>
    <w:rPr>
      <w:sz w:val="16"/>
      <w:szCs w:val="16"/>
    </w:rPr>
  </w:style>
  <w:style w:type="paragraph" w:styleId="CommentText">
    <w:name w:val="annotation text"/>
    <w:basedOn w:val="Normal"/>
    <w:link w:val="CommentTextChar"/>
    <w:uiPriority w:val="99"/>
    <w:unhideWhenUsed/>
    <w:rsid w:val="00D30D49"/>
    <w:pPr>
      <w:spacing w:line="240" w:lineRule="auto"/>
    </w:pPr>
    <w:rPr>
      <w:sz w:val="20"/>
      <w:szCs w:val="20"/>
    </w:rPr>
  </w:style>
  <w:style w:type="character" w:customStyle="1" w:styleId="CommentTextChar">
    <w:name w:val="Comment Text Char"/>
    <w:basedOn w:val="DefaultParagraphFont"/>
    <w:link w:val="CommentText"/>
    <w:uiPriority w:val="99"/>
    <w:rsid w:val="00D30D49"/>
    <w:rPr>
      <w:sz w:val="20"/>
      <w:szCs w:val="20"/>
    </w:rPr>
  </w:style>
  <w:style w:type="paragraph" w:styleId="CommentSubject">
    <w:name w:val="annotation subject"/>
    <w:basedOn w:val="CommentText"/>
    <w:next w:val="CommentText"/>
    <w:link w:val="CommentSubjectChar"/>
    <w:uiPriority w:val="99"/>
    <w:semiHidden/>
    <w:unhideWhenUsed/>
    <w:rsid w:val="00D30D49"/>
    <w:rPr>
      <w:b/>
      <w:bCs/>
    </w:rPr>
  </w:style>
  <w:style w:type="character" w:customStyle="1" w:styleId="CommentSubjectChar">
    <w:name w:val="Comment Subject Char"/>
    <w:basedOn w:val="CommentTextChar"/>
    <w:link w:val="CommentSubject"/>
    <w:uiPriority w:val="99"/>
    <w:semiHidden/>
    <w:rsid w:val="00D30D49"/>
    <w:rPr>
      <w:b/>
      <w:bCs/>
      <w:sz w:val="20"/>
      <w:szCs w:val="20"/>
    </w:rPr>
  </w:style>
  <w:style w:type="table" w:styleId="TableGrid">
    <w:name w:val="Table Grid"/>
    <w:basedOn w:val="TableNormal"/>
    <w:uiPriority w:val="39"/>
    <w:rsid w:val="00EC7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195F"/>
    <w:pPr>
      <w:spacing w:after="0" w:line="240" w:lineRule="auto"/>
    </w:pPr>
  </w:style>
  <w:style w:type="paragraph" w:styleId="Header">
    <w:name w:val="header"/>
    <w:basedOn w:val="Normal"/>
    <w:link w:val="HeaderChar"/>
    <w:uiPriority w:val="99"/>
    <w:unhideWhenUsed/>
    <w:rsid w:val="00685E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E84"/>
  </w:style>
  <w:style w:type="paragraph" w:styleId="Footer">
    <w:name w:val="footer"/>
    <w:basedOn w:val="Normal"/>
    <w:link w:val="FooterChar"/>
    <w:uiPriority w:val="99"/>
    <w:unhideWhenUsed/>
    <w:rsid w:val="00685E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09fe164-c690-497e-a27a-2f9db3c5ef7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eate a new document." ma:contentTypeScope="" ma:versionID="e316f6b60cd2d5b6b0c9928c0a419c9b">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bcf5374ff0d87d29a43559c73945e4d0"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6853D0-1732-47B3-9448-1FCE90DFA20A}">
  <ds:schemaRefs>
    <ds:schemaRef ds:uri="http://schemas.microsoft.com/sharepoint/v3/contenttype/forms"/>
  </ds:schemaRefs>
</ds:datastoreItem>
</file>

<file path=customXml/itemProps2.xml><?xml version="1.0" encoding="utf-8"?>
<ds:datastoreItem xmlns:ds="http://schemas.openxmlformats.org/officeDocument/2006/customXml" ds:itemID="{BDDEBDB9-6989-400A-AFD0-06A50C254348}">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3.xml><?xml version="1.0" encoding="utf-8"?>
<ds:datastoreItem xmlns:ds="http://schemas.openxmlformats.org/officeDocument/2006/customXml" ds:itemID="{2DCE4605-27F3-40D6-A297-DFA0AEF20E8C}">
  <ds:schemaRefs>
    <ds:schemaRef ds:uri="http://schemas.openxmlformats.org/officeDocument/2006/bibliography"/>
  </ds:schemaRefs>
</ds:datastoreItem>
</file>

<file path=customXml/itemProps4.xml><?xml version="1.0" encoding="utf-8"?>
<ds:datastoreItem xmlns:ds="http://schemas.openxmlformats.org/officeDocument/2006/customXml" ds:itemID="{6BF1F7B4-B7E2-4CB6-8DE6-8AE07C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2222</Words>
  <Characters>12670</Characters>
  <Application>Microsoft Office Word</Application>
  <DocSecurity>0</DocSecurity>
  <Lines>105</Lines>
  <Paragraphs>29</Paragraphs>
  <ScaleCrop>false</ScaleCrop>
  <Company/>
  <LinksUpToDate>false</LinksUpToDate>
  <CharactersWithSpaces>14863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2025-11-22T08:41:00Z</dcterms:created>
  <dcterms:modified xsi:type="dcterms:W3CDTF">2026-02-06T12:44:00Z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2025-11-18T10:31:38Z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1a94e685-3ade-4302-bc0e-beb004b8e0ab</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0x01010017FF78C904FD5D479F9D99C5899B7D55</vt:lpwstr>
  </property>
  <property fmtid="{D5CDD505-2E9C-101B-9397-08002B2CF9AE}" pid="11" name="MediaServiceImageTags">
    <vt:lpwstr/>
  </property>
</Properties>
</file>