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450C30FA" w:rsidR="000B0920" w:rsidRPr="00E5190B" w:rsidRDefault="00857C38" w:rsidP="00857C38">
      <w:pPr>
        <w:jc w:val="right"/>
        <w:rPr>
          <w:rFonts w:ascii="Cambria" w:hAnsi="Cambria"/>
          <w:b/>
          <w:bCs/>
          <w:sz w:val="20"/>
          <w:szCs w:val="20"/>
        </w:rPr>
      </w:pPr>
      <w:r w:rsidRPr="00E5190B">
        <w:rPr>
          <w:rFonts w:ascii="Cambria" w:hAnsi="Cambria"/>
          <w:b/>
          <w:bCs/>
          <w:sz w:val="20"/>
          <w:szCs w:val="20"/>
        </w:rPr>
        <w:t>Original : anglais</w:t>
      </w:r>
    </w:p>
    <w:p w14:paraId="546FFD34" w14:textId="77777777" w:rsidR="00857C38" w:rsidRPr="00E5190B" w:rsidRDefault="00857C38" w:rsidP="00857C38">
      <w:pPr>
        <w:jc w:val="right"/>
        <w:rPr>
          <w:rFonts w:ascii="Cambria" w:hAnsi="Cambria"/>
          <w:sz w:val="20"/>
          <w:szCs w:val="20"/>
          <w:lang w:val="en-US"/>
        </w:rPr>
      </w:pPr>
    </w:p>
    <w:p w14:paraId="3E977207" w14:textId="680249AE" w:rsidR="00857C38" w:rsidRPr="00E5190B" w:rsidRDefault="00494986" w:rsidP="00494986">
      <w:pPr>
        <w:jc w:val="center"/>
        <w:rPr>
          <w:rFonts w:ascii="Cambria" w:hAnsi="Cambria"/>
          <w:b/>
          <w:bCs/>
          <w:sz w:val="20"/>
          <w:szCs w:val="20"/>
        </w:rPr>
      </w:pPr>
      <w:r w:rsidRPr="00E5190B">
        <w:rPr>
          <w:rFonts w:ascii="Cambria" w:hAnsi="Cambria"/>
          <w:b/>
          <w:bCs/>
          <w:sz w:val="20"/>
          <w:szCs w:val="20"/>
        </w:rPr>
        <w:t>Note à l’attention du STAC</w:t>
      </w:r>
      <w:r w:rsidR="00F21F16" w:rsidRPr="00E5190B">
        <w:rPr>
          <w:rFonts w:ascii="Cambria" w:hAnsi="Cambria"/>
          <w:b/>
          <w:bCs/>
          <w:sz w:val="20"/>
          <w:szCs w:val="20"/>
        </w:rPr>
        <w:t>F</w:t>
      </w:r>
      <w:r w:rsidRPr="00E5190B">
        <w:rPr>
          <w:rFonts w:ascii="Cambria" w:hAnsi="Cambria"/>
          <w:b/>
          <w:bCs/>
          <w:sz w:val="20"/>
          <w:szCs w:val="20"/>
        </w:rPr>
        <w:t>AD sur la migration du système eBCD</w:t>
      </w:r>
    </w:p>
    <w:p w14:paraId="73BC09A1" w14:textId="77777777" w:rsidR="00B47B8E" w:rsidRPr="00E5190B" w:rsidRDefault="00B47B8E" w:rsidP="00B47B8E">
      <w:pPr>
        <w:jc w:val="center"/>
        <w:rPr>
          <w:rFonts w:ascii="Cambria" w:hAnsi="Cambria"/>
          <w:sz w:val="20"/>
          <w:szCs w:val="20"/>
          <w:lang w:val="en-US"/>
        </w:rPr>
      </w:pPr>
    </w:p>
    <w:p w14:paraId="324D83F9" w14:textId="6FB6CEF1" w:rsidR="007F31BF" w:rsidRPr="00E5190B" w:rsidRDefault="0017320C" w:rsidP="00B47B8E">
      <w:pPr>
        <w:jc w:val="center"/>
        <w:rPr>
          <w:rFonts w:ascii="Cambria" w:hAnsi="Cambria"/>
          <w:i/>
          <w:iCs/>
          <w:sz w:val="20"/>
          <w:szCs w:val="20"/>
        </w:rPr>
      </w:pPr>
      <w:r w:rsidRPr="00E5190B">
        <w:rPr>
          <w:rFonts w:ascii="Cambria" w:hAnsi="Cambria"/>
          <w:i/>
          <w:iCs/>
          <w:sz w:val="20"/>
          <w:szCs w:val="20"/>
        </w:rPr>
        <w:t>(</w:t>
      </w:r>
      <w:proofErr w:type="gramStart"/>
      <w:r w:rsidRPr="00E5190B">
        <w:rPr>
          <w:rFonts w:ascii="Cambria" w:hAnsi="Cambria"/>
          <w:i/>
          <w:iCs/>
          <w:sz w:val="20"/>
          <w:szCs w:val="20"/>
        </w:rPr>
        <w:t>document</w:t>
      </w:r>
      <w:proofErr w:type="gramEnd"/>
      <w:r w:rsidRPr="00E5190B">
        <w:rPr>
          <w:rFonts w:ascii="Cambria" w:hAnsi="Cambria"/>
          <w:i/>
          <w:iCs/>
          <w:sz w:val="20"/>
          <w:szCs w:val="20"/>
        </w:rPr>
        <w:t xml:space="preserve"> présenté par le Président du Groupe de travail permanent sur les systèmes de documentation des captures (CDS </w:t>
      </w:r>
      <w:proofErr w:type="spellStart"/>
      <w:r w:rsidRPr="00E5190B">
        <w:rPr>
          <w:rFonts w:ascii="Cambria" w:hAnsi="Cambria"/>
          <w:i/>
          <w:iCs/>
          <w:sz w:val="20"/>
          <w:szCs w:val="20"/>
        </w:rPr>
        <w:t>WG</w:t>
      </w:r>
      <w:proofErr w:type="spellEnd"/>
      <w:r w:rsidRPr="00E5190B">
        <w:rPr>
          <w:rFonts w:ascii="Cambria" w:hAnsi="Cambria"/>
          <w:i/>
          <w:iCs/>
          <w:sz w:val="20"/>
          <w:szCs w:val="20"/>
        </w:rPr>
        <w:t>))</w:t>
      </w:r>
    </w:p>
    <w:p w14:paraId="123DE826" w14:textId="77777777" w:rsidR="00237756" w:rsidRPr="00E5190B" w:rsidRDefault="00237756" w:rsidP="00B47B8E">
      <w:pPr>
        <w:jc w:val="center"/>
        <w:rPr>
          <w:rFonts w:ascii="Cambria" w:hAnsi="Cambria"/>
          <w:sz w:val="20"/>
          <w:szCs w:val="20"/>
          <w:lang w:val="en-US"/>
        </w:rPr>
      </w:pPr>
    </w:p>
    <w:p w14:paraId="63B03753" w14:textId="77777777" w:rsidR="007F31BF" w:rsidRPr="00E5190B" w:rsidRDefault="007F31BF" w:rsidP="00B47B8E">
      <w:pPr>
        <w:jc w:val="center"/>
        <w:rPr>
          <w:rFonts w:ascii="Cambria" w:hAnsi="Cambria"/>
          <w:sz w:val="20"/>
          <w:szCs w:val="20"/>
          <w:lang w:val="en-US"/>
        </w:rPr>
      </w:pPr>
    </w:p>
    <w:p w14:paraId="6BDD28E5" w14:textId="77777777" w:rsidR="007F31BF" w:rsidRPr="00E5190B" w:rsidRDefault="007F31BF" w:rsidP="007F31BF">
      <w:pPr>
        <w:jc w:val="both"/>
        <w:rPr>
          <w:rFonts w:ascii="Cambria" w:hAnsi="Cambria"/>
          <w:b/>
          <w:bCs/>
          <w:sz w:val="20"/>
          <w:szCs w:val="20"/>
        </w:rPr>
      </w:pPr>
      <w:r w:rsidRPr="00E5190B">
        <w:rPr>
          <w:rFonts w:ascii="Cambria" w:hAnsi="Cambria"/>
          <w:b/>
          <w:bCs/>
          <w:sz w:val="20"/>
          <w:szCs w:val="20"/>
        </w:rPr>
        <w:t xml:space="preserve">Contexte </w:t>
      </w:r>
    </w:p>
    <w:p w14:paraId="1E76CE62" w14:textId="77777777" w:rsidR="007F31BF" w:rsidRPr="00E5190B" w:rsidRDefault="007F31BF" w:rsidP="007F31BF">
      <w:pPr>
        <w:jc w:val="both"/>
        <w:rPr>
          <w:rFonts w:ascii="Cambria" w:hAnsi="Cambria"/>
          <w:sz w:val="20"/>
          <w:szCs w:val="20"/>
          <w:lang w:val="en-US"/>
        </w:rPr>
      </w:pPr>
    </w:p>
    <w:p w14:paraId="4ED83C60" w14:textId="7D157F5A" w:rsidR="007F31BF" w:rsidRPr="00E5190B" w:rsidRDefault="007F31BF" w:rsidP="007F31BF">
      <w:pPr>
        <w:jc w:val="both"/>
        <w:rPr>
          <w:rFonts w:ascii="Cambria" w:hAnsi="Cambria"/>
          <w:sz w:val="20"/>
          <w:szCs w:val="20"/>
        </w:rPr>
      </w:pPr>
      <w:r w:rsidRPr="00E5190B">
        <w:rPr>
          <w:rFonts w:ascii="Cambria" w:hAnsi="Cambria"/>
          <w:sz w:val="20"/>
          <w:szCs w:val="20"/>
        </w:rPr>
        <w:t xml:space="preserve">Le consortium chargé de la mise en œuvre et le Secrétariat de l’ICCAT ont indiqué au </w:t>
      </w:r>
      <w:proofErr w:type="spellStart"/>
      <w:r w:rsidRPr="00E5190B">
        <w:rPr>
          <w:rFonts w:ascii="Cambria" w:hAnsi="Cambria"/>
          <w:sz w:val="20"/>
          <w:szCs w:val="20"/>
        </w:rPr>
        <w:t>PWG</w:t>
      </w:r>
      <w:proofErr w:type="spellEnd"/>
      <w:r w:rsidRPr="00E5190B">
        <w:rPr>
          <w:rFonts w:ascii="Cambria" w:hAnsi="Cambria"/>
          <w:sz w:val="20"/>
          <w:szCs w:val="20"/>
        </w:rPr>
        <w:t xml:space="preserve"> en 2025 que le système eBCD se basait sur une plate-forme vieillissante et qu’il devait être migré vers une infrastructure modernisée pour assurer sa continuité.</w:t>
      </w:r>
    </w:p>
    <w:p w14:paraId="5891003F" w14:textId="77777777" w:rsidR="007F31BF" w:rsidRPr="00E5190B" w:rsidRDefault="007F31BF" w:rsidP="007F31BF">
      <w:pPr>
        <w:jc w:val="both"/>
        <w:rPr>
          <w:rFonts w:ascii="Cambria" w:hAnsi="Cambria"/>
          <w:sz w:val="20"/>
          <w:szCs w:val="20"/>
          <w:lang w:val="en-US"/>
        </w:rPr>
      </w:pPr>
    </w:p>
    <w:p w14:paraId="4DC354C4" w14:textId="77777777" w:rsidR="007F31BF" w:rsidRPr="00E5190B" w:rsidRDefault="007F31BF" w:rsidP="007F31BF">
      <w:pPr>
        <w:jc w:val="both"/>
        <w:rPr>
          <w:rFonts w:ascii="Cambria" w:hAnsi="Cambria"/>
          <w:sz w:val="20"/>
          <w:szCs w:val="20"/>
        </w:rPr>
      </w:pPr>
      <w:r w:rsidRPr="00E5190B">
        <w:rPr>
          <w:rFonts w:ascii="Cambria" w:hAnsi="Cambria"/>
          <w:sz w:val="20"/>
          <w:szCs w:val="20"/>
        </w:rPr>
        <w:t xml:space="preserve">Dans ce contexte, il a été convenu de procéder à une étude de faisabilité visant à proposer des options pour la migration du système et concernant l’élargissement potentiel du CDS à d’autres espèces s’il en est décidé ainsi. </w:t>
      </w:r>
    </w:p>
    <w:p w14:paraId="0DADF47A" w14:textId="77777777" w:rsidR="00445BCA" w:rsidRPr="00E5190B" w:rsidRDefault="00445BCA" w:rsidP="007F31BF">
      <w:pPr>
        <w:jc w:val="both"/>
        <w:rPr>
          <w:rFonts w:ascii="Cambria" w:hAnsi="Cambria"/>
          <w:sz w:val="20"/>
          <w:szCs w:val="20"/>
          <w:lang w:val="en-US"/>
        </w:rPr>
      </w:pPr>
    </w:p>
    <w:p w14:paraId="5997C1E9" w14:textId="77777777" w:rsidR="007F31BF" w:rsidRPr="00E5190B" w:rsidRDefault="007F31BF" w:rsidP="007F31BF">
      <w:pPr>
        <w:jc w:val="both"/>
        <w:rPr>
          <w:rFonts w:ascii="Cambria" w:hAnsi="Cambria"/>
          <w:sz w:val="20"/>
          <w:szCs w:val="20"/>
          <w:lang w:val="en-US"/>
        </w:rPr>
      </w:pPr>
    </w:p>
    <w:p w14:paraId="2DF6F843" w14:textId="6588B73F" w:rsidR="007F31BF" w:rsidRPr="00E5190B" w:rsidRDefault="007F31BF" w:rsidP="007F31BF">
      <w:pPr>
        <w:jc w:val="both"/>
        <w:rPr>
          <w:rFonts w:ascii="Cambria" w:hAnsi="Cambria"/>
          <w:b/>
          <w:bCs/>
          <w:sz w:val="20"/>
          <w:szCs w:val="20"/>
        </w:rPr>
      </w:pPr>
      <w:r w:rsidRPr="00E5190B">
        <w:rPr>
          <w:rFonts w:ascii="Cambria" w:hAnsi="Cambria"/>
          <w:b/>
          <w:bCs/>
          <w:sz w:val="20"/>
          <w:szCs w:val="20"/>
        </w:rPr>
        <w:t>Situation actuelle</w:t>
      </w:r>
    </w:p>
    <w:p w14:paraId="769EFC67" w14:textId="77777777" w:rsidR="007F31BF" w:rsidRPr="00E5190B" w:rsidRDefault="007F31BF" w:rsidP="007F31BF">
      <w:pPr>
        <w:jc w:val="both"/>
        <w:rPr>
          <w:rFonts w:ascii="Cambria" w:hAnsi="Cambria"/>
          <w:sz w:val="20"/>
          <w:szCs w:val="20"/>
          <w:lang w:val="en-US"/>
        </w:rPr>
      </w:pPr>
    </w:p>
    <w:p w14:paraId="4C45E1FF" w14:textId="21D4CD84" w:rsidR="007F31BF" w:rsidRPr="00E5190B" w:rsidRDefault="007F31BF" w:rsidP="007F31BF">
      <w:pPr>
        <w:jc w:val="both"/>
        <w:rPr>
          <w:rFonts w:ascii="Cambria" w:hAnsi="Cambria"/>
          <w:sz w:val="20"/>
          <w:szCs w:val="20"/>
        </w:rPr>
      </w:pPr>
      <w:r w:rsidRPr="00E5190B">
        <w:rPr>
          <w:rFonts w:ascii="Cambria" w:hAnsi="Cambria"/>
          <w:sz w:val="20"/>
          <w:szCs w:val="20"/>
        </w:rPr>
        <w:t>Le prestataire (</w:t>
      </w:r>
      <w:proofErr w:type="spellStart"/>
      <w:r w:rsidRPr="00E5190B">
        <w:rPr>
          <w:rFonts w:ascii="Cambria" w:hAnsi="Cambria"/>
          <w:sz w:val="20"/>
          <w:szCs w:val="20"/>
        </w:rPr>
        <w:t>Bluefin</w:t>
      </w:r>
      <w:proofErr w:type="spellEnd"/>
      <w:r w:rsidRPr="00E5190B">
        <w:rPr>
          <w:rFonts w:ascii="Cambria" w:hAnsi="Cambria"/>
          <w:sz w:val="20"/>
          <w:szCs w:val="20"/>
        </w:rPr>
        <w:t xml:space="preserve"> Data) a présenté les conclusions préliminaires de l’étude au CDS </w:t>
      </w:r>
      <w:proofErr w:type="spellStart"/>
      <w:r w:rsidRPr="00E5190B">
        <w:rPr>
          <w:rFonts w:ascii="Cambria" w:hAnsi="Cambria"/>
          <w:sz w:val="20"/>
          <w:szCs w:val="20"/>
        </w:rPr>
        <w:t>WG</w:t>
      </w:r>
      <w:proofErr w:type="spellEnd"/>
      <w:r w:rsidRPr="00E5190B">
        <w:rPr>
          <w:rFonts w:ascii="Cambria" w:hAnsi="Cambria"/>
          <w:sz w:val="20"/>
          <w:szCs w:val="20"/>
        </w:rPr>
        <w:t xml:space="preserve"> lors de sa</w:t>
      </w:r>
      <w:r w:rsidR="00FE597A" w:rsidRPr="00E5190B">
        <w:rPr>
          <w:rFonts w:ascii="Cambria" w:hAnsi="Cambria"/>
          <w:sz w:val="20"/>
          <w:szCs w:val="20"/>
        </w:rPr>
        <w:t xml:space="preserve"> </w:t>
      </w:r>
      <w:hyperlink r:id="rId8" w:history="1">
        <w:r w:rsidRPr="00E5190B">
          <w:rPr>
            <w:rStyle w:val="Lienhypertexte"/>
            <w:rFonts w:ascii="Cambria" w:hAnsi="Cambria"/>
            <w:sz w:val="20"/>
            <w:szCs w:val="20"/>
            <w:u w:val="none"/>
          </w:rPr>
          <w:t>réunion de septembre 2026</w:t>
        </w:r>
      </w:hyperlink>
      <w:r w:rsidRPr="00E5190B">
        <w:rPr>
          <w:rFonts w:ascii="Cambria" w:hAnsi="Cambria"/>
          <w:sz w:val="20"/>
          <w:szCs w:val="20"/>
        </w:rPr>
        <w:t>.</w:t>
      </w:r>
    </w:p>
    <w:p w14:paraId="2FFBC0BD" w14:textId="77777777" w:rsidR="007F31BF" w:rsidRPr="00E5190B" w:rsidRDefault="007F31BF" w:rsidP="007F31BF">
      <w:pPr>
        <w:jc w:val="both"/>
        <w:rPr>
          <w:rFonts w:ascii="Cambria" w:hAnsi="Cambria"/>
          <w:sz w:val="20"/>
          <w:szCs w:val="20"/>
          <w:lang w:val="en-US"/>
        </w:rPr>
      </w:pPr>
    </w:p>
    <w:p w14:paraId="681DE8FA" w14:textId="77777777" w:rsidR="007F31BF" w:rsidRPr="00E5190B" w:rsidRDefault="007F31BF" w:rsidP="007F31BF">
      <w:pPr>
        <w:jc w:val="both"/>
        <w:rPr>
          <w:rFonts w:ascii="Cambria" w:hAnsi="Cambria"/>
          <w:sz w:val="20"/>
          <w:szCs w:val="20"/>
        </w:rPr>
      </w:pPr>
      <w:r w:rsidRPr="00E5190B">
        <w:rPr>
          <w:rFonts w:ascii="Cambria" w:hAnsi="Cambria"/>
          <w:sz w:val="20"/>
          <w:szCs w:val="20"/>
        </w:rPr>
        <w:t xml:space="preserve">L'étude a conclu que le système eBCD devrait être repensé pour devenir un système CDS unique et configurable, capable de prendre en charge le thon rouge et d'autres espèces potentielles, plutôt que de se contenter d'un simple changement de plateforme ou d'une refactorisation. </w:t>
      </w:r>
    </w:p>
    <w:p w14:paraId="5E7FA240" w14:textId="77777777" w:rsidR="007F31BF" w:rsidRPr="00E5190B" w:rsidRDefault="007F31BF" w:rsidP="007F31BF">
      <w:pPr>
        <w:jc w:val="both"/>
        <w:rPr>
          <w:rFonts w:ascii="Cambria" w:hAnsi="Cambria"/>
          <w:sz w:val="20"/>
          <w:szCs w:val="20"/>
          <w:lang w:val="en-US"/>
        </w:rPr>
      </w:pPr>
    </w:p>
    <w:p w14:paraId="61804C83" w14:textId="77777777" w:rsidR="007F31BF" w:rsidRPr="00E5190B" w:rsidRDefault="007F31BF" w:rsidP="007F31BF">
      <w:pPr>
        <w:jc w:val="both"/>
        <w:rPr>
          <w:rFonts w:ascii="Cambria" w:hAnsi="Cambria"/>
          <w:sz w:val="20"/>
          <w:szCs w:val="20"/>
        </w:rPr>
      </w:pPr>
      <w:proofErr w:type="spellStart"/>
      <w:r w:rsidRPr="00E5190B">
        <w:rPr>
          <w:rFonts w:ascii="Cambria" w:hAnsi="Cambria"/>
          <w:sz w:val="20"/>
          <w:szCs w:val="20"/>
        </w:rPr>
        <w:t>Bluefin</w:t>
      </w:r>
      <w:proofErr w:type="spellEnd"/>
      <w:r w:rsidRPr="00E5190B">
        <w:rPr>
          <w:rFonts w:ascii="Cambria" w:hAnsi="Cambria"/>
          <w:sz w:val="20"/>
          <w:szCs w:val="20"/>
        </w:rPr>
        <w:t xml:space="preserve"> Data a souligné que la question n'était pas de savoir s'il fallait moderniser le système, mais quand, comment et dans quelles conditions le faire.</w:t>
      </w:r>
    </w:p>
    <w:p w14:paraId="12042093" w14:textId="77777777" w:rsidR="007F31BF" w:rsidRPr="00E5190B" w:rsidRDefault="007F31BF" w:rsidP="007F31BF">
      <w:pPr>
        <w:jc w:val="both"/>
        <w:rPr>
          <w:rFonts w:ascii="Cambria" w:hAnsi="Cambria"/>
          <w:sz w:val="20"/>
          <w:szCs w:val="20"/>
          <w:lang w:val="en-US"/>
        </w:rPr>
      </w:pPr>
    </w:p>
    <w:p w14:paraId="436258DB" w14:textId="60B66AA7" w:rsidR="007F31BF" w:rsidRPr="00E5190B" w:rsidRDefault="007F31BF" w:rsidP="007F31BF">
      <w:pPr>
        <w:jc w:val="both"/>
        <w:rPr>
          <w:rFonts w:ascii="Cambria" w:hAnsi="Cambria"/>
          <w:sz w:val="20"/>
          <w:szCs w:val="20"/>
        </w:rPr>
      </w:pPr>
      <w:proofErr w:type="spellStart"/>
      <w:r w:rsidRPr="00E5190B">
        <w:rPr>
          <w:rFonts w:ascii="Cambria" w:hAnsi="Cambria"/>
          <w:sz w:val="20"/>
          <w:szCs w:val="20"/>
        </w:rPr>
        <w:t>Bluefin</w:t>
      </w:r>
      <w:proofErr w:type="spellEnd"/>
      <w:r w:rsidRPr="00E5190B">
        <w:rPr>
          <w:rFonts w:ascii="Cambria" w:hAnsi="Cambria"/>
          <w:sz w:val="20"/>
          <w:szCs w:val="20"/>
        </w:rPr>
        <w:t xml:space="preserve"> Data a présenté deux modèles d'investissement. L’option privilégiée est un modèle de flux de travail configurable, qu’il a recommandé. Il a été estimé qu’il nécessiterait un investissement initial compris entre 2,2 et 2,8 millions d'euros, ainsi que des coûts annuels de fonctionnement et de maintenance compris entre 350.000 et 550.000 euros, avec un calendrier de développement estimé de 24 à 35 mois pour procéder par étapes. Il est à noter que tous les montants et délais restent des estimations préliminaires. Des valeurs plus concrètes ne pourront être fournies que lorsque la phase suivante débutera avec la véritable mise en œuvre de la refonte du système, que ce soit pour l’eBCD à lui seul ou pour une approche de CDS plurispécifique.</w:t>
      </w:r>
    </w:p>
    <w:p w14:paraId="2EF79EE7" w14:textId="77777777" w:rsidR="007F31BF" w:rsidRPr="00E5190B" w:rsidRDefault="007F31BF" w:rsidP="007F31BF">
      <w:pPr>
        <w:jc w:val="both"/>
        <w:rPr>
          <w:rFonts w:ascii="Cambria" w:hAnsi="Cambria"/>
          <w:sz w:val="20"/>
          <w:szCs w:val="20"/>
          <w:lang w:val="en-US"/>
        </w:rPr>
      </w:pPr>
    </w:p>
    <w:p w14:paraId="6C97D97C" w14:textId="77777777" w:rsidR="007F31BF" w:rsidRPr="00E5190B" w:rsidRDefault="007F31BF" w:rsidP="007F31BF">
      <w:pPr>
        <w:jc w:val="both"/>
        <w:rPr>
          <w:rFonts w:ascii="Cambria" w:hAnsi="Cambria"/>
          <w:sz w:val="20"/>
          <w:szCs w:val="20"/>
        </w:rPr>
      </w:pPr>
      <w:r w:rsidRPr="00E5190B">
        <w:rPr>
          <w:rFonts w:ascii="Cambria" w:hAnsi="Cambria"/>
          <w:sz w:val="20"/>
          <w:szCs w:val="20"/>
        </w:rPr>
        <w:t xml:space="preserve">Le système eBCD actuel resterait opérationnel tout au long de la transition et jusqu'à ce que le système modernisé ait été validé, testé et accepté. </w:t>
      </w:r>
    </w:p>
    <w:p w14:paraId="187F5486" w14:textId="77777777" w:rsidR="007F31BF" w:rsidRPr="00E5190B" w:rsidRDefault="007F31BF" w:rsidP="007F31BF">
      <w:pPr>
        <w:jc w:val="both"/>
        <w:rPr>
          <w:rFonts w:ascii="Cambria" w:hAnsi="Cambria"/>
          <w:sz w:val="20"/>
          <w:szCs w:val="20"/>
          <w:lang w:val="en-US"/>
        </w:rPr>
      </w:pPr>
    </w:p>
    <w:p w14:paraId="67DA5080" w14:textId="5BAE054D" w:rsidR="007F31BF" w:rsidRPr="00E5190B" w:rsidRDefault="007F31BF" w:rsidP="007F31BF">
      <w:pPr>
        <w:jc w:val="both"/>
        <w:rPr>
          <w:rFonts w:ascii="Cambria" w:hAnsi="Cambria"/>
          <w:sz w:val="20"/>
          <w:szCs w:val="20"/>
        </w:rPr>
      </w:pPr>
      <w:r w:rsidRPr="00E5190B">
        <w:rPr>
          <w:rFonts w:ascii="Cambria" w:hAnsi="Cambria"/>
          <w:sz w:val="20"/>
          <w:szCs w:val="20"/>
        </w:rPr>
        <w:t xml:space="preserve">Le CDS </w:t>
      </w:r>
      <w:proofErr w:type="spellStart"/>
      <w:r w:rsidRPr="00E5190B">
        <w:rPr>
          <w:rFonts w:ascii="Cambria" w:hAnsi="Cambria"/>
          <w:sz w:val="20"/>
          <w:szCs w:val="20"/>
        </w:rPr>
        <w:t>WG</w:t>
      </w:r>
      <w:proofErr w:type="spellEnd"/>
      <w:r w:rsidRPr="00E5190B">
        <w:rPr>
          <w:rFonts w:ascii="Cambria" w:hAnsi="Cambria"/>
          <w:sz w:val="20"/>
          <w:szCs w:val="20"/>
        </w:rPr>
        <w:t xml:space="preserve"> était de l’avis que le système devrait être reconstruit plutôt que de se contenter d'un changement de plateforme ou d'une refactorisation, et qu’il devrait couvrir le thon rouge et d'autres espèces plutôt que de mettre en place des systèmes distincts.  </w:t>
      </w:r>
    </w:p>
    <w:p w14:paraId="3D4F24B4" w14:textId="77777777" w:rsidR="007F31BF" w:rsidRPr="00E5190B" w:rsidRDefault="007F31BF" w:rsidP="007F31BF">
      <w:pPr>
        <w:jc w:val="both"/>
        <w:rPr>
          <w:rFonts w:ascii="Cambria" w:hAnsi="Cambria"/>
          <w:sz w:val="20"/>
          <w:szCs w:val="20"/>
          <w:lang w:val="en-US"/>
        </w:rPr>
      </w:pPr>
    </w:p>
    <w:p w14:paraId="203FDDF1" w14:textId="5C296414" w:rsidR="007F31BF" w:rsidRPr="00E5190B" w:rsidRDefault="007F31BF" w:rsidP="007F31BF">
      <w:pPr>
        <w:jc w:val="both"/>
        <w:rPr>
          <w:rFonts w:ascii="Cambria" w:hAnsi="Cambria"/>
          <w:sz w:val="20"/>
          <w:szCs w:val="20"/>
        </w:rPr>
      </w:pPr>
      <w:r w:rsidRPr="00E5190B">
        <w:rPr>
          <w:rFonts w:ascii="Cambria" w:hAnsi="Cambria"/>
          <w:sz w:val="20"/>
          <w:szCs w:val="20"/>
        </w:rPr>
        <w:t xml:space="preserve">De plus amples discussions techniques sont nécessaires, notamment sur le calendrier du processus d'appel d’offres et le modèle d’exécution, y compris les options de développement, de maintenance ou de services gérés en externe.  </w:t>
      </w:r>
    </w:p>
    <w:p w14:paraId="4D322424" w14:textId="77777777" w:rsidR="007F31BF" w:rsidRPr="00E5190B" w:rsidRDefault="007F31BF" w:rsidP="007F31BF">
      <w:pPr>
        <w:jc w:val="both"/>
        <w:rPr>
          <w:rFonts w:ascii="Cambria" w:hAnsi="Cambria"/>
          <w:sz w:val="20"/>
          <w:szCs w:val="20"/>
          <w:lang w:val="en-US"/>
        </w:rPr>
      </w:pPr>
    </w:p>
    <w:p w14:paraId="17A15EC2" w14:textId="77777777" w:rsidR="007F31BF" w:rsidRPr="00E5190B" w:rsidRDefault="007F31BF" w:rsidP="007F31BF">
      <w:pPr>
        <w:jc w:val="both"/>
        <w:rPr>
          <w:rFonts w:ascii="Cambria" w:hAnsi="Cambria"/>
          <w:sz w:val="20"/>
          <w:szCs w:val="20"/>
          <w:lang w:val="en-US"/>
        </w:rPr>
      </w:pPr>
    </w:p>
    <w:p w14:paraId="24BCFE9D" w14:textId="537C3795" w:rsidR="007F31BF" w:rsidRPr="00E5190B" w:rsidRDefault="007F31BF" w:rsidP="007F31BF">
      <w:pPr>
        <w:jc w:val="both"/>
        <w:rPr>
          <w:rFonts w:ascii="Cambria" w:hAnsi="Cambria"/>
          <w:b/>
          <w:bCs/>
          <w:sz w:val="20"/>
          <w:szCs w:val="20"/>
        </w:rPr>
      </w:pPr>
      <w:r w:rsidRPr="00E5190B">
        <w:rPr>
          <w:rFonts w:ascii="Cambria" w:hAnsi="Cambria"/>
          <w:b/>
          <w:bCs/>
          <w:sz w:val="20"/>
          <w:szCs w:val="20"/>
        </w:rPr>
        <w:t xml:space="preserve">Points récapitulatifs à </w:t>
      </w:r>
      <w:r w:rsidR="001B45AB" w:rsidRPr="00E5190B">
        <w:rPr>
          <w:rFonts w:ascii="Cambria" w:hAnsi="Cambria"/>
          <w:b/>
          <w:bCs/>
          <w:sz w:val="20"/>
          <w:szCs w:val="20"/>
        </w:rPr>
        <w:t xml:space="preserve">prendre en compte </w:t>
      </w:r>
      <w:r w:rsidRPr="00E5190B">
        <w:rPr>
          <w:rFonts w:ascii="Cambria" w:hAnsi="Cambria"/>
          <w:b/>
          <w:bCs/>
          <w:sz w:val="20"/>
          <w:szCs w:val="20"/>
        </w:rPr>
        <w:t>par le STACFAD :</w:t>
      </w:r>
    </w:p>
    <w:p w14:paraId="0180811D" w14:textId="77777777" w:rsidR="007F31BF" w:rsidRPr="00E5190B" w:rsidRDefault="007F31BF" w:rsidP="007F31BF">
      <w:pPr>
        <w:jc w:val="both"/>
        <w:rPr>
          <w:rFonts w:ascii="Cambria" w:hAnsi="Cambria"/>
          <w:sz w:val="20"/>
          <w:szCs w:val="20"/>
          <w:lang w:val="en-IE"/>
        </w:rPr>
      </w:pPr>
    </w:p>
    <w:p w14:paraId="39E5F23A" w14:textId="77777777" w:rsidR="007F31BF" w:rsidRPr="00E5190B" w:rsidRDefault="007F31BF" w:rsidP="0017320C">
      <w:pPr>
        <w:numPr>
          <w:ilvl w:val="0"/>
          <w:numId w:val="44"/>
        </w:numPr>
        <w:ind w:left="851" w:hanging="425"/>
        <w:jc w:val="both"/>
        <w:rPr>
          <w:rFonts w:ascii="Cambria" w:hAnsi="Cambria"/>
          <w:sz w:val="20"/>
          <w:szCs w:val="20"/>
        </w:rPr>
      </w:pPr>
      <w:r w:rsidRPr="00E5190B">
        <w:rPr>
          <w:rFonts w:ascii="Cambria" w:hAnsi="Cambria"/>
          <w:sz w:val="20"/>
          <w:szCs w:val="20"/>
        </w:rPr>
        <w:t>L’ampleur de l’investissement de la refonte de l’eBCD et l’urgence pour assurer la continuité de l’eBCD compte tenu des discussions actuelles sur de nouvelles espèces potentielles pour le CDS, et ;</w:t>
      </w:r>
    </w:p>
    <w:p w14:paraId="458A79DB" w14:textId="77777777" w:rsidR="007F31BF" w:rsidRPr="00E5190B" w:rsidRDefault="007F31BF" w:rsidP="007F31BF">
      <w:pPr>
        <w:jc w:val="both"/>
        <w:rPr>
          <w:rFonts w:ascii="Cambria" w:hAnsi="Cambria"/>
          <w:sz w:val="20"/>
          <w:szCs w:val="20"/>
          <w:lang w:val="en-IE"/>
        </w:rPr>
      </w:pPr>
    </w:p>
    <w:p w14:paraId="36099823" w14:textId="51527A09" w:rsidR="006257B6" w:rsidRPr="00E5190B" w:rsidRDefault="007F31BF" w:rsidP="007E5391">
      <w:pPr>
        <w:numPr>
          <w:ilvl w:val="0"/>
          <w:numId w:val="44"/>
        </w:numPr>
        <w:ind w:left="851" w:hanging="425"/>
        <w:jc w:val="both"/>
        <w:rPr>
          <w:rFonts w:ascii="Cambria" w:hAnsi="Cambria"/>
          <w:b/>
          <w:bCs/>
          <w:sz w:val="20"/>
          <w:szCs w:val="20"/>
          <w:lang w:val="en-US"/>
        </w:rPr>
      </w:pPr>
      <w:r w:rsidRPr="00E5190B">
        <w:rPr>
          <w:rFonts w:ascii="Cambria" w:hAnsi="Cambria"/>
          <w:sz w:val="20"/>
          <w:szCs w:val="20"/>
        </w:rPr>
        <w:t>Les éventuels mécanismes de financement de l’ICCAT lors de l’inclusion d’autres espèces potentielles compte tenu du modèle de contribution à l’eBCD actuel.</w:t>
      </w:r>
    </w:p>
    <w:sectPr w:rsidR="006257B6" w:rsidRPr="00E5190B" w:rsidSect="0017320C">
      <w:headerReference w:type="default" r:id="rId9"/>
      <w:footerReference w:type="default" r:id="rId10"/>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814C6" w14:textId="77777777" w:rsidR="00BA27C2" w:rsidRDefault="00BA27C2" w:rsidP="00DD4C39">
      <w:r>
        <w:separator/>
      </w:r>
    </w:p>
  </w:endnote>
  <w:endnote w:type="continuationSeparator" w:id="0">
    <w:p w14:paraId="73033C0D" w14:textId="77777777" w:rsidR="00BA27C2" w:rsidRDefault="00BA27C2"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000000" w:rsidP="004F39B9">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810910487"/>
        <w:docPartObj>
          <w:docPartGallery w:val="Page Numbers (Top of Page)"/>
          <w:docPartUnique/>
        </w:docPartObj>
      </w:sdtPr>
      <w:sdtContent>
        <w:r w:rsidR="004F39B9" w:rsidRPr="00713AD4">
          <w:rPr>
            <w:rFonts w:ascii="Cambria" w:eastAsia="Calibri" w:hAnsi="Cambria" w:cs="Calibri"/>
            <w:sz w:val="20"/>
            <w:szCs w:val="20"/>
          </w:rPr>
          <w:fldChar w:fldCharType="begin"/>
        </w:r>
        <w:r w:rsidR="004F39B9" w:rsidRPr="00713AD4">
          <w:rPr>
            <w:rFonts w:ascii="Cambria" w:eastAsia="Calibri" w:hAnsi="Cambria" w:cs="Calibri"/>
            <w:sz w:val="20"/>
            <w:szCs w:val="20"/>
          </w:rPr>
          <w:instrText xml:space="preserve"> PAGE </w:instrText>
        </w:r>
        <w:r w:rsidR="004F39B9" w:rsidRPr="00713AD4">
          <w:rPr>
            <w:rFonts w:ascii="Cambria" w:eastAsia="Calibri" w:hAnsi="Cambria" w:cs="Calibri"/>
            <w:sz w:val="20"/>
            <w:szCs w:val="20"/>
          </w:rPr>
          <w:fldChar w:fldCharType="separate"/>
        </w:r>
        <w:r w:rsidR="004F39B9">
          <w:rPr>
            <w:rFonts w:ascii="Cambria" w:eastAsia="Calibri" w:hAnsi="Cambria" w:cs="Calibri"/>
            <w:sz w:val="20"/>
            <w:szCs w:val="20"/>
          </w:rPr>
          <w:t>1</w:t>
        </w:r>
        <w:r w:rsidR="004F39B9" w:rsidRPr="00713AD4">
          <w:rPr>
            <w:rFonts w:ascii="Cambria" w:eastAsia="Calibri" w:hAnsi="Cambria" w:cs="Calibri"/>
            <w:sz w:val="20"/>
            <w:szCs w:val="20"/>
          </w:rPr>
          <w:fldChar w:fldCharType="end"/>
        </w:r>
        <w:r w:rsidR="009F6FB9">
          <w:rPr>
            <w:rFonts w:ascii="Cambria" w:hAnsi="Cambria"/>
            <w:sz w:val="20"/>
            <w:szCs w:val="20"/>
          </w:rPr>
          <w:t xml:space="preserve"> / </w:t>
        </w:r>
        <w:r w:rsidR="004F39B9" w:rsidRPr="00713AD4">
          <w:rPr>
            <w:rFonts w:ascii="Cambria" w:eastAsia="Calibri" w:hAnsi="Cambria" w:cs="Calibri"/>
            <w:sz w:val="20"/>
            <w:szCs w:val="20"/>
          </w:rPr>
          <w:fldChar w:fldCharType="begin"/>
        </w:r>
        <w:r w:rsidR="004F39B9" w:rsidRPr="00713AD4">
          <w:rPr>
            <w:rFonts w:ascii="Cambria" w:eastAsia="Calibri" w:hAnsi="Cambria" w:cs="Calibri"/>
            <w:sz w:val="20"/>
            <w:szCs w:val="20"/>
          </w:rPr>
          <w:instrText xml:space="preserve"> NUMPAGES  </w:instrText>
        </w:r>
        <w:r w:rsidR="004F39B9" w:rsidRPr="00713AD4">
          <w:rPr>
            <w:rFonts w:ascii="Cambria" w:eastAsia="Calibri" w:hAnsi="Cambria" w:cs="Calibri"/>
            <w:sz w:val="20"/>
            <w:szCs w:val="20"/>
          </w:rPr>
          <w:fldChar w:fldCharType="separate"/>
        </w:r>
        <w:r w:rsidR="004F39B9">
          <w:rPr>
            <w:rFonts w:ascii="Cambria" w:eastAsia="Calibri" w:hAnsi="Cambria" w:cs="Calibri"/>
            <w:sz w:val="20"/>
            <w:szCs w:val="20"/>
          </w:rPr>
          <w:t>2</w:t>
        </w:r>
        <w:r w:rsidR="004F39B9"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860E1" w14:textId="77777777" w:rsidR="00BA27C2" w:rsidRDefault="00BA27C2" w:rsidP="00DD4C39">
      <w:r>
        <w:separator/>
      </w:r>
    </w:p>
  </w:footnote>
  <w:footnote w:type="continuationSeparator" w:id="0">
    <w:p w14:paraId="11EBFAAF" w14:textId="77777777" w:rsidR="00BA27C2" w:rsidRDefault="00BA27C2"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681CA36D" w:rsidR="004F39B9" w:rsidRPr="00793F38" w:rsidRDefault="00000BD5" w:rsidP="004F39B9">
    <w:pPr>
      <w:tabs>
        <w:tab w:val="center" w:pos="4680"/>
        <w:tab w:val="left" w:pos="6520"/>
        <w:tab w:val="right" w:pos="9360"/>
        <w:tab w:val="right" w:pos="14240"/>
      </w:tabs>
      <w:jc w:val="right"/>
      <w:rPr>
        <w:rFonts w:ascii="Cambria" w:eastAsia="Calibri" w:hAnsi="Cambria"/>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bCs/>
        <w:sz w:val="20"/>
        <w:szCs w:val="20"/>
      </w:rPr>
      <w:t>STF_218/2026</w:t>
    </w:r>
  </w:p>
  <w:bookmarkEnd w:id="0"/>
  <w:bookmarkEnd w:id="1"/>
  <w:bookmarkEnd w:id="2"/>
  <w:bookmarkEnd w:id="3"/>
  <w:bookmarkEnd w:id="4"/>
  <w:bookmarkEnd w:id="5"/>
  <w:p w14:paraId="76609AFE" w14:textId="7C898E65" w:rsidR="004F39B9" w:rsidRPr="004F39B9" w:rsidRDefault="00FE597A" w:rsidP="004F39B9">
    <w:pPr>
      <w:tabs>
        <w:tab w:val="left" w:pos="7320"/>
      </w:tabs>
      <w:spacing w:line="240" w:lineRule="exact"/>
      <w:jc w:val="right"/>
      <w:rPr>
        <w:rFonts w:ascii="Cambria" w:hAnsi="Cambria"/>
        <w:b/>
        <w:bCs/>
        <w:sz w:val="16"/>
        <w:szCs w:val="16"/>
      </w:rPr>
    </w:pPr>
    <w:r>
      <w:rPr>
        <w:rFonts w:ascii="Cambria" w:hAnsi="Cambria"/>
        <w:b/>
        <w:bCs/>
        <w:sz w:val="16"/>
        <w:szCs w:val="16"/>
      </w:rPr>
      <w:fldChar w:fldCharType="begin"/>
    </w:r>
    <w:r>
      <w:rPr>
        <w:rFonts w:ascii="Cambria" w:hAnsi="Cambria"/>
        <w:b/>
        <w:bCs/>
        <w:sz w:val="16"/>
        <w:szCs w:val="16"/>
      </w:rPr>
      <w:instrText xml:space="preserve"> TIME  \@ "dd/MM/yyyy HH:mm"  \* MERGEFORMAT </w:instrText>
    </w:r>
    <w:r>
      <w:rPr>
        <w:rFonts w:ascii="Cambria" w:hAnsi="Cambria"/>
        <w:b/>
        <w:bCs/>
        <w:sz w:val="16"/>
        <w:szCs w:val="16"/>
      </w:rPr>
      <w:fldChar w:fldCharType="separate"/>
    </w:r>
    <w:r w:rsidR="00F21F16">
      <w:rPr>
        <w:rFonts w:ascii="Cambria" w:hAnsi="Cambria"/>
        <w:b/>
        <w:bCs/>
        <w:noProof/>
        <w:sz w:val="16"/>
        <w:szCs w:val="16"/>
      </w:rPr>
      <w:t>13/10/2026 09:22</w:t>
    </w:r>
    <w:r>
      <w:rPr>
        <w:rFonts w:ascii="Cambria" w:hAnsi="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6"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3"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1"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3"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27"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29"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2"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465891"/>
    <w:multiLevelType w:val="hybridMultilevel"/>
    <w:tmpl w:val="0CE4D8AC"/>
    <w:lvl w:ilvl="0" w:tplc="7BA6EB32">
      <w:start w:val="4"/>
      <w:numFmt w:val="bullet"/>
      <w:lvlText w:val="-"/>
      <w:lvlJc w:val="left"/>
      <w:pPr>
        <w:ind w:left="720" w:hanging="360"/>
      </w:pPr>
      <w:rPr>
        <w:rFonts w:ascii="Cambria" w:eastAsia="Times New Roman" w:hAnsi="Cambria" w:cs="Times New Roman" w:hint="default"/>
        <w:b w:val="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8"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9"/>
  </w:num>
  <w:num w:numId="2" w16cid:durableId="1449546622">
    <w:abstractNumId w:val="5"/>
  </w:num>
  <w:num w:numId="3" w16cid:durableId="1669477334">
    <w:abstractNumId w:val="28"/>
  </w:num>
  <w:num w:numId="4" w16cid:durableId="2062551615">
    <w:abstractNumId w:val="31"/>
  </w:num>
  <w:num w:numId="5" w16cid:durableId="1334332422">
    <w:abstractNumId w:val="6"/>
  </w:num>
  <w:num w:numId="6" w16cid:durableId="1425516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4"/>
  </w:num>
  <w:num w:numId="8" w16cid:durableId="1031148757">
    <w:abstractNumId w:val="8"/>
  </w:num>
  <w:num w:numId="9" w16cid:durableId="1366442034">
    <w:abstractNumId w:val="11"/>
  </w:num>
  <w:num w:numId="10" w16cid:durableId="593592016">
    <w:abstractNumId w:val="21"/>
  </w:num>
  <w:num w:numId="11" w16cid:durableId="1440175051">
    <w:abstractNumId w:val="36"/>
  </w:num>
  <w:num w:numId="12" w16cid:durableId="982851329">
    <w:abstractNumId w:val="19"/>
  </w:num>
  <w:num w:numId="13" w16cid:durableId="77144801">
    <w:abstractNumId w:val="22"/>
  </w:num>
  <w:num w:numId="14" w16cid:durableId="1647279085">
    <w:abstractNumId w:val="4"/>
  </w:num>
  <w:num w:numId="15" w16cid:durableId="271133236">
    <w:abstractNumId w:val="13"/>
  </w:num>
  <w:num w:numId="16" w16cid:durableId="1738623123">
    <w:abstractNumId w:val="29"/>
  </w:num>
  <w:num w:numId="17" w16cid:durableId="913320329">
    <w:abstractNumId w:val="27"/>
  </w:num>
  <w:num w:numId="18" w16cid:durableId="418794546">
    <w:abstractNumId w:val="34"/>
  </w:num>
  <w:num w:numId="19" w16cid:durableId="1472021529">
    <w:abstractNumId w:val="23"/>
  </w:num>
  <w:num w:numId="20" w16cid:durableId="2017075213">
    <w:abstractNumId w:val="38"/>
  </w:num>
  <w:num w:numId="21" w16cid:durableId="591548215">
    <w:abstractNumId w:val="25"/>
  </w:num>
  <w:num w:numId="22" w16cid:durableId="1404647861">
    <w:abstractNumId w:val="10"/>
  </w:num>
  <w:num w:numId="23" w16cid:durableId="174223927">
    <w:abstractNumId w:val="12"/>
  </w:num>
  <w:num w:numId="24" w16cid:durableId="1101417208">
    <w:abstractNumId w:val="35"/>
  </w:num>
  <w:num w:numId="25" w16cid:durableId="801313979">
    <w:abstractNumId w:val="26"/>
  </w:num>
  <w:num w:numId="26" w16cid:durableId="1469083396">
    <w:abstractNumId w:val="15"/>
  </w:num>
  <w:num w:numId="27" w16cid:durableId="994603209">
    <w:abstractNumId w:val="30"/>
  </w:num>
  <w:num w:numId="28" w16cid:durableId="1157379616">
    <w:abstractNumId w:val="32"/>
  </w:num>
  <w:num w:numId="29" w16cid:durableId="438067770">
    <w:abstractNumId w:val="17"/>
  </w:num>
  <w:num w:numId="30" w16cid:durableId="2108188645">
    <w:abstractNumId w:val="41"/>
  </w:num>
  <w:num w:numId="31" w16cid:durableId="637416884">
    <w:abstractNumId w:val="1"/>
  </w:num>
  <w:num w:numId="32" w16cid:durableId="1707027479">
    <w:abstractNumId w:val="7"/>
  </w:num>
  <w:num w:numId="33" w16cid:durableId="220675060">
    <w:abstractNumId w:val="16"/>
  </w:num>
  <w:num w:numId="34" w16cid:durableId="683478542">
    <w:abstractNumId w:val="24"/>
  </w:num>
  <w:num w:numId="35" w16cid:durableId="374165365">
    <w:abstractNumId w:val="0"/>
  </w:num>
  <w:num w:numId="36" w16cid:durableId="133135331">
    <w:abstractNumId w:val="2"/>
  </w:num>
  <w:num w:numId="37" w16cid:durableId="1939672181">
    <w:abstractNumId w:val="3"/>
  </w:num>
  <w:num w:numId="38" w16cid:durableId="905067993">
    <w:abstractNumId w:val="39"/>
  </w:num>
  <w:num w:numId="39" w16cid:durableId="715666598">
    <w:abstractNumId w:val="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0"/>
  </w:num>
  <w:num w:numId="41" w16cid:durableId="191919274">
    <w:abstractNumId w:val="40"/>
  </w:num>
  <w:num w:numId="42" w16cid:durableId="1523088920">
    <w:abstractNumId w:val="18"/>
  </w:num>
  <w:num w:numId="43" w16cid:durableId="704985200">
    <w:abstractNumId w:val="33"/>
  </w:num>
  <w:num w:numId="44" w16cid:durableId="142600146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BD5"/>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57C72"/>
    <w:rsid w:val="00060FB1"/>
    <w:rsid w:val="000614FA"/>
    <w:rsid w:val="00064640"/>
    <w:rsid w:val="00071189"/>
    <w:rsid w:val="000746A9"/>
    <w:rsid w:val="00074F2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6753"/>
    <w:rsid w:val="001476CD"/>
    <w:rsid w:val="00147A4F"/>
    <w:rsid w:val="001527D8"/>
    <w:rsid w:val="00152B06"/>
    <w:rsid w:val="00152E0C"/>
    <w:rsid w:val="00157B26"/>
    <w:rsid w:val="00160A09"/>
    <w:rsid w:val="00160B49"/>
    <w:rsid w:val="001630E3"/>
    <w:rsid w:val="00167923"/>
    <w:rsid w:val="0017320C"/>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45AB"/>
    <w:rsid w:val="001B6DBE"/>
    <w:rsid w:val="001C05A3"/>
    <w:rsid w:val="001C1356"/>
    <w:rsid w:val="001C1823"/>
    <w:rsid w:val="001C18EA"/>
    <w:rsid w:val="001C5D2A"/>
    <w:rsid w:val="001C5DD4"/>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11A"/>
    <w:rsid w:val="002154AC"/>
    <w:rsid w:val="002209DA"/>
    <w:rsid w:val="002213FF"/>
    <w:rsid w:val="0022374D"/>
    <w:rsid w:val="00225464"/>
    <w:rsid w:val="002254CF"/>
    <w:rsid w:val="002265B1"/>
    <w:rsid w:val="00226609"/>
    <w:rsid w:val="002317E7"/>
    <w:rsid w:val="00232D1D"/>
    <w:rsid w:val="002360A7"/>
    <w:rsid w:val="00237756"/>
    <w:rsid w:val="00240A3D"/>
    <w:rsid w:val="00242005"/>
    <w:rsid w:val="00242111"/>
    <w:rsid w:val="002434AB"/>
    <w:rsid w:val="00246631"/>
    <w:rsid w:val="00246705"/>
    <w:rsid w:val="00247B9A"/>
    <w:rsid w:val="00250C2F"/>
    <w:rsid w:val="00257F0C"/>
    <w:rsid w:val="0026489C"/>
    <w:rsid w:val="00265D08"/>
    <w:rsid w:val="0027149A"/>
    <w:rsid w:val="00273D43"/>
    <w:rsid w:val="00275529"/>
    <w:rsid w:val="002762AB"/>
    <w:rsid w:val="00282F16"/>
    <w:rsid w:val="0028560B"/>
    <w:rsid w:val="00290481"/>
    <w:rsid w:val="002961C5"/>
    <w:rsid w:val="002A2405"/>
    <w:rsid w:val="002A46C2"/>
    <w:rsid w:val="002A6E00"/>
    <w:rsid w:val="002A70B6"/>
    <w:rsid w:val="002C12A9"/>
    <w:rsid w:val="002C28CA"/>
    <w:rsid w:val="002C399C"/>
    <w:rsid w:val="002D1035"/>
    <w:rsid w:val="002D2C3D"/>
    <w:rsid w:val="002D3D37"/>
    <w:rsid w:val="002D7AD8"/>
    <w:rsid w:val="002D7D0D"/>
    <w:rsid w:val="002D7E3A"/>
    <w:rsid w:val="002E24FF"/>
    <w:rsid w:val="002E25F5"/>
    <w:rsid w:val="002E5CFC"/>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3D41"/>
    <w:rsid w:val="00424411"/>
    <w:rsid w:val="00426AE7"/>
    <w:rsid w:val="00427D62"/>
    <w:rsid w:val="00433870"/>
    <w:rsid w:val="00435A8B"/>
    <w:rsid w:val="00436588"/>
    <w:rsid w:val="00443067"/>
    <w:rsid w:val="00445BCA"/>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11D9"/>
    <w:rsid w:val="00492262"/>
    <w:rsid w:val="00492F08"/>
    <w:rsid w:val="00494986"/>
    <w:rsid w:val="004A40AA"/>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34E7"/>
    <w:rsid w:val="005644A2"/>
    <w:rsid w:val="00565E84"/>
    <w:rsid w:val="00567271"/>
    <w:rsid w:val="00571C5B"/>
    <w:rsid w:val="00571E4A"/>
    <w:rsid w:val="005727F9"/>
    <w:rsid w:val="005729BB"/>
    <w:rsid w:val="0057319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26D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3A1"/>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257B6"/>
    <w:rsid w:val="00630BEA"/>
    <w:rsid w:val="00630C1F"/>
    <w:rsid w:val="0063147D"/>
    <w:rsid w:val="00631B05"/>
    <w:rsid w:val="00635265"/>
    <w:rsid w:val="00635DBD"/>
    <w:rsid w:val="00642E30"/>
    <w:rsid w:val="00643E77"/>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5327"/>
    <w:rsid w:val="006969DC"/>
    <w:rsid w:val="006A24F0"/>
    <w:rsid w:val="006A4372"/>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036B"/>
    <w:rsid w:val="007A4722"/>
    <w:rsid w:val="007B10F9"/>
    <w:rsid w:val="007B2DE7"/>
    <w:rsid w:val="007B4049"/>
    <w:rsid w:val="007B4D4C"/>
    <w:rsid w:val="007C21CB"/>
    <w:rsid w:val="007C4A02"/>
    <w:rsid w:val="007C4E4F"/>
    <w:rsid w:val="007D08A0"/>
    <w:rsid w:val="007D1671"/>
    <w:rsid w:val="007D413A"/>
    <w:rsid w:val="007D5CA9"/>
    <w:rsid w:val="007E4C2D"/>
    <w:rsid w:val="007E654F"/>
    <w:rsid w:val="007E69D1"/>
    <w:rsid w:val="007F31BF"/>
    <w:rsid w:val="007F4EF3"/>
    <w:rsid w:val="0080033F"/>
    <w:rsid w:val="008042B6"/>
    <w:rsid w:val="00805EFF"/>
    <w:rsid w:val="00811FA1"/>
    <w:rsid w:val="008121F9"/>
    <w:rsid w:val="00816217"/>
    <w:rsid w:val="0081636C"/>
    <w:rsid w:val="00817E09"/>
    <w:rsid w:val="008207DE"/>
    <w:rsid w:val="00821CFF"/>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27"/>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73B"/>
    <w:rsid w:val="00937085"/>
    <w:rsid w:val="009373EA"/>
    <w:rsid w:val="00946422"/>
    <w:rsid w:val="009466F7"/>
    <w:rsid w:val="0094755A"/>
    <w:rsid w:val="00947D0F"/>
    <w:rsid w:val="00950FE1"/>
    <w:rsid w:val="00952C5B"/>
    <w:rsid w:val="0095464C"/>
    <w:rsid w:val="00955E79"/>
    <w:rsid w:val="00957027"/>
    <w:rsid w:val="0095716F"/>
    <w:rsid w:val="00961741"/>
    <w:rsid w:val="0096664A"/>
    <w:rsid w:val="00972DB9"/>
    <w:rsid w:val="00973C56"/>
    <w:rsid w:val="00975089"/>
    <w:rsid w:val="0097663E"/>
    <w:rsid w:val="00983C8D"/>
    <w:rsid w:val="009854B5"/>
    <w:rsid w:val="00991363"/>
    <w:rsid w:val="0099649A"/>
    <w:rsid w:val="009A0097"/>
    <w:rsid w:val="009A021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6FB9"/>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0F04"/>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47B8E"/>
    <w:rsid w:val="00B50939"/>
    <w:rsid w:val="00B52143"/>
    <w:rsid w:val="00B611AA"/>
    <w:rsid w:val="00B62537"/>
    <w:rsid w:val="00B64A63"/>
    <w:rsid w:val="00B64BF6"/>
    <w:rsid w:val="00B67189"/>
    <w:rsid w:val="00B72E5E"/>
    <w:rsid w:val="00B7305B"/>
    <w:rsid w:val="00B7414E"/>
    <w:rsid w:val="00B741BE"/>
    <w:rsid w:val="00B75E06"/>
    <w:rsid w:val="00B85DE2"/>
    <w:rsid w:val="00B865A5"/>
    <w:rsid w:val="00B90E2B"/>
    <w:rsid w:val="00B92D66"/>
    <w:rsid w:val="00B946C1"/>
    <w:rsid w:val="00BA0669"/>
    <w:rsid w:val="00BA2134"/>
    <w:rsid w:val="00BA2617"/>
    <w:rsid w:val="00BA27C2"/>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029"/>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21A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2651"/>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E7E39"/>
    <w:rsid w:val="00CF186E"/>
    <w:rsid w:val="00CF220B"/>
    <w:rsid w:val="00CF4014"/>
    <w:rsid w:val="00D00925"/>
    <w:rsid w:val="00D03363"/>
    <w:rsid w:val="00D0610E"/>
    <w:rsid w:val="00D0660D"/>
    <w:rsid w:val="00D117BF"/>
    <w:rsid w:val="00D122FD"/>
    <w:rsid w:val="00D13812"/>
    <w:rsid w:val="00D160C2"/>
    <w:rsid w:val="00D16DB7"/>
    <w:rsid w:val="00D20F42"/>
    <w:rsid w:val="00D216D6"/>
    <w:rsid w:val="00D2317A"/>
    <w:rsid w:val="00D24241"/>
    <w:rsid w:val="00D24637"/>
    <w:rsid w:val="00D24DA6"/>
    <w:rsid w:val="00D25B4B"/>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3B3C"/>
    <w:rsid w:val="00D666EA"/>
    <w:rsid w:val="00D708E9"/>
    <w:rsid w:val="00D70996"/>
    <w:rsid w:val="00D7131D"/>
    <w:rsid w:val="00D71637"/>
    <w:rsid w:val="00D72773"/>
    <w:rsid w:val="00D7460D"/>
    <w:rsid w:val="00D81029"/>
    <w:rsid w:val="00D826FF"/>
    <w:rsid w:val="00D92F9B"/>
    <w:rsid w:val="00D92FE7"/>
    <w:rsid w:val="00D97C35"/>
    <w:rsid w:val="00DA0BB3"/>
    <w:rsid w:val="00DA0CA2"/>
    <w:rsid w:val="00DA0CF2"/>
    <w:rsid w:val="00DA165A"/>
    <w:rsid w:val="00DA3223"/>
    <w:rsid w:val="00DA5D27"/>
    <w:rsid w:val="00DA5D99"/>
    <w:rsid w:val="00DA684F"/>
    <w:rsid w:val="00DA711E"/>
    <w:rsid w:val="00DA79F5"/>
    <w:rsid w:val="00DB026B"/>
    <w:rsid w:val="00DB0D9F"/>
    <w:rsid w:val="00DB1E4B"/>
    <w:rsid w:val="00DB2942"/>
    <w:rsid w:val="00DB3557"/>
    <w:rsid w:val="00DB416A"/>
    <w:rsid w:val="00DB71C2"/>
    <w:rsid w:val="00DD1B58"/>
    <w:rsid w:val="00DD4C39"/>
    <w:rsid w:val="00DD72FD"/>
    <w:rsid w:val="00DE2507"/>
    <w:rsid w:val="00DE7887"/>
    <w:rsid w:val="00DF0742"/>
    <w:rsid w:val="00DF09DD"/>
    <w:rsid w:val="00DF2274"/>
    <w:rsid w:val="00DF3AE4"/>
    <w:rsid w:val="00DF58AA"/>
    <w:rsid w:val="00DF7A00"/>
    <w:rsid w:val="00E00018"/>
    <w:rsid w:val="00E0084B"/>
    <w:rsid w:val="00E019ED"/>
    <w:rsid w:val="00E02C6F"/>
    <w:rsid w:val="00E03091"/>
    <w:rsid w:val="00E04270"/>
    <w:rsid w:val="00E10259"/>
    <w:rsid w:val="00E10716"/>
    <w:rsid w:val="00E1141E"/>
    <w:rsid w:val="00E12CFE"/>
    <w:rsid w:val="00E13A24"/>
    <w:rsid w:val="00E15BBC"/>
    <w:rsid w:val="00E1641E"/>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190B"/>
    <w:rsid w:val="00E556A9"/>
    <w:rsid w:val="00E63DF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94DA3"/>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1F16"/>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510A"/>
    <w:rsid w:val="00FB6884"/>
    <w:rsid w:val="00FC1132"/>
    <w:rsid w:val="00FC1865"/>
    <w:rsid w:val="00FC1C55"/>
    <w:rsid w:val="00FC256E"/>
    <w:rsid w:val="00FC4334"/>
    <w:rsid w:val="00FC54AD"/>
    <w:rsid w:val="00FD025C"/>
    <w:rsid w:val="00FD1352"/>
    <w:rsid w:val="00FD1972"/>
    <w:rsid w:val="00FD1D26"/>
    <w:rsid w:val="00FD3601"/>
    <w:rsid w:val="00FD5025"/>
    <w:rsid w:val="00FD6700"/>
    <w:rsid w:val="00FD67D9"/>
    <w:rsid w:val="00FD6E5E"/>
    <w:rsid w:val="00FD7762"/>
    <w:rsid w:val="00FD7F2B"/>
    <w:rsid w:val="00FE1B78"/>
    <w:rsid w:val="00FE25D8"/>
    <w:rsid w:val="00FE597A"/>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15:docId w15:val="{61E1CE74-1AF4-4781-8F0D-EB698C28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Policepardfaut"/>
    <w:link w:val="Normal1"/>
    <w:rsid w:val="00DD4C39"/>
    <w:rPr>
      <w:rFonts w:ascii="Courier" w:eastAsia="SimSun" w:hAnsi="Courier" w:cs="Courier"/>
      <w:sz w:val="24"/>
      <w:szCs w:val="24"/>
      <w:lang w:eastAsia="zh-CN"/>
    </w:rPr>
  </w:style>
  <w:style w:type="paragraph" w:styleId="Corpsdetexte">
    <w:name w:val="Body Text"/>
    <w:basedOn w:val="Normal"/>
    <w:link w:val="CorpsdetexteCar"/>
    <w:rsid w:val="00DD4C39"/>
    <w:pPr>
      <w:jc w:val="center"/>
    </w:pPr>
    <w:rPr>
      <w:b/>
      <w:bCs/>
      <w:lang w:eastAsia="es-ES"/>
    </w:rPr>
  </w:style>
  <w:style w:type="character" w:customStyle="1" w:styleId="CorpsdetexteCar">
    <w:name w:val="Corps de texte Car"/>
    <w:basedOn w:val="Policepardfaut"/>
    <w:link w:val="Corpsdetexte"/>
    <w:rsid w:val="00DD4C39"/>
    <w:rPr>
      <w:rFonts w:ascii="Times New Roman" w:eastAsia="Times New Roman" w:hAnsi="Times New Roman" w:cs="Times New Roman"/>
      <w:b/>
      <w:bCs/>
      <w:sz w:val="24"/>
      <w:szCs w:val="24"/>
      <w:lang w:val="fr-FR" w:eastAsia="es-ES"/>
    </w:rPr>
  </w:style>
  <w:style w:type="character" w:styleId="Lienhypertexte">
    <w:name w:val="Hyperlink"/>
    <w:basedOn w:val="Policepardfaut"/>
    <w:uiPriority w:val="99"/>
    <w:unhideWhenUsed/>
    <w:qFormat/>
    <w:rsid w:val="00DD4C39"/>
    <w:rPr>
      <w:color w:val="0563C1" w:themeColor="hyperlink"/>
      <w:u w:val="single"/>
    </w:rPr>
  </w:style>
  <w:style w:type="paragraph" w:styleId="Notedebasdepage">
    <w:name w:val="footnote text"/>
    <w:basedOn w:val="Normal"/>
    <w:link w:val="NotedebasdepageCar"/>
    <w:semiHidden/>
    <w:unhideWhenUsed/>
    <w:rsid w:val="00DD4C39"/>
    <w:rPr>
      <w:sz w:val="20"/>
      <w:szCs w:val="20"/>
    </w:rPr>
  </w:style>
  <w:style w:type="character" w:customStyle="1" w:styleId="NotedebasdepageCar">
    <w:name w:val="Note de bas de page Car"/>
    <w:basedOn w:val="Policepardfaut"/>
    <w:link w:val="Notedebasdepage"/>
    <w:semiHidden/>
    <w:rsid w:val="00DD4C39"/>
    <w:rPr>
      <w:rFonts w:ascii="Times New Roman" w:eastAsia="Times New Roman" w:hAnsi="Times New Roman" w:cs="Times New Roman"/>
      <w:sz w:val="20"/>
      <w:szCs w:val="20"/>
      <w:lang w:val="fr-FR"/>
    </w:rPr>
  </w:style>
  <w:style w:type="character" w:styleId="Appelnotedebasdep">
    <w:name w:val="footnote reference"/>
    <w:basedOn w:val="Policepardfaut"/>
    <w:semiHidden/>
    <w:unhideWhenUsed/>
    <w:rsid w:val="00DD4C39"/>
    <w:rPr>
      <w:vertAlign w:val="superscript"/>
    </w:rPr>
  </w:style>
  <w:style w:type="character" w:styleId="Marquedecommentaire">
    <w:name w:val="annotation reference"/>
    <w:basedOn w:val="Policepardfaut"/>
    <w:uiPriority w:val="99"/>
    <w:unhideWhenUsed/>
    <w:qFormat/>
    <w:rsid w:val="00FC1C55"/>
    <w:rPr>
      <w:sz w:val="16"/>
      <w:szCs w:val="16"/>
    </w:rPr>
  </w:style>
  <w:style w:type="paragraph" w:styleId="Commentaire">
    <w:name w:val="annotation text"/>
    <w:basedOn w:val="Normal"/>
    <w:link w:val="CommentaireCar"/>
    <w:uiPriority w:val="99"/>
    <w:unhideWhenUsed/>
    <w:qFormat/>
    <w:rsid w:val="00FC1C55"/>
    <w:rPr>
      <w:sz w:val="20"/>
      <w:szCs w:val="20"/>
    </w:rPr>
  </w:style>
  <w:style w:type="character" w:customStyle="1" w:styleId="CommentaireCar">
    <w:name w:val="Commentaire Car"/>
    <w:basedOn w:val="Policepardfaut"/>
    <w:link w:val="Commentaire"/>
    <w:uiPriority w:val="99"/>
    <w:rsid w:val="00FC1C55"/>
    <w:rPr>
      <w:rFonts w:ascii="Times New Roman" w:eastAsia="Times New Roman" w:hAnsi="Times New Roman"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FC1C55"/>
    <w:rPr>
      <w:b/>
      <w:bCs/>
    </w:rPr>
  </w:style>
  <w:style w:type="character" w:customStyle="1" w:styleId="ObjetducommentaireCar">
    <w:name w:val="Objet du commentaire Car"/>
    <w:basedOn w:val="CommentaireCar"/>
    <w:link w:val="Objetducommentaire"/>
    <w:uiPriority w:val="99"/>
    <w:semiHidden/>
    <w:rsid w:val="00FC1C55"/>
    <w:rPr>
      <w:rFonts w:ascii="Times New Roman" w:eastAsia="Times New Roman" w:hAnsi="Times New Roman" w:cs="Times New Roman"/>
      <w:b/>
      <w:bCs/>
      <w:sz w:val="20"/>
      <w:szCs w:val="20"/>
      <w:lang w:val="fr-FR"/>
    </w:rPr>
  </w:style>
  <w:style w:type="paragraph" w:styleId="R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Policepardfaut"/>
    <w:rsid w:val="00506617"/>
    <w:rPr>
      <w:rFonts w:ascii="Segoe UI" w:hAnsi="Segoe UI" w:cs="Segoe UI" w:hint="default"/>
      <w:b/>
      <w:bCs/>
      <w:sz w:val="18"/>
      <w:szCs w:val="18"/>
    </w:rPr>
  </w:style>
  <w:style w:type="character" w:styleId="Lienhypertextesuivivisit">
    <w:name w:val="FollowedHyperlink"/>
    <w:basedOn w:val="Policepardfau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style>
  <w:style w:type="paragraph" w:customStyle="1" w:styleId="paragraph">
    <w:name w:val="paragraph"/>
    <w:basedOn w:val="Normal"/>
    <w:rsid w:val="004F39B9"/>
    <w:pPr>
      <w:spacing w:before="100" w:beforeAutospacing="1" w:after="100" w:afterAutospacing="1"/>
    </w:pPr>
  </w:style>
  <w:style w:type="character" w:customStyle="1" w:styleId="textrun">
    <w:name w:val="textrun"/>
    <w:basedOn w:val="Policepardfaut"/>
    <w:rsid w:val="004F39B9"/>
  </w:style>
  <w:style w:type="character" w:customStyle="1" w:styleId="normaltextrun">
    <w:name w:val="normaltextrun"/>
    <w:basedOn w:val="Policepardfaut"/>
    <w:rsid w:val="004F39B9"/>
  </w:style>
  <w:style w:type="character" w:customStyle="1" w:styleId="eop">
    <w:name w:val="eop"/>
    <w:basedOn w:val="Policepardfaut"/>
    <w:rsid w:val="004F39B9"/>
  </w:style>
  <w:style w:type="paragraph" w:customStyle="1" w:styleId="outlineelement">
    <w:name w:val="outlineelement"/>
    <w:basedOn w:val="Normal"/>
    <w:rsid w:val="004F39B9"/>
    <w:pPr>
      <w:spacing w:before="100" w:beforeAutospacing="1" w:after="100" w:afterAutospacing="1"/>
    </w:pPr>
  </w:style>
  <w:style w:type="character" w:customStyle="1" w:styleId="tabrun">
    <w:name w:val="tabrun"/>
    <w:basedOn w:val="Policepardfaut"/>
    <w:rsid w:val="004F39B9"/>
  </w:style>
  <w:style w:type="character" w:customStyle="1" w:styleId="tabchar">
    <w:name w:val="tabchar"/>
    <w:basedOn w:val="Policepardfaut"/>
    <w:rsid w:val="004F39B9"/>
  </w:style>
  <w:style w:type="character" w:customStyle="1" w:styleId="tableaderchars">
    <w:name w:val="tableaderchars"/>
    <w:basedOn w:val="Policepardfaut"/>
    <w:rsid w:val="004F39B9"/>
  </w:style>
  <w:style w:type="character" w:customStyle="1" w:styleId="pagebreakblob">
    <w:name w:val="pagebreakblob"/>
    <w:basedOn w:val="Policepardfaut"/>
    <w:rsid w:val="004F39B9"/>
  </w:style>
  <w:style w:type="character" w:customStyle="1" w:styleId="pagebreakborderspan">
    <w:name w:val="pagebreakborderspan"/>
    <w:basedOn w:val="Policepardfaut"/>
    <w:rsid w:val="004F39B9"/>
  </w:style>
  <w:style w:type="character" w:customStyle="1" w:styleId="pagebreaktextspan">
    <w:name w:val="pagebreaktextspan"/>
    <w:basedOn w:val="Policepardfaut"/>
    <w:rsid w:val="004F39B9"/>
  </w:style>
  <w:style w:type="character" w:customStyle="1" w:styleId="linebreakblob">
    <w:name w:val="linebreakblob"/>
    <w:basedOn w:val="Policepardfaut"/>
    <w:rsid w:val="004F39B9"/>
  </w:style>
  <w:style w:type="character" w:customStyle="1" w:styleId="scxw138215210">
    <w:name w:val="scxw138215210"/>
    <w:basedOn w:val="Policepardfaut"/>
    <w:rsid w:val="004F39B9"/>
  </w:style>
  <w:style w:type="paragraph" w:styleId="En-tte">
    <w:name w:val="header"/>
    <w:basedOn w:val="Normal"/>
    <w:link w:val="En-tteCar"/>
    <w:uiPriority w:val="99"/>
    <w:unhideWhenUsed/>
    <w:rsid w:val="004F39B9"/>
    <w:pPr>
      <w:tabs>
        <w:tab w:val="center" w:pos="4680"/>
        <w:tab w:val="right" w:pos="9360"/>
      </w:tabs>
    </w:pPr>
  </w:style>
  <w:style w:type="character" w:customStyle="1" w:styleId="En-tteCar">
    <w:name w:val="En-tête Car"/>
    <w:basedOn w:val="Policepardfaut"/>
    <w:link w:val="En-tte"/>
    <w:uiPriority w:val="99"/>
    <w:rsid w:val="004F39B9"/>
    <w:rPr>
      <w:rFonts w:ascii="Times New Roman" w:eastAsia="Times New Roman" w:hAnsi="Times New Roman" w:cs="Times New Roman"/>
      <w:sz w:val="24"/>
      <w:szCs w:val="24"/>
    </w:rPr>
  </w:style>
  <w:style w:type="paragraph" w:styleId="Pieddepage">
    <w:name w:val="footer"/>
    <w:basedOn w:val="Normal"/>
    <w:link w:val="PieddepageCar"/>
    <w:uiPriority w:val="99"/>
    <w:unhideWhenUsed/>
    <w:rsid w:val="004F39B9"/>
    <w:pPr>
      <w:tabs>
        <w:tab w:val="center" w:pos="4680"/>
        <w:tab w:val="right" w:pos="9360"/>
      </w:tabs>
    </w:pPr>
  </w:style>
  <w:style w:type="character" w:customStyle="1" w:styleId="PieddepageCar">
    <w:name w:val="Pied de page Car"/>
    <w:basedOn w:val="Policepardfaut"/>
    <w:link w:val="Pieddepage"/>
    <w:uiPriority w:val="99"/>
    <w:rsid w:val="004F39B9"/>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0A2BB3"/>
    <w:rPr>
      <w:color w:val="605E5C"/>
      <w:shd w:val="clear" w:color="auto" w:fill="E1DFDD"/>
    </w:rPr>
  </w:style>
  <w:style w:type="character" w:customStyle="1" w:styleId="DefaultChar">
    <w:name w:val="Default Char"/>
    <w:basedOn w:val="Policepardfaut"/>
    <w:link w:val="Default"/>
    <w:locked/>
    <w:rsid w:val="00743EF7"/>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uploads/2026/PWG_416_FRA_20261009130124.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491</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christel navarret</cp:lastModifiedBy>
  <cp:revision>8</cp:revision>
  <dcterms:created xsi:type="dcterms:W3CDTF">2026-10-09T10:36:00Z</dcterms:created>
  <dcterms:modified xsi:type="dcterms:W3CDTF">2026-10-13T07:30:00Z</dcterms:modified>
</cp:coreProperties>
</file>