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CA9BB" w14:textId="77777777" w:rsidR="00F42883" w:rsidRPr="00F42883" w:rsidRDefault="00F42883" w:rsidP="00F42883">
      <w:pPr>
        <w:spacing w:after="0" w:line="240" w:lineRule="auto"/>
        <w:jc w:val="center"/>
        <w:rPr>
          <w:rFonts w:ascii="Cambria" w:eastAsia="Times New Roman" w:hAnsi="Cambria" w:cs="Times New Roman"/>
          <w:b/>
          <w:color w:val="auto"/>
          <w:kern w:val="0"/>
          <w:sz w:val="20"/>
          <w:szCs w:val="20"/>
          <w14:ligatures w14:val="none"/>
        </w:rPr>
      </w:pPr>
      <w:r>
        <w:rPr>
          <w:rFonts w:ascii="Cambria" w:hAnsi="Cambria"/>
          <w:b/>
          <w:color w:val="auto"/>
          <w:sz w:val="20"/>
        </w:rPr>
        <w:t>Portada para acompañar nuevas propuestas</w:t>
      </w:r>
    </w:p>
    <w:p w14:paraId="56985B1A" w14:textId="77777777" w:rsidR="00F42883" w:rsidRPr="009A30B1"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lang w:eastAsia="en-US"/>
          <w14:ligatures w14:val="none"/>
        </w:rPr>
      </w:pPr>
    </w:p>
    <w:p w14:paraId="2DEBCB10" w14:textId="77777777" w:rsidR="00F42883" w:rsidRPr="00F42883" w:rsidRDefault="00F42883" w:rsidP="00F42883">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Pr>
          <w:rFonts w:ascii="Cambria" w:hAnsi="Cambria"/>
          <w:i/>
          <w:color w:val="auto"/>
          <w:sz w:val="20"/>
        </w:rPr>
        <w:t>(documento presentado por la Unión Europea)</w:t>
      </w:r>
    </w:p>
    <w:p w14:paraId="121BD525" w14:textId="77777777" w:rsidR="00F42883" w:rsidRPr="009A30B1" w:rsidRDefault="00F42883" w:rsidP="0093780B">
      <w:pPr>
        <w:widowControl w:val="0"/>
        <w:autoSpaceDE w:val="0"/>
        <w:autoSpaceDN w:val="0"/>
        <w:spacing w:after="120" w:line="240" w:lineRule="auto"/>
        <w:jc w:val="both"/>
        <w:rPr>
          <w:rFonts w:ascii="Cambria" w:eastAsia="Cambria" w:hAnsi="Cambria" w:cs="Cambria"/>
          <w:b/>
          <w:bCs/>
          <w:color w:val="auto"/>
          <w:kern w:val="0"/>
          <w:sz w:val="20"/>
          <w:szCs w:val="20"/>
          <w:lang w:eastAsia="en-US"/>
          <w14:ligatures w14:val="none"/>
        </w:rPr>
      </w:pPr>
    </w:p>
    <w:p w14:paraId="472C72AF" w14:textId="000AEEE7" w:rsidR="00615FC7" w:rsidRPr="00F42883" w:rsidRDefault="00615FC7" w:rsidP="0093780B">
      <w:pPr>
        <w:widowControl w:val="0"/>
        <w:autoSpaceDE w:val="0"/>
        <w:autoSpaceDN w:val="0"/>
        <w:spacing w:after="120" w:line="240" w:lineRule="auto"/>
        <w:jc w:val="both"/>
        <w:rPr>
          <w:rFonts w:ascii="Cambria" w:eastAsia="Cambria" w:hAnsi="Cambria" w:cs="Cambria"/>
          <w:b/>
          <w:bCs/>
          <w:i/>
          <w:iCs/>
          <w:color w:val="EE0000"/>
          <w:spacing w:val="-2"/>
          <w:kern w:val="0"/>
          <w:sz w:val="20"/>
          <w:szCs w:val="20"/>
          <w14:ligatures w14:val="none"/>
        </w:rPr>
      </w:pPr>
      <w:r>
        <w:rPr>
          <w:rFonts w:ascii="Cambria" w:hAnsi="Cambria"/>
          <w:b/>
          <w:color w:val="auto"/>
          <w:sz w:val="20"/>
        </w:rPr>
        <w:t xml:space="preserve">Título de la propuesta de Proyecto de Recomendación/Resolución: </w:t>
      </w:r>
      <w:r w:rsidR="00826C44" w:rsidRPr="00826C44">
        <w:rPr>
          <w:rFonts w:ascii="Cambria" w:hAnsi="Cambria"/>
          <w:color w:val="EE0000"/>
          <w:sz w:val="20"/>
        </w:rPr>
        <w:t>Proyecto de</w:t>
      </w:r>
      <w:r w:rsidR="00826C44">
        <w:rPr>
          <w:rFonts w:ascii="Cambria" w:hAnsi="Cambria"/>
          <w:b/>
          <w:color w:val="auto"/>
          <w:sz w:val="20"/>
        </w:rPr>
        <w:t xml:space="preserve"> </w:t>
      </w:r>
      <w:r>
        <w:rPr>
          <w:rFonts w:ascii="Cambria" w:hAnsi="Cambria"/>
          <w:color w:val="EE0000"/>
          <w:sz w:val="20"/>
        </w:rPr>
        <w:t>Recomendación</w:t>
      </w:r>
      <w:r w:rsidR="009B1A1F">
        <w:rPr>
          <w:rFonts w:ascii="Cambria" w:hAnsi="Cambria"/>
          <w:color w:val="EE0000"/>
          <w:sz w:val="20"/>
        </w:rPr>
        <w:t xml:space="preserve"> de ICCAT</w:t>
      </w:r>
      <w:r>
        <w:rPr>
          <w:rFonts w:ascii="Cambria" w:hAnsi="Cambria"/>
          <w:color w:val="EE0000"/>
          <w:sz w:val="20"/>
        </w:rPr>
        <w:t xml:space="preserve"> que enmienda la Recomendación </w:t>
      </w:r>
      <w:r w:rsidR="009B1A1F">
        <w:rPr>
          <w:rFonts w:ascii="Cambria" w:hAnsi="Cambria"/>
          <w:color w:val="EE0000"/>
          <w:sz w:val="20"/>
        </w:rPr>
        <w:t>25-04</w:t>
      </w:r>
      <w:r>
        <w:rPr>
          <w:rFonts w:ascii="Cambria" w:hAnsi="Cambria"/>
          <w:color w:val="EE0000"/>
          <w:sz w:val="20"/>
        </w:rPr>
        <w:t xml:space="preserve"> que establece un plan de ordenación plurianual para el atún rojo en el Atlántico este y el Mediterráneo</w:t>
      </w:r>
    </w:p>
    <w:p w14:paraId="140FECCA" w14:textId="0B419D2C" w:rsidR="00615FC7" w:rsidRPr="00654C38" w:rsidRDefault="00615FC7" w:rsidP="0093780B">
      <w:pPr>
        <w:widowControl w:val="0"/>
        <w:autoSpaceDE w:val="0"/>
        <w:autoSpaceDN w:val="0"/>
        <w:spacing w:after="120" w:line="240" w:lineRule="auto"/>
        <w:jc w:val="both"/>
        <w:rPr>
          <w:rFonts w:ascii="Cambria" w:eastAsia="Cambria" w:hAnsi="Cambria" w:cs="Cambria"/>
          <w:color w:val="EE0000"/>
          <w:kern w:val="0"/>
          <w:sz w:val="20"/>
          <w:szCs w:val="20"/>
          <w14:ligatures w14:val="none"/>
        </w:rPr>
      </w:pPr>
      <w:r>
        <w:rPr>
          <w:rFonts w:ascii="Cambria" w:hAnsi="Cambria"/>
          <w:b/>
          <w:color w:val="auto"/>
          <w:sz w:val="20"/>
        </w:rPr>
        <w:t xml:space="preserve">Título de la(s) recomendación(es) o resolución(es) actualmente vigente(s) que aborda(n) la misma cuestión o cuestiones relacionadas: </w:t>
      </w:r>
      <w:r>
        <w:rPr>
          <w:rFonts w:ascii="Cambria" w:hAnsi="Cambria"/>
          <w:i/>
          <w:iCs/>
          <w:color w:val="EE0000"/>
          <w:sz w:val="20"/>
        </w:rPr>
        <w:t xml:space="preserve">Recomendación de ICCAT que reemplaza la Recomendación </w:t>
      </w:r>
      <w:r w:rsidR="006E50B7">
        <w:rPr>
          <w:rFonts w:ascii="Cambria" w:hAnsi="Cambria"/>
          <w:i/>
          <w:iCs/>
          <w:color w:val="EE0000"/>
          <w:sz w:val="20"/>
        </w:rPr>
        <w:t>24-05</w:t>
      </w:r>
      <w:r>
        <w:rPr>
          <w:rFonts w:ascii="Cambria" w:hAnsi="Cambria"/>
          <w:i/>
          <w:iCs/>
          <w:color w:val="EE0000"/>
          <w:sz w:val="20"/>
        </w:rPr>
        <w:t xml:space="preserve"> que establece un plan de ordenación plurianual para el atún rojo en el Atlántico este y el Mediterráneo </w:t>
      </w:r>
      <w:r>
        <w:rPr>
          <w:rFonts w:ascii="Cambria" w:hAnsi="Cambria"/>
          <w:color w:val="EE0000"/>
          <w:sz w:val="20"/>
        </w:rPr>
        <w:t>(Rec. 25-04)</w:t>
      </w:r>
    </w:p>
    <w:p w14:paraId="41FBC4AB" w14:textId="77777777" w:rsidR="00615FC7" w:rsidRPr="009A30B1"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72B4B24E" w14:textId="737246B2"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14:ligatures w14:val="none"/>
        </w:rPr>
      </w:pPr>
      <w:r>
        <w:rPr>
          <w:rFonts w:ascii="Cambria" w:hAnsi="Cambria"/>
          <w:color w:val="auto"/>
          <w:sz w:val="20"/>
        </w:rPr>
        <w:t xml:space="preserve">¿Crea nuevas </w:t>
      </w:r>
      <w:r>
        <w:rPr>
          <w:rFonts w:ascii="Cambria" w:hAnsi="Cambria"/>
          <w:b/>
          <w:bCs/>
          <w:color w:val="auto"/>
          <w:sz w:val="20"/>
        </w:rPr>
        <w:t>obligaciones de comunicación</w:t>
      </w:r>
      <w:r>
        <w:rPr>
          <w:rFonts w:ascii="Cambria" w:hAnsi="Cambria"/>
          <w:color w:val="auto"/>
          <w:sz w:val="20"/>
        </w:rPr>
        <w:t xml:space="preserve"> para las CPC?     Sí </w:t>
      </w:r>
      <w:sdt>
        <w:sdtPr>
          <w:rPr>
            <w:rFonts w:ascii="Cambria" w:eastAsia="Cambria" w:hAnsi="Cambria" w:cs="Cambria"/>
            <w:color w:val="auto"/>
            <w:spacing w:val="-2"/>
            <w:kern w:val="0"/>
            <w:sz w:val="20"/>
            <w:szCs w:val="20"/>
            <w14:ligatures w14:val="none"/>
          </w:rPr>
          <w:id w:val="-1086609996"/>
          <w14:checkbox>
            <w14:checked w14:val="0"/>
            <w14:checkedState w14:val="2612" w14:font="MS Gothic"/>
            <w14:uncheckedState w14:val="2610" w14:font="MS Gothic"/>
          </w14:checkbox>
        </w:sdtPr>
        <w:sdtEnd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Pr>
          <w:rFonts w:ascii="Cambria" w:hAnsi="Cambria"/>
          <w:color w:val="auto"/>
          <w:sz w:val="20"/>
        </w:rPr>
        <w:tab/>
      </w:r>
      <w:r>
        <w:rPr>
          <w:rFonts w:ascii="Cambria" w:hAnsi="Cambria"/>
          <w:color w:val="auto"/>
          <w:sz w:val="20"/>
        </w:rPr>
        <w:tab/>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1408192170"/>
          <w14:checkbox>
            <w14:checked w14:val="1"/>
            <w14:checkedState w14:val="2612" w14:font="MS Gothic"/>
            <w14:uncheckedState w14:val="2610" w14:font="MS Gothic"/>
          </w14:checkbox>
        </w:sdtPr>
        <w:sdtEnd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5E9DBEAE" w14:textId="77777777" w:rsidR="00615FC7" w:rsidRPr="00AB4E05"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14:ligatures w14:val="none"/>
        </w:rPr>
      </w:pPr>
      <w:r>
        <w:rPr>
          <w:rFonts w:ascii="Cambria" w:hAnsi="Cambria"/>
          <w:color w:val="auto"/>
          <w:sz w:val="20"/>
        </w:rPr>
        <w:t>Breve descripción de la(s) nueva(s) obligación(es) de comunicación:</w:t>
      </w:r>
    </w:p>
    <w:p w14:paraId="58C0D252" w14:textId="77777777" w:rsidR="00615FC7" w:rsidRPr="009A30B1"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78516E39" w14:textId="410DA209"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kern w:val="0"/>
          <w:sz w:val="20"/>
          <w:szCs w:val="20"/>
          <w14:ligatures w14:val="none"/>
        </w:rPr>
      </w:pPr>
      <w:r>
        <w:rPr>
          <w:rFonts w:ascii="Cambria" w:hAnsi="Cambria"/>
          <w:color w:val="auto"/>
          <w:sz w:val="20"/>
        </w:rPr>
        <w:t xml:space="preserve">¿Requiere aportaciones o </w:t>
      </w:r>
      <w:r>
        <w:rPr>
          <w:rFonts w:ascii="Cambria" w:hAnsi="Cambria"/>
          <w:b/>
          <w:bCs/>
          <w:color w:val="auto"/>
          <w:sz w:val="20"/>
        </w:rPr>
        <w:t>trabajo</w:t>
      </w:r>
      <w:r>
        <w:rPr>
          <w:rFonts w:ascii="Cambria" w:hAnsi="Cambria"/>
          <w:color w:val="auto"/>
          <w:sz w:val="20"/>
        </w:rPr>
        <w:t xml:space="preserve"> adicional </w:t>
      </w:r>
      <w:r>
        <w:rPr>
          <w:rFonts w:ascii="Cambria" w:hAnsi="Cambria"/>
          <w:b/>
          <w:bCs/>
          <w:color w:val="auto"/>
          <w:sz w:val="20"/>
        </w:rPr>
        <w:t>por parte del SCRS</w:t>
      </w:r>
      <w:r>
        <w:rPr>
          <w:rFonts w:ascii="Cambria" w:hAnsi="Cambria"/>
          <w:color w:val="auto"/>
          <w:sz w:val="20"/>
        </w:rPr>
        <w:t>?    Sí</w:t>
      </w:r>
      <w:sdt>
        <w:sdtPr>
          <w:rPr>
            <w:rFonts w:ascii="Cambria" w:eastAsia="Cambria" w:hAnsi="Cambria" w:cs="Cambria"/>
            <w:color w:val="auto"/>
            <w:spacing w:val="-2"/>
            <w:kern w:val="0"/>
            <w:sz w:val="20"/>
            <w:szCs w:val="20"/>
            <w14:ligatures w14:val="none"/>
          </w:rPr>
          <w:id w:val="747465791"/>
          <w14:checkbox>
            <w14:checked w14:val="0"/>
            <w14:checkedState w14:val="2612" w14:font="MS Gothic"/>
            <w14:uncheckedState w14:val="2610" w14:font="MS Gothic"/>
          </w14:checkbox>
        </w:sdtPr>
        <w:sdtEnd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Pr>
          <w:rFonts w:ascii="Cambria" w:hAnsi="Cambria"/>
          <w:color w:val="auto"/>
          <w:sz w:val="20"/>
        </w:rPr>
        <w:tab/>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702292526"/>
          <w14:checkbox>
            <w14:checked w14:val="1"/>
            <w14:checkedState w14:val="2612" w14:font="MS Gothic"/>
            <w14:uncheckedState w14:val="2610" w14:font="MS Gothic"/>
          </w14:checkbox>
        </w:sdtPr>
        <w:sdtEnd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4E05CC8F"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14:ligatures w14:val="none"/>
        </w:rPr>
      </w:pPr>
      <w:r w:rsidRPr="00CB0050">
        <w:rPr>
          <w:rFonts w:ascii="Cambria" w:hAnsi="Cambria"/>
          <w:color w:val="auto"/>
          <w:sz w:val="20"/>
        </w:rPr>
        <w:t>¿Está este trabajo ya incluido en el Plan de trabajo actual del SCRS?</w:t>
      </w:r>
      <w:r w:rsidRPr="00CB0050">
        <w:rPr>
          <w:rFonts w:ascii="Cambria" w:hAnsi="Cambria"/>
          <w:color w:val="auto"/>
          <w:sz w:val="20"/>
        </w:rPr>
        <w:tab/>
      </w:r>
      <w:r>
        <w:rPr>
          <w:rFonts w:ascii="Cambria" w:hAnsi="Cambria"/>
          <w:color w:val="auto"/>
          <w:sz w:val="20"/>
        </w:rPr>
        <w:t xml:space="preserve"> Sí </w:t>
      </w:r>
      <w:sdt>
        <w:sdtPr>
          <w:rPr>
            <w:rFonts w:ascii="Cambria" w:eastAsia="Cambria" w:hAnsi="Cambria" w:cs="Cambria"/>
            <w:color w:val="auto"/>
            <w:spacing w:val="-2"/>
            <w:kern w:val="0"/>
            <w:sz w:val="20"/>
            <w:szCs w:val="20"/>
            <w14:ligatures w14:val="none"/>
          </w:rPr>
          <w:id w:val="136078257"/>
          <w14:checkbox>
            <w14:checked w14:val="0"/>
            <w14:checkedState w14:val="2612" w14:font="MS Gothic"/>
            <w14:uncheckedState w14:val="2610" w14:font="MS Gothic"/>
          </w14:checkbox>
        </w:sdtPr>
        <w:sdtEndPr/>
        <w:sdtContent>
          <w:r w:rsidRPr="009A30B1">
            <w:rPr>
              <w:rFonts w:ascii="Segoe UI Symbol" w:eastAsia="Cambria" w:hAnsi="Segoe UI Symbol" w:cs="Segoe UI Symbol"/>
              <w:color w:val="auto"/>
              <w:spacing w:val="-2"/>
              <w:kern w:val="0"/>
              <w:sz w:val="20"/>
              <w:szCs w:val="20"/>
              <w:lang w:eastAsia="en-US"/>
              <w14:ligatures w14:val="none"/>
            </w:rPr>
            <w:t>☐</w:t>
          </w:r>
        </w:sdtContent>
      </w:sdt>
      <w:r>
        <w:rPr>
          <w:rFonts w:ascii="Cambria" w:hAnsi="Cambria"/>
          <w:color w:val="auto"/>
          <w:sz w:val="20"/>
        </w:rPr>
        <w:tab/>
      </w:r>
      <w:r>
        <w:rPr>
          <w:rFonts w:ascii="Cambria" w:hAnsi="Cambria"/>
          <w:color w:val="auto"/>
          <w:sz w:val="20"/>
        </w:rPr>
        <w:tab/>
        <w:t xml:space="preserve">No </w:t>
      </w:r>
      <w:sdt>
        <w:sdtPr>
          <w:rPr>
            <w:rFonts w:ascii="Cambria" w:eastAsia="Cambria" w:hAnsi="Cambria" w:cs="Cambria"/>
            <w:color w:val="auto"/>
            <w:spacing w:val="-2"/>
            <w:kern w:val="0"/>
            <w:sz w:val="20"/>
            <w:szCs w:val="20"/>
            <w14:ligatures w14:val="none"/>
          </w:rPr>
          <w:id w:val="2033915651"/>
          <w14:checkbox>
            <w14:checked w14:val="0"/>
            <w14:checkedState w14:val="2612" w14:font="MS Gothic"/>
            <w14:uncheckedState w14:val="2610" w14:font="MS Gothic"/>
          </w14:checkbox>
        </w:sdtPr>
        <w:sdtEndPr/>
        <w:sdtContent>
          <w:r w:rsidRPr="009A30B1">
            <w:rPr>
              <w:rFonts w:ascii="Segoe UI Symbol" w:eastAsia="Cambria" w:hAnsi="Segoe UI Symbol" w:cs="Segoe UI Symbol"/>
              <w:color w:val="auto"/>
              <w:spacing w:val="-2"/>
              <w:kern w:val="0"/>
              <w:sz w:val="20"/>
              <w:szCs w:val="20"/>
              <w:lang w:eastAsia="en-US"/>
              <w14:ligatures w14:val="none"/>
            </w:rPr>
            <w:t>☐</w:t>
          </w:r>
        </w:sdtContent>
      </w:sdt>
    </w:p>
    <w:p w14:paraId="4C1E24DF"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kern w:val="0"/>
          <w:sz w:val="20"/>
          <w:szCs w:val="20"/>
          <w14:ligatures w14:val="none"/>
        </w:rPr>
      </w:pPr>
      <w:r>
        <w:rPr>
          <w:rFonts w:ascii="Cambria" w:hAnsi="Cambria"/>
          <w:color w:val="auto"/>
          <w:sz w:val="20"/>
        </w:rPr>
        <w:t>Breve descripción del nuevo trabajo científico necesario (es decir, evaluación del stock, análisis, consultor externo):</w:t>
      </w:r>
    </w:p>
    <w:p w14:paraId="5C3CC7CF" w14:textId="77777777" w:rsidR="00615FC7" w:rsidRPr="009A30B1"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eastAsia="en-US"/>
          <w14:ligatures w14:val="none"/>
        </w:rPr>
      </w:pPr>
    </w:p>
    <w:p w14:paraId="22CA3D5F" w14:textId="382650AD"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14:ligatures w14:val="none"/>
        </w:rPr>
      </w:pPr>
      <w:r>
        <w:rPr>
          <w:rFonts w:ascii="Cambria" w:hAnsi="Cambria"/>
          <w:color w:val="auto"/>
          <w:sz w:val="20"/>
        </w:rPr>
        <w:t xml:space="preserve">¿Implica la creación de un </w:t>
      </w:r>
      <w:r>
        <w:rPr>
          <w:rFonts w:ascii="Cambria" w:hAnsi="Cambria"/>
          <w:b/>
          <w:bCs/>
          <w:color w:val="auto"/>
          <w:sz w:val="20"/>
        </w:rPr>
        <w:t>nuevo grupo de trabajo o proceso intersesiones</w:t>
      </w:r>
      <w:r>
        <w:rPr>
          <w:rFonts w:ascii="Cambria" w:hAnsi="Cambria"/>
          <w:color w:val="auto"/>
          <w:sz w:val="20"/>
        </w:rPr>
        <w:t xml:space="preserve">?    Sí </w:t>
      </w:r>
      <w:sdt>
        <w:sdtPr>
          <w:rPr>
            <w:rFonts w:ascii="Cambria" w:eastAsia="Cambria" w:hAnsi="Cambria" w:cs="Cambria"/>
            <w:color w:val="auto"/>
            <w:spacing w:val="-2"/>
            <w:kern w:val="0"/>
            <w:sz w:val="20"/>
            <w:szCs w:val="20"/>
            <w14:ligatures w14:val="none"/>
          </w:rPr>
          <w:id w:val="-353107928"/>
          <w14:checkbox>
            <w14:checked w14:val="0"/>
            <w14:checkedState w14:val="2612" w14:font="MS Gothic"/>
            <w14:uncheckedState w14:val="2610" w14:font="MS Gothic"/>
          </w14:checkbox>
        </w:sdtPr>
        <w:sdtEndPr/>
        <w:sdtContent>
          <w:r w:rsidRPr="00AB4E05">
            <w:rPr>
              <w:rFonts w:ascii="Segoe UI Symbol" w:eastAsia="Cambria" w:hAnsi="Segoe UI Symbol" w:cs="Segoe UI Symbol"/>
              <w:color w:val="auto"/>
              <w:spacing w:val="-2"/>
              <w:kern w:val="0"/>
              <w:sz w:val="20"/>
              <w:szCs w:val="20"/>
              <w:lang w:val="en-US" w:eastAsia="en-US"/>
              <w14:ligatures w14:val="none"/>
            </w:rPr>
            <w:t>☐</w:t>
          </w:r>
        </w:sdtContent>
      </w:sdt>
      <w:r>
        <w:rPr>
          <w:rFonts w:ascii="Cambria" w:hAnsi="Cambria"/>
          <w:color w:val="auto"/>
          <w:sz w:val="20"/>
        </w:rPr>
        <w:t xml:space="preserve">       </w:t>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1341926493"/>
          <w14:checkbox>
            <w14:checked w14:val="1"/>
            <w14:checkedState w14:val="2612" w14:font="MS Gothic"/>
            <w14:uncheckedState w14:val="2610" w14:font="MS Gothic"/>
          </w14:checkbox>
        </w:sdtPr>
        <w:sdtEndPr/>
        <w:sdtContent>
          <w:r w:rsidR="00A55C4E" w:rsidRPr="0081358E">
            <w:rPr>
              <w:rFonts w:ascii="Segoe UI Symbol" w:eastAsia="MS Gothic" w:hAnsi="Segoe UI Symbol" w:cs="Segoe UI Symbol"/>
              <w:color w:val="EE0000"/>
              <w:spacing w:val="-2"/>
              <w:kern w:val="0"/>
              <w:sz w:val="20"/>
              <w:szCs w:val="20"/>
              <w:lang w:val="en-US" w:eastAsia="en-US"/>
              <w14:ligatures w14:val="none"/>
            </w:rPr>
            <w:t>☒</w:t>
          </w:r>
        </w:sdtContent>
      </w:sdt>
    </w:p>
    <w:p w14:paraId="1A05A885" w14:textId="77777777" w:rsidR="00615FC7" w:rsidRPr="00AB4E05" w:rsidRDefault="00615FC7" w:rsidP="0093780B">
      <w:pPr>
        <w:widowControl w:val="0"/>
        <w:autoSpaceDE w:val="0"/>
        <w:autoSpaceDN w:val="0"/>
        <w:spacing w:after="120" w:line="240" w:lineRule="auto"/>
        <w:ind w:left="318"/>
        <w:jc w:val="both"/>
        <w:rPr>
          <w:rFonts w:ascii="Cambria" w:eastAsia="Cambria" w:hAnsi="Cambria" w:cs="Cambria"/>
          <w:color w:val="auto"/>
          <w:kern w:val="0"/>
          <w:sz w:val="20"/>
          <w:szCs w:val="20"/>
          <w:lang w:val="en-US" w:eastAsia="en-US"/>
          <w14:ligatures w14:val="none"/>
        </w:rPr>
      </w:pPr>
    </w:p>
    <w:p w14:paraId="661EB21B" w14:textId="77777777"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kern w:val="0"/>
          <w:sz w:val="20"/>
          <w:szCs w:val="20"/>
          <w14:ligatures w14:val="none"/>
        </w:rPr>
      </w:pPr>
      <w:r>
        <w:rPr>
          <w:rFonts w:ascii="Cambria" w:hAnsi="Cambria"/>
          <w:color w:val="auto"/>
          <w:sz w:val="20"/>
        </w:rPr>
        <w:t>¿Requiere un nuevo</w:t>
      </w:r>
      <w:r>
        <w:rPr>
          <w:rFonts w:ascii="Cambria" w:hAnsi="Cambria"/>
          <w:b/>
          <w:bCs/>
          <w:color w:val="auto"/>
          <w:sz w:val="20"/>
        </w:rPr>
        <w:t xml:space="preserve"> programa o actividades adicionales que deba gestionar la Secretaría</w:t>
      </w:r>
      <w:r>
        <w:rPr>
          <w:rFonts w:ascii="Cambria" w:hAnsi="Cambria"/>
          <w:color w:val="auto"/>
          <w:sz w:val="20"/>
        </w:rPr>
        <w:t xml:space="preserve">?  </w:t>
      </w:r>
    </w:p>
    <w:p w14:paraId="1D3FA620" w14:textId="3D158F42" w:rsidR="00615FC7" w:rsidRPr="00AB4E05" w:rsidRDefault="00615FC7" w:rsidP="0093780B">
      <w:pPr>
        <w:widowControl w:val="0"/>
        <w:autoSpaceDE w:val="0"/>
        <w:autoSpaceDN w:val="0"/>
        <w:spacing w:after="120" w:line="240" w:lineRule="auto"/>
        <w:ind w:left="426"/>
        <w:jc w:val="both"/>
        <w:rPr>
          <w:rFonts w:ascii="Cambria" w:eastAsia="Cambria" w:hAnsi="Cambria" w:cs="Cambria"/>
          <w:color w:val="auto"/>
          <w:kern w:val="0"/>
          <w:sz w:val="20"/>
          <w:szCs w:val="20"/>
          <w14:ligatures w14:val="none"/>
        </w:rPr>
      </w:pPr>
      <w:r w:rsidRPr="009A30B1">
        <w:rPr>
          <w:rFonts w:ascii="Cambria" w:hAnsi="Cambria"/>
        </w:rPr>
        <w:t>Sí</w:t>
      </w:r>
      <w:sdt>
        <w:sdtPr>
          <w:rPr>
            <w:rFonts w:ascii="Cambria" w:eastAsia="Cambria" w:hAnsi="Cambria" w:cs="Cambria"/>
            <w:color w:val="auto"/>
            <w:spacing w:val="-2"/>
            <w:kern w:val="0"/>
            <w:sz w:val="20"/>
            <w:szCs w:val="20"/>
            <w14:ligatures w14:val="none"/>
          </w:rPr>
          <w:id w:val="-691526193"/>
          <w14:checkbox>
            <w14:checked w14:val="0"/>
            <w14:checkedState w14:val="2612" w14:font="MS Gothic"/>
            <w14:uncheckedState w14:val="2610" w14:font="MS Gothic"/>
          </w14:checkbox>
        </w:sdtPr>
        <w:sdtEndPr/>
        <w:sdtContent>
          <w:r w:rsidRPr="009A30B1">
            <w:rPr>
              <w:rFonts w:ascii="Segoe UI Symbol" w:eastAsia="Cambria" w:hAnsi="Segoe UI Symbol" w:cs="Segoe UI Symbol"/>
              <w:color w:val="auto"/>
              <w:spacing w:val="-2"/>
              <w:kern w:val="0"/>
              <w:sz w:val="20"/>
              <w:szCs w:val="20"/>
              <w:lang w:eastAsia="en-US"/>
              <w14:ligatures w14:val="none"/>
            </w:rPr>
            <w:t>☐</w:t>
          </w:r>
        </w:sdtContent>
      </w:sdt>
      <w:r>
        <w:rPr>
          <w:rFonts w:ascii="Cambria" w:hAnsi="Cambria"/>
          <w:color w:val="auto"/>
          <w:sz w:val="20"/>
        </w:rPr>
        <w:t xml:space="preserve">      </w:t>
      </w:r>
      <w:r>
        <w:rPr>
          <w:rFonts w:ascii="Cambria" w:hAnsi="Cambria"/>
          <w:color w:val="EE0000"/>
          <w:sz w:val="20"/>
        </w:rPr>
        <w:t xml:space="preserve">No </w:t>
      </w:r>
      <w:sdt>
        <w:sdtPr>
          <w:rPr>
            <w:rFonts w:ascii="Cambria" w:eastAsia="Cambria" w:hAnsi="Cambria" w:cs="Cambria"/>
            <w:color w:val="EE0000"/>
            <w:spacing w:val="-2"/>
            <w:kern w:val="0"/>
            <w:sz w:val="20"/>
            <w:szCs w:val="20"/>
            <w14:ligatures w14:val="none"/>
          </w:rPr>
          <w:id w:val="259880482"/>
          <w14:checkbox>
            <w14:checked w14:val="1"/>
            <w14:checkedState w14:val="2612" w14:font="MS Gothic"/>
            <w14:uncheckedState w14:val="2610" w14:font="MS Gothic"/>
          </w14:checkbox>
        </w:sdtPr>
        <w:sdtEndPr/>
        <w:sdtContent>
          <w:r w:rsidR="00A55C4E" w:rsidRPr="009A30B1">
            <w:rPr>
              <w:rFonts w:ascii="Segoe UI Symbol" w:eastAsia="MS Gothic" w:hAnsi="Segoe UI Symbol" w:cs="Segoe UI Symbol"/>
              <w:color w:val="EE0000"/>
              <w:spacing w:val="-2"/>
              <w:kern w:val="0"/>
              <w:sz w:val="20"/>
              <w:szCs w:val="20"/>
              <w:lang w:eastAsia="en-US"/>
              <w14:ligatures w14:val="none"/>
            </w:rPr>
            <w:t>☒</w:t>
          </w:r>
        </w:sdtContent>
      </w:sdt>
    </w:p>
    <w:p w14:paraId="5C4AFC63" w14:textId="77777777" w:rsidR="00615FC7" w:rsidRPr="00AB4E05" w:rsidRDefault="00615FC7" w:rsidP="0093780B">
      <w:pPr>
        <w:widowControl w:val="0"/>
        <w:autoSpaceDE w:val="0"/>
        <w:autoSpaceDN w:val="0"/>
        <w:spacing w:after="120" w:line="240" w:lineRule="auto"/>
        <w:ind w:left="360" w:firstLine="66"/>
        <w:jc w:val="both"/>
        <w:rPr>
          <w:rFonts w:ascii="Cambria" w:eastAsia="Cambria" w:hAnsi="Cambria" w:cs="Cambria"/>
          <w:color w:val="auto"/>
          <w:spacing w:val="-2"/>
          <w:kern w:val="0"/>
          <w:sz w:val="20"/>
          <w:szCs w:val="20"/>
          <w14:ligatures w14:val="none"/>
        </w:rPr>
      </w:pPr>
      <w:r>
        <w:rPr>
          <w:rFonts w:ascii="Cambria" w:hAnsi="Cambria"/>
          <w:color w:val="auto"/>
          <w:sz w:val="20"/>
        </w:rPr>
        <w:t>Breve descripción del nuevo trabajo necesario de la Secretaría:</w:t>
      </w:r>
    </w:p>
    <w:p w14:paraId="2525BA86" w14:textId="77777777" w:rsidR="00615FC7" w:rsidRPr="009A30B1"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eastAsia="en-US"/>
          <w14:ligatures w14:val="none"/>
        </w:rPr>
      </w:pPr>
    </w:p>
    <w:p w14:paraId="337178A7" w14:textId="34F26916" w:rsidR="00615FC7" w:rsidRPr="0081358E"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EE0000"/>
          <w:spacing w:val="-2"/>
          <w:kern w:val="0"/>
          <w:sz w:val="20"/>
          <w:szCs w:val="20"/>
          <w14:ligatures w14:val="none"/>
        </w:rPr>
      </w:pPr>
      <w:r>
        <w:rPr>
          <w:rFonts w:ascii="Cambria" w:hAnsi="Cambria"/>
          <w:color w:val="auto"/>
          <w:sz w:val="20"/>
        </w:rPr>
        <w:t xml:space="preserve">¿Cuál es el calendario propuesto para la implementación? ¿Existen distintos calendarios específicos para </w:t>
      </w:r>
      <w:proofErr w:type="gramStart"/>
      <w:r>
        <w:rPr>
          <w:rFonts w:ascii="Cambria" w:hAnsi="Cambria"/>
          <w:color w:val="auto"/>
          <w:sz w:val="20"/>
        </w:rPr>
        <w:t>determinadas CPC</w:t>
      </w:r>
      <w:proofErr w:type="gramEnd"/>
      <w:r>
        <w:rPr>
          <w:rFonts w:ascii="Cambria" w:hAnsi="Cambria"/>
          <w:color w:val="auto"/>
          <w:sz w:val="20"/>
        </w:rPr>
        <w:t xml:space="preserve">, pesquerías, regiones, etc.? </w:t>
      </w:r>
      <w:r>
        <w:rPr>
          <w:rFonts w:ascii="Cambria" w:hAnsi="Cambria"/>
          <w:color w:val="EE0000"/>
          <w:sz w:val="20"/>
        </w:rPr>
        <w:t>Tan pronto como la medida entre en vigor.</w:t>
      </w:r>
    </w:p>
    <w:p w14:paraId="472E37C8" w14:textId="77777777" w:rsidR="00615FC7" w:rsidRPr="00AB4E05" w:rsidRDefault="00615FC7" w:rsidP="0093780B">
      <w:pPr>
        <w:widowControl w:val="0"/>
        <w:autoSpaceDE w:val="0"/>
        <w:autoSpaceDN w:val="0"/>
        <w:spacing w:after="120" w:line="240" w:lineRule="auto"/>
        <w:jc w:val="both"/>
        <w:rPr>
          <w:rFonts w:ascii="Cambria" w:eastAsia="Cambria" w:hAnsi="Cambria" w:cs="Cambria"/>
          <w:color w:val="auto"/>
          <w:spacing w:val="-2"/>
          <w:kern w:val="0"/>
          <w:sz w:val="20"/>
          <w:szCs w:val="20"/>
          <w:lang w:val="en-US" w:eastAsia="en-US"/>
          <w14:ligatures w14:val="none"/>
        </w:rPr>
      </w:pPr>
    </w:p>
    <w:p w14:paraId="531EC0E8" w14:textId="2BA2AAE6" w:rsidR="00615FC7" w:rsidRPr="00AB4E05" w:rsidRDefault="00615FC7" w:rsidP="0093780B">
      <w:pPr>
        <w:widowControl w:val="0"/>
        <w:numPr>
          <w:ilvl w:val="0"/>
          <w:numId w:val="10"/>
        </w:numPr>
        <w:autoSpaceDE w:val="0"/>
        <w:autoSpaceDN w:val="0"/>
        <w:spacing w:after="120" w:line="240" w:lineRule="auto"/>
        <w:ind w:left="426" w:hanging="426"/>
        <w:jc w:val="both"/>
        <w:rPr>
          <w:rFonts w:ascii="Cambria" w:eastAsia="Cambria" w:hAnsi="Cambria" w:cs="Cambria"/>
          <w:color w:val="auto"/>
          <w:spacing w:val="-2"/>
          <w:kern w:val="0"/>
          <w:sz w:val="20"/>
          <w:szCs w:val="20"/>
          <w14:ligatures w14:val="none"/>
        </w:rPr>
      </w:pPr>
      <w:r>
        <w:rPr>
          <w:rFonts w:ascii="Cambria" w:hAnsi="Cambria"/>
          <w:color w:val="auto"/>
          <w:sz w:val="20"/>
        </w:rPr>
        <w:t xml:space="preserve">¿Hay alguna otra información pertinente sobre las repercusiones de la propuesta en lo referente a los recursos y a la carga de trabajo? </w:t>
      </w:r>
    </w:p>
    <w:p w14:paraId="5DDB6889" w14:textId="55B50CC7" w:rsidR="00175291" w:rsidRDefault="00175291">
      <w:pPr>
        <w:spacing w:line="278" w:lineRule="auto"/>
        <w:rPr>
          <w:rFonts w:ascii="Cambria" w:eastAsia="Cambria" w:hAnsi="Cambria" w:cs="Cambria"/>
          <w:color w:val="auto"/>
          <w:spacing w:val="-2"/>
          <w:kern w:val="0"/>
          <w:szCs w:val="22"/>
          <w14:ligatures w14:val="none"/>
        </w:rPr>
      </w:pPr>
      <w:r>
        <w:br w:type="page"/>
      </w:r>
    </w:p>
    <w:p w14:paraId="21320CF7" w14:textId="3429E25D" w:rsidR="0077043F" w:rsidRDefault="0077043F" w:rsidP="0077043F">
      <w:pPr>
        <w:widowControl w:val="0"/>
        <w:autoSpaceDE w:val="0"/>
        <w:autoSpaceDN w:val="0"/>
        <w:spacing w:after="0" w:line="240" w:lineRule="auto"/>
        <w:jc w:val="right"/>
        <w:rPr>
          <w:rFonts w:ascii="Cambria" w:eastAsia="Cambria" w:hAnsi="Cambria" w:cs="Cambria"/>
          <w:b/>
          <w:bCs/>
          <w:color w:val="auto"/>
          <w:spacing w:val="-2"/>
          <w:kern w:val="0"/>
          <w:sz w:val="20"/>
          <w:szCs w:val="20"/>
          <w14:ligatures w14:val="none"/>
        </w:rPr>
      </w:pPr>
      <w:r>
        <w:rPr>
          <w:rFonts w:ascii="Cambria" w:hAnsi="Cambria"/>
          <w:b/>
          <w:color w:val="auto"/>
          <w:sz w:val="20"/>
        </w:rPr>
        <w:lastRenderedPageBreak/>
        <w:t>Original: inglés</w:t>
      </w:r>
    </w:p>
    <w:p w14:paraId="55FF7835" w14:textId="77777777" w:rsidR="0077043F" w:rsidRPr="009A30B1" w:rsidRDefault="0077043F"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123C0CDE" w14:textId="4F2E2854" w:rsidR="002F267D" w:rsidRPr="002F267D" w:rsidRDefault="002F267D" w:rsidP="00272687">
      <w:pPr>
        <w:widowControl w:val="0"/>
        <w:autoSpaceDE w:val="0"/>
        <w:autoSpaceDN w:val="0"/>
        <w:spacing w:after="0" w:line="240" w:lineRule="auto"/>
        <w:jc w:val="center"/>
        <w:rPr>
          <w:rFonts w:ascii="Cambria" w:eastAsia="Cambria" w:hAnsi="Cambria" w:cs="Cambria"/>
          <w:b/>
          <w:bCs/>
          <w:color w:val="auto"/>
          <w:spacing w:val="-2"/>
          <w:kern w:val="0"/>
          <w:sz w:val="20"/>
          <w:szCs w:val="20"/>
          <w14:ligatures w14:val="none"/>
        </w:rPr>
      </w:pPr>
      <w:r>
        <w:rPr>
          <w:rFonts w:ascii="Cambria" w:hAnsi="Cambria"/>
          <w:b/>
          <w:color w:val="auto"/>
          <w:sz w:val="20"/>
        </w:rPr>
        <w:t xml:space="preserve">Nota explicativa sobre la propuesta </w:t>
      </w:r>
      <w:r w:rsidR="006672F1">
        <w:rPr>
          <w:rFonts w:ascii="Cambria" w:hAnsi="Cambria"/>
          <w:b/>
          <w:color w:val="auto"/>
          <w:sz w:val="20"/>
        </w:rPr>
        <w:t>de la Unión Europea</w:t>
      </w:r>
      <w:r w:rsidR="006672F1">
        <w:rPr>
          <w:rFonts w:ascii="Cambria" w:hAnsi="Cambria"/>
          <w:b/>
          <w:color w:val="auto"/>
          <w:sz w:val="20"/>
        </w:rPr>
        <w:t xml:space="preserve"> </w:t>
      </w:r>
      <w:r>
        <w:rPr>
          <w:rFonts w:ascii="Cambria" w:hAnsi="Cambria"/>
          <w:b/>
          <w:color w:val="auto"/>
          <w:sz w:val="20"/>
        </w:rPr>
        <w:t>de</w:t>
      </w:r>
      <w:r w:rsidR="006672F1">
        <w:rPr>
          <w:rFonts w:ascii="Cambria" w:hAnsi="Cambria"/>
          <w:b/>
          <w:color w:val="auto"/>
          <w:sz w:val="20"/>
        </w:rPr>
        <w:br/>
      </w:r>
      <w:r>
        <w:rPr>
          <w:rFonts w:ascii="Cambria" w:hAnsi="Cambria"/>
          <w:b/>
          <w:color w:val="auto"/>
          <w:sz w:val="20"/>
        </w:rPr>
        <w:t>enmiendas a la Recomendación 25-04</w:t>
      </w:r>
    </w:p>
    <w:p w14:paraId="726002E9" w14:textId="77777777" w:rsidR="00272687" w:rsidRPr="00272687" w:rsidRDefault="00272687" w:rsidP="00272687">
      <w:pPr>
        <w:widowControl w:val="0"/>
        <w:autoSpaceDE w:val="0"/>
        <w:autoSpaceDN w:val="0"/>
        <w:spacing w:after="0" w:line="240" w:lineRule="auto"/>
        <w:jc w:val="center"/>
        <w:rPr>
          <w:rFonts w:ascii="Cambria" w:eastAsia="Cambria" w:hAnsi="Cambria" w:cs="Cambria"/>
          <w:i/>
          <w:iCs/>
          <w:color w:val="auto"/>
          <w:kern w:val="0"/>
          <w:sz w:val="20"/>
          <w:szCs w:val="20"/>
          <w14:ligatures w14:val="none"/>
        </w:rPr>
      </w:pPr>
      <w:r>
        <w:rPr>
          <w:rFonts w:ascii="Cambria" w:hAnsi="Cambria"/>
          <w:i/>
          <w:color w:val="auto"/>
          <w:sz w:val="20"/>
        </w:rPr>
        <w:t>(documento presentado por la Unión Europea)</w:t>
      </w:r>
    </w:p>
    <w:p w14:paraId="24C6546D" w14:textId="77777777" w:rsidR="002F267D" w:rsidRPr="009A30B1" w:rsidRDefault="002F267D"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267989ED" w14:textId="77777777" w:rsidR="003B341A" w:rsidRPr="009A30B1" w:rsidRDefault="003B341A" w:rsidP="002F267D">
      <w:pPr>
        <w:widowControl w:val="0"/>
        <w:autoSpaceDE w:val="0"/>
        <w:autoSpaceDN w:val="0"/>
        <w:spacing w:after="0" w:line="240" w:lineRule="auto"/>
        <w:rPr>
          <w:rFonts w:ascii="Cambria" w:eastAsia="Cambria" w:hAnsi="Cambria" w:cs="Cambria"/>
          <w:b/>
          <w:bCs/>
          <w:color w:val="auto"/>
          <w:spacing w:val="-2"/>
          <w:kern w:val="0"/>
          <w:sz w:val="20"/>
          <w:szCs w:val="20"/>
          <w:lang w:eastAsia="en-US"/>
          <w14:ligatures w14:val="none"/>
        </w:rPr>
      </w:pPr>
    </w:p>
    <w:p w14:paraId="67A1A0C7" w14:textId="6A21D672" w:rsidR="002F267D" w:rsidRPr="002F267D" w:rsidRDefault="002F267D" w:rsidP="002F267D">
      <w:pPr>
        <w:spacing w:after="0" w:line="240" w:lineRule="auto"/>
        <w:jc w:val="both"/>
        <w:rPr>
          <w:rFonts w:ascii="Cambria" w:eastAsia="MS Gothic" w:hAnsi="Cambria" w:cs="Times New Roman"/>
          <w:color w:val="auto"/>
          <w:sz w:val="20"/>
          <w:szCs w:val="20"/>
        </w:rPr>
      </w:pPr>
      <w:r>
        <w:rPr>
          <w:rFonts w:ascii="Cambria" w:hAnsi="Cambria"/>
          <w:color w:val="auto"/>
          <w:sz w:val="20"/>
        </w:rPr>
        <w:t>Tras el fructífero debate mantenido en la 19</w:t>
      </w:r>
      <w:r w:rsidR="00E52AB1">
        <w:rPr>
          <w:rFonts w:ascii="Cambria" w:hAnsi="Cambria"/>
          <w:color w:val="auto"/>
          <w:sz w:val="20"/>
        </w:rPr>
        <w:t>.</w:t>
      </w:r>
      <w:r w:rsidR="00E52AB1" w:rsidRPr="00E52AB1">
        <w:rPr>
          <w:rFonts w:ascii="Cambria" w:hAnsi="Cambria"/>
          <w:color w:val="auto"/>
          <w:sz w:val="20"/>
          <w:vertAlign w:val="superscript"/>
        </w:rPr>
        <w:t>a</w:t>
      </w:r>
      <w:r>
        <w:rPr>
          <w:rFonts w:ascii="Cambria" w:hAnsi="Cambria"/>
          <w:color w:val="auto"/>
          <w:sz w:val="20"/>
        </w:rPr>
        <w:t xml:space="preserve"> reunión del Grupo de trabajo sobre medidas de seguimiento integradas (IMM), la Unión Europea (UE) desea presentar modificaciones a la Recomendación 25-04.</w:t>
      </w:r>
    </w:p>
    <w:p w14:paraId="3EA1E190" w14:textId="1B80B91D" w:rsidR="002F267D" w:rsidRDefault="002F267D" w:rsidP="002F267D">
      <w:pPr>
        <w:spacing w:after="0" w:line="240" w:lineRule="auto"/>
        <w:jc w:val="both"/>
        <w:rPr>
          <w:rFonts w:ascii="Cambria" w:eastAsia="MS Gothic" w:hAnsi="Cambria" w:cs="Times New Roman"/>
          <w:color w:val="auto"/>
          <w:sz w:val="20"/>
          <w:szCs w:val="20"/>
          <w:lang w:eastAsia="en-US"/>
        </w:rPr>
      </w:pPr>
    </w:p>
    <w:p w14:paraId="295DCA5A" w14:textId="4741691E" w:rsidR="00D65594" w:rsidRDefault="00D65594" w:rsidP="00D65594">
      <w:pPr>
        <w:spacing w:after="0" w:line="240" w:lineRule="auto"/>
        <w:jc w:val="both"/>
        <w:rPr>
          <w:rFonts w:ascii="Cambria" w:eastAsia="MS Gothic" w:hAnsi="Cambria" w:cs="Times New Roman"/>
          <w:color w:val="auto"/>
          <w:sz w:val="20"/>
          <w:szCs w:val="20"/>
        </w:rPr>
      </w:pPr>
      <w:r>
        <w:rPr>
          <w:rFonts w:ascii="Cambria" w:hAnsi="Cambria"/>
          <w:color w:val="auto"/>
          <w:sz w:val="20"/>
        </w:rPr>
        <w:t>La presente propuesta introduce aclaraciones específicas y ajustes técnicos a la Recomendación 25</w:t>
      </w:r>
      <w:r>
        <w:rPr>
          <w:rFonts w:ascii="Cambria" w:hAnsi="Cambria"/>
          <w:color w:val="auto"/>
          <w:sz w:val="20"/>
        </w:rPr>
        <w:noBreakHyphen/>
        <w:t xml:space="preserve">04 de ICCAT con el fin de mejorar la seguridad jurídica, la coherencia y la aplicabilidad. Las modificaciones tienen por objeto adaptar las definiciones a la práctica operativa, eliminar contradicciones y ambigüedades, y garantizar que las normas de control y comunicación de datos puedan aplicarse de manera eficaz en condiciones reales, tanto en el mar como en las granjas. </w:t>
      </w:r>
    </w:p>
    <w:p w14:paraId="29D4DC4A" w14:textId="77777777" w:rsidR="0048727C" w:rsidRDefault="0048727C" w:rsidP="00D65594">
      <w:pPr>
        <w:spacing w:after="0" w:line="240" w:lineRule="auto"/>
        <w:jc w:val="both"/>
        <w:rPr>
          <w:rFonts w:ascii="Cambria" w:eastAsia="MS Gothic" w:hAnsi="Cambria" w:cs="Times New Roman"/>
          <w:color w:val="auto"/>
          <w:sz w:val="20"/>
          <w:szCs w:val="20"/>
          <w:lang w:eastAsia="en-US"/>
        </w:rPr>
      </w:pPr>
    </w:p>
    <w:p w14:paraId="1EBD6849" w14:textId="58BD55BA" w:rsidR="0048727C" w:rsidRPr="00D65594" w:rsidRDefault="0048727C" w:rsidP="00D65594">
      <w:pPr>
        <w:spacing w:after="0" w:line="240" w:lineRule="auto"/>
        <w:jc w:val="both"/>
        <w:rPr>
          <w:rFonts w:ascii="Cambria" w:eastAsia="MS Gothic" w:hAnsi="Cambria" w:cs="Times New Roman"/>
          <w:color w:val="auto"/>
          <w:sz w:val="20"/>
          <w:szCs w:val="20"/>
        </w:rPr>
      </w:pPr>
      <w:r>
        <w:rPr>
          <w:rFonts w:ascii="Cambria" w:hAnsi="Cambria"/>
          <w:color w:val="auto"/>
          <w:sz w:val="20"/>
        </w:rPr>
        <w:t>En la tabla siguiente se ofrece una explicación de cada modificación.</w:t>
      </w:r>
    </w:p>
    <w:p w14:paraId="222DE4ED" w14:textId="77777777" w:rsidR="002F267D" w:rsidRPr="002F267D" w:rsidRDefault="002F267D" w:rsidP="002F267D">
      <w:pPr>
        <w:spacing w:after="0" w:line="240" w:lineRule="auto"/>
        <w:jc w:val="both"/>
        <w:rPr>
          <w:rFonts w:ascii="Cambria" w:eastAsia="MS Gothic" w:hAnsi="Cambria" w:cs="Times New Roman"/>
          <w:color w:val="auto"/>
          <w:sz w:val="20"/>
          <w:szCs w:val="20"/>
          <w:lang w:eastAsia="en-US"/>
        </w:rPr>
      </w:pPr>
    </w:p>
    <w:p w14:paraId="1DB7FF5E" w14:textId="77777777" w:rsidR="00615FC7" w:rsidRPr="002F267D" w:rsidRDefault="00615FC7" w:rsidP="002F267D">
      <w:pPr>
        <w:widowControl w:val="0"/>
        <w:autoSpaceDE w:val="0"/>
        <w:autoSpaceDN w:val="0"/>
        <w:spacing w:after="120" w:line="240" w:lineRule="auto"/>
        <w:jc w:val="both"/>
        <w:rPr>
          <w:rFonts w:ascii="Cambria" w:eastAsia="Cambria" w:hAnsi="Cambria" w:cs="Cambria"/>
          <w:color w:val="auto"/>
          <w:spacing w:val="-2"/>
          <w:kern w:val="0"/>
          <w:szCs w:val="22"/>
          <w:lang w:eastAsia="en-US"/>
          <w14:ligatures w14:val="none"/>
        </w:rPr>
      </w:pPr>
    </w:p>
    <w:p w14:paraId="53154133" w14:textId="77777777" w:rsidR="00496CE9" w:rsidRPr="005949DA" w:rsidRDefault="00496CE9" w:rsidP="0093780B">
      <w:pPr>
        <w:spacing w:after="120" w:line="240" w:lineRule="auto"/>
        <w:jc w:val="both"/>
        <w:rPr>
          <w:rFonts w:ascii="Cambria" w:hAnsi="Cambria"/>
          <w:szCs w:val="22"/>
        </w:rPr>
      </w:pPr>
    </w:p>
    <w:p w14:paraId="7F386860" w14:textId="77777777" w:rsidR="00496CE9" w:rsidRPr="005949DA" w:rsidRDefault="00496CE9" w:rsidP="0093780B">
      <w:pPr>
        <w:spacing w:after="120" w:line="240" w:lineRule="auto"/>
        <w:jc w:val="both"/>
        <w:rPr>
          <w:rFonts w:ascii="Cambria" w:eastAsia="Cambria" w:hAnsi="Cambria" w:cs="Cambria"/>
          <w:b/>
          <w:iCs/>
          <w:szCs w:val="22"/>
        </w:rPr>
        <w:sectPr w:rsidR="00496CE9" w:rsidRPr="005949DA" w:rsidSect="00496CE9">
          <w:headerReference w:type="even" r:id="rId11"/>
          <w:headerReference w:type="default" r:id="rId12"/>
          <w:footerReference w:type="even" r:id="rId13"/>
          <w:footerReference w:type="default" r:id="rId14"/>
          <w:headerReference w:type="first" r:id="rId15"/>
          <w:footerReference w:type="first" r:id="rId16"/>
          <w:pgSz w:w="11906" w:h="16838" w:code="9"/>
          <w:pgMar w:top="1418" w:right="1418" w:bottom="1418" w:left="1418" w:header="851" w:footer="1134" w:gutter="0"/>
          <w:cols w:space="720"/>
          <w:docGrid w:linePitch="299"/>
        </w:sectPr>
      </w:pPr>
    </w:p>
    <w:p w14:paraId="686F6365" w14:textId="1655CCD5" w:rsidR="0007784D" w:rsidRPr="00D865F8" w:rsidRDefault="0007784D" w:rsidP="0007784D">
      <w:pPr>
        <w:spacing w:after="0" w:line="240" w:lineRule="auto"/>
        <w:jc w:val="right"/>
        <w:rPr>
          <w:rFonts w:ascii="Cambria" w:hAnsi="Cambria"/>
          <w:b/>
          <w:bCs/>
          <w:color w:val="auto"/>
          <w:sz w:val="20"/>
        </w:rPr>
      </w:pPr>
      <w:r w:rsidRPr="00D865F8">
        <w:rPr>
          <w:rFonts w:ascii="Cambria" w:hAnsi="Cambria"/>
          <w:b/>
          <w:bCs/>
          <w:color w:val="auto"/>
          <w:sz w:val="20"/>
        </w:rPr>
        <w:lastRenderedPageBreak/>
        <w:t>Original: inglés</w:t>
      </w:r>
    </w:p>
    <w:p w14:paraId="0D056E32" w14:textId="1D58E2D4" w:rsidR="00A45938" w:rsidRPr="00872B2A" w:rsidRDefault="0007784D" w:rsidP="00A54EE0">
      <w:pPr>
        <w:spacing w:after="0" w:line="240" w:lineRule="auto"/>
        <w:jc w:val="center"/>
        <w:rPr>
          <w:rFonts w:ascii="Cambria" w:eastAsia="Cambria" w:hAnsi="Cambria" w:cs="Cambria"/>
          <w:b/>
          <w:bCs/>
          <w:iCs/>
          <w:sz w:val="20"/>
          <w:szCs w:val="20"/>
        </w:rPr>
      </w:pPr>
      <w:r w:rsidRPr="00D865F8">
        <w:rPr>
          <w:rFonts w:ascii="Cambria" w:hAnsi="Cambria"/>
          <w:b/>
          <w:bCs/>
          <w:color w:val="auto"/>
          <w:sz w:val="20"/>
        </w:rPr>
        <w:t>Proyecto de Recomendación de ICCAT que enmienda la Recomendación 25-04 que establece un plan de ordenación plurianual para el atún rojo en el Atlántico este y el Mediterráneo</w:t>
      </w:r>
      <w:r w:rsidRPr="00D865F8">
        <w:rPr>
          <w:rFonts w:ascii="Cambria" w:hAnsi="Cambria"/>
          <w:b/>
          <w:bCs/>
          <w:color w:val="auto"/>
          <w:sz w:val="20"/>
        </w:rPr>
        <w:t xml:space="preserve"> -</w:t>
      </w:r>
      <w:r w:rsidRPr="00D865F8">
        <w:rPr>
          <w:rFonts w:ascii="Cambria" w:hAnsi="Cambria"/>
          <w:color w:val="auto"/>
          <w:sz w:val="20"/>
        </w:rPr>
        <w:t xml:space="preserve"> </w:t>
      </w:r>
      <w:r w:rsidR="002278AD" w:rsidRPr="00872B2A">
        <w:rPr>
          <w:rFonts w:ascii="Cambria" w:hAnsi="Cambria"/>
          <w:b/>
          <w:sz w:val="20"/>
          <w:szCs w:val="20"/>
        </w:rPr>
        <w:t xml:space="preserve">Propuesta de enmiendas a la </w:t>
      </w:r>
      <w:r w:rsidR="006E55E0" w:rsidRPr="00872B2A">
        <w:rPr>
          <w:rFonts w:ascii="Cambria" w:hAnsi="Cambria"/>
          <w:b/>
          <w:bCs/>
          <w:sz w:val="20"/>
          <w:szCs w:val="20"/>
        </w:rPr>
        <w:t>Rec. 25-04</w:t>
      </w:r>
    </w:p>
    <w:p w14:paraId="40E0F1BB" w14:textId="1301D3B1" w:rsidR="00A45938" w:rsidRPr="009A30B1" w:rsidRDefault="002278AD" w:rsidP="00A54EE0">
      <w:pPr>
        <w:spacing w:after="0" w:line="240" w:lineRule="auto"/>
        <w:jc w:val="center"/>
        <w:rPr>
          <w:rFonts w:ascii="Cambria" w:hAnsi="Cambria"/>
          <w:sz w:val="20"/>
          <w:szCs w:val="20"/>
        </w:rPr>
      </w:pPr>
      <w:r w:rsidRPr="009A30B1">
        <w:rPr>
          <w:rFonts w:ascii="Cambria" w:hAnsi="Cambria"/>
          <w:i/>
          <w:sz w:val="20"/>
        </w:rPr>
        <w:t>(documento presentado por la Unión Europea)</w:t>
      </w:r>
    </w:p>
    <w:tbl>
      <w:tblPr>
        <w:tblStyle w:val="TableGrid0"/>
        <w:tblW w:w="5000" w:type="pct"/>
        <w:tblLook w:val="04A0" w:firstRow="1" w:lastRow="0" w:firstColumn="1" w:lastColumn="0" w:noHBand="0" w:noVBand="1"/>
      </w:tblPr>
      <w:tblGrid>
        <w:gridCol w:w="1413"/>
        <w:gridCol w:w="6663"/>
        <w:gridCol w:w="5916"/>
      </w:tblGrid>
      <w:tr w:rsidR="0011281C" w:rsidRPr="00B256E6" w14:paraId="222D4AF1" w14:textId="77777777" w:rsidTr="00A96F23">
        <w:tc>
          <w:tcPr>
            <w:tcW w:w="505" w:type="pct"/>
            <w:vAlign w:val="center"/>
          </w:tcPr>
          <w:p w14:paraId="1529B850" w14:textId="01FE5B9E" w:rsidR="0011281C" w:rsidRPr="00B256E6" w:rsidRDefault="0011281C" w:rsidP="0093780B">
            <w:pPr>
              <w:spacing w:after="120" w:line="240" w:lineRule="auto"/>
              <w:jc w:val="both"/>
              <w:rPr>
                <w:rFonts w:ascii="Cambria" w:eastAsia="Cambria" w:hAnsi="Cambria" w:cs="Cambria"/>
                <w:b/>
                <w:i/>
                <w:sz w:val="20"/>
                <w:szCs w:val="20"/>
              </w:rPr>
            </w:pPr>
            <w:r>
              <w:rPr>
                <w:rFonts w:ascii="Cambria" w:hAnsi="Cambria"/>
                <w:b/>
                <w:i/>
                <w:sz w:val="20"/>
              </w:rPr>
              <w:t>Rec. 25-04</w:t>
            </w:r>
          </w:p>
        </w:tc>
        <w:tc>
          <w:tcPr>
            <w:tcW w:w="2381" w:type="pct"/>
            <w:vAlign w:val="center"/>
          </w:tcPr>
          <w:p w14:paraId="7C9088D6" w14:textId="61DD2824" w:rsidR="0011281C" w:rsidRPr="00B256E6" w:rsidRDefault="0011281C" w:rsidP="0093780B">
            <w:pPr>
              <w:spacing w:after="120" w:line="240" w:lineRule="auto"/>
              <w:jc w:val="both"/>
              <w:rPr>
                <w:rFonts w:ascii="Cambria" w:eastAsia="Cambria" w:hAnsi="Cambria" w:cs="Cambria"/>
                <w:b/>
                <w:i/>
                <w:sz w:val="20"/>
                <w:szCs w:val="20"/>
              </w:rPr>
            </w:pPr>
            <w:r>
              <w:rPr>
                <w:rFonts w:ascii="Cambria" w:hAnsi="Cambria"/>
                <w:b/>
                <w:i/>
                <w:sz w:val="20"/>
              </w:rPr>
              <w:t>Modificación propuesta</w:t>
            </w:r>
          </w:p>
        </w:tc>
        <w:tc>
          <w:tcPr>
            <w:tcW w:w="2114" w:type="pct"/>
            <w:vAlign w:val="center"/>
          </w:tcPr>
          <w:p w14:paraId="4FDE6749" w14:textId="0344987F" w:rsidR="0011281C" w:rsidRPr="00B256E6" w:rsidRDefault="00CB5904" w:rsidP="0093780B">
            <w:pPr>
              <w:spacing w:after="120" w:line="240" w:lineRule="auto"/>
              <w:jc w:val="both"/>
              <w:rPr>
                <w:rFonts w:ascii="Cambria" w:eastAsia="Cambria" w:hAnsi="Cambria" w:cs="Cambria"/>
                <w:b/>
                <w:i/>
                <w:sz w:val="20"/>
                <w:szCs w:val="20"/>
              </w:rPr>
            </w:pPr>
            <w:r>
              <w:rPr>
                <w:rFonts w:ascii="Cambria" w:hAnsi="Cambria"/>
                <w:b/>
                <w:i/>
                <w:sz w:val="20"/>
              </w:rPr>
              <w:t>Explicación</w:t>
            </w:r>
          </w:p>
        </w:tc>
      </w:tr>
      <w:tr w:rsidR="0011281C" w:rsidRPr="00B256E6" w14:paraId="26272D14" w14:textId="77777777" w:rsidTr="00A96F23">
        <w:tc>
          <w:tcPr>
            <w:tcW w:w="505" w:type="pct"/>
          </w:tcPr>
          <w:p w14:paraId="3EA0B6D9" w14:textId="6AAEDC2C" w:rsidR="0011281C" w:rsidRPr="00B256E6" w:rsidRDefault="00E33409" w:rsidP="0093780B">
            <w:pPr>
              <w:spacing w:after="120" w:line="240" w:lineRule="auto"/>
              <w:jc w:val="both"/>
              <w:rPr>
                <w:rFonts w:ascii="Cambria" w:hAnsi="Cambria"/>
                <w:sz w:val="20"/>
                <w:szCs w:val="20"/>
              </w:rPr>
            </w:pPr>
            <w:r>
              <w:rPr>
                <w:rFonts w:ascii="Cambria" w:hAnsi="Cambria"/>
                <w:sz w:val="20"/>
              </w:rPr>
              <w:t xml:space="preserve">Párr. 2.i) </w:t>
            </w:r>
          </w:p>
        </w:tc>
        <w:tc>
          <w:tcPr>
            <w:tcW w:w="2381" w:type="pct"/>
          </w:tcPr>
          <w:p w14:paraId="080057BD" w14:textId="77777777" w:rsidR="006D0915" w:rsidRPr="00CD44E8" w:rsidRDefault="006D0915" w:rsidP="00DE4031">
            <w:pPr>
              <w:widowControl w:val="0"/>
              <w:spacing w:after="100" w:line="240" w:lineRule="auto"/>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“operaciones de transferencia” significa:</w:t>
            </w:r>
          </w:p>
          <w:p w14:paraId="103294A0" w14:textId="77777777" w:rsidR="006D0915" w:rsidRPr="00CD44E8" w:rsidRDefault="006D0915" w:rsidP="006D0915">
            <w:pPr>
              <w:widowControl w:val="0"/>
              <w:numPr>
                <w:ilvl w:val="0"/>
                <w:numId w:val="13"/>
              </w:numPr>
              <w:spacing w:after="100" w:line="240" w:lineRule="auto"/>
              <w:ind w:left="346" w:hanging="290"/>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cualquier transferencia de atún rojo vivo desde la red del buque de captura a la jaula de transporte;</w:t>
            </w:r>
          </w:p>
          <w:p w14:paraId="7F7C82FB" w14:textId="77777777" w:rsidR="006D0915" w:rsidRPr="00CD44E8" w:rsidRDefault="006D0915" w:rsidP="006D0915">
            <w:pPr>
              <w:widowControl w:val="0"/>
              <w:numPr>
                <w:ilvl w:val="0"/>
                <w:numId w:val="13"/>
              </w:numPr>
              <w:spacing w:after="100" w:line="240" w:lineRule="auto"/>
              <w:ind w:left="346" w:hanging="290"/>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cualquier transferencia de atún rojo vivo desde la almadraba a una jaula de transporte, independientemente de la presencia de un remolcador;</w:t>
            </w:r>
          </w:p>
          <w:p w14:paraId="66B9D49D" w14:textId="77777777" w:rsidR="006D0915" w:rsidRPr="00CD44E8" w:rsidRDefault="006D0915" w:rsidP="006D0915">
            <w:pPr>
              <w:widowControl w:val="0"/>
              <w:numPr>
                <w:ilvl w:val="0"/>
                <w:numId w:val="13"/>
              </w:numPr>
              <w:spacing w:after="100" w:line="240" w:lineRule="auto"/>
              <w:ind w:left="346" w:hanging="290"/>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cualquier transferencia de atún rojo vivo desde la jaula de transporte a otra jaula de transporte;</w:t>
            </w:r>
          </w:p>
          <w:p w14:paraId="021E6793" w14:textId="77777777" w:rsidR="006D0915" w:rsidRPr="00CD44E8" w:rsidRDefault="006D0915" w:rsidP="006D0915">
            <w:pPr>
              <w:widowControl w:val="0"/>
              <w:numPr>
                <w:ilvl w:val="0"/>
                <w:numId w:val="13"/>
              </w:numPr>
              <w:spacing w:after="100" w:line="240" w:lineRule="auto"/>
              <w:ind w:left="346" w:hanging="290"/>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cualquier transferencia de una jaula que contenga atún rojo vivo desde un remolcador a otro remolcador;</w:t>
            </w:r>
          </w:p>
          <w:p w14:paraId="63783264" w14:textId="77777777" w:rsidR="006D0915" w:rsidRPr="00CD44E8" w:rsidRDefault="006D0915" w:rsidP="006D0915">
            <w:pPr>
              <w:widowControl w:val="0"/>
              <w:numPr>
                <w:ilvl w:val="0"/>
                <w:numId w:val="13"/>
              </w:numPr>
              <w:spacing w:after="100" w:line="240" w:lineRule="auto"/>
              <w:ind w:left="346" w:hanging="290"/>
              <w:jc w:val="both"/>
              <w:rPr>
                <w:rFonts w:ascii="Cambria" w:eastAsia="Times New Roman" w:hAnsi="Cambria" w:cs="Times New Roman"/>
                <w:color w:val="auto"/>
                <w:kern w:val="0"/>
                <w:sz w:val="20"/>
                <w:szCs w:val="20"/>
                <w:lang w:eastAsia="en-US" w:bidi="en-US"/>
                <w14:ligatures w14:val="none"/>
              </w:rPr>
            </w:pPr>
            <w:r w:rsidRPr="00CD44E8">
              <w:rPr>
                <w:rFonts w:ascii="Cambria" w:eastAsia="Times New Roman" w:hAnsi="Cambria" w:cs="Times New Roman"/>
                <w:color w:val="auto"/>
                <w:kern w:val="0"/>
                <w:sz w:val="20"/>
                <w:szCs w:val="20"/>
                <w:lang w:eastAsia="en-US" w:bidi="en-US"/>
                <w14:ligatures w14:val="none"/>
              </w:rPr>
              <w:t xml:space="preserve">cualquier transferencia de atún rojo vivo entre diferentes jaulas de la misma granja (transferencia dentro de la granja); </w:t>
            </w:r>
          </w:p>
          <w:p w14:paraId="153204D1" w14:textId="77777777" w:rsidR="006D0915" w:rsidRPr="00B91338" w:rsidRDefault="006D0915" w:rsidP="006D0915">
            <w:pPr>
              <w:widowControl w:val="0"/>
              <w:numPr>
                <w:ilvl w:val="0"/>
                <w:numId w:val="13"/>
              </w:numPr>
              <w:spacing w:after="100" w:line="240" w:lineRule="auto"/>
              <w:ind w:left="346" w:hanging="346"/>
              <w:jc w:val="both"/>
              <w:rPr>
                <w:rFonts w:ascii="Cambria" w:hAnsi="Cambria"/>
                <w:sz w:val="20"/>
                <w:szCs w:val="20"/>
              </w:rPr>
            </w:pPr>
            <w:r w:rsidRPr="00CD44E8">
              <w:rPr>
                <w:rFonts w:ascii="Cambria" w:eastAsia="Times New Roman" w:hAnsi="Cambria" w:cs="Times New Roman"/>
                <w:color w:val="auto"/>
                <w:kern w:val="0"/>
                <w:sz w:val="20"/>
                <w:szCs w:val="20"/>
                <w:lang w:eastAsia="en-US" w:bidi="en-US"/>
                <w14:ligatures w14:val="none"/>
              </w:rPr>
              <w:t>cualquier transferencia de atún rojo vivo desde una jaula de la granja a una jaula de transporte;</w:t>
            </w:r>
          </w:p>
          <w:p w14:paraId="36937E9F" w14:textId="3AEF9247" w:rsidR="0063511D" w:rsidRPr="00B019C5" w:rsidRDefault="006D0915" w:rsidP="00232629">
            <w:pPr>
              <w:pStyle w:val="ListParagraph"/>
              <w:numPr>
                <w:ilvl w:val="0"/>
                <w:numId w:val="8"/>
              </w:numPr>
              <w:spacing w:after="120" w:line="240" w:lineRule="auto"/>
              <w:ind w:left="363"/>
              <w:contextualSpacing w:val="0"/>
              <w:jc w:val="both"/>
              <w:rPr>
                <w:rFonts w:ascii="Cambria" w:hAnsi="Cambria"/>
                <w:b/>
                <w:bCs/>
                <w:sz w:val="20"/>
                <w:szCs w:val="20"/>
                <w:u w:val="single"/>
              </w:rPr>
            </w:pPr>
            <w:r w:rsidRPr="00B019C5">
              <w:rPr>
                <w:rFonts w:ascii="Cambria" w:eastAsia="Times New Roman" w:hAnsi="Cambria" w:cs="Times New Roman"/>
                <w:b/>
                <w:bCs/>
                <w:color w:val="auto"/>
                <w:kern w:val="0"/>
                <w:sz w:val="20"/>
                <w:szCs w:val="20"/>
                <w:u w:val="single"/>
                <w:lang w:eastAsia="en-US" w:bidi="en-US"/>
                <w14:ligatures w14:val="none"/>
              </w:rPr>
              <w:t>cualquier transferencia de atún rojo vivo que vuelva desde una jaula de la granja a la almadraba.</w:t>
            </w:r>
          </w:p>
        </w:tc>
        <w:tc>
          <w:tcPr>
            <w:tcW w:w="2114" w:type="pct"/>
          </w:tcPr>
          <w:p w14:paraId="536D60CB" w14:textId="60799458" w:rsidR="0011281C" w:rsidRPr="00B256E6" w:rsidRDefault="00792253" w:rsidP="0093780B">
            <w:pPr>
              <w:spacing w:after="120" w:line="240" w:lineRule="auto"/>
              <w:jc w:val="both"/>
              <w:rPr>
                <w:rFonts w:ascii="Cambria" w:hAnsi="Cambria"/>
                <w:sz w:val="20"/>
                <w:szCs w:val="20"/>
              </w:rPr>
            </w:pPr>
            <w:r w:rsidRPr="006F5986">
              <w:rPr>
                <w:rFonts w:ascii="Cambria" w:hAnsi="Cambria"/>
                <w:sz w:val="20"/>
              </w:rPr>
              <w:t>En sus solicitudes de aclaración para la Subco</w:t>
            </w:r>
            <w:r w:rsidRPr="000219E1">
              <w:rPr>
                <w:rFonts w:ascii="Cambria" w:hAnsi="Cambria"/>
                <w:sz w:val="20"/>
              </w:rPr>
              <w:t>misión 2</w:t>
            </w:r>
            <w:r w:rsidR="0074303D">
              <w:rPr>
                <w:rFonts w:ascii="Cambria" w:hAnsi="Cambria"/>
                <w:sz w:val="20"/>
              </w:rPr>
              <w:t xml:space="preserve"> (reunión intersesiones de marzo de 2026)</w:t>
            </w:r>
            <w:r w:rsidRPr="000219E1">
              <w:rPr>
                <w:rFonts w:ascii="Cambria" w:hAnsi="Cambria"/>
                <w:sz w:val="20"/>
              </w:rPr>
              <w:t xml:space="preserve">, los observadores señalaron que, aunque se </w:t>
            </w:r>
            <w:r>
              <w:rPr>
                <w:rFonts w:ascii="Cambria" w:hAnsi="Cambria"/>
                <w:sz w:val="20"/>
              </w:rPr>
              <w:t>produce</w:t>
            </w:r>
            <w:r w:rsidRPr="000219E1">
              <w:rPr>
                <w:rFonts w:ascii="Cambria" w:hAnsi="Cambria"/>
                <w:sz w:val="20"/>
              </w:rPr>
              <w:t xml:space="preserve"> </w:t>
            </w:r>
            <w:r w:rsidRPr="000219E1">
              <w:rPr>
                <w:rFonts w:ascii="Cambria" w:hAnsi="Cambria"/>
                <w:sz w:val="20"/>
              </w:rPr>
              <w:t xml:space="preserve">la operación de </w:t>
            </w:r>
            <w:r w:rsidR="005D4E08">
              <w:rPr>
                <w:rFonts w:ascii="Cambria" w:hAnsi="Cambria"/>
                <w:sz w:val="20"/>
              </w:rPr>
              <w:t>«</w:t>
            </w:r>
            <w:r w:rsidRPr="000219E1">
              <w:rPr>
                <w:rFonts w:ascii="Cambria" w:hAnsi="Cambria"/>
                <w:sz w:val="20"/>
              </w:rPr>
              <w:t>transferencia de atún rojo vivo desde una jaula de la granja a un</w:t>
            </w:r>
            <w:r>
              <w:rPr>
                <w:rFonts w:ascii="Cambria" w:hAnsi="Cambria"/>
                <w:sz w:val="20"/>
              </w:rPr>
              <w:t>a almadraba</w:t>
            </w:r>
            <w:r w:rsidRPr="000219E1">
              <w:rPr>
                <w:rFonts w:ascii="Cambria" w:hAnsi="Cambria"/>
                <w:sz w:val="20"/>
              </w:rPr>
              <w:t>», esta no está contemplada en las definiciones. A menos que se produzca en el marco de una operación</w:t>
            </w:r>
            <w:r w:rsidRPr="006F5986">
              <w:rPr>
                <w:rFonts w:ascii="Cambria" w:hAnsi="Cambria"/>
                <w:sz w:val="20"/>
              </w:rPr>
              <w:t xml:space="preserve"> de liberación (en cuyo caso la definición figura en el anexo 10, párrafo 13), </w:t>
            </w:r>
            <w:r>
              <w:rPr>
                <w:rFonts w:ascii="Cambria" w:hAnsi="Cambria"/>
                <w:sz w:val="20"/>
              </w:rPr>
              <w:t>se debería</w:t>
            </w:r>
            <w:r w:rsidRPr="006F5986">
              <w:rPr>
                <w:rFonts w:ascii="Cambria" w:hAnsi="Cambria"/>
                <w:sz w:val="20"/>
              </w:rPr>
              <w:t xml:space="preserve"> incluir</w:t>
            </w:r>
            <w:r>
              <w:rPr>
                <w:rFonts w:ascii="Cambria" w:hAnsi="Cambria"/>
                <w:sz w:val="20"/>
              </w:rPr>
              <w:t xml:space="preserve"> </w:t>
            </w:r>
            <w:r w:rsidRPr="006F5986">
              <w:rPr>
                <w:rFonts w:ascii="Cambria" w:hAnsi="Cambria"/>
                <w:sz w:val="20"/>
              </w:rPr>
              <w:t>en las definiciones de las operaciones de transferencia.</w:t>
            </w:r>
          </w:p>
        </w:tc>
      </w:tr>
      <w:tr w:rsidR="002620DF" w:rsidRPr="00B256E6" w14:paraId="3709F53C" w14:textId="77777777" w:rsidTr="00A96F23">
        <w:tc>
          <w:tcPr>
            <w:tcW w:w="505" w:type="pct"/>
          </w:tcPr>
          <w:p w14:paraId="560DCD84" w14:textId="2A661DC5" w:rsidR="002620DF" w:rsidRPr="00B256E6" w:rsidRDefault="002620DF" w:rsidP="0093780B">
            <w:pPr>
              <w:spacing w:after="120" w:line="240" w:lineRule="auto"/>
              <w:jc w:val="both"/>
              <w:rPr>
                <w:rFonts w:ascii="Cambria" w:hAnsi="Cambria"/>
                <w:sz w:val="20"/>
                <w:szCs w:val="20"/>
              </w:rPr>
            </w:pPr>
            <w:r>
              <w:rPr>
                <w:rFonts w:ascii="Cambria" w:hAnsi="Cambria"/>
                <w:sz w:val="20"/>
              </w:rPr>
              <w:t>Párr</w:t>
            </w:r>
            <w:r w:rsidR="00B34E52">
              <w:rPr>
                <w:rFonts w:ascii="Cambria" w:hAnsi="Cambria"/>
                <w:sz w:val="20"/>
              </w:rPr>
              <w:t>.</w:t>
            </w:r>
            <w:r>
              <w:rPr>
                <w:rFonts w:ascii="Cambria" w:hAnsi="Cambria"/>
                <w:sz w:val="20"/>
              </w:rPr>
              <w:t xml:space="preserve"> 2</w:t>
            </w:r>
            <w:r w:rsidR="00B34E52">
              <w:rPr>
                <w:rFonts w:ascii="Cambria" w:hAnsi="Cambria"/>
                <w:sz w:val="20"/>
              </w:rPr>
              <w:t>.</w:t>
            </w:r>
            <w:r>
              <w:rPr>
                <w:rFonts w:ascii="Cambria" w:hAnsi="Cambria"/>
                <w:sz w:val="20"/>
              </w:rPr>
              <w:t>w)</w:t>
            </w:r>
          </w:p>
        </w:tc>
        <w:tc>
          <w:tcPr>
            <w:tcW w:w="2381" w:type="pct"/>
          </w:tcPr>
          <w:p w14:paraId="6A922308" w14:textId="3E7715C9" w:rsidR="0093780B" w:rsidRPr="00B15FBC" w:rsidRDefault="0010285C" w:rsidP="0093780B">
            <w:pPr>
              <w:spacing w:after="120" w:line="240" w:lineRule="auto"/>
              <w:jc w:val="both"/>
              <w:rPr>
                <w:rFonts w:ascii="Cambria" w:hAnsi="Cambria"/>
                <w:b/>
                <w:bCs/>
                <w:sz w:val="20"/>
                <w:u w:val="single"/>
              </w:rPr>
            </w:pPr>
            <w:r w:rsidRPr="0010285C">
              <w:rPr>
                <w:rFonts w:ascii="Cambria" w:hAnsi="Cambria"/>
                <w:sz w:val="20"/>
              </w:rPr>
              <w:t xml:space="preserve">“transbordo” significa la descarga de todo o parte del pescado a bordo de un buque de pesca a otro buque pesquero. Sin embargo, la descarga de atún rojo muerto desde la red de cerco, </w:t>
            </w:r>
            <w:r w:rsidR="00665319" w:rsidRPr="00665319">
              <w:rPr>
                <w:rFonts w:ascii="Cambria" w:hAnsi="Cambria"/>
                <w:b/>
                <w:bCs/>
                <w:sz w:val="20"/>
                <w:u w:val="single"/>
              </w:rPr>
              <w:t xml:space="preserve">el </w:t>
            </w:r>
            <w:r w:rsidR="00B15FBC">
              <w:rPr>
                <w:rFonts w:ascii="Cambria" w:hAnsi="Cambria"/>
                <w:b/>
                <w:bCs/>
                <w:sz w:val="20"/>
                <w:u w:val="single"/>
              </w:rPr>
              <w:t xml:space="preserve">buque de </w:t>
            </w:r>
            <w:r w:rsidR="00665319" w:rsidRPr="00665319">
              <w:rPr>
                <w:rFonts w:ascii="Cambria" w:hAnsi="Cambria"/>
                <w:b/>
                <w:bCs/>
                <w:sz w:val="20"/>
                <w:u w:val="single"/>
              </w:rPr>
              <w:t>cer</w:t>
            </w:r>
            <w:r w:rsidR="00B15FBC">
              <w:rPr>
                <w:rFonts w:ascii="Cambria" w:hAnsi="Cambria"/>
                <w:b/>
                <w:bCs/>
                <w:sz w:val="20"/>
                <w:u w:val="single"/>
              </w:rPr>
              <w:t>co</w:t>
            </w:r>
            <w:r w:rsidR="00665319" w:rsidRPr="00665319">
              <w:rPr>
                <w:rFonts w:ascii="Cambria" w:hAnsi="Cambria"/>
                <w:b/>
                <w:bCs/>
                <w:sz w:val="20"/>
                <w:u w:val="single"/>
              </w:rPr>
              <w:t>,</w:t>
            </w:r>
            <w:r w:rsidR="00665319">
              <w:rPr>
                <w:rFonts w:ascii="Cambria" w:hAnsi="Cambria"/>
                <w:sz w:val="20"/>
              </w:rPr>
              <w:t xml:space="preserve"> </w:t>
            </w:r>
            <w:r w:rsidRPr="0010285C">
              <w:rPr>
                <w:rFonts w:ascii="Cambria" w:hAnsi="Cambria"/>
                <w:sz w:val="20"/>
              </w:rPr>
              <w:t>la almadraba o el remolcador a un buque auxiliar no se considerará transbordo;</w:t>
            </w:r>
          </w:p>
        </w:tc>
        <w:tc>
          <w:tcPr>
            <w:tcW w:w="2114" w:type="pct"/>
          </w:tcPr>
          <w:p w14:paraId="0356E132" w14:textId="48418FDF" w:rsidR="002620DF" w:rsidRPr="00B256E6" w:rsidRDefault="002620DF" w:rsidP="0093780B">
            <w:pPr>
              <w:spacing w:after="120" w:line="240" w:lineRule="auto"/>
              <w:jc w:val="both"/>
              <w:rPr>
                <w:rFonts w:ascii="Cambria" w:hAnsi="Cambria"/>
                <w:sz w:val="20"/>
                <w:szCs w:val="20"/>
              </w:rPr>
            </w:pPr>
            <w:r>
              <w:rPr>
                <w:rFonts w:ascii="Cambria" w:hAnsi="Cambria"/>
                <w:sz w:val="20"/>
              </w:rPr>
              <w:t xml:space="preserve">Para mantener la coherencia con la definición de «buque auxiliar» del apartado 2.d), que permite el transporte de atún rojo desde buques de cerco a buques auxiliares. </w:t>
            </w:r>
          </w:p>
        </w:tc>
      </w:tr>
      <w:tr w:rsidR="00794C5D" w:rsidRPr="00B256E6" w14:paraId="2AFD790F" w14:textId="77777777" w:rsidTr="00A96F23">
        <w:tc>
          <w:tcPr>
            <w:tcW w:w="505" w:type="pct"/>
          </w:tcPr>
          <w:p w14:paraId="51C524AA" w14:textId="0A04C6DF" w:rsidR="00A96F23" w:rsidRPr="00B256E6" w:rsidRDefault="00504081" w:rsidP="0093780B">
            <w:pPr>
              <w:spacing w:after="120" w:line="240" w:lineRule="auto"/>
              <w:jc w:val="both"/>
              <w:rPr>
                <w:rFonts w:ascii="Cambria" w:hAnsi="Cambria"/>
                <w:sz w:val="20"/>
                <w:szCs w:val="20"/>
              </w:rPr>
            </w:pPr>
            <w:r>
              <w:rPr>
                <w:rFonts w:ascii="Cambria" w:hAnsi="Cambria"/>
                <w:sz w:val="20"/>
              </w:rPr>
              <w:t>P</w:t>
            </w:r>
            <w:r w:rsidR="00794C5D">
              <w:rPr>
                <w:rFonts w:ascii="Cambria" w:hAnsi="Cambria"/>
                <w:sz w:val="20"/>
              </w:rPr>
              <w:t>árr</w:t>
            </w:r>
            <w:r>
              <w:rPr>
                <w:rFonts w:ascii="Cambria" w:hAnsi="Cambria"/>
                <w:sz w:val="20"/>
              </w:rPr>
              <w:t>s</w:t>
            </w:r>
            <w:r w:rsidR="00794C5D">
              <w:rPr>
                <w:rFonts w:ascii="Cambria" w:hAnsi="Cambria"/>
                <w:sz w:val="20"/>
              </w:rPr>
              <w:t>. 33</w:t>
            </w:r>
          </w:p>
          <w:p w14:paraId="47F9303B" w14:textId="131C711E" w:rsidR="00794C5D" w:rsidRPr="00B256E6" w:rsidRDefault="00794C5D" w:rsidP="0093780B">
            <w:pPr>
              <w:spacing w:after="120" w:line="240" w:lineRule="auto"/>
              <w:jc w:val="both"/>
              <w:rPr>
                <w:rFonts w:ascii="Cambria" w:hAnsi="Cambria"/>
                <w:sz w:val="20"/>
                <w:szCs w:val="20"/>
              </w:rPr>
            </w:pPr>
            <w:r>
              <w:rPr>
                <w:rFonts w:ascii="Cambria" w:hAnsi="Cambria"/>
                <w:sz w:val="20"/>
              </w:rPr>
              <w:t xml:space="preserve">y 36  </w:t>
            </w:r>
          </w:p>
        </w:tc>
        <w:tc>
          <w:tcPr>
            <w:tcW w:w="2381" w:type="pct"/>
          </w:tcPr>
          <w:p w14:paraId="2B2BE1DD" w14:textId="77777777" w:rsidR="00A730D6" w:rsidRDefault="00A730D6" w:rsidP="00504081">
            <w:pPr>
              <w:widowControl w:val="0"/>
              <w:tabs>
                <w:tab w:val="left" w:pos="851"/>
              </w:tabs>
              <w:spacing w:line="240" w:lineRule="auto"/>
              <w:ind w:left="365" w:hanging="365"/>
              <w:jc w:val="both"/>
              <w:rPr>
                <w:rFonts w:ascii="Cambria" w:eastAsia="Times New Roman" w:hAnsi="Cambria" w:cs="Times New Roman"/>
                <w:color w:val="auto"/>
                <w:kern w:val="0"/>
                <w:sz w:val="20"/>
                <w:szCs w:val="20"/>
                <w:lang w:eastAsia="en-US" w:bidi="en-US"/>
                <w14:ligatures w14:val="none"/>
              </w:rPr>
            </w:pPr>
            <w:r>
              <w:rPr>
                <w:rFonts w:ascii="Cambria" w:eastAsia="Times New Roman" w:hAnsi="Cambria" w:cs="Times New Roman"/>
                <w:color w:val="auto"/>
                <w:kern w:val="0"/>
                <w:sz w:val="20"/>
                <w:szCs w:val="20"/>
                <w:lang w:eastAsia="en-US" w:bidi="en-US"/>
                <w14:ligatures w14:val="none"/>
              </w:rPr>
              <w:t xml:space="preserve">33. </w:t>
            </w:r>
            <w:r w:rsidRPr="00BF71ED">
              <w:rPr>
                <w:rFonts w:ascii="Cambria" w:eastAsia="Times New Roman" w:hAnsi="Cambria" w:cs="Times New Roman"/>
                <w:color w:val="auto"/>
                <w:kern w:val="0"/>
                <w:sz w:val="20"/>
                <w:szCs w:val="20"/>
                <w:lang w:eastAsia="en-US" w:bidi="en-US"/>
                <w14:ligatures w14:val="none"/>
              </w:rPr>
              <w:t>La talla mínima para el atún rojo capturado en el Atlántico este y el Mediterráneo será de</w:t>
            </w:r>
            <w:r>
              <w:rPr>
                <w:rFonts w:ascii="Cambria" w:eastAsia="Times New Roman" w:hAnsi="Cambria" w:cs="Times New Roman"/>
                <w:color w:val="auto"/>
                <w:kern w:val="0"/>
                <w:sz w:val="20"/>
                <w:szCs w:val="20"/>
                <w:lang w:eastAsia="en-US" w:bidi="en-US"/>
                <w14:ligatures w14:val="none"/>
              </w:rPr>
              <w:t xml:space="preserve"> </w:t>
            </w:r>
            <w:r w:rsidRPr="00BF71ED">
              <w:rPr>
                <w:rFonts w:ascii="Cambria" w:eastAsia="Times New Roman" w:hAnsi="Cambria" w:cs="Times New Roman"/>
                <w:color w:val="auto"/>
                <w:kern w:val="0"/>
                <w:sz w:val="20"/>
                <w:szCs w:val="20"/>
                <w:lang w:eastAsia="en-US" w:bidi="en-US"/>
                <w14:ligatures w14:val="none"/>
              </w:rPr>
              <w:t>30 kg o</w:t>
            </w:r>
            <w:r>
              <w:rPr>
                <w:rFonts w:ascii="Cambria" w:eastAsia="Times New Roman" w:hAnsi="Cambria" w:cs="Times New Roman"/>
                <w:color w:val="auto"/>
                <w:kern w:val="0"/>
                <w:sz w:val="20"/>
                <w:szCs w:val="20"/>
                <w:lang w:eastAsia="en-US" w:bidi="en-US"/>
                <w14:ligatures w14:val="none"/>
              </w:rPr>
              <w:t xml:space="preserve"> de </w:t>
            </w:r>
            <w:r w:rsidRPr="00BF71ED">
              <w:rPr>
                <w:rFonts w:ascii="Cambria" w:eastAsia="Times New Roman" w:hAnsi="Cambria" w:cs="Times New Roman"/>
                <w:color w:val="auto"/>
                <w:kern w:val="0"/>
                <w:sz w:val="20"/>
                <w:szCs w:val="20"/>
                <w:lang w:eastAsia="en-US" w:bidi="en-US"/>
                <w14:ligatures w14:val="none"/>
              </w:rPr>
              <w:t>115 cm de longitud a la horquilla.</w:t>
            </w:r>
          </w:p>
          <w:p w14:paraId="4D849B46" w14:textId="77777777" w:rsidR="00A730D6" w:rsidRDefault="00A730D6" w:rsidP="00A730D6">
            <w:pPr>
              <w:widowControl w:val="0"/>
              <w:tabs>
                <w:tab w:val="left" w:pos="851"/>
              </w:tabs>
              <w:spacing w:line="240" w:lineRule="auto"/>
              <w:jc w:val="both"/>
              <w:rPr>
                <w:rFonts w:ascii="Cambria" w:eastAsia="Times New Roman" w:hAnsi="Cambria" w:cs="Times New Roman"/>
                <w:color w:val="auto"/>
                <w:kern w:val="0"/>
                <w:sz w:val="20"/>
                <w:szCs w:val="20"/>
                <w:lang w:eastAsia="en-US" w:bidi="en-US"/>
                <w14:ligatures w14:val="none"/>
              </w:rPr>
            </w:pPr>
          </w:p>
          <w:p w14:paraId="7345AAE9" w14:textId="22EEBC79" w:rsidR="00A730D6" w:rsidRDefault="00A730D6" w:rsidP="00504081">
            <w:pPr>
              <w:widowControl w:val="0"/>
              <w:tabs>
                <w:tab w:val="left" w:pos="851"/>
              </w:tabs>
              <w:spacing w:line="240" w:lineRule="auto"/>
              <w:ind w:left="275" w:hanging="275"/>
              <w:jc w:val="both"/>
              <w:rPr>
                <w:rFonts w:ascii="Cambria" w:eastAsia="Times New Roman" w:hAnsi="Cambria" w:cs="Times New Roman"/>
                <w:color w:val="auto"/>
                <w:kern w:val="0"/>
                <w:sz w:val="20"/>
                <w:szCs w:val="20"/>
                <w:lang w:eastAsia="en-US" w:bidi="en-US"/>
                <w14:ligatures w14:val="none"/>
              </w:rPr>
            </w:pPr>
            <w:r w:rsidRPr="006C3697">
              <w:rPr>
                <w:rFonts w:ascii="Cambria" w:eastAsia="Times New Roman" w:hAnsi="Cambria" w:cs="Times New Roman"/>
                <w:b/>
                <w:bCs/>
                <w:color w:val="auto"/>
                <w:kern w:val="0"/>
                <w:sz w:val="20"/>
                <w:szCs w:val="20"/>
                <w:u w:val="single"/>
                <w:lang w:eastAsia="en-US" w:bidi="en-US"/>
                <w14:ligatures w14:val="none"/>
              </w:rPr>
              <w:t>33</w:t>
            </w:r>
            <w:r w:rsidR="006C3697" w:rsidRPr="006C3697">
              <w:rPr>
                <w:rFonts w:ascii="Cambria" w:eastAsia="Times New Roman" w:hAnsi="Cambria" w:cs="Times New Roman"/>
                <w:b/>
                <w:bCs/>
                <w:color w:val="auto"/>
                <w:kern w:val="0"/>
                <w:sz w:val="20"/>
                <w:szCs w:val="20"/>
                <w:u w:val="single"/>
                <w:lang w:eastAsia="en-US" w:bidi="en-US"/>
                <w14:ligatures w14:val="none"/>
              </w:rPr>
              <w:t xml:space="preserve"> </w:t>
            </w:r>
            <w:r w:rsidRPr="006C3697">
              <w:rPr>
                <w:rFonts w:ascii="Cambria" w:eastAsia="Times New Roman" w:hAnsi="Cambria" w:cs="Times New Roman"/>
                <w:b/>
                <w:bCs/>
                <w:color w:val="auto"/>
                <w:kern w:val="0"/>
                <w:sz w:val="20"/>
                <w:szCs w:val="20"/>
                <w:u w:val="single"/>
                <w:lang w:eastAsia="en-US" w:bidi="en-US"/>
                <w14:ligatures w14:val="none"/>
              </w:rPr>
              <w:t>bis</w:t>
            </w:r>
            <w:r w:rsidR="006C3697" w:rsidRPr="006C3697">
              <w:rPr>
                <w:rFonts w:ascii="Cambria" w:eastAsia="Times New Roman" w:hAnsi="Cambria" w:cs="Times New Roman"/>
                <w:b/>
                <w:bCs/>
                <w:color w:val="auto"/>
                <w:kern w:val="0"/>
                <w:sz w:val="20"/>
                <w:szCs w:val="20"/>
                <w:u w:val="single"/>
                <w:lang w:eastAsia="en-US" w:bidi="en-US"/>
                <w14:ligatures w14:val="none"/>
              </w:rPr>
              <w:t>.</w:t>
            </w:r>
            <w:r>
              <w:rPr>
                <w:rFonts w:ascii="Cambria" w:eastAsia="Times New Roman" w:hAnsi="Cambria" w:cs="Times New Roman"/>
                <w:color w:val="auto"/>
                <w:kern w:val="0"/>
                <w:sz w:val="20"/>
                <w:szCs w:val="20"/>
                <w:lang w:eastAsia="en-US" w:bidi="en-US"/>
                <w14:ligatures w14:val="none"/>
              </w:rPr>
              <w:t xml:space="preserve"> L</w:t>
            </w:r>
            <w:r w:rsidRPr="00BF71ED">
              <w:rPr>
                <w:rFonts w:ascii="Cambria" w:eastAsia="Times New Roman" w:hAnsi="Cambria" w:cs="Times New Roman"/>
                <w:color w:val="auto"/>
                <w:kern w:val="0"/>
                <w:sz w:val="20"/>
                <w:szCs w:val="20"/>
                <w:lang w:eastAsia="en-US" w:bidi="en-US"/>
                <w14:ligatures w14:val="none"/>
              </w:rPr>
              <w:t xml:space="preserve">as CPC tomarán las medidas necesarias para prohibir capturar, retener a bordo, transbordar, transferir, desembarcar, transportar, almacenar, vender, exponer u ofrecer para su venta atún rojo </w:t>
            </w:r>
            <w:r w:rsidRPr="00504081">
              <w:rPr>
                <w:rFonts w:ascii="Cambria" w:eastAsia="Times New Roman" w:hAnsi="Cambria" w:cs="Times New Roman"/>
                <w:b/>
                <w:bCs/>
                <w:color w:val="auto"/>
                <w:kern w:val="0"/>
                <w:sz w:val="20"/>
                <w:szCs w:val="20"/>
                <w:u w:val="single"/>
                <w:lang w:eastAsia="en-US" w:bidi="en-US"/>
                <w14:ligatures w14:val="none"/>
              </w:rPr>
              <w:t>que no cumpla al menos uno de los requisitos de talla o peso enumerados en el párrafo 33</w:t>
            </w:r>
            <w:r>
              <w:rPr>
                <w:rFonts w:ascii="Cambria" w:eastAsia="Times New Roman" w:hAnsi="Cambria" w:cs="Times New Roman"/>
                <w:color w:val="auto"/>
                <w:kern w:val="0"/>
                <w:sz w:val="20"/>
                <w:szCs w:val="20"/>
                <w:lang w:eastAsia="en-US" w:bidi="en-US"/>
                <w14:ligatures w14:val="none"/>
              </w:rPr>
              <w:t>.</w:t>
            </w:r>
          </w:p>
          <w:p w14:paraId="52BAAEB8" w14:textId="77777777" w:rsidR="00A730D6" w:rsidRDefault="00A730D6" w:rsidP="00A730D6">
            <w:pPr>
              <w:widowControl w:val="0"/>
              <w:tabs>
                <w:tab w:val="left" w:pos="851"/>
              </w:tabs>
              <w:spacing w:line="240" w:lineRule="auto"/>
              <w:jc w:val="both"/>
              <w:rPr>
                <w:rFonts w:ascii="Cambria" w:eastAsia="Times New Roman" w:hAnsi="Cambria" w:cs="Times New Roman"/>
                <w:color w:val="auto"/>
                <w:kern w:val="0"/>
                <w:sz w:val="20"/>
                <w:szCs w:val="20"/>
                <w:lang w:eastAsia="en-US" w:bidi="en-US"/>
                <w14:ligatures w14:val="none"/>
              </w:rPr>
            </w:pPr>
          </w:p>
          <w:p w14:paraId="06DB5B8E" w14:textId="77777777" w:rsidR="00504081" w:rsidRDefault="00504081" w:rsidP="00A730D6">
            <w:pPr>
              <w:widowControl w:val="0"/>
              <w:tabs>
                <w:tab w:val="left" w:pos="851"/>
              </w:tabs>
              <w:spacing w:line="240" w:lineRule="auto"/>
              <w:jc w:val="both"/>
              <w:rPr>
                <w:rFonts w:ascii="Cambria" w:eastAsia="Times New Roman" w:hAnsi="Cambria" w:cs="Times New Roman"/>
                <w:color w:val="auto"/>
                <w:kern w:val="0"/>
                <w:sz w:val="20"/>
                <w:szCs w:val="20"/>
                <w:lang w:eastAsia="en-US" w:bidi="en-US"/>
                <w14:ligatures w14:val="none"/>
              </w:rPr>
            </w:pPr>
          </w:p>
          <w:p w14:paraId="5ECDAF45" w14:textId="56171997" w:rsidR="00A730D6" w:rsidRPr="00504081" w:rsidRDefault="00A730D6" w:rsidP="00504081">
            <w:pPr>
              <w:widowControl w:val="0"/>
              <w:tabs>
                <w:tab w:val="left" w:pos="851"/>
              </w:tabs>
              <w:spacing w:line="240" w:lineRule="auto"/>
              <w:ind w:left="365" w:hanging="365"/>
              <w:jc w:val="both"/>
              <w:rPr>
                <w:rFonts w:ascii="Cambria" w:eastAsia="Times New Roman" w:hAnsi="Cambria" w:cs="Times New Roman"/>
                <w:b/>
                <w:bCs/>
                <w:color w:val="auto"/>
                <w:kern w:val="0"/>
                <w:sz w:val="20"/>
                <w:szCs w:val="20"/>
                <w:u w:val="single"/>
                <w:lang w:eastAsia="en-US" w:bidi="en-US"/>
                <w14:ligatures w14:val="none"/>
              </w:rPr>
            </w:pPr>
            <w:r>
              <w:rPr>
                <w:rFonts w:ascii="Cambria" w:eastAsia="Times New Roman" w:hAnsi="Cambria" w:cs="Times New Roman"/>
                <w:color w:val="auto"/>
                <w:kern w:val="0"/>
                <w:sz w:val="20"/>
                <w:szCs w:val="20"/>
                <w:lang w:eastAsia="en-US" w:bidi="en-US"/>
                <w14:ligatures w14:val="none"/>
              </w:rPr>
              <w:t>36.</w:t>
            </w:r>
            <w:r>
              <w:rPr>
                <w:kern w:val="0"/>
                <w:sz w:val="20"/>
                <w:szCs w:val="20"/>
                <w:lang w:eastAsia="en-US" w:bidi="en-US"/>
                <w14:ligatures w14:val="none"/>
              </w:rPr>
              <w:t xml:space="preserve"> </w:t>
            </w:r>
            <w:r w:rsidRPr="00450391">
              <w:rPr>
                <w:rFonts w:ascii="Cambria" w:eastAsia="Times New Roman" w:hAnsi="Cambria" w:cs="Times New Roman"/>
                <w:color w:val="auto"/>
                <w:kern w:val="0"/>
                <w:sz w:val="20"/>
                <w:szCs w:val="20"/>
                <w:lang w:eastAsia="en-US" w:bidi="en-US"/>
                <w14:ligatures w14:val="none"/>
              </w:rPr>
              <w:t xml:space="preserve">Para </w:t>
            </w:r>
            <w:r w:rsidRPr="00450391">
              <w:rPr>
                <w:rFonts w:ascii="Cambria" w:eastAsia="Times New Roman" w:hAnsi="Cambria" w:cs="Times New Roman"/>
                <w:kern w:val="0"/>
                <w:sz w:val="20"/>
                <w:szCs w:val="20"/>
                <w:lang w:eastAsia="en-US" w:bidi="en-US"/>
                <w14:ligatures w14:val="none"/>
              </w:rPr>
              <w:t>los</w:t>
            </w:r>
            <w:r w:rsidRPr="00450391">
              <w:rPr>
                <w:rFonts w:ascii="Cambria" w:eastAsia="Times New Roman" w:hAnsi="Cambria" w:cs="Times New Roman"/>
                <w:color w:val="auto"/>
                <w:kern w:val="0"/>
                <w:sz w:val="20"/>
                <w:szCs w:val="20"/>
                <w:lang w:eastAsia="en-US" w:bidi="en-US"/>
                <w14:ligatures w14:val="none"/>
              </w:rPr>
              <w:t xml:space="preserve"> buques de captura que pescan activamente atún rojo y las almadrabas de atún, las CPC </w:t>
            </w:r>
            <w:r w:rsidRPr="00450391">
              <w:rPr>
                <w:rFonts w:ascii="Cambria" w:eastAsia="MS Gothic" w:hAnsi="Cambria" w:cs="Times New Roman"/>
                <w:sz w:val="20"/>
                <w:szCs w:val="20"/>
                <w:lang w:eastAsia="ja-JP" w:bidi="en-US"/>
                <w14:ligatures w14:val="none"/>
              </w:rPr>
              <w:t xml:space="preserve">pueden </w:t>
            </w:r>
            <w:r w:rsidRPr="00450391">
              <w:rPr>
                <w:rFonts w:ascii="Cambria" w:eastAsia="Times New Roman" w:hAnsi="Cambria" w:cs="Times New Roman"/>
                <w:color w:val="auto"/>
                <w:kern w:val="0"/>
                <w:sz w:val="20"/>
                <w:szCs w:val="20"/>
                <w:lang w:eastAsia="en-US" w:bidi="en-US"/>
                <w14:ligatures w14:val="none"/>
              </w:rPr>
              <w:t>autorizar una captura incidental de no más del 5 %, en número, de atún rojo</w:t>
            </w:r>
            <w:r>
              <w:rPr>
                <w:rFonts w:ascii="Cambria" w:eastAsia="Times New Roman" w:hAnsi="Cambria" w:cs="Times New Roman"/>
                <w:color w:val="auto"/>
                <w:kern w:val="0"/>
                <w:sz w:val="20"/>
                <w:szCs w:val="20"/>
                <w:lang w:eastAsia="en-US" w:bidi="en-US"/>
                <w14:ligatures w14:val="none"/>
              </w:rPr>
              <w:t xml:space="preserve">, </w:t>
            </w:r>
            <w:r w:rsidRPr="00504081">
              <w:rPr>
                <w:rFonts w:ascii="Cambria" w:eastAsia="Times New Roman" w:hAnsi="Cambria" w:cs="Times New Roman"/>
                <w:b/>
                <w:bCs/>
                <w:color w:val="auto"/>
                <w:kern w:val="0"/>
                <w:sz w:val="20"/>
                <w:szCs w:val="20"/>
                <w:u w:val="single"/>
                <w:lang w:eastAsia="en-US" w:bidi="en-US"/>
                <w14:ligatures w14:val="none"/>
              </w:rPr>
              <w:t>retenido a bordo de un buque en cualquier momento tras cada operación de pesca siempre que:</w:t>
            </w:r>
          </w:p>
          <w:p w14:paraId="13C9CF86" w14:textId="77777777" w:rsidR="00A730D6" w:rsidRPr="00504081" w:rsidRDefault="00A730D6" w:rsidP="00504081">
            <w:pPr>
              <w:widowControl w:val="0"/>
              <w:tabs>
                <w:tab w:val="left" w:pos="851"/>
              </w:tabs>
              <w:spacing w:line="240" w:lineRule="auto"/>
              <w:ind w:left="365" w:hanging="365"/>
              <w:jc w:val="both"/>
              <w:rPr>
                <w:rFonts w:ascii="Cambria" w:eastAsia="Times New Roman" w:hAnsi="Cambria" w:cs="Times New Roman"/>
                <w:b/>
                <w:bCs/>
                <w:color w:val="auto"/>
                <w:kern w:val="0"/>
                <w:sz w:val="20"/>
                <w:szCs w:val="20"/>
                <w:u w:val="single"/>
                <w:lang w:eastAsia="en-US" w:bidi="en-US"/>
                <w14:ligatures w14:val="none"/>
              </w:rPr>
            </w:pPr>
          </w:p>
          <w:p w14:paraId="402AF8E8" w14:textId="6D58C3C6" w:rsidR="00A730D6" w:rsidRPr="00504081" w:rsidRDefault="00504081" w:rsidP="00834ADD">
            <w:pPr>
              <w:widowControl w:val="0"/>
              <w:tabs>
                <w:tab w:val="left" w:pos="851"/>
              </w:tabs>
              <w:spacing w:line="240" w:lineRule="auto"/>
              <w:ind w:left="455" w:hanging="90"/>
              <w:jc w:val="both"/>
              <w:rPr>
                <w:rFonts w:ascii="Cambria" w:eastAsia="Times New Roman" w:hAnsi="Cambria" w:cs="Times New Roman"/>
                <w:b/>
                <w:bCs/>
                <w:color w:val="auto"/>
                <w:kern w:val="0"/>
                <w:sz w:val="20"/>
                <w:szCs w:val="20"/>
                <w:u w:val="single"/>
                <w:lang w:eastAsia="en-US" w:bidi="en-US"/>
                <w14:ligatures w14:val="none"/>
              </w:rPr>
            </w:pPr>
            <w:r w:rsidRPr="00504081">
              <w:rPr>
                <w:rFonts w:ascii="Cambria" w:eastAsia="Times New Roman" w:hAnsi="Cambria" w:cs="Times New Roman"/>
                <w:b/>
                <w:bCs/>
                <w:color w:val="auto"/>
                <w:kern w:val="0"/>
                <w:sz w:val="20"/>
                <w:szCs w:val="20"/>
                <w:u w:val="single"/>
                <w:lang w:eastAsia="en-US" w:bidi="en-US"/>
                <w14:ligatures w14:val="none"/>
              </w:rPr>
              <w:t>a</w:t>
            </w:r>
            <w:r>
              <w:rPr>
                <w:rFonts w:ascii="Cambria" w:eastAsia="Times New Roman" w:hAnsi="Cambria" w:cs="Times New Roman"/>
                <w:b/>
                <w:bCs/>
                <w:color w:val="auto"/>
                <w:kern w:val="0"/>
                <w:sz w:val="20"/>
                <w:szCs w:val="20"/>
                <w:u w:val="single"/>
                <w:lang w:eastAsia="en-US" w:bidi="en-US"/>
                <w14:ligatures w14:val="none"/>
              </w:rPr>
              <w:t>)</w:t>
            </w:r>
            <w:r w:rsidR="00A730D6" w:rsidRPr="00504081">
              <w:rPr>
                <w:rFonts w:ascii="Cambria" w:eastAsia="Times New Roman" w:hAnsi="Cambria" w:cs="Times New Roman"/>
                <w:b/>
                <w:bCs/>
                <w:color w:val="auto"/>
                <w:kern w:val="0"/>
                <w:sz w:val="20"/>
                <w:szCs w:val="20"/>
                <w:u w:val="single"/>
                <w:lang w:eastAsia="en-US" w:bidi="en-US"/>
                <w14:ligatures w14:val="none"/>
              </w:rPr>
              <w:t xml:space="preserve">    </w:t>
            </w:r>
            <w:r w:rsidR="0038759E" w:rsidRPr="00504081">
              <w:rPr>
                <w:rFonts w:ascii="Cambria" w:eastAsia="Times New Roman" w:hAnsi="Cambria" w:cs="Times New Roman"/>
                <w:b/>
                <w:bCs/>
                <w:color w:val="auto"/>
                <w:kern w:val="0"/>
                <w:sz w:val="20"/>
                <w:szCs w:val="20"/>
                <w:u w:val="single"/>
                <w:lang w:eastAsia="en-US" w:bidi="en-US"/>
                <w14:ligatures w14:val="none"/>
              </w:rPr>
              <w:t>p</w:t>
            </w:r>
            <w:r w:rsidR="00A730D6" w:rsidRPr="00504081">
              <w:rPr>
                <w:rFonts w:ascii="Cambria" w:eastAsia="Times New Roman" w:hAnsi="Cambria" w:cs="Times New Roman"/>
                <w:b/>
                <w:bCs/>
                <w:color w:val="auto"/>
                <w:kern w:val="0"/>
                <w:sz w:val="20"/>
                <w:szCs w:val="20"/>
                <w:u w:val="single"/>
                <w:lang w:eastAsia="en-US" w:bidi="en-US"/>
                <w14:ligatures w14:val="none"/>
              </w:rPr>
              <w:t>esen entre 8 kg y 30 kg; o</w:t>
            </w:r>
          </w:p>
          <w:p w14:paraId="3DBC2AB7" w14:textId="4B71B86B" w:rsidR="00794C5D" w:rsidRPr="00B256E6" w:rsidRDefault="00A730D6" w:rsidP="00834ADD">
            <w:pPr>
              <w:spacing w:after="120" w:line="240" w:lineRule="auto"/>
              <w:ind w:left="455" w:right="44" w:hanging="90"/>
              <w:jc w:val="both"/>
              <w:rPr>
                <w:rFonts w:ascii="Cambria" w:hAnsi="Cambria"/>
                <w:iCs/>
                <w:sz w:val="20"/>
                <w:szCs w:val="20"/>
              </w:rPr>
            </w:pPr>
            <w:r w:rsidRPr="00504081">
              <w:rPr>
                <w:rFonts w:ascii="Cambria" w:eastAsia="Times New Roman" w:hAnsi="Cambria" w:cs="Times New Roman"/>
                <w:b/>
                <w:bCs/>
                <w:color w:val="auto"/>
                <w:kern w:val="0"/>
                <w:sz w:val="20"/>
                <w:szCs w:val="20"/>
                <w:u w:val="single"/>
                <w:lang w:eastAsia="en-US" w:bidi="en-US"/>
                <w14:ligatures w14:val="none"/>
              </w:rPr>
              <w:t>b</w:t>
            </w:r>
            <w:r w:rsidR="00504081">
              <w:rPr>
                <w:rFonts w:ascii="Cambria" w:eastAsia="Times New Roman" w:hAnsi="Cambria" w:cs="Times New Roman"/>
                <w:b/>
                <w:bCs/>
                <w:color w:val="auto"/>
                <w:kern w:val="0"/>
                <w:sz w:val="20"/>
                <w:szCs w:val="20"/>
                <w:u w:val="single"/>
                <w:lang w:eastAsia="en-US" w:bidi="en-US"/>
                <w14:ligatures w14:val="none"/>
              </w:rPr>
              <w:t>)</w:t>
            </w:r>
            <w:r w:rsidRPr="00504081">
              <w:rPr>
                <w:rFonts w:ascii="Cambria" w:eastAsia="Times New Roman" w:hAnsi="Cambria" w:cs="Times New Roman"/>
                <w:b/>
                <w:bCs/>
                <w:color w:val="auto"/>
                <w:kern w:val="0"/>
                <w:sz w:val="20"/>
                <w:szCs w:val="20"/>
                <w:u w:val="single"/>
                <w:lang w:eastAsia="en-US" w:bidi="en-US"/>
                <w14:ligatures w14:val="none"/>
              </w:rPr>
              <w:t xml:space="preserve">    </w:t>
            </w:r>
            <w:r w:rsidR="0038759E" w:rsidRPr="00504081">
              <w:rPr>
                <w:rFonts w:ascii="Cambria" w:eastAsia="Times New Roman" w:hAnsi="Cambria" w:cs="Times New Roman"/>
                <w:b/>
                <w:bCs/>
                <w:color w:val="auto"/>
                <w:kern w:val="0"/>
                <w:sz w:val="20"/>
                <w:szCs w:val="20"/>
                <w:u w:val="single"/>
                <w:lang w:eastAsia="en-US" w:bidi="en-US"/>
                <w14:ligatures w14:val="none"/>
              </w:rPr>
              <w:t>t</w:t>
            </w:r>
            <w:r w:rsidRPr="00504081">
              <w:rPr>
                <w:rFonts w:ascii="Cambria" w:eastAsia="Times New Roman" w:hAnsi="Cambria" w:cs="Times New Roman"/>
                <w:b/>
                <w:bCs/>
                <w:color w:val="auto"/>
                <w:kern w:val="0"/>
                <w:sz w:val="20"/>
                <w:szCs w:val="20"/>
                <w:u w:val="single"/>
                <w:lang w:eastAsia="en-US" w:bidi="en-US"/>
                <w14:ligatures w14:val="none"/>
              </w:rPr>
              <w:t>engan una longitud a la horquilla de entre 75 y 115 cm</w:t>
            </w:r>
            <w:r w:rsidR="00A63476">
              <w:rPr>
                <w:rFonts w:ascii="Cambria" w:eastAsia="Times New Roman" w:hAnsi="Cambria" w:cs="Times New Roman"/>
                <w:b/>
                <w:bCs/>
                <w:color w:val="auto"/>
                <w:kern w:val="0"/>
                <w:sz w:val="20"/>
                <w:szCs w:val="20"/>
                <w:u w:val="single"/>
                <w:lang w:eastAsia="en-US" w:bidi="en-US"/>
                <w14:ligatures w14:val="none"/>
              </w:rPr>
              <w:t>.</w:t>
            </w:r>
          </w:p>
        </w:tc>
        <w:tc>
          <w:tcPr>
            <w:tcW w:w="2114" w:type="pct"/>
          </w:tcPr>
          <w:p w14:paraId="69FA6BAC" w14:textId="77777777" w:rsidR="004E724E" w:rsidRPr="00795B01" w:rsidRDefault="004E724E" w:rsidP="004E724E">
            <w:pPr>
              <w:spacing w:line="239" w:lineRule="auto"/>
              <w:jc w:val="both"/>
            </w:pPr>
            <w:r w:rsidRPr="00795B01">
              <w:rPr>
                <w:rFonts w:ascii="Cambria" w:hAnsi="Cambria"/>
                <w:sz w:val="20"/>
              </w:rPr>
              <w:lastRenderedPageBreak/>
              <w:t xml:space="preserve">Hay una contradicción entre la primera y la segunda frase del párrafo 33 que debe corregirse. </w:t>
            </w:r>
          </w:p>
          <w:p w14:paraId="4701A310" w14:textId="77777777" w:rsidR="004E724E" w:rsidRPr="00795B01" w:rsidRDefault="004E724E" w:rsidP="004E724E"/>
          <w:p w14:paraId="24D98723" w14:textId="77777777" w:rsidR="004E724E" w:rsidRPr="00795B01" w:rsidRDefault="004E724E" w:rsidP="004E724E">
            <w:pPr>
              <w:spacing w:after="1" w:line="238" w:lineRule="auto"/>
              <w:ind w:right="45"/>
              <w:jc w:val="both"/>
            </w:pPr>
            <w:r w:rsidRPr="00795B01">
              <w:rPr>
                <w:rFonts w:ascii="Cambria" w:hAnsi="Cambria"/>
                <w:sz w:val="20"/>
              </w:rPr>
              <w:t xml:space="preserve">Entendemos que la aplicación actual de este párrafo es que el cumplimiento de uno de los dos requisitos (talla o peso) es suficiente para considerar un atún rojo de talla legal. </w:t>
            </w:r>
          </w:p>
          <w:p w14:paraId="482219E3" w14:textId="77777777" w:rsidR="004E724E" w:rsidRPr="00795B01" w:rsidRDefault="004E724E" w:rsidP="004E724E">
            <w:pPr>
              <w:spacing w:after="1" w:line="238" w:lineRule="auto"/>
              <w:ind w:right="45"/>
              <w:jc w:val="both"/>
            </w:pPr>
          </w:p>
          <w:p w14:paraId="76BF7BCE" w14:textId="357BBB10" w:rsidR="0050098E" w:rsidRPr="00B256E6" w:rsidRDefault="004E724E" w:rsidP="004E724E">
            <w:pPr>
              <w:spacing w:after="120" w:line="240" w:lineRule="auto"/>
              <w:jc w:val="both"/>
              <w:rPr>
                <w:rFonts w:ascii="Cambria" w:hAnsi="Cambria"/>
                <w:sz w:val="20"/>
                <w:szCs w:val="20"/>
              </w:rPr>
            </w:pPr>
            <w:r w:rsidRPr="00795B01">
              <w:rPr>
                <w:rFonts w:ascii="Cambria" w:hAnsi="Cambria"/>
                <w:sz w:val="20"/>
              </w:rPr>
              <w:t xml:space="preserve">NOTA. Esta aclaración también requiere </w:t>
            </w:r>
            <w:r w:rsidRPr="004E724E">
              <w:rPr>
                <w:rFonts w:ascii="Cambria" w:hAnsi="Cambria"/>
                <w:sz w:val="20"/>
              </w:rPr>
              <w:t>una modificación del eBCD, ya que actualmente el eBCD s</w:t>
            </w:r>
            <w:r>
              <w:rPr>
                <w:rFonts w:ascii="Cambria" w:hAnsi="Cambria"/>
                <w:sz w:val="20"/>
              </w:rPr>
              <w:t>o</w:t>
            </w:r>
            <w:r w:rsidRPr="004E724E">
              <w:rPr>
                <w:rFonts w:ascii="Cambria" w:hAnsi="Cambria"/>
                <w:sz w:val="20"/>
              </w:rPr>
              <w:t>lo tien</w:t>
            </w:r>
            <w:r w:rsidRPr="00795B01">
              <w:rPr>
                <w:rFonts w:ascii="Cambria" w:hAnsi="Cambria"/>
                <w:sz w:val="20"/>
              </w:rPr>
              <w:t xml:space="preserve">e en cuenta el peso. Un pez con </w:t>
            </w:r>
            <w:r w:rsidRPr="00795B01">
              <w:rPr>
                <w:rFonts w:ascii="Cambria" w:hAnsi="Cambria"/>
                <w:sz w:val="20"/>
              </w:rPr>
              <w:lastRenderedPageBreak/>
              <w:t>un peso inferior al mínimo, pero con una talla superior a la mínima no debería considerarse de talla inferior a la regulada, pero el eBCD actualmente lo considera como tal. Esto es importante para controlar la tolerancia del 5 % por debajo de la talla mínima.</w:t>
            </w:r>
          </w:p>
        </w:tc>
      </w:tr>
      <w:tr w:rsidR="00D1459D" w:rsidRPr="00B256E6" w14:paraId="371C0BBF" w14:textId="77777777" w:rsidTr="00A96F23">
        <w:tc>
          <w:tcPr>
            <w:tcW w:w="505" w:type="pct"/>
          </w:tcPr>
          <w:p w14:paraId="591A0B97" w14:textId="0D0847D2" w:rsidR="00D1459D" w:rsidRPr="00B256E6" w:rsidRDefault="00D1459D" w:rsidP="0093780B">
            <w:pPr>
              <w:spacing w:after="120" w:line="240" w:lineRule="auto"/>
              <w:jc w:val="both"/>
              <w:rPr>
                <w:rFonts w:ascii="Cambria" w:hAnsi="Cambria"/>
                <w:sz w:val="20"/>
                <w:szCs w:val="20"/>
              </w:rPr>
            </w:pPr>
            <w:r>
              <w:rPr>
                <w:rFonts w:ascii="Cambria" w:hAnsi="Cambria"/>
                <w:sz w:val="20"/>
              </w:rPr>
              <w:lastRenderedPageBreak/>
              <w:t>Párr</w:t>
            </w:r>
            <w:r w:rsidR="004E724E">
              <w:rPr>
                <w:rFonts w:ascii="Cambria" w:hAnsi="Cambria"/>
                <w:sz w:val="20"/>
              </w:rPr>
              <w:t>.</w:t>
            </w:r>
            <w:r>
              <w:rPr>
                <w:rFonts w:ascii="Cambria" w:hAnsi="Cambria"/>
                <w:sz w:val="20"/>
              </w:rPr>
              <w:t xml:space="preserve"> 170 (título) </w:t>
            </w:r>
          </w:p>
        </w:tc>
        <w:tc>
          <w:tcPr>
            <w:tcW w:w="2381" w:type="pct"/>
          </w:tcPr>
          <w:p w14:paraId="573B8336" w14:textId="33F0408C" w:rsidR="00D1459D" w:rsidRPr="00FD75AB" w:rsidRDefault="00FD75AB" w:rsidP="00FD75AB">
            <w:pPr>
              <w:keepNext/>
              <w:keepLines/>
              <w:spacing w:line="265" w:lineRule="auto"/>
              <w:ind w:left="18" w:hanging="10"/>
              <w:outlineLvl w:val="0"/>
              <w:rPr>
                <w:rFonts w:ascii="Cambria" w:eastAsia="Cambria" w:hAnsi="Cambria" w:cs="Cambria"/>
                <w:b/>
                <w:kern w:val="0"/>
                <w:sz w:val="20"/>
                <w:szCs w:val="20"/>
                <w:lang w:eastAsia="en-US"/>
                <w14:ligatures w14:val="none"/>
              </w:rPr>
            </w:pPr>
            <w:r w:rsidRPr="002B4CCA">
              <w:rPr>
                <w:rFonts w:ascii="Cambria" w:eastAsia="Cambria" w:hAnsi="Cambria" w:cs="Cambria"/>
                <w:bCs/>
                <w:kern w:val="0"/>
                <w:sz w:val="20"/>
                <w:szCs w:val="20"/>
                <w:lang w:eastAsia="en-US"/>
                <w14:ligatures w14:val="none"/>
              </w:rPr>
              <w:t>Análisis de las grabaciones de vídeo de las</w:t>
            </w:r>
            <w:r>
              <w:rPr>
                <w:rFonts w:ascii="Cambria" w:eastAsia="Cambria" w:hAnsi="Cambria" w:cs="Cambria"/>
                <w:b/>
                <w:kern w:val="0"/>
                <w:sz w:val="20"/>
                <w:szCs w:val="20"/>
                <w:lang w:eastAsia="en-US"/>
                <w14:ligatures w14:val="none"/>
              </w:rPr>
              <w:t xml:space="preserve"> </w:t>
            </w:r>
            <w:r w:rsidRPr="002766EA">
              <w:rPr>
                <w:rFonts w:ascii="Cambria" w:eastAsia="Cambria" w:hAnsi="Cambria" w:cs="Cambria"/>
                <w:b/>
                <w:kern w:val="0"/>
                <w:sz w:val="20"/>
                <w:szCs w:val="20"/>
                <w:u w:val="single"/>
                <w:lang w:eastAsia="en-US"/>
                <w14:ligatures w14:val="none"/>
              </w:rPr>
              <w:t>cámaras de control</w:t>
            </w:r>
            <w:r w:rsidRPr="0037332B">
              <w:rPr>
                <w:rFonts w:ascii="Cambria" w:eastAsia="Cambria" w:hAnsi="Cambria" w:cs="Cambria"/>
                <w:b/>
                <w:kern w:val="0"/>
                <w:sz w:val="20"/>
                <w:szCs w:val="20"/>
                <w:lang w:eastAsia="en-US"/>
                <w14:ligatures w14:val="none"/>
              </w:rPr>
              <w:t xml:space="preserve"> </w:t>
            </w:r>
            <w:r w:rsidRPr="002B4CCA">
              <w:rPr>
                <w:rFonts w:ascii="Cambria" w:eastAsia="Cambria" w:hAnsi="Cambria" w:cs="Cambria"/>
                <w:bCs/>
                <w:kern w:val="0"/>
                <w:sz w:val="20"/>
                <w:szCs w:val="20"/>
                <w:lang w:eastAsia="en-US"/>
                <w14:ligatures w14:val="none"/>
              </w:rPr>
              <w:t>por parte de la autoridad competente de la CPC de la granja</w:t>
            </w:r>
          </w:p>
        </w:tc>
        <w:tc>
          <w:tcPr>
            <w:tcW w:w="2114" w:type="pct"/>
          </w:tcPr>
          <w:p w14:paraId="212582EA" w14:textId="27D37094" w:rsidR="00D1459D" w:rsidRPr="00B256E6" w:rsidRDefault="00610238" w:rsidP="0093780B">
            <w:pPr>
              <w:spacing w:after="120" w:line="240" w:lineRule="auto"/>
              <w:jc w:val="both"/>
              <w:rPr>
                <w:rFonts w:ascii="Cambria" w:hAnsi="Cambria"/>
                <w:sz w:val="20"/>
                <w:szCs w:val="20"/>
              </w:rPr>
            </w:pPr>
            <w:r w:rsidRPr="00406E37">
              <w:rPr>
                <w:rFonts w:ascii="Cambria" w:hAnsi="Cambria"/>
                <w:sz w:val="20"/>
              </w:rPr>
              <w:t>El número de atunes rojos introducidos en jaula puede determinarse utilizando una cámara convencional o estereoscópica. En algunos casos, debido a la distancia al puerto, la grabación de vídeo estereoscópico no puede captar todos los peces que entran en la jaula, mientras que las grabaciones de vídeo convencionales sí lo consiguen</w:t>
            </w:r>
            <w:r>
              <w:rPr>
                <w:rFonts w:ascii="Cambria" w:hAnsi="Cambria"/>
                <w:sz w:val="20"/>
              </w:rPr>
              <w:t>.</w:t>
            </w:r>
          </w:p>
        </w:tc>
      </w:tr>
      <w:tr w:rsidR="00D1459D" w:rsidRPr="00B256E6" w14:paraId="2447DE3F" w14:textId="77777777" w:rsidTr="00A96F23">
        <w:tc>
          <w:tcPr>
            <w:tcW w:w="505" w:type="pct"/>
          </w:tcPr>
          <w:p w14:paraId="49FB75D4" w14:textId="31B65D7B" w:rsidR="00D1459D" w:rsidRPr="00B256E6" w:rsidRDefault="004E724E" w:rsidP="0093780B">
            <w:pPr>
              <w:spacing w:after="120" w:line="240" w:lineRule="auto"/>
              <w:jc w:val="both"/>
              <w:rPr>
                <w:rFonts w:ascii="Cambria" w:hAnsi="Cambria"/>
                <w:sz w:val="20"/>
                <w:szCs w:val="20"/>
              </w:rPr>
            </w:pPr>
            <w:r>
              <w:rPr>
                <w:rFonts w:ascii="Cambria" w:hAnsi="Cambria"/>
                <w:sz w:val="20"/>
              </w:rPr>
              <w:t>Párr</w:t>
            </w:r>
            <w:r w:rsidR="008A67EF">
              <w:rPr>
                <w:rFonts w:ascii="Cambria" w:hAnsi="Cambria"/>
                <w:sz w:val="20"/>
              </w:rPr>
              <w:t>. 210</w:t>
            </w:r>
            <w:r w:rsidR="002B4CCA">
              <w:rPr>
                <w:rFonts w:ascii="Cambria" w:hAnsi="Cambria"/>
                <w:sz w:val="20"/>
              </w:rPr>
              <w:t>.</w:t>
            </w:r>
            <w:r w:rsidR="008A67EF">
              <w:rPr>
                <w:rFonts w:ascii="Cambria" w:hAnsi="Cambria"/>
                <w:sz w:val="20"/>
              </w:rPr>
              <w:t>a)</w:t>
            </w:r>
          </w:p>
        </w:tc>
        <w:tc>
          <w:tcPr>
            <w:tcW w:w="2381" w:type="pct"/>
          </w:tcPr>
          <w:p w14:paraId="4EE41EE1" w14:textId="26A6C999" w:rsidR="00D1459D" w:rsidRPr="00736336" w:rsidRDefault="00736336" w:rsidP="00CE038A">
            <w:pPr>
              <w:spacing w:after="120" w:line="240" w:lineRule="auto"/>
              <w:jc w:val="both"/>
              <w:rPr>
                <w:rFonts w:ascii="Cambria" w:hAnsi="Cambria"/>
                <w:b/>
                <w:bCs/>
                <w:sz w:val="20"/>
                <w:szCs w:val="20"/>
                <w:u w:val="single"/>
              </w:rPr>
            </w:pPr>
            <w:r w:rsidRPr="00736336">
              <w:rPr>
                <w:rFonts w:ascii="Cambria" w:hAnsi="Cambria"/>
                <w:b/>
                <w:bCs/>
                <w:sz w:val="20"/>
                <w:szCs w:val="20"/>
                <w:u w:val="single"/>
              </w:rPr>
              <w:t>En caso de que persistan condiciones de turbidez en la zona de la granja, la autoridad competente de la CPC de la granja podrá autorizar que el control del traspaso se realice fuera de la granja, en una zona adyacente donde haya suficiente visibilidad. Las CPC documentar</w:t>
            </w:r>
            <w:r w:rsidR="00B9096A">
              <w:rPr>
                <w:rFonts w:ascii="Cambria" w:hAnsi="Cambria"/>
                <w:b/>
                <w:bCs/>
                <w:sz w:val="20"/>
                <w:szCs w:val="20"/>
                <w:u w:val="single"/>
              </w:rPr>
              <w:t>án</w:t>
            </w:r>
            <w:r w:rsidRPr="00736336">
              <w:rPr>
                <w:rFonts w:ascii="Cambria" w:hAnsi="Cambria"/>
                <w:b/>
                <w:bCs/>
                <w:sz w:val="20"/>
                <w:szCs w:val="20"/>
                <w:u w:val="single"/>
              </w:rPr>
              <w:t xml:space="preserve"> la medición de la turbidez de acuerdo con métodos estandarizados.</w:t>
            </w:r>
          </w:p>
        </w:tc>
        <w:tc>
          <w:tcPr>
            <w:tcW w:w="2114" w:type="pct"/>
          </w:tcPr>
          <w:p w14:paraId="208187EA" w14:textId="68CBDDCF" w:rsidR="00D1459D" w:rsidRPr="00B256E6" w:rsidRDefault="00441443" w:rsidP="0093780B">
            <w:pPr>
              <w:spacing w:after="120" w:line="240" w:lineRule="auto"/>
              <w:jc w:val="both"/>
              <w:rPr>
                <w:rFonts w:ascii="Cambria" w:hAnsi="Cambria"/>
                <w:sz w:val="20"/>
                <w:szCs w:val="20"/>
              </w:rPr>
            </w:pPr>
            <w:r w:rsidRPr="003A4900">
              <w:rPr>
                <w:rFonts w:ascii="Cambria" w:hAnsi="Cambria"/>
                <w:sz w:val="20"/>
              </w:rPr>
              <w:t>La turbidez también debe tenerse en cuenta cuando exista un impedimento para cumplir con obligaciones distintas de los procedimientos de introducción en jaulas (párrafo 164), al igual que para la determinación del traspaso con arreglo al párrafo 203. El párrafo 203 establece un plazo claro para notificar el traspaso; por lo tanto, es necesario prever medidas específicas que aborden esta cuestión.</w:t>
            </w:r>
          </w:p>
        </w:tc>
      </w:tr>
      <w:tr w:rsidR="00B41F51" w:rsidRPr="00B256E6" w14:paraId="0ABB1272" w14:textId="77777777" w:rsidTr="00A96F23">
        <w:tc>
          <w:tcPr>
            <w:tcW w:w="505" w:type="pct"/>
          </w:tcPr>
          <w:p w14:paraId="7425E03D" w14:textId="3F48B6AE" w:rsidR="00B41F51" w:rsidRPr="00B256E6" w:rsidRDefault="00B41F51" w:rsidP="00B41F51">
            <w:pPr>
              <w:spacing w:after="120" w:line="240" w:lineRule="auto"/>
              <w:jc w:val="both"/>
              <w:rPr>
                <w:rFonts w:ascii="Cambria" w:hAnsi="Cambria"/>
                <w:sz w:val="20"/>
                <w:szCs w:val="20"/>
              </w:rPr>
            </w:pPr>
            <w:r>
              <w:rPr>
                <w:rFonts w:ascii="Cambria" w:hAnsi="Cambria"/>
                <w:sz w:val="20"/>
                <w:szCs w:val="20"/>
                <w:lang w:val="en-US"/>
              </w:rPr>
              <w:t>Anexo</w:t>
            </w:r>
            <w:r w:rsidRPr="00311166">
              <w:rPr>
                <w:rFonts w:ascii="Cambria" w:hAnsi="Cambria"/>
                <w:sz w:val="20"/>
                <w:szCs w:val="20"/>
                <w:lang w:val="en-US"/>
              </w:rPr>
              <w:t xml:space="preserve"> 2 - A </w:t>
            </w:r>
            <w:r>
              <w:rPr>
                <w:rFonts w:ascii="Cambria" w:hAnsi="Cambria"/>
                <w:sz w:val="20"/>
                <w:szCs w:val="20"/>
                <w:lang w:val="en-US"/>
              </w:rPr>
              <w:t>–</w:t>
            </w:r>
            <w:r w:rsidRPr="00311166">
              <w:rPr>
                <w:rFonts w:ascii="Cambria" w:hAnsi="Cambria"/>
                <w:sz w:val="20"/>
                <w:szCs w:val="20"/>
                <w:lang w:val="en-US"/>
              </w:rPr>
              <w:t xml:space="preserve"> </w:t>
            </w:r>
            <w:proofErr w:type="spellStart"/>
            <w:r>
              <w:rPr>
                <w:rFonts w:ascii="Cambria" w:hAnsi="Cambria"/>
                <w:sz w:val="20"/>
                <w:szCs w:val="20"/>
                <w:lang w:val="en-US"/>
              </w:rPr>
              <w:t>párr</w:t>
            </w:r>
            <w:proofErr w:type="spellEnd"/>
            <w:r>
              <w:rPr>
                <w:rFonts w:ascii="Cambria" w:hAnsi="Cambria"/>
                <w:sz w:val="20"/>
                <w:szCs w:val="20"/>
                <w:lang w:val="en-US"/>
              </w:rPr>
              <w:t>.</w:t>
            </w:r>
            <w:r w:rsidRPr="00311166">
              <w:rPr>
                <w:rFonts w:ascii="Cambria" w:hAnsi="Cambria"/>
                <w:sz w:val="20"/>
                <w:szCs w:val="20"/>
                <w:lang w:val="en-US"/>
              </w:rPr>
              <w:t xml:space="preserve"> 2</w:t>
            </w:r>
          </w:p>
        </w:tc>
        <w:tc>
          <w:tcPr>
            <w:tcW w:w="2381" w:type="pct"/>
          </w:tcPr>
          <w:p w14:paraId="6C187DB1" w14:textId="701582A1" w:rsidR="00B41F51" w:rsidRPr="00B256E6" w:rsidRDefault="00B41F51" w:rsidP="00B41F51">
            <w:pPr>
              <w:spacing w:after="120" w:line="240" w:lineRule="auto"/>
              <w:jc w:val="both"/>
              <w:rPr>
                <w:rFonts w:ascii="Cambria" w:hAnsi="Cambria"/>
                <w:sz w:val="20"/>
                <w:szCs w:val="20"/>
              </w:rPr>
            </w:pPr>
            <w:r w:rsidRPr="00683B99">
              <w:rPr>
                <w:rFonts w:ascii="Cambria" w:eastAsia="Times New Roman" w:hAnsi="Cambria" w:cs="Times New Roman"/>
                <w:kern w:val="0"/>
                <w:sz w:val="20"/>
                <w:szCs w:val="20"/>
                <w:lang w:eastAsia="en-US" w:bidi="en-US"/>
                <w14:ligatures w14:val="none"/>
              </w:rPr>
              <w:t xml:space="preserve">El cuaderno de pesca debe rellenarse cada día (antes de medianoche) o antes de la llegada a puerto. </w:t>
            </w:r>
            <w:r w:rsidRPr="005B5EC8">
              <w:rPr>
                <w:rFonts w:ascii="Cambria" w:hAnsi="Cambria"/>
                <w:b/>
                <w:bCs/>
                <w:sz w:val="20"/>
                <w:szCs w:val="20"/>
                <w:u w:val="single"/>
              </w:rPr>
              <w:t xml:space="preserve">Las cifras relativas al peso y al número de peces podrán modificarse tras </w:t>
            </w:r>
            <w:r w:rsidR="00010D5C">
              <w:rPr>
                <w:rFonts w:ascii="Cambria" w:hAnsi="Cambria"/>
                <w:b/>
                <w:bCs/>
                <w:sz w:val="20"/>
                <w:szCs w:val="20"/>
                <w:u w:val="single"/>
              </w:rPr>
              <w:t>el análisis</w:t>
            </w:r>
            <w:r w:rsidRPr="005B5EC8">
              <w:rPr>
                <w:rFonts w:ascii="Cambria" w:hAnsi="Cambria"/>
                <w:b/>
                <w:bCs/>
                <w:sz w:val="20"/>
                <w:szCs w:val="20"/>
                <w:u w:val="single"/>
              </w:rPr>
              <w:t xml:space="preserve"> de las grabaciones de vídeo de la primera transferencia y antes de la llegada al puerto.</w:t>
            </w:r>
          </w:p>
        </w:tc>
        <w:tc>
          <w:tcPr>
            <w:tcW w:w="2114" w:type="pct"/>
          </w:tcPr>
          <w:p w14:paraId="029AE11F" w14:textId="509DE341" w:rsidR="00B41F51" w:rsidRPr="00B256E6" w:rsidRDefault="00B41F51" w:rsidP="00B41F51">
            <w:pPr>
              <w:spacing w:after="120" w:line="240" w:lineRule="auto"/>
              <w:jc w:val="both"/>
              <w:rPr>
                <w:rFonts w:ascii="Cambria" w:hAnsi="Cambria"/>
                <w:sz w:val="20"/>
                <w:szCs w:val="20"/>
              </w:rPr>
            </w:pPr>
            <w:r w:rsidRPr="00D20949">
              <w:rPr>
                <w:rFonts w:ascii="Cambria" w:hAnsi="Cambria"/>
                <w:sz w:val="20"/>
              </w:rPr>
              <w:t>Se han emitido PNC debido al incumplimiento de los plazos para comunicar la información consignada en el cuaderno de pesca. Para evitar esta situación, conviene tener en cuenta que las cifras estimadas enviadas antes de medianoche pueden modificarse tras el análisis de las grabaciones de vídeo</w:t>
            </w:r>
            <w:r w:rsidR="009526C3">
              <w:rPr>
                <w:rFonts w:ascii="Cambria" w:hAnsi="Cambria"/>
                <w:sz w:val="20"/>
              </w:rPr>
              <w:t>.</w:t>
            </w:r>
          </w:p>
        </w:tc>
      </w:tr>
      <w:tr w:rsidR="00FF3EF3" w:rsidRPr="00B256E6" w14:paraId="247B6CB0" w14:textId="77777777" w:rsidTr="00A96F23">
        <w:tc>
          <w:tcPr>
            <w:tcW w:w="505" w:type="pct"/>
          </w:tcPr>
          <w:p w14:paraId="557220D7" w14:textId="10EEC35E" w:rsidR="00FF3EF3" w:rsidRPr="00B256E6" w:rsidRDefault="00FF3EF3" w:rsidP="00FF3EF3">
            <w:pPr>
              <w:spacing w:after="120" w:line="240" w:lineRule="auto"/>
              <w:jc w:val="both"/>
              <w:rPr>
                <w:rFonts w:ascii="Cambria" w:hAnsi="Cambria"/>
                <w:sz w:val="20"/>
                <w:szCs w:val="20"/>
              </w:rPr>
            </w:pPr>
            <w:r w:rsidRPr="009E379B">
              <w:rPr>
                <w:rFonts w:ascii="Cambria" w:hAnsi="Cambria"/>
                <w:sz w:val="20"/>
                <w:szCs w:val="20"/>
                <w:lang w:val="pt-BR"/>
              </w:rPr>
              <w:t xml:space="preserve">Anexo 6 – </w:t>
            </w:r>
            <w:r>
              <w:rPr>
                <w:rFonts w:ascii="Cambria" w:hAnsi="Cambria"/>
                <w:sz w:val="20"/>
                <w:szCs w:val="20"/>
                <w:lang w:val="pt-BR"/>
              </w:rPr>
              <w:t xml:space="preserve">tareas </w:t>
            </w:r>
            <w:r w:rsidR="00FB4632">
              <w:rPr>
                <w:rFonts w:ascii="Cambria" w:hAnsi="Cambria"/>
                <w:sz w:val="20"/>
                <w:szCs w:val="20"/>
                <w:lang w:val="pt-BR"/>
              </w:rPr>
              <w:t xml:space="preserve">del </w:t>
            </w:r>
            <w:r w:rsidRPr="009E379B">
              <w:rPr>
                <w:rFonts w:ascii="Cambria" w:hAnsi="Cambria"/>
                <w:sz w:val="20"/>
                <w:szCs w:val="20"/>
                <w:lang w:val="pt-BR"/>
              </w:rPr>
              <w:t xml:space="preserve">ROP– </w:t>
            </w:r>
            <w:r>
              <w:rPr>
                <w:rFonts w:ascii="Cambria" w:hAnsi="Cambria"/>
                <w:sz w:val="20"/>
                <w:szCs w:val="20"/>
                <w:lang w:val="pt-BR"/>
              </w:rPr>
              <w:t>párr.</w:t>
            </w:r>
            <w:r w:rsidRPr="009E379B">
              <w:rPr>
                <w:rFonts w:ascii="Cambria" w:hAnsi="Cambria"/>
                <w:sz w:val="20"/>
                <w:szCs w:val="20"/>
                <w:lang w:val="pt-BR"/>
              </w:rPr>
              <w:t xml:space="preserve"> xxii</w:t>
            </w:r>
          </w:p>
        </w:tc>
        <w:tc>
          <w:tcPr>
            <w:tcW w:w="2381" w:type="pct"/>
          </w:tcPr>
          <w:p w14:paraId="6EF8CEFB" w14:textId="631A044D" w:rsidR="00FF3EF3" w:rsidRPr="003A134E" w:rsidRDefault="00FF3EF3" w:rsidP="00FF3EF3">
            <w:pPr>
              <w:widowControl w:val="0"/>
              <w:spacing w:line="249" w:lineRule="auto"/>
              <w:ind w:right="140"/>
              <w:jc w:val="both"/>
              <w:rPr>
                <w:rFonts w:ascii="Cambria" w:eastAsia="Cambria" w:hAnsi="Cambria" w:cs="Cambria"/>
                <w:bCs/>
                <w:kern w:val="0"/>
                <w:sz w:val="20"/>
                <w:szCs w:val="20"/>
                <w:lang w:eastAsia="en-US"/>
                <w14:ligatures w14:val="none"/>
              </w:rPr>
            </w:pPr>
            <w:r>
              <w:rPr>
                <w:rFonts w:ascii="Cambria" w:eastAsia="Cambria" w:hAnsi="Cambria" w:cs="Times New Roman"/>
                <w:bCs/>
                <w:kern w:val="0"/>
                <w:sz w:val="20"/>
                <w:szCs w:val="20"/>
                <w:lang w:eastAsia="en-US"/>
                <w14:ligatures w14:val="none"/>
              </w:rPr>
              <w:t>e</w:t>
            </w:r>
            <w:r w:rsidRPr="003A134E">
              <w:rPr>
                <w:rFonts w:ascii="Cambria" w:eastAsia="Cambria" w:hAnsi="Cambria" w:cs="Times New Roman"/>
                <w:bCs/>
                <w:kern w:val="0"/>
                <w:sz w:val="20"/>
                <w:szCs w:val="20"/>
                <w:lang w:eastAsia="en-US"/>
                <w14:ligatures w14:val="none"/>
              </w:rPr>
              <w:t>n lo que respecta a las liberaciones</w:t>
            </w:r>
            <w:r w:rsidRPr="003A134E">
              <w:rPr>
                <w:rFonts w:ascii="Cambria" w:eastAsia="Cambria" w:hAnsi="Cambria" w:cs="Times New Roman"/>
                <w:bCs/>
                <w:kern w:val="0"/>
                <w:sz w:val="24"/>
                <w:lang w:eastAsia="en-US" w:bidi="en-US"/>
                <w14:ligatures w14:val="none"/>
              </w:rPr>
              <w:t xml:space="preserve"> </w:t>
            </w:r>
            <w:r w:rsidRPr="003A134E">
              <w:rPr>
                <w:rFonts w:ascii="Cambria" w:eastAsia="Cambria" w:hAnsi="Cambria" w:cs="Times New Roman"/>
                <w:bCs/>
                <w:kern w:val="0"/>
                <w:sz w:val="20"/>
                <w:szCs w:val="20"/>
                <w:lang w:eastAsia="en-US"/>
                <w14:ligatures w14:val="none"/>
              </w:rPr>
              <w:t>tras la introducción en jaulas,</w:t>
            </w:r>
            <w:r w:rsidRPr="003A134E">
              <w:rPr>
                <w:rFonts w:ascii="Cambria" w:eastAsia="Cambria" w:hAnsi="Cambria" w:cs="Cambria"/>
                <w:bCs/>
                <w:kern w:val="0"/>
                <w:sz w:val="20"/>
                <w:szCs w:val="20"/>
                <w:lang w:eastAsia="en-US"/>
                <w14:ligatures w14:val="none"/>
              </w:rPr>
              <w:t xml:space="preserve"> observar e informar sobre la segregación previa de los peces </w:t>
            </w:r>
            <w:r w:rsidRPr="00F85111">
              <w:rPr>
                <w:rFonts w:ascii="Cambria" w:eastAsia="Cambria" w:hAnsi="Cambria" w:cs="Cambria"/>
                <w:b/>
                <w:kern w:val="0"/>
                <w:sz w:val="20"/>
                <w:szCs w:val="20"/>
                <w:u w:val="single"/>
                <w:lang w:eastAsia="en-US"/>
                <w14:ligatures w14:val="none"/>
              </w:rPr>
              <w:t>y la operación de liberación posterior</w:t>
            </w:r>
            <w:r w:rsidRPr="003A134E">
              <w:rPr>
                <w:rFonts w:ascii="Cambria" w:eastAsia="Cambria" w:hAnsi="Cambria" w:cs="Cambria"/>
                <w:bCs/>
                <w:kern w:val="0"/>
                <w:sz w:val="20"/>
                <w:szCs w:val="20"/>
                <w:lang w:eastAsia="en-US"/>
                <w14:ligatures w14:val="none"/>
              </w:rPr>
              <w:t xml:space="preserve">, de conformidad con el protocolo de liberación del Anexo 10, lo que incluye verificar que la calidad de la grabación de vídeo </w:t>
            </w:r>
            <w:r w:rsidRPr="003A134E">
              <w:rPr>
                <w:rFonts w:ascii="Cambria" w:eastAsia="Cambria" w:hAnsi="Cambria" w:cs="Times New Roman"/>
                <w:bCs/>
                <w:kern w:val="0"/>
                <w:sz w:val="20"/>
                <w:szCs w:val="20"/>
                <w:lang w:eastAsia="en-US"/>
                <w14:ligatures w14:val="none"/>
              </w:rPr>
              <w:t xml:space="preserve">de la </w:t>
            </w:r>
            <w:r w:rsidRPr="003A134E">
              <w:rPr>
                <w:rFonts w:ascii="Cambria" w:eastAsia="Times New Roman" w:hAnsi="Cambria" w:cs="Times New Roman"/>
                <w:bCs/>
                <w:kern w:val="0"/>
                <w:sz w:val="20"/>
                <w:szCs w:val="20"/>
                <w:lang w:eastAsia="en-US" w:bidi="en-US"/>
                <w14:ligatures w14:val="none"/>
              </w:rPr>
              <w:t xml:space="preserve">segregación anterior </w:t>
            </w:r>
            <w:r w:rsidRPr="003A134E">
              <w:rPr>
                <w:rFonts w:ascii="Cambria" w:eastAsia="Cambria" w:hAnsi="Cambria" w:cs="Cambria"/>
                <w:bCs/>
                <w:kern w:val="0"/>
                <w:sz w:val="20"/>
                <w:szCs w:val="20"/>
                <w:lang w:eastAsia="en-US"/>
                <w14:ligatures w14:val="none"/>
              </w:rPr>
              <w:t>cumple los estándares mínimos del Anexo 8, y estimar el número de peces</w:t>
            </w:r>
            <w:r>
              <w:rPr>
                <w:rFonts w:ascii="Cambria" w:eastAsia="Cambria" w:hAnsi="Cambria" w:cs="Cambria"/>
                <w:bCs/>
                <w:kern w:val="0"/>
                <w:sz w:val="20"/>
                <w:szCs w:val="20"/>
                <w:lang w:eastAsia="en-US"/>
                <w14:ligatures w14:val="none"/>
              </w:rPr>
              <w:t xml:space="preserve"> segregados para su liberación</w:t>
            </w:r>
            <w:r w:rsidRPr="003A134E">
              <w:rPr>
                <w:rFonts w:ascii="Cambria" w:eastAsia="Cambria" w:hAnsi="Cambria" w:cs="Cambria"/>
                <w:bCs/>
                <w:kern w:val="0"/>
                <w:sz w:val="20"/>
                <w:szCs w:val="20"/>
                <w:lang w:eastAsia="en-US"/>
                <w14:ligatures w14:val="none"/>
              </w:rPr>
              <w:t>;</w:t>
            </w:r>
          </w:p>
          <w:p w14:paraId="1662BC5D" w14:textId="30776209" w:rsidR="00FF3EF3" w:rsidRPr="00B256E6" w:rsidRDefault="00FF3EF3" w:rsidP="00FF3EF3">
            <w:pPr>
              <w:spacing w:after="120" w:line="240" w:lineRule="auto"/>
              <w:jc w:val="both"/>
              <w:rPr>
                <w:rFonts w:ascii="Cambria" w:hAnsi="Cambria"/>
                <w:sz w:val="20"/>
                <w:szCs w:val="20"/>
              </w:rPr>
            </w:pPr>
          </w:p>
        </w:tc>
        <w:tc>
          <w:tcPr>
            <w:tcW w:w="2114" w:type="pct"/>
          </w:tcPr>
          <w:p w14:paraId="64E0F09C" w14:textId="7F5F9B32" w:rsidR="00FF3EF3" w:rsidRPr="00B256E6" w:rsidRDefault="00FF3EF3" w:rsidP="00FF3EF3">
            <w:pPr>
              <w:spacing w:after="120" w:line="240" w:lineRule="auto"/>
              <w:jc w:val="both"/>
              <w:rPr>
                <w:rFonts w:ascii="Cambria" w:hAnsi="Cambria"/>
                <w:sz w:val="20"/>
                <w:szCs w:val="20"/>
              </w:rPr>
            </w:pPr>
            <w:r w:rsidRPr="007E7C31">
              <w:rPr>
                <w:rFonts w:ascii="Cambria" w:hAnsi="Cambria"/>
                <w:sz w:val="20"/>
              </w:rPr>
              <w:t>Consideramos importante aclarar que la estimación de peces se refiere a la cantidad que se ha segregado antes de la liberación.</w:t>
            </w:r>
          </w:p>
        </w:tc>
      </w:tr>
      <w:tr w:rsidR="00FF3EF3" w:rsidRPr="00B256E6" w14:paraId="61014FCF" w14:textId="77777777" w:rsidTr="00A96F23">
        <w:tc>
          <w:tcPr>
            <w:tcW w:w="505" w:type="pct"/>
          </w:tcPr>
          <w:p w14:paraId="0CC14170" w14:textId="658C0B30" w:rsidR="00FF3EF3" w:rsidRPr="00B256E6" w:rsidRDefault="00FF3EF3" w:rsidP="00FF3EF3">
            <w:pPr>
              <w:spacing w:after="120" w:line="240" w:lineRule="auto"/>
              <w:jc w:val="both"/>
              <w:rPr>
                <w:rFonts w:ascii="Cambria" w:hAnsi="Cambria"/>
                <w:sz w:val="20"/>
                <w:szCs w:val="20"/>
              </w:rPr>
            </w:pPr>
            <w:r>
              <w:rPr>
                <w:rFonts w:ascii="Cambria" w:hAnsi="Cambria"/>
                <w:sz w:val="20"/>
                <w:szCs w:val="20"/>
              </w:rPr>
              <w:t>Anexo</w:t>
            </w:r>
            <w:r w:rsidRPr="00311166">
              <w:rPr>
                <w:rFonts w:ascii="Cambria" w:hAnsi="Cambria"/>
                <w:sz w:val="20"/>
                <w:szCs w:val="20"/>
              </w:rPr>
              <w:t xml:space="preserve"> 8 – </w:t>
            </w:r>
            <w:r w:rsidR="001C7492">
              <w:rPr>
                <w:rFonts w:ascii="Cambria" w:hAnsi="Cambria"/>
                <w:sz w:val="20"/>
                <w:szCs w:val="20"/>
              </w:rPr>
              <w:t>p</w:t>
            </w:r>
            <w:r>
              <w:rPr>
                <w:rFonts w:ascii="Cambria" w:hAnsi="Cambria"/>
                <w:sz w:val="20"/>
                <w:szCs w:val="20"/>
              </w:rPr>
              <w:t>árr.</w:t>
            </w:r>
            <w:r w:rsidRPr="00311166">
              <w:rPr>
                <w:rFonts w:ascii="Cambria" w:hAnsi="Cambria"/>
                <w:sz w:val="20"/>
                <w:szCs w:val="20"/>
              </w:rPr>
              <w:t xml:space="preserve"> 1.a)</w:t>
            </w:r>
          </w:p>
        </w:tc>
        <w:tc>
          <w:tcPr>
            <w:tcW w:w="2381" w:type="pct"/>
          </w:tcPr>
          <w:p w14:paraId="6CF80AD9" w14:textId="70863EFD" w:rsidR="00FF3EF3" w:rsidRPr="00B256E6" w:rsidRDefault="00FF3EF3" w:rsidP="00FF3EF3">
            <w:pPr>
              <w:spacing w:after="120" w:line="240" w:lineRule="auto"/>
              <w:jc w:val="both"/>
              <w:rPr>
                <w:rFonts w:ascii="Cambria" w:hAnsi="Cambria"/>
                <w:sz w:val="20"/>
                <w:szCs w:val="20"/>
              </w:rPr>
            </w:pPr>
            <w:r w:rsidRPr="00F94B79">
              <w:rPr>
                <w:rFonts w:ascii="Cambria" w:eastAsia="Times New Roman" w:hAnsi="Cambria" w:cs="Times New Roman"/>
                <w:kern w:val="0"/>
                <w:sz w:val="20"/>
                <w:szCs w:val="20"/>
                <w:lang w:eastAsia="en-US" w:bidi="en-US"/>
                <w14:ligatures w14:val="none"/>
              </w:rPr>
              <w:t xml:space="preserve">al </w:t>
            </w:r>
            <w:r w:rsidRPr="00F94B79">
              <w:rPr>
                <w:rFonts w:ascii="Cambria" w:eastAsia="Cambria" w:hAnsi="Cambria" w:cs="Cambria"/>
                <w:kern w:val="0"/>
                <w:sz w:val="20"/>
                <w:szCs w:val="20"/>
                <w:lang w:eastAsia="en-US"/>
                <w14:ligatures w14:val="none"/>
              </w:rPr>
              <w:t>comienzo</w:t>
            </w:r>
            <w:r w:rsidRPr="00F94B79">
              <w:rPr>
                <w:rFonts w:ascii="Cambria" w:eastAsia="Times New Roman" w:hAnsi="Cambria" w:cs="Times New Roman"/>
                <w:kern w:val="0"/>
                <w:sz w:val="20"/>
                <w:szCs w:val="20"/>
                <w:lang w:eastAsia="en-US" w:bidi="en-US"/>
                <w14:ligatures w14:val="none"/>
              </w:rPr>
              <w:t xml:space="preserve"> y/o final de cada vídeo, </w:t>
            </w:r>
            <w:r w:rsidRPr="00F94B79">
              <w:rPr>
                <w:rFonts w:ascii="Cambria" w:eastAsia="Cambria" w:hAnsi="Cambria" w:cs="Cambria"/>
                <w:kern w:val="0"/>
                <w:sz w:val="20"/>
                <w:szCs w:val="20"/>
                <w:lang w:eastAsia="en-US"/>
                <w14:ligatures w14:val="none"/>
              </w:rPr>
              <w:t>según se requiera,</w:t>
            </w:r>
            <w:r w:rsidRPr="00F94B79">
              <w:rPr>
                <w:rFonts w:ascii="Cambria" w:eastAsia="Times New Roman" w:hAnsi="Cambria" w:cs="Times New Roman"/>
                <w:kern w:val="0"/>
                <w:sz w:val="20"/>
                <w:szCs w:val="20"/>
                <w:lang w:eastAsia="en-US" w:bidi="en-US"/>
                <w14:ligatures w14:val="none"/>
              </w:rPr>
              <w:t xml:space="preserve"> deberá aparecer el número de la autorización ICCAT de transferencia o d</w:t>
            </w:r>
            <w:r w:rsidRPr="00F94B79">
              <w:rPr>
                <w:rFonts w:ascii="Cambria" w:eastAsia="Cambria" w:hAnsi="Cambria" w:cs="Cambria"/>
                <w:kern w:val="0"/>
                <w:sz w:val="20"/>
                <w:szCs w:val="20"/>
                <w:lang w:eastAsia="en-US"/>
                <w14:ligatures w14:val="none"/>
              </w:rPr>
              <w:t xml:space="preserve">e operación de </w:t>
            </w:r>
            <w:r w:rsidRPr="00F94B79">
              <w:rPr>
                <w:rFonts w:ascii="Cambria" w:eastAsia="Cambria" w:hAnsi="Cambria" w:cs="Cambria"/>
                <w:kern w:val="0"/>
                <w:sz w:val="20"/>
                <w:szCs w:val="20"/>
                <w:lang w:eastAsia="en-US"/>
                <w14:ligatures w14:val="none"/>
              </w:rPr>
              <w:lastRenderedPageBreak/>
              <w:t xml:space="preserve">introducción en jaula o de orden de liberación </w:t>
            </w:r>
            <w:r w:rsidRPr="005D71FF">
              <w:rPr>
                <w:rFonts w:ascii="Cambria" w:eastAsia="Cambria" w:hAnsi="Cambria" w:cs="Cambria"/>
                <w:b/>
                <w:bCs/>
                <w:kern w:val="0"/>
                <w:sz w:val="20"/>
                <w:szCs w:val="20"/>
                <w:u w:val="single"/>
                <w:lang w:eastAsia="en-US"/>
                <w14:ligatures w14:val="none"/>
              </w:rPr>
              <w:t xml:space="preserve">y </w:t>
            </w:r>
            <w:r w:rsidRPr="005D71FF">
              <w:rPr>
                <w:rFonts w:ascii="Cambria" w:hAnsi="Cambria" w:cs="Arial"/>
                <w:b/>
                <w:bCs/>
                <w:color w:val="auto"/>
                <w:kern w:val="0"/>
                <w:sz w:val="20"/>
                <w:szCs w:val="20"/>
                <w:u w:val="single"/>
                <w:lang w:eastAsia="en-US"/>
                <w14:ligatures w14:val="none"/>
              </w:rPr>
              <w:t>el número tanto de la jaula receptora como de la jaula donante</w:t>
            </w:r>
            <w:r>
              <w:rPr>
                <w:rFonts w:ascii="Cambria" w:hAnsi="Cambria" w:cs="Arial"/>
                <w:color w:val="auto"/>
                <w:kern w:val="0"/>
                <w:sz w:val="20"/>
                <w:szCs w:val="20"/>
                <w:lang w:eastAsia="en-US"/>
                <w14:ligatures w14:val="none"/>
              </w:rPr>
              <w:t xml:space="preserve"> </w:t>
            </w:r>
            <w:r w:rsidRPr="00F94B79">
              <w:rPr>
                <w:rFonts w:ascii="Cambria" w:hAnsi="Cambria" w:cs="Arial"/>
                <w:color w:val="auto"/>
                <w:kern w:val="0"/>
                <w:sz w:val="20"/>
                <w:szCs w:val="20"/>
                <w:lang w:eastAsia="en-US"/>
                <w14:ligatures w14:val="none"/>
              </w:rPr>
              <w:t xml:space="preserve">(tal y como se indica en la declaración de transferencia </w:t>
            </w:r>
            <w:r>
              <w:rPr>
                <w:rFonts w:ascii="Cambria" w:hAnsi="Cambria" w:cs="Arial"/>
                <w:color w:val="auto"/>
                <w:kern w:val="0"/>
                <w:sz w:val="20"/>
                <w:szCs w:val="20"/>
                <w:lang w:eastAsia="en-US"/>
                <w14:ligatures w14:val="none"/>
              </w:rPr>
              <w:t>–</w:t>
            </w:r>
            <w:r w:rsidRPr="00F94B79">
              <w:rPr>
                <w:rFonts w:ascii="Cambria" w:hAnsi="Cambria" w:cs="Arial"/>
                <w:color w:val="auto"/>
                <w:kern w:val="0"/>
                <w:sz w:val="20"/>
                <w:szCs w:val="20"/>
                <w:lang w:eastAsia="en-US"/>
                <w14:ligatures w14:val="none"/>
              </w:rPr>
              <w:t xml:space="preserve"> ITD</w:t>
            </w:r>
            <w:r>
              <w:rPr>
                <w:rFonts w:ascii="Cambria" w:hAnsi="Cambria" w:cs="Arial"/>
                <w:color w:val="auto"/>
                <w:kern w:val="0"/>
                <w:sz w:val="20"/>
                <w:szCs w:val="20"/>
                <w:lang w:eastAsia="en-US"/>
                <w14:ligatures w14:val="none"/>
              </w:rPr>
              <w:t xml:space="preserve"> o en la declaración de introducción en jaulas</w:t>
            </w:r>
            <w:r w:rsidRPr="00F94B79">
              <w:rPr>
                <w:rFonts w:ascii="Cambria" w:hAnsi="Cambria" w:cs="Arial"/>
                <w:color w:val="auto"/>
                <w:kern w:val="0"/>
                <w:sz w:val="20"/>
                <w:szCs w:val="20"/>
                <w:lang w:eastAsia="en-US"/>
                <w14:ligatures w14:val="none"/>
              </w:rPr>
              <w:t>)</w:t>
            </w:r>
            <w:r>
              <w:rPr>
                <w:rFonts w:ascii="Cambria" w:hAnsi="Cambria" w:cs="Arial"/>
                <w:color w:val="auto"/>
                <w:kern w:val="0"/>
                <w:sz w:val="20"/>
                <w:szCs w:val="20"/>
                <w:lang w:eastAsia="en-US"/>
                <w14:ligatures w14:val="none"/>
              </w:rPr>
              <w:t>;</w:t>
            </w:r>
          </w:p>
        </w:tc>
        <w:tc>
          <w:tcPr>
            <w:tcW w:w="2114" w:type="pct"/>
          </w:tcPr>
          <w:p w14:paraId="02C52AA3" w14:textId="41B842DF" w:rsidR="00FF3EF3" w:rsidRPr="00B256E6" w:rsidRDefault="00FF3EF3" w:rsidP="00FF3EF3">
            <w:pPr>
              <w:spacing w:after="120" w:line="240" w:lineRule="auto"/>
              <w:jc w:val="both"/>
              <w:rPr>
                <w:rFonts w:ascii="Cambria" w:hAnsi="Cambria"/>
                <w:sz w:val="20"/>
                <w:szCs w:val="20"/>
              </w:rPr>
            </w:pPr>
            <w:r w:rsidRPr="000371A0">
              <w:rPr>
                <w:rFonts w:ascii="Cambria" w:hAnsi="Cambria"/>
                <w:sz w:val="20"/>
              </w:rPr>
              <w:lastRenderedPageBreak/>
              <w:t xml:space="preserve">No está claro si el número de las jaulas utilizadas en una operación de introducción en jaulas debería poder identificarse en las </w:t>
            </w:r>
            <w:r w:rsidRPr="000371A0">
              <w:rPr>
                <w:rFonts w:ascii="Cambria" w:hAnsi="Cambria"/>
                <w:sz w:val="20"/>
              </w:rPr>
              <w:lastRenderedPageBreak/>
              <w:t>imágenes de la grabación de vídeo. Tenemos entendido que el objetivo es poder identificar de forma inequívoca la grabación de vídeo correspondiente a la operación en cuestión en cualquier momento. Para garantizar la coherencia con las transferencias, ambas jaulas (donante y receptora) deben ser identificables en la grabación de vídeo.</w:t>
            </w:r>
          </w:p>
        </w:tc>
      </w:tr>
      <w:tr w:rsidR="007A7C1F" w:rsidRPr="00B256E6" w14:paraId="7294FFD0" w14:textId="77777777" w:rsidTr="00AB4E05">
        <w:trPr>
          <w:trHeight w:val="1880"/>
        </w:trPr>
        <w:tc>
          <w:tcPr>
            <w:tcW w:w="505" w:type="pct"/>
          </w:tcPr>
          <w:p w14:paraId="76EA27BB" w14:textId="15D9E86C" w:rsidR="007A7C1F" w:rsidRPr="00B256E6" w:rsidRDefault="007A7C1F" w:rsidP="007A7C1F">
            <w:pPr>
              <w:spacing w:after="120" w:line="240" w:lineRule="auto"/>
              <w:jc w:val="both"/>
              <w:rPr>
                <w:rFonts w:ascii="Cambria" w:hAnsi="Cambria"/>
                <w:sz w:val="20"/>
                <w:szCs w:val="20"/>
              </w:rPr>
            </w:pPr>
            <w:r w:rsidRPr="00CD44E8">
              <w:rPr>
                <w:rFonts w:ascii="Cambria" w:hAnsi="Cambria"/>
                <w:sz w:val="20"/>
                <w:szCs w:val="20"/>
              </w:rPr>
              <w:lastRenderedPageBreak/>
              <w:t>Anexo 10 – párr. 9 y párr.</w:t>
            </w:r>
            <w:r w:rsidR="00030C40">
              <w:rPr>
                <w:rFonts w:ascii="Cambria" w:hAnsi="Cambria"/>
                <w:sz w:val="20"/>
                <w:szCs w:val="20"/>
              </w:rPr>
              <w:t> </w:t>
            </w:r>
            <w:r w:rsidRPr="00CD44E8">
              <w:rPr>
                <w:rFonts w:ascii="Cambria" w:hAnsi="Cambria"/>
                <w:sz w:val="20"/>
                <w:szCs w:val="20"/>
              </w:rPr>
              <w:t>9a (nuevo)</w:t>
            </w:r>
          </w:p>
        </w:tc>
        <w:tc>
          <w:tcPr>
            <w:tcW w:w="2381" w:type="pct"/>
          </w:tcPr>
          <w:p w14:paraId="4E0F5776" w14:textId="6971226E" w:rsidR="007A7C1F" w:rsidRDefault="00E957A3" w:rsidP="007A7C1F">
            <w:pPr>
              <w:widowControl w:val="0"/>
              <w:spacing w:line="240" w:lineRule="auto"/>
              <w:ind w:right="140"/>
              <w:jc w:val="both"/>
              <w:rPr>
                <w:rFonts w:ascii="Cambria" w:eastAsia="Cambria" w:hAnsi="Cambria" w:cs="Cambria"/>
                <w:color w:val="auto"/>
                <w:kern w:val="0"/>
                <w:sz w:val="20"/>
                <w:szCs w:val="20"/>
                <w:lang w:eastAsia="en-US"/>
                <w14:ligatures w14:val="none"/>
              </w:rPr>
            </w:pPr>
            <w:r>
              <w:rPr>
                <w:rFonts w:ascii="Cambria" w:eastAsia="Cambria" w:hAnsi="Cambria" w:cs="Cambria"/>
                <w:color w:val="auto"/>
                <w:kern w:val="0"/>
                <w:sz w:val="20"/>
                <w:szCs w:val="20"/>
                <w:lang w:eastAsia="en-US"/>
                <w14:ligatures w14:val="none"/>
              </w:rPr>
              <w:t xml:space="preserve">9. </w:t>
            </w:r>
            <w:r w:rsidR="007A7C1F" w:rsidRPr="002F1E76">
              <w:rPr>
                <w:rFonts w:ascii="Cambria" w:eastAsia="Cambria" w:hAnsi="Cambria" w:cs="Cambria"/>
                <w:color w:val="auto"/>
                <w:kern w:val="0"/>
                <w:sz w:val="20"/>
                <w:szCs w:val="20"/>
                <w:lang w:eastAsia="en-US"/>
                <w14:ligatures w14:val="none"/>
              </w:rPr>
              <w:t>Las operaciones de liberación de las granjas</w:t>
            </w:r>
            <w:r w:rsidR="007A7C1F">
              <w:rPr>
                <w:rFonts w:ascii="Cambria" w:eastAsia="Cambria" w:hAnsi="Cambria" w:cs="Cambria"/>
                <w:color w:val="auto"/>
                <w:kern w:val="0"/>
                <w:sz w:val="20"/>
                <w:szCs w:val="20"/>
                <w:lang w:eastAsia="en-US"/>
                <w14:ligatures w14:val="none"/>
              </w:rPr>
              <w:t xml:space="preserve">, </w:t>
            </w:r>
            <w:r w:rsidR="007A7C1F" w:rsidRPr="00E957A3">
              <w:rPr>
                <w:rFonts w:ascii="Cambria" w:eastAsia="Cambria" w:hAnsi="Cambria" w:cs="Cambria"/>
                <w:b/>
                <w:bCs/>
                <w:color w:val="auto"/>
                <w:kern w:val="0"/>
                <w:sz w:val="20"/>
                <w:szCs w:val="20"/>
                <w:u w:val="single"/>
                <w:lang w:eastAsia="en-US"/>
                <w14:ligatures w14:val="none"/>
              </w:rPr>
              <w:t>tal y como se mencionan en el párrafo 2 a) de este Anexo</w:t>
            </w:r>
            <w:r w:rsidR="007A7C1F">
              <w:rPr>
                <w:rFonts w:ascii="Cambria" w:eastAsia="Cambria" w:hAnsi="Cambria" w:cs="Cambria"/>
                <w:color w:val="auto"/>
                <w:kern w:val="0"/>
                <w:sz w:val="20"/>
                <w:szCs w:val="20"/>
                <w:lang w:eastAsia="en-US"/>
                <w14:ligatures w14:val="none"/>
              </w:rPr>
              <w:t xml:space="preserve">, </w:t>
            </w:r>
            <w:r w:rsidR="007A7C1F" w:rsidRPr="002F1E76">
              <w:rPr>
                <w:rFonts w:ascii="Cambria" w:eastAsia="Cambria" w:hAnsi="Cambria" w:cs="Cambria"/>
                <w:color w:val="auto"/>
                <w:kern w:val="0"/>
                <w:sz w:val="20"/>
                <w:szCs w:val="20"/>
                <w:lang w:eastAsia="en-US"/>
                <w14:ligatures w14:val="none"/>
              </w:rPr>
              <w:t>deben ejecutarse en un plazo de tres meses a partir de la última operación de introducción en jaulas de los peces en cuestión</w:t>
            </w:r>
            <w:r w:rsidR="007A7C1F">
              <w:rPr>
                <w:rFonts w:ascii="Cambria" w:eastAsia="Cambria" w:hAnsi="Cambria" w:cs="Cambria"/>
                <w:color w:val="auto"/>
                <w:kern w:val="0"/>
                <w:sz w:val="20"/>
                <w:szCs w:val="20"/>
                <w:lang w:eastAsia="en-US"/>
                <w14:ligatures w14:val="none"/>
              </w:rPr>
              <w:t>.</w:t>
            </w:r>
          </w:p>
          <w:p w14:paraId="3D9B29B3" w14:textId="77777777" w:rsidR="007A7C1F" w:rsidRDefault="007A7C1F" w:rsidP="007A7C1F">
            <w:pPr>
              <w:widowControl w:val="0"/>
              <w:spacing w:line="240" w:lineRule="auto"/>
              <w:ind w:right="140"/>
              <w:jc w:val="both"/>
              <w:rPr>
                <w:rFonts w:ascii="Cambria" w:eastAsia="Cambria" w:hAnsi="Cambria" w:cs="Cambria"/>
                <w:color w:val="auto"/>
                <w:kern w:val="0"/>
                <w:sz w:val="20"/>
                <w:szCs w:val="20"/>
                <w:lang w:eastAsia="en-US"/>
                <w14:ligatures w14:val="none"/>
              </w:rPr>
            </w:pPr>
          </w:p>
          <w:p w14:paraId="10032932" w14:textId="02C07C38" w:rsidR="007A7C1F" w:rsidRPr="00B256E6" w:rsidRDefault="007A7C1F" w:rsidP="007A7C1F">
            <w:pPr>
              <w:spacing w:after="120" w:line="240" w:lineRule="auto"/>
              <w:jc w:val="both"/>
              <w:rPr>
                <w:rFonts w:ascii="Cambria" w:eastAsia="Cambria" w:hAnsi="Cambria" w:cs="Times New Roman"/>
                <w:sz w:val="20"/>
                <w:szCs w:val="20"/>
              </w:rPr>
            </w:pPr>
            <w:r w:rsidRPr="00EF7D66">
              <w:rPr>
                <w:rFonts w:ascii="Cambria" w:eastAsia="Cambria" w:hAnsi="Cambria" w:cs="Cambria"/>
                <w:b/>
                <w:bCs/>
                <w:color w:val="auto"/>
                <w:kern w:val="0"/>
                <w:sz w:val="20"/>
                <w:szCs w:val="20"/>
                <w:u w:val="single"/>
                <w:lang w:eastAsia="en-US"/>
                <w14:ligatures w14:val="none"/>
              </w:rPr>
              <w:t>9a. Las operaciones de liberación desde las granjas, tal y como se mencionan en el párrafo 2 de este Anexo, deben realizarse</w:t>
            </w:r>
            <w:r w:rsidRPr="002F1E76">
              <w:rPr>
                <w:rFonts w:ascii="Cambria" w:eastAsia="Cambria" w:hAnsi="Cambria" w:cs="Cambria"/>
                <w:color w:val="auto"/>
                <w:kern w:val="0"/>
                <w:sz w:val="20"/>
                <w:szCs w:val="20"/>
                <w:lang w:eastAsia="en-US"/>
                <w14:ligatures w14:val="none"/>
              </w:rPr>
              <w:t xml:space="preserve"> a una distancia mínima de 10 millas de la granja. Para liberaciones de menos de 5</w:t>
            </w:r>
            <w:r w:rsidR="00C4590A">
              <w:rPr>
                <w:rFonts w:ascii="Cambria" w:eastAsia="Cambria" w:hAnsi="Cambria" w:cs="Cambria"/>
                <w:color w:val="auto"/>
                <w:kern w:val="0"/>
                <w:sz w:val="20"/>
                <w:szCs w:val="20"/>
                <w:lang w:eastAsia="en-US"/>
                <w14:ligatures w14:val="none"/>
              </w:rPr>
              <w:t> </w:t>
            </w:r>
            <w:r w:rsidRPr="002F1E76">
              <w:rPr>
                <w:rFonts w:ascii="Cambria" w:eastAsia="Cambria" w:hAnsi="Cambria" w:cs="Cambria"/>
                <w:color w:val="auto"/>
                <w:kern w:val="0"/>
                <w:sz w:val="20"/>
                <w:szCs w:val="20"/>
                <w:lang w:eastAsia="en-US"/>
                <w14:ligatures w14:val="none"/>
              </w:rPr>
              <w:t xml:space="preserve">t de atún rojo, la autoridad competente de la CPC de la granja </w:t>
            </w:r>
            <w:r w:rsidRPr="002F1E76">
              <w:rPr>
                <w:rFonts w:ascii="Cambria" w:eastAsia="MS Gothic" w:hAnsi="Cambria" w:cs="Times New Roman"/>
                <w:sz w:val="20"/>
                <w:szCs w:val="20"/>
                <w:lang w:eastAsia="ja-JP" w:bidi="en-US"/>
                <w14:ligatures w14:val="none"/>
              </w:rPr>
              <w:t xml:space="preserve">puede </w:t>
            </w:r>
            <w:r w:rsidRPr="002F1E76">
              <w:rPr>
                <w:rFonts w:ascii="Cambria" w:eastAsia="Cambria" w:hAnsi="Cambria" w:cs="Cambria"/>
                <w:color w:val="auto"/>
                <w:kern w:val="0"/>
                <w:sz w:val="20"/>
                <w:szCs w:val="20"/>
                <w:lang w:eastAsia="en-US"/>
                <w14:ligatures w14:val="none"/>
              </w:rPr>
              <w:t>establecer una distancia más corta, de como mínimo 5 millas, para la liberación</w:t>
            </w:r>
            <w:r w:rsidR="009D40E7">
              <w:rPr>
                <w:rFonts w:ascii="Cambria" w:eastAsia="Cambria" w:hAnsi="Cambria" w:cs="Cambria"/>
                <w:color w:val="auto"/>
                <w:kern w:val="0"/>
                <w:sz w:val="20"/>
                <w:szCs w:val="20"/>
                <w:lang w:eastAsia="en-US"/>
                <w14:ligatures w14:val="none"/>
              </w:rPr>
              <w:t>.</w:t>
            </w:r>
          </w:p>
        </w:tc>
        <w:tc>
          <w:tcPr>
            <w:tcW w:w="2114" w:type="pct"/>
          </w:tcPr>
          <w:p w14:paraId="3022665C" w14:textId="77777777" w:rsidR="007A7C1F" w:rsidRPr="00543F20" w:rsidRDefault="007A7C1F" w:rsidP="007A7C1F">
            <w:pPr>
              <w:spacing w:after="100"/>
              <w:jc w:val="both"/>
              <w:rPr>
                <w:rFonts w:ascii="Cambria" w:hAnsi="Cambria"/>
                <w:sz w:val="20"/>
                <w:szCs w:val="20"/>
              </w:rPr>
            </w:pPr>
            <w:r w:rsidRPr="00543F20">
              <w:rPr>
                <w:rFonts w:ascii="Cambria" w:hAnsi="Cambria"/>
                <w:sz w:val="20"/>
              </w:rPr>
              <w:t xml:space="preserve">Entendemos que el plazo para la liberación establecido en este párrafo se refiere únicamente a aquellas situaciones en las que el peso de los peces en jaula supera el peso </w:t>
            </w:r>
            <w:r>
              <w:rPr>
                <w:rFonts w:ascii="Cambria" w:hAnsi="Cambria"/>
                <w:sz w:val="20"/>
              </w:rPr>
              <w:t xml:space="preserve">capturado </w:t>
            </w:r>
            <w:r w:rsidRPr="00543F20">
              <w:rPr>
                <w:rFonts w:ascii="Cambria" w:hAnsi="Cambria"/>
                <w:sz w:val="20"/>
              </w:rPr>
              <w:t xml:space="preserve">declarado por el operador. </w:t>
            </w:r>
          </w:p>
          <w:p w14:paraId="64502B2B" w14:textId="01EAFF12" w:rsidR="007A7C1F" w:rsidRPr="00B256E6" w:rsidRDefault="007A7C1F" w:rsidP="007A7C1F">
            <w:pPr>
              <w:spacing w:line="240" w:lineRule="auto"/>
              <w:jc w:val="both"/>
              <w:rPr>
                <w:rFonts w:ascii="Cambria" w:hAnsi="Cambria"/>
                <w:sz w:val="20"/>
                <w:szCs w:val="20"/>
              </w:rPr>
            </w:pPr>
            <w:r w:rsidRPr="00543F20">
              <w:rPr>
                <w:rFonts w:ascii="Cambria" w:hAnsi="Cambria"/>
                <w:sz w:val="20"/>
              </w:rPr>
              <w:t>Consideramos asimismo que es necesario aclarar que la distancia mínima obligatoria establecida en el párrafo 9 se aplicará a ambas operaciones de liberación indicadas en el párrafo 2</w:t>
            </w:r>
            <w:r w:rsidR="00791129">
              <w:rPr>
                <w:rFonts w:ascii="Cambria" w:hAnsi="Cambria"/>
                <w:sz w:val="20"/>
              </w:rPr>
              <w:t xml:space="preserve"> </w:t>
            </w:r>
            <w:r w:rsidRPr="00543F20">
              <w:rPr>
                <w:rFonts w:ascii="Cambria" w:hAnsi="Cambria"/>
                <w:sz w:val="20"/>
              </w:rPr>
              <w:t>a) y b). De lo contrario, podría interpretarse que dicha distancia solo se aplica a las liberaciones tras la introducción en jaulas.</w:t>
            </w:r>
          </w:p>
        </w:tc>
      </w:tr>
    </w:tbl>
    <w:p w14:paraId="5A9ECD96" w14:textId="328EB449" w:rsidR="004E6CBB" w:rsidRPr="00B256E6" w:rsidRDefault="004E6CBB" w:rsidP="00171585">
      <w:pPr>
        <w:spacing w:after="120" w:line="240" w:lineRule="auto"/>
        <w:jc w:val="both"/>
        <w:rPr>
          <w:rFonts w:ascii="Cambria" w:hAnsi="Cambria"/>
          <w:sz w:val="20"/>
          <w:szCs w:val="20"/>
        </w:rPr>
      </w:pPr>
    </w:p>
    <w:sectPr w:rsidR="004E6CBB" w:rsidRPr="00B256E6" w:rsidSect="0050098E">
      <w:pgSz w:w="16838" w:h="11906" w:orient="landscape"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E692E6" w14:textId="77777777" w:rsidR="00020056" w:rsidRDefault="00020056" w:rsidP="005A3F06">
      <w:pPr>
        <w:spacing w:after="0" w:line="240" w:lineRule="auto"/>
      </w:pPr>
      <w:r>
        <w:separator/>
      </w:r>
    </w:p>
  </w:endnote>
  <w:endnote w:type="continuationSeparator" w:id="0">
    <w:p w14:paraId="51A911E7" w14:textId="77777777" w:rsidR="00020056" w:rsidRDefault="00020056" w:rsidP="005A3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583EF" w14:textId="77777777" w:rsidR="009D4C02" w:rsidRDefault="009D4C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8303D" w14:textId="77777777" w:rsidR="004B3826" w:rsidRPr="00B4102F" w:rsidRDefault="004B3826" w:rsidP="00040997">
    <w:pPr>
      <w:tabs>
        <w:tab w:val="center" w:pos="4535"/>
        <w:tab w:val="center" w:pos="4680"/>
        <w:tab w:val="left" w:pos="6150"/>
        <w:tab w:val="right" w:pos="9360"/>
      </w:tabs>
      <w:spacing w:after="0" w:line="240" w:lineRule="auto"/>
      <w:jc w:val="center"/>
      <w:rPr>
        <w:rFonts w:ascii="Cambria" w:eastAsia="Times New Roman" w:hAnsi="Cambria"/>
        <w:kern w:val="0"/>
        <w:sz w:val="20"/>
      </w:rPr>
    </w:pPr>
    <w:r w:rsidRPr="00B4102F">
      <w:rPr>
        <w:rFonts w:ascii="Cambria" w:eastAsia="Times New Roman" w:hAnsi="Cambria"/>
        <w:sz w:val="20"/>
      </w:rPr>
      <w:fldChar w:fldCharType="begin"/>
    </w:r>
    <w:r w:rsidRPr="00B4102F">
      <w:rPr>
        <w:rFonts w:ascii="Cambria" w:eastAsia="Times New Roman" w:hAnsi="Cambria"/>
        <w:sz w:val="20"/>
      </w:rPr>
      <w:instrText xml:space="preserve"> PAGE </w:instrText>
    </w:r>
    <w:r w:rsidRPr="00B4102F">
      <w:rPr>
        <w:rFonts w:ascii="Cambria" w:eastAsia="Times New Roman" w:hAnsi="Cambria"/>
        <w:sz w:val="20"/>
      </w:rPr>
      <w:fldChar w:fldCharType="separate"/>
    </w:r>
    <w:r>
      <w:rPr>
        <w:rFonts w:ascii="Cambria" w:hAnsi="Cambria"/>
        <w:sz w:val="20"/>
      </w:rPr>
      <w:t>1</w:t>
    </w:r>
    <w:r w:rsidRPr="00B4102F">
      <w:rPr>
        <w:rFonts w:ascii="Cambria" w:eastAsia="Times New Roman" w:hAnsi="Cambria"/>
        <w:sz w:val="20"/>
      </w:rPr>
      <w:fldChar w:fldCharType="end"/>
    </w:r>
    <w:r>
      <w:rPr>
        <w:rFonts w:ascii="Cambria" w:hAnsi="Cambria"/>
        <w:sz w:val="20"/>
      </w:rPr>
      <w:t xml:space="preserve"> / </w:t>
    </w:r>
    <w:r w:rsidRPr="00B4102F">
      <w:rPr>
        <w:rFonts w:ascii="Cambria" w:eastAsia="Times New Roman" w:hAnsi="Cambria"/>
        <w:sz w:val="20"/>
      </w:rPr>
      <w:fldChar w:fldCharType="begin"/>
    </w:r>
    <w:r w:rsidRPr="00B4102F">
      <w:rPr>
        <w:rFonts w:ascii="Cambria" w:eastAsia="Times New Roman" w:hAnsi="Cambria"/>
        <w:sz w:val="20"/>
      </w:rPr>
      <w:instrText xml:space="preserve"> NUMPAGES  </w:instrText>
    </w:r>
    <w:r w:rsidRPr="00B4102F">
      <w:rPr>
        <w:rFonts w:ascii="Cambria" w:eastAsia="Times New Roman" w:hAnsi="Cambria"/>
        <w:sz w:val="20"/>
      </w:rPr>
      <w:fldChar w:fldCharType="separate"/>
    </w:r>
    <w:r>
      <w:rPr>
        <w:rFonts w:ascii="Cambria" w:hAnsi="Cambria"/>
        <w:sz w:val="20"/>
      </w:rPr>
      <w:t>2</w:t>
    </w:r>
    <w:r w:rsidRPr="00B4102F">
      <w:rPr>
        <w:rFonts w:ascii="Cambria" w:eastAsia="Times New Roman" w:hAnsi="Cambria"/>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FDCCA" w14:textId="77777777" w:rsidR="009D4C02" w:rsidRDefault="009D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6C83B" w14:textId="77777777" w:rsidR="00020056" w:rsidRDefault="00020056" w:rsidP="005A3F06">
      <w:pPr>
        <w:spacing w:after="0" w:line="240" w:lineRule="auto"/>
      </w:pPr>
      <w:r>
        <w:separator/>
      </w:r>
    </w:p>
  </w:footnote>
  <w:footnote w:type="continuationSeparator" w:id="0">
    <w:p w14:paraId="3274A0C7" w14:textId="77777777" w:rsidR="00020056" w:rsidRDefault="00020056" w:rsidP="005A3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59A8A" w14:textId="77777777" w:rsidR="009D4C02" w:rsidRDefault="009D4C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05188" w14:textId="293C2672" w:rsidR="00665CDE" w:rsidRPr="00665CDE" w:rsidRDefault="00665CDE" w:rsidP="00665CDE">
    <w:pPr>
      <w:widowControl w:val="0"/>
      <w:tabs>
        <w:tab w:val="center" w:pos="4680"/>
        <w:tab w:val="left" w:pos="6520"/>
        <w:tab w:val="right" w:pos="9360"/>
        <w:tab w:val="right" w:pos="14240"/>
      </w:tabs>
      <w:autoSpaceDE w:val="0"/>
      <w:autoSpaceDN w:val="0"/>
      <w:spacing w:after="0" w:line="240" w:lineRule="auto"/>
      <w:jc w:val="right"/>
      <w:rPr>
        <w:rFonts w:ascii="Cambria" w:hAnsi="Cambria" w:cs="Cambria"/>
        <w:b/>
        <w:bCs/>
        <w:color w:val="auto"/>
        <w:kern w:val="0"/>
        <w:sz w:val="20"/>
        <w:szCs w:val="20"/>
        <w14:ligatures w14:val="none"/>
      </w:rPr>
    </w:pPr>
    <w:r>
      <w:rPr>
        <w:rFonts w:ascii="Cambria" w:hAnsi="Cambria"/>
        <w:b/>
        <w:color w:val="auto"/>
        <w:sz w:val="20"/>
      </w:rPr>
      <w:t>PWG_422/2026</w:t>
    </w:r>
  </w:p>
  <w:p w14:paraId="1FDBAA71" w14:textId="33C80482" w:rsidR="005A3F06" w:rsidRPr="00665CDE" w:rsidRDefault="00665CDE" w:rsidP="00665CDE">
    <w:pPr>
      <w:widowControl w:val="0"/>
      <w:tabs>
        <w:tab w:val="left" w:pos="7320"/>
      </w:tabs>
      <w:autoSpaceDE w:val="0"/>
      <w:autoSpaceDN w:val="0"/>
      <w:spacing w:after="0" w:line="240" w:lineRule="exact"/>
      <w:jc w:val="right"/>
      <w:rPr>
        <w:rFonts w:ascii="Aptos" w:eastAsia="MS Mincho" w:hAnsi="Aptos" w:cs="Arial"/>
        <w:color w:val="auto"/>
        <w:kern w:val="0"/>
        <w:sz w:val="24"/>
        <w14:ligatures w14:val="none"/>
      </w:rPr>
    </w:pPr>
    <w:r w:rsidRPr="00665CDE">
      <w:rPr>
        <w:rFonts w:ascii="Cambria" w:eastAsia="Cambria" w:hAnsi="Cambria" w:cs="Cambria"/>
        <w:b/>
        <w:color w:val="auto"/>
        <w:sz w:val="16"/>
      </w:rPr>
      <w:fldChar w:fldCharType="begin"/>
    </w:r>
    <w:r w:rsidRPr="00665CDE">
      <w:rPr>
        <w:rFonts w:ascii="Cambria" w:eastAsia="Cambria" w:hAnsi="Cambria" w:cs="Cambria"/>
        <w:b/>
        <w:color w:val="auto"/>
        <w:sz w:val="16"/>
      </w:rPr>
      <w:instrText xml:space="preserve"> TIME \@ "dd/MM/yyyy H:mm" </w:instrText>
    </w:r>
    <w:r w:rsidRPr="00665CDE">
      <w:rPr>
        <w:rFonts w:ascii="Cambria" w:eastAsia="Cambria" w:hAnsi="Cambria" w:cs="Cambria"/>
        <w:b/>
        <w:color w:val="auto"/>
        <w:sz w:val="16"/>
      </w:rPr>
      <w:fldChar w:fldCharType="separate"/>
    </w:r>
    <w:r w:rsidR="00E52AB1">
      <w:rPr>
        <w:rFonts w:ascii="Cambria" w:eastAsia="Cambria" w:hAnsi="Cambria" w:cs="Cambria"/>
        <w:b/>
        <w:noProof/>
        <w:color w:val="auto"/>
        <w:sz w:val="16"/>
      </w:rPr>
      <w:t>27/10/2026 15:19</w:t>
    </w:r>
    <w:r w:rsidRPr="00665CDE">
      <w:rPr>
        <w:rFonts w:ascii="Cambria" w:eastAsia="Cambria" w:hAnsi="Cambria" w:cs="Cambria"/>
        <w:b/>
        <w:bCs/>
        <w:color w:val="auto"/>
        <w:kern w:val="0"/>
        <w:sz w:val="16"/>
        <w:szCs w:val="16"/>
        <w:lang w:val="es-ES_tradnl" w:eastAsia="en-US"/>
        <w14:ligatures w14:val="none"/>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164" w14:textId="77777777" w:rsidR="009D4C02" w:rsidRDefault="009D4C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C4F59"/>
    <w:multiLevelType w:val="hybridMultilevel"/>
    <w:tmpl w:val="565EAD4E"/>
    <w:lvl w:ilvl="0" w:tplc="17268F2C">
      <w:start w:val="2"/>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2F1B3B"/>
    <w:multiLevelType w:val="multilevel"/>
    <w:tmpl w:val="B37E94BE"/>
    <w:lvl w:ilvl="0">
      <w:start w:val="1"/>
      <w:numFmt w:val="lowerLetter"/>
      <w:lvlText w:val="%1)"/>
      <w:lvlJc w:val="left"/>
      <w:pPr>
        <w:tabs>
          <w:tab w:val="num" w:pos="720"/>
        </w:tabs>
        <w:ind w:left="720" w:hanging="360"/>
      </w:pPr>
      <w:rPr>
        <w:rFonts w:ascii="Cambria" w:hAnsi="Cambria" w:hint="default"/>
        <w:b/>
        <w:bCs/>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 w15:restartNumberingAfterBreak="0">
    <w:nsid w:val="0F2C4A14"/>
    <w:multiLevelType w:val="hybridMultilevel"/>
    <w:tmpl w:val="6B0C2A9E"/>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05169B6"/>
    <w:multiLevelType w:val="multilevel"/>
    <w:tmpl w:val="9154D2C4"/>
    <w:lvl w:ilvl="0">
      <w:start w:val="1"/>
      <w:numFmt w:val="lowerLetter"/>
      <w:lvlText w:val="%1)"/>
      <w:lvlJc w:val="left"/>
      <w:rPr>
        <w:rFonts w:ascii="Cambria" w:eastAsia="Times New Roman" w:hAnsi="Cambria" w:cs="Times New Roman" w:hint="default"/>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1CF4C9C"/>
    <w:multiLevelType w:val="hybridMultilevel"/>
    <w:tmpl w:val="9ABCC618"/>
    <w:lvl w:ilvl="0" w:tplc="8856CCC8">
      <w:start w:val="1"/>
      <w:numFmt w:val="lowerLetter"/>
      <w:lvlText w:val="%1)"/>
      <w:lvlJc w:val="left"/>
      <w:pPr>
        <w:ind w:left="360" w:hanging="360"/>
      </w:pPr>
      <w:rPr>
        <w:rFonts w:hint="default"/>
        <w:b w:val="0"/>
        <w:i w:val="0"/>
        <w:strike w:val="0"/>
        <w:dstrike w:val="0"/>
        <w:color w:val="000000"/>
        <w:sz w:val="20"/>
        <w:szCs w:val="20"/>
        <w:u w:val="none" w:color="000000"/>
        <w:bdr w:val="none" w:sz="0" w:space="0" w:color="auto"/>
        <w:shd w:val="clear" w:color="auto" w:fill="auto"/>
        <w:vertAlign w:val="baseli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7E70E72"/>
    <w:multiLevelType w:val="multilevel"/>
    <w:tmpl w:val="B93EF08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6231AD2"/>
    <w:multiLevelType w:val="multilevel"/>
    <w:tmpl w:val="1B40D86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7" w15:restartNumberingAfterBreak="0">
    <w:nsid w:val="47084273"/>
    <w:multiLevelType w:val="hybridMultilevel"/>
    <w:tmpl w:val="FDF08A7C"/>
    <w:lvl w:ilvl="0" w:tplc="205604C6">
      <w:start w:val="194"/>
      <w:numFmt w:val="decimal"/>
      <w:lvlText w:val="%1."/>
      <w:lvlJc w:val="left"/>
      <w:pPr>
        <w:ind w:left="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9E800D90">
      <w:start w:val="1"/>
      <w:numFmt w:val="lowerLetter"/>
      <w:lvlText w:val="%2"/>
      <w:lvlJc w:val="left"/>
      <w:pPr>
        <w:ind w:left="11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986E2B32">
      <w:start w:val="1"/>
      <w:numFmt w:val="lowerRoman"/>
      <w:lvlText w:val="%3"/>
      <w:lvlJc w:val="left"/>
      <w:pPr>
        <w:ind w:left="19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A748FFA0">
      <w:start w:val="1"/>
      <w:numFmt w:val="decimal"/>
      <w:lvlText w:val="%4"/>
      <w:lvlJc w:val="left"/>
      <w:pPr>
        <w:ind w:left="26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6B9A6EFC">
      <w:start w:val="1"/>
      <w:numFmt w:val="lowerLetter"/>
      <w:lvlText w:val="%5"/>
      <w:lvlJc w:val="left"/>
      <w:pPr>
        <w:ind w:left="334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1DD28158">
      <w:start w:val="1"/>
      <w:numFmt w:val="lowerRoman"/>
      <w:lvlText w:val="%6"/>
      <w:lvlJc w:val="left"/>
      <w:pPr>
        <w:ind w:left="406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B1AEEAEC">
      <w:start w:val="1"/>
      <w:numFmt w:val="decimal"/>
      <w:lvlText w:val="%7"/>
      <w:lvlJc w:val="left"/>
      <w:pPr>
        <w:ind w:left="478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DE284A60">
      <w:start w:val="1"/>
      <w:numFmt w:val="lowerLetter"/>
      <w:lvlText w:val="%8"/>
      <w:lvlJc w:val="left"/>
      <w:pPr>
        <w:ind w:left="550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D5F6CD18">
      <w:start w:val="1"/>
      <w:numFmt w:val="lowerRoman"/>
      <w:lvlText w:val="%9"/>
      <w:lvlJc w:val="left"/>
      <w:pPr>
        <w:ind w:left="6228"/>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8" w15:restartNumberingAfterBreak="0">
    <w:nsid w:val="55304C6D"/>
    <w:multiLevelType w:val="hybridMultilevel"/>
    <w:tmpl w:val="7B281F5C"/>
    <w:lvl w:ilvl="0" w:tplc="5B9A9786">
      <w:start w:val="1"/>
      <w:numFmt w:val="decimal"/>
      <w:lvlText w:val="%1"/>
      <w:lvlJc w:val="left"/>
      <w:pPr>
        <w:ind w:left="15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9036F88C">
      <w:start w:val="1"/>
      <w:numFmt w:val="lowerLetter"/>
      <w:lvlText w:val="%2"/>
      <w:lvlJc w:val="left"/>
      <w:pPr>
        <w:ind w:left="65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CC2A22D4">
      <w:start w:val="1"/>
      <w:numFmt w:val="lowerRoman"/>
      <w:lvlText w:val="%3"/>
      <w:lvlJc w:val="left"/>
      <w:pPr>
        <w:ind w:left="72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718C8FFC">
      <w:start w:val="1"/>
      <w:numFmt w:val="decimal"/>
      <w:lvlText w:val="%4"/>
      <w:lvlJc w:val="left"/>
      <w:pPr>
        <w:ind w:left="79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5F64E024">
      <w:start w:val="1"/>
      <w:numFmt w:val="lowerLetter"/>
      <w:lvlText w:val="%5"/>
      <w:lvlJc w:val="left"/>
      <w:pPr>
        <w:ind w:left="866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6180DE90">
      <w:start w:val="1"/>
      <w:numFmt w:val="lowerRoman"/>
      <w:lvlText w:val="%6"/>
      <w:lvlJc w:val="left"/>
      <w:pPr>
        <w:ind w:left="938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BD9ED432">
      <w:start w:val="1"/>
      <w:numFmt w:val="decimal"/>
      <w:lvlText w:val="%7"/>
      <w:lvlJc w:val="left"/>
      <w:pPr>
        <w:ind w:left="1010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1F0EAC62">
      <w:start w:val="1"/>
      <w:numFmt w:val="lowerLetter"/>
      <w:lvlText w:val="%8"/>
      <w:lvlJc w:val="left"/>
      <w:pPr>
        <w:ind w:left="1082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BFEA1BBE">
      <w:start w:val="1"/>
      <w:numFmt w:val="lowerRoman"/>
      <w:lvlText w:val="%9"/>
      <w:lvlJc w:val="left"/>
      <w:pPr>
        <w:ind w:left="11545"/>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0F14CF0"/>
    <w:multiLevelType w:val="hybridMultilevel"/>
    <w:tmpl w:val="B0D8D764"/>
    <w:lvl w:ilvl="0" w:tplc="3DECE2F4">
      <w:start w:val="1"/>
      <w:numFmt w:val="bullet"/>
      <w:lvlText w:val="-"/>
      <w:lvlJc w:val="left"/>
      <w:pPr>
        <w:ind w:left="720" w:hanging="360"/>
      </w:pPr>
      <w:rPr>
        <w:rFonts w:ascii="Cambria" w:hAnsi="Cambria"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758B1E50"/>
    <w:multiLevelType w:val="hybridMultilevel"/>
    <w:tmpl w:val="A0A09730"/>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763F21F7"/>
    <w:multiLevelType w:val="hybridMultilevel"/>
    <w:tmpl w:val="17465D96"/>
    <w:lvl w:ilvl="0" w:tplc="1809000F">
      <w:start w:val="9"/>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7ABE2167"/>
    <w:multiLevelType w:val="hybridMultilevel"/>
    <w:tmpl w:val="CC22C5B6"/>
    <w:lvl w:ilvl="0" w:tplc="5192CEDA">
      <w:start w:val="1"/>
      <w:numFmt w:val="decimal"/>
      <w:lvlText w:val="%1."/>
      <w:lvlJc w:val="left"/>
      <w:pPr>
        <w:ind w:left="678" w:hanging="360"/>
      </w:pPr>
      <w:rPr>
        <w:rFonts w:hint="default"/>
        <w:color w:val="auto"/>
      </w:rPr>
    </w:lvl>
    <w:lvl w:ilvl="1" w:tplc="04090019" w:tentative="1">
      <w:start w:val="1"/>
      <w:numFmt w:val="lowerLetter"/>
      <w:lvlText w:val="%2."/>
      <w:lvlJc w:val="left"/>
      <w:pPr>
        <w:ind w:left="1398" w:hanging="360"/>
      </w:pPr>
    </w:lvl>
    <w:lvl w:ilvl="2" w:tplc="0409001B" w:tentative="1">
      <w:start w:val="1"/>
      <w:numFmt w:val="lowerRoman"/>
      <w:lvlText w:val="%3."/>
      <w:lvlJc w:val="right"/>
      <w:pPr>
        <w:ind w:left="2118" w:hanging="180"/>
      </w:pPr>
    </w:lvl>
    <w:lvl w:ilvl="3" w:tplc="0409000F" w:tentative="1">
      <w:start w:val="1"/>
      <w:numFmt w:val="decimal"/>
      <w:lvlText w:val="%4."/>
      <w:lvlJc w:val="left"/>
      <w:pPr>
        <w:ind w:left="2838" w:hanging="360"/>
      </w:pPr>
    </w:lvl>
    <w:lvl w:ilvl="4" w:tplc="04090019" w:tentative="1">
      <w:start w:val="1"/>
      <w:numFmt w:val="lowerLetter"/>
      <w:lvlText w:val="%5."/>
      <w:lvlJc w:val="left"/>
      <w:pPr>
        <w:ind w:left="3558" w:hanging="360"/>
      </w:pPr>
    </w:lvl>
    <w:lvl w:ilvl="5" w:tplc="0409001B" w:tentative="1">
      <w:start w:val="1"/>
      <w:numFmt w:val="lowerRoman"/>
      <w:lvlText w:val="%6."/>
      <w:lvlJc w:val="right"/>
      <w:pPr>
        <w:ind w:left="4278" w:hanging="180"/>
      </w:pPr>
    </w:lvl>
    <w:lvl w:ilvl="6" w:tplc="0409000F" w:tentative="1">
      <w:start w:val="1"/>
      <w:numFmt w:val="decimal"/>
      <w:lvlText w:val="%7."/>
      <w:lvlJc w:val="left"/>
      <w:pPr>
        <w:ind w:left="4998" w:hanging="360"/>
      </w:pPr>
    </w:lvl>
    <w:lvl w:ilvl="7" w:tplc="04090019" w:tentative="1">
      <w:start w:val="1"/>
      <w:numFmt w:val="lowerLetter"/>
      <w:lvlText w:val="%8."/>
      <w:lvlJc w:val="left"/>
      <w:pPr>
        <w:ind w:left="5718" w:hanging="360"/>
      </w:pPr>
    </w:lvl>
    <w:lvl w:ilvl="8" w:tplc="0409001B" w:tentative="1">
      <w:start w:val="1"/>
      <w:numFmt w:val="lowerRoman"/>
      <w:lvlText w:val="%9."/>
      <w:lvlJc w:val="right"/>
      <w:pPr>
        <w:ind w:left="6438" w:hanging="180"/>
      </w:pPr>
    </w:lvl>
  </w:abstractNum>
  <w:num w:numId="1" w16cid:durableId="88351018">
    <w:abstractNumId w:val="8"/>
  </w:num>
  <w:num w:numId="2" w16cid:durableId="1726830747">
    <w:abstractNumId w:val="7"/>
  </w:num>
  <w:num w:numId="3" w16cid:durableId="689449773">
    <w:abstractNumId w:val="4"/>
  </w:num>
  <w:num w:numId="4" w16cid:durableId="1594899117">
    <w:abstractNumId w:val="2"/>
  </w:num>
  <w:num w:numId="5" w16cid:durableId="1842424224">
    <w:abstractNumId w:val="0"/>
  </w:num>
  <w:num w:numId="6" w16cid:durableId="1181432932">
    <w:abstractNumId w:val="11"/>
  </w:num>
  <w:num w:numId="7" w16cid:durableId="1108084184">
    <w:abstractNumId w:val="10"/>
  </w:num>
  <w:num w:numId="8" w16cid:durableId="1658266825">
    <w:abstractNumId w:val="9"/>
  </w:num>
  <w:num w:numId="9" w16cid:durableId="3865374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7125249">
    <w:abstractNumId w:val="12"/>
  </w:num>
  <w:num w:numId="11" w16cid:durableId="1780028316">
    <w:abstractNumId w:val="1"/>
  </w:num>
  <w:num w:numId="12" w16cid:durableId="1279676967">
    <w:abstractNumId w:val="3"/>
  </w:num>
  <w:num w:numId="13" w16cid:durableId="9936862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A45938"/>
    <w:rsid w:val="00010D5C"/>
    <w:rsid w:val="00020056"/>
    <w:rsid w:val="0002076F"/>
    <w:rsid w:val="00030C40"/>
    <w:rsid w:val="00031CDE"/>
    <w:rsid w:val="00040997"/>
    <w:rsid w:val="00044B3F"/>
    <w:rsid w:val="00046C13"/>
    <w:rsid w:val="000504E9"/>
    <w:rsid w:val="00053E25"/>
    <w:rsid w:val="00054216"/>
    <w:rsid w:val="00054732"/>
    <w:rsid w:val="00056CBB"/>
    <w:rsid w:val="00064B88"/>
    <w:rsid w:val="0007784D"/>
    <w:rsid w:val="000825E1"/>
    <w:rsid w:val="0009012B"/>
    <w:rsid w:val="00092416"/>
    <w:rsid w:val="000C11E5"/>
    <w:rsid w:val="000D289C"/>
    <w:rsid w:val="000D4FC4"/>
    <w:rsid w:val="000E3640"/>
    <w:rsid w:val="000F01B5"/>
    <w:rsid w:val="000F11A7"/>
    <w:rsid w:val="0010285C"/>
    <w:rsid w:val="0011281C"/>
    <w:rsid w:val="001132CC"/>
    <w:rsid w:val="0011462F"/>
    <w:rsid w:val="0013051C"/>
    <w:rsid w:val="00154758"/>
    <w:rsid w:val="00171585"/>
    <w:rsid w:val="00175291"/>
    <w:rsid w:val="001843DE"/>
    <w:rsid w:val="001A3B4F"/>
    <w:rsid w:val="001A3DFE"/>
    <w:rsid w:val="001A5D6B"/>
    <w:rsid w:val="001B07FB"/>
    <w:rsid w:val="001B5D13"/>
    <w:rsid w:val="001C7492"/>
    <w:rsid w:val="001D0F3F"/>
    <w:rsid w:val="001E0CBF"/>
    <w:rsid w:val="001E3A84"/>
    <w:rsid w:val="001F281B"/>
    <w:rsid w:val="001F65F6"/>
    <w:rsid w:val="002044F6"/>
    <w:rsid w:val="00220890"/>
    <w:rsid w:val="002278AD"/>
    <w:rsid w:val="00230E28"/>
    <w:rsid w:val="00232629"/>
    <w:rsid w:val="00241E55"/>
    <w:rsid w:val="002620DF"/>
    <w:rsid w:val="00271A7C"/>
    <w:rsid w:val="00272687"/>
    <w:rsid w:val="002748F5"/>
    <w:rsid w:val="002766EA"/>
    <w:rsid w:val="002868A9"/>
    <w:rsid w:val="0029411E"/>
    <w:rsid w:val="00295DA7"/>
    <w:rsid w:val="002B3681"/>
    <w:rsid w:val="002B4CCA"/>
    <w:rsid w:val="002B5AD7"/>
    <w:rsid w:val="002C0F9C"/>
    <w:rsid w:val="002F267D"/>
    <w:rsid w:val="002F3CB0"/>
    <w:rsid w:val="002F7988"/>
    <w:rsid w:val="00304B39"/>
    <w:rsid w:val="00315CD4"/>
    <w:rsid w:val="00323B6D"/>
    <w:rsid w:val="00337FE4"/>
    <w:rsid w:val="0034219B"/>
    <w:rsid w:val="00347F9D"/>
    <w:rsid w:val="0038759E"/>
    <w:rsid w:val="00395898"/>
    <w:rsid w:val="003A69F8"/>
    <w:rsid w:val="003B341A"/>
    <w:rsid w:val="003C58A9"/>
    <w:rsid w:val="003C5D2B"/>
    <w:rsid w:val="003C678D"/>
    <w:rsid w:val="003E377F"/>
    <w:rsid w:val="003E5DC7"/>
    <w:rsid w:val="003F005E"/>
    <w:rsid w:val="003F3301"/>
    <w:rsid w:val="00404151"/>
    <w:rsid w:val="0041007F"/>
    <w:rsid w:val="004231B8"/>
    <w:rsid w:val="00425A94"/>
    <w:rsid w:val="00441443"/>
    <w:rsid w:val="00446827"/>
    <w:rsid w:val="00463B0D"/>
    <w:rsid w:val="004857DD"/>
    <w:rsid w:val="0048727C"/>
    <w:rsid w:val="00490728"/>
    <w:rsid w:val="00496CE9"/>
    <w:rsid w:val="004A6D31"/>
    <w:rsid w:val="004B2ECF"/>
    <w:rsid w:val="004B3826"/>
    <w:rsid w:val="004C0C56"/>
    <w:rsid w:val="004D1456"/>
    <w:rsid w:val="004D4E87"/>
    <w:rsid w:val="004E1E1E"/>
    <w:rsid w:val="004E6CBB"/>
    <w:rsid w:val="004E724E"/>
    <w:rsid w:val="0050098E"/>
    <w:rsid w:val="00504081"/>
    <w:rsid w:val="00527C86"/>
    <w:rsid w:val="005322E4"/>
    <w:rsid w:val="00552923"/>
    <w:rsid w:val="0055527D"/>
    <w:rsid w:val="005676A4"/>
    <w:rsid w:val="00571F10"/>
    <w:rsid w:val="005807A0"/>
    <w:rsid w:val="00580B60"/>
    <w:rsid w:val="005815A0"/>
    <w:rsid w:val="005949DA"/>
    <w:rsid w:val="005A3F06"/>
    <w:rsid w:val="005B59F0"/>
    <w:rsid w:val="005B5EC8"/>
    <w:rsid w:val="005C670C"/>
    <w:rsid w:val="005D4E08"/>
    <w:rsid w:val="005D71FF"/>
    <w:rsid w:val="00600B7A"/>
    <w:rsid w:val="0060468E"/>
    <w:rsid w:val="00604D52"/>
    <w:rsid w:val="00606AF0"/>
    <w:rsid w:val="0060737D"/>
    <w:rsid w:val="00610238"/>
    <w:rsid w:val="00615FC7"/>
    <w:rsid w:val="00626AAE"/>
    <w:rsid w:val="006315FA"/>
    <w:rsid w:val="00634BE8"/>
    <w:rsid w:val="0063511D"/>
    <w:rsid w:val="006411EF"/>
    <w:rsid w:val="00654C38"/>
    <w:rsid w:val="00661F2E"/>
    <w:rsid w:val="00665319"/>
    <w:rsid w:val="00665CDE"/>
    <w:rsid w:val="006672F1"/>
    <w:rsid w:val="00670B75"/>
    <w:rsid w:val="006815B7"/>
    <w:rsid w:val="00691CED"/>
    <w:rsid w:val="0069244C"/>
    <w:rsid w:val="006B63A0"/>
    <w:rsid w:val="006C2B4B"/>
    <w:rsid w:val="006C3697"/>
    <w:rsid w:val="006D0915"/>
    <w:rsid w:val="006D3368"/>
    <w:rsid w:val="006D38F1"/>
    <w:rsid w:val="006D5593"/>
    <w:rsid w:val="006E50B7"/>
    <w:rsid w:val="006E52A4"/>
    <w:rsid w:val="006E55E0"/>
    <w:rsid w:val="006E588D"/>
    <w:rsid w:val="007073A2"/>
    <w:rsid w:val="0072383A"/>
    <w:rsid w:val="00727346"/>
    <w:rsid w:val="007333E6"/>
    <w:rsid w:val="00736336"/>
    <w:rsid w:val="007400E4"/>
    <w:rsid w:val="0074303D"/>
    <w:rsid w:val="00745BEF"/>
    <w:rsid w:val="0074735C"/>
    <w:rsid w:val="00752EC4"/>
    <w:rsid w:val="00761DE0"/>
    <w:rsid w:val="00763DA9"/>
    <w:rsid w:val="0077043F"/>
    <w:rsid w:val="0078416C"/>
    <w:rsid w:val="00791129"/>
    <w:rsid w:val="00792253"/>
    <w:rsid w:val="00794C5D"/>
    <w:rsid w:val="007A0902"/>
    <w:rsid w:val="007A7C1F"/>
    <w:rsid w:val="007B69DF"/>
    <w:rsid w:val="007C10A0"/>
    <w:rsid w:val="007C4DBC"/>
    <w:rsid w:val="007E439D"/>
    <w:rsid w:val="007F6677"/>
    <w:rsid w:val="0081017D"/>
    <w:rsid w:val="0081358E"/>
    <w:rsid w:val="00826C44"/>
    <w:rsid w:val="008305F0"/>
    <w:rsid w:val="00830AF0"/>
    <w:rsid w:val="008334B5"/>
    <w:rsid w:val="00834ADD"/>
    <w:rsid w:val="00841FF9"/>
    <w:rsid w:val="0085364E"/>
    <w:rsid w:val="00864C08"/>
    <w:rsid w:val="0087024E"/>
    <w:rsid w:val="00872B2A"/>
    <w:rsid w:val="0089067A"/>
    <w:rsid w:val="008923E8"/>
    <w:rsid w:val="008A67EF"/>
    <w:rsid w:val="008B516E"/>
    <w:rsid w:val="008B55FC"/>
    <w:rsid w:val="008B7C8A"/>
    <w:rsid w:val="008D2A43"/>
    <w:rsid w:val="008E18E1"/>
    <w:rsid w:val="00906765"/>
    <w:rsid w:val="00906DC8"/>
    <w:rsid w:val="00910FE0"/>
    <w:rsid w:val="0093780B"/>
    <w:rsid w:val="009406A5"/>
    <w:rsid w:val="00940E2A"/>
    <w:rsid w:val="00942EAC"/>
    <w:rsid w:val="0094423B"/>
    <w:rsid w:val="009526C3"/>
    <w:rsid w:val="00954426"/>
    <w:rsid w:val="009564E5"/>
    <w:rsid w:val="00973670"/>
    <w:rsid w:val="009A30B1"/>
    <w:rsid w:val="009B1A1F"/>
    <w:rsid w:val="009B6ACC"/>
    <w:rsid w:val="009C4094"/>
    <w:rsid w:val="009C4D12"/>
    <w:rsid w:val="009D40E7"/>
    <w:rsid w:val="009D4C02"/>
    <w:rsid w:val="009D7391"/>
    <w:rsid w:val="009E6ED9"/>
    <w:rsid w:val="009F3FF9"/>
    <w:rsid w:val="00A0063D"/>
    <w:rsid w:val="00A45938"/>
    <w:rsid w:val="00A52B82"/>
    <w:rsid w:val="00A53756"/>
    <w:rsid w:val="00A54EE0"/>
    <w:rsid w:val="00A55C4E"/>
    <w:rsid w:val="00A63476"/>
    <w:rsid w:val="00A7125A"/>
    <w:rsid w:val="00A72FD8"/>
    <w:rsid w:val="00A730D6"/>
    <w:rsid w:val="00A8091B"/>
    <w:rsid w:val="00A96F23"/>
    <w:rsid w:val="00AA456D"/>
    <w:rsid w:val="00AB4E05"/>
    <w:rsid w:val="00AE7A0B"/>
    <w:rsid w:val="00AF6E83"/>
    <w:rsid w:val="00B0047E"/>
    <w:rsid w:val="00B019C5"/>
    <w:rsid w:val="00B03B37"/>
    <w:rsid w:val="00B15FBC"/>
    <w:rsid w:val="00B256E6"/>
    <w:rsid w:val="00B25DF5"/>
    <w:rsid w:val="00B34E52"/>
    <w:rsid w:val="00B41F51"/>
    <w:rsid w:val="00B43027"/>
    <w:rsid w:val="00B50A4B"/>
    <w:rsid w:val="00B574F0"/>
    <w:rsid w:val="00B61EAD"/>
    <w:rsid w:val="00B72649"/>
    <w:rsid w:val="00B76364"/>
    <w:rsid w:val="00B9096A"/>
    <w:rsid w:val="00B95D96"/>
    <w:rsid w:val="00BB184B"/>
    <w:rsid w:val="00BC2F8D"/>
    <w:rsid w:val="00BC3C9A"/>
    <w:rsid w:val="00BC4E3A"/>
    <w:rsid w:val="00BD2083"/>
    <w:rsid w:val="00BD6B77"/>
    <w:rsid w:val="00BE1C5F"/>
    <w:rsid w:val="00BE3183"/>
    <w:rsid w:val="00BF057D"/>
    <w:rsid w:val="00C40865"/>
    <w:rsid w:val="00C4590A"/>
    <w:rsid w:val="00C4780B"/>
    <w:rsid w:val="00C50935"/>
    <w:rsid w:val="00C555F4"/>
    <w:rsid w:val="00C70784"/>
    <w:rsid w:val="00C70D0D"/>
    <w:rsid w:val="00C81F61"/>
    <w:rsid w:val="00C94C31"/>
    <w:rsid w:val="00CA3436"/>
    <w:rsid w:val="00CB0050"/>
    <w:rsid w:val="00CB5904"/>
    <w:rsid w:val="00CC7488"/>
    <w:rsid w:val="00CD3DBD"/>
    <w:rsid w:val="00CD69BC"/>
    <w:rsid w:val="00CE038A"/>
    <w:rsid w:val="00CE221A"/>
    <w:rsid w:val="00CE7989"/>
    <w:rsid w:val="00CF5586"/>
    <w:rsid w:val="00CF6348"/>
    <w:rsid w:val="00D0548C"/>
    <w:rsid w:val="00D101EF"/>
    <w:rsid w:val="00D1459D"/>
    <w:rsid w:val="00D3210E"/>
    <w:rsid w:val="00D37D2A"/>
    <w:rsid w:val="00D4311D"/>
    <w:rsid w:val="00D4391F"/>
    <w:rsid w:val="00D574BC"/>
    <w:rsid w:val="00D65594"/>
    <w:rsid w:val="00D865F8"/>
    <w:rsid w:val="00DC190C"/>
    <w:rsid w:val="00DE4031"/>
    <w:rsid w:val="00E03AD5"/>
    <w:rsid w:val="00E07BD8"/>
    <w:rsid w:val="00E30D85"/>
    <w:rsid w:val="00E33409"/>
    <w:rsid w:val="00E359E5"/>
    <w:rsid w:val="00E35B42"/>
    <w:rsid w:val="00E40149"/>
    <w:rsid w:val="00E50AAC"/>
    <w:rsid w:val="00E52AB1"/>
    <w:rsid w:val="00E60B9A"/>
    <w:rsid w:val="00E706AC"/>
    <w:rsid w:val="00E844B2"/>
    <w:rsid w:val="00E85F50"/>
    <w:rsid w:val="00E957A3"/>
    <w:rsid w:val="00EB1F85"/>
    <w:rsid w:val="00EB7B59"/>
    <w:rsid w:val="00EC0303"/>
    <w:rsid w:val="00ED211C"/>
    <w:rsid w:val="00ED3CB4"/>
    <w:rsid w:val="00ED4B42"/>
    <w:rsid w:val="00EF0BAD"/>
    <w:rsid w:val="00EF7D66"/>
    <w:rsid w:val="00F12AD4"/>
    <w:rsid w:val="00F245AA"/>
    <w:rsid w:val="00F26EE6"/>
    <w:rsid w:val="00F40647"/>
    <w:rsid w:val="00F42883"/>
    <w:rsid w:val="00F4748A"/>
    <w:rsid w:val="00F54D22"/>
    <w:rsid w:val="00F63987"/>
    <w:rsid w:val="00F74A3E"/>
    <w:rsid w:val="00F85111"/>
    <w:rsid w:val="00F8722B"/>
    <w:rsid w:val="00FA40F8"/>
    <w:rsid w:val="00FA522B"/>
    <w:rsid w:val="00FB4632"/>
    <w:rsid w:val="00FD4E9D"/>
    <w:rsid w:val="00FD5CDA"/>
    <w:rsid w:val="00FD7044"/>
    <w:rsid w:val="00FD75AB"/>
    <w:rsid w:val="00FE4866"/>
    <w:rsid w:val="00FF3C84"/>
    <w:rsid w:val="00FF3EF3"/>
    <w:rsid w:val="00FF5A66"/>
    <w:rsid w:val="00FF78DD"/>
    <w:rsid w:val="21AB2A2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83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ES"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031CDE"/>
    <w:pPr>
      <w:spacing w:after="0" w:line="240" w:lineRule="auto"/>
    </w:pPr>
    <w:rPr>
      <w:rFonts w:ascii="Calibri" w:eastAsia="Calibri" w:hAnsi="Calibri" w:cs="Calibri"/>
      <w:color w:val="000000"/>
      <w:sz w:val="22"/>
    </w:rPr>
  </w:style>
  <w:style w:type="paragraph" w:styleId="ListParagraph">
    <w:name w:val="List Paragraph"/>
    <w:basedOn w:val="Normal"/>
    <w:uiPriority w:val="34"/>
    <w:qFormat/>
    <w:rsid w:val="0087024E"/>
    <w:pPr>
      <w:ind w:left="720"/>
      <w:contextualSpacing/>
    </w:pPr>
  </w:style>
  <w:style w:type="character" w:styleId="CommentReference">
    <w:name w:val="annotation reference"/>
    <w:basedOn w:val="DefaultParagraphFont"/>
    <w:uiPriority w:val="99"/>
    <w:semiHidden/>
    <w:unhideWhenUsed/>
    <w:rsid w:val="00446827"/>
    <w:rPr>
      <w:sz w:val="16"/>
      <w:szCs w:val="16"/>
    </w:rPr>
  </w:style>
  <w:style w:type="paragraph" w:styleId="CommentText">
    <w:name w:val="annotation text"/>
    <w:basedOn w:val="Normal"/>
    <w:link w:val="CommentTextChar"/>
    <w:uiPriority w:val="99"/>
    <w:unhideWhenUsed/>
    <w:rsid w:val="00446827"/>
    <w:pPr>
      <w:spacing w:line="240" w:lineRule="auto"/>
    </w:pPr>
    <w:rPr>
      <w:sz w:val="20"/>
      <w:szCs w:val="20"/>
    </w:rPr>
  </w:style>
  <w:style w:type="character" w:customStyle="1" w:styleId="CommentTextChar">
    <w:name w:val="Comment Text Char"/>
    <w:basedOn w:val="DefaultParagraphFont"/>
    <w:link w:val="CommentText"/>
    <w:uiPriority w:val="99"/>
    <w:rsid w:val="00446827"/>
    <w:rPr>
      <w:rFonts w:ascii="Calibri" w:eastAsia="Calibri" w:hAnsi="Calibri" w:cs="Calibri"/>
      <w:color w:val="000000"/>
      <w:sz w:val="20"/>
      <w:szCs w:val="20"/>
    </w:rPr>
  </w:style>
  <w:style w:type="paragraph" w:styleId="CommentSubject">
    <w:name w:val="annotation subject"/>
    <w:basedOn w:val="CommentText"/>
    <w:next w:val="CommentText"/>
    <w:link w:val="CommentSubjectChar"/>
    <w:uiPriority w:val="99"/>
    <w:semiHidden/>
    <w:unhideWhenUsed/>
    <w:rsid w:val="00446827"/>
    <w:rPr>
      <w:b/>
      <w:bCs/>
    </w:rPr>
  </w:style>
  <w:style w:type="character" w:customStyle="1" w:styleId="CommentSubjectChar">
    <w:name w:val="Comment Subject Char"/>
    <w:basedOn w:val="CommentTextChar"/>
    <w:link w:val="CommentSubject"/>
    <w:uiPriority w:val="99"/>
    <w:semiHidden/>
    <w:rsid w:val="00446827"/>
    <w:rPr>
      <w:rFonts w:ascii="Calibri" w:eastAsia="Calibri" w:hAnsi="Calibri" w:cs="Calibri"/>
      <w:b/>
      <w:bCs/>
      <w:color w:val="000000"/>
      <w:sz w:val="20"/>
      <w:szCs w:val="20"/>
    </w:rPr>
  </w:style>
  <w:style w:type="character" w:styleId="Hyperlink">
    <w:name w:val="Hyperlink"/>
    <w:basedOn w:val="DefaultParagraphFont"/>
    <w:uiPriority w:val="99"/>
    <w:unhideWhenUsed/>
    <w:rsid w:val="006815B7"/>
    <w:rPr>
      <w:color w:val="467886" w:themeColor="hyperlink"/>
      <w:u w:val="single"/>
    </w:rPr>
  </w:style>
  <w:style w:type="character" w:styleId="UnresolvedMention">
    <w:name w:val="Unresolved Mention"/>
    <w:basedOn w:val="DefaultParagraphFont"/>
    <w:uiPriority w:val="99"/>
    <w:semiHidden/>
    <w:unhideWhenUsed/>
    <w:rsid w:val="006815B7"/>
    <w:rPr>
      <w:color w:val="605E5C"/>
      <w:shd w:val="clear" w:color="auto" w:fill="E1DFDD"/>
    </w:rPr>
  </w:style>
  <w:style w:type="character" w:styleId="Mention">
    <w:name w:val="Mention"/>
    <w:basedOn w:val="DefaultParagraphFont"/>
    <w:uiPriority w:val="99"/>
    <w:unhideWhenUsed/>
    <w:rsid w:val="008D2A43"/>
    <w:rPr>
      <w:color w:val="2B579A"/>
      <w:shd w:val="clear" w:color="auto" w:fill="E1DFDD"/>
    </w:rPr>
  </w:style>
  <w:style w:type="table" w:styleId="TableGrid0">
    <w:name w:val="Table Grid"/>
    <w:basedOn w:val="TableNormal"/>
    <w:uiPriority w:val="39"/>
    <w:rsid w:val="001128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A3F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F06"/>
    <w:rPr>
      <w:rFonts w:ascii="Calibri" w:eastAsia="Calibri" w:hAnsi="Calibri" w:cs="Calibri"/>
      <w:color w:val="000000"/>
      <w:sz w:val="22"/>
    </w:rPr>
  </w:style>
  <w:style w:type="paragraph" w:styleId="Footer">
    <w:name w:val="footer"/>
    <w:basedOn w:val="Normal"/>
    <w:link w:val="FooterChar"/>
    <w:uiPriority w:val="99"/>
    <w:unhideWhenUsed/>
    <w:rsid w:val="005A3F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F06"/>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8712968">
      <w:bodyDiv w:val="1"/>
      <w:marLeft w:val="0"/>
      <w:marRight w:val="0"/>
      <w:marTop w:val="0"/>
      <w:marBottom w:val="0"/>
      <w:divBdr>
        <w:top w:val="none" w:sz="0" w:space="0" w:color="auto"/>
        <w:left w:val="none" w:sz="0" w:space="0" w:color="auto"/>
        <w:bottom w:val="none" w:sz="0" w:space="0" w:color="auto"/>
        <w:right w:val="none" w:sz="0" w:space="0" w:color="auto"/>
      </w:divBdr>
    </w:div>
    <w:div w:id="15104143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EC_ARES_NUMBER xmlns="109fe164-c690-497e-a27a-2f9db3c5ef70">
      <Url xsi:nil="true"/>
      <Description xsi:nil="true"/>
    </EC_ARES_NUMBER>
    <IconOverlay xmlns="http://schemas.microsoft.com/sharepoint/v4" xsi:nil="true"/>
    <EC_ARES_TRANSFERRED_BY xmlns="109fe164-c690-497e-a27a-2f9db3c5ef70" xsi:nil="true"/>
    <EC_ARES_DATE_TRANSFERRED xmlns="109fe164-c690-497e-a27a-2f9db3c5ef70" xsi:nil="true"/>
    <lcf76f155ced4ddcb4097134ff3c332f xmlns="e79f5ee3-6126-495d-84fb-deab44380441">
      <Terms xmlns="http://schemas.microsoft.com/office/infopath/2007/PartnerControls"/>
    </lcf76f155ced4ddcb4097134ff3c332f>
    <TaxCatchAll xmlns="109fe164-c690-497e-a27a-2f9db3c5ef7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7FF78C904FD5D479F9D99C5899B7D55" ma:contentTypeVersion="25" ma:contentTypeDescription="Create a new document." ma:contentTypeScope="" ma:versionID="50ef10bb8e46dd9129fdb5cfd34a557c">
  <xsd:schema xmlns:xsd="http://www.w3.org/2001/XMLSchema" xmlns:xs="http://www.w3.org/2001/XMLSchema" xmlns:p="http://schemas.microsoft.com/office/2006/metadata/properties" xmlns:ns1="http://schemas.microsoft.com/sharepoint/v3" xmlns:ns2="e79f5ee3-6126-495d-84fb-deab44380441" xmlns:ns3="109fe164-c690-497e-a27a-2f9db3c5ef70" xmlns:ns4="http://schemas.microsoft.com/sharepoint/v4" targetNamespace="http://schemas.microsoft.com/office/2006/metadata/properties" ma:root="true" ma:fieldsID="26700781f32eb6adf41d0a94569529dd" ns1:_="" ns2:_="" ns3:_="" ns4:_="">
    <xsd:import namespace="http://schemas.microsoft.com/sharepoint/v3"/>
    <xsd:import namespace="e79f5ee3-6126-495d-84fb-deab44380441"/>
    <xsd:import namespace="109fe164-c690-497e-a27a-2f9db3c5ef70"/>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EC_ARES_NUMBER" minOccurs="0"/>
                <xsd:element ref="ns3:EC_ARES_DATE_TRANSFERRED" minOccurs="0"/>
                <xsd:element ref="ns3:EC_ARES_TRANSFERRED_BY" minOccurs="0"/>
                <xsd:element ref="ns4:IconOverlay" minOccurs="0"/>
                <xsd:element ref="ns1:_vti_ItemDeclaredRecord" minOccurs="0"/>
                <xsd:element ref="ns1:_vti_ItemHoldRecord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9" nillable="true" ma:displayName="Declared Record" ma:hidden="true" ma:internalName="_vti_ItemDeclaredRecord" ma:readOnly="true">
      <xsd:simpleType>
        <xsd:restriction base="dms:DateTime"/>
      </xsd:simpleType>
    </xsd:element>
    <xsd:element name="_vti_ItemHoldRecordStatus" ma:index="30"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79f5ee3-6126-495d-84fb-deab443804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09fe164-c690-497e-a27a-2f9db3c5e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57b1a440-6b9a-40cb-aa19-eb82162fca31}" ma:internalName="TaxCatchAll" ma:showField="CatchAllData" ma:web="109fe164-c690-497e-a27a-2f9db3c5ef70">
      <xsd:complexType>
        <xsd:complexContent>
          <xsd:extension base="dms:MultiChoiceLookup">
            <xsd:sequence>
              <xsd:element name="Value" type="dms:Lookup" maxOccurs="unbounded" minOccurs="0" nillable="true"/>
            </xsd:sequence>
          </xsd:extension>
        </xsd:complexContent>
      </xsd:complexType>
    </xsd:element>
    <xsd:element name="EC_ARES_NUMBER" ma:index="25" nillable="true" ma:displayName="Ares Number" ma:format="Hyperlink" ma:hidden="true" ma:internalName="EC_ARES_NUMBER">
      <xsd:complexType>
        <xsd:complexContent>
          <xsd:extension base="dms:URL">
            <xsd:sequence>
              <xsd:element name="Url" type="dms:ValidUrl" minOccurs="0" nillable="true"/>
              <xsd:element name="Description" type="xsd:string" nillable="true"/>
            </xsd:sequence>
          </xsd:extension>
        </xsd:complexContent>
      </xsd:complexType>
    </xsd:element>
    <xsd:element name="EC_ARES_DATE_TRANSFERRED" ma:index="26" nillable="true" ma:displayName="Transferred to Ares" ma:format="DateTime" ma:hidden="true" ma:internalName="EC_ARES_DATE_TRANSFERRED">
      <xsd:simpleType>
        <xsd:restriction base="dms:DateTime"/>
      </xsd:simpleType>
    </xsd:element>
    <xsd:element name="EC_ARES_TRANSFERRED_BY" ma:index="27" nillable="true" ma:displayName="Transferred By" ma:hidden="true" ma:internalName="EC_ARES_TRANSFERRED_B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C03F7E-042C-4C52-B28E-543F2F48B6BB}">
  <ds:schemaRefs>
    <ds:schemaRef ds:uri="http://schemas.microsoft.com/office/2006/metadata/properties"/>
    <ds:schemaRef ds:uri="http://schemas.microsoft.com/office/infopath/2007/PartnerControls"/>
    <ds:schemaRef ds:uri="109fe164-c690-497e-a27a-2f9db3c5ef70"/>
    <ds:schemaRef ds:uri="http://schemas.microsoft.com/sharepoint/v4"/>
    <ds:schemaRef ds:uri="e79f5ee3-6126-495d-84fb-deab44380441"/>
  </ds:schemaRefs>
</ds:datastoreItem>
</file>

<file path=customXml/itemProps2.xml><?xml version="1.0" encoding="utf-8"?>
<ds:datastoreItem xmlns:ds="http://schemas.openxmlformats.org/officeDocument/2006/customXml" ds:itemID="{86E18C30-7B2A-4278-8C90-0B84DBC8AAB5}">
  <ds:schemaRefs>
    <ds:schemaRef ds:uri="http://schemas.openxmlformats.org/officeDocument/2006/bibliography"/>
  </ds:schemaRefs>
</ds:datastoreItem>
</file>

<file path=customXml/itemProps3.xml><?xml version="1.0" encoding="utf-8"?>
<ds:datastoreItem xmlns:ds="http://schemas.openxmlformats.org/officeDocument/2006/customXml" ds:itemID="{62FBBF80-831A-44B7-81D8-3310FF7AD7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79f5ee3-6126-495d-84fb-deab44380441"/>
    <ds:schemaRef ds:uri="109fe164-c690-497e-a27a-2f9db3c5ef70"/>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7EA7ECE-80B2-48D5-98A5-7BD2FDD074F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1583</Words>
  <Characters>9026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10588</CharactersWithSpaces>
  <SharedDoc>false</SharedDoc>
  <HLinks>
    <vt:vector size="18" baseType="variant">
      <vt:variant>
        <vt:i4>4325388</vt:i4>
      </vt:variant>
      <vt:variant>
        <vt:i4>6</vt:i4>
      </vt:variant>
      <vt:variant>
        <vt:i4>0</vt:i4>
      </vt:variant>
      <vt:variant>
        <vt:i4>5</vt:i4>
      </vt:variant>
      <vt:variant>
        <vt:lpwstr>https://www.iccat.int/Documents/Recs/compendiopdf-e/2024-05-e.pdf</vt:lpwstr>
      </vt:variant>
      <vt:variant>
        <vt:lpwstr/>
      </vt:variant>
      <vt:variant>
        <vt:i4>4325388</vt:i4>
      </vt:variant>
      <vt:variant>
        <vt:i4>3</vt:i4>
      </vt:variant>
      <vt:variant>
        <vt:i4>0</vt:i4>
      </vt:variant>
      <vt:variant>
        <vt:i4>5</vt:i4>
      </vt:variant>
      <vt:variant>
        <vt:lpwstr>https://www.iccat.int/Documents/Recs/compendiopdf-e/2024-05-e.pdf</vt:lpwstr>
      </vt:variant>
      <vt:variant>
        <vt:lpwstr/>
      </vt:variant>
      <vt:variant>
        <vt:i4>4325388</vt:i4>
      </vt:variant>
      <vt:variant>
        <vt:i4>0</vt:i4>
      </vt:variant>
      <vt:variant>
        <vt:i4>0</vt:i4>
      </vt:variant>
      <vt:variant>
        <vt:i4>5</vt:i4>
      </vt:variant>
      <vt:variant>
        <vt:lpwstr>https://www.iccat.int/Documents/Recs/compendiopdf-e/2024-05-e.pdf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2026-10-27T15:06:00Z</dcterms:created>
  <dcterms:modified xsi:type="dcterms:W3CDTF">2026-10-27T15:06:00Z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2026-10-16T15:43:04Z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366423d4-0b5c-4dda-8312-a46114caa3df</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MediaServiceImageTags">
    <vt:lpwstr/>
  </property>
  <property fmtid="{D5CDD505-2E9C-101B-9397-08002B2CF9AE}" pid="11" name="ContentTypeId">
    <vt:lpwstr>0x01010017FF78C904FD5D479F9D99C5899B7D55</vt:lpwstr>
  </property>
</Properties>
</file>