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CA9BB" w14:textId="77777777" w:rsidR="00F42883" w:rsidRPr="004271A6" w:rsidRDefault="00F42883" w:rsidP="00F42883">
      <w:pPr>
        <w:spacing w:after="0" w:line="240" w:lineRule="auto"/>
        <w:jc w:val="center"/>
        <w:rPr>
          <w:rFonts w:ascii="Cambria" w:eastAsia="Times New Roman" w:hAnsi="Cambria" w:cs="Times New Roman"/>
          <w:b/>
          <w:color w:val="auto"/>
          <w:kern w:val="0"/>
          <w:sz w:val="20"/>
          <w:szCs w:val="20"/>
          <w14:ligatures w14:val="none"/>
        </w:rPr>
      </w:pPr>
      <w:r w:rsidRPr="004271A6">
        <w:rPr>
          <w:rFonts w:ascii="Cambria" w:hAnsi="Cambria"/>
          <w:b/>
          <w:color w:val="auto"/>
          <w:sz w:val="20"/>
          <w:szCs w:val="20"/>
        </w:rPr>
        <w:t>Page de garde accompagnant les nouvelles propositions</w:t>
      </w:r>
    </w:p>
    <w:p w14:paraId="56985B1A" w14:textId="77777777" w:rsidR="00F42883" w:rsidRPr="004271A6" w:rsidRDefault="00F42883" w:rsidP="00F42883">
      <w:pPr>
        <w:widowControl w:val="0"/>
        <w:autoSpaceDE w:val="0"/>
        <w:autoSpaceDN w:val="0"/>
        <w:spacing w:after="0" w:line="240" w:lineRule="auto"/>
        <w:jc w:val="center"/>
        <w:rPr>
          <w:rFonts w:ascii="Cambria" w:eastAsia="Cambria" w:hAnsi="Cambria" w:cs="Cambria"/>
          <w:i/>
          <w:iCs/>
          <w:color w:val="auto"/>
          <w:kern w:val="0"/>
          <w:sz w:val="20"/>
          <w:szCs w:val="20"/>
          <w:lang w:eastAsia="en-US"/>
          <w14:ligatures w14:val="none"/>
        </w:rPr>
      </w:pPr>
    </w:p>
    <w:p w14:paraId="2DEBCB10" w14:textId="77777777" w:rsidR="00F42883" w:rsidRPr="004271A6" w:rsidRDefault="00F42883" w:rsidP="00F42883">
      <w:pPr>
        <w:widowControl w:val="0"/>
        <w:autoSpaceDE w:val="0"/>
        <w:autoSpaceDN w:val="0"/>
        <w:spacing w:after="0" w:line="240" w:lineRule="auto"/>
        <w:jc w:val="center"/>
        <w:rPr>
          <w:rFonts w:ascii="Cambria" w:eastAsia="Cambria" w:hAnsi="Cambria" w:cs="Cambria"/>
          <w:i/>
          <w:iCs/>
          <w:color w:val="auto"/>
          <w:kern w:val="0"/>
          <w:sz w:val="20"/>
          <w:szCs w:val="20"/>
          <w14:ligatures w14:val="none"/>
        </w:rPr>
      </w:pPr>
      <w:r w:rsidRPr="004271A6">
        <w:rPr>
          <w:rFonts w:ascii="Cambria" w:hAnsi="Cambria"/>
          <w:i/>
          <w:color w:val="auto"/>
          <w:sz w:val="20"/>
          <w:szCs w:val="20"/>
        </w:rPr>
        <w:t>(Document présenté par l’Union européenne)</w:t>
      </w:r>
    </w:p>
    <w:p w14:paraId="121BD525" w14:textId="77777777" w:rsidR="00F42883" w:rsidRPr="004271A6" w:rsidRDefault="00F42883" w:rsidP="0093780B">
      <w:pPr>
        <w:widowControl w:val="0"/>
        <w:autoSpaceDE w:val="0"/>
        <w:autoSpaceDN w:val="0"/>
        <w:spacing w:after="120" w:line="240" w:lineRule="auto"/>
        <w:jc w:val="both"/>
        <w:rPr>
          <w:rFonts w:ascii="Cambria" w:eastAsia="Cambria" w:hAnsi="Cambria" w:cs="Cambria"/>
          <w:b/>
          <w:bCs/>
          <w:color w:val="auto"/>
          <w:kern w:val="0"/>
          <w:sz w:val="20"/>
          <w:szCs w:val="20"/>
          <w:lang w:eastAsia="en-US"/>
          <w14:ligatures w14:val="none"/>
        </w:rPr>
      </w:pPr>
    </w:p>
    <w:p w14:paraId="472C72AF" w14:textId="2CA754EC" w:rsidR="00615FC7" w:rsidRPr="004271A6" w:rsidRDefault="00615FC7" w:rsidP="0093780B">
      <w:pPr>
        <w:widowControl w:val="0"/>
        <w:autoSpaceDE w:val="0"/>
        <w:autoSpaceDN w:val="0"/>
        <w:spacing w:after="120" w:line="240" w:lineRule="auto"/>
        <w:jc w:val="both"/>
        <w:rPr>
          <w:rFonts w:ascii="Cambria" w:eastAsia="Cambria" w:hAnsi="Cambria" w:cs="Cambria"/>
          <w:b/>
          <w:bCs/>
          <w:i/>
          <w:iCs/>
          <w:color w:val="EE0000"/>
          <w:spacing w:val="-2"/>
          <w:kern w:val="0"/>
          <w:sz w:val="20"/>
          <w:szCs w:val="20"/>
          <w14:ligatures w14:val="none"/>
        </w:rPr>
      </w:pPr>
      <w:r w:rsidRPr="004271A6">
        <w:rPr>
          <w:rFonts w:ascii="Cambria" w:hAnsi="Cambria"/>
          <w:b/>
          <w:color w:val="auto"/>
          <w:sz w:val="20"/>
          <w:szCs w:val="20"/>
        </w:rPr>
        <w:t xml:space="preserve">Titre de la proposition de projet de Recommandation/Résolution : </w:t>
      </w:r>
      <w:r w:rsidR="00525558" w:rsidRPr="004271A6">
        <w:rPr>
          <w:rFonts w:ascii="Cambria" w:hAnsi="Cambria"/>
          <w:color w:val="EE0000"/>
          <w:sz w:val="20"/>
          <w:szCs w:val="20"/>
        </w:rPr>
        <w:t xml:space="preserve">Projet de </w:t>
      </w:r>
      <w:r w:rsidRPr="004271A6">
        <w:rPr>
          <w:rFonts w:ascii="Cambria" w:hAnsi="Cambria"/>
          <w:color w:val="EE0000"/>
          <w:sz w:val="20"/>
          <w:szCs w:val="20"/>
        </w:rPr>
        <w:t xml:space="preserve">Recommandation de l’ICCAT amendant la Recommandation </w:t>
      </w:r>
      <w:r w:rsidR="00525558" w:rsidRPr="004271A6">
        <w:rPr>
          <w:rFonts w:ascii="Cambria" w:hAnsi="Cambria"/>
          <w:color w:val="EE0000"/>
          <w:sz w:val="20"/>
          <w:szCs w:val="20"/>
        </w:rPr>
        <w:t>25-04</w:t>
      </w:r>
      <w:r w:rsidRPr="004271A6">
        <w:rPr>
          <w:rFonts w:ascii="Cambria" w:hAnsi="Cambria"/>
          <w:color w:val="EE0000"/>
          <w:sz w:val="20"/>
          <w:szCs w:val="20"/>
        </w:rPr>
        <w:t xml:space="preserve"> établissant un plan pluriannuel de gestion du thon rouge dans l’Atlantique Est et la Méditerranée</w:t>
      </w:r>
    </w:p>
    <w:p w14:paraId="140FECCA" w14:textId="28E43ACA" w:rsidR="00615FC7" w:rsidRPr="004271A6" w:rsidRDefault="00615FC7" w:rsidP="0093780B">
      <w:pPr>
        <w:widowControl w:val="0"/>
        <w:autoSpaceDE w:val="0"/>
        <w:autoSpaceDN w:val="0"/>
        <w:spacing w:after="120" w:line="240" w:lineRule="auto"/>
        <w:jc w:val="both"/>
        <w:rPr>
          <w:rFonts w:ascii="Cambria" w:eastAsia="Cambria" w:hAnsi="Cambria" w:cs="Cambria"/>
          <w:color w:val="EE0000"/>
          <w:kern w:val="0"/>
          <w:sz w:val="20"/>
          <w:szCs w:val="20"/>
          <w14:ligatures w14:val="none"/>
        </w:rPr>
      </w:pPr>
      <w:r w:rsidRPr="004271A6">
        <w:rPr>
          <w:rFonts w:ascii="Cambria" w:hAnsi="Cambria"/>
          <w:b/>
          <w:color w:val="auto"/>
          <w:sz w:val="20"/>
          <w:szCs w:val="20"/>
        </w:rPr>
        <w:t xml:space="preserve">Titre de la ou des Recommandations ou Résolutions en vigueur traitant des mêmes questions ou de questions connexes : </w:t>
      </w:r>
      <w:r w:rsidRPr="004271A6">
        <w:rPr>
          <w:rFonts w:ascii="Cambria" w:hAnsi="Cambria"/>
          <w:color w:val="EE0000"/>
          <w:sz w:val="20"/>
          <w:szCs w:val="20"/>
        </w:rPr>
        <w:t>Recommandation de l’ICCAT remplaçant la Recommandation 24-05 établissant un plan pluriannuel de gestion du thon rouge dans l’Atlantique Est et la Méditerranée (Rec. 25-04)</w:t>
      </w:r>
    </w:p>
    <w:p w14:paraId="41FBC4AB" w14:textId="77777777" w:rsidR="00615FC7" w:rsidRPr="004271A6" w:rsidRDefault="00615FC7" w:rsidP="0093780B">
      <w:pPr>
        <w:widowControl w:val="0"/>
        <w:autoSpaceDE w:val="0"/>
        <w:autoSpaceDN w:val="0"/>
        <w:spacing w:after="120" w:line="240" w:lineRule="auto"/>
        <w:ind w:left="318"/>
        <w:jc w:val="both"/>
        <w:rPr>
          <w:rFonts w:ascii="Cambria" w:eastAsia="Cambria" w:hAnsi="Cambria" w:cs="Cambria"/>
          <w:color w:val="auto"/>
          <w:kern w:val="0"/>
          <w:sz w:val="20"/>
          <w:szCs w:val="20"/>
          <w:lang w:eastAsia="en-US"/>
          <w14:ligatures w14:val="none"/>
        </w:rPr>
      </w:pPr>
    </w:p>
    <w:p w14:paraId="72B4B24E" w14:textId="6BDDEAEE" w:rsidR="00615FC7" w:rsidRPr="004271A6"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EE0000"/>
          <w:kern w:val="0"/>
          <w:sz w:val="20"/>
          <w:szCs w:val="20"/>
          <w14:ligatures w14:val="none"/>
        </w:rPr>
      </w:pPr>
      <w:r w:rsidRPr="004271A6">
        <w:rPr>
          <w:rFonts w:ascii="Cambria" w:hAnsi="Cambria"/>
          <w:color w:val="auto"/>
          <w:sz w:val="20"/>
          <w:szCs w:val="20"/>
        </w:rPr>
        <w:t xml:space="preserve">Cela crée-t-il de nouvelles </w:t>
      </w:r>
      <w:r w:rsidRPr="004271A6">
        <w:rPr>
          <w:rFonts w:ascii="Cambria" w:hAnsi="Cambria"/>
          <w:b/>
          <w:color w:val="auto"/>
          <w:sz w:val="20"/>
          <w:szCs w:val="20"/>
        </w:rPr>
        <w:t xml:space="preserve">obligations de déclaration </w:t>
      </w:r>
      <w:r w:rsidRPr="004271A6">
        <w:rPr>
          <w:rFonts w:ascii="Cambria" w:hAnsi="Cambria"/>
          <w:color w:val="auto"/>
          <w:sz w:val="20"/>
          <w:szCs w:val="20"/>
        </w:rPr>
        <w:t xml:space="preserve">pour les CPC ?     </w:t>
      </w:r>
      <w:r w:rsidRPr="004271A6">
        <w:rPr>
          <w:rFonts w:ascii="Cambria" w:hAnsi="Cambria"/>
          <w:sz w:val="20"/>
          <w:szCs w:val="20"/>
        </w:rPr>
        <w:t>Oui</w:t>
      </w:r>
      <w:r w:rsidRPr="004271A6">
        <w:rPr>
          <w:rFonts w:ascii="Cambria" w:hAnsi="Cambria"/>
          <w:color w:val="auto"/>
          <w:sz w:val="20"/>
          <w:szCs w:val="20"/>
        </w:rPr>
        <w:t xml:space="preserve"> </w:t>
      </w:r>
      <w:sdt>
        <w:sdtPr>
          <w:rPr>
            <w:rFonts w:ascii="Cambria" w:eastAsia="Cambria" w:hAnsi="Cambria" w:cs="Cambria"/>
            <w:color w:val="auto"/>
            <w:spacing w:val="-2"/>
            <w:kern w:val="0"/>
            <w:sz w:val="20"/>
            <w:szCs w:val="20"/>
            <w14:ligatures w14:val="none"/>
          </w:rPr>
          <w:id w:val="-1086609996"/>
          <w14:checkbox>
            <w14:checked w14:val="0"/>
            <w14:checkedState w14:val="2612" w14:font="MS Gothic"/>
            <w14:uncheckedState w14:val="2610" w14:font="MS Gothic"/>
          </w14:checkbox>
        </w:sdtPr>
        <w:sdtEndPr/>
        <w:sdtContent>
          <w:r w:rsidRPr="004271A6">
            <w:rPr>
              <w:rFonts w:ascii="Segoe UI Symbol" w:eastAsia="Cambria" w:hAnsi="Segoe UI Symbol" w:cs="Segoe UI Symbol"/>
              <w:color w:val="auto"/>
              <w:spacing w:val="-2"/>
              <w:kern w:val="0"/>
              <w:sz w:val="20"/>
              <w:szCs w:val="20"/>
              <w:lang w:val="en-US" w:eastAsia="en-US"/>
              <w14:ligatures w14:val="none"/>
            </w:rPr>
            <w:t>☐</w:t>
          </w:r>
        </w:sdtContent>
      </w:sdt>
      <w:r w:rsidRPr="004271A6">
        <w:rPr>
          <w:rFonts w:ascii="Cambria" w:hAnsi="Cambria"/>
          <w:color w:val="auto"/>
          <w:sz w:val="20"/>
          <w:szCs w:val="20"/>
        </w:rPr>
        <w:tab/>
      </w:r>
      <w:r w:rsidRPr="004271A6">
        <w:rPr>
          <w:rFonts w:ascii="Cambria" w:hAnsi="Cambria"/>
          <w:color w:val="EE0000"/>
          <w:sz w:val="20"/>
          <w:szCs w:val="20"/>
        </w:rPr>
        <w:t xml:space="preserve">Non </w:t>
      </w:r>
      <w:sdt>
        <w:sdtPr>
          <w:rPr>
            <w:rFonts w:ascii="Cambria" w:eastAsia="Cambria" w:hAnsi="Cambria" w:cs="Cambria"/>
            <w:color w:val="EE0000"/>
            <w:spacing w:val="-2"/>
            <w:kern w:val="0"/>
            <w:sz w:val="20"/>
            <w:szCs w:val="20"/>
            <w14:ligatures w14:val="none"/>
          </w:rPr>
          <w:id w:val="1408192170"/>
          <w14:checkbox>
            <w14:checked w14:val="1"/>
            <w14:checkedState w14:val="2612" w14:font="MS Gothic"/>
            <w14:uncheckedState w14:val="2610" w14:font="MS Gothic"/>
          </w14:checkbox>
        </w:sdtPr>
        <w:sdtEndPr/>
        <w:sdtContent>
          <w:r w:rsidR="00A55C4E" w:rsidRPr="004271A6">
            <w:rPr>
              <w:rFonts w:ascii="Segoe UI Symbol" w:eastAsia="MS Gothic" w:hAnsi="Segoe UI Symbol" w:cs="Segoe UI Symbol"/>
              <w:color w:val="EE0000"/>
              <w:spacing w:val="-2"/>
              <w:kern w:val="0"/>
              <w:sz w:val="20"/>
              <w:szCs w:val="20"/>
              <w:lang w:val="en-US" w:eastAsia="en-US"/>
              <w14:ligatures w14:val="none"/>
            </w:rPr>
            <w:t>☒</w:t>
          </w:r>
        </w:sdtContent>
      </w:sdt>
    </w:p>
    <w:p w14:paraId="5E9DBEAE" w14:textId="77777777" w:rsidR="00615FC7" w:rsidRPr="004271A6" w:rsidRDefault="00615FC7" w:rsidP="0093780B">
      <w:pPr>
        <w:widowControl w:val="0"/>
        <w:autoSpaceDE w:val="0"/>
        <w:autoSpaceDN w:val="0"/>
        <w:spacing w:after="120" w:line="240" w:lineRule="auto"/>
        <w:ind w:left="426"/>
        <w:jc w:val="both"/>
        <w:rPr>
          <w:rFonts w:ascii="Cambria" w:eastAsia="Cambria" w:hAnsi="Cambria" w:cs="Cambria"/>
          <w:color w:val="auto"/>
          <w:kern w:val="0"/>
          <w:sz w:val="20"/>
          <w:szCs w:val="20"/>
          <w14:ligatures w14:val="none"/>
        </w:rPr>
      </w:pPr>
      <w:r w:rsidRPr="004271A6">
        <w:rPr>
          <w:rFonts w:ascii="Cambria" w:hAnsi="Cambria"/>
          <w:color w:val="auto"/>
          <w:sz w:val="20"/>
          <w:szCs w:val="20"/>
        </w:rPr>
        <w:t>Brève description de la ou des nouvelle(s) obligation(s) de déclaration :</w:t>
      </w:r>
    </w:p>
    <w:p w14:paraId="58C0D252" w14:textId="77777777" w:rsidR="00615FC7" w:rsidRPr="004271A6" w:rsidRDefault="00615FC7" w:rsidP="0093780B">
      <w:pPr>
        <w:widowControl w:val="0"/>
        <w:autoSpaceDE w:val="0"/>
        <w:autoSpaceDN w:val="0"/>
        <w:spacing w:after="120" w:line="240" w:lineRule="auto"/>
        <w:ind w:left="318"/>
        <w:jc w:val="both"/>
        <w:rPr>
          <w:rFonts w:ascii="Cambria" w:eastAsia="Cambria" w:hAnsi="Cambria" w:cs="Cambria"/>
          <w:color w:val="auto"/>
          <w:kern w:val="0"/>
          <w:sz w:val="20"/>
          <w:szCs w:val="20"/>
          <w:lang w:eastAsia="en-US"/>
          <w14:ligatures w14:val="none"/>
        </w:rPr>
      </w:pPr>
    </w:p>
    <w:p w14:paraId="78516E39" w14:textId="58BBDCA4" w:rsidR="00615FC7" w:rsidRPr="004271A6"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EE0000"/>
          <w:kern w:val="0"/>
          <w:sz w:val="20"/>
          <w:szCs w:val="20"/>
          <w14:ligatures w14:val="none"/>
        </w:rPr>
      </w:pPr>
      <w:r w:rsidRPr="004271A6">
        <w:rPr>
          <w:rFonts w:ascii="Cambria" w:hAnsi="Cambria"/>
          <w:color w:val="auto"/>
          <w:sz w:val="20"/>
          <w:szCs w:val="20"/>
        </w:rPr>
        <w:t xml:space="preserve">Cela nécessite-t-il une contribution ou un </w:t>
      </w:r>
      <w:r w:rsidRPr="004271A6">
        <w:rPr>
          <w:rFonts w:ascii="Cambria" w:hAnsi="Cambria"/>
          <w:b/>
          <w:color w:val="auto"/>
          <w:sz w:val="20"/>
          <w:szCs w:val="20"/>
        </w:rPr>
        <w:t>travail</w:t>
      </w:r>
      <w:r w:rsidRPr="004271A6">
        <w:rPr>
          <w:rFonts w:ascii="Cambria" w:hAnsi="Cambria"/>
          <w:color w:val="auto"/>
          <w:sz w:val="20"/>
          <w:szCs w:val="20"/>
        </w:rPr>
        <w:t xml:space="preserve"> supplémentaire </w:t>
      </w:r>
      <w:r w:rsidRPr="004271A6">
        <w:rPr>
          <w:rFonts w:ascii="Cambria" w:hAnsi="Cambria"/>
          <w:b/>
          <w:color w:val="auto"/>
          <w:sz w:val="20"/>
          <w:szCs w:val="20"/>
        </w:rPr>
        <w:t>de la part du SCRS</w:t>
      </w:r>
      <w:r w:rsidRPr="004271A6">
        <w:rPr>
          <w:rFonts w:ascii="Cambria" w:hAnsi="Cambria"/>
          <w:color w:val="auto"/>
          <w:sz w:val="20"/>
          <w:szCs w:val="20"/>
        </w:rPr>
        <w:t xml:space="preserve"> ? </w:t>
      </w:r>
      <w:r w:rsidRPr="004271A6">
        <w:rPr>
          <w:rFonts w:ascii="Cambria" w:hAnsi="Cambria"/>
          <w:sz w:val="20"/>
          <w:szCs w:val="20"/>
        </w:rPr>
        <w:t>Oui</w:t>
      </w:r>
      <w:r w:rsidRPr="004271A6">
        <w:rPr>
          <w:rFonts w:ascii="Cambria" w:hAnsi="Cambria"/>
          <w:color w:val="auto"/>
          <w:sz w:val="20"/>
          <w:szCs w:val="20"/>
        </w:rPr>
        <w:t xml:space="preserve"> </w:t>
      </w:r>
      <w:sdt>
        <w:sdtPr>
          <w:rPr>
            <w:rFonts w:ascii="Cambria" w:eastAsia="Cambria" w:hAnsi="Cambria" w:cs="Cambria"/>
            <w:color w:val="auto"/>
            <w:spacing w:val="-2"/>
            <w:kern w:val="0"/>
            <w:sz w:val="20"/>
            <w:szCs w:val="20"/>
            <w14:ligatures w14:val="none"/>
          </w:rPr>
          <w:id w:val="747465791"/>
          <w14:checkbox>
            <w14:checked w14:val="0"/>
            <w14:checkedState w14:val="2612" w14:font="MS Gothic"/>
            <w14:uncheckedState w14:val="2610" w14:font="MS Gothic"/>
          </w14:checkbox>
        </w:sdtPr>
        <w:sdtEndPr/>
        <w:sdtContent>
          <w:r w:rsidRPr="004271A6">
            <w:rPr>
              <w:rFonts w:ascii="Segoe UI Symbol" w:eastAsia="Cambria" w:hAnsi="Segoe UI Symbol" w:cs="Segoe UI Symbol"/>
              <w:color w:val="auto"/>
              <w:spacing w:val="-2"/>
              <w:kern w:val="0"/>
              <w:sz w:val="20"/>
              <w:szCs w:val="20"/>
              <w:lang w:val="en-US" w:eastAsia="en-US"/>
              <w14:ligatures w14:val="none"/>
            </w:rPr>
            <w:t>☐</w:t>
          </w:r>
        </w:sdtContent>
      </w:sdt>
      <w:r w:rsidR="00315860">
        <w:rPr>
          <w:rFonts w:ascii="Cambria" w:hAnsi="Cambria"/>
          <w:sz w:val="20"/>
          <w:szCs w:val="20"/>
        </w:rPr>
        <w:t xml:space="preserve"> </w:t>
      </w:r>
      <w:r w:rsidRPr="004271A6">
        <w:rPr>
          <w:rFonts w:ascii="Cambria" w:hAnsi="Cambria"/>
          <w:color w:val="EE0000"/>
          <w:sz w:val="20"/>
          <w:szCs w:val="20"/>
        </w:rPr>
        <w:t xml:space="preserve">Non </w:t>
      </w:r>
      <w:sdt>
        <w:sdtPr>
          <w:rPr>
            <w:rFonts w:ascii="Cambria" w:eastAsia="Cambria" w:hAnsi="Cambria" w:cs="Cambria"/>
            <w:color w:val="EE0000"/>
            <w:spacing w:val="-2"/>
            <w:kern w:val="0"/>
            <w:sz w:val="20"/>
            <w:szCs w:val="20"/>
            <w14:ligatures w14:val="none"/>
          </w:rPr>
          <w:id w:val="702292526"/>
          <w14:checkbox>
            <w14:checked w14:val="1"/>
            <w14:checkedState w14:val="2612" w14:font="MS Gothic"/>
            <w14:uncheckedState w14:val="2610" w14:font="MS Gothic"/>
          </w14:checkbox>
        </w:sdtPr>
        <w:sdtEndPr/>
        <w:sdtContent>
          <w:r w:rsidR="00A55C4E" w:rsidRPr="004271A6">
            <w:rPr>
              <w:rFonts w:ascii="Segoe UI Symbol" w:eastAsia="MS Gothic" w:hAnsi="Segoe UI Symbol" w:cs="Segoe UI Symbol"/>
              <w:color w:val="EE0000"/>
              <w:spacing w:val="-2"/>
              <w:kern w:val="0"/>
              <w:sz w:val="20"/>
              <w:szCs w:val="20"/>
              <w:lang w:val="en-US" w:eastAsia="en-US"/>
              <w14:ligatures w14:val="none"/>
            </w:rPr>
            <w:t>☒</w:t>
          </w:r>
        </w:sdtContent>
      </w:sdt>
    </w:p>
    <w:p w14:paraId="4E05CC8F" w14:textId="77777777" w:rsidR="00615FC7" w:rsidRPr="004271A6" w:rsidRDefault="00615FC7" w:rsidP="0093780B">
      <w:pPr>
        <w:widowControl w:val="0"/>
        <w:autoSpaceDE w:val="0"/>
        <w:autoSpaceDN w:val="0"/>
        <w:spacing w:after="120" w:line="240" w:lineRule="auto"/>
        <w:ind w:left="360" w:firstLine="66"/>
        <w:jc w:val="both"/>
        <w:rPr>
          <w:rFonts w:ascii="Cambria" w:eastAsia="Cambria" w:hAnsi="Cambria" w:cs="Cambria"/>
          <w:color w:val="auto"/>
          <w:kern w:val="0"/>
          <w:sz w:val="20"/>
          <w:szCs w:val="20"/>
          <w14:ligatures w14:val="none"/>
        </w:rPr>
      </w:pPr>
      <w:r w:rsidRPr="004271A6">
        <w:rPr>
          <w:rFonts w:ascii="Cambria" w:hAnsi="Cambria"/>
          <w:sz w:val="20"/>
          <w:szCs w:val="20"/>
        </w:rPr>
        <w:t xml:space="preserve">Ce travail est-il déjà inclus dans le plan de travail actuel du SCRS ? </w:t>
      </w:r>
      <w:r w:rsidRPr="004271A6">
        <w:rPr>
          <w:rFonts w:ascii="Cambria" w:hAnsi="Cambria"/>
          <w:color w:val="auto"/>
          <w:sz w:val="20"/>
          <w:szCs w:val="20"/>
        </w:rPr>
        <w:t xml:space="preserve">Oui </w:t>
      </w:r>
      <w:sdt>
        <w:sdtPr>
          <w:rPr>
            <w:rFonts w:ascii="Cambria" w:eastAsia="Cambria" w:hAnsi="Cambria" w:cs="Cambria"/>
            <w:color w:val="auto"/>
            <w:spacing w:val="-2"/>
            <w:kern w:val="0"/>
            <w:sz w:val="20"/>
            <w:szCs w:val="20"/>
            <w14:ligatures w14:val="none"/>
          </w:rPr>
          <w:id w:val="136078257"/>
          <w14:checkbox>
            <w14:checked w14:val="0"/>
            <w14:checkedState w14:val="2612" w14:font="MS Gothic"/>
            <w14:uncheckedState w14:val="2610" w14:font="MS Gothic"/>
          </w14:checkbox>
        </w:sdtPr>
        <w:sdtEndPr/>
        <w:sdtContent>
          <w:r w:rsidRPr="004271A6">
            <w:rPr>
              <w:rFonts w:ascii="Segoe UI Symbol" w:eastAsia="Cambria" w:hAnsi="Segoe UI Symbol" w:cs="Segoe UI Symbol"/>
              <w:color w:val="auto"/>
              <w:spacing w:val="-2"/>
              <w:kern w:val="0"/>
              <w:sz w:val="20"/>
              <w:szCs w:val="20"/>
              <w:lang w:eastAsia="en-US"/>
              <w14:ligatures w14:val="none"/>
            </w:rPr>
            <w:t>☐</w:t>
          </w:r>
        </w:sdtContent>
      </w:sdt>
      <w:r w:rsidRPr="004271A6">
        <w:rPr>
          <w:rFonts w:ascii="Cambria" w:hAnsi="Cambria"/>
          <w:sz w:val="20"/>
          <w:szCs w:val="20"/>
        </w:rPr>
        <w:tab/>
        <w:t xml:space="preserve">Non </w:t>
      </w:r>
      <w:sdt>
        <w:sdtPr>
          <w:rPr>
            <w:rFonts w:ascii="Cambria" w:eastAsia="Cambria" w:hAnsi="Cambria" w:cs="Cambria"/>
            <w:color w:val="auto"/>
            <w:spacing w:val="-2"/>
            <w:kern w:val="0"/>
            <w:sz w:val="20"/>
            <w:szCs w:val="20"/>
            <w14:ligatures w14:val="none"/>
          </w:rPr>
          <w:id w:val="2033915651"/>
          <w14:checkbox>
            <w14:checked w14:val="0"/>
            <w14:checkedState w14:val="2612" w14:font="MS Gothic"/>
            <w14:uncheckedState w14:val="2610" w14:font="MS Gothic"/>
          </w14:checkbox>
        </w:sdtPr>
        <w:sdtEndPr/>
        <w:sdtContent>
          <w:r w:rsidRPr="004271A6">
            <w:rPr>
              <w:rFonts w:ascii="Segoe UI Symbol" w:eastAsia="Cambria" w:hAnsi="Segoe UI Symbol" w:cs="Segoe UI Symbol"/>
              <w:color w:val="auto"/>
              <w:spacing w:val="-2"/>
              <w:kern w:val="0"/>
              <w:sz w:val="20"/>
              <w:szCs w:val="20"/>
              <w:lang w:eastAsia="en-US"/>
              <w14:ligatures w14:val="none"/>
            </w:rPr>
            <w:t>☐</w:t>
          </w:r>
        </w:sdtContent>
      </w:sdt>
    </w:p>
    <w:p w14:paraId="4C1E24DF" w14:textId="77777777" w:rsidR="00615FC7" w:rsidRPr="004271A6" w:rsidRDefault="00615FC7" w:rsidP="0093780B">
      <w:pPr>
        <w:widowControl w:val="0"/>
        <w:autoSpaceDE w:val="0"/>
        <w:autoSpaceDN w:val="0"/>
        <w:spacing w:after="120" w:line="240" w:lineRule="auto"/>
        <w:ind w:left="360" w:firstLine="66"/>
        <w:jc w:val="both"/>
        <w:rPr>
          <w:rFonts w:ascii="Cambria" w:eastAsia="Cambria" w:hAnsi="Cambria" w:cs="Cambria"/>
          <w:color w:val="auto"/>
          <w:kern w:val="0"/>
          <w:sz w:val="20"/>
          <w:szCs w:val="20"/>
          <w14:ligatures w14:val="none"/>
        </w:rPr>
      </w:pPr>
      <w:r w:rsidRPr="004271A6">
        <w:rPr>
          <w:rFonts w:ascii="Cambria" w:hAnsi="Cambria"/>
          <w:color w:val="auto"/>
          <w:sz w:val="20"/>
          <w:szCs w:val="20"/>
        </w:rPr>
        <w:t>Brève description des nouveaux travaux scientifiques requis (évaluation des stocks, analyse, consultant externe) :</w:t>
      </w:r>
    </w:p>
    <w:p w14:paraId="5C3CC7CF" w14:textId="77777777" w:rsidR="00615FC7" w:rsidRPr="004271A6" w:rsidRDefault="00615FC7" w:rsidP="0093780B">
      <w:pPr>
        <w:widowControl w:val="0"/>
        <w:autoSpaceDE w:val="0"/>
        <w:autoSpaceDN w:val="0"/>
        <w:spacing w:after="120" w:line="240" w:lineRule="auto"/>
        <w:ind w:left="318"/>
        <w:jc w:val="both"/>
        <w:rPr>
          <w:rFonts w:ascii="Cambria" w:eastAsia="Cambria" w:hAnsi="Cambria" w:cs="Cambria"/>
          <w:color w:val="auto"/>
          <w:kern w:val="0"/>
          <w:sz w:val="20"/>
          <w:szCs w:val="20"/>
          <w:lang w:eastAsia="en-US"/>
          <w14:ligatures w14:val="none"/>
        </w:rPr>
      </w:pPr>
    </w:p>
    <w:p w14:paraId="22CA3D5F" w14:textId="382650AD" w:rsidR="00615FC7" w:rsidRPr="004271A6"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auto"/>
          <w:kern w:val="0"/>
          <w:sz w:val="20"/>
          <w:szCs w:val="20"/>
          <w14:ligatures w14:val="none"/>
        </w:rPr>
      </w:pPr>
      <w:r w:rsidRPr="004271A6">
        <w:rPr>
          <w:rFonts w:ascii="Cambria" w:hAnsi="Cambria"/>
          <w:color w:val="auto"/>
          <w:sz w:val="20"/>
          <w:szCs w:val="20"/>
        </w:rPr>
        <w:t xml:space="preserve">Cela implique-t-il la création d'un </w:t>
      </w:r>
      <w:r w:rsidRPr="004271A6">
        <w:rPr>
          <w:rFonts w:ascii="Cambria" w:hAnsi="Cambria"/>
          <w:b/>
          <w:color w:val="auto"/>
          <w:sz w:val="20"/>
          <w:szCs w:val="20"/>
        </w:rPr>
        <w:t xml:space="preserve">nouveau groupe de travail ou d'un processus intersessions </w:t>
      </w:r>
      <w:r w:rsidRPr="004271A6">
        <w:rPr>
          <w:rFonts w:ascii="Cambria" w:hAnsi="Cambria"/>
          <w:color w:val="auto"/>
          <w:sz w:val="20"/>
          <w:szCs w:val="20"/>
        </w:rPr>
        <w:t xml:space="preserve">?    </w:t>
      </w:r>
      <w:r w:rsidRPr="004271A6">
        <w:rPr>
          <w:rFonts w:ascii="Cambria" w:hAnsi="Cambria"/>
          <w:sz w:val="20"/>
          <w:szCs w:val="20"/>
        </w:rPr>
        <w:t>Oui</w:t>
      </w:r>
      <w:r w:rsidRPr="004271A6">
        <w:rPr>
          <w:rFonts w:ascii="Cambria" w:hAnsi="Cambria"/>
          <w:color w:val="auto"/>
          <w:sz w:val="20"/>
          <w:szCs w:val="20"/>
        </w:rPr>
        <w:t xml:space="preserve"> </w:t>
      </w:r>
      <w:sdt>
        <w:sdtPr>
          <w:rPr>
            <w:rFonts w:ascii="Cambria" w:eastAsia="Cambria" w:hAnsi="Cambria" w:cs="Cambria"/>
            <w:color w:val="auto"/>
            <w:spacing w:val="-2"/>
            <w:kern w:val="0"/>
            <w:sz w:val="20"/>
            <w:szCs w:val="20"/>
            <w14:ligatures w14:val="none"/>
          </w:rPr>
          <w:id w:val="253103475"/>
          <w14:checkbox>
            <w14:checked w14:val="0"/>
            <w14:checkedState w14:val="2612" w14:font="MS Gothic"/>
            <w14:uncheckedState w14:val="2610" w14:font="MS Gothic"/>
          </w14:checkbox>
        </w:sdtPr>
        <w:sdtEndPr/>
        <w:sdtContent>
          <w:r w:rsidRPr="004271A6">
            <w:rPr>
              <w:rFonts w:ascii="Segoe UI Symbol" w:eastAsia="Cambria" w:hAnsi="Segoe UI Symbol" w:cs="Segoe UI Symbol"/>
              <w:color w:val="auto"/>
              <w:spacing w:val="-2"/>
              <w:kern w:val="0"/>
              <w:sz w:val="20"/>
              <w:szCs w:val="20"/>
              <w:lang w:val="en-US" w:eastAsia="en-US"/>
              <w14:ligatures w14:val="none"/>
            </w:rPr>
            <w:t>☐</w:t>
          </w:r>
        </w:sdtContent>
      </w:sdt>
      <w:r w:rsidRPr="004271A6">
        <w:rPr>
          <w:rFonts w:ascii="Cambria" w:hAnsi="Cambria"/>
          <w:sz w:val="20"/>
          <w:szCs w:val="20"/>
        </w:rPr>
        <w:tab/>
      </w:r>
      <w:r w:rsidRPr="004271A6">
        <w:rPr>
          <w:rFonts w:ascii="Cambria" w:hAnsi="Cambria"/>
          <w:color w:val="EE0000"/>
          <w:sz w:val="20"/>
          <w:szCs w:val="20"/>
        </w:rPr>
        <w:t xml:space="preserve">Non </w:t>
      </w:r>
      <w:sdt>
        <w:sdtPr>
          <w:rPr>
            <w:rFonts w:ascii="Cambria" w:eastAsia="Cambria" w:hAnsi="Cambria" w:cs="Cambria"/>
            <w:color w:val="EE0000"/>
            <w:spacing w:val="-2"/>
            <w:kern w:val="0"/>
            <w:sz w:val="20"/>
            <w:szCs w:val="20"/>
            <w14:ligatures w14:val="none"/>
          </w:rPr>
          <w:id w:val="830179512"/>
          <w14:checkbox>
            <w14:checked w14:val="1"/>
            <w14:checkedState w14:val="2612" w14:font="MS Gothic"/>
            <w14:uncheckedState w14:val="2610" w14:font="MS Gothic"/>
          </w14:checkbox>
        </w:sdtPr>
        <w:sdtEndPr/>
        <w:sdtContent>
          <w:r w:rsidR="00A55C4E" w:rsidRPr="004271A6">
            <w:rPr>
              <w:rFonts w:ascii="Segoe UI Symbol" w:eastAsia="MS Gothic" w:hAnsi="Segoe UI Symbol" w:cs="Segoe UI Symbol"/>
              <w:color w:val="EE0000"/>
              <w:spacing w:val="-2"/>
              <w:kern w:val="0"/>
              <w:sz w:val="20"/>
              <w:szCs w:val="20"/>
              <w:lang w:val="en-US" w:eastAsia="en-US"/>
              <w14:ligatures w14:val="none"/>
            </w:rPr>
            <w:t>☒</w:t>
          </w:r>
        </w:sdtContent>
      </w:sdt>
    </w:p>
    <w:p w14:paraId="1A05A885" w14:textId="77777777" w:rsidR="00615FC7" w:rsidRPr="004271A6" w:rsidRDefault="00615FC7" w:rsidP="0093780B">
      <w:pPr>
        <w:widowControl w:val="0"/>
        <w:autoSpaceDE w:val="0"/>
        <w:autoSpaceDN w:val="0"/>
        <w:spacing w:after="120" w:line="240" w:lineRule="auto"/>
        <w:ind w:left="318"/>
        <w:jc w:val="both"/>
        <w:rPr>
          <w:rFonts w:ascii="Cambria" w:eastAsia="Cambria" w:hAnsi="Cambria" w:cs="Cambria"/>
          <w:color w:val="auto"/>
          <w:kern w:val="0"/>
          <w:sz w:val="20"/>
          <w:szCs w:val="20"/>
          <w:lang w:val="en-US" w:eastAsia="en-US"/>
          <w14:ligatures w14:val="none"/>
        </w:rPr>
      </w:pPr>
    </w:p>
    <w:p w14:paraId="661EB21B" w14:textId="77777777" w:rsidR="00615FC7" w:rsidRPr="004271A6"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auto"/>
          <w:kern w:val="0"/>
          <w:sz w:val="20"/>
          <w:szCs w:val="20"/>
          <w14:ligatures w14:val="none"/>
        </w:rPr>
      </w:pPr>
      <w:r w:rsidRPr="004271A6">
        <w:rPr>
          <w:rFonts w:ascii="Cambria" w:hAnsi="Cambria"/>
          <w:color w:val="auto"/>
          <w:sz w:val="20"/>
          <w:szCs w:val="20"/>
        </w:rPr>
        <w:t xml:space="preserve">Cela nécessite-t-il un nouveau </w:t>
      </w:r>
      <w:r w:rsidRPr="004271A6">
        <w:rPr>
          <w:rFonts w:ascii="Cambria" w:hAnsi="Cambria"/>
          <w:b/>
          <w:color w:val="auto"/>
          <w:sz w:val="20"/>
          <w:szCs w:val="20"/>
        </w:rPr>
        <w:t xml:space="preserve">programme ou des activités supplémentaires à gérer par le Secrétariat </w:t>
      </w:r>
      <w:r w:rsidRPr="004271A6">
        <w:rPr>
          <w:rFonts w:ascii="Cambria" w:hAnsi="Cambria"/>
          <w:color w:val="auto"/>
          <w:sz w:val="20"/>
          <w:szCs w:val="20"/>
        </w:rPr>
        <w:t xml:space="preserve">?  </w:t>
      </w:r>
    </w:p>
    <w:p w14:paraId="1D3FA620" w14:textId="3D158F42" w:rsidR="00615FC7" w:rsidRPr="004271A6" w:rsidRDefault="00615FC7" w:rsidP="0093780B">
      <w:pPr>
        <w:widowControl w:val="0"/>
        <w:autoSpaceDE w:val="0"/>
        <w:autoSpaceDN w:val="0"/>
        <w:spacing w:after="120" w:line="240" w:lineRule="auto"/>
        <w:ind w:left="426"/>
        <w:jc w:val="both"/>
        <w:rPr>
          <w:rFonts w:ascii="Cambria" w:eastAsia="Cambria" w:hAnsi="Cambria" w:cs="Cambria"/>
          <w:color w:val="auto"/>
          <w:kern w:val="0"/>
          <w:sz w:val="20"/>
          <w:szCs w:val="20"/>
          <w14:ligatures w14:val="none"/>
        </w:rPr>
      </w:pPr>
      <w:r w:rsidRPr="004271A6">
        <w:rPr>
          <w:rFonts w:ascii="Cambria" w:hAnsi="Cambria"/>
          <w:sz w:val="20"/>
          <w:szCs w:val="20"/>
        </w:rPr>
        <w:t>Oui</w:t>
      </w:r>
      <w:r w:rsidRPr="004271A6">
        <w:rPr>
          <w:rFonts w:ascii="Cambria" w:hAnsi="Cambria"/>
          <w:color w:val="auto"/>
          <w:sz w:val="20"/>
          <w:szCs w:val="20"/>
        </w:rPr>
        <w:t xml:space="preserve"> </w:t>
      </w:r>
      <w:sdt>
        <w:sdtPr>
          <w:rPr>
            <w:rFonts w:ascii="Cambria" w:eastAsia="Cambria" w:hAnsi="Cambria" w:cs="Cambria"/>
            <w:color w:val="auto"/>
            <w:spacing w:val="-2"/>
            <w:kern w:val="0"/>
            <w:sz w:val="20"/>
            <w:szCs w:val="20"/>
            <w14:ligatures w14:val="none"/>
          </w:rPr>
          <w:id w:val="-691526193"/>
          <w14:checkbox>
            <w14:checked w14:val="0"/>
            <w14:checkedState w14:val="2612" w14:font="MS Gothic"/>
            <w14:uncheckedState w14:val="2610" w14:font="MS Gothic"/>
          </w14:checkbox>
        </w:sdtPr>
        <w:sdtEndPr/>
        <w:sdtContent>
          <w:r w:rsidRPr="004271A6">
            <w:rPr>
              <w:rFonts w:ascii="Segoe UI Symbol" w:eastAsia="Cambria" w:hAnsi="Segoe UI Symbol" w:cs="Segoe UI Symbol"/>
              <w:color w:val="auto"/>
              <w:spacing w:val="-2"/>
              <w:kern w:val="0"/>
              <w:sz w:val="20"/>
              <w:szCs w:val="20"/>
              <w:lang w:eastAsia="en-US"/>
              <w14:ligatures w14:val="none"/>
            </w:rPr>
            <w:t>☐</w:t>
          </w:r>
        </w:sdtContent>
      </w:sdt>
      <w:r w:rsidRPr="004271A6">
        <w:rPr>
          <w:rFonts w:ascii="Cambria" w:hAnsi="Cambria"/>
          <w:sz w:val="20"/>
          <w:szCs w:val="20"/>
        </w:rPr>
        <w:t xml:space="preserve">      </w:t>
      </w:r>
      <w:r w:rsidRPr="004271A6">
        <w:rPr>
          <w:rFonts w:ascii="Cambria" w:hAnsi="Cambria"/>
          <w:color w:val="EE0000"/>
          <w:sz w:val="20"/>
          <w:szCs w:val="20"/>
        </w:rPr>
        <w:t xml:space="preserve">Non </w:t>
      </w:r>
      <w:sdt>
        <w:sdtPr>
          <w:rPr>
            <w:rFonts w:ascii="Cambria" w:eastAsia="Cambria" w:hAnsi="Cambria" w:cs="Cambria"/>
            <w:color w:val="EE0000"/>
            <w:spacing w:val="-2"/>
            <w:kern w:val="0"/>
            <w:sz w:val="20"/>
            <w:szCs w:val="20"/>
            <w14:ligatures w14:val="none"/>
          </w:rPr>
          <w:id w:val="259880482"/>
          <w14:checkbox>
            <w14:checked w14:val="1"/>
            <w14:checkedState w14:val="2612" w14:font="MS Gothic"/>
            <w14:uncheckedState w14:val="2610" w14:font="MS Gothic"/>
          </w14:checkbox>
        </w:sdtPr>
        <w:sdtEndPr/>
        <w:sdtContent>
          <w:r w:rsidR="00A55C4E" w:rsidRPr="004271A6">
            <w:rPr>
              <w:rFonts w:ascii="Segoe UI Symbol" w:eastAsia="MS Gothic" w:hAnsi="Segoe UI Symbol" w:cs="Segoe UI Symbol"/>
              <w:color w:val="EE0000"/>
              <w:spacing w:val="-2"/>
              <w:kern w:val="0"/>
              <w:sz w:val="20"/>
              <w:szCs w:val="20"/>
              <w:lang w:eastAsia="en-US"/>
              <w14:ligatures w14:val="none"/>
            </w:rPr>
            <w:t>☒</w:t>
          </w:r>
        </w:sdtContent>
      </w:sdt>
    </w:p>
    <w:p w14:paraId="5C4AFC63" w14:textId="77777777" w:rsidR="00615FC7" w:rsidRPr="004271A6" w:rsidRDefault="00615FC7" w:rsidP="0093780B">
      <w:pPr>
        <w:widowControl w:val="0"/>
        <w:autoSpaceDE w:val="0"/>
        <w:autoSpaceDN w:val="0"/>
        <w:spacing w:after="120" w:line="240" w:lineRule="auto"/>
        <w:ind w:left="360" w:firstLine="66"/>
        <w:jc w:val="both"/>
        <w:rPr>
          <w:rFonts w:ascii="Cambria" w:eastAsia="Cambria" w:hAnsi="Cambria" w:cs="Cambria"/>
          <w:color w:val="auto"/>
          <w:spacing w:val="-2"/>
          <w:kern w:val="0"/>
          <w:sz w:val="20"/>
          <w:szCs w:val="20"/>
          <w14:ligatures w14:val="none"/>
        </w:rPr>
      </w:pPr>
      <w:r w:rsidRPr="004271A6">
        <w:rPr>
          <w:rFonts w:ascii="Cambria" w:hAnsi="Cambria"/>
          <w:color w:val="auto"/>
          <w:sz w:val="20"/>
          <w:szCs w:val="20"/>
        </w:rPr>
        <w:t>Brève description du nouveau travail requis pour le Secrétariat :</w:t>
      </w:r>
    </w:p>
    <w:p w14:paraId="2525BA86" w14:textId="77777777" w:rsidR="00615FC7" w:rsidRPr="004271A6" w:rsidRDefault="00615FC7" w:rsidP="0093780B">
      <w:pPr>
        <w:widowControl w:val="0"/>
        <w:autoSpaceDE w:val="0"/>
        <w:autoSpaceDN w:val="0"/>
        <w:spacing w:after="120" w:line="240" w:lineRule="auto"/>
        <w:jc w:val="both"/>
        <w:rPr>
          <w:rFonts w:ascii="Cambria" w:eastAsia="Cambria" w:hAnsi="Cambria" w:cs="Cambria"/>
          <w:color w:val="auto"/>
          <w:spacing w:val="-2"/>
          <w:kern w:val="0"/>
          <w:sz w:val="20"/>
          <w:szCs w:val="20"/>
          <w:lang w:eastAsia="en-US"/>
          <w14:ligatures w14:val="none"/>
        </w:rPr>
      </w:pPr>
    </w:p>
    <w:p w14:paraId="337178A7" w14:textId="34F26916" w:rsidR="00615FC7" w:rsidRPr="004271A6"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EE0000"/>
          <w:spacing w:val="-2"/>
          <w:kern w:val="0"/>
          <w:sz w:val="20"/>
          <w:szCs w:val="20"/>
          <w14:ligatures w14:val="none"/>
        </w:rPr>
      </w:pPr>
      <w:r w:rsidRPr="004271A6">
        <w:rPr>
          <w:rFonts w:ascii="Cambria" w:hAnsi="Cambria"/>
          <w:color w:val="auto"/>
          <w:sz w:val="20"/>
          <w:szCs w:val="20"/>
        </w:rPr>
        <w:t xml:space="preserve">Quel est le calendrier proposé pour la mise en œuvre, et existe-t-il des calendriers spécifiques différents pour certaines CPC, pêcheries, régions, etc. ? </w:t>
      </w:r>
      <w:r w:rsidRPr="004271A6">
        <w:rPr>
          <w:rFonts w:ascii="Cambria" w:hAnsi="Cambria"/>
          <w:color w:val="EE0000"/>
          <w:sz w:val="20"/>
          <w:szCs w:val="20"/>
        </w:rPr>
        <w:t>Dès l'entrée en vigueur de la mesure.</w:t>
      </w:r>
    </w:p>
    <w:p w14:paraId="472E37C8" w14:textId="77777777" w:rsidR="00615FC7" w:rsidRPr="004271A6" w:rsidRDefault="00615FC7" w:rsidP="0093780B">
      <w:pPr>
        <w:widowControl w:val="0"/>
        <w:autoSpaceDE w:val="0"/>
        <w:autoSpaceDN w:val="0"/>
        <w:spacing w:after="120" w:line="240" w:lineRule="auto"/>
        <w:jc w:val="both"/>
        <w:rPr>
          <w:rFonts w:ascii="Cambria" w:eastAsia="Cambria" w:hAnsi="Cambria" w:cs="Cambria"/>
          <w:color w:val="auto"/>
          <w:spacing w:val="-2"/>
          <w:kern w:val="0"/>
          <w:sz w:val="20"/>
          <w:szCs w:val="20"/>
          <w:lang w:val="en-US" w:eastAsia="en-US"/>
          <w14:ligatures w14:val="none"/>
        </w:rPr>
      </w:pPr>
    </w:p>
    <w:p w14:paraId="531EC0E8" w14:textId="2BA2AAE6" w:rsidR="00615FC7" w:rsidRPr="004271A6"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auto"/>
          <w:spacing w:val="-2"/>
          <w:kern w:val="0"/>
          <w:sz w:val="20"/>
          <w:szCs w:val="20"/>
          <w14:ligatures w14:val="none"/>
        </w:rPr>
      </w:pPr>
      <w:r w:rsidRPr="004271A6">
        <w:rPr>
          <w:rFonts w:ascii="Cambria" w:hAnsi="Cambria"/>
          <w:color w:val="auto"/>
          <w:sz w:val="20"/>
          <w:szCs w:val="20"/>
        </w:rPr>
        <w:t xml:space="preserve">Existe-t-il d'autres informations pertinentes concernant les implications de la proposition en termes de ressources et de charge de travail ? </w:t>
      </w:r>
    </w:p>
    <w:p w14:paraId="5DDB6889" w14:textId="55B50CC7" w:rsidR="00175291" w:rsidRPr="004271A6" w:rsidRDefault="00175291">
      <w:pPr>
        <w:spacing w:line="278" w:lineRule="auto"/>
        <w:rPr>
          <w:rFonts w:ascii="Cambria" w:eastAsia="Cambria" w:hAnsi="Cambria" w:cs="Cambria"/>
          <w:color w:val="auto"/>
          <w:spacing w:val="-2"/>
          <w:kern w:val="0"/>
          <w:sz w:val="20"/>
          <w:szCs w:val="20"/>
          <w14:ligatures w14:val="none"/>
        </w:rPr>
      </w:pPr>
      <w:r w:rsidRPr="004271A6">
        <w:rPr>
          <w:rFonts w:ascii="Cambria" w:hAnsi="Cambria"/>
          <w:sz w:val="20"/>
          <w:szCs w:val="20"/>
        </w:rPr>
        <w:br w:type="page"/>
      </w:r>
    </w:p>
    <w:p w14:paraId="21320CF7" w14:textId="3429E25D" w:rsidR="0077043F" w:rsidRPr="004271A6" w:rsidRDefault="0077043F" w:rsidP="0077043F">
      <w:pPr>
        <w:widowControl w:val="0"/>
        <w:autoSpaceDE w:val="0"/>
        <w:autoSpaceDN w:val="0"/>
        <w:spacing w:after="0" w:line="240" w:lineRule="auto"/>
        <w:jc w:val="right"/>
        <w:rPr>
          <w:rFonts w:ascii="Cambria" w:eastAsia="Cambria" w:hAnsi="Cambria" w:cs="Cambria"/>
          <w:b/>
          <w:bCs/>
          <w:color w:val="auto"/>
          <w:spacing w:val="-2"/>
          <w:kern w:val="0"/>
          <w:sz w:val="20"/>
          <w:szCs w:val="20"/>
          <w14:ligatures w14:val="none"/>
        </w:rPr>
      </w:pPr>
      <w:r w:rsidRPr="004271A6">
        <w:rPr>
          <w:rFonts w:ascii="Cambria" w:hAnsi="Cambria"/>
          <w:b/>
          <w:color w:val="auto"/>
          <w:sz w:val="20"/>
          <w:szCs w:val="20"/>
        </w:rPr>
        <w:lastRenderedPageBreak/>
        <w:t xml:space="preserve">Original: </w:t>
      </w:r>
      <w:r w:rsidRPr="004271A6">
        <w:rPr>
          <w:rFonts w:ascii="Cambria" w:hAnsi="Cambria"/>
          <w:b/>
          <w:bCs/>
          <w:color w:val="auto"/>
          <w:sz w:val="20"/>
          <w:szCs w:val="20"/>
        </w:rPr>
        <w:t>anglais</w:t>
      </w:r>
    </w:p>
    <w:p w14:paraId="55FF7835" w14:textId="77777777" w:rsidR="0077043F" w:rsidRPr="004271A6" w:rsidRDefault="0077043F" w:rsidP="002F267D">
      <w:pPr>
        <w:widowControl w:val="0"/>
        <w:autoSpaceDE w:val="0"/>
        <w:autoSpaceDN w:val="0"/>
        <w:spacing w:after="0" w:line="240" w:lineRule="auto"/>
        <w:rPr>
          <w:rFonts w:ascii="Cambria" w:eastAsia="Cambria" w:hAnsi="Cambria" w:cs="Cambria"/>
          <w:b/>
          <w:bCs/>
          <w:color w:val="auto"/>
          <w:spacing w:val="-2"/>
          <w:kern w:val="0"/>
          <w:sz w:val="20"/>
          <w:szCs w:val="20"/>
          <w:lang w:eastAsia="en-US"/>
          <w14:ligatures w14:val="none"/>
        </w:rPr>
      </w:pPr>
    </w:p>
    <w:p w14:paraId="7C383729" w14:textId="77777777" w:rsidR="003B341A" w:rsidRPr="004271A6" w:rsidRDefault="002F267D" w:rsidP="00272687">
      <w:pPr>
        <w:widowControl w:val="0"/>
        <w:autoSpaceDE w:val="0"/>
        <w:autoSpaceDN w:val="0"/>
        <w:spacing w:after="0" w:line="240" w:lineRule="auto"/>
        <w:jc w:val="center"/>
        <w:rPr>
          <w:rFonts w:ascii="Cambria" w:eastAsia="Cambria" w:hAnsi="Cambria" w:cs="Cambria"/>
          <w:b/>
          <w:bCs/>
          <w:color w:val="auto"/>
          <w:spacing w:val="-2"/>
          <w:kern w:val="0"/>
          <w:sz w:val="20"/>
          <w:szCs w:val="20"/>
          <w14:ligatures w14:val="none"/>
        </w:rPr>
      </w:pPr>
      <w:r w:rsidRPr="004271A6">
        <w:rPr>
          <w:rFonts w:ascii="Cambria" w:hAnsi="Cambria"/>
          <w:b/>
          <w:color w:val="auto"/>
          <w:sz w:val="20"/>
          <w:szCs w:val="20"/>
        </w:rPr>
        <w:t xml:space="preserve">Note explicative relative à la proposition d’amendements à </w:t>
      </w:r>
    </w:p>
    <w:p w14:paraId="123C0CDE" w14:textId="1698BA85" w:rsidR="002F267D" w:rsidRPr="004271A6" w:rsidRDefault="002F267D" w:rsidP="00272687">
      <w:pPr>
        <w:widowControl w:val="0"/>
        <w:autoSpaceDE w:val="0"/>
        <w:autoSpaceDN w:val="0"/>
        <w:spacing w:after="0" w:line="240" w:lineRule="auto"/>
        <w:jc w:val="center"/>
        <w:rPr>
          <w:rFonts w:ascii="Cambria" w:eastAsia="Cambria" w:hAnsi="Cambria" w:cs="Cambria"/>
          <w:b/>
          <w:bCs/>
          <w:color w:val="auto"/>
          <w:spacing w:val="-2"/>
          <w:kern w:val="0"/>
          <w:sz w:val="20"/>
          <w:szCs w:val="20"/>
          <w14:ligatures w14:val="none"/>
        </w:rPr>
      </w:pPr>
      <w:r w:rsidRPr="004271A6">
        <w:rPr>
          <w:rFonts w:ascii="Cambria" w:hAnsi="Cambria"/>
          <w:b/>
          <w:color w:val="auto"/>
          <w:sz w:val="20"/>
          <w:szCs w:val="20"/>
        </w:rPr>
        <w:t>la Recommandation 25-04, par l’Union européenne</w:t>
      </w:r>
    </w:p>
    <w:p w14:paraId="726002E9" w14:textId="77777777" w:rsidR="00272687" w:rsidRPr="004271A6" w:rsidRDefault="00272687" w:rsidP="00272687">
      <w:pPr>
        <w:widowControl w:val="0"/>
        <w:autoSpaceDE w:val="0"/>
        <w:autoSpaceDN w:val="0"/>
        <w:spacing w:after="0" w:line="240" w:lineRule="auto"/>
        <w:jc w:val="center"/>
        <w:rPr>
          <w:rFonts w:ascii="Cambria" w:eastAsia="Cambria" w:hAnsi="Cambria" w:cs="Cambria"/>
          <w:i/>
          <w:iCs/>
          <w:color w:val="auto"/>
          <w:kern w:val="0"/>
          <w:sz w:val="20"/>
          <w:szCs w:val="20"/>
          <w14:ligatures w14:val="none"/>
        </w:rPr>
      </w:pPr>
      <w:r w:rsidRPr="004271A6">
        <w:rPr>
          <w:rFonts w:ascii="Cambria" w:hAnsi="Cambria"/>
          <w:i/>
          <w:color w:val="auto"/>
          <w:sz w:val="20"/>
          <w:szCs w:val="20"/>
        </w:rPr>
        <w:t>(Document présenté par l’Union européenne)</w:t>
      </w:r>
    </w:p>
    <w:p w14:paraId="24C6546D" w14:textId="77777777" w:rsidR="002F267D" w:rsidRPr="004271A6" w:rsidRDefault="002F267D" w:rsidP="002F267D">
      <w:pPr>
        <w:widowControl w:val="0"/>
        <w:autoSpaceDE w:val="0"/>
        <w:autoSpaceDN w:val="0"/>
        <w:spacing w:after="0" w:line="240" w:lineRule="auto"/>
        <w:rPr>
          <w:rFonts w:ascii="Cambria" w:eastAsia="Cambria" w:hAnsi="Cambria" w:cs="Cambria"/>
          <w:b/>
          <w:bCs/>
          <w:color w:val="auto"/>
          <w:spacing w:val="-2"/>
          <w:kern w:val="0"/>
          <w:sz w:val="20"/>
          <w:szCs w:val="20"/>
          <w:lang w:eastAsia="en-US"/>
          <w14:ligatures w14:val="none"/>
        </w:rPr>
      </w:pPr>
    </w:p>
    <w:p w14:paraId="267989ED" w14:textId="77777777" w:rsidR="003B341A" w:rsidRPr="004271A6" w:rsidRDefault="003B341A" w:rsidP="002F267D">
      <w:pPr>
        <w:widowControl w:val="0"/>
        <w:autoSpaceDE w:val="0"/>
        <w:autoSpaceDN w:val="0"/>
        <w:spacing w:after="0" w:line="240" w:lineRule="auto"/>
        <w:rPr>
          <w:rFonts w:ascii="Cambria" w:eastAsia="Cambria" w:hAnsi="Cambria" w:cs="Cambria"/>
          <w:b/>
          <w:bCs/>
          <w:color w:val="auto"/>
          <w:spacing w:val="-2"/>
          <w:kern w:val="0"/>
          <w:sz w:val="20"/>
          <w:szCs w:val="20"/>
          <w:lang w:eastAsia="en-US"/>
          <w14:ligatures w14:val="none"/>
        </w:rPr>
      </w:pPr>
    </w:p>
    <w:p w14:paraId="67A1A0C7" w14:textId="5A07B36A" w:rsidR="002F267D" w:rsidRPr="004271A6" w:rsidRDefault="002F267D" w:rsidP="002F267D">
      <w:pPr>
        <w:spacing w:after="0" w:line="240" w:lineRule="auto"/>
        <w:jc w:val="both"/>
        <w:rPr>
          <w:rFonts w:ascii="Cambria" w:eastAsia="MS Gothic" w:hAnsi="Cambria" w:cs="Times New Roman"/>
          <w:color w:val="auto"/>
          <w:sz w:val="20"/>
          <w:szCs w:val="20"/>
        </w:rPr>
      </w:pPr>
      <w:r w:rsidRPr="004271A6">
        <w:rPr>
          <w:rFonts w:ascii="Cambria" w:hAnsi="Cambria"/>
          <w:color w:val="auto"/>
          <w:sz w:val="20"/>
          <w:szCs w:val="20"/>
        </w:rPr>
        <w:t>À la suite des échanges fructueux qui ont eu lieu lors de la 19e réunion du Groupe de travail chargé d’élaborer des mesures de contrôle intégré (IMM), l'Union européenne (UE) souhaite présenter des amendements à la Recommandation 25-04.</w:t>
      </w:r>
    </w:p>
    <w:p w14:paraId="3EA1E190" w14:textId="1B80B91D" w:rsidR="002F267D" w:rsidRPr="004271A6" w:rsidRDefault="002F267D" w:rsidP="002F267D">
      <w:pPr>
        <w:spacing w:after="0" w:line="240" w:lineRule="auto"/>
        <w:jc w:val="both"/>
        <w:rPr>
          <w:rFonts w:ascii="Cambria" w:eastAsia="MS Gothic" w:hAnsi="Cambria" w:cs="Times New Roman"/>
          <w:color w:val="auto"/>
          <w:sz w:val="20"/>
          <w:szCs w:val="20"/>
          <w:lang w:eastAsia="en-US"/>
        </w:rPr>
      </w:pPr>
    </w:p>
    <w:p w14:paraId="295DCA5A" w14:textId="4741691E" w:rsidR="00D65594" w:rsidRPr="004271A6" w:rsidRDefault="00D65594" w:rsidP="00D65594">
      <w:pPr>
        <w:spacing w:after="0" w:line="240" w:lineRule="auto"/>
        <w:jc w:val="both"/>
        <w:rPr>
          <w:rFonts w:ascii="Cambria" w:eastAsia="MS Gothic" w:hAnsi="Cambria" w:cs="Times New Roman"/>
          <w:color w:val="auto"/>
          <w:sz w:val="20"/>
          <w:szCs w:val="20"/>
        </w:rPr>
      </w:pPr>
      <w:r w:rsidRPr="004271A6">
        <w:rPr>
          <w:rFonts w:ascii="Cambria" w:hAnsi="Cambria"/>
          <w:color w:val="auto"/>
          <w:sz w:val="20"/>
          <w:szCs w:val="20"/>
        </w:rPr>
        <w:t xml:space="preserve">La présente proposition apporte des précisions ciblées et des ajustements techniques à la Recommandation 25-04 de l'ICCAT afin d’améliorer la sécurité juridique, la cohérence et l’applicabilité de celle-ci. Ces amendements visent à aligner les définitions sur les pratiques opérationnelles, à éliminer les contradictions et les ambiguïtés, et à garantir que les règles de contrôle et de déclaration puissent être appliquées efficacement dans les conditions réelles en mer et dans les fermes. </w:t>
      </w:r>
    </w:p>
    <w:p w14:paraId="29D4DC4A" w14:textId="77777777" w:rsidR="0048727C" w:rsidRPr="004271A6" w:rsidRDefault="0048727C" w:rsidP="00D65594">
      <w:pPr>
        <w:spacing w:after="0" w:line="240" w:lineRule="auto"/>
        <w:jc w:val="both"/>
        <w:rPr>
          <w:rFonts w:ascii="Cambria" w:eastAsia="MS Gothic" w:hAnsi="Cambria" w:cs="Times New Roman"/>
          <w:color w:val="auto"/>
          <w:sz w:val="20"/>
          <w:szCs w:val="20"/>
          <w:lang w:eastAsia="en-US"/>
        </w:rPr>
      </w:pPr>
    </w:p>
    <w:p w14:paraId="1EBD6849" w14:textId="58BD55BA" w:rsidR="0048727C" w:rsidRPr="004271A6" w:rsidRDefault="0048727C" w:rsidP="00D65594">
      <w:pPr>
        <w:spacing w:after="0" w:line="240" w:lineRule="auto"/>
        <w:jc w:val="both"/>
        <w:rPr>
          <w:rFonts w:ascii="Cambria" w:eastAsia="MS Gothic" w:hAnsi="Cambria" w:cs="Times New Roman"/>
          <w:color w:val="auto"/>
          <w:sz w:val="20"/>
          <w:szCs w:val="20"/>
        </w:rPr>
      </w:pPr>
      <w:r w:rsidRPr="004271A6">
        <w:rPr>
          <w:rFonts w:ascii="Cambria" w:hAnsi="Cambria"/>
          <w:color w:val="auto"/>
          <w:sz w:val="20"/>
          <w:szCs w:val="20"/>
        </w:rPr>
        <w:t>Pour chaque modification, une explication est fournie dans le tableau ci-dessous.</w:t>
      </w:r>
    </w:p>
    <w:p w14:paraId="222DE4ED" w14:textId="77777777" w:rsidR="002F267D" w:rsidRPr="004271A6" w:rsidRDefault="002F267D" w:rsidP="002F267D">
      <w:pPr>
        <w:spacing w:after="0" w:line="240" w:lineRule="auto"/>
        <w:jc w:val="both"/>
        <w:rPr>
          <w:rFonts w:ascii="Cambria" w:eastAsia="MS Gothic" w:hAnsi="Cambria" w:cs="Times New Roman"/>
          <w:color w:val="auto"/>
          <w:sz w:val="20"/>
          <w:szCs w:val="20"/>
          <w:lang w:eastAsia="en-US"/>
        </w:rPr>
      </w:pPr>
    </w:p>
    <w:p w14:paraId="1DB7FF5E" w14:textId="77777777" w:rsidR="00615FC7" w:rsidRPr="004271A6" w:rsidRDefault="00615FC7" w:rsidP="002F267D">
      <w:pPr>
        <w:widowControl w:val="0"/>
        <w:autoSpaceDE w:val="0"/>
        <w:autoSpaceDN w:val="0"/>
        <w:spacing w:after="120" w:line="240" w:lineRule="auto"/>
        <w:jc w:val="both"/>
        <w:rPr>
          <w:rFonts w:ascii="Cambria" w:eastAsia="Cambria" w:hAnsi="Cambria" w:cs="Cambria"/>
          <w:color w:val="auto"/>
          <w:spacing w:val="-2"/>
          <w:kern w:val="0"/>
          <w:sz w:val="20"/>
          <w:szCs w:val="20"/>
          <w:lang w:eastAsia="en-US"/>
          <w14:ligatures w14:val="none"/>
        </w:rPr>
      </w:pPr>
    </w:p>
    <w:p w14:paraId="53154133" w14:textId="77777777" w:rsidR="00496CE9" w:rsidRPr="004271A6" w:rsidRDefault="00496CE9" w:rsidP="0093780B">
      <w:pPr>
        <w:spacing w:after="120" w:line="240" w:lineRule="auto"/>
        <w:jc w:val="both"/>
        <w:rPr>
          <w:rFonts w:ascii="Cambria" w:hAnsi="Cambria"/>
          <w:sz w:val="20"/>
          <w:szCs w:val="20"/>
        </w:rPr>
      </w:pPr>
    </w:p>
    <w:p w14:paraId="7F386860" w14:textId="77777777" w:rsidR="00496CE9" w:rsidRPr="004271A6" w:rsidRDefault="00496CE9" w:rsidP="0093780B">
      <w:pPr>
        <w:spacing w:after="120" w:line="240" w:lineRule="auto"/>
        <w:jc w:val="both"/>
        <w:rPr>
          <w:rFonts w:ascii="Cambria" w:eastAsia="Cambria" w:hAnsi="Cambria" w:cs="Cambria"/>
          <w:b/>
          <w:iCs/>
          <w:sz w:val="20"/>
          <w:szCs w:val="20"/>
        </w:rPr>
        <w:sectPr w:rsidR="00496CE9" w:rsidRPr="004271A6" w:rsidSect="00496CE9">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851" w:footer="1134" w:gutter="0"/>
          <w:cols w:space="720"/>
          <w:docGrid w:linePitch="299"/>
        </w:sectPr>
      </w:pPr>
    </w:p>
    <w:p w14:paraId="0D056E32" w14:textId="3AD25C62" w:rsidR="00A45938" w:rsidRPr="00315860" w:rsidRDefault="00315860" w:rsidP="00315860">
      <w:pPr>
        <w:widowControl w:val="0"/>
        <w:autoSpaceDE w:val="0"/>
        <w:autoSpaceDN w:val="0"/>
        <w:spacing w:after="120" w:line="240" w:lineRule="auto"/>
        <w:jc w:val="center"/>
        <w:rPr>
          <w:rFonts w:ascii="Cambria" w:eastAsia="Cambria" w:hAnsi="Cambria" w:cs="Cambria"/>
          <w:b/>
          <w:bCs/>
          <w:iCs/>
          <w:color w:val="auto"/>
          <w:sz w:val="20"/>
          <w:szCs w:val="20"/>
        </w:rPr>
      </w:pPr>
      <w:r w:rsidRPr="00315860">
        <w:rPr>
          <w:rFonts w:ascii="Cambria" w:hAnsi="Cambria"/>
          <w:b/>
          <w:bCs/>
          <w:color w:val="auto"/>
          <w:sz w:val="20"/>
          <w:szCs w:val="20"/>
        </w:rPr>
        <w:lastRenderedPageBreak/>
        <w:t>Projet de Recommandation de l’ICCAT amendant la Recommandation 25-04 établissant un plan pluriannuel de gestion du thon rouge dans l’Atlantique Est et la Méditerranée</w:t>
      </w:r>
      <w:r w:rsidRPr="00315860">
        <w:rPr>
          <w:rFonts w:ascii="Cambria" w:hAnsi="Cambria"/>
          <w:b/>
          <w:bCs/>
          <w:color w:val="auto"/>
          <w:sz w:val="20"/>
          <w:szCs w:val="20"/>
        </w:rPr>
        <w:t xml:space="preserve"> </w:t>
      </w:r>
      <w:r w:rsidR="002278AD" w:rsidRPr="00315860">
        <w:rPr>
          <w:rFonts w:ascii="Cambria" w:hAnsi="Cambria"/>
          <w:b/>
          <w:bCs/>
          <w:color w:val="auto"/>
          <w:sz w:val="20"/>
          <w:szCs w:val="20"/>
        </w:rPr>
        <w:t xml:space="preserve">Proposition d'amendements </w:t>
      </w:r>
      <w:r w:rsidRPr="00315860">
        <w:rPr>
          <w:rFonts w:ascii="Cambria" w:hAnsi="Cambria"/>
          <w:b/>
          <w:bCs/>
          <w:color w:val="auto"/>
          <w:sz w:val="20"/>
          <w:szCs w:val="20"/>
        </w:rPr>
        <w:t xml:space="preserve">de la </w:t>
      </w:r>
      <w:hyperlink r:id="rId17">
        <w:r w:rsidR="006E55E0" w:rsidRPr="00315860">
          <w:rPr>
            <w:rFonts w:ascii="Cambria" w:hAnsi="Cambria"/>
            <w:b/>
            <w:bCs/>
            <w:color w:val="auto"/>
            <w:sz w:val="20"/>
            <w:szCs w:val="20"/>
          </w:rPr>
          <w:t>Rec</w:t>
        </w:r>
      </w:hyperlink>
      <w:r w:rsidR="006E55E0" w:rsidRPr="00315860">
        <w:rPr>
          <w:rFonts w:ascii="Cambria" w:hAnsi="Cambria"/>
          <w:b/>
          <w:bCs/>
          <w:color w:val="auto"/>
          <w:sz w:val="20"/>
          <w:szCs w:val="20"/>
        </w:rPr>
        <w:t>. 25-04</w:t>
      </w:r>
    </w:p>
    <w:p w14:paraId="40E0F1BB" w14:textId="1301D3B1" w:rsidR="00A45938" w:rsidRPr="004271A6" w:rsidRDefault="002278AD" w:rsidP="00A54EE0">
      <w:pPr>
        <w:spacing w:after="0" w:line="240" w:lineRule="auto"/>
        <w:jc w:val="center"/>
        <w:rPr>
          <w:rFonts w:ascii="Cambria" w:hAnsi="Cambria"/>
          <w:sz w:val="20"/>
          <w:szCs w:val="20"/>
        </w:rPr>
      </w:pPr>
      <w:r w:rsidRPr="004271A6">
        <w:rPr>
          <w:rFonts w:ascii="Cambria" w:hAnsi="Cambria"/>
          <w:i/>
          <w:sz w:val="20"/>
          <w:szCs w:val="20"/>
        </w:rPr>
        <w:t>(Document présenté par l’Union européenne)</w:t>
      </w:r>
    </w:p>
    <w:tbl>
      <w:tblPr>
        <w:tblStyle w:val="TableGrid0"/>
        <w:tblW w:w="5000" w:type="pct"/>
        <w:tblLook w:val="04A0" w:firstRow="1" w:lastRow="0" w:firstColumn="1" w:lastColumn="0" w:noHBand="0" w:noVBand="1"/>
      </w:tblPr>
      <w:tblGrid>
        <w:gridCol w:w="1413"/>
        <w:gridCol w:w="6663"/>
        <w:gridCol w:w="5916"/>
      </w:tblGrid>
      <w:tr w:rsidR="0011281C" w:rsidRPr="004271A6" w14:paraId="222D4AF1" w14:textId="77777777" w:rsidTr="00A96F23">
        <w:tc>
          <w:tcPr>
            <w:tcW w:w="505" w:type="pct"/>
            <w:vAlign w:val="center"/>
          </w:tcPr>
          <w:p w14:paraId="1529B850" w14:textId="01FE5B9E" w:rsidR="0011281C" w:rsidRPr="004271A6" w:rsidRDefault="0011281C" w:rsidP="0089192D">
            <w:pPr>
              <w:spacing w:after="120" w:line="240" w:lineRule="auto"/>
              <w:jc w:val="center"/>
              <w:rPr>
                <w:rFonts w:ascii="Cambria" w:eastAsia="Cambria" w:hAnsi="Cambria" w:cs="Cambria"/>
                <w:b/>
                <w:i/>
                <w:sz w:val="20"/>
                <w:szCs w:val="20"/>
              </w:rPr>
            </w:pPr>
            <w:r w:rsidRPr="004271A6">
              <w:rPr>
                <w:rFonts w:ascii="Cambria" w:hAnsi="Cambria"/>
                <w:b/>
                <w:i/>
                <w:sz w:val="20"/>
                <w:szCs w:val="20"/>
              </w:rPr>
              <w:t>Rec. 25-04</w:t>
            </w:r>
          </w:p>
        </w:tc>
        <w:tc>
          <w:tcPr>
            <w:tcW w:w="2381" w:type="pct"/>
            <w:vAlign w:val="center"/>
          </w:tcPr>
          <w:p w14:paraId="7C9088D6" w14:textId="61DD2824" w:rsidR="0011281C" w:rsidRPr="004271A6" w:rsidRDefault="0011281C" w:rsidP="0089192D">
            <w:pPr>
              <w:spacing w:after="120" w:line="240" w:lineRule="auto"/>
              <w:jc w:val="center"/>
              <w:rPr>
                <w:rFonts w:ascii="Cambria" w:eastAsia="Cambria" w:hAnsi="Cambria" w:cs="Cambria"/>
                <w:b/>
                <w:i/>
                <w:sz w:val="20"/>
                <w:szCs w:val="20"/>
              </w:rPr>
            </w:pPr>
            <w:r w:rsidRPr="004271A6">
              <w:rPr>
                <w:rFonts w:ascii="Cambria" w:hAnsi="Cambria"/>
                <w:b/>
                <w:i/>
                <w:sz w:val="20"/>
                <w:szCs w:val="20"/>
              </w:rPr>
              <w:t>Modification proposée</w:t>
            </w:r>
          </w:p>
        </w:tc>
        <w:tc>
          <w:tcPr>
            <w:tcW w:w="2114" w:type="pct"/>
            <w:vAlign w:val="center"/>
          </w:tcPr>
          <w:p w14:paraId="4FDE6749" w14:textId="757AF8D0" w:rsidR="0011281C" w:rsidRPr="004271A6" w:rsidRDefault="00CB5904" w:rsidP="0089192D">
            <w:pPr>
              <w:spacing w:after="120" w:line="240" w:lineRule="auto"/>
              <w:jc w:val="center"/>
              <w:rPr>
                <w:rFonts w:ascii="Cambria" w:eastAsia="Cambria" w:hAnsi="Cambria" w:cs="Cambria"/>
                <w:b/>
                <w:i/>
                <w:sz w:val="20"/>
                <w:szCs w:val="20"/>
              </w:rPr>
            </w:pPr>
            <w:r w:rsidRPr="004271A6">
              <w:rPr>
                <w:rFonts w:ascii="Cambria" w:hAnsi="Cambria"/>
                <w:b/>
                <w:i/>
                <w:sz w:val="20"/>
                <w:szCs w:val="20"/>
              </w:rPr>
              <w:t>Explication</w:t>
            </w:r>
          </w:p>
        </w:tc>
      </w:tr>
      <w:tr w:rsidR="0011281C" w:rsidRPr="004271A6" w14:paraId="26272D14" w14:textId="77777777" w:rsidTr="00A96F23">
        <w:tc>
          <w:tcPr>
            <w:tcW w:w="505" w:type="pct"/>
          </w:tcPr>
          <w:p w14:paraId="3EA0B6D9" w14:textId="6AAEDC2C" w:rsidR="0011281C" w:rsidRPr="004271A6" w:rsidRDefault="00E33409" w:rsidP="0093780B">
            <w:pPr>
              <w:spacing w:after="120" w:line="240" w:lineRule="auto"/>
              <w:jc w:val="both"/>
              <w:rPr>
                <w:rFonts w:ascii="Cambria" w:hAnsi="Cambria"/>
                <w:sz w:val="20"/>
                <w:szCs w:val="20"/>
              </w:rPr>
            </w:pPr>
            <w:r w:rsidRPr="004271A6">
              <w:rPr>
                <w:rFonts w:ascii="Cambria" w:hAnsi="Cambria"/>
                <w:sz w:val="20"/>
                <w:szCs w:val="20"/>
              </w:rPr>
              <w:t xml:space="preserve">Paragraphe 2.i) </w:t>
            </w:r>
          </w:p>
        </w:tc>
        <w:tc>
          <w:tcPr>
            <w:tcW w:w="2381" w:type="pct"/>
          </w:tcPr>
          <w:p w14:paraId="3A01B4CA" w14:textId="588EFAC0" w:rsidR="00BC3C9A" w:rsidRPr="004271A6" w:rsidRDefault="00BC3C9A" w:rsidP="0093780B">
            <w:pPr>
              <w:spacing w:line="240" w:lineRule="auto"/>
              <w:jc w:val="both"/>
              <w:rPr>
                <w:rFonts w:ascii="Cambria" w:hAnsi="Cambria"/>
                <w:sz w:val="20"/>
                <w:szCs w:val="20"/>
              </w:rPr>
            </w:pPr>
            <w:r w:rsidRPr="004271A6">
              <w:rPr>
                <w:rFonts w:ascii="Cambria" w:hAnsi="Cambria"/>
                <w:sz w:val="20"/>
                <w:szCs w:val="20"/>
              </w:rPr>
              <w:t>« Opérations de transfert</w:t>
            </w:r>
            <w:r w:rsidR="005A29E0">
              <w:rPr>
                <w:rFonts w:ascii="Cambria" w:hAnsi="Cambria"/>
                <w:sz w:val="20"/>
                <w:szCs w:val="20"/>
              </w:rPr>
              <w:t xml:space="preserve"> » </w:t>
            </w:r>
            <w:r w:rsidRPr="004271A6">
              <w:rPr>
                <w:rFonts w:ascii="Cambria" w:hAnsi="Cambria"/>
                <w:sz w:val="20"/>
                <w:szCs w:val="20"/>
              </w:rPr>
              <w:t xml:space="preserve">désigne : </w:t>
            </w:r>
          </w:p>
          <w:p w14:paraId="7718AFF5" w14:textId="43F2EE5D" w:rsidR="00BC3C9A" w:rsidRPr="004271A6" w:rsidRDefault="00BC3C9A" w:rsidP="0093780B">
            <w:pPr>
              <w:pStyle w:val="ListParagraph"/>
              <w:numPr>
                <w:ilvl w:val="0"/>
                <w:numId w:val="8"/>
              </w:numPr>
              <w:spacing w:line="240" w:lineRule="auto"/>
              <w:ind w:left="461" w:hanging="284"/>
              <w:contextualSpacing w:val="0"/>
              <w:jc w:val="both"/>
              <w:rPr>
                <w:rFonts w:ascii="Cambria" w:hAnsi="Cambria"/>
                <w:sz w:val="20"/>
                <w:szCs w:val="20"/>
              </w:rPr>
            </w:pPr>
            <w:r w:rsidRPr="004271A6">
              <w:rPr>
                <w:rFonts w:ascii="Cambria" w:hAnsi="Cambria"/>
                <w:sz w:val="20"/>
                <w:szCs w:val="20"/>
              </w:rPr>
              <w:t xml:space="preserve">tout transfert de thon rouge vivant du filet du navire de capture jusqu’à la cage de transport ;  </w:t>
            </w:r>
          </w:p>
          <w:p w14:paraId="09233FDF" w14:textId="07ECAF70" w:rsidR="00BC3C9A" w:rsidRPr="004271A6" w:rsidRDefault="00BC3C9A" w:rsidP="0093780B">
            <w:pPr>
              <w:pStyle w:val="ListParagraph"/>
              <w:numPr>
                <w:ilvl w:val="0"/>
                <w:numId w:val="8"/>
              </w:numPr>
              <w:spacing w:line="240" w:lineRule="auto"/>
              <w:ind w:left="461" w:hanging="284"/>
              <w:contextualSpacing w:val="0"/>
              <w:jc w:val="both"/>
              <w:rPr>
                <w:rFonts w:ascii="Cambria" w:hAnsi="Cambria"/>
                <w:sz w:val="20"/>
                <w:szCs w:val="20"/>
              </w:rPr>
            </w:pPr>
            <w:r w:rsidRPr="004271A6">
              <w:rPr>
                <w:rFonts w:ascii="Cambria" w:hAnsi="Cambria"/>
                <w:sz w:val="20"/>
                <w:szCs w:val="20"/>
              </w:rPr>
              <w:t xml:space="preserve">tout transfert de thon rouge vivant de la madrague jusqu’à la cage de transport indépendamment de la présence d’un remorqueur ; </w:t>
            </w:r>
          </w:p>
          <w:p w14:paraId="2855F6D9" w14:textId="022063B0" w:rsidR="00BC3C9A" w:rsidRPr="004271A6" w:rsidRDefault="00BC3C9A" w:rsidP="0093780B">
            <w:pPr>
              <w:pStyle w:val="ListParagraph"/>
              <w:numPr>
                <w:ilvl w:val="0"/>
                <w:numId w:val="8"/>
              </w:numPr>
              <w:spacing w:line="240" w:lineRule="auto"/>
              <w:ind w:left="461" w:hanging="284"/>
              <w:contextualSpacing w:val="0"/>
              <w:jc w:val="both"/>
              <w:rPr>
                <w:rFonts w:ascii="Cambria" w:hAnsi="Cambria"/>
                <w:sz w:val="20"/>
                <w:szCs w:val="20"/>
              </w:rPr>
            </w:pPr>
            <w:r w:rsidRPr="004271A6">
              <w:rPr>
                <w:rFonts w:ascii="Cambria" w:hAnsi="Cambria"/>
                <w:sz w:val="20"/>
                <w:szCs w:val="20"/>
              </w:rPr>
              <w:t xml:space="preserve">tout transfert de thon rouge vivant de la cage de transport jusqu’à une autre cage de transport ; </w:t>
            </w:r>
          </w:p>
          <w:p w14:paraId="04EBBC73" w14:textId="63A51307" w:rsidR="00BC3C9A" w:rsidRPr="004271A6" w:rsidRDefault="00BC3C9A" w:rsidP="0093780B">
            <w:pPr>
              <w:pStyle w:val="ListParagraph"/>
              <w:numPr>
                <w:ilvl w:val="0"/>
                <w:numId w:val="8"/>
              </w:numPr>
              <w:spacing w:line="240" w:lineRule="auto"/>
              <w:ind w:left="461" w:hanging="284"/>
              <w:contextualSpacing w:val="0"/>
              <w:jc w:val="both"/>
              <w:rPr>
                <w:rFonts w:ascii="Cambria" w:hAnsi="Cambria"/>
                <w:sz w:val="20"/>
                <w:szCs w:val="20"/>
              </w:rPr>
            </w:pPr>
            <w:r w:rsidRPr="004271A6">
              <w:rPr>
                <w:rFonts w:ascii="Cambria" w:hAnsi="Cambria"/>
                <w:sz w:val="20"/>
                <w:szCs w:val="20"/>
              </w:rPr>
              <w:t xml:space="preserve">tout transfert d’une cage contenant du thon rouge vivant d’un remorqueur jusqu’à un autre remorqueur ; </w:t>
            </w:r>
          </w:p>
          <w:p w14:paraId="55B9F026" w14:textId="73AAC655" w:rsidR="00CB5904" w:rsidRPr="004271A6" w:rsidRDefault="00BC3C9A" w:rsidP="0093780B">
            <w:pPr>
              <w:pStyle w:val="ListParagraph"/>
              <w:numPr>
                <w:ilvl w:val="0"/>
                <w:numId w:val="8"/>
              </w:numPr>
              <w:spacing w:line="240" w:lineRule="auto"/>
              <w:ind w:left="461" w:hanging="284"/>
              <w:contextualSpacing w:val="0"/>
              <w:jc w:val="both"/>
              <w:rPr>
                <w:rFonts w:ascii="Cambria" w:hAnsi="Cambria"/>
                <w:sz w:val="20"/>
                <w:szCs w:val="20"/>
              </w:rPr>
            </w:pPr>
            <w:r w:rsidRPr="004271A6">
              <w:rPr>
                <w:rFonts w:ascii="Cambria" w:hAnsi="Cambria"/>
                <w:sz w:val="20"/>
                <w:szCs w:val="20"/>
              </w:rPr>
              <w:t>tout transfert de thon rouge vivant entre différentes cages dans la même ferme (transfert intra-ferme) ;</w:t>
            </w:r>
          </w:p>
          <w:p w14:paraId="61BA67EB" w14:textId="77777777" w:rsidR="0011281C" w:rsidRPr="004271A6" w:rsidRDefault="00CB5904" w:rsidP="0093780B">
            <w:pPr>
              <w:pStyle w:val="ListParagraph"/>
              <w:numPr>
                <w:ilvl w:val="0"/>
                <w:numId w:val="8"/>
              </w:numPr>
              <w:spacing w:line="240" w:lineRule="auto"/>
              <w:ind w:left="461" w:hanging="284"/>
              <w:contextualSpacing w:val="0"/>
              <w:jc w:val="both"/>
              <w:rPr>
                <w:rFonts w:ascii="Cambria" w:hAnsi="Cambria"/>
                <w:sz w:val="20"/>
                <w:szCs w:val="20"/>
              </w:rPr>
            </w:pPr>
            <w:r w:rsidRPr="004271A6">
              <w:rPr>
                <w:rFonts w:ascii="Cambria" w:hAnsi="Cambria"/>
                <w:sz w:val="20"/>
                <w:szCs w:val="20"/>
              </w:rPr>
              <w:t xml:space="preserve">tout transfert de thon rouge vivant d’une cage de la ferme à une cage de transport.; </w:t>
            </w:r>
          </w:p>
          <w:p w14:paraId="36937E9F" w14:textId="55F20703" w:rsidR="0063511D" w:rsidRPr="004271A6" w:rsidRDefault="0063511D" w:rsidP="0093780B">
            <w:pPr>
              <w:pStyle w:val="ListParagraph"/>
              <w:numPr>
                <w:ilvl w:val="0"/>
                <w:numId w:val="8"/>
              </w:numPr>
              <w:spacing w:after="120" w:line="240" w:lineRule="auto"/>
              <w:ind w:left="461" w:hanging="284"/>
              <w:contextualSpacing w:val="0"/>
              <w:jc w:val="both"/>
              <w:rPr>
                <w:rFonts w:ascii="Cambria" w:hAnsi="Cambria"/>
                <w:sz w:val="20"/>
                <w:szCs w:val="20"/>
              </w:rPr>
            </w:pPr>
            <w:r w:rsidRPr="004271A6">
              <w:rPr>
                <w:rFonts w:ascii="Cambria" w:hAnsi="Cambria"/>
                <w:b/>
                <w:bCs/>
                <w:sz w:val="20"/>
                <w:szCs w:val="20"/>
                <w:u w:val="single"/>
              </w:rPr>
              <w:t>tout transfert de thon rouge vivant retournant de la cage d'élevage à la madrague.</w:t>
            </w:r>
          </w:p>
        </w:tc>
        <w:tc>
          <w:tcPr>
            <w:tcW w:w="2114" w:type="pct"/>
          </w:tcPr>
          <w:p w14:paraId="536D60CB" w14:textId="76A6EC04" w:rsidR="0011281C" w:rsidRPr="004271A6" w:rsidRDefault="00D3210E" w:rsidP="0093780B">
            <w:pPr>
              <w:spacing w:after="120" w:line="240" w:lineRule="auto"/>
              <w:jc w:val="both"/>
              <w:rPr>
                <w:rFonts w:ascii="Cambria" w:hAnsi="Cambria"/>
                <w:sz w:val="20"/>
                <w:szCs w:val="20"/>
              </w:rPr>
            </w:pPr>
            <w:r w:rsidRPr="004271A6">
              <w:rPr>
                <w:rFonts w:ascii="Cambria" w:hAnsi="Cambria"/>
                <w:sz w:val="20"/>
                <w:szCs w:val="20"/>
              </w:rPr>
              <w:t>Dans leurs demandes d’éclaircissements adressées à la Sous-commission 2 (réunion intersessions de mars 2026), les observateurs ont souligné que le « transfert de thons rouges vivants d’une cage d’élevage vers une madrague» avait bien lieu, mais n’était pas couvert par les définitions. À moins que cela ne s'inscrive dans le cadre d'une opération de libération (auquel cas la définition figure à l'annexe 10, paragraphe 13), nous devons l'inclure dans les définitions des opérations de transfert.</w:t>
            </w:r>
          </w:p>
        </w:tc>
      </w:tr>
      <w:tr w:rsidR="002620DF" w:rsidRPr="004271A6" w14:paraId="3709F53C" w14:textId="77777777" w:rsidTr="00A96F23">
        <w:tc>
          <w:tcPr>
            <w:tcW w:w="505" w:type="pct"/>
          </w:tcPr>
          <w:p w14:paraId="560DCD84" w14:textId="3858A720" w:rsidR="002620DF" w:rsidRPr="004271A6" w:rsidRDefault="002620DF" w:rsidP="0093780B">
            <w:pPr>
              <w:spacing w:after="120" w:line="240" w:lineRule="auto"/>
              <w:jc w:val="both"/>
              <w:rPr>
                <w:rFonts w:ascii="Cambria" w:hAnsi="Cambria"/>
                <w:sz w:val="20"/>
                <w:szCs w:val="20"/>
              </w:rPr>
            </w:pPr>
            <w:r w:rsidRPr="004271A6">
              <w:rPr>
                <w:rFonts w:ascii="Cambria" w:hAnsi="Cambria"/>
                <w:sz w:val="20"/>
                <w:szCs w:val="20"/>
              </w:rPr>
              <w:t>Paragraphe 2 w.)</w:t>
            </w:r>
          </w:p>
        </w:tc>
        <w:tc>
          <w:tcPr>
            <w:tcW w:w="2381" w:type="pct"/>
          </w:tcPr>
          <w:p w14:paraId="6A922308" w14:textId="3EF16963" w:rsidR="0093780B" w:rsidRPr="004271A6" w:rsidRDefault="002620DF" w:rsidP="0093780B">
            <w:pPr>
              <w:spacing w:after="120" w:line="240" w:lineRule="auto"/>
              <w:jc w:val="both"/>
              <w:rPr>
                <w:rFonts w:ascii="Cambria" w:eastAsia="Cambria" w:hAnsi="Cambria" w:cs="Times New Roman"/>
                <w:sz w:val="20"/>
                <w:szCs w:val="20"/>
              </w:rPr>
            </w:pPr>
            <w:r w:rsidRPr="004271A6">
              <w:rPr>
                <w:rFonts w:ascii="Cambria" w:hAnsi="Cambria"/>
                <w:sz w:val="20"/>
                <w:szCs w:val="20"/>
              </w:rPr>
              <w:t xml:space="preserve">« Transbordement » désigne le déchargement de l’ensemble ou d’une partie des poissons à bord d’un navire de pêche vers un autre navire de pêche.  Toutefois, le déchargement du thon rouge mort du filet d’une </w:t>
            </w:r>
            <w:proofErr w:type="spellStart"/>
            <w:r w:rsidRPr="004271A6">
              <w:rPr>
                <w:rFonts w:ascii="Cambria" w:hAnsi="Cambria"/>
                <w:sz w:val="20"/>
                <w:szCs w:val="20"/>
              </w:rPr>
              <w:t>senne</w:t>
            </w:r>
            <w:proofErr w:type="spellEnd"/>
            <w:r w:rsidRPr="004271A6">
              <w:rPr>
                <w:rFonts w:ascii="Cambria" w:hAnsi="Cambria"/>
                <w:sz w:val="20"/>
                <w:szCs w:val="20"/>
              </w:rPr>
              <w:t xml:space="preserve">, </w:t>
            </w:r>
            <w:r w:rsidRPr="004271A6">
              <w:rPr>
                <w:rFonts w:ascii="Cambria" w:hAnsi="Cambria"/>
                <w:b/>
                <w:bCs/>
                <w:sz w:val="20"/>
                <w:szCs w:val="20"/>
                <w:u w:val="single"/>
              </w:rPr>
              <w:t>d'un senneur,</w:t>
            </w:r>
            <w:r w:rsidRPr="004271A6">
              <w:rPr>
                <w:rFonts w:ascii="Cambria" w:hAnsi="Cambria"/>
                <w:sz w:val="20"/>
                <w:szCs w:val="20"/>
              </w:rPr>
              <w:t xml:space="preserve"> d’une madrague ou d'un remorqueur à un navire auxiliaire ne devra pas être considéré comme un transbordement ;</w:t>
            </w:r>
          </w:p>
        </w:tc>
        <w:tc>
          <w:tcPr>
            <w:tcW w:w="2114" w:type="pct"/>
          </w:tcPr>
          <w:p w14:paraId="0356E132" w14:textId="71F05DAB" w:rsidR="002620DF" w:rsidRPr="004271A6" w:rsidRDefault="002620DF" w:rsidP="0093780B">
            <w:pPr>
              <w:spacing w:after="120" w:line="240" w:lineRule="auto"/>
              <w:jc w:val="both"/>
              <w:rPr>
                <w:rFonts w:ascii="Cambria" w:hAnsi="Cambria"/>
                <w:sz w:val="20"/>
                <w:szCs w:val="20"/>
              </w:rPr>
            </w:pPr>
            <w:r w:rsidRPr="004271A6">
              <w:rPr>
                <w:rFonts w:ascii="Cambria" w:hAnsi="Cambria"/>
                <w:sz w:val="20"/>
                <w:szCs w:val="20"/>
              </w:rPr>
              <w:t xml:space="preserve">Par souci de cohérence avec la définition du « navire auxiliaire » figurant au paragraphe 2.d), qui autorise le transport de thon rouge de senneurs vers des navires auxiliaires. </w:t>
            </w:r>
          </w:p>
        </w:tc>
      </w:tr>
      <w:tr w:rsidR="00794C5D" w:rsidRPr="004271A6" w14:paraId="2AFD790F" w14:textId="77777777" w:rsidTr="00A96F23">
        <w:tc>
          <w:tcPr>
            <w:tcW w:w="505" w:type="pct"/>
          </w:tcPr>
          <w:p w14:paraId="47F9303B" w14:textId="6DA587F3" w:rsidR="00794C5D" w:rsidRPr="004271A6" w:rsidRDefault="00794C5D" w:rsidP="0089192D">
            <w:pPr>
              <w:spacing w:after="120" w:line="240" w:lineRule="auto"/>
              <w:jc w:val="both"/>
              <w:rPr>
                <w:rFonts w:ascii="Cambria" w:hAnsi="Cambria"/>
                <w:sz w:val="20"/>
                <w:szCs w:val="20"/>
              </w:rPr>
            </w:pPr>
            <w:r w:rsidRPr="004271A6">
              <w:rPr>
                <w:rFonts w:ascii="Cambria" w:hAnsi="Cambria"/>
                <w:sz w:val="20"/>
                <w:szCs w:val="20"/>
              </w:rPr>
              <w:t>Paragraphes 33</w:t>
            </w:r>
            <w:r w:rsidR="0089192D">
              <w:rPr>
                <w:rFonts w:ascii="Cambria" w:hAnsi="Cambria"/>
                <w:sz w:val="20"/>
                <w:szCs w:val="20"/>
              </w:rPr>
              <w:t xml:space="preserve"> </w:t>
            </w:r>
            <w:r w:rsidRPr="004271A6">
              <w:rPr>
                <w:rFonts w:ascii="Cambria" w:hAnsi="Cambria"/>
                <w:sz w:val="20"/>
                <w:szCs w:val="20"/>
              </w:rPr>
              <w:t xml:space="preserve">et 36  </w:t>
            </w:r>
          </w:p>
        </w:tc>
        <w:tc>
          <w:tcPr>
            <w:tcW w:w="2381" w:type="pct"/>
          </w:tcPr>
          <w:p w14:paraId="1A986F13" w14:textId="58CD20A6" w:rsidR="0063511D" w:rsidRPr="004271A6" w:rsidRDefault="0063511D" w:rsidP="0093780B">
            <w:pPr>
              <w:spacing w:after="120" w:line="240" w:lineRule="auto"/>
              <w:ind w:left="319" w:right="44" w:hanging="319"/>
              <w:jc w:val="both"/>
              <w:rPr>
                <w:rFonts w:ascii="Cambria" w:eastAsia="Cambria" w:hAnsi="Cambria" w:cs="Cambria"/>
                <w:sz w:val="20"/>
                <w:szCs w:val="20"/>
              </w:rPr>
            </w:pPr>
            <w:r w:rsidRPr="004271A6">
              <w:rPr>
                <w:rFonts w:ascii="Cambria" w:hAnsi="Cambria"/>
                <w:sz w:val="20"/>
                <w:szCs w:val="20"/>
              </w:rPr>
              <w:t>33. La taille minimale du thon rouge capturé dans l'Atlantique Est et en Méditerranée devra être de 30 kg ou de 115 cm de longueur à la fourche.</w:t>
            </w:r>
          </w:p>
          <w:p w14:paraId="7C0E73B1" w14:textId="77777777" w:rsidR="0063511D" w:rsidRPr="004271A6" w:rsidRDefault="0063511D" w:rsidP="0093780B">
            <w:pPr>
              <w:spacing w:after="120" w:line="240" w:lineRule="auto"/>
              <w:ind w:left="319" w:right="44" w:hanging="319"/>
              <w:jc w:val="both"/>
              <w:rPr>
                <w:rFonts w:ascii="Cambria" w:eastAsia="Cambria" w:hAnsi="Cambria" w:cs="Cambria"/>
                <w:sz w:val="20"/>
                <w:szCs w:val="20"/>
              </w:rPr>
            </w:pPr>
            <w:r w:rsidRPr="004271A6">
              <w:rPr>
                <w:rFonts w:ascii="Cambria" w:hAnsi="Cambria"/>
                <w:b/>
                <w:sz w:val="20"/>
                <w:szCs w:val="20"/>
                <w:u w:val="single"/>
              </w:rPr>
              <w:t>33 bis.</w:t>
            </w:r>
            <w:r w:rsidRPr="004271A6">
              <w:rPr>
                <w:rFonts w:ascii="Cambria" w:hAnsi="Cambria"/>
                <w:sz w:val="20"/>
                <w:szCs w:val="20"/>
              </w:rPr>
              <w:t xml:space="preserve"> Les CPC devront prendre les mesures nécessaires afin d’interdire la capture, la conservation à bord, le transbordement, le transfert, le débarquement, le transport, le stockage, la vente, l’exposition ou la proposition de vente de thon rouge </w:t>
            </w:r>
            <w:r w:rsidRPr="004271A6">
              <w:rPr>
                <w:rFonts w:ascii="Cambria" w:hAnsi="Cambria"/>
                <w:b/>
                <w:bCs/>
                <w:sz w:val="20"/>
                <w:szCs w:val="20"/>
                <w:u w:val="single"/>
              </w:rPr>
              <w:t>qui ne remplit pas au moins l'une des exigences en matière de taille ou de poids énumérées au paragraphe 33</w:t>
            </w:r>
            <w:r w:rsidRPr="004271A6">
              <w:rPr>
                <w:rFonts w:ascii="Cambria" w:hAnsi="Cambria"/>
                <w:sz w:val="20"/>
                <w:szCs w:val="20"/>
              </w:rPr>
              <w:t>.</w:t>
            </w:r>
          </w:p>
          <w:p w14:paraId="571AB055" w14:textId="77777777" w:rsidR="00F045C5" w:rsidRDefault="00F045C5" w:rsidP="00C70784">
            <w:pPr>
              <w:spacing w:line="240" w:lineRule="auto"/>
              <w:ind w:left="319" w:right="44" w:hanging="319"/>
              <w:jc w:val="both"/>
              <w:rPr>
                <w:rFonts w:ascii="Cambria" w:hAnsi="Cambria"/>
                <w:sz w:val="20"/>
                <w:szCs w:val="20"/>
              </w:rPr>
            </w:pPr>
          </w:p>
          <w:p w14:paraId="290C01F7" w14:textId="77777777" w:rsidR="00F045C5" w:rsidRDefault="00F045C5" w:rsidP="00C70784">
            <w:pPr>
              <w:spacing w:line="240" w:lineRule="auto"/>
              <w:ind w:left="319" w:right="44" w:hanging="319"/>
              <w:jc w:val="both"/>
              <w:rPr>
                <w:rFonts w:ascii="Cambria" w:hAnsi="Cambria"/>
                <w:sz w:val="20"/>
                <w:szCs w:val="20"/>
              </w:rPr>
            </w:pPr>
          </w:p>
          <w:p w14:paraId="32C22084" w14:textId="35EB904F" w:rsidR="0063511D" w:rsidRPr="004271A6" w:rsidRDefault="0063511D" w:rsidP="00C70784">
            <w:pPr>
              <w:spacing w:line="240" w:lineRule="auto"/>
              <w:ind w:left="319" w:right="44" w:hanging="319"/>
              <w:jc w:val="both"/>
              <w:rPr>
                <w:rFonts w:ascii="Cambria" w:eastAsia="Cambria" w:hAnsi="Cambria" w:cs="Cambria"/>
                <w:b/>
                <w:bCs/>
                <w:sz w:val="20"/>
                <w:szCs w:val="20"/>
                <w:u w:val="single"/>
              </w:rPr>
            </w:pPr>
            <w:r w:rsidRPr="004271A6">
              <w:rPr>
                <w:rFonts w:ascii="Cambria" w:hAnsi="Cambria"/>
                <w:sz w:val="20"/>
                <w:szCs w:val="20"/>
              </w:rPr>
              <w:lastRenderedPageBreak/>
              <w:t xml:space="preserve">36. Pour les navires de capture pêchant activement du thon rouge et les madragues thonières, les CPC peuvent autoriser une prise accidentelle de 5 % maximum en nombre de thon rouge </w:t>
            </w:r>
            <w:r w:rsidRPr="004271A6">
              <w:rPr>
                <w:rFonts w:ascii="Cambria" w:hAnsi="Cambria"/>
                <w:b/>
                <w:bCs/>
                <w:sz w:val="20"/>
                <w:szCs w:val="20"/>
                <w:u w:val="single"/>
              </w:rPr>
              <w:t>conservés à bord d'un navire à tout moment après chaque opération de pêche, qui :</w:t>
            </w:r>
          </w:p>
          <w:p w14:paraId="5C662A0A" w14:textId="2F33EDE2" w:rsidR="0063511D" w:rsidRPr="004271A6" w:rsidRDefault="00C40865" w:rsidP="00C70784">
            <w:pPr>
              <w:numPr>
                <w:ilvl w:val="0"/>
                <w:numId w:val="11"/>
              </w:numPr>
              <w:spacing w:line="240" w:lineRule="auto"/>
              <w:ind w:right="44"/>
              <w:jc w:val="both"/>
              <w:rPr>
                <w:rFonts w:ascii="Cambria" w:eastAsia="Cambria" w:hAnsi="Cambria" w:cs="Cambria"/>
                <w:b/>
                <w:bCs/>
                <w:sz w:val="20"/>
                <w:szCs w:val="20"/>
                <w:u w:val="single"/>
              </w:rPr>
            </w:pPr>
            <w:r w:rsidRPr="004271A6">
              <w:rPr>
                <w:rFonts w:ascii="Cambria" w:hAnsi="Cambria"/>
                <w:b/>
                <w:sz w:val="20"/>
                <w:szCs w:val="20"/>
                <w:u w:val="single"/>
              </w:rPr>
              <w:t xml:space="preserve">pèsent entre 8 kg et 30 kg ; ou </w:t>
            </w:r>
          </w:p>
          <w:p w14:paraId="3DBC2AB7" w14:textId="7ABBF707" w:rsidR="00794C5D" w:rsidRPr="004271A6" w:rsidRDefault="00C40865" w:rsidP="0093780B">
            <w:pPr>
              <w:numPr>
                <w:ilvl w:val="0"/>
                <w:numId w:val="11"/>
              </w:numPr>
              <w:spacing w:after="120" w:line="240" w:lineRule="auto"/>
              <w:ind w:right="44"/>
              <w:jc w:val="both"/>
              <w:rPr>
                <w:rFonts w:ascii="Cambria" w:hAnsi="Cambria"/>
                <w:iCs/>
                <w:sz w:val="20"/>
                <w:szCs w:val="20"/>
              </w:rPr>
            </w:pPr>
            <w:r w:rsidRPr="004271A6">
              <w:rPr>
                <w:rFonts w:ascii="Cambria" w:hAnsi="Cambria"/>
                <w:b/>
                <w:sz w:val="20"/>
                <w:szCs w:val="20"/>
                <w:u w:val="single"/>
              </w:rPr>
              <w:t>dont la longueur de fourche est comprise entre 75 et 115 cm.</w:t>
            </w:r>
            <w:r w:rsidRPr="004271A6">
              <w:rPr>
                <w:rFonts w:ascii="Cambria" w:hAnsi="Cambria"/>
                <w:sz w:val="20"/>
                <w:szCs w:val="20"/>
              </w:rPr>
              <w:t xml:space="preserve"> </w:t>
            </w:r>
          </w:p>
        </w:tc>
        <w:tc>
          <w:tcPr>
            <w:tcW w:w="2114" w:type="pct"/>
          </w:tcPr>
          <w:p w14:paraId="717873DE" w14:textId="77777777" w:rsidR="00794C5D" w:rsidRPr="004271A6" w:rsidRDefault="00794C5D" w:rsidP="0093780B">
            <w:pPr>
              <w:spacing w:after="120" w:line="240" w:lineRule="auto"/>
              <w:jc w:val="both"/>
              <w:rPr>
                <w:rFonts w:ascii="Cambria" w:hAnsi="Cambria"/>
                <w:sz w:val="20"/>
                <w:szCs w:val="20"/>
              </w:rPr>
            </w:pPr>
            <w:r w:rsidRPr="004271A6">
              <w:rPr>
                <w:rFonts w:ascii="Cambria" w:hAnsi="Cambria"/>
                <w:sz w:val="20"/>
                <w:szCs w:val="20"/>
              </w:rPr>
              <w:lastRenderedPageBreak/>
              <w:t xml:space="preserve">La contradiction entre la première et la deuxième phrase du paragraphe 33 doit être corrigée. </w:t>
            </w:r>
          </w:p>
          <w:p w14:paraId="28293791" w14:textId="629456C3" w:rsidR="00794C5D" w:rsidRPr="004271A6" w:rsidRDefault="00794C5D" w:rsidP="0093780B">
            <w:pPr>
              <w:spacing w:after="120" w:line="240" w:lineRule="auto"/>
              <w:ind w:right="45"/>
              <w:jc w:val="both"/>
              <w:rPr>
                <w:rFonts w:ascii="Cambria" w:hAnsi="Cambria"/>
                <w:sz w:val="20"/>
                <w:szCs w:val="20"/>
              </w:rPr>
            </w:pPr>
            <w:r w:rsidRPr="004271A6">
              <w:rPr>
                <w:rFonts w:ascii="Cambria" w:hAnsi="Cambria"/>
                <w:sz w:val="20"/>
                <w:szCs w:val="20"/>
              </w:rPr>
              <w:t xml:space="preserve">Nous comprenons que la mise en œuvre actuelle de ce paragraphe est que le respect de l'une des deux exigences (taille ou poids) est suffisant pour considérer un thon rouge comme étant de taille légale. </w:t>
            </w:r>
          </w:p>
          <w:p w14:paraId="2ABFA251" w14:textId="77777777" w:rsidR="00323B6D" w:rsidRPr="004271A6" w:rsidRDefault="00323B6D" w:rsidP="0093780B">
            <w:pPr>
              <w:spacing w:after="120" w:line="240" w:lineRule="auto"/>
              <w:ind w:right="45"/>
              <w:jc w:val="both"/>
              <w:rPr>
                <w:rFonts w:ascii="Cambria" w:hAnsi="Cambria"/>
                <w:sz w:val="20"/>
                <w:szCs w:val="20"/>
              </w:rPr>
            </w:pPr>
          </w:p>
          <w:p w14:paraId="76BF7BCE" w14:textId="54023D21" w:rsidR="0050098E" w:rsidRPr="004271A6" w:rsidRDefault="00CE221A" w:rsidP="0093780B">
            <w:pPr>
              <w:spacing w:after="120" w:line="240" w:lineRule="auto"/>
              <w:jc w:val="both"/>
              <w:rPr>
                <w:rFonts w:ascii="Cambria" w:hAnsi="Cambria"/>
                <w:sz w:val="20"/>
                <w:szCs w:val="20"/>
              </w:rPr>
            </w:pPr>
            <w:r w:rsidRPr="004271A6">
              <w:rPr>
                <w:rFonts w:ascii="Cambria" w:hAnsi="Cambria"/>
                <w:sz w:val="20"/>
                <w:szCs w:val="20"/>
              </w:rPr>
              <w:t xml:space="preserve">Remarque : Cette clarification implique également la modification de l'eBCD, car actuellement l'eBCD ne prend en compte que le poids. Un poisson dont le poids est inférieur au poids minimum, mais dont </w:t>
            </w:r>
            <w:r w:rsidRPr="004271A6">
              <w:rPr>
                <w:rFonts w:ascii="Cambria" w:hAnsi="Cambria"/>
                <w:sz w:val="20"/>
                <w:szCs w:val="20"/>
              </w:rPr>
              <w:lastRenderedPageBreak/>
              <w:t xml:space="preserve">la taille est supérieure à la taille minimale, ne devrait pas être considéré comme un poisson sous-taille, mais l'eBCD le considère actuellement comme tel. Ceci est important pour contrôler la tolérance de 5% en dessous de la taille minimale. </w:t>
            </w:r>
          </w:p>
        </w:tc>
      </w:tr>
      <w:tr w:rsidR="00D1459D" w:rsidRPr="004271A6" w14:paraId="371C0BBF" w14:textId="77777777" w:rsidTr="00A96F23">
        <w:tc>
          <w:tcPr>
            <w:tcW w:w="505" w:type="pct"/>
          </w:tcPr>
          <w:p w14:paraId="591A0B97" w14:textId="719E8792" w:rsidR="00D1459D" w:rsidRPr="004271A6" w:rsidRDefault="00D1459D" w:rsidP="0093780B">
            <w:pPr>
              <w:spacing w:after="120" w:line="240" w:lineRule="auto"/>
              <w:jc w:val="both"/>
              <w:rPr>
                <w:rFonts w:ascii="Cambria" w:hAnsi="Cambria"/>
                <w:sz w:val="20"/>
                <w:szCs w:val="20"/>
              </w:rPr>
            </w:pPr>
            <w:r w:rsidRPr="004271A6">
              <w:rPr>
                <w:rFonts w:ascii="Cambria" w:hAnsi="Cambria"/>
                <w:sz w:val="20"/>
                <w:szCs w:val="20"/>
              </w:rPr>
              <w:lastRenderedPageBreak/>
              <w:t xml:space="preserve">Paragraphe 170 (titre) </w:t>
            </w:r>
          </w:p>
        </w:tc>
        <w:tc>
          <w:tcPr>
            <w:tcW w:w="2381" w:type="pct"/>
          </w:tcPr>
          <w:p w14:paraId="573B8336" w14:textId="7FA17BAB" w:rsidR="00D1459D" w:rsidRPr="004271A6" w:rsidRDefault="000F11A7" w:rsidP="0093780B">
            <w:pPr>
              <w:spacing w:after="120" w:line="240" w:lineRule="auto"/>
              <w:jc w:val="both"/>
              <w:rPr>
                <w:rFonts w:ascii="Cambria" w:eastAsia="Cambria" w:hAnsi="Cambria" w:cs="Cambria"/>
                <w:bCs/>
                <w:sz w:val="20"/>
                <w:szCs w:val="20"/>
              </w:rPr>
            </w:pPr>
            <w:r w:rsidRPr="004271A6">
              <w:rPr>
                <w:rFonts w:ascii="Cambria" w:hAnsi="Cambria"/>
                <w:sz w:val="20"/>
                <w:szCs w:val="20"/>
              </w:rPr>
              <w:t xml:space="preserve">Analyse des enregistrements vidéo </w:t>
            </w:r>
            <w:r w:rsidRPr="004271A6">
              <w:rPr>
                <w:rFonts w:ascii="Cambria" w:hAnsi="Cambria"/>
                <w:b/>
                <w:bCs/>
                <w:sz w:val="20"/>
                <w:szCs w:val="20"/>
                <w:u w:val="single"/>
              </w:rPr>
              <w:t>des caméras de contrôle</w:t>
            </w:r>
            <w:r w:rsidRPr="004271A6">
              <w:rPr>
                <w:rFonts w:ascii="Cambria" w:hAnsi="Cambria"/>
                <w:sz w:val="20"/>
                <w:szCs w:val="20"/>
              </w:rPr>
              <w:t xml:space="preserve"> par l'autorité compétente de la CPC de la ferme</w:t>
            </w:r>
          </w:p>
        </w:tc>
        <w:tc>
          <w:tcPr>
            <w:tcW w:w="2114" w:type="pct"/>
          </w:tcPr>
          <w:p w14:paraId="212582EA" w14:textId="4CAA919A" w:rsidR="00D1459D" w:rsidRPr="004271A6" w:rsidRDefault="00D1459D" w:rsidP="0093780B">
            <w:pPr>
              <w:spacing w:after="120" w:line="240" w:lineRule="auto"/>
              <w:jc w:val="both"/>
              <w:rPr>
                <w:rFonts w:ascii="Cambria" w:hAnsi="Cambria"/>
                <w:sz w:val="20"/>
                <w:szCs w:val="20"/>
              </w:rPr>
            </w:pPr>
            <w:r w:rsidRPr="004271A6">
              <w:rPr>
                <w:rFonts w:ascii="Cambria" w:hAnsi="Cambria"/>
                <w:sz w:val="20"/>
                <w:szCs w:val="20"/>
              </w:rPr>
              <w:t xml:space="preserve">Le nombre de thons rouges mis en cage peut être déterminé au moyen d'une caméra conventionnelle ou stéréoscopique. Dans certains cas, en raison de la distance jusqu’au port, la caméra stéréoscopique ne permet pas de filmer tous les poissons qui pénètrent dans la cage, contrairement aux caméras vidéo classiques. </w:t>
            </w:r>
          </w:p>
        </w:tc>
      </w:tr>
      <w:tr w:rsidR="00D1459D" w:rsidRPr="004271A6" w14:paraId="2447DE3F" w14:textId="77777777" w:rsidTr="00A96F23">
        <w:tc>
          <w:tcPr>
            <w:tcW w:w="505" w:type="pct"/>
          </w:tcPr>
          <w:p w14:paraId="49FB75D4" w14:textId="70A22DE6" w:rsidR="00D1459D" w:rsidRPr="004271A6" w:rsidRDefault="008A67EF" w:rsidP="0093780B">
            <w:pPr>
              <w:spacing w:after="120" w:line="240" w:lineRule="auto"/>
              <w:jc w:val="both"/>
              <w:rPr>
                <w:rFonts w:ascii="Cambria" w:hAnsi="Cambria"/>
                <w:sz w:val="20"/>
                <w:szCs w:val="20"/>
              </w:rPr>
            </w:pPr>
            <w:r w:rsidRPr="004271A6">
              <w:rPr>
                <w:rFonts w:ascii="Cambria" w:hAnsi="Cambria"/>
                <w:sz w:val="20"/>
                <w:szCs w:val="20"/>
              </w:rPr>
              <w:t>Paragraphe 210a</w:t>
            </w:r>
          </w:p>
        </w:tc>
        <w:tc>
          <w:tcPr>
            <w:tcW w:w="2381" w:type="pct"/>
          </w:tcPr>
          <w:p w14:paraId="4EE41EE1" w14:textId="64BEC60B" w:rsidR="00D1459D" w:rsidRPr="004271A6" w:rsidRDefault="008A67EF" w:rsidP="00CE038A">
            <w:pPr>
              <w:spacing w:after="120" w:line="240" w:lineRule="auto"/>
              <w:jc w:val="both"/>
              <w:rPr>
                <w:rFonts w:ascii="Cambria" w:hAnsi="Cambria"/>
                <w:b/>
                <w:bCs/>
                <w:sz w:val="20"/>
                <w:szCs w:val="20"/>
                <w:u w:val="single"/>
              </w:rPr>
            </w:pPr>
            <w:r w:rsidRPr="004271A6">
              <w:rPr>
                <w:rFonts w:ascii="Cambria" w:hAnsi="Cambria"/>
                <w:b/>
                <w:sz w:val="20"/>
                <w:szCs w:val="20"/>
                <w:u w:val="single"/>
              </w:rPr>
              <w:t>En cas de turbidité persistante dans la zone de la ferme, l'autorité compétente de la CPC de la ferme peut autoriser que le contrôle du transfert soit effectué à l'extérieur de la ferme, dans une zone adjacente offrant une visibilité suffisante. Les CPC devront documenter les résultats des mesures de turbidité conformément aux méthodes standardisées.</w:t>
            </w:r>
          </w:p>
        </w:tc>
        <w:tc>
          <w:tcPr>
            <w:tcW w:w="2114" w:type="pct"/>
          </w:tcPr>
          <w:p w14:paraId="208187EA" w14:textId="5AFC9E36" w:rsidR="00D1459D" w:rsidRPr="004271A6" w:rsidRDefault="006D5593" w:rsidP="0093780B">
            <w:pPr>
              <w:spacing w:after="120" w:line="240" w:lineRule="auto"/>
              <w:jc w:val="both"/>
              <w:rPr>
                <w:rFonts w:ascii="Cambria" w:hAnsi="Cambria"/>
                <w:sz w:val="20"/>
                <w:szCs w:val="20"/>
              </w:rPr>
            </w:pPr>
            <w:r w:rsidRPr="004271A6">
              <w:rPr>
                <w:rFonts w:ascii="Cambria" w:hAnsi="Cambria"/>
                <w:sz w:val="20"/>
                <w:szCs w:val="20"/>
              </w:rPr>
              <w:t>La turbidité doit également être prise en compte lorsqu'il existe un obstacle au respect d'autres obligations que les procédures de mise en cage (paragraphe 164), notamment pour la détermination du report conformément au paragraphe 203. Le paragraphe 203 fixe un délai précis pour la déclaration du report ; il est donc indispensable de prévoir des mesures spécifiques pour remédier à ce problème.</w:t>
            </w:r>
          </w:p>
        </w:tc>
      </w:tr>
      <w:tr w:rsidR="00D1459D" w:rsidRPr="004271A6" w14:paraId="0ABB1272" w14:textId="77777777" w:rsidTr="00A96F23">
        <w:tc>
          <w:tcPr>
            <w:tcW w:w="505" w:type="pct"/>
          </w:tcPr>
          <w:p w14:paraId="7425E03D" w14:textId="09178F0B" w:rsidR="00D1459D" w:rsidRPr="004271A6" w:rsidRDefault="00F12AD4" w:rsidP="0093780B">
            <w:pPr>
              <w:spacing w:after="120" w:line="240" w:lineRule="auto"/>
              <w:jc w:val="both"/>
              <w:rPr>
                <w:rFonts w:ascii="Cambria" w:hAnsi="Cambria"/>
                <w:sz w:val="20"/>
                <w:szCs w:val="20"/>
              </w:rPr>
            </w:pPr>
            <w:r w:rsidRPr="004271A6">
              <w:rPr>
                <w:rFonts w:ascii="Cambria" w:hAnsi="Cambria"/>
                <w:sz w:val="20"/>
                <w:szCs w:val="20"/>
              </w:rPr>
              <w:t>Annexe 2 - A - Paragraphe 2</w:t>
            </w:r>
          </w:p>
        </w:tc>
        <w:tc>
          <w:tcPr>
            <w:tcW w:w="2381" w:type="pct"/>
          </w:tcPr>
          <w:p w14:paraId="6C187DB1" w14:textId="541DBA1B" w:rsidR="00D1459D" w:rsidRPr="004271A6" w:rsidRDefault="00F12AD4" w:rsidP="0093780B">
            <w:pPr>
              <w:spacing w:after="120" w:line="240" w:lineRule="auto"/>
              <w:jc w:val="both"/>
              <w:rPr>
                <w:rFonts w:ascii="Cambria" w:hAnsi="Cambria"/>
                <w:sz w:val="20"/>
                <w:szCs w:val="20"/>
              </w:rPr>
            </w:pPr>
            <w:r w:rsidRPr="004271A6">
              <w:rPr>
                <w:rFonts w:ascii="Cambria" w:hAnsi="Cambria"/>
                <w:sz w:val="20"/>
                <w:szCs w:val="20"/>
              </w:rPr>
              <w:t xml:space="preserve">Le carnet de pêche doit être rempli chaque jour (avant minuit) ou avant l'arrivée au port. </w:t>
            </w:r>
            <w:r w:rsidRPr="004271A6">
              <w:rPr>
                <w:rFonts w:ascii="Cambria" w:hAnsi="Cambria"/>
                <w:b/>
                <w:sz w:val="20"/>
                <w:szCs w:val="20"/>
                <w:u w:val="single"/>
              </w:rPr>
              <w:t>Les montants relatifs au poids et au nombre de poissons peuvent être modifiés après l’analyse des images vidéo du premier transfert et avant l'arrivée au port.</w:t>
            </w:r>
          </w:p>
        </w:tc>
        <w:tc>
          <w:tcPr>
            <w:tcW w:w="2114" w:type="pct"/>
          </w:tcPr>
          <w:p w14:paraId="029AE11F" w14:textId="3DD1BEE5" w:rsidR="00D1459D" w:rsidRPr="004271A6" w:rsidRDefault="002F3CB0" w:rsidP="0093780B">
            <w:pPr>
              <w:spacing w:after="120" w:line="240" w:lineRule="auto"/>
              <w:jc w:val="both"/>
              <w:rPr>
                <w:rFonts w:ascii="Cambria" w:hAnsi="Cambria"/>
                <w:sz w:val="20"/>
                <w:szCs w:val="20"/>
              </w:rPr>
            </w:pPr>
            <w:r w:rsidRPr="004271A6">
              <w:rPr>
                <w:rFonts w:ascii="Cambria" w:hAnsi="Cambria"/>
                <w:sz w:val="20"/>
                <w:szCs w:val="20"/>
              </w:rPr>
              <w:t>Des PNC ont été émis en raison du non-respect des délais de déclaration des informations consignées dans le carnet de pêche. Pour éviter cette situation, il convient de noter que les chiffres estimés transmis avant minuit peuvent être modifiés après l'analyse des images vidéo.</w:t>
            </w:r>
          </w:p>
        </w:tc>
      </w:tr>
      <w:tr w:rsidR="00F12AD4" w:rsidRPr="004271A6" w14:paraId="247B6CB0" w14:textId="77777777" w:rsidTr="00A96F23">
        <w:tc>
          <w:tcPr>
            <w:tcW w:w="505" w:type="pct"/>
          </w:tcPr>
          <w:p w14:paraId="557220D7" w14:textId="00177407" w:rsidR="00F12AD4" w:rsidRPr="004271A6" w:rsidRDefault="00490728" w:rsidP="0093780B">
            <w:pPr>
              <w:spacing w:after="120" w:line="240" w:lineRule="auto"/>
              <w:jc w:val="both"/>
              <w:rPr>
                <w:rFonts w:ascii="Cambria" w:hAnsi="Cambria"/>
                <w:sz w:val="20"/>
                <w:szCs w:val="20"/>
              </w:rPr>
            </w:pPr>
            <w:r w:rsidRPr="004271A6">
              <w:rPr>
                <w:rFonts w:ascii="Cambria" w:hAnsi="Cambria"/>
                <w:sz w:val="20"/>
                <w:szCs w:val="20"/>
              </w:rPr>
              <w:t>Annexe 6 – Tâches du ROP – Paragraphe xxii</w:t>
            </w:r>
          </w:p>
        </w:tc>
        <w:tc>
          <w:tcPr>
            <w:tcW w:w="2381" w:type="pct"/>
          </w:tcPr>
          <w:p w14:paraId="1662BC5D" w14:textId="1D6264FD" w:rsidR="00463B0D" w:rsidRPr="004271A6" w:rsidRDefault="00490728" w:rsidP="00906765">
            <w:pPr>
              <w:spacing w:after="120" w:line="240" w:lineRule="auto"/>
              <w:jc w:val="both"/>
              <w:rPr>
                <w:rFonts w:ascii="Cambria" w:hAnsi="Cambria"/>
                <w:sz w:val="20"/>
                <w:szCs w:val="20"/>
              </w:rPr>
            </w:pPr>
            <w:r w:rsidRPr="004271A6">
              <w:rPr>
                <w:rFonts w:ascii="Cambria" w:hAnsi="Cambria"/>
                <w:sz w:val="20"/>
                <w:szCs w:val="20"/>
              </w:rPr>
              <w:t xml:space="preserve">en ce qui concerne les libérations après la mise en cage, observer et rendre compte de la séparation préalable des poissons </w:t>
            </w:r>
            <w:r w:rsidRPr="004271A6">
              <w:rPr>
                <w:rFonts w:ascii="Cambria" w:hAnsi="Cambria"/>
                <w:b/>
                <w:bCs/>
                <w:sz w:val="20"/>
                <w:szCs w:val="20"/>
                <w:u w:val="single"/>
              </w:rPr>
              <w:t>et de l'opération de libération qui s'ensuit</w:t>
            </w:r>
            <w:r w:rsidRPr="004271A6">
              <w:rPr>
                <w:rFonts w:ascii="Cambria" w:hAnsi="Cambria"/>
                <w:sz w:val="20"/>
                <w:szCs w:val="20"/>
              </w:rPr>
              <w:t>, conformément au protocole de libération figurant à l'annexe 10, y compris vérifier que la qualité de l'enregistrement vidéo de la séparation préalable satisfait aux normes minimales de l'annexe 8 et estimer le nombre de poissons libérés ;</w:t>
            </w:r>
          </w:p>
        </w:tc>
        <w:tc>
          <w:tcPr>
            <w:tcW w:w="2114" w:type="pct"/>
          </w:tcPr>
          <w:p w14:paraId="64E0F09C" w14:textId="2A28CF09" w:rsidR="00F12AD4" w:rsidRPr="004271A6" w:rsidRDefault="001A3DFE" w:rsidP="0093780B">
            <w:pPr>
              <w:spacing w:after="120" w:line="240" w:lineRule="auto"/>
              <w:jc w:val="both"/>
              <w:rPr>
                <w:rFonts w:ascii="Cambria" w:hAnsi="Cambria"/>
                <w:sz w:val="20"/>
                <w:szCs w:val="20"/>
              </w:rPr>
            </w:pPr>
            <w:r w:rsidRPr="004271A6">
              <w:rPr>
                <w:rFonts w:ascii="Cambria" w:hAnsi="Cambria"/>
                <w:sz w:val="20"/>
                <w:szCs w:val="20"/>
              </w:rPr>
              <w:t>Nous tenons à préciser que l'estimation du nombre de poissons correspond à la quantité qui a été mise de côté avant la remise à l'eau.</w:t>
            </w:r>
          </w:p>
        </w:tc>
      </w:tr>
      <w:tr w:rsidR="00F12AD4" w:rsidRPr="004271A6" w14:paraId="61014FCF" w14:textId="77777777" w:rsidTr="00A96F23">
        <w:tc>
          <w:tcPr>
            <w:tcW w:w="505" w:type="pct"/>
          </w:tcPr>
          <w:p w14:paraId="0CC14170" w14:textId="26A270DF" w:rsidR="00F12AD4" w:rsidRPr="004271A6" w:rsidRDefault="00F40647" w:rsidP="0093780B">
            <w:pPr>
              <w:spacing w:after="120" w:line="240" w:lineRule="auto"/>
              <w:jc w:val="both"/>
              <w:rPr>
                <w:rFonts w:ascii="Cambria" w:hAnsi="Cambria"/>
                <w:sz w:val="20"/>
                <w:szCs w:val="20"/>
              </w:rPr>
            </w:pPr>
            <w:r w:rsidRPr="004271A6">
              <w:rPr>
                <w:rFonts w:ascii="Cambria" w:hAnsi="Cambria"/>
                <w:sz w:val="20"/>
                <w:szCs w:val="20"/>
              </w:rPr>
              <w:t>Annexe 8 – paragraphe 1.a)</w:t>
            </w:r>
          </w:p>
        </w:tc>
        <w:tc>
          <w:tcPr>
            <w:tcW w:w="2381" w:type="pct"/>
          </w:tcPr>
          <w:p w14:paraId="6CF80AD9" w14:textId="0A883BCB" w:rsidR="00F12AD4" w:rsidRPr="004271A6" w:rsidRDefault="00830AF0" w:rsidP="0093780B">
            <w:pPr>
              <w:spacing w:after="120" w:line="240" w:lineRule="auto"/>
              <w:jc w:val="both"/>
              <w:rPr>
                <w:rFonts w:ascii="Cambria" w:hAnsi="Cambria"/>
                <w:sz w:val="20"/>
                <w:szCs w:val="20"/>
              </w:rPr>
            </w:pPr>
            <w:r w:rsidRPr="004271A6">
              <w:rPr>
                <w:rFonts w:ascii="Cambria" w:hAnsi="Cambria"/>
                <w:sz w:val="20"/>
                <w:szCs w:val="20"/>
              </w:rPr>
              <w:t xml:space="preserve">Le numéro ICCAT de l’autorisation de transfert ou de mise en cage ou de l’ordre de libération et </w:t>
            </w:r>
            <w:r w:rsidRPr="004271A6">
              <w:rPr>
                <w:rFonts w:ascii="Cambria" w:hAnsi="Cambria"/>
                <w:b/>
                <w:bCs/>
                <w:sz w:val="20"/>
                <w:szCs w:val="20"/>
                <w:u w:val="single"/>
              </w:rPr>
              <w:t xml:space="preserve"> les numéros des cages réceptrice et donatrice</w:t>
            </w:r>
            <w:r w:rsidRPr="004271A6">
              <w:rPr>
                <w:rFonts w:ascii="Cambria" w:hAnsi="Cambria"/>
                <w:sz w:val="20"/>
                <w:szCs w:val="20"/>
              </w:rPr>
              <w:t xml:space="preserve"> (conformément à ce qui est indiqué dans la déclaration de transfert – ITD) devront être affichés au début et/ou à la fin de chaque vidéo, selon ce qui est demandé ; </w:t>
            </w:r>
          </w:p>
        </w:tc>
        <w:tc>
          <w:tcPr>
            <w:tcW w:w="2114" w:type="pct"/>
          </w:tcPr>
          <w:p w14:paraId="02C52AA3" w14:textId="5C7B5997" w:rsidR="00F12AD4" w:rsidRPr="004271A6" w:rsidRDefault="000C11E5" w:rsidP="0093780B">
            <w:pPr>
              <w:spacing w:after="120" w:line="240" w:lineRule="auto"/>
              <w:jc w:val="both"/>
              <w:rPr>
                <w:rFonts w:ascii="Cambria" w:hAnsi="Cambria"/>
                <w:sz w:val="20"/>
                <w:szCs w:val="20"/>
              </w:rPr>
            </w:pPr>
            <w:r w:rsidRPr="004271A6">
              <w:rPr>
                <w:rFonts w:ascii="Cambria" w:hAnsi="Cambria"/>
                <w:sz w:val="20"/>
                <w:szCs w:val="20"/>
              </w:rPr>
              <w:t xml:space="preserve">On ne sait pas clairement si le nombre de cages utilisées lors d'une opération de mise en cage devrait être identifiable sur les images vidéo. Nous croyons comprendre que l'objectif est de pouvoir identifier sans équivoque, à tout moment, l'enregistrement vidéo correspondant à l'opération en question. Afin de garantir la </w:t>
            </w:r>
            <w:r w:rsidRPr="004271A6">
              <w:rPr>
                <w:rFonts w:ascii="Cambria" w:hAnsi="Cambria"/>
                <w:sz w:val="20"/>
                <w:szCs w:val="20"/>
              </w:rPr>
              <w:lastRenderedPageBreak/>
              <w:t>cohérence des transferts, les deux cages (donatrice et réceptrice) doivent être identifiables sur les images vidéo.</w:t>
            </w:r>
          </w:p>
        </w:tc>
      </w:tr>
      <w:tr w:rsidR="00F12AD4" w:rsidRPr="004271A6" w14:paraId="7294FFD0" w14:textId="77777777" w:rsidTr="00AB4E05">
        <w:trPr>
          <w:trHeight w:val="1880"/>
        </w:trPr>
        <w:tc>
          <w:tcPr>
            <w:tcW w:w="505" w:type="pct"/>
          </w:tcPr>
          <w:p w14:paraId="76EA27BB" w14:textId="59B785B3" w:rsidR="00F12AD4" w:rsidRPr="004271A6" w:rsidRDefault="000C11E5" w:rsidP="0093780B">
            <w:pPr>
              <w:spacing w:after="120" w:line="240" w:lineRule="auto"/>
              <w:jc w:val="both"/>
              <w:rPr>
                <w:rFonts w:ascii="Cambria" w:hAnsi="Cambria"/>
                <w:sz w:val="20"/>
                <w:szCs w:val="20"/>
              </w:rPr>
            </w:pPr>
            <w:r w:rsidRPr="004271A6">
              <w:rPr>
                <w:rFonts w:ascii="Cambria" w:hAnsi="Cambria"/>
                <w:sz w:val="20"/>
                <w:szCs w:val="20"/>
              </w:rPr>
              <w:lastRenderedPageBreak/>
              <w:t>Annexe 10 – Paragraphe 9 et paragraphe 9 a (nouveau)</w:t>
            </w:r>
          </w:p>
        </w:tc>
        <w:tc>
          <w:tcPr>
            <w:tcW w:w="2381" w:type="pct"/>
          </w:tcPr>
          <w:p w14:paraId="5A7BDA3B" w14:textId="1F115F93" w:rsidR="00F12AD4" w:rsidRPr="004271A6" w:rsidRDefault="000C11E5" w:rsidP="00A8091B">
            <w:pPr>
              <w:spacing w:after="120" w:line="240" w:lineRule="auto"/>
              <w:jc w:val="both"/>
              <w:rPr>
                <w:rFonts w:ascii="Cambria" w:eastAsia="Cambria" w:hAnsi="Cambria" w:cs="Times New Roman"/>
                <w:sz w:val="20"/>
                <w:szCs w:val="20"/>
              </w:rPr>
            </w:pPr>
            <w:r w:rsidRPr="004271A6">
              <w:rPr>
                <w:rFonts w:ascii="Cambria" w:hAnsi="Cambria"/>
                <w:sz w:val="20"/>
                <w:szCs w:val="20"/>
              </w:rPr>
              <w:t xml:space="preserve">9. Les opérations de libération à partir de fermes </w:t>
            </w:r>
            <w:r w:rsidRPr="004271A6">
              <w:rPr>
                <w:rFonts w:ascii="Cambria" w:hAnsi="Cambria"/>
                <w:b/>
                <w:bCs/>
                <w:sz w:val="20"/>
                <w:szCs w:val="20"/>
                <w:u w:val="single"/>
              </w:rPr>
              <w:t>visées au paragraphe 2, point a), de la présente annexe</w:t>
            </w:r>
            <w:r w:rsidRPr="004271A6">
              <w:rPr>
                <w:rFonts w:ascii="Cambria" w:hAnsi="Cambria"/>
                <w:sz w:val="20"/>
                <w:szCs w:val="20"/>
              </w:rPr>
              <w:t xml:space="preserve"> doivent être effectuées dans les 3 mois suivant la dernière opération de mise en cage des poissons concernés.</w:t>
            </w:r>
          </w:p>
          <w:p w14:paraId="10032932" w14:textId="0F8BB392" w:rsidR="000C11E5" w:rsidRPr="004271A6" w:rsidRDefault="0013051C" w:rsidP="00A8091B">
            <w:pPr>
              <w:spacing w:after="120" w:line="240" w:lineRule="auto"/>
              <w:jc w:val="both"/>
              <w:rPr>
                <w:rFonts w:ascii="Cambria" w:eastAsia="Cambria" w:hAnsi="Cambria" w:cs="Times New Roman"/>
                <w:sz w:val="20"/>
                <w:szCs w:val="20"/>
              </w:rPr>
            </w:pPr>
            <w:r w:rsidRPr="004271A6">
              <w:rPr>
                <w:rFonts w:ascii="Cambria" w:hAnsi="Cambria"/>
                <w:b/>
                <w:sz w:val="20"/>
                <w:szCs w:val="20"/>
                <w:u w:val="single"/>
              </w:rPr>
              <w:t xml:space="preserve">9a. </w:t>
            </w:r>
            <w:r w:rsidRPr="004271A6">
              <w:rPr>
                <w:rFonts w:ascii="Cambria" w:hAnsi="Cambria"/>
                <w:b/>
                <w:bCs/>
                <w:sz w:val="20"/>
                <w:szCs w:val="20"/>
                <w:u w:val="single"/>
              </w:rPr>
              <w:t>Les opérations de libération à partir des fermes visées au paragraphe 2 de la présente annexe doivent être effectuées</w:t>
            </w:r>
            <w:r w:rsidRPr="004271A6">
              <w:rPr>
                <w:rFonts w:ascii="Cambria" w:hAnsi="Cambria"/>
                <w:sz w:val="20"/>
                <w:szCs w:val="20"/>
              </w:rPr>
              <w:t xml:space="preserve"> à une distance minimale de 10 miles de la ferme. . Pour les libérations de moins de 5 tonnes de thon rouge, l'autorité compétente de la CPC de la ferme peut fixer une distance plus courte, d'au moins 5 miles, pour la libération</w:t>
            </w:r>
          </w:p>
        </w:tc>
        <w:tc>
          <w:tcPr>
            <w:tcW w:w="2114" w:type="pct"/>
          </w:tcPr>
          <w:p w14:paraId="362276FB" w14:textId="77777777" w:rsidR="000C11E5" w:rsidRPr="004271A6" w:rsidRDefault="000C11E5" w:rsidP="0093780B">
            <w:pPr>
              <w:spacing w:after="120" w:line="240" w:lineRule="auto"/>
              <w:jc w:val="both"/>
              <w:rPr>
                <w:rFonts w:ascii="Cambria" w:hAnsi="Cambria"/>
                <w:sz w:val="20"/>
                <w:szCs w:val="20"/>
              </w:rPr>
            </w:pPr>
            <w:r w:rsidRPr="004271A6">
              <w:rPr>
                <w:rFonts w:ascii="Cambria" w:hAnsi="Cambria"/>
                <w:sz w:val="20"/>
                <w:szCs w:val="20"/>
              </w:rPr>
              <w:t xml:space="preserve">Nous comprenons que le moment de la libération prévu dans ce paragraphe ne s'applique qu'aux cas où le poids mis en cage dépasse le poids capturé déclaré par l'opérateur. </w:t>
            </w:r>
          </w:p>
          <w:p w14:paraId="64502B2B" w14:textId="76EB6390" w:rsidR="00F12AD4" w:rsidRPr="004271A6" w:rsidRDefault="000C11E5" w:rsidP="00AB4E05">
            <w:pPr>
              <w:spacing w:line="240" w:lineRule="auto"/>
              <w:jc w:val="both"/>
              <w:rPr>
                <w:rFonts w:ascii="Cambria" w:hAnsi="Cambria"/>
                <w:sz w:val="20"/>
                <w:szCs w:val="20"/>
              </w:rPr>
            </w:pPr>
            <w:r w:rsidRPr="004271A6">
              <w:rPr>
                <w:rFonts w:ascii="Cambria" w:hAnsi="Cambria"/>
                <w:sz w:val="20"/>
                <w:szCs w:val="20"/>
              </w:rPr>
              <w:t>Nous estimons également qu'il convient de préciser que la distance minimale obligatoire fixée au paragraphe 9 devra s'appliquer aux opérations de remise à l’eau visées aussi bien au paragraphe 2 a) qu’au paragraphe 2 b). Sinon, on pourrait comprendre que cette distance ne s'applique qu'aux libérations effectuées après la mise en cage.</w:t>
            </w:r>
          </w:p>
        </w:tc>
      </w:tr>
    </w:tbl>
    <w:p w14:paraId="5A9ECD96" w14:textId="328EB449" w:rsidR="004E6CBB" w:rsidRPr="004271A6" w:rsidRDefault="004E6CBB" w:rsidP="00171585">
      <w:pPr>
        <w:spacing w:after="120" w:line="240" w:lineRule="auto"/>
        <w:jc w:val="both"/>
        <w:rPr>
          <w:rFonts w:ascii="Cambria" w:hAnsi="Cambria"/>
          <w:sz w:val="20"/>
          <w:szCs w:val="20"/>
        </w:rPr>
      </w:pPr>
    </w:p>
    <w:sectPr w:rsidR="004E6CBB" w:rsidRPr="004271A6" w:rsidSect="0050098E">
      <w:pgSz w:w="16838" w:h="11906" w:orient="landscape" w:code="9"/>
      <w:pgMar w:top="1418" w:right="1418" w:bottom="1418" w:left="1418" w:header="851" w:footer="11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90FD6" w14:textId="77777777" w:rsidR="00542766" w:rsidRDefault="00542766" w:rsidP="005A3F06">
      <w:pPr>
        <w:spacing w:after="0" w:line="240" w:lineRule="auto"/>
      </w:pPr>
      <w:r>
        <w:separator/>
      </w:r>
    </w:p>
  </w:endnote>
  <w:endnote w:type="continuationSeparator" w:id="0">
    <w:p w14:paraId="4CA04BBE" w14:textId="77777777" w:rsidR="00542766" w:rsidRDefault="00542766" w:rsidP="005A3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83EF" w14:textId="77777777" w:rsidR="009D4C02" w:rsidRDefault="009D4C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303D" w14:textId="77777777" w:rsidR="004B3826" w:rsidRPr="00B4102F" w:rsidRDefault="004B3826" w:rsidP="00040997">
    <w:pPr>
      <w:tabs>
        <w:tab w:val="center" w:pos="4535"/>
        <w:tab w:val="center" w:pos="4680"/>
        <w:tab w:val="left" w:pos="6150"/>
        <w:tab w:val="right" w:pos="9360"/>
      </w:tabs>
      <w:spacing w:after="0" w:line="240" w:lineRule="auto"/>
      <w:jc w:val="center"/>
      <w:rPr>
        <w:rFonts w:ascii="Cambria" w:eastAsia="Times New Roman" w:hAnsi="Cambria"/>
        <w:kern w:val="0"/>
        <w:sz w:val="20"/>
      </w:rPr>
    </w:pPr>
    <w:r w:rsidRPr="00B4102F">
      <w:rPr>
        <w:rFonts w:ascii="Cambria" w:eastAsia="Times New Roman" w:hAnsi="Cambria"/>
        <w:sz w:val="20"/>
      </w:rPr>
      <w:fldChar w:fldCharType="begin"/>
    </w:r>
    <w:r w:rsidRPr="00B4102F">
      <w:rPr>
        <w:rFonts w:ascii="Cambria" w:eastAsia="Times New Roman" w:hAnsi="Cambria"/>
        <w:sz w:val="20"/>
      </w:rPr>
      <w:instrText xml:space="preserve"> PAGE </w:instrText>
    </w:r>
    <w:r w:rsidRPr="00B4102F">
      <w:rPr>
        <w:rFonts w:ascii="Cambria" w:eastAsia="Times New Roman" w:hAnsi="Cambria"/>
        <w:sz w:val="20"/>
      </w:rPr>
      <w:fldChar w:fldCharType="separate"/>
    </w:r>
    <w:r>
      <w:rPr>
        <w:rFonts w:ascii="Cambria" w:hAnsi="Cambria"/>
        <w:sz w:val="20"/>
      </w:rPr>
      <w:t>1</w:t>
    </w:r>
    <w:r w:rsidRPr="00B4102F">
      <w:rPr>
        <w:rFonts w:ascii="Cambria" w:eastAsia="Times New Roman" w:hAnsi="Cambria"/>
        <w:sz w:val="20"/>
      </w:rPr>
      <w:fldChar w:fldCharType="end"/>
    </w:r>
    <w:r>
      <w:rPr>
        <w:rFonts w:ascii="Cambria" w:hAnsi="Cambria"/>
        <w:sz w:val="20"/>
      </w:rPr>
      <w:t xml:space="preserve"> / </w:t>
    </w:r>
    <w:r w:rsidRPr="00B4102F">
      <w:rPr>
        <w:rFonts w:ascii="Cambria" w:eastAsia="Times New Roman" w:hAnsi="Cambria"/>
        <w:sz w:val="20"/>
      </w:rPr>
      <w:fldChar w:fldCharType="begin"/>
    </w:r>
    <w:r w:rsidRPr="00B4102F">
      <w:rPr>
        <w:rFonts w:ascii="Cambria" w:eastAsia="Times New Roman" w:hAnsi="Cambria"/>
        <w:sz w:val="20"/>
      </w:rPr>
      <w:instrText xml:space="preserve"> NUMPAGES  </w:instrText>
    </w:r>
    <w:r w:rsidRPr="00B4102F">
      <w:rPr>
        <w:rFonts w:ascii="Cambria" w:eastAsia="Times New Roman" w:hAnsi="Cambria"/>
        <w:sz w:val="20"/>
      </w:rPr>
      <w:fldChar w:fldCharType="separate"/>
    </w:r>
    <w:r>
      <w:rPr>
        <w:rFonts w:ascii="Cambria" w:hAnsi="Cambria"/>
        <w:sz w:val="20"/>
      </w:rPr>
      <w:t>2</w:t>
    </w:r>
    <w:r w:rsidRPr="00B4102F">
      <w:rPr>
        <w:rFonts w:ascii="Cambria" w:eastAsia="Times New Roman" w:hAnsi="Cambria"/>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DCCA" w14:textId="77777777" w:rsidR="009D4C02" w:rsidRDefault="009D4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082FC" w14:textId="77777777" w:rsidR="00542766" w:rsidRDefault="00542766" w:rsidP="005A3F06">
      <w:pPr>
        <w:spacing w:after="0" w:line="240" w:lineRule="auto"/>
      </w:pPr>
      <w:r>
        <w:separator/>
      </w:r>
    </w:p>
  </w:footnote>
  <w:footnote w:type="continuationSeparator" w:id="0">
    <w:p w14:paraId="7777E6D8" w14:textId="77777777" w:rsidR="00542766" w:rsidRDefault="00542766" w:rsidP="005A3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9A8A" w14:textId="77777777" w:rsidR="009D4C02" w:rsidRDefault="009D4C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5188" w14:textId="293C2672" w:rsidR="00665CDE" w:rsidRPr="00665CDE" w:rsidRDefault="00665CDE" w:rsidP="00665CDE">
    <w:pPr>
      <w:widowControl w:val="0"/>
      <w:tabs>
        <w:tab w:val="center" w:pos="4680"/>
        <w:tab w:val="left" w:pos="6520"/>
        <w:tab w:val="right" w:pos="9360"/>
        <w:tab w:val="right" w:pos="14240"/>
      </w:tabs>
      <w:autoSpaceDE w:val="0"/>
      <w:autoSpaceDN w:val="0"/>
      <w:spacing w:after="0" w:line="240" w:lineRule="auto"/>
      <w:jc w:val="right"/>
      <w:rPr>
        <w:rFonts w:ascii="Cambria" w:hAnsi="Cambria" w:cs="Cambria"/>
        <w:b/>
        <w:bCs/>
        <w:color w:val="auto"/>
        <w:kern w:val="0"/>
        <w:sz w:val="20"/>
        <w:szCs w:val="20"/>
        <w14:ligatures w14:val="none"/>
      </w:rPr>
    </w:pPr>
    <w:r>
      <w:rPr>
        <w:rFonts w:ascii="Cambria" w:hAnsi="Cambria"/>
        <w:b/>
        <w:color w:val="auto"/>
        <w:sz w:val="20"/>
      </w:rPr>
      <w:t>PWG_422/2026</w:t>
    </w:r>
  </w:p>
  <w:p w14:paraId="1FDBAA71" w14:textId="4B7A8E9F" w:rsidR="005A3F06" w:rsidRPr="00665CDE" w:rsidRDefault="00665CDE" w:rsidP="00665CDE">
    <w:pPr>
      <w:widowControl w:val="0"/>
      <w:tabs>
        <w:tab w:val="left" w:pos="7320"/>
      </w:tabs>
      <w:autoSpaceDE w:val="0"/>
      <w:autoSpaceDN w:val="0"/>
      <w:spacing w:after="0" w:line="240" w:lineRule="exact"/>
      <w:jc w:val="right"/>
      <w:rPr>
        <w:rFonts w:ascii="Aptos" w:eastAsia="MS Mincho" w:hAnsi="Aptos" w:cs="Arial"/>
        <w:color w:val="auto"/>
        <w:kern w:val="0"/>
        <w:sz w:val="24"/>
        <w14:ligatures w14:val="none"/>
      </w:rPr>
    </w:pPr>
    <w:r w:rsidRPr="00665CDE">
      <w:rPr>
        <w:rFonts w:ascii="Cambria" w:eastAsia="Cambria" w:hAnsi="Cambria" w:cs="Cambria"/>
        <w:b/>
        <w:color w:val="auto"/>
        <w:sz w:val="16"/>
      </w:rPr>
      <w:fldChar w:fldCharType="begin"/>
    </w:r>
    <w:r w:rsidRPr="00665CDE">
      <w:rPr>
        <w:rFonts w:ascii="Cambria" w:eastAsia="Cambria" w:hAnsi="Cambria" w:cs="Cambria"/>
        <w:b/>
        <w:color w:val="auto"/>
        <w:sz w:val="16"/>
      </w:rPr>
      <w:instrText xml:space="preserve"> TIME \@ "dd/MM/yyyy H:mm" </w:instrText>
    </w:r>
    <w:r w:rsidRPr="00665CDE">
      <w:rPr>
        <w:rFonts w:ascii="Cambria" w:eastAsia="Cambria" w:hAnsi="Cambria" w:cs="Cambria"/>
        <w:b/>
        <w:color w:val="auto"/>
        <w:sz w:val="16"/>
      </w:rPr>
      <w:fldChar w:fldCharType="separate"/>
    </w:r>
    <w:r w:rsidR="00525558">
      <w:rPr>
        <w:rFonts w:ascii="Cambria" w:eastAsia="Cambria" w:hAnsi="Cambria" w:cs="Cambria"/>
        <w:b/>
        <w:noProof/>
        <w:color w:val="auto"/>
        <w:sz w:val="16"/>
      </w:rPr>
      <w:t>27/10/2026 16:08</w:t>
    </w:r>
    <w:r w:rsidRPr="00665CDE">
      <w:rPr>
        <w:rFonts w:ascii="Cambria" w:eastAsia="Cambria" w:hAnsi="Cambria" w:cs="Cambria"/>
        <w:b/>
        <w:bCs/>
        <w:color w:val="auto"/>
        <w:kern w:val="0"/>
        <w:sz w:val="16"/>
        <w:szCs w:val="16"/>
        <w:lang w:val="es-ES_tradnl" w:eastAsia="en-US"/>
        <w14:ligatures w14:val="none"/>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164" w14:textId="77777777" w:rsidR="009D4C02" w:rsidRDefault="009D4C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4F59"/>
    <w:multiLevelType w:val="hybridMultilevel"/>
    <w:tmpl w:val="565EAD4E"/>
    <w:lvl w:ilvl="0" w:tplc="17268F2C">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2F1B3B"/>
    <w:multiLevelType w:val="multilevel"/>
    <w:tmpl w:val="B37E94BE"/>
    <w:lvl w:ilvl="0">
      <w:start w:val="1"/>
      <w:numFmt w:val="lowerLetter"/>
      <w:lvlText w:val="%1)"/>
      <w:lvlJc w:val="left"/>
      <w:pPr>
        <w:tabs>
          <w:tab w:val="num" w:pos="720"/>
        </w:tabs>
        <w:ind w:left="720" w:hanging="360"/>
      </w:pPr>
      <w:rPr>
        <w:rFonts w:ascii="Cambria" w:hAnsi="Cambria" w:hint="default"/>
        <w:b/>
        <w:bCs/>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0F2C4A14"/>
    <w:multiLevelType w:val="hybridMultilevel"/>
    <w:tmpl w:val="6B0C2A9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1CF4C9C"/>
    <w:multiLevelType w:val="hybridMultilevel"/>
    <w:tmpl w:val="9ABCC618"/>
    <w:lvl w:ilvl="0" w:tplc="8856CCC8">
      <w:start w:val="1"/>
      <w:numFmt w:val="lowerLetter"/>
      <w:lvlText w:val="%1)"/>
      <w:lvlJc w:val="left"/>
      <w:pPr>
        <w:ind w:left="360" w:hanging="360"/>
      </w:pPr>
      <w:rPr>
        <w:rFonts w:hint="default"/>
        <w:b w:val="0"/>
        <w:i w:val="0"/>
        <w:strike w:val="0"/>
        <w:dstrike w:val="0"/>
        <w:color w:val="000000"/>
        <w:sz w:val="20"/>
        <w:szCs w:val="20"/>
        <w:u w:val="none" w:color="000000"/>
        <w:bdr w:val="none" w:sz="0" w:space="0" w:color="auto"/>
        <w:shd w:val="clear" w:color="auto" w:fill="auto"/>
        <w:vertAlign w:val="baseli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6231AD2"/>
    <w:multiLevelType w:val="multilevel"/>
    <w:tmpl w:val="1B40D86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 w15:restartNumberingAfterBreak="0">
    <w:nsid w:val="47084273"/>
    <w:multiLevelType w:val="hybridMultilevel"/>
    <w:tmpl w:val="FDF08A7C"/>
    <w:lvl w:ilvl="0" w:tplc="205604C6">
      <w:start w:val="194"/>
      <w:numFmt w:val="decimal"/>
      <w:lvlText w:val="%1."/>
      <w:lvlJc w:val="left"/>
      <w:pPr>
        <w:ind w:left="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9E800D90">
      <w:start w:val="1"/>
      <w:numFmt w:val="lowerLetter"/>
      <w:lvlText w:val="%2"/>
      <w:lvlJc w:val="left"/>
      <w:pPr>
        <w:ind w:left="118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986E2B32">
      <w:start w:val="1"/>
      <w:numFmt w:val="lowerRoman"/>
      <w:lvlText w:val="%3"/>
      <w:lvlJc w:val="left"/>
      <w:pPr>
        <w:ind w:left="190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A748FFA0">
      <w:start w:val="1"/>
      <w:numFmt w:val="decimal"/>
      <w:lvlText w:val="%4"/>
      <w:lvlJc w:val="left"/>
      <w:pPr>
        <w:ind w:left="262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6B9A6EFC">
      <w:start w:val="1"/>
      <w:numFmt w:val="lowerLetter"/>
      <w:lvlText w:val="%5"/>
      <w:lvlJc w:val="left"/>
      <w:pPr>
        <w:ind w:left="334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1DD28158">
      <w:start w:val="1"/>
      <w:numFmt w:val="lowerRoman"/>
      <w:lvlText w:val="%6"/>
      <w:lvlJc w:val="left"/>
      <w:pPr>
        <w:ind w:left="406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B1AEEAEC">
      <w:start w:val="1"/>
      <w:numFmt w:val="decimal"/>
      <w:lvlText w:val="%7"/>
      <w:lvlJc w:val="left"/>
      <w:pPr>
        <w:ind w:left="478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DE284A60">
      <w:start w:val="1"/>
      <w:numFmt w:val="lowerLetter"/>
      <w:lvlText w:val="%8"/>
      <w:lvlJc w:val="left"/>
      <w:pPr>
        <w:ind w:left="550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D5F6CD18">
      <w:start w:val="1"/>
      <w:numFmt w:val="lowerRoman"/>
      <w:lvlText w:val="%9"/>
      <w:lvlJc w:val="left"/>
      <w:pPr>
        <w:ind w:left="622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5304C6D"/>
    <w:multiLevelType w:val="hybridMultilevel"/>
    <w:tmpl w:val="7B281F5C"/>
    <w:lvl w:ilvl="0" w:tplc="5B9A9786">
      <w:start w:val="1"/>
      <w:numFmt w:val="decimal"/>
      <w:lvlText w:val="%1"/>
      <w:lvlJc w:val="left"/>
      <w:pPr>
        <w:ind w:left="15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9036F88C">
      <w:start w:val="1"/>
      <w:numFmt w:val="lowerLetter"/>
      <w:lvlText w:val="%2"/>
      <w:lvlJc w:val="left"/>
      <w:pPr>
        <w:ind w:left="65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CC2A22D4">
      <w:start w:val="1"/>
      <w:numFmt w:val="lowerRoman"/>
      <w:lvlText w:val="%3"/>
      <w:lvlJc w:val="left"/>
      <w:pPr>
        <w:ind w:left="722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718C8FFC">
      <w:start w:val="1"/>
      <w:numFmt w:val="decimal"/>
      <w:lvlText w:val="%4"/>
      <w:lvlJc w:val="left"/>
      <w:pPr>
        <w:ind w:left="794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5F64E024">
      <w:start w:val="1"/>
      <w:numFmt w:val="lowerLetter"/>
      <w:lvlText w:val="%5"/>
      <w:lvlJc w:val="left"/>
      <w:pPr>
        <w:ind w:left="866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6180DE90">
      <w:start w:val="1"/>
      <w:numFmt w:val="lowerRoman"/>
      <w:lvlText w:val="%6"/>
      <w:lvlJc w:val="left"/>
      <w:pPr>
        <w:ind w:left="938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BD9ED432">
      <w:start w:val="1"/>
      <w:numFmt w:val="decimal"/>
      <w:lvlText w:val="%7"/>
      <w:lvlJc w:val="left"/>
      <w:pPr>
        <w:ind w:left="101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1F0EAC62">
      <w:start w:val="1"/>
      <w:numFmt w:val="lowerLetter"/>
      <w:lvlText w:val="%8"/>
      <w:lvlJc w:val="left"/>
      <w:pPr>
        <w:ind w:left="1082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BFEA1BBE">
      <w:start w:val="1"/>
      <w:numFmt w:val="lowerRoman"/>
      <w:lvlText w:val="%9"/>
      <w:lvlJc w:val="left"/>
      <w:pPr>
        <w:ind w:left="1154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0F14CF0"/>
    <w:multiLevelType w:val="hybridMultilevel"/>
    <w:tmpl w:val="B0D8D764"/>
    <w:lvl w:ilvl="0" w:tplc="3DECE2F4">
      <w:start w:val="1"/>
      <w:numFmt w:val="bullet"/>
      <w:lvlText w:val="-"/>
      <w:lvlJc w:val="left"/>
      <w:pPr>
        <w:ind w:left="720" w:hanging="360"/>
      </w:pPr>
      <w:rPr>
        <w:rFonts w:ascii="Cambria" w:hAnsi="Cambri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58B1E50"/>
    <w:multiLevelType w:val="hybridMultilevel"/>
    <w:tmpl w:val="A0A09730"/>
    <w:lvl w:ilvl="0" w:tplc="1809000F">
      <w:start w:val="9"/>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63F21F7"/>
    <w:multiLevelType w:val="hybridMultilevel"/>
    <w:tmpl w:val="17465D96"/>
    <w:lvl w:ilvl="0" w:tplc="1809000F">
      <w:start w:val="9"/>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ABE2167"/>
    <w:multiLevelType w:val="hybridMultilevel"/>
    <w:tmpl w:val="CC22C5B6"/>
    <w:lvl w:ilvl="0" w:tplc="5192CEDA">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88351018">
    <w:abstractNumId w:val="6"/>
  </w:num>
  <w:num w:numId="2" w16cid:durableId="1726830747">
    <w:abstractNumId w:val="5"/>
  </w:num>
  <w:num w:numId="3" w16cid:durableId="689449773">
    <w:abstractNumId w:val="3"/>
  </w:num>
  <w:num w:numId="4" w16cid:durableId="1594899117">
    <w:abstractNumId w:val="2"/>
  </w:num>
  <w:num w:numId="5" w16cid:durableId="1842424224">
    <w:abstractNumId w:val="0"/>
  </w:num>
  <w:num w:numId="6" w16cid:durableId="1181432932">
    <w:abstractNumId w:val="9"/>
  </w:num>
  <w:num w:numId="7" w16cid:durableId="1108084184">
    <w:abstractNumId w:val="8"/>
  </w:num>
  <w:num w:numId="8" w16cid:durableId="1658266825">
    <w:abstractNumId w:val="7"/>
  </w:num>
  <w:num w:numId="9" w16cid:durableId="3865374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125249">
    <w:abstractNumId w:val="10"/>
  </w:num>
  <w:num w:numId="11" w16cid:durableId="1780028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45938"/>
    <w:rsid w:val="0002076F"/>
    <w:rsid w:val="00031CDE"/>
    <w:rsid w:val="00040997"/>
    <w:rsid w:val="00044B3F"/>
    <w:rsid w:val="00046C13"/>
    <w:rsid w:val="000504E9"/>
    <w:rsid w:val="00053E25"/>
    <w:rsid w:val="00054216"/>
    <w:rsid w:val="00054732"/>
    <w:rsid w:val="00056CBB"/>
    <w:rsid w:val="00064B88"/>
    <w:rsid w:val="000825E1"/>
    <w:rsid w:val="0009012B"/>
    <w:rsid w:val="00092416"/>
    <w:rsid w:val="000C11E5"/>
    <w:rsid w:val="000D289C"/>
    <w:rsid w:val="000D4FC4"/>
    <w:rsid w:val="000D5D52"/>
    <w:rsid w:val="000F01B5"/>
    <w:rsid w:val="000F11A7"/>
    <w:rsid w:val="0011281C"/>
    <w:rsid w:val="001132CC"/>
    <w:rsid w:val="0011462F"/>
    <w:rsid w:val="0013051C"/>
    <w:rsid w:val="00154758"/>
    <w:rsid w:val="00171585"/>
    <w:rsid w:val="00175291"/>
    <w:rsid w:val="001843DE"/>
    <w:rsid w:val="001A3B4F"/>
    <w:rsid w:val="001A3DFE"/>
    <w:rsid w:val="001A5D6B"/>
    <w:rsid w:val="001B07FB"/>
    <w:rsid w:val="001B5D13"/>
    <w:rsid w:val="001D0F3F"/>
    <w:rsid w:val="001E0CBF"/>
    <w:rsid w:val="001E3A84"/>
    <w:rsid w:val="001F281B"/>
    <w:rsid w:val="001F65F6"/>
    <w:rsid w:val="002044F6"/>
    <w:rsid w:val="002278AD"/>
    <w:rsid w:val="00230E28"/>
    <w:rsid w:val="00241E55"/>
    <w:rsid w:val="002620DF"/>
    <w:rsid w:val="00271A7C"/>
    <w:rsid w:val="00272687"/>
    <w:rsid w:val="002868A9"/>
    <w:rsid w:val="0029411E"/>
    <w:rsid w:val="00295DA7"/>
    <w:rsid w:val="002B3681"/>
    <w:rsid w:val="002B5AD7"/>
    <w:rsid w:val="002C0F9C"/>
    <w:rsid w:val="002F267D"/>
    <w:rsid w:val="002F3CB0"/>
    <w:rsid w:val="002F7988"/>
    <w:rsid w:val="00304B39"/>
    <w:rsid w:val="00315860"/>
    <w:rsid w:val="00315CD4"/>
    <w:rsid w:val="00323B6D"/>
    <w:rsid w:val="00337FE4"/>
    <w:rsid w:val="0034219B"/>
    <w:rsid w:val="00347F9D"/>
    <w:rsid w:val="0035351E"/>
    <w:rsid w:val="003A69F8"/>
    <w:rsid w:val="003B341A"/>
    <w:rsid w:val="003C5D2B"/>
    <w:rsid w:val="003C678D"/>
    <w:rsid w:val="003E377F"/>
    <w:rsid w:val="003E5DC7"/>
    <w:rsid w:val="003F005E"/>
    <w:rsid w:val="003F3301"/>
    <w:rsid w:val="00404151"/>
    <w:rsid w:val="0041007F"/>
    <w:rsid w:val="004231B8"/>
    <w:rsid w:val="00425A94"/>
    <w:rsid w:val="004271A6"/>
    <w:rsid w:val="00446827"/>
    <w:rsid w:val="00463B0D"/>
    <w:rsid w:val="004857DD"/>
    <w:rsid w:val="0048727C"/>
    <w:rsid w:val="00490728"/>
    <w:rsid w:val="00496CE9"/>
    <w:rsid w:val="004A6D31"/>
    <w:rsid w:val="004B2ECF"/>
    <w:rsid w:val="004B3826"/>
    <w:rsid w:val="004C0C56"/>
    <w:rsid w:val="004D1456"/>
    <w:rsid w:val="004D4E87"/>
    <w:rsid w:val="004E1E1E"/>
    <w:rsid w:val="004E6CBB"/>
    <w:rsid w:val="0050098E"/>
    <w:rsid w:val="00525558"/>
    <w:rsid w:val="00527C86"/>
    <w:rsid w:val="005322E4"/>
    <w:rsid w:val="00542766"/>
    <w:rsid w:val="00552923"/>
    <w:rsid w:val="005676A4"/>
    <w:rsid w:val="005807A0"/>
    <w:rsid w:val="00580B60"/>
    <w:rsid w:val="005815A0"/>
    <w:rsid w:val="005949DA"/>
    <w:rsid w:val="005A29E0"/>
    <w:rsid w:val="005A3F06"/>
    <w:rsid w:val="005B59F0"/>
    <w:rsid w:val="005C670C"/>
    <w:rsid w:val="0060468E"/>
    <w:rsid w:val="00604D52"/>
    <w:rsid w:val="00606AF0"/>
    <w:rsid w:val="0060737D"/>
    <w:rsid w:val="00615FC7"/>
    <w:rsid w:val="00626AAE"/>
    <w:rsid w:val="006315FA"/>
    <w:rsid w:val="00634BE8"/>
    <w:rsid w:val="0063511D"/>
    <w:rsid w:val="006411EF"/>
    <w:rsid w:val="00654C38"/>
    <w:rsid w:val="00661F2E"/>
    <w:rsid w:val="00665CDE"/>
    <w:rsid w:val="00670B75"/>
    <w:rsid w:val="006815B7"/>
    <w:rsid w:val="00691CED"/>
    <w:rsid w:val="006B63A0"/>
    <w:rsid w:val="006C2B4B"/>
    <w:rsid w:val="006D3368"/>
    <w:rsid w:val="006D38F1"/>
    <w:rsid w:val="006D5593"/>
    <w:rsid w:val="006E55E0"/>
    <w:rsid w:val="006E588D"/>
    <w:rsid w:val="007073A2"/>
    <w:rsid w:val="0072383A"/>
    <w:rsid w:val="00727346"/>
    <w:rsid w:val="007333E6"/>
    <w:rsid w:val="007400E4"/>
    <w:rsid w:val="0074735C"/>
    <w:rsid w:val="00752EC4"/>
    <w:rsid w:val="00761DE0"/>
    <w:rsid w:val="00763DA9"/>
    <w:rsid w:val="0077043F"/>
    <w:rsid w:val="0078416C"/>
    <w:rsid w:val="00794C5D"/>
    <w:rsid w:val="007A0902"/>
    <w:rsid w:val="007B69DF"/>
    <w:rsid w:val="007C10A0"/>
    <w:rsid w:val="007C4DBC"/>
    <w:rsid w:val="007E439D"/>
    <w:rsid w:val="007F6677"/>
    <w:rsid w:val="0081017D"/>
    <w:rsid w:val="0081358E"/>
    <w:rsid w:val="008305F0"/>
    <w:rsid w:val="00830AF0"/>
    <w:rsid w:val="008334B5"/>
    <w:rsid w:val="00841FF9"/>
    <w:rsid w:val="0087024E"/>
    <w:rsid w:val="0089067A"/>
    <w:rsid w:val="0089192D"/>
    <w:rsid w:val="008923E8"/>
    <w:rsid w:val="008A67EF"/>
    <w:rsid w:val="008B516E"/>
    <w:rsid w:val="008B55FC"/>
    <w:rsid w:val="008B7C8A"/>
    <w:rsid w:val="008D2A43"/>
    <w:rsid w:val="008E18E1"/>
    <w:rsid w:val="00906765"/>
    <w:rsid w:val="00906DC8"/>
    <w:rsid w:val="00910FE0"/>
    <w:rsid w:val="0093780B"/>
    <w:rsid w:val="009406A5"/>
    <w:rsid w:val="00940E2A"/>
    <w:rsid w:val="00942EAC"/>
    <w:rsid w:val="0094423B"/>
    <w:rsid w:val="00954426"/>
    <w:rsid w:val="009564E5"/>
    <w:rsid w:val="00973670"/>
    <w:rsid w:val="009B6ACC"/>
    <w:rsid w:val="009C4094"/>
    <w:rsid w:val="009C4D12"/>
    <w:rsid w:val="009D4C02"/>
    <w:rsid w:val="009D7391"/>
    <w:rsid w:val="009E6ED9"/>
    <w:rsid w:val="009F3FF9"/>
    <w:rsid w:val="00A0063D"/>
    <w:rsid w:val="00A45938"/>
    <w:rsid w:val="00A52B82"/>
    <w:rsid w:val="00A53756"/>
    <w:rsid w:val="00A54EE0"/>
    <w:rsid w:val="00A55C4E"/>
    <w:rsid w:val="00A7125A"/>
    <w:rsid w:val="00A72FD8"/>
    <w:rsid w:val="00A8091B"/>
    <w:rsid w:val="00A96F23"/>
    <w:rsid w:val="00AA456D"/>
    <w:rsid w:val="00AB4E05"/>
    <w:rsid w:val="00AE7A0B"/>
    <w:rsid w:val="00AF6E83"/>
    <w:rsid w:val="00B0047E"/>
    <w:rsid w:val="00B03B37"/>
    <w:rsid w:val="00B256E6"/>
    <w:rsid w:val="00B25DF5"/>
    <w:rsid w:val="00B43027"/>
    <w:rsid w:val="00B50A4B"/>
    <w:rsid w:val="00B61EAD"/>
    <w:rsid w:val="00B72649"/>
    <w:rsid w:val="00B76364"/>
    <w:rsid w:val="00BB184B"/>
    <w:rsid w:val="00BC2F8D"/>
    <w:rsid w:val="00BC3C9A"/>
    <w:rsid w:val="00BD6B77"/>
    <w:rsid w:val="00BE1C5F"/>
    <w:rsid w:val="00BE3183"/>
    <w:rsid w:val="00BF057D"/>
    <w:rsid w:val="00C40865"/>
    <w:rsid w:val="00C4780B"/>
    <w:rsid w:val="00C50935"/>
    <w:rsid w:val="00C555F4"/>
    <w:rsid w:val="00C70784"/>
    <w:rsid w:val="00C70D0D"/>
    <w:rsid w:val="00C81F61"/>
    <w:rsid w:val="00C94C31"/>
    <w:rsid w:val="00CB5904"/>
    <w:rsid w:val="00CC4F21"/>
    <w:rsid w:val="00CD3DBD"/>
    <w:rsid w:val="00CD69BC"/>
    <w:rsid w:val="00CE038A"/>
    <w:rsid w:val="00CE221A"/>
    <w:rsid w:val="00CE7989"/>
    <w:rsid w:val="00CF5586"/>
    <w:rsid w:val="00CF6348"/>
    <w:rsid w:val="00D0548C"/>
    <w:rsid w:val="00D101EF"/>
    <w:rsid w:val="00D1459D"/>
    <w:rsid w:val="00D3210E"/>
    <w:rsid w:val="00D37D2A"/>
    <w:rsid w:val="00D4311D"/>
    <w:rsid w:val="00D4391F"/>
    <w:rsid w:val="00D574BC"/>
    <w:rsid w:val="00D65594"/>
    <w:rsid w:val="00E03AD5"/>
    <w:rsid w:val="00E33409"/>
    <w:rsid w:val="00E359E5"/>
    <w:rsid w:val="00E35B42"/>
    <w:rsid w:val="00E40149"/>
    <w:rsid w:val="00E50AAC"/>
    <w:rsid w:val="00E844B2"/>
    <w:rsid w:val="00E85F50"/>
    <w:rsid w:val="00EB1F85"/>
    <w:rsid w:val="00EB7B59"/>
    <w:rsid w:val="00EC0303"/>
    <w:rsid w:val="00ED3CB4"/>
    <w:rsid w:val="00ED4B42"/>
    <w:rsid w:val="00EF0BAD"/>
    <w:rsid w:val="00F045C5"/>
    <w:rsid w:val="00F12AD4"/>
    <w:rsid w:val="00F245AA"/>
    <w:rsid w:val="00F26EE6"/>
    <w:rsid w:val="00F40647"/>
    <w:rsid w:val="00F42883"/>
    <w:rsid w:val="00F4748A"/>
    <w:rsid w:val="00F54D22"/>
    <w:rsid w:val="00F63987"/>
    <w:rsid w:val="00F74A3E"/>
    <w:rsid w:val="00F8722B"/>
    <w:rsid w:val="00FA40F8"/>
    <w:rsid w:val="00FA522B"/>
    <w:rsid w:val="00FD4E9D"/>
    <w:rsid w:val="00FD5CDA"/>
    <w:rsid w:val="00FD7044"/>
    <w:rsid w:val="00FE4866"/>
    <w:rsid w:val="00FF3C84"/>
    <w:rsid w:val="00FF5A66"/>
    <w:rsid w:val="00FF78DD"/>
    <w:rsid w:val="21AB2A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3E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031CDE"/>
    <w:pPr>
      <w:spacing w:after="0" w:line="240" w:lineRule="auto"/>
    </w:pPr>
    <w:rPr>
      <w:rFonts w:ascii="Calibri" w:eastAsia="Calibri" w:hAnsi="Calibri" w:cs="Calibri"/>
      <w:color w:val="000000"/>
      <w:sz w:val="22"/>
    </w:rPr>
  </w:style>
  <w:style w:type="paragraph" w:styleId="ListParagraph">
    <w:name w:val="List Paragraph"/>
    <w:basedOn w:val="Normal"/>
    <w:uiPriority w:val="34"/>
    <w:qFormat/>
    <w:rsid w:val="0087024E"/>
    <w:pPr>
      <w:ind w:left="720"/>
      <w:contextualSpacing/>
    </w:pPr>
  </w:style>
  <w:style w:type="character" w:styleId="CommentReference">
    <w:name w:val="annotation reference"/>
    <w:basedOn w:val="DefaultParagraphFont"/>
    <w:uiPriority w:val="99"/>
    <w:semiHidden/>
    <w:unhideWhenUsed/>
    <w:rsid w:val="00446827"/>
    <w:rPr>
      <w:sz w:val="16"/>
      <w:szCs w:val="16"/>
    </w:rPr>
  </w:style>
  <w:style w:type="paragraph" w:styleId="CommentText">
    <w:name w:val="annotation text"/>
    <w:basedOn w:val="Normal"/>
    <w:link w:val="CommentTextChar"/>
    <w:uiPriority w:val="99"/>
    <w:unhideWhenUsed/>
    <w:rsid w:val="00446827"/>
    <w:pPr>
      <w:spacing w:line="240" w:lineRule="auto"/>
    </w:pPr>
    <w:rPr>
      <w:sz w:val="20"/>
      <w:szCs w:val="20"/>
    </w:rPr>
  </w:style>
  <w:style w:type="character" w:customStyle="1" w:styleId="CommentTextChar">
    <w:name w:val="Comment Text Char"/>
    <w:basedOn w:val="DefaultParagraphFont"/>
    <w:link w:val="CommentText"/>
    <w:uiPriority w:val="99"/>
    <w:rsid w:val="00446827"/>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46827"/>
    <w:rPr>
      <w:b/>
      <w:bCs/>
    </w:rPr>
  </w:style>
  <w:style w:type="character" w:customStyle="1" w:styleId="CommentSubjectChar">
    <w:name w:val="Comment Subject Char"/>
    <w:basedOn w:val="CommentTextChar"/>
    <w:link w:val="CommentSubject"/>
    <w:uiPriority w:val="99"/>
    <w:semiHidden/>
    <w:rsid w:val="00446827"/>
    <w:rPr>
      <w:rFonts w:ascii="Calibri" w:eastAsia="Calibri" w:hAnsi="Calibri" w:cs="Calibri"/>
      <w:b/>
      <w:bCs/>
      <w:color w:val="000000"/>
      <w:sz w:val="20"/>
      <w:szCs w:val="20"/>
    </w:rPr>
  </w:style>
  <w:style w:type="character" w:styleId="Hyperlink">
    <w:name w:val="Hyperlink"/>
    <w:basedOn w:val="DefaultParagraphFont"/>
    <w:uiPriority w:val="99"/>
    <w:unhideWhenUsed/>
    <w:rsid w:val="006815B7"/>
    <w:rPr>
      <w:color w:val="467886" w:themeColor="hyperlink"/>
      <w:u w:val="single"/>
    </w:rPr>
  </w:style>
  <w:style w:type="character" w:styleId="UnresolvedMention">
    <w:name w:val="Unresolved Mention"/>
    <w:basedOn w:val="DefaultParagraphFont"/>
    <w:uiPriority w:val="99"/>
    <w:semiHidden/>
    <w:unhideWhenUsed/>
    <w:rsid w:val="006815B7"/>
    <w:rPr>
      <w:color w:val="605E5C"/>
      <w:shd w:val="clear" w:color="auto" w:fill="E1DFDD"/>
    </w:rPr>
  </w:style>
  <w:style w:type="character" w:styleId="Mention">
    <w:name w:val="Mention"/>
    <w:basedOn w:val="DefaultParagraphFont"/>
    <w:uiPriority w:val="99"/>
    <w:unhideWhenUsed/>
    <w:rsid w:val="008D2A43"/>
    <w:rPr>
      <w:color w:val="2B579A"/>
      <w:shd w:val="clear" w:color="auto" w:fill="E1DFDD"/>
    </w:rPr>
  </w:style>
  <w:style w:type="table" w:styleId="TableGrid0">
    <w:name w:val="Table Grid"/>
    <w:basedOn w:val="TableNormal"/>
    <w:uiPriority w:val="39"/>
    <w:rsid w:val="00112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A3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F06"/>
    <w:rPr>
      <w:rFonts w:ascii="Calibri" w:eastAsia="Calibri" w:hAnsi="Calibri" w:cs="Calibri"/>
      <w:color w:val="000000"/>
      <w:sz w:val="22"/>
    </w:rPr>
  </w:style>
  <w:style w:type="paragraph" w:styleId="Footer">
    <w:name w:val="footer"/>
    <w:basedOn w:val="Normal"/>
    <w:link w:val="FooterChar"/>
    <w:uiPriority w:val="99"/>
    <w:unhideWhenUsed/>
    <w:rsid w:val="005A3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F0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712968">
      <w:bodyDiv w:val="1"/>
      <w:marLeft w:val="0"/>
      <w:marRight w:val="0"/>
      <w:marTop w:val="0"/>
      <w:marBottom w:val="0"/>
      <w:divBdr>
        <w:top w:val="none" w:sz="0" w:space="0" w:color="auto"/>
        <w:left w:val="none" w:sz="0" w:space="0" w:color="auto"/>
        <w:bottom w:val="none" w:sz="0" w:space="0" w:color="auto"/>
        <w:right w:val="none" w:sz="0" w:space="0" w:color="auto"/>
      </w:divBdr>
    </w:div>
    <w:div w:id="1510414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iccat.int/Documents/Recs/compendiopdf-f/2024-05-f.pdf" TargetMode="Externa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C_ARES_NUMBER xmlns="109fe164-c690-497e-a27a-2f9db3c5ef70">
      <Url xsi:nil="true"/>
      <Description xsi:nil="true"/>
    </EC_ARES_NUMBER>
    <IconOverlay xmlns="http://schemas.microsoft.com/sharepoint/v4" xsi:nil="true"/>
    <EC_ARES_TRANSFERRED_BY xmlns="109fe164-c690-497e-a27a-2f9db3c5ef70" xsi:nil="true"/>
    <EC_ARES_DATE_TRANSFERRED xmlns="109fe164-c690-497e-a27a-2f9db3c5ef70" xsi:nil="true"/>
    <lcf76f155ced4ddcb4097134ff3c332f xmlns="e79f5ee3-6126-495d-84fb-deab44380441">
      <Terms xmlns="http://schemas.microsoft.com/office/infopath/2007/PartnerControls"/>
    </lcf76f155ced4ddcb4097134ff3c332f>
    <TaxCatchAll xmlns="109fe164-c690-497e-a27a-2f9db3c5ef7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FBBF80-831A-44B7-81D8-3310FF7AD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E18C30-7B2A-4278-8C90-0B84DBC8AAB5}">
  <ds:schemaRefs>
    <ds:schemaRef ds:uri="http://schemas.openxmlformats.org/officeDocument/2006/bibliography"/>
  </ds:schemaRefs>
</ds:datastoreItem>
</file>

<file path=customXml/itemProps3.xml><?xml version="1.0" encoding="utf-8"?>
<ds:datastoreItem xmlns:ds="http://schemas.openxmlformats.org/officeDocument/2006/customXml" ds:itemID="{00C03F7E-042C-4C52-B28E-543F2F48B6BB}">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4.xml><?xml version="1.0" encoding="utf-8"?>
<ds:datastoreItem xmlns:ds="http://schemas.openxmlformats.org/officeDocument/2006/customXml" ds:itemID="{97EA7ECE-80B2-48D5-98A5-7BD2FDD074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1612</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10786</CharactersWithSpaces>
  <SharedDoc>false</SharedDoc>
  <HLinks>
    <vt:vector size="18" baseType="variant">
      <vt:variant>
        <vt:i4>4325388</vt:i4>
      </vt:variant>
      <vt:variant>
        <vt:i4>6</vt:i4>
      </vt:variant>
      <vt:variant>
        <vt:i4>0</vt:i4>
      </vt:variant>
      <vt:variant>
        <vt:i4>5</vt:i4>
      </vt:variant>
      <vt:variant>
        <vt:lpwstr>https://www.iccat.int/Documents/Recs/compendiopdf-e/2024-05-e.pdf</vt:lpwstr>
      </vt:variant>
      <vt:variant>
        <vt:lpwstr/>
      </vt:variant>
      <vt:variant>
        <vt:i4>4325388</vt:i4>
      </vt:variant>
      <vt:variant>
        <vt:i4>3</vt:i4>
      </vt:variant>
      <vt:variant>
        <vt:i4>0</vt:i4>
      </vt:variant>
      <vt:variant>
        <vt:i4>5</vt:i4>
      </vt:variant>
      <vt:variant>
        <vt:lpwstr>https://www.iccat.int/Documents/Recs/compendiopdf-e/2024-05-e.pdf</vt:lpwstr>
      </vt:variant>
      <vt:variant>
        <vt:lpwstr/>
      </vt:variant>
      <vt:variant>
        <vt:i4>4325388</vt:i4>
      </vt:variant>
      <vt:variant>
        <vt:i4>0</vt:i4>
      </vt:variant>
      <vt:variant>
        <vt:i4>0</vt:i4>
      </vt:variant>
      <vt:variant>
        <vt:i4>5</vt:i4>
      </vt:variant>
      <vt:variant>
        <vt:lpwstr>https://www.iccat.int/Documents/Recs/compendiopdf-e/2024-05-e.pdf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2026-10-16T15:42:00Z</dcterms:created>
  <dcterms:modified xsi:type="dcterms:W3CDTF">2026-10-27T15:14:00Z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2026-10-16T15:43:04Z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366423d4-0b5c-4dda-8312-a46114caa3df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0x01010017FF78C904FD5D479F9D99C5899B7D55</vt:lpwstr>
  </property>
</Properties>
</file>