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024B" w14:textId="77777777" w:rsidR="00FD68CA" w:rsidRPr="008539D4" w:rsidRDefault="00FD68CA" w:rsidP="006D0E67">
      <w:pPr>
        <w:spacing w:after="80" w:line="240" w:lineRule="auto"/>
        <w:jc w:val="right"/>
        <w:rPr>
          <w:rFonts w:asciiTheme="majorHAnsi" w:eastAsia="Cambria" w:hAnsiTheme="majorHAnsi" w:cs="Cambria"/>
          <w:b/>
          <w:bCs/>
          <w:sz w:val="20"/>
          <w:szCs w:val="20"/>
        </w:rPr>
      </w:pPr>
      <w:r w:rsidRPr="008539D4">
        <w:rPr>
          <w:rFonts w:asciiTheme="majorHAnsi" w:hAnsiTheme="majorHAnsi"/>
          <w:b/>
          <w:sz w:val="20"/>
          <w:szCs w:val="20"/>
        </w:rPr>
        <w:t>Original: inglés </w:t>
      </w:r>
    </w:p>
    <w:p w14:paraId="268F4018" w14:textId="77777777" w:rsidR="00154E04" w:rsidRPr="008539D4" w:rsidRDefault="00154E04" w:rsidP="00154E04">
      <w:pPr>
        <w:widowControl w:val="0"/>
        <w:spacing w:after="0" w:line="240" w:lineRule="auto"/>
        <w:ind w:left="2905" w:hanging="2905"/>
        <w:jc w:val="center"/>
        <w:rPr>
          <w:rFonts w:asciiTheme="majorHAnsi" w:eastAsia="Cambria" w:hAnsiTheme="majorHAnsi" w:cs="Cambria"/>
          <w:b/>
          <w:bCs/>
          <w:kern w:val="0"/>
          <w:sz w:val="20"/>
          <w:szCs w:val="20"/>
          <w14:ligatures w14:val="none"/>
        </w:rPr>
      </w:pPr>
      <w:r w:rsidRPr="008539D4">
        <w:rPr>
          <w:rFonts w:asciiTheme="majorHAnsi" w:hAnsiTheme="majorHAnsi"/>
          <w:b/>
          <w:sz w:val="20"/>
          <w:szCs w:val="20"/>
        </w:rPr>
        <w:t>Portada para acompañar nuevas propuestas</w:t>
      </w:r>
    </w:p>
    <w:p w14:paraId="609AA598" w14:textId="77777777" w:rsidR="00154E04" w:rsidRPr="008539D4" w:rsidRDefault="00154E04" w:rsidP="00154E04">
      <w:pPr>
        <w:widowControl w:val="0"/>
        <w:pBdr>
          <w:top w:val="nil"/>
          <w:left w:val="nil"/>
          <w:bottom w:val="nil"/>
          <w:right w:val="nil"/>
          <w:between w:val="nil"/>
        </w:pBdr>
        <w:spacing w:before="63" w:after="0" w:line="240" w:lineRule="auto"/>
        <w:rPr>
          <w:rFonts w:asciiTheme="majorHAnsi" w:eastAsia="Cambria" w:hAnsiTheme="majorHAnsi" w:cs="Cambria"/>
          <w:b/>
          <w:bCs/>
          <w:color w:val="000000"/>
          <w:kern w:val="0"/>
          <w:sz w:val="20"/>
          <w:szCs w:val="20"/>
          <w14:ligatures w14:val="none"/>
        </w:rPr>
      </w:pPr>
    </w:p>
    <w:p w14:paraId="27CF9FFF" w14:textId="3F74F7F1" w:rsidR="00154E04" w:rsidRPr="008539D4" w:rsidRDefault="00154E04" w:rsidP="00154E04">
      <w:pPr>
        <w:widowControl w:val="0"/>
        <w:spacing w:after="0" w:line="234" w:lineRule="auto"/>
        <w:ind w:right="4"/>
        <w:jc w:val="center"/>
        <w:rPr>
          <w:rFonts w:asciiTheme="majorHAnsi" w:eastAsia="Cambria" w:hAnsiTheme="majorHAnsi" w:cs="Cambria"/>
          <w:i/>
          <w:iCs/>
          <w:kern w:val="0"/>
          <w:sz w:val="20"/>
          <w:szCs w:val="20"/>
          <w14:ligatures w14:val="none"/>
        </w:rPr>
      </w:pPr>
      <w:r w:rsidRPr="008539D4">
        <w:rPr>
          <w:rFonts w:asciiTheme="majorHAnsi" w:hAnsiTheme="majorHAnsi"/>
          <w:i/>
          <w:sz w:val="20"/>
          <w:szCs w:val="20"/>
        </w:rPr>
        <w:t>(documento presentado por la Unión Europea)</w:t>
      </w:r>
    </w:p>
    <w:p w14:paraId="4D2A0771" w14:textId="77777777" w:rsidR="00E53EF8" w:rsidRPr="008539D4" w:rsidRDefault="00E53EF8" w:rsidP="00AE733A">
      <w:pPr>
        <w:spacing w:after="0" w:line="240" w:lineRule="auto"/>
        <w:jc w:val="both"/>
        <w:rPr>
          <w:rFonts w:asciiTheme="majorHAnsi" w:eastAsia="Cambria" w:hAnsiTheme="majorHAnsi" w:cs="Cambria"/>
          <w:b/>
          <w:bCs/>
          <w:sz w:val="20"/>
          <w:szCs w:val="20"/>
        </w:rPr>
      </w:pPr>
    </w:p>
    <w:p w14:paraId="015FB7AC" w14:textId="7A2DE152" w:rsidR="00FD68CA" w:rsidRPr="008539D4" w:rsidRDefault="00FD68CA" w:rsidP="00AE733A">
      <w:pPr>
        <w:spacing w:after="0" w:line="240" w:lineRule="auto"/>
        <w:jc w:val="both"/>
        <w:rPr>
          <w:rFonts w:asciiTheme="majorHAnsi" w:eastAsia="Cambria" w:hAnsiTheme="majorHAnsi" w:cs="Cambria"/>
          <w:color w:val="EE0000"/>
          <w:sz w:val="20"/>
          <w:szCs w:val="20"/>
        </w:rPr>
      </w:pPr>
      <w:r w:rsidRPr="008539D4">
        <w:rPr>
          <w:rFonts w:asciiTheme="majorHAnsi" w:hAnsiTheme="majorHAnsi"/>
          <w:b/>
          <w:sz w:val="20"/>
          <w:szCs w:val="20"/>
        </w:rPr>
        <w:t>Título de la propuesta de Proyecto de Recomendación/Resolución: </w:t>
      </w:r>
      <w:r w:rsidRPr="008539D4">
        <w:rPr>
          <w:rFonts w:asciiTheme="majorHAnsi" w:hAnsiTheme="majorHAnsi"/>
          <w:color w:val="EE0000"/>
          <w:sz w:val="20"/>
          <w:szCs w:val="20"/>
        </w:rPr>
        <w:t>Proyecto de Recomendación de ICCAT sobre sistemas de seguimiento electrónico (EMS) para mejorar el control de los buques de transformación de atún rojo</w:t>
      </w:r>
    </w:p>
    <w:p w14:paraId="6FD04079" w14:textId="77777777" w:rsidR="00AE733A" w:rsidRPr="008539D4" w:rsidRDefault="00AE733A" w:rsidP="00AE733A">
      <w:pPr>
        <w:spacing w:after="0" w:line="240" w:lineRule="auto"/>
        <w:jc w:val="both"/>
        <w:rPr>
          <w:rFonts w:asciiTheme="majorHAnsi" w:eastAsia="Cambria" w:hAnsiTheme="majorHAnsi" w:cs="Cambria"/>
          <w:b/>
          <w:bCs/>
          <w:color w:val="EE0000"/>
          <w:sz w:val="20"/>
          <w:szCs w:val="20"/>
        </w:rPr>
      </w:pPr>
    </w:p>
    <w:p w14:paraId="7D5ECEFB" w14:textId="07FB7250" w:rsidR="002618CC" w:rsidRPr="008539D4" w:rsidRDefault="00FD68CA" w:rsidP="00AE733A">
      <w:pPr>
        <w:spacing w:after="0" w:line="240" w:lineRule="auto"/>
        <w:jc w:val="both"/>
        <w:rPr>
          <w:rFonts w:asciiTheme="majorHAnsi" w:hAnsiTheme="majorHAnsi"/>
          <w:color w:val="EE0000"/>
          <w:sz w:val="20"/>
          <w:szCs w:val="20"/>
        </w:rPr>
      </w:pPr>
      <w:r w:rsidRPr="008539D4">
        <w:rPr>
          <w:rFonts w:asciiTheme="majorHAnsi" w:hAnsiTheme="majorHAnsi"/>
          <w:b/>
          <w:sz w:val="20"/>
          <w:szCs w:val="20"/>
        </w:rPr>
        <w:t>Título de la(s) recomendación(es) o resolución(es) actualmente vigente(s) que aborda(n) la misma cuestión o cuestiones relacionadas:  </w:t>
      </w:r>
      <w:hyperlink r:id="rId10" w:tgtFrame="_blank" w:history="1">
        <w:r w:rsidRPr="008539D4">
          <w:rPr>
            <w:rFonts w:asciiTheme="majorHAnsi" w:hAnsiTheme="majorHAnsi"/>
            <w:i/>
            <w:iCs/>
            <w:color w:val="EE0000"/>
            <w:sz w:val="20"/>
            <w:szCs w:val="20"/>
          </w:rPr>
          <w:t xml:space="preserve">Recomendación de ICCAT que reemplaza la Recomendación 24-05 que establece un plan de ordenación plurianual para el atún rojo en el Atlántico este y el Mediterráneo </w:t>
        </w:r>
        <w:r w:rsidRPr="008539D4">
          <w:rPr>
            <w:rFonts w:asciiTheme="majorHAnsi" w:hAnsiTheme="majorHAnsi"/>
            <w:color w:val="EE0000"/>
            <w:sz w:val="20"/>
            <w:szCs w:val="20"/>
          </w:rPr>
          <w:t>(Rec. 25-04)</w:t>
        </w:r>
      </w:hyperlink>
    </w:p>
    <w:p w14:paraId="0CC70A5C" w14:textId="77777777" w:rsidR="002707E7" w:rsidRPr="008539D4" w:rsidRDefault="002707E7" w:rsidP="00AE733A">
      <w:pPr>
        <w:spacing w:after="0" w:line="240" w:lineRule="auto"/>
        <w:jc w:val="both"/>
        <w:rPr>
          <w:rFonts w:asciiTheme="majorHAnsi" w:eastAsia="Cambria" w:hAnsiTheme="majorHAnsi" w:cs="Cambria"/>
          <w:b/>
          <w:bCs/>
          <w:color w:val="0070C0"/>
          <w:sz w:val="20"/>
          <w:szCs w:val="20"/>
        </w:rPr>
      </w:pPr>
    </w:p>
    <w:p w14:paraId="2AA15608" w14:textId="35DFAC35" w:rsidR="00FD68CA" w:rsidRPr="008539D4" w:rsidRDefault="00FD68CA" w:rsidP="00AE733A">
      <w:pPr>
        <w:numPr>
          <w:ilvl w:val="0"/>
          <w:numId w:val="13"/>
        </w:numPr>
        <w:tabs>
          <w:tab w:val="clear" w:pos="360"/>
          <w:tab w:val="num" w:pos="284"/>
          <w:tab w:val="num" w:pos="720"/>
        </w:tabs>
        <w:spacing w:after="0" w:line="240" w:lineRule="auto"/>
        <w:ind w:left="0" w:firstLine="0"/>
        <w:jc w:val="both"/>
        <w:rPr>
          <w:rFonts w:asciiTheme="majorHAnsi" w:eastAsia="Cambria" w:hAnsiTheme="majorHAnsi" w:cs="Cambria"/>
          <w:color w:val="EE0000"/>
          <w:sz w:val="20"/>
          <w:szCs w:val="20"/>
        </w:rPr>
      </w:pPr>
      <w:r w:rsidRPr="008539D4">
        <w:rPr>
          <w:rFonts w:asciiTheme="majorHAnsi" w:hAnsiTheme="majorHAnsi"/>
          <w:sz w:val="20"/>
          <w:szCs w:val="20"/>
        </w:rPr>
        <w:t xml:space="preserve">¿Crea </w:t>
      </w:r>
      <w:r w:rsidRPr="008539D4">
        <w:rPr>
          <w:rFonts w:asciiTheme="majorHAnsi" w:hAnsiTheme="majorHAnsi"/>
          <w:b/>
          <w:bCs/>
          <w:sz w:val="20"/>
          <w:szCs w:val="20"/>
        </w:rPr>
        <w:t>nuevas obligaciones</w:t>
      </w:r>
      <w:r w:rsidRPr="008539D4">
        <w:rPr>
          <w:rFonts w:asciiTheme="majorHAnsi" w:hAnsiTheme="majorHAnsi"/>
          <w:sz w:val="20"/>
          <w:szCs w:val="20"/>
        </w:rPr>
        <w:t xml:space="preserve"> de comunicación para las CPC? </w:t>
      </w:r>
      <w:r w:rsidRPr="008539D4">
        <w:rPr>
          <w:rFonts w:asciiTheme="majorHAnsi" w:hAnsiTheme="majorHAnsi"/>
          <w:sz w:val="20"/>
          <w:szCs w:val="20"/>
        </w:rPr>
        <w:tab/>
        <w:t xml:space="preserve">Sí </w:t>
      </w:r>
      <w:r w:rsidRPr="008539D4">
        <w:rPr>
          <w:rFonts w:ascii="Segoe UI Symbol" w:hAnsi="Segoe UI Symbol" w:cs="Segoe UI Symbol"/>
          <w:sz w:val="20"/>
          <w:szCs w:val="20"/>
        </w:rPr>
        <w:t>☐</w:t>
      </w:r>
      <w:r w:rsidRPr="008539D4">
        <w:rPr>
          <w:rFonts w:asciiTheme="majorHAnsi" w:hAnsiTheme="majorHAnsi"/>
          <w:sz w:val="20"/>
          <w:szCs w:val="20"/>
        </w:rPr>
        <w:t xml:space="preserve">    </w:t>
      </w:r>
      <w:r w:rsidRPr="008539D4">
        <w:rPr>
          <w:rFonts w:asciiTheme="majorHAnsi" w:hAnsiTheme="majorHAnsi"/>
          <w:color w:val="EE0000"/>
          <w:sz w:val="20"/>
          <w:szCs w:val="20"/>
        </w:rPr>
        <w:t xml:space="preserve">No </w:t>
      </w:r>
      <w:r w:rsidRPr="008539D4">
        <w:rPr>
          <w:rFonts w:ascii="Segoe UI Symbol" w:hAnsi="Segoe UI Symbol" w:cs="Segoe UI Symbol"/>
          <w:sz w:val="20"/>
          <w:szCs w:val="20"/>
        </w:rPr>
        <w:t>☒</w:t>
      </w:r>
      <w:r w:rsidRPr="008539D4">
        <w:rPr>
          <w:rFonts w:asciiTheme="majorHAnsi" w:hAnsiTheme="majorHAnsi"/>
          <w:color w:val="EE0000"/>
          <w:sz w:val="20"/>
          <w:szCs w:val="20"/>
        </w:rPr>
        <w:t>  </w:t>
      </w:r>
    </w:p>
    <w:p w14:paraId="0ED758FC" w14:textId="77777777" w:rsidR="00AE733A" w:rsidRPr="008539D4" w:rsidRDefault="00AE733A" w:rsidP="00AE733A">
      <w:pPr>
        <w:tabs>
          <w:tab w:val="num" w:pos="284"/>
        </w:tabs>
        <w:spacing w:after="0" w:line="240" w:lineRule="auto"/>
        <w:jc w:val="both"/>
        <w:rPr>
          <w:rFonts w:asciiTheme="majorHAnsi" w:eastAsia="Cambria" w:hAnsiTheme="majorHAnsi" w:cs="Cambria"/>
          <w:sz w:val="20"/>
          <w:szCs w:val="20"/>
          <w:lang w:val="en-US"/>
        </w:rPr>
      </w:pPr>
    </w:p>
    <w:p w14:paraId="0A6E4AE6" w14:textId="599045EC" w:rsidR="00FD68CA" w:rsidRPr="008539D4" w:rsidRDefault="00FD68CA" w:rsidP="00AE733A">
      <w:pPr>
        <w:tabs>
          <w:tab w:val="num" w:pos="284"/>
        </w:tabs>
        <w:spacing w:after="0" w:line="240" w:lineRule="auto"/>
        <w:jc w:val="both"/>
        <w:rPr>
          <w:rFonts w:asciiTheme="majorHAnsi" w:eastAsia="Cambria" w:hAnsiTheme="majorHAnsi" w:cs="Cambria"/>
          <w:sz w:val="20"/>
          <w:szCs w:val="20"/>
        </w:rPr>
      </w:pPr>
      <w:r w:rsidRPr="008539D4">
        <w:rPr>
          <w:rFonts w:asciiTheme="majorHAnsi" w:hAnsiTheme="majorHAnsi"/>
          <w:sz w:val="20"/>
          <w:szCs w:val="20"/>
        </w:rPr>
        <w:t>Breve descripción de la(s) nueva(s) obligación(es) de comunicación: </w:t>
      </w:r>
    </w:p>
    <w:p w14:paraId="4F48080E" w14:textId="77777777" w:rsidR="002707E7" w:rsidRPr="008539D4" w:rsidRDefault="002707E7" w:rsidP="00AE733A">
      <w:pPr>
        <w:tabs>
          <w:tab w:val="num" w:pos="284"/>
        </w:tabs>
        <w:spacing w:after="0" w:line="240" w:lineRule="auto"/>
        <w:jc w:val="both"/>
        <w:rPr>
          <w:rFonts w:asciiTheme="majorHAnsi" w:eastAsia="Cambria" w:hAnsiTheme="majorHAnsi" w:cs="Cambria"/>
          <w:sz w:val="20"/>
          <w:szCs w:val="20"/>
        </w:rPr>
      </w:pPr>
    </w:p>
    <w:p w14:paraId="61F9F1A4" w14:textId="7094E148" w:rsidR="00FD68CA" w:rsidRPr="008539D4" w:rsidRDefault="00FD68CA" w:rsidP="00AE733A">
      <w:pPr>
        <w:numPr>
          <w:ilvl w:val="0"/>
          <w:numId w:val="14"/>
        </w:numPr>
        <w:tabs>
          <w:tab w:val="clear" w:pos="360"/>
          <w:tab w:val="num" w:pos="284"/>
        </w:tabs>
        <w:spacing w:after="0" w:line="240" w:lineRule="auto"/>
        <w:ind w:left="0" w:firstLine="0"/>
        <w:jc w:val="both"/>
        <w:rPr>
          <w:rFonts w:asciiTheme="majorHAnsi" w:eastAsia="Cambria" w:hAnsiTheme="majorHAnsi" w:cs="Cambria"/>
          <w:sz w:val="20"/>
          <w:szCs w:val="20"/>
        </w:rPr>
      </w:pPr>
      <w:r w:rsidRPr="008539D4">
        <w:rPr>
          <w:rFonts w:asciiTheme="majorHAnsi" w:hAnsiTheme="majorHAnsi"/>
          <w:sz w:val="20"/>
          <w:szCs w:val="20"/>
        </w:rPr>
        <w:t xml:space="preserve">¿Requiere aportaciones o </w:t>
      </w:r>
      <w:r w:rsidRPr="008539D4">
        <w:rPr>
          <w:rFonts w:asciiTheme="majorHAnsi" w:hAnsiTheme="majorHAnsi"/>
          <w:b/>
          <w:bCs/>
          <w:sz w:val="20"/>
          <w:szCs w:val="20"/>
        </w:rPr>
        <w:t>trabajo</w:t>
      </w:r>
      <w:r w:rsidRPr="008539D4">
        <w:rPr>
          <w:rFonts w:asciiTheme="majorHAnsi" w:hAnsiTheme="majorHAnsi"/>
          <w:sz w:val="20"/>
          <w:szCs w:val="20"/>
        </w:rPr>
        <w:t xml:space="preserve"> adicional </w:t>
      </w:r>
      <w:r w:rsidRPr="008539D4">
        <w:rPr>
          <w:rFonts w:asciiTheme="majorHAnsi" w:hAnsiTheme="majorHAnsi"/>
          <w:b/>
          <w:bCs/>
          <w:sz w:val="20"/>
          <w:szCs w:val="20"/>
        </w:rPr>
        <w:t>por parte del SCRS</w:t>
      </w:r>
      <w:r w:rsidRPr="008539D4">
        <w:rPr>
          <w:rFonts w:asciiTheme="majorHAnsi" w:hAnsiTheme="majorHAnsi"/>
          <w:sz w:val="20"/>
          <w:szCs w:val="20"/>
        </w:rPr>
        <w:t>?</w:t>
      </w:r>
      <w:r w:rsidRPr="008539D4">
        <w:rPr>
          <w:rFonts w:asciiTheme="majorHAnsi" w:hAnsiTheme="majorHAnsi"/>
          <w:sz w:val="20"/>
          <w:szCs w:val="20"/>
        </w:rPr>
        <w:tab/>
        <w:t xml:space="preserve">Sí </w:t>
      </w:r>
      <w:r w:rsidRPr="008539D4">
        <w:rPr>
          <w:rFonts w:ascii="Segoe UI Symbol" w:hAnsi="Segoe UI Symbol" w:cs="Segoe UI Symbol"/>
          <w:sz w:val="20"/>
          <w:szCs w:val="20"/>
        </w:rPr>
        <w:t>☐</w:t>
      </w:r>
      <w:r w:rsidRPr="008539D4">
        <w:rPr>
          <w:rFonts w:asciiTheme="majorHAnsi" w:hAnsiTheme="majorHAnsi"/>
          <w:sz w:val="20"/>
          <w:szCs w:val="20"/>
        </w:rPr>
        <w:t xml:space="preserve">    </w:t>
      </w:r>
      <w:r w:rsidRPr="008539D4">
        <w:rPr>
          <w:rFonts w:asciiTheme="majorHAnsi" w:hAnsiTheme="majorHAnsi"/>
          <w:color w:val="EE0000"/>
          <w:sz w:val="20"/>
          <w:szCs w:val="20"/>
        </w:rPr>
        <w:t xml:space="preserve">No </w:t>
      </w:r>
      <w:r w:rsidRPr="008539D4">
        <w:rPr>
          <w:rFonts w:ascii="Segoe UI Symbol" w:hAnsi="Segoe UI Symbol" w:cs="Segoe UI Symbol"/>
          <w:sz w:val="20"/>
          <w:szCs w:val="20"/>
        </w:rPr>
        <w:t>☒</w:t>
      </w:r>
      <w:r w:rsidRPr="008539D4">
        <w:rPr>
          <w:rFonts w:asciiTheme="majorHAnsi" w:hAnsiTheme="majorHAnsi"/>
          <w:color w:val="EE0000"/>
          <w:sz w:val="20"/>
          <w:szCs w:val="20"/>
        </w:rPr>
        <w:t> </w:t>
      </w:r>
    </w:p>
    <w:p w14:paraId="485AA559" w14:textId="77777777" w:rsidR="00AE733A" w:rsidRPr="008539D4" w:rsidRDefault="00AE733A" w:rsidP="00AE733A">
      <w:pPr>
        <w:tabs>
          <w:tab w:val="num" w:pos="284"/>
        </w:tabs>
        <w:spacing w:after="0" w:line="240" w:lineRule="auto"/>
        <w:jc w:val="both"/>
        <w:rPr>
          <w:rFonts w:asciiTheme="majorHAnsi" w:eastAsia="Cambria" w:hAnsiTheme="majorHAnsi" w:cs="Cambria"/>
          <w:sz w:val="20"/>
          <w:szCs w:val="20"/>
          <w:lang w:val="en-US"/>
        </w:rPr>
      </w:pPr>
    </w:p>
    <w:p w14:paraId="4AAC99EB" w14:textId="573A3E8F" w:rsidR="00FD68CA" w:rsidRPr="008539D4" w:rsidRDefault="00FD68CA" w:rsidP="00AE733A">
      <w:pPr>
        <w:tabs>
          <w:tab w:val="num" w:pos="284"/>
        </w:tabs>
        <w:spacing w:after="0" w:line="240" w:lineRule="auto"/>
        <w:jc w:val="both"/>
        <w:rPr>
          <w:rFonts w:asciiTheme="majorHAnsi" w:eastAsia="Cambria" w:hAnsiTheme="majorHAnsi" w:cs="Cambria"/>
          <w:sz w:val="20"/>
          <w:szCs w:val="20"/>
        </w:rPr>
      </w:pPr>
      <w:r w:rsidRPr="008539D4">
        <w:rPr>
          <w:rFonts w:asciiTheme="majorHAnsi" w:hAnsiTheme="majorHAnsi"/>
          <w:sz w:val="20"/>
          <w:szCs w:val="20"/>
        </w:rPr>
        <w:t>¿Está este trabajo ya incluido en el Plan de trabajo actual del SCRS?</w:t>
      </w:r>
      <w:r w:rsidRPr="008539D4">
        <w:rPr>
          <w:rFonts w:asciiTheme="majorHAnsi" w:hAnsiTheme="majorHAnsi"/>
          <w:sz w:val="20"/>
          <w:szCs w:val="20"/>
        </w:rPr>
        <w:tab/>
      </w:r>
      <w:r w:rsidR="00876DF0">
        <w:rPr>
          <w:rFonts w:asciiTheme="majorHAnsi" w:hAnsiTheme="majorHAnsi"/>
          <w:sz w:val="20"/>
          <w:szCs w:val="20"/>
        </w:rPr>
        <w:tab/>
      </w:r>
      <w:proofErr w:type="gramStart"/>
      <w:r w:rsidRPr="008539D4">
        <w:rPr>
          <w:rFonts w:asciiTheme="majorHAnsi" w:hAnsiTheme="majorHAnsi"/>
          <w:sz w:val="20"/>
          <w:szCs w:val="20"/>
        </w:rPr>
        <w:t xml:space="preserve">Sí  </w:t>
      </w:r>
      <w:r w:rsidRPr="008539D4">
        <w:rPr>
          <w:rFonts w:ascii="Segoe UI Symbol" w:hAnsi="Segoe UI Symbol" w:cs="Segoe UI Symbol"/>
          <w:sz w:val="20"/>
          <w:szCs w:val="20"/>
        </w:rPr>
        <w:t>☐</w:t>
      </w:r>
      <w:proofErr w:type="gramEnd"/>
      <w:r w:rsidRPr="008539D4">
        <w:rPr>
          <w:rFonts w:asciiTheme="majorHAnsi" w:hAnsiTheme="majorHAnsi"/>
          <w:sz w:val="20"/>
          <w:szCs w:val="20"/>
        </w:rPr>
        <w:tab/>
      </w:r>
      <w:r w:rsidRPr="008539D4">
        <w:rPr>
          <w:rFonts w:asciiTheme="majorHAnsi" w:hAnsiTheme="majorHAnsi"/>
          <w:sz w:val="20"/>
          <w:szCs w:val="20"/>
        </w:rPr>
        <w:tab/>
        <w:t>No</w:t>
      </w:r>
      <w:r w:rsidR="004239CB">
        <w:rPr>
          <w:rFonts w:asciiTheme="majorHAnsi" w:hAnsiTheme="majorHAnsi"/>
          <w:sz w:val="20"/>
          <w:szCs w:val="20"/>
        </w:rPr>
        <w:t xml:space="preserve"> </w:t>
      </w:r>
      <w:r w:rsidR="004239CB" w:rsidRPr="008539D4">
        <w:rPr>
          <w:rFonts w:ascii="Segoe UI Symbol" w:hAnsi="Segoe UI Symbol" w:cs="Segoe UI Symbol"/>
          <w:sz w:val="20"/>
          <w:szCs w:val="20"/>
        </w:rPr>
        <w:t>☐</w:t>
      </w:r>
      <w:r w:rsidRPr="008539D4">
        <w:rPr>
          <w:rFonts w:asciiTheme="majorHAnsi" w:hAnsiTheme="majorHAnsi"/>
          <w:sz w:val="20"/>
          <w:szCs w:val="20"/>
        </w:rPr>
        <w:t> </w:t>
      </w:r>
    </w:p>
    <w:p w14:paraId="2BC1F185" w14:textId="77777777" w:rsidR="00AE733A" w:rsidRPr="008539D4" w:rsidRDefault="00AE733A" w:rsidP="00AE733A">
      <w:pPr>
        <w:tabs>
          <w:tab w:val="num" w:pos="284"/>
        </w:tabs>
        <w:spacing w:after="0" w:line="240" w:lineRule="auto"/>
        <w:jc w:val="both"/>
        <w:rPr>
          <w:rFonts w:asciiTheme="majorHAnsi" w:eastAsia="Cambria" w:hAnsiTheme="majorHAnsi" w:cs="Cambria"/>
          <w:sz w:val="20"/>
          <w:szCs w:val="20"/>
        </w:rPr>
      </w:pPr>
    </w:p>
    <w:p w14:paraId="5A99BA24" w14:textId="58861AE0" w:rsidR="00FD68CA" w:rsidRPr="008539D4" w:rsidRDefault="00FD68CA" w:rsidP="00AE733A">
      <w:pPr>
        <w:tabs>
          <w:tab w:val="num" w:pos="284"/>
        </w:tabs>
        <w:spacing w:after="0" w:line="240" w:lineRule="auto"/>
        <w:jc w:val="both"/>
        <w:rPr>
          <w:rFonts w:asciiTheme="majorHAnsi" w:eastAsia="Cambria" w:hAnsiTheme="majorHAnsi" w:cs="Cambria"/>
          <w:sz w:val="20"/>
          <w:szCs w:val="20"/>
        </w:rPr>
      </w:pPr>
      <w:r w:rsidRPr="008539D4">
        <w:rPr>
          <w:rFonts w:asciiTheme="majorHAnsi" w:hAnsiTheme="majorHAnsi"/>
          <w:sz w:val="20"/>
          <w:szCs w:val="20"/>
        </w:rPr>
        <w:t>Breve descripción del nuevo trabajo científico necesario (es decir, evaluación del stock, análisis, consultor externo): </w:t>
      </w:r>
    </w:p>
    <w:p w14:paraId="5686D4E3" w14:textId="77777777" w:rsidR="00FD68CA" w:rsidRPr="008539D4" w:rsidRDefault="00FD68CA" w:rsidP="00AE733A">
      <w:pPr>
        <w:tabs>
          <w:tab w:val="num" w:pos="284"/>
        </w:tabs>
        <w:spacing w:after="0" w:line="240" w:lineRule="auto"/>
        <w:jc w:val="both"/>
        <w:rPr>
          <w:rFonts w:asciiTheme="majorHAnsi" w:eastAsia="Cambria" w:hAnsiTheme="majorHAnsi" w:cs="Cambria"/>
          <w:b/>
          <w:bCs/>
          <w:sz w:val="20"/>
          <w:szCs w:val="20"/>
        </w:rPr>
      </w:pPr>
      <w:r w:rsidRPr="008539D4">
        <w:rPr>
          <w:rFonts w:asciiTheme="majorHAnsi" w:hAnsiTheme="majorHAnsi"/>
          <w:b/>
          <w:sz w:val="20"/>
          <w:szCs w:val="20"/>
        </w:rPr>
        <w:t> </w:t>
      </w:r>
    </w:p>
    <w:p w14:paraId="0DA1F231" w14:textId="77777777" w:rsidR="00FD68CA" w:rsidRPr="008539D4" w:rsidRDefault="00FD68CA" w:rsidP="00AE733A">
      <w:pPr>
        <w:numPr>
          <w:ilvl w:val="0"/>
          <w:numId w:val="15"/>
        </w:numPr>
        <w:tabs>
          <w:tab w:val="clear" w:pos="360"/>
          <w:tab w:val="num" w:pos="284"/>
          <w:tab w:val="num" w:pos="720"/>
        </w:tabs>
        <w:spacing w:after="0" w:line="240" w:lineRule="auto"/>
        <w:ind w:left="0" w:firstLine="0"/>
        <w:jc w:val="both"/>
        <w:rPr>
          <w:rFonts w:asciiTheme="majorHAnsi" w:eastAsia="Cambria" w:hAnsiTheme="majorHAnsi" w:cs="Cambria"/>
          <w:sz w:val="20"/>
          <w:szCs w:val="20"/>
        </w:rPr>
      </w:pPr>
      <w:r w:rsidRPr="008539D4">
        <w:rPr>
          <w:rFonts w:asciiTheme="majorHAnsi" w:hAnsiTheme="majorHAnsi"/>
          <w:sz w:val="20"/>
          <w:szCs w:val="20"/>
        </w:rPr>
        <w:t xml:space="preserve">¿Implica la creación de un </w:t>
      </w:r>
      <w:r w:rsidRPr="008539D4">
        <w:rPr>
          <w:rFonts w:asciiTheme="majorHAnsi" w:hAnsiTheme="majorHAnsi"/>
          <w:b/>
          <w:bCs/>
          <w:sz w:val="20"/>
          <w:szCs w:val="20"/>
        </w:rPr>
        <w:t>nuevo grupo de trabajo o proceso intersesiones</w:t>
      </w:r>
      <w:r w:rsidRPr="008539D4">
        <w:rPr>
          <w:rFonts w:asciiTheme="majorHAnsi" w:hAnsiTheme="majorHAnsi"/>
          <w:sz w:val="20"/>
          <w:szCs w:val="20"/>
        </w:rPr>
        <w:t xml:space="preserve">? Sí </w:t>
      </w:r>
      <w:r w:rsidRPr="008539D4">
        <w:rPr>
          <w:rFonts w:ascii="Segoe UI Symbol" w:hAnsi="Segoe UI Symbol" w:cs="Segoe UI Symbol"/>
          <w:sz w:val="20"/>
          <w:szCs w:val="20"/>
        </w:rPr>
        <w:t>☐</w:t>
      </w:r>
      <w:r w:rsidRPr="008539D4">
        <w:rPr>
          <w:rFonts w:asciiTheme="majorHAnsi" w:hAnsiTheme="majorHAnsi"/>
          <w:sz w:val="20"/>
          <w:szCs w:val="20"/>
        </w:rPr>
        <w:t xml:space="preserve">    </w:t>
      </w:r>
      <w:r w:rsidRPr="008539D4">
        <w:rPr>
          <w:rFonts w:asciiTheme="majorHAnsi" w:hAnsiTheme="majorHAnsi"/>
          <w:color w:val="EE0000"/>
          <w:sz w:val="20"/>
          <w:szCs w:val="20"/>
        </w:rPr>
        <w:t xml:space="preserve">No </w:t>
      </w:r>
      <w:r w:rsidRPr="008539D4">
        <w:rPr>
          <w:rFonts w:ascii="Segoe UI Symbol" w:hAnsi="Segoe UI Symbol" w:cs="Segoe UI Symbol"/>
          <w:color w:val="EE0000"/>
          <w:sz w:val="20"/>
          <w:szCs w:val="20"/>
        </w:rPr>
        <w:t>☒</w:t>
      </w:r>
      <w:r w:rsidRPr="008539D4">
        <w:rPr>
          <w:rFonts w:asciiTheme="majorHAnsi" w:hAnsiTheme="majorHAnsi"/>
          <w:color w:val="0070C0"/>
          <w:sz w:val="20"/>
          <w:szCs w:val="20"/>
        </w:rPr>
        <w:t> </w:t>
      </w:r>
    </w:p>
    <w:p w14:paraId="18D50098" w14:textId="77777777" w:rsidR="00FD68CA" w:rsidRPr="008539D4" w:rsidRDefault="00FD68CA" w:rsidP="00AE733A">
      <w:pPr>
        <w:tabs>
          <w:tab w:val="num" w:pos="284"/>
        </w:tabs>
        <w:spacing w:after="0" w:line="240" w:lineRule="auto"/>
        <w:jc w:val="both"/>
        <w:rPr>
          <w:rFonts w:asciiTheme="majorHAnsi" w:eastAsia="Cambria" w:hAnsiTheme="majorHAnsi" w:cs="Cambria"/>
          <w:b/>
          <w:bCs/>
          <w:sz w:val="20"/>
          <w:szCs w:val="20"/>
        </w:rPr>
      </w:pPr>
      <w:r w:rsidRPr="008539D4">
        <w:rPr>
          <w:rFonts w:asciiTheme="majorHAnsi" w:hAnsiTheme="majorHAnsi"/>
          <w:b/>
          <w:sz w:val="20"/>
          <w:szCs w:val="20"/>
        </w:rPr>
        <w:t> </w:t>
      </w:r>
    </w:p>
    <w:p w14:paraId="4BA7C2CB" w14:textId="77777777" w:rsidR="00881480" w:rsidRPr="00881480" w:rsidRDefault="00FD68CA" w:rsidP="00AE733A">
      <w:pPr>
        <w:numPr>
          <w:ilvl w:val="0"/>
          <w:numId w:val="16"/>
        </w:numPr>
        <w:tabs>
          <w:tab w:val="clear" w:pos="360"/>
          <w:tab w:val="num" w:pos="284"/>
          <w:tab w:val="num" w:pos="720"/>
        </w:tabs>
        <w:spacing w:after="0" w:line="240" w:lineRule="auto"/>
        <w:ind w:left="0" w:firstLine="0"/>
        <w:jc w:val="both"/>
        <w:rPr>
          <w:rFonts w:asciiTheme="majorHAnsi" w:eastAsia="Cambria" w:hAnsiTheme="majorHAnsi" w:cs="Cambria"/>
          <w:color w:val="0070C0"/>
          <w:sz w:val="20"/>
          <w:szCs w:val="20"/>
        </w:rPr>
      </w:pPr>
      <w:r w:rsidRPr="008539D4">
        <w:rPr>
          <w:rFonts w:asciiTheme="majorHAnsi" w:hAnsiTheme="majorHAnsi"/>
          <w:sz w:val="20"/>
          <w:szCs w:val="20"/>
        </w:rPr>
        <w:t>¿Requiere un nuevo</w:t>
      </w:r>
      <w:r w:rsidRPr="008539D4">
        <w:rPr>
          <w:rFonts w:asciiTheme="majorHAnsi" w:hAnsiTheme="majorHAnsi"/>
          <w:b/>
          <w:bCs/>
          <w:sz w:val="20"/>
          <w:szCs w:val="20"/>
        </w:rPr>
        <w:t xml:space="preserve"> programa o actividades adicionales que deba gestionar la Secretaría</w:t>
      </w:r>
      <w:r w:rsidRPr="008539D4">
        <w:rPr>
          <w:rFonts w:asciiTheme="majorHAnsi" w:hAnsiTheme="majorHAnsi"/>
          <w:sz w:val="20"/>
          <w:szCs w:val="20"/>
        </w:rPr>
        <w:t>?  </w:t>
      </w:r>
    </w:p>
    <w:p w14:paraId="630B062F" w14:textId="77777777" w:rsidR="00881480" w:rsidRDefault="00881480" w:rsidP="00881480">
      <w:pPr>
        <w:tabs>
          <w:tab w:val="num" w:pos="284"/>
          <w:tab w:val="num" w:pos="720"/>
        </w:tabs>
        <w:spacing w:after="0" w:line="240" w:lineRule="auto"/>
        <w:jc w:val="both"/>
        <w:rPr>
          <w:rFonts w:asciiTheme="majorHAnsi" w:hAnsiTheme="majorHAnsi"/>
          <w:sz w:val="20"/>
          <w:szCs w:val="20"/>
        </w:rPr>
      </w:pPr>
    </w:p>
    <w:p w14:paraId="04003D82" w14:textId="4258527A" w:rsidR="00633DD8" w:rsidRPr="008539D4" w:rsidRDefault="00881480" w:rsidP="00881480">
      <w:pPr>
        <w:tabs>
          <w:tab w:val="num" w:pos="284"/>
          <w:tab w:val="num" w:pos="720"/>
        </w:tabs>
        <w:spacing w:after="0" w:line="240" w:lineRule="auto"/>
        <w:jc w:val="both"/>
        <w:rPr>
          <w:rFonts w:asciiTheme="majorHAnsi" w:eastAsia="Cambria" w:hAnsiTheme="majorHAnsi" w:cs="Cambria"/>
          <w:color w:val="0070C0"/>
          <w:sz w:val="20"/>
          <w:szCs w:val="20"/>
        </w:rPr>
      </w:pPr>
      <w:r>
        <w:rPr>
          <w:rFonts w:asciiTheme="majorHAnsi" w:hAnsiTheme="majorHAnsi"/>
          <w:sz w:val="20"/>
          <w:szCs w:val="20"/>
        </w:rPr>
        <w:tab/>
      </w:r>
      <w:r w:rsidR="00FD68CA" w:rsidRPr="008539D4">
        <w:rPr>
          <w:rFonts w:asciiTheme="majorHAnsi" w:hAnsiTheme="majorHAnsi"/>
          <w:sz w:val="20"/>
          <w:szCs w:val="20"/>
        </w:rPr>
        <w:t xml:space="preserve"> Sí </w:t>
      </w:r>
      <w:r w:rsidR="00FD68CA" w:rsidRPr="008539D4">
        <w:rPr>
          <w:rFonts w:ascii="Segoe UI Symbol" w:hAnsi="Segoe UI Symbol" w:cs="Segoe UI Symbol"/>
          <w:sz w:val="20"/>
          <w:szCs w:val="20"/>
        </w:rPr>
        <w:t>☐</w:t>
      </w:r>
      <w:r w:rsidR="00FD68CA" w:rsidRPr="008539D4">
        <w:rPr>
          <w:rFonts w:asciiTheme="majorHAnsi" w:hAnsiTheme="majorHAnsi"/>
          <w:sz w:val="20"/>
          <w:szCs w:val="20"/>
        </w:rPr>
        <w:t xml:space="preserve"> </w:t>
      </w:r>
      <w:r>
        <w:rPr>
          <w:rFonts w:asciiTheme="majorHAnsi" w:hAnsiTheme="majorHAnsi"/>
          <w:sz w:val="20"/>
          <w:szCs w:val="20"/>
        </w:rPr>
        <w:tab/>
      </w:r>
      <w:r w:rsidR="00FD68CA" w:rsidRPr="008539D4">
        <w:rPr>
          <w:rFonts w:asciiTheme="majorHAnsi" w:hAnsiTheme="majorHAnsi"/>
          <w:sz w:val="20"/>
          <w:szCs w:val="20"/>
        </w:rPr>
        <w:t xml:space="preserve"> </w:t>
      </w:r>
      <w:r w:rsidR="00FD68CA" w:rsidRPr="008539D4">
        <w:rPr>
          <w:rFonts w:asciiTheme="majorHAnsi" w:hAnsiTheme="majorHAnsi"/>
          <w:color w:val="EE0000"/>
          <w:sz w:val="20"/>
          <w:szCs w:val="20"/>
        </w:rPr>
        <w:t xml:space="preserve">No </w:t>
      </w:r>
      <w:r w:rsidR="00FD68CA" w:rsidRPr="008539D4">
        <w:rPr>
          <w:rFonts w:ascii="Segoe UI Symbol" w:hAnsi="Segoe UI Symbol" w:cs="Segoe UI Symbol"/>
          <w:color w:val="EE0000"/>
          <w:sz w:val="20"/>
          <w:szCs w:val="20"/>
        </w:rPr>
        <w:t>☒</w:t>
      </w:r>
      <w:r w:rsidR="00FD68CA" w:rsidRPr="008539D4">
        <w:rPr>
          <w:rFonts w:asciiTheme="majorHAnsi" w:hAnsiTheme="majorHAnsi"/>
          <w:color w:val="0070C0"/>
          <w:sz w:val="20"/>
          <w:szCs w:val="20"/>
        </w:rPr>
        <w:t> </w:t>
      </w:r>
    </w:p>
    <w:p w14:paraId="3C571847" w14:textId="77777777" w:rsidR="002707E7" w:rsidRPr="008539D4" w:rsidRDefault="002707E7" w:rsidP="00AE733A">
      <w:pPr>
        <w:tabs>
          <w:tab w:val="num" w:pos="284"/>
        </w:tabs>
        <w:spacing w:after="0" w:line="240" w:lineRule="auto"/>
        <w:jc w:val="both"/>
        <w:rPr>
          <w:rFonts w:asciiTheme="majorHAnsi" w:eastAsia="Cambria" w:hAnsiTheme="majorHAnsi" w:cs="Cambria"/>
          <w:color w:val="0070C0"/>
          <w:sz w:val="20"/>
          <w:szCs w:val="20"/>
          <w:lang w:val="en-IE"/>
        </w:rPr>
      </w:pPr>
    </w:p>
    <w:p w14:paraId="294F6D8B" w14:textId="77777777" w:rsidR="00FD68CA" w:rsidRPr="008539D4" w:rsidRDefault="00FD68CA" w:rsidP="00AE733A">
      <w:pPr>
        <w:numPr>
          <w:ilvl w:val="0"/>
          <w:numId w:val="17"/>
        </w:numPr>
        <w:tabs>
          <w:tab w:val="num" w:pos="284"/>
        </w:tabs>
        <w:spacing w:after="0" w:line="240" w:lineRule="auto"/>
        <w:ind w:left="0" w:firstLine="0"/>
        <w:jc w:val="both"/>
        <w:rPr>
          <w:rFonts w:asciiTheme="majorHAnsi" w:eastAsia="Cambria" w:hAnsiTheme="majorHAnsi" w:cs="Cambria"/>
          <w:sz w:val="20"/>
          <w:szCs w:val="20"/>
        </w:rPr>
      </w:pPr>
      <w:r w:rsidRPr="008539D4">
        <w:rPr>
          <w:rFonts w:asciiTheme="majorHAnsi" w:hAnsiTheme="majorHAnsi"/>
          <w:sz w:val="20"/>
          <w:szCs w:val="20"/>
        </w:rPr>
        <w:t>¿Cuál es el calendario propuesto para la implementación? ¿Existen distintos calendarios específicos para determinadas CPC, pesquerías, regiones, etc.? </w:t>
      </w:r>
    </w:p>
    <w:p w14:paraId="672A4490" w14:textId="77777777" w:rsidR="00FD68CA" w:rsidRPr="008539D4" w:rsidRDefault="00FD68CA" w:rsidP="00AE733A">
      <w:pPr>
        <w:tabs>
          <w:tab w:val="num" w:pos="284"/>
        </w:tabs>
        <w:spacing w:after="0" w:line="240" w:lineRule="auto"/>
        <w:jc w:val="both"/>
        <w:rPr>
          <w:rFonts w:asciiTheme="majorHAnsi" w:eastAsia="Cambria" w:hAnsiTheme="majorHAnsi" w:cs="Cambria"/>
          <w:b/>
          <w:bCs/>
          <w:sz w:val="20"/>
          <w:szCs w:val="20"/>
        </w:rPr>
      </w:pPr>
      <w:r w:rsidRPr="008539D4">
        <w:rPr>
          <w:rFonts w:asciiTheme="majorHAnsi" w:hAnsiTheme="majorHAnsi"/>
          <w:b/>
          <w:sz w:val="20"/>
          <w:szCs w:val="20"/>
        </w:rPr>
        <w:t> </w:t>
      </w:r>
    </w:p>
    <w:p w14:paraId="5B9524B3" w14:textId="77777777" w:rsidR="00FD68CA" w:rsidRPr="008539D4" w:rsidRDefault="00FD68CA" w:rsidP="00AE733A">
      <w:pPr>
        <w:numPr>
          <w:ilvl w:val="0"/>
          <w:numId w:val="18"/>
        </w:numPr>
        <w:tabs>
          <w:tab w:val="num" w:pos="284"/>
        </w:tabs>
        <w:spacing w:after="0" w:line="240" w:lineRule="auto"/>
        <w:ind w:left="0" w:firstLine="0"/>
        <w:jc w:val="both"/>
        <w:rPr>
          <w:rFonts w:asciiTheme="majorHAnsi" w:eastAsia="Cambria" w:hAnsiTheme="majorHAnsi" w:cs="Cambria"/>
          <w:sz w:val="20"/>
          <w:szCs w:val="20"/>
        </w:rPr>
      </w:pPr>
      <w:r w:rsidRPr="008539D4">
        <w:rPr>
          <w:rFonts w:asciiTheme="majorHAnsi" w:hAnsiTheme="majorHAnsi"/>
          <w:sz w:val="20"/>
          <w:szCs w:val="20"/>
        </w:rPr>
        <w:t>¿Hay alguna otra información pertinente sobre las repercusiones de la propuesta en lo referente a los recursos y a la carga de trabajo? </w:t>
      </w:r>
    </w:p>
    <w:p w14:paraId="6B60D99B" w14:textId="77777777" w:rsidR="00FD68CA" w:rsidRPr="008539D4" w:rsidRDefault="00FD68CA" w:rsidP="00AE733A">
      <w:pPr>
        <w:spacing w:after="0" w:line="240" w:lineRule="auto"/>
        <w:jc w:val="both"/>
        <w:rPr>
          <w:rFonts w:asciiTheme="majorHAnsi" w:eastAsia="Cambria" w:hAnsiTheme="majorHAnsi" w:cs="Cambria"/>
          <w:b/>
          <w:bCs/>
          <w:sz w:val="20"/>
          <w:szCs w:val="20"/>
        </w:rPr>
      </w:pPr>
      <w:r w:rsidRPr="008539D4">
        <w:rPr>
          <w:rFonts w:asciiTheme="majorHAnsi" w:hAnsiTheme="majorHAnsi"/>
          <w:sz w:val="20"/>
          <w:szCs w:val="20"/>
        </w:rPr>
        <w:br w:type="page"/>
      </w:r>
    </w:p>
    <w:p w14:paraId="2A8E4C7C" w14:textId="21EDBE68" w:rsidR="00A51188" w:rsidRPr="008539D4" w:rsidRDefault="06F7A77E" w:rsidP="00A51188">
      <w:pPr>
        <w:spacing w:after="0" w:line="240" w:lineRule="auto"/>
        <w:jc w:val="center"/>
        <w:rPr>
          <w:rFonts w:asciiTheme="majorHAnsi" w:eastAsia="Cambria" w:hAnsiTheme="majorHAnsi" w:cs="Cambria"/>
          <w:b/>
          <w:bCs/>
          <w:sz w:val="20"/>
          <w:szCs w:val="20"/>
        </w:rPr>
      </w:pPr>
      <w:r w:rsidRPr="008539D4">
        <w:rPr>
          <w:rFonts w:asciiTheme="majorHAnsi" w:hAnsiTheme="majorHAnsi"/>
          <w:b/>
          <w:sz w:val="20"/>
          <w:szCs w:val="20"/>
        </w:rPr>
        <w:lastRenderedPageBreak/>
        <w:t xml:space="preserve">Nota explicativa sobre el </w:t>
      </w:r>
      <w:r w:rsidRPr="008539D4">
        <w:rPr>
          <w:rFonts w:asciiTheme="majorHAnsi" w:hAnsiTheme="majorHAnsi"/>
          <w:b/>
          <w:sz w:val="20"/>
          <w:szCs w:val="20"/>
          <w:highlight w:val="cyan"/>
          <w:u w:val="single"/>
        </w:rPr>
        <w:t>Proyecto de Recomendación de ICCAT</w:t>
      </w:r>
      <w:r w:rsidRPr="008539D4">
        <w:rPr>
          <w:rFonts w:asciiTheme="majorHAnsi" w:hAnsiTheme="majorHAnsi"/>
          <w:b/>
          <w:sz w:val="20"/>
          <w:szCs w:val="20"/>
        </w:rPr>
        <w:t xml:space="preserve"> sobre sistemas de seguimiento electrónico (EMS) </w:t>
      </w:r>
      <w:r w:rsidR="00A51188" w:rsidRPr="008539D4">
        <w:rPr>
          <w:rFonts w:asciiTheme="majorHAnsi" w:hAnsiTheme="majorHAnsi"/>
          <w:b/>
          <w:sz w:val="20"/>
          <w:szCs w:val="20"/>
        </w:rPr>
        <w:t>para mejorar el control de los buques de transformación de atún rojo</w:t>
      </w:r>
    </w:p>
    <w:p w14:paraId="15C3DEE1" w14:textId="77777777" w:rsidR="00975EFE" w:rsidRDefault="00975EFE" w:rsidP="00A51188">
      <w:pPr>
        <w:widowControl w:val="0"/>
        <w:spacing w:after="80" w:line="240" w:lineRule="auto"/>
        <w:ind w:hanging="10"/>
        <w:jc w:val="center"/>
        <w:rPr>
          <w:rFonts w:asciiTheme="majorHAnsi" w:hAnsiTheme="majorHAnsi"/>
          <w:i/>
          <w:sz w:val="20"/>
          <w:szCs w:val="20"/>
        </w:rPr>
      </w:pPr>
    </w:p>
    <w:p w14:paraId="421A14B3" w14:textId="38AE6776" w:rsidR="00EE1557" w:rsidRPr="008539D4" w:rsidRDefault="00EE1557" w:rsidP="00A51188">
      <w:pPr>
        <w:widowControl w:val="0"/>
        <w:spacing w:after="80" w:line="240" w:lineRule="auto"/>
        <w:ind w:hanging="10"/>
        <w:jc w:val="center"/>
        <w:rPr>
          <w:rFonts w:asciiTheme="majorHAnsi" w:eastAsia="Cambria" w:hAnsiTheme="majorHAnsi" w:cs="Cambria"/>
          <w:i/>
          <w:iCs/>
          <w:kern w:val="0"/>
          <w:sz w:val="20"/>
          <w:szCs w:val="20"/>
          <w14:ligatures w14:val="none"/>
        </w:rPr>
      </w:pPr>
      <w:r w:rsidRPr="008539D4">
        <w:rPr>
          <w:rFonts w:asciiTheme="majorHAnsi" w:hAnsiTheme="majorHAnsi"/>
          <w:i/>
          <w:sz w:val="20"/>
          <w:szCs w:val="20"/>
        </w:rPr>
        <w:t>(documento presentado por la Unión Europea)</w:t>
      </w:r>
    </w:p>
    <w:p w14:paraId="4E21C92D" w14:textId="77777777" w:rsidR="00C35971" w:rsidRPr="008539D4" w:rsidRDefault="00C35971" w:rsidP="002707E7">
      <w:pPr>
        <w:widowControl w:val="0"/>
        <w:spacing w:after="80" w:line="240" w:lineRule="auto"/>
        <w:ind w:hanging="10"/>
        <w:jc w:val="both"/>
        <w:rPr>
          <w:rFonts w:asciiTheme="majorHAnsi" w:eastAsia="Cambria" w:hAnsiTheme="majorHAnsi" w:cs="Cambria"/>
          <w:sz w:val="20"/>
          <w:szCs w:val="20"/>
        </w:rPr>
      </w:pPr>
    </w:p>
    <w:p w14:paraId="76167327" w14:textId="2C80086D" w:rsidR="369CA84E" w:rsidRPr="008539D4" w:rsidRDefault="369CA84E" w:rsidP="00A51188">
      <w:pPr>
        <w:spacing w:after="0" w:line="240" w:lineRule="auto"/>
        <w:jc w:val="both"/>
        <w:rPr>
          <w:rFonts w:asciiTheme="majorHAnsi" w:eastAsia="Cambria" w:hAnsiTheme="majorHAnsi" w:cs="Cambria"/>
          <w:sz w:val="20"/>
          <w:szCs w:val="20"/>
        </w:rPr>
      </w:pPr>
      <w:r w:rsidRPr="008539D4">
        <w:rPr>
          <w:rFonts w:asciiTheme="majorHAnsi" w:hAnsiTheme="majorHAnsi"/>
          <w:sz w:val="20"/>
          <w:szCs w:val="20"/>
        </w:rPr>
        <w:t xml:space="preserve">Este documento es una propuesta para introducir sistemas de seguimiento electrónico (EMS) para mejorar el control de los buques de transformación de atún rojo. Esta propuesta implica la modificación de la  </w:t>
      </w:r>
      <w:hyperlink r:id="rId11">
        <w:r w:rsidRPr="008539D4">
          <w:rPr>
            <w:rStyle w:val="Hyperlink"/>
            <w:rFonts w:asciiTheme="majorHAnsi" w:hAnsiTheme="majorHAnsi"/>
            <w:i/>
            <w:sz w:val="20"/>
            <w:szCs w:val="20"/>
            <w:u w:val="none"/>
          </w:rPr>
          <w:t>Recomendación de ICCAT que reemplaza la Recomendación 24-05 que establece un plan de ordenación plurianual para el atún rojo en el Atlántico este y el Mediterráneo</w:t>
        </w:r>
        <w:r w:rsidRPr="008539D4">
          <w:rPr>
            <w:rStyle w:val="Hyperlink"/>
            <w:rFonts w:asciiTheme="majorHAnsi" w:hAnsiTheme="majorHAnsi"/>
            <w:sz w:val="20"/>
            <w:szCs w:val="20"/>
            <w:u w:val="none"/>
          </w:rPr>
          <w:t xml:space="preserve"> (Rec. 25-04)</w:t>
        </w:r>
      </w:hyperlink>
      <w:r w:rsidRPr="008539D4">
        <w:rPr>
          <w:rFonts w:asciiTheme="majorHAnsi" w:hAnsiTheme="majorHAnsi"/>
          <w:sz w:val="20"/>
          <w:szCs w:val="20"/>
        </w:rPr>
        <w:t xml:space="preserve"> para incorporar el sistema entre las herramientas de control establecidas para la pesca de atún rojo y la modificación de la </w:t>
      </w:r>
      <w:hyperlink r:id="rId12">
        <w:r w:rsidRPr="008539D4">
          <w:rPr>
            <w:rStyle w:val="Hyperlink"/>
            <w:rFonts w:asciiTheme="majorHAnsi" w:hAnsiTheme="majorHAnsi"/>
            <w:i/>
            <w:iCs/>
            <w:sz w:val="20"/>
            <w:szCs w:val="20"/>
            <w:u w:val="none"/>
          </w:rPr>
          <w:t>Recomendación de ICCAT que establece normas mínimas y requisitos del programa para el uso de sistemas de seguimiento electrónico (EMS) en las pesquerías de ICCAT</w:t>
        </w:r>
        <w:r w:rsidRPr="008539D4">
          <w:rPr>
            <w:rStyle w:val="Hyperlink"/>
            <w:rFonts w:asciiTheme="majorHAnsi" w:hAnsiTheme="majorHAnsi"/>
            <w:sz w:val="20"/>
            <w:szCs w:val="20"/>
            <w:u w:val="none"/>
          </w:rPr>
          <w:t xml:space="preserve"> (Rec. 23-18).</w:t>
        </w:r>
      </w:hyperlink>
      <w:r w:rsidRPr="008539D4">
        <w:rPr>
          <w:rFonts w:asciiTheme="majorHAnsi" w:hAnsiTheme="majorHAnsi"/>
          <w:sz w:val="20"/>
          <w:szCs w:val="20"/>
        </w:rPr>
        <w:t xml:space="preserve"> (tal y como se establece en el documento</w:t>
      </w:r>
      <w:r w:rsidR="00766376">
        <w:rPr>
          <w:rFonts w:asciiTheme="majorHAnsi" w:hAnsiTheme="majorHAnsi"/>
          <w:sz w:val="20"/>
          <w:szCs w:val="20"/>
        </w:rPr>
        <w:t xml:space="preserve"> </w:t>
      </w:r>
      <w:r w:rsidRPr="008539D4">
        <w:rPr>
          <w:rFonts w:asciiTheme="majorHAnsi" w:hAnsiTheme="majorHAnsi"/>
          <w:sz w:val="20"/>
          <w:szCs w:val="20"/>
        </w:rPr>
        <w:t>EMS_08_</w:t>
      </w:r>
      <w:r w:rsidR="00766376">
        <w:rPr>
          <w:rFonts w:asciiTheme="majorHAnsi" w:hAnsiTheme="majorHAnsi"/>
          <w:sz w:val="20"/>
          <w:szCs w:val="20"/>
        </w:rPr>
        <w:t>SPA</w:t>
      </w:r>
      <w:r w:rsidRPr="008539D4">
        <w:rPr>
          <w:rFonts w:asciiTheme="majorHAnsi" w:hAnsiTheme="majorHAnsi"/>
          <w:sz w:val="20"/>
          <w:szCs w:val="20"/>
        </w:rPr>
        <w:t>_REV_1) para incluir un anexo con las normas mínimas aplicables al sistema EMS en los buques de transformación, ya que las normas mínimas actuales de la Recomendación solo cubren los cerqueros y palangreros.</w:t>
      </w:r>
    </w:p>
    <w:p w14:paraId="2EA91C03" w14:textId="77777777" w:rsidR="00A51188" w:rsidRPr="008539D4" w:rsidRDefault="00A51188" w:rsidP="00A51188">
      <w:pPr>
        <w:spacing w:after="0" w:line="240" w:lineRule="auto"/>
        <w:jc w:val="both"/>
        <w:rPr>
          <w:rFonts w:asciiTheme="majorHAnsi" w:eastAsia="Cambria" w:hAnsiTheme="majorHAnsi" w:cs="Cambria"/>
          <w:sz w:val="20"/>
          <w:szCs w:val="20"/>
        </w:rPr>
      </w:pPr>
    </w:p>
    <w:p w14:paraId="4567AEA5" w14:textId="50322458" w:rsidR="004E5B59" w:rsidRPr="008539D4" w:rsidRDefault="004E5B59" w:rsidP="00A51188">
      <w:pPr>
        <w:spacing w:after="0" w:line="240" w:lineRule="auto"/>
        <w:jc w:val="both"/>
        <w:rPr>
          <w:rFonts w:asciiTheme="majorHAnsi" w:eastAsia="Cambria" w:hAnsiTheme="majorHAnsi" w:cs="Cambria"/>
          <w:sz w:val="20"/>
          <w:szCs w:val="20"/>
        </w:rPr>
      </w:pPr>
      <w:r w:rsidRPr="008539D4">
        <w:rPr>
          <w:rFonts w:asciiTheme="majorHAnsi" w:hAnsiTheme="majorHAnsi"/>
          <w:sz w:val="20"/>
          <w:szCs w:val="20"/>
        </w:rPr>
        <w:t>Se trata de la misma propuesta que se presentó en la última reunión del Grupo de trabajo sobre sistemas de seguimiento electrónico (EMS WG), con modificaciones destinadas a dar respuesta a las inquietudes expresadas por varias CPC durante la reunión, concretamente en lo que respecta a la revisión de datos y al reparto de responsabilidades entre las autoridades de control implicadas en las operaciones de los buques de transformación de atún rojo.</w:t>
      </w:r>
    </w:p>
    <w:p w14:paraId="455422B8" w14:textId="77777777" w:rsidR="004E5B59" w:rsidRPr="008539D4" w:rsidRDefault="004E5B59" w:rsidP="002707E7">
      <w:pPr>
        <w:spacing w:after="80" w:line="240" w:lineRule="auto"/>
        <w:jc w:val="both"/>
        <w:rPr>
          <w:rFonts w:asciiTheme="majorHAnsi" w:eastAsia="Cambria" w:hAnsiTheme="majorHAnsi" w:cs="Cambria"/>
          <w:sz w:val="20"/>
          <w:szCs w:val="20"/>
        </w:rPr>
      </w:pPr>
    </w:p>
    <w:p w14:paraId="7C7C2051" w14:textId="47C9E958" w:rsidR="724FE288" w:rsidRPr="008539D4" w:rsidRDefault="724FE288" w:rsidP="002707E7">
      <w:pPr>
        <w:spacing w:after="80" w:line="240" w:lineRule="auto"/>
        <w:jc w:val="both"/>
        <w:rPr>
          <w:rFonts w:asciiTheme="majorHAnsi" w:hAnsiTheme="majorHAnsi"/>
          <w:sz w:val="20"/>
          <w:szCs w:val="20"/>
        </w:rPr>
      </w:pPr>
      <w:r w:rsidRPr="008539D4">
        <w:rPr>
          <w:rFonts w:asciiTheme="majorHAnsi" w:hAnsiTheme="majorHAnsi"/>
          <w:sz w:val="20"/>
          <w:szCs w:val="20"/>
        </w:rPr>
        <w:br w:type="page"/>
      </w:r>
    </w:p>
    <w:p w14:paraId="4704EF45" w14:textId="13E48A63" w:rsidR="00F91CFF" w:rsidRDefault="00F91CFF" w:rsidP="00F91CFF">
      <w:pPr>
        <w:spacing w:after="0" w:line="240" w:lineRule="auto"/>
        <w:jc w:val="right"/>
        <w:rPr>
          <w:rFonts w:asciiTheme="majorHAnsi" w:hAnsiTheme="majorHAnsi"/>
          <w:b/>
          <w:sz w:val="20"/>
          <w:szCs w:val="20"/>
        </w:rPr>
      </w:pPr>
      <w:r>
        <w:rPr>
          <w:rFonts w:asciiTheme="majorHAnsi" w:hAnsiTheme="majorHAnsi"/>
          <w:b/>
          <w:sz w:val="20"/>
          <w:szCs w:val="20"/>
        </w:rPr>
        <w:lastRenderedPageBreak/>
        <w:t>Original: inglés</w:t>
      </w:r>
    </w:p>
    <w:p w14:paraId="3A2C2938" w14:textId="7F57FACB" w:rsidR="00A51188" w:rsidRPr="008539D4" w:rsidRDefault="00774616" w:rsidP="00A51188">
      <w:pPr>
        <w:spacing w:after="0" w:line="240" w:lineRule="auto"/>
        <w:jc w:val="center"/>
        <w:rPr>
          <w:rFonts w:asciiTheme="majorHAnsi" w:eastAsia="Cambria" w:hAnsiTheme="majorHAnsi" w:cs="Cambria"/>
          <w:b/>
          <w:bCs/>
          <w:sz w:val="20"/>
          <w:szCs w:val="20"/>
        </w:rPr>
      </w:pPr>
      <w:r>
        <w:rPr>
          <w:rFonts w:asciiTheme="majorHAnsi" w:hAnsiTheme="majorHAnsi"/>
          <w:b/>
          <w:sz w:val="20"/>
          <w:szCs w:val="20"/>
        </w:rPr>
        <w:t xml:space="preserve">Propuesta para introducir </w:t>
      </w:r>
      <w:r w:rsidR="00A51188" w:rsidRPr="008539D4">
        <w:rPr>
          <w:rFonts w:asciiTheme="majorHAnsi" w:hAnsiTheme="majorHAnsi"/>
          <w:b/>
          <w:sz w:val="20"/>
          <w:szCs w:val="20"/>
        </w:rPr>
        <w:t xml:space="preserve">sistemas de seguimiento electrónico (EMS) </w:t>
      </w:r>
    </w:p>
    <w:p w14:paraId="001B1AAC" w14:textId="4466E356" w:rsidR="00A51188" w:rsidRPr="008539D4" w:rsidRDefault="00A51188" w:rsidP="00A51188">
      <w:pPr>
        <w:spacing w:after="0" w:line="240" w:lineRule="auto"/>
        <w:jc w:val="center"/>
        <w:rPr>
          <w:rFonts w:asciiTheme="majorHAnsi" w:eastAsia="Cambria" w:hAnsiTheme="majorHAnsi" w:cs="Cambria"/>
          <w:b/>
          <w:bCs/>
          <w:sz w:val="20"/>
          <w:szCs w:val="20"/>
        </w:rPr>
      </w:pPr>
      <w:r w:rsidRPr="008539D4">
        <w:rPr>
          <w:rFonts w:asciiTheme="majorHAnsi" w:hAnsiTheme="majorHAnsi"/>
          <w:b/>
          <w:sz w:val="20"/>
          <w:szCs w:val="20"/>
        </w:rPr>
        <w:t>para mejorar el control de los buques de transformación de atún rojo</w:t>
      </w:r>
    </w:p>
    <w:p w14:paraId="62029F13" w14:textId="77777777" w:rsidR="005650F8" w:rsidRDefault="005650F8" w:rsidP="00A51188">
      <w:pPr>
        <w:spacing w:after="80" w:line="240" w:lineRule="auto"/>
        <w:jc w:val="center"/>
        <w:rPr>
          <w:rFonts w:asciiTheme="majorHAnsi" w:hAnsiTheme="majorHAnsi"/>
          <w:sz w:val="20"/>
          <w:szCs w:val="20"/>
        </w:rPr>
      </w:pPr>
    </w:p>
    <w:p w14:paraId="28022840" w14:textId="6D3D4165" w:rsidR="00F61464" w:rsidRPr="008539D4" w:rsidRDefault="00F61464" w:rsidP="00A51188">
      <w:pPr>
        <w:spacing w:after="80" w:line="240" w:lineRule="auto"/>
        <w:jc w:val="center"/>
        <w:rPr>
          <w:rFonts w:asciiTheme="majorHAnsi" w:hAnsiTheme="majorHAnsi" w:cs="Times New Roman"/>
          <w:sz w:val="20"/>
          <w:szCs w:val="20"/>
        </w:rPr>
      </w:pPr>
      <w:r w:rsidRPr="008539D4">
        <w:rPr>
          <w:rFonts w:asciiTheme="majorHAnsi" w:hAnsiTheme="majorHAnsi"/>
          <w:sz w:val="20"/>
          <w:szCs w:val="20"/>
        </w:rPr>
        <w:t>(</w:t>
      </w:r>
      <w:r w:rsidRPr="008539D4">
        <w:rPr>
          <w:rFonts w:asciiTheme="majorHAnsi" w:hAnsiTheme="majorHAnsi"/>
          <w:i/>
          <w:iCs/>
          <w:sz w:val="20"/>
          <w:szCs w:val="20"/>
        </w:rPr>
        <w:t>Documento presentado por la Unión Europea</w:t>
      </w:r>
      <w:r w:rsidRPr="008539D4">
        <w:rPr>
          <w:rFonts w:asciiTheme="majorHAnsi" w:hAnsiTheme="majorHAnsi"/>
          <w:sz w:val="20"/>
          <w:szCs w:val="20"/>
        </w:rPr>
        <w:t>)</w:t>
      </w:r>
    </w:p>
    <w:p w14:paraId="47756C78" w14:textId="77777777" w:rsidR="00C57519" w:rsidRPr="008539D4" w:rsidRDefault="00C57519" w:rsidP="002707E7">
      <w:pPr>
        <w:spacing w:after="80" w:line="240" w:lineRule="auto"/>
        <w:jc w:val="both"/>
        <w:rPr>
          <w:rFonts w:asciiTheme="majorHAnsi" w:hAnsiTheme="majorHAnsi" w:cs="Times New Roman"/>
          <w:b/>
          <w:bCs/>
          <w:sz w:val="20"/>
          <w:szCs w:val="20"/>
        </w:rPr>
      </w:pPr>
    </w:p>
    <w:p w14:paraId="75CEF471" w14:textId="0A57055D" w:rsidR="00F61464" w:rsidRPr="008539D4" w:rsidRDefault="00F61464" w:rsidP="00A51188">
      <w:pPr>
        <w:spacing w:after="0" w:line="240" w:lineRule="auto"/>
        <w:jc w:val="both"/>
        <w:rPr>
          <w:rFonts w:asciiTheme="majorHAnsi" w:hAnsiTheme="majorHAnsi" w:cs="Times New Roman"/>
          <w:b/>
          <w:bCs/>
          <w:sz w:val="20"/>
          <w:szCs w:val="20"/>
        </w:rPr>
      </w:pPr>
      <w:r w:rsidRPr="008539D4">
        <w:rPr>
          <w:rFonts w:asciiTheme="majorHAnsi" w:hAnsiTheme="majorHAnsi"/>
          <w:b/>
          <w:sz w:val="20"/>
          <w:szCs w:val="20"/>
        </w:rPr>
        <w:t>Introducción</w:t>
      </w:r>
    </w:p>
    <w:p w14:paraId="3AE3E26B" w14:textId="77777777" w:rsidR="00A51188" w:rsidRPr="008539D4" w:rsidRDefault="00A51188" w:rsidP="00A51188">
      <w:pPr>
        <w:spacing w:after="0" w:line="240" w:lineRule="auto"/>
        <w:jc w:val="both"/>
        <w:rPr>
          <w:rFonts w:asciiTheme="majorHAnsi" w:hAnsiTheme="majorHAnsi" w:cs="Times New Roman"/>
          <w:sz w:val="20"/>
          <w:szCs w:val="20"/>
        </w:rPr>
      </w:pPr>
    </w:p>
    <w:p w14:paraId="5776A4BA" w14:textId="0302AA5F" w:rsidR="00F65AF0" w:rsidRPr="008539D4" w:rsidRDefault="00F61464"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Durante las reuniones anuales de ICCAT de 2024 y 2025, la UE presentó el «Proyecto de Recomendación de ICCAT que enmienda la Recomendación 22-08 que establece un plan de ordenación plurianual para el atún rojo en el Atlántico este y el Mediterráneo – sistemas de seguimiento electrónico (EMS)» [PWG_418/2024] y una </w:t>
      </w:r>
      <w:r w:rsidR="00AE44D4">
        <w:rPr>
          <w:rFonts w:asciiTheme="majorHAnsi" w:hAnsiTheme="majorHAnsi"/>
          <w:sz w:val="20"/>
          <w:szCs w:val="20"/>
        </w:rPr>
        <w:t>“</w:t>
      </w:r>
      <w:r w:rsidRPr="008539D4">
        <w:rPr>
          <w:rFonts w:asciiTheme="majorHAnsi" w:hAnsiTheme="majorHAnsi"/>
          <w:sz w:val="20"/>
          <w:szCs w:val="20"/>
        </w:rPr>
        <w:t>Propuesta para introducir sistemas de seguimiento electrónico (EMS) para mejorar el control de los buques de transformación de atún rojo</w:t>
      </w:r>
      <w:r w:rsidR="00AE44D4">
        <w:rPr>
          <w:rFonts w:asciiTheme="majorHAnsi" w:hAnsiTheme="majorHAnsi"/>
          <w:sz w:val="20"/>
          <w:szCs w:val="20"/>
        </w:rPr>
        <w:t>”</w:t>
      </w:r>
      <w:r w:rsidRPr="008539D4">
        <w:rPr>
          <w:rFonts w:asciiTheme="majorHAnsi" w:hAnsiTheme="majorHAnsi"/>
          <w:sz w:val="20"/>
          <w:szCs w:val="20"/>
        </w:rPr>
        <w:t xml:space="preserve"> [PWG_422/2025].</w:t>
      </w:r>
    </w:p>
    <w:p w14:paraId="547A8080" w14:textId="77777777" w:rsidR="00A51188" w:rsidRPr="008539D4" w:rsidRDefault="00A51188" w:rsidP="00A51188">
      <w:pPr>
        <w:spacing w:after="0" w:line="240" w:lineRule="auto"/>
        <w:jc w:val="both"/>
        <w:rPr>
          <w:rFonts w:asciiTheme="majorHAnsi" w:hAnsiTheme="majorHAnsi" w:cs="Times New Roman"/>
          <w:sz w:val="20"/>
          <w:szCs w:val="20"/>
        </w:rPr>
      </w:pPr>
    </w:p>
    <w:p w14:paraId="08C33F2D" w14:textId="5371EC13" w:rsidR="00F61464" w:rsidRPr="008539D4" w:rsidRDefault="00F61464"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Durante el debate se plantearon algunas dudas sobre los detalles de cómo se aplicaría el sistema en la práctica, en particular en lo que respecta a los requisitos técnicos mínimos, la complementariedad con las tareas actuales de los observadores regionales de ICCAT, las responsabilidades en materia de análisis de las grabaciones de vídeo, la validación del eBCD o los costes.</w:t>
      </w:r>
    </w:p>
    <w:p w14:paraId="7AA9CE23" w14:textId="77777777" w:rsidR="00A51188" w:rsidRPr="008539D4" w:rsidRDefault="00A51188" w:rsidP="00A51188">
      <w:pPr>
        <w:spacing w:after="0" w:line="240" w:lineRule="auto"/>
        <w:jc w:val="both"/>
        <w:rPr>
          <w:rFonts w:asciiTheme="majorHAnsi" w:hAnsiTheme="majorHAnsi" w:cs="Times New Roman"/>
          <w:sz w:val="20"/>
          <w:szCs w:val="20"/>
        </w:rPr>
      </w:pPr>
    </w:p>
    <w:p w14:paraId="54E43CBA" w14:textId="4A70B5DB" w:rsidR="00AA0449" w:rsidRPr="008539D4" w:rsidRDefault="00AA0449"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En la reunión de 2026 del Grupo de Trabajo sobre sistemas de seguimiento electrónico (EMS WG), la UE presentó una propuesta [EMS_07/i2026] por la que se introduce el uso de los sistemas de seguimiento electrónico (EMS) en los buques de transformación, así como las modificaciones necesarias para armonizar </w:t>
      </w:r>
      <w:hyperlink r:id="rId13" w:history="1">
        <w:r w:rsidRPr="00126CDA">
          <w:rPr>
            <w:rStyle w:val="Hyperlink"/>
            <w:rFonts w:asciiTheme="majorHAnsi" w:hAnsiTheme="majorHAnsi"/>
            <w:i/>
            <w:iCs/>
            <w:sz w:val="20"/>
            <w:szCs w:val="20"/>
            <w:u w:val="none"/>
          </w:rPr>
          <w:t>Recomendación de ICCAT que reemplaza la Recomendación 24-05 que establece un plan de ordenación plurianual para el atún rojo en el Atlántico este y el Mediterráneo</w:t>
        </w:r>
        <w:r w:rsidRPr="008539D4">
          <w:rPr>
            <w:rStyle w:val="Hyperlink"/>
            <w:rFonts w:asciiTheme="majorHAnsi" w:hAnsiTheme="majorHAnsi"/>
            <w:sz w:val="20"/>
            <w:szCs w:val="20"/>
            <w:u w:val="none"/>
          </w:rPr>
          <w:t xml:space="preserve"> (Rec. 25-04)</w:t>
        </w:r>
      </w:hyperlink>
      <w:r w:rsidRPr="008539D4">
        <w:rPr>
          <w:rFonts w:asciiTheme="majorHAnsi" w:hAnsiTheme="majorHAnsi"/>
          <w:sz w:val="20"/>
          <w:szCs w:val="20"/>
        </w:rPr>
        <w:t xml:space="preserve"> donde surgieron nuevas preocupaciones entre varias CPC.</w:t>
      </w:r>
    </w:p>
    <w:p w14:paraId="04844C16" w14:textId="77777777" w:rsidR="00A51188" w:rsidRPr="008539D4" w:rsidRDefault="00A51188" w:rsidP="00A51188">
      <w:pPr>
        <w:spacing w:after="0" w:line="240" w:lineRule="auto"/>
        <w:jc w:val="both"/>
        <w:rPr>
          <w:rFonts w:asciiTheme="majorHAnsi" w:hAnsiTheme="majorHAnsi" w:cs="Times New Roman"/>
          <w:sz w:val="20"/>
          <w:szCs w:val="20"/>
        </w:rPr>
      </w:pPr>
    </w:p>
    <w:p w14:paraId="13B5EECE" w14:textId="753FD635" w:rsidR="00F61464" w:rsidRPr="008539D4" w:rsidRDefault="00F61464"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El presente documento pretende responder a estas preguntas con el fin de analizar las opciones y un posible camino a seguir, incluida una posible modificación de la </w:t>
      </w:r>
      <w:hyperlink r:id="rId14" w:history="1">
        <w:r w:rsidRPr="008539D4">
          <w:rPr>
            <w:rStyle w:val="Hyperlink"/>
            <w:rFonts w:asciiTheme="majorHAnsi" w:hAnsiTheme="majorHAnsi"/>
            <w:i/>
            <w:iCs/>
            <w:sz w:val="20"/>
            <w:szCs w:val="20"/>
            <w:u w:val="none"/>
          </w:rPr>
          <w:t>Recomendación de ICCAT que reemplaza la Recomendación 24-05 que establece un plan de ordenación plurianual para el atún rojo en el Atlántico este y el Mediterráneo</w:t>
        </w:r>
        <w:r w:rsidRPr="008539D4">
          <w:rPr>
            <w:rStyle w:val="Hyperlink"/>
            <w:rFonts w:asciiTheme="majorHAnsi" w:hAnsiTheme="majorHAnsi"/>
            <w:sz w:val="20"/>
            <w:szCs w:val="20"/>
            <w:u w:val="none"/>
          </w:rPr>
          <w:t xml:space="preserve"> (Rec. 25-04)</w:t>
        </w:r>
      </w:hyperlink>
      <w:r w:rsidRPr="008539D4">
        <w:rPr>
          <w:rFonts w:asciiTheme="majorHAnsi" w:hAnsiTheme="majorHAnsi"/>
          <w:sz w:val="20"/>
          <w:szCs w:val="20"/>
        </w:rPr>
        <w:t>.</w:t>
      </w:r>
    </w:p>
    <w:p w14:paraId="523BBC62" w14:textId="77777777" w:rsidR="00C57519" w:rsidRPr="008539D4" w:rsidRDefault="00C57519" w:rsidP="00A51188">
      <w:pPr>
        <w:spacing w:after="0" w:line="240" w:lineRule="auto"/>
        <w:jc w:val="both"/>
        <w:rPr>
          <w:rFonts w:asciiTheme="majorHAnsi" w:hAnsiTheme="majorHAnsi" w:cs="Times New Roman"/>
          <w:sz w:val="20"/>
          <w:szCs w:val="20"/>
        </w:rPr>
      </w:pPr>
    </w:p>
    <w:p w14:paraId="4596FECC" w14:textId="77777777" w:rsidR="00F61464" w:rsidRPr="008539D4" w:rsidRDefault="00F61464" w:rsidP="00A51188">
      <w:pPr>
        <w:spacing w:after="0" w:line="240" w:lineRule="auto"/>
        <w:jc w:val="both"/>
        <w:rPr>
          <w:rFonts w:asciiTheme="majorHAnsi" w:hAnsiTheme="majorHAnsi" w:cs="Times New Roman"/>
          <w:b/>
          <w:bCs/>
          <w:sz w:val="20"/>
          <w:szCs w:val="20"/>
        </w:rPr>
      </w:pPr>
      <w:r w:rsidRPr="008539D4">
        <w:rPr>
          <w:rFonts w:asciiTheme="majorHAnsi" w:hAnsiTheme="majorHAnsi"/>
          <w:b/>
          <w:sz w:val="20"/>
          <w:szCs w:val="20"/>
        </w:rPr>
        <w:t>Contexto</w:t>
      </w:r>
    </w:p>
    <w:p w14:paraId="3D8D27B4" w14:textId="77777777" w:rsidR="00A51188" w:rsidRPr="008539D4" w:rsidRDefault="00A51188" w:rsidP="00A51188">
      <w:pPr>
        <w:spacing w:after="0" w:line="240" w:lineRule="auto"/>
        <w:jc w:val="both"/>
        <w:rPr>
          <w:rFonts w:asciiTheme="majorHAnsi" w:hAnsiTheme="majorHAnsi" w:cs="Times New Roman"/>
          <w:sz w:val="20"/>
          <w:szCs w:val="20"/>
        </w:rPr>
      </w:pPr>
    </w:p>
    <w:p w14:paraId="30988471" w14:textId="6E35A9A6" w:rsidR="00F61464" w:rsidRPr="008539D4" w:rsidRDefault="00F61464"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Los buques de transformación constituyen una etapa fundamental en la cadena de control del atún rojo, ya que la mayor parte del atún rojo capturado pasa por ellos. Si bien la presencia de observadores en los cerqueros permite controlar plenamente las operaciones de captura en el mar, así como las de </w:t>
      </w:r>
      <w:r w:rsidR="00E144E7">
        <w:rPr>
          <w:rFonts w:asciiTheme="majorHAnsi" w:hAnsiTheme="majorHAnsi"/>
          <w:sz w:val="20"/>
          <w:szCs w:val="20"/>
        </w:rPr>
        <w:t xml:space="preserve">los </w:t>
      </w:r>
      <w:r w:rsidR="005413A2">
        <w:rPr>
          <w:rFonts w:asciiTheme="majorHAnsi" w:hAnsiTheme="majorHAnsi"/>
          <w:sz w:val="20"/>
          <w:szCs w:val="20"/>
        </w:rPr>
        <w:t>remolcadores</w:t>
      </w:r>
      <w:r w:rsidRPr="008539D4">
        <w:rPr>
          <w:rFonts w:asciiTheme="majorHAnsi" w:hAnsiTheme="majorHAnsi"/>
          <w:sz w:val="20"/>
          <w:szCs w:val="20"/>
        </w:rPr>
        <w:t xml:space="preserve"> y de las granjas, el control de los buques de transformación parece ser un punto débil en toda la cadena del atún rojo. Esto se debe a que los observadores y los inspectores solo se despliegan durante las operaciones programadas y los controles aleatorios, mientras que los buques de transformación permanecen en las inmediaciones de las granjas/almadrabas durante semanas.</w:t>
      </w:r>
    </w:p>
    <w:p w14:paraId="03F6D530" w14:textId="77777777" w:rsidR="00A51188" w:rsidRPr="008539D4" w:rsidRDefault="00A51188" w:rsidP="00A51188">
      <w:pPr>
        <w:spacing w:after="0" w:line="240" w:lineRule="auto"/>
        <w:jc w:val="both"/>
        <w:rPr>
          <w:rFonts w:asciiTheme="majorHAnsi" w:hAnsiTheme="majorHAnsi" w:cs="Times New Roman"/>
          <w:sz w:val="20"/>
          <w:szCs w:val="20"/>
        </w:rPr>
      </w:pPr>
    </w:p>
    <w:p w14:paraId="6D0CEC2E" w14:textId="6B38FAB5" w:rsidR="002375B7" w:rsidRPr="008539D4" w:rsidRDefault="000450F1"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Los observadores no pueden supervisar la totalidad de la operación, que consiste en el sacrificio del atún rojo y su transferencia al buque de transformación, ya que estas dos actividades se llevan a cabo casi al mismo tiempo. Las disposiciones de ICCAT no especifican dónde deben situarse los observadores (ya sea durante el sacrificio en la granja o a bordo de los buques de transformación). Esto significa que, mientras el observador supervisa el sacrificio en la granja, no se controla la cantidad que se transfiere al buque de transformación.  </w:t>
      </w:r>
    </w:p>
    <w:p w14:paraId="28897118" w14:textId="77777777" w:rsidR="00A51188" w:rsidRPr="008539D4" w:rsidRDefault="00A51188" w:rsidP="00A51188">
      <w:pPr>
        <w:spacing w:after="0" w:line="240" w:lineRule="auto"/>
        <w:jc w:val="both"/>
        <w:rPr>
          <w:rFonts w:asciiTheme="majorHAnsi" w:hAnsiTheme="majorHAnsi" w:cs="Times New Roman"/>
          <w:sz w:val="20"/>
          <w:szCs w:val="20"/>
        </w:rPr>
      </w:pPr>
    </w:p>
    <w:p w14:paraId="15EFBA5C" w14:textId="65134A7A" w:rsidR="002375B7" w:rsidRPr="008539D4" w:rsidRDefault="003E7C1A"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Además, el párrafo 192 de la </w:t>
      </w:r>
      <w:hyperlink r:id="rId15" w:history="1">
        <w:r w:rsidRPr="008539D4">
          <w:rPr>
            <w:rStyle w:val="Hyperlink"/>
            <w:rFonts w:asciiTheme="majorHAnsi" w:hAnsiTheme="majorHAnsi"/>
            <w:sz w:val="20"/>
            <w:szCs w:val="20"/>
            <w:u w:val="none"/>
          </w:rPr>
          <w:t>Rec. 25-04</w:t>
        </w:r>
      </w:hyperlink>
      <w:r w:rsidRPr="008539D4">
        <w:rPr>
          <w:rFonts w:asciiTheme="majorHAnsi" w:hAnsiTheme="majorHAnsi"/>
          <w:sz w:val="20"/>
          <w:szCs w:val="20"/>
        </w:rPr>
        <w:t xml:space="preserve"> establece que la cobertura de observadores </w:t>
      </w:r>
      <w:r w:rsidRPr="008539D4">
        <w:rPr>
          <w:rFonts w:asciiTheme="majorHAnsi" w:hAnsiTheme="majorHAnsi"/>
          <w:i/>
          <w:iCs/>
          <w:sz w:val="20"/>
          <w:szCs w:val="20"/>
        </w:rPr>
        <w:t>puede</w:t>
      </w:r>
      <w:r w:rsidRPr="008539D4">
        <w:rPr>
          <w:rFonts w:asciiTheme="majorHAnsi" w:hAnsiTheme="majorHAnsi"/>
          <w:sz w:val="20"/>
          <w:szCs w:val="20"/>
        </w:rPr>
        <w:t xml:space="preserve"> llevarse a cabo a bordo de buques de transformación. Sin embargo, esta disposición podría dar lugar a una grave falta de cobertura de los observadores en caso de que se llevaran a cabo operaciones simultáneas de sacrificio con un doble destino al mismo tiempo al buque de transformación y al puerto para que la transformación tenga lugar en una fábrica. En este contexto, la presencia de observadores en la granja es indispensable.</w:t>
      </w:r>
    </w:p>
    <w:p w14:paraId="7B72AD39" w14:textId="77777777" w:rsidR="00A51188" w:rsidRPr="008539D4" w:rsidRDefault="00A51188" w:rsidP="00A51188">
      <w:pPr>
        <w:spacing w:after="0" w:line="240" w:lineRule="auto"/>
        <w:jc w:val="both"/>
        <w:rPr>
          <w:rFonts w:asciiTheme="majorHAnsi" w:hAnsiTheme="majorHAnsi" w:cs="Times New Roman"/>
          <w:sz w:val="20"/>
          <w:szCs w:val="20"/>
        </w:rPr>
      </w:pPr>
    </w:p>
    <w:p w14:paraId="62AFAC47" w14:textId="3BC4796A" w:rsidR="000450F1" w:rsidRPr="008539D4" w:rsidRDefault="002375B7"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t>En cuanto a las autoridades de control, estas deben supervisar todas las operaciones de sacrificio destinadas a los buques de transformación, y pueden actuar tanto a bordo del buque de transformación como en la granja durante las operaciones de sacrificio</w:t>
      </w:r>
    </w:p>
    <w:p w14:paraId="3FCF1964" w14:textId="77777777" w:rsidR="009E0379" w:rsidRPr="008539D4" w:rsidRDefault="009E0379" w:rsidP="00A51188">
      <w:pPr>
        <w:spacing w:after="0" w:line="240" w:lineRule="auto"/>
        <w:jc w:val="both"/>
        <w:rPr>
          <w:rFonts w:asciiTheme="majorHAnsi" w:hAnsiTheme="majorHAnsi" w:cs="Times New Roman"/>
          <w:sz w:val="20"/>
          <w:szCs w:val="20"/>
        </w:rPr>
      </w:pPr>
    </w:p>
    <w:p w14:paraId="691CDFC5" w14:textId="66C7ACF3" w:rsidR="00F61464" w:rsidRPr="008539D4" w:rsidRDefault="00F61464" w:rsidP="00A51188">
      <w:pPr>
        <w:spacing w:after="0" w:line="240" w:lineRule="auto"/>
        <w:jc w:val="both"/>
        <w:rPr>
          <w:rFonts w:asciiTheme="majorHAnsi" w:hAnsiTheme="majorHAnsi" w:cs="Times New Roman"/>
          <w:sz w:val="20"/>
          <w:szCs w:val="20"/>
        </w:rPr>
      </w:pPr>
      <w:r w:rsidRPr="008539D4">
        <w:rPr>
          <w:rFonts w:asciiTheme="majorHAnsi" w:hAnsiTheme="majorHAnsi"/>
          <w:sz w:val="20"/>
          <w:szCs w:val="20"/>
        </w:rPr>
        <w:lastRenderedPageBreak/>
        <w:t xml:space="preserve">En 2021 se adoptó la </w:t>
      </w:r>
      <w:hyperlink r:id="rId16" w:history="1">
        <w:r w:rsidRPr="008539D4">
          <w:rPr>
            <w:rStyle w:val="Hyperlink"/>
            <w:rFonts w:asciiTheme="majorHAnsi" w:hAnsiTheme="majorHAnsi"/>
            <w:i/>
            <w:iCs/>
            <w:sz w:val="20"/>
            <w:szCs w:val="20"/>
            <w:u w:val="none"/>
          </w:rPr>
          <w:t>Resolución de ICCAT que establece un proyecto piloto para la implementación del seguimiento electrónico remoto (REM) en los buques de transformación de atún rojo</w:t>
        </w:r>
        <w:r w:rsidRPr="008539D4">
          <w:rPr>
            <w:rStyle w:val="Hyperlink"/>
            <w:rFonts w:asciiTheme="majorHAnsi" w:hAnsiTheme="majorHAnsi"/>
            <w:sz w:val="20"/>
            <w:szCs w:val="20"/>
            <w:u w:val="none"/>
          </w:rPr>
          <w:t xml:space="preserve"> (Res. 21-17).</w:t>
        </w:r>
      </w:hyperlink>
      <w:r w:rsidRPr="008539D4">
        <w:rPr>
          <w:rFonts w:asciiTheme="majorHAnsi" w:hAnsiTheme="majorHAnsi"/>
          <w:sz w:val="20"/>
          <w:szCs w:val="20"/>
        </w:rPr>
        <w:t xml:space="preserve"> El proyecto piloto se llevó a cabo en dos buques de transformación durante sus operaciones a lo largo de un período de dos años. Los resultados del proyecto piloto se presentaron en la reunión del Grupo de trabajo sobre sistemas de seguimiento electrónico (EMS WG) celebrada en junio de 2024. Los resultados fueron muy positivos, en particular:</w:t>
      </w:r>
    </w:p>
    <w:p w14:paraId="4D16C0D7" w14:textId="77777777" w:rsidR="00A51188" w:rsidRPr="008539D4" w:rsidRDefault="00A51188" w:rsidP="00A51188">
      <w:pPr>
        <w:spacing w:after="0" w:line="240" w:lineRule="auto"/>
        <w:jc w:val="both"/>
        <w:rPr>
          <w:rFonts w:asciiTheme="majorHAnsi" w:hAnsiTheme="majorHAnsi" w:cs="Times New Roman"/>
          <w:sz w:val="20"/>
          <w:szCs w:val="20"/>
        </w:rPr>
      </w:pPr>
    </w:p>
    <w:p w14:paraId="13C1669B" w14:textId="76F45981" w:rsidR="00F61464" w:rsidRPr="008539D4" w:rsidRDefault="00F61464" w:rsidP="00A51188">
      <w:pPr>
        <w:pStyle w:val="ListParagraph"/>
        <w:numPr>
          <w:ilvl w:val="0"/>
          <w:numId w:val="11"/>
        </w:numPr>
        <w:tabs>
          <w:tab w:val="left" w:pos="1134"/>
        </w:tabs>
        <w:spacing w:after="0" w:line="240" w:lineRule="auto"/>
        <w:ind w:left="426"/>
        <w:contextualSpacing w:val="0"/>
        <w:jc w:val="both"/>
        <w:rPr>
          <w:rFonts w:asciiTheme="majorHAnsi" w:hAnsiTheme="majorHAnsi" w:cs="Times New Roman"/>
          <w:sz w:val="20"/>
          <w:szCs w:val="20"/>
        </w:rPr>
      </w:pPr>
      <w:r w:rsidRPr="008539D4">
        <w:rPr>
          <w:rFonts w:asciiTheme="majorHAnsi" w:hAnsiTheme="majorHAnsi"/>
          <w:sz w:val="20"/>
          <w:szCs w:val="20"/>
        </w:rPr>
        <w:t>El sistema EMS permitió supervisar las actividades de los buques las 24 horas del día, los 7 días de la semana (cubriendo así la principal laguna detectada mientras el buque se encuentra fondeado en las inmediaciones de la granja).</w:t>
      </w:r>
    </w:p>
    <w:p w14:paraId="3150C269" w14:textId="55792BBB" w:rsidR="00F61464" w:rsidRPr="008539D4"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8539D4">
        <w:rPr>
          <w:rFonts w:asciiTheme="majorHAnsi" w:hAnsiTheme="majorHAnsi"/>
          <w:sz w:val="20"/>
          <w:szCs w:val="20"/>
        </w:rPr>
        <w:t>El EMS funcionó correctamente durante todo el proyecto piloto (solo hubo una ocasión en la que el sistema estuvo fuera de servicio durante unas horas).</w:t>
      </w:r>
    </w:p>
    <w:p w14:paraId="023EF311" w14:textId="2298C1DE" w:rsidR="00F61464" w:rsidRPr="008539D4"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8539D4">
        <w:rPr>
          <w:rFonts w:asciiTheme="majorHAnsi" w:hAnsiTheme="majorHAnsi"/>
          <w:sz w:val="20"/>
          <w:szCs w:val="20"/>
        </w:rPr>
        <w:t xml:space="preserve">Se estimó </w:t>
      </w:r>
      <w:r w:rsidR="00787B01">
        <w:rPr>
          <w:rFonts w:asciiTheme="majorHAnsi" w:hAnsiTheme="majorHAnsi"/>
          <w:sz w:val="20"/>
          <w:szCs w:val="20"/>
        </w:rPr>
        <w:t>con</w:t>
      </w:r>
      <w:r w:rsidRPr="008539D4">
        <w:rPr>
          <w:rFonts w:asciiTheme="majorHAnsi" w:hAnsiTheme="majorHAnsi"/>
          <w:sz w:val="20"/>
          <w:szCs w:val="20"/>
        </w:rPr>
        <w:t xml:space="preserve"> precisión el número de ejemplares y su peso.</w:t>
      </w:r>
    </w:p>
    <w:p w14:paraId="5485D8E7" w14:textId="4275FB51" w:rsidR="00070752" w:rsidRPr="008539D4"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8539D4">
        <w:rPr>
          <w:rFonts w:asciiTheme="majorHAnsi" w:hAnsiTheme="majorHAnsi"/>
          <w:sz w:val="20"/>
          <w:szCs w:val="20"/>
        </w:rPr>
        <w:t>El análisis de datos (el peso se registra mediante básculas acopladas a la maquinilla y se almacena en el sistema; el número de ejemplares se obtiene mediante recuento visual) result</w:t>
      </w:r>
      <w:r w:rsidR="00C32235">
        <w:rPr>
          <w:rFonts w:asciiTheme="majorHAnsi" w:hAnsiTheme="majorHAnsi"/>
          <w:sz w:val="20"/>
          <w:szCs w:val="20"/>
        </w:rPr>
        <w:t>ó</w:t>
      </w:r>
      <w:r w:rsidRPr="008539D4">
        <w:rPr>
          <w:rFonts w:asciiTheme="majorHAnsi" w:hAnsiTheme="majorHAnsi"/>
          <w:sz w:val="20"/>
          <w:szCs w:val="20"/>
        </w:rPr>
        <w:t xml:space="preserve"> sencillo.</w:t>
      </w:r>
    </w:p>
    <w:p w14:paraId="6308EA34" w14:textId="65187A1F" w:rsidR="00070752" w:rsidRPr="008539D4"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8539D4">
        <w:rPr>
          <w:rFonts w:asciiTheme="majorHAnsi" w:hAnsiTheme="majorHAnsi"/>
          <w:sz w:val="20"/>
          <w:szCs w:val="20"/>
        </w:rPr>
        <w:t>El EMS también podría proporcionar datos relevantes para la investigación científica (talla del atún sacrificado).</w:t>
      </w:r>
    </w:p>
    <w:p w14:paraId="2F02EBDA" w14:textId="2AD039DA" w:rsidR="00F61464" w:rsidRPr="008539D4"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8539D4">
        <w:rPr>
          <w:rFonts w:asciiTheme="majorHAnsi" w:hAnsiTheme="majorHAnsi"/>
          <w:sz w:val="20"/>
          <w:szCs w:val="20"/>
        </w:rPr>
        <w:t xml:space="preserve">Posible ahorro de tiempo dedicado al control, </w:t>
      </w:r>
      <w:r w:rsidR="009C75B4">
        <w:rPr>
          <w:rFonts w:asciiTheme="majorHAnsi" w:hAnsiTheme="majorHAnsi"/>
          <w:sz w:val="20"/>
          <w:szCs w:val="20"/>
        </w:rPr>
        <w:t>ahorro de</w:t>
      </w:r>
      <w:r w:rsidRPr="008539D4">
        <w:rPr>
          <w:rFonts w:asciiTheme="majorHAnsi" w:hAnsiTheme="majorHAnsi"/>
          <w:sz w:val="20"/>
          <w:szCs w:val="20"/>
        </w:rPr>
        <w:t xml:space="preserve"> carga de trabajo y de dinero (es necesario recopilar y analizar datos comparativos).</w:t>
      </w:r>
    </w:p>
    <w:p w14:paraId="1E4DAAEA" w14:textId="0A94D3EE" w:rsidR="00F61464" w:rsidRPr="008539D4"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8539D4">
        <w:rPr>
          <w:rFonts w:asciiTheme="majorHAnsi" w:hAnsiTheme="majorHAnsi"/>
          <w:sz w:val="20"/>
          <w:szCs w:val="20"/>
        </w:rPr>
        <w:t>Sería posible aplicar la inteligencia artificial para la identificación y el recuento del atún rojo, lo que permite reducir el tiempo dedicado al análisis.</w:t>
      </w:r>
    </w:p>
    <w:p w14:paraId="00730671" w14:textId="77777777" w:rsidR="00B00CE0" w:rsidRPr="008539D4" w:rsidRDefault="00B00CE0" w:rsidP="00A51188">
      <w:pPr>
        <w:spacing w:after="0" w:line="240" w:lineRule="auto"/>
        <w:jc w:val="both"/>
        <w:rPr>
          <w:rFonts w:asciiTheme="majorHAnsi" w:hAnsiTheme="majorHAnsi" w:cs="Times New Roman"/>
          <w:b/>
          <w:bCs/>
          <w:sz w:val="20"/>
          <w:szCs w:val="20"/>
        </w:rPr>
      </w:pPr>
    </w:p>
    <w:p w14:paraId="2F34C18E" w14:textId="77777777" w:rsidR="00405F51" w:rsidRPr="008539D4" w:rsidRDefault="00405F51" w:rsidP="00A51188">
      <w:pPr>
        <w:spacing w:after="0" w:line="240" w:lineRule="auto"/>
        <w:jc w:val="both"/>
        <w:rPr>
          <w:rFonts w:asciiTheme="majorHAnsi" w:hAnsiTheme="majorHAnsi" w:cs="Times New Roman"/>
          <w:b/>
          <w:bCs/>
          <w:sz w:val="20"/>
          <w:szCs w:val="20"/>
        </w:rPr>
      </w:pPr>
      <w:r w:rsidRPr="008539D4">
        <w:rPr>
          <w:rFonts w:asciiTheme="majorHAnsi" w:hAnsiTheme="majorHAnsi"/>
          <w:sz w:val="20"/>
          <w:szCs w:val="20"/>
        </w:rPr>
        <w:br w:type="page"/>
      </w:r>
    </w:p>
    <w:p w14:paraId="6916AAE1" w14:textId="670E821E" w:rsidR="00097FB9" w:rsidRPr="008539D4" w:rsidRDefault="00F61464" w:rsidP="00786A11">
      <w:pPr>
        <w:spacing w:after="0" w:line="240" w:lineRule="auto"/>
        <w:jc w:val="center"/>
        <w:rPr>
          <w:rFonts w:asciiTheme="majorHAnsi" w:hAnsiTheme="majorHAnsi" w:cs="Times New Roman"/>
          <w:b/>
          <w:bCs/>
          <w:sz w:val="20"/>
          <w:szCs w:val="20"/>
        </w:rPr>
      </w:pPr>
      <w:r w:rsidRPr="008539D4">
        <w:rPr>
          <w:rFonts w:asciiTheme="majorHAnsi" w:hAnsiTheme="majorHAnsi"/>
          <w:b/>
          <w:sz w:val="20"/>
          <w:szCs w:val="20"/>
        </w:rPr>
        <w:lastRenderedPageBreak/>
        <w:t xml:space="preserve">Respuestas a las preguntas planteadas durante el debate en la reunión de 2024 del Grupo de trabajo permanente para la mejora de las estadísticas y normas de conservación de ICCAT (GTP), </w:t>
      </w:r>
    </w:p>
    <w:p w14:paraId="24A29A1E" w14:textId="0A97721E" w:rsidR="00F61464" w:rsidRPr="008539D4" w:rsidRDefault="003F016A" w:rsidP="00786A11">
      <w:pPr>
        <w:spacing w:after="0" w:line="240" w:lineRule="auto"/>
        <w:jc w:val="center"/>
        <w:rPr>
          <w:rFonts w:asciiTheme="majorHAnsi" w:hAnsiTheme="majorHAnsi" w:cs="Times New Roman"/>
          <w:b/>
          <w:bCs/>
          <w:sz w:val="20"/>
          <w:szCs w:val="20"/>
        </w:rPr>
      </w:pPr>
      <w:r w:rsidRPr="008539D4">
        <w:rPr>
          <w:rFonts w:asciiTheme="majorHAnsi" w:hAnsiTheme="majorHAnsi"/>
          <w:b/>
          <w:sz w:val="20"/>
          <w:szCs w:val="20"/>
        </w:rPr>
        <w:t>de la reunión anual de la Comisión de 2025 y de la reunión del Grupo de trabajo sobre sistemas de seguimiento electrónico (EMS WG)</w:t>
      </w:r>
    </w:p>
    <w:p w14:paraId="7E1F8A0A" w14:textId="77777777" w:rsidR="0048552E" w:rsidRPr="008539D4" w:rsidRDefault="0048552E" w:rsidP="00786A11">
      <w:pPr>
        <w:spacing w:after="0" w:line="240" w:lineRule="auto"/>
        <w:jc w:val="both"/>
        <w:rPr>
          <w:rFonts w:asciiTheme="majorHAnsi" w:hAnsiTheme="majorHAnsi" w:cs="Times New Roman"/>
          <w:b/>
          <w:bCs/>
          <w:sz w:val="20"/>
          <w:szCs w:val="20"/>
        </w:rPr>
      </w:pPr>
    </w:p>
    <w:p w14:paraId="0CFF32D7" w14:textId="390A0434" w:rsidR="00F61464" w:rsidRPr="008539D4"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8539D4">
        <w:rPr>
          <w:rFonts w:asciiTheme="majorHAnsi" w:hAnsiTheme="majorHAnsi"/>
          <w:b/>
          <w:sz w:val="20"/>
          <w:szCs w:val="20"/>
        </w:rPr>
        <w:t>¿Qué normas técnicas mínimas se aplicarán?</w:t>
      </w:r>
    </w:p>
    <w:p w14:paraId="52E77E4A" w14:textId="77777777" w:rsidR="00786A11" w:rsidRPr="008539D4" w:rsidRDefault="00786A11" w:rsidP="00786A11">
      <w:pPr>
        <w:spacing w:after="0" w:line="240" w:lineRule="auto"/>
        <w:jc w:val="both"/>
        <w:rPr>
          <w:rFonts w:asciiTheme="majorHAnsi" w:hAnsiTheme="majorHAnsi" w:cs="Times New Roman"/>
          <w:sz w:val="20"/>
          <w:szCs w:val="20"/>
        </w:rPr>
      </w:pPr>
    </w:p>
    <w:p w14:paraId="1F85FF4B" w14:textId="2F9F2620" w:rsidR="00F61464"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La </w:t>
      </w:r>
      <w:hyperlink r:id="rId17" w:history="1">
        <w:r w:rsidRPr="008539D4">
          <w:rPr>
            <w:rStyle w:val="Hyperlink"/>
            <w:rFonts w:asciiTheme="majorHAnsi" w:hAnsiTheme="majorHAnsi"/>
            <w:i/>
            <w:iCs/>
            <w:sz w:val="20"/>
            <w:szCs w:val="20"/>
            <w:u w:val="none"/>
          </w:rPr>
          <w:t>Resolución de ICCAT que establece un proyecto piloto para la implementación del seguimiento electrónico remoto (REM) en los buques de transformación de atún rojo</w:t>
        </w:r>
        <w:r w:rsidRPr="008539D4">
          <w:rPr>
            <w:rStyle w:val="Hyperlink"/>
            <w:rFonts w:asciiTheme="majorHAnsi" w:hAnsiTheme="majorHAnsi"/>
            <w:sz w:val="20"/>
            <w:szCs w:val="20"/>
            <w:u w:val="none"/>
          </w:rPr>
          <w:t xml:space="preserve"> (Res. 21-17)</w:t>
        </w:r>
      </w:hyperlink>
      <w:r w:rsidRPr="008539D4">
        <w:rPr>
          <w:rFonts w:asciiTheme="majorHAnsi" w:hAnsiTheme="majorHAnsi"/>
          <w:sz w:val="20"/>
          <w:szCs w:val="20"/>
        </w:rPr>
        <w:t xml:space="preserve"> establece en su anexo 1 las normas técnicas mínimas para el sistema. Estas normas son exhaustivas y han demostrado su eficacia durante las pruebas para alcanzar los objetivos del sistema. Los resultados de las pruebas </w:t>
      </w:r>
      <w:r w:rsidR="008539D4" w:rsidRPr="008539D4">
        <w:rPr>
          <w:rFonts w:asciiTheme="majorHAnsi" w:hAnsiTheme="majorHAnsi"/>
          <w:sz w:val="20"/>
          <w:szCs w:val="20"/>
        </w:rPr>
        <w:t>muestran</w:t>
      </w:r>
      <w:r w:rsidRPr="008539D4">
        <w:rPr>
          <w:rFonts w:asciiTheme="majorHAnsi" w:hAnsiTheme="majorHAnsi"/>
          <w:sz w:val="20"/>
          <w:szCs w:val="20"/>
        </w:rPr>
        <w:t xml:space="preserve"> que el sistema logra una cobertura de</w:t>
      </w:r>
      <w:r w:rsidRPr="008539D4">
        <w:rPr>
          <w:rFonts w:asciiTheme="majorHAnsi" w:hAnsiTheme="majorHAnsi"/>
          <w:b/>
          <w:bCs/>
          <w:sz w:val="20"/>
          <w:szCs w:val="20"/>
        </w:rPr>
        <w:t xml:space="preserve"> seguimiento 24 horas al día, 7 días a la semana</w:t>
      </w:r>
      <w:r w:rsidRPr="008539D4">
        <w:rPr>
          <w:rFonts w:asciiTheme="majorHAnsi" w:hAnsiTheme="majorHAnsi"/>
          <w:sz w:val="20"/>
          <w:szCs w:val="20"/>
        </w:rPr>
        <w:t xml:space="preserve"> (una mejora significativa con respecto al sistema de control actual), y que el sistema ha funcionado bien durante la duración del proyecto, y ha </w:t>
      </w:r>
      <w:r w:rsidRPr="008539D4">
        <w:rPr>
          <w:rFonts w:asciiTheme="majorHAnsi" w:hAnsiTheme="majorHAnsi"/>
          <w:b/>
          <w:bCs/>
          <w:sz w:val="20"/>
          <w:szCs w:val="20"/>
        </w:rPr>
        <w:t>permitido una determinación precisa del número de ejemplares y su peso y una facilidad de análisis de datos.</w:t>
      </w:r>
    </w:p>
    <w:p w14:paraId="0644DAB7" w14:textId="77777777" w:rsidR="00786A11" w:rsidRPr="008539D4" w:rsidRDefault="00786A11" w:rsidP="00786A11">
      <w:pPr>
        <w:spacing w:after="0" w:line="240" w:lineRule="auto"/>
        <w:jc w:val="both"/>
        <w:rPr>
          <w:rFonts w:asciiTheme="majorHAnsi" w:hAnsiTheme="majorHAnsi" w:cs="Times New Roman"/>
          <w:sz w:val="20"/>
          <w:szCs w:val="20"/>
        </w:rPr>
      </w:pPr>
    </w:p>
    <w:p w14:paraId="21B0F2F6" w14:textId="379EC48A" w:rsidR="00F61464" w:rsidRPr="008539D4" w:rsidRDefault="00724D7F"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La </w:t>
      </w:r>
      <w:hyperlink r:id="rId18" w:tgtFrame="_blank" w:history="1">
        <w:r w:rsidRPr="008539D4">
          <w:rPr>
            <w:rStyle w:val="Hyperlink"/>
            <w:rFonts w:asciiTheme="majorHAnsi" w:hAnsiTheme="majorHAnsi"/>
            <w:i/>
            <w:iCs/>
            <w:sz w:val="20"/>
            <w:szCs w:val="20"/>
            <w:u w:val="none"/>
          </w:rPr>
          <w:t>Recomendación de ICCAT que establece normas mínimas y requisitos del programa para el uso de sistemas de seguimiento electrónico (EMS) en las pesquerías de ICCAT</w:t>
        </w:r>
        <w:r w:rsidRPr="008539D4">
          <w:rPr>
            <w:rStyle w:val="Hyperlink"/>
            <w:rFonts w:asciiTheme="majorHAnsi" w:hAnsiTheme="majorHAnsi"/>
            <w:sz w:val="20"/>
            <w:szCs w:val="20"/>
            <w:u w:val="none"/>
          </w:rPr>
          <w:t xml:space="preserve"> (Rec. 23-18)</w:t>
        </w:r>
      </w:hyperlink>
      <w:r w:rsidRPr="008539D4">
        <w:rPr>
          <w:rFonts w:asciiTheme="majorHAnsi" w:hAnsiTheme="majorHAnsi"/>
          <w:sz w:val="20"/>
          <w:szCs w:val="20"/>
        </w:rPr>
        <w:t xml:space="preserve"> establece normas mínimas y requisitos de los programas para el uso de EMS en las pesquerías de ICCAT, pero hasta ahora solo se ha desarrollado para el caso de los cerqueros y los palangreros. </w:t>
      </w:r>
    </w:p>
    <w:p w14:paraId="524C2D9A" w14:textId="77777777" w:rsidR="00786A11" w:rsidRPr="008539D4" w:rsidRDefault="00786A11" w:rsidP="00786A11">
      <w:pPr>
        <w:spacing w:after="0" w:line="240" w:lineRule="auto"/>
        <w:jc w:val="both"/>
        <w:rPr>
          <w:rFonts w:asciiTheme="majorHAnsi" w:hAnsiTheme="majorHAnsi" w:cs="Times New Roman"/>
          <w:sz w:val="20"/>
          <w:szCs w:val="20"/>
        </w:rPr>
      </w:pPr>
    </w:p>
    <w:p w14:paraId="0FCEA4B1" w14:textId="78C33DFE" w:rsidR="00F61464"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La UE presentó un “Proyecto de Recomendación de ICCAT para enmendar la </w:t>
      </w:r>
      <w:hyperlink r:id="rId19" w:history="1">
        <w:r w:rsidRPr="008539D4">
          <w:rPr>
            <w:rStyle w:val="Hyperlink"/>
            <w:rFonts w:asciiTheme="majorHAnsi" w:hAnsiTheme="majorHAnsi"/>
            <w:sz w:val="20"/>
            <w:szCs w:val="20"/>
            <w:u w:val="none"/>
          </w:rPr>
          <w:t>Rec. 23-18</w:t>
        </w:r>
      </w:hyperlink>
      <w:r w:rsidRPr="008539D4">
        <w:rPr>
          <w:rFonts w:asciiTheme="majorHAnsi" w:hAnsiTheme="majorHAnsi"/>
          <w:sz w:val="20"/>
          <w:szCs w:val="20"/>
        </w:rPr>
        <w:t xml:space="preserve"> para establecer normas mínimas para el uso de EMS” [EMS</w:t>
      </w:r>
      <w:r w:rsidR="00B1267B">
        <w:rPr>
          <w:rFonts w:asciiTheme="majorHAnsi" w:hAnsiTheme="majorHAnsi"/>
          <w:sz w:val="20"/>
          <w:szCs w:val="20"/>
        </w:rPr>
        <w:t>_</w:t>
      </w:r>
      <w:r w:rsidRPr="008539D4">
        <w:rPr>
          <w:rFonts w:asciiTheme="majorHAnsi" w:hAnsiTheme="majorHAnsi"/>
          <w:sz w:val="20"/>
          <w:szCs w:val="20"/>
        </w:rPr>
        <w:t>08</w:t>
      </w:r>
      <w:r w:rsidR="00B1267B">
        <w:rPr>
          <w:rFonts w:asciiTheme="majorHAnsi" w:hAnsiTheme="majorHAnsi"/>
          <w:sz w:val="20"/>
          <w:szCs w:val="20"/>
        </w:rPr>
        <w:t>_</w:t>
      </w:r>
      <w:r w:rsidR="00CA45DB">
        <w:rPr>
          <w:rFonts w:asciiTheme="majorHAnsi" w:hAnsiTheme="majorHAnsi"/>
          <w:sz w:val="20"/>
          <w:szCs w:val="20"/>
        </w:rPr>
        <w:t>REV_</w:t>
      </w:r>
      <w:r w:rsidRPr="008539D4">
        <w:rPr>
          <w:rFonts w:asciiTheme="majorHAnsi" w:hAnsiTheme="majorHAnsi"/>
          <w:sz w:val="20"/>
          <w:szCs w:val="20"/>
        </w:rPr>
        <w:t>1/i2026], con ocasión de la</w:t>
      </w:r>
      <w:r w:rsidR="001306B1">
        <w:rPr>
          <w:rFonts w:asciiTheme="majorHAnsi" w:hAnsiTheme="majorHAnsi"/>
          <w:sz w:val="20"/>
          <w:szCs w:val="20"/>
        </w:rPr>
        <w:t xml:space="preserve"> última reunión del Grupo de trabajo sobre sistemas de seguimiento electrónico (EMS WG)</w:t>
      </w:r>
      <w:r w:rsidRPr="008539D4">
        <w:rPr>
          <w:rFonts w:asciiTheme="majorHAnsi" w:hAnsiTheme="majorHAnsi"/>
          <w:sz w:val="20"/>
          <w:szCs w:val="20"/>
        </w:rPr>
        <w:t xml:space="preserve">, que enmendaba la </w:t>
      </w:r>
      <w:hyperlink r:id="rId20" w:history="1">
        <w:r w:rsidRPr="008539D4">
          <w:rPr>
            <w:rStyle w:val="Hyperlink"/>
            <w:rFonts w:asciiTheme="majorHAnsi" w:hAnsiTheme="majorHAnsi"/>
            <w:sz w:val="20"/>
            <w:szCs w:val="20"/>
            <w:u w:val="none"/>
          </w:rPr>
          <w:t>Rec. 23-18</w:t>
        </w:r>
      </w:hyperlink>
      <w:r w:rsidR="005E1BE3">
        <w:t xml:space="preserve"> </w:t>
      </w:r>
      <w:r w:rsidRPr="008539D4">
        <w:rPr>
          <w:rFonts w:asciiTheme="majorHAnsi" w:hAnsiTheme="majorHAnsi"/>
          <w:sz w:val="20"/>
          <w:szCs w:val="20"/>
        </w:rPr>
        <w:t>e incluía un nuevo anexo relativo a los buques de transformación.</w:t>
      </w:r>
    </w:p>
    <w:p w14:paraId="43D87760" w14:textId="77777777" w:rsidR="00405F51" w:rsidRPr="008539D4" w:rsidRDefault="00405F51" w:rsidP="00786A11">
      <w:pPr>
        <w:spacing w:after="0" w:line="240" w:lineRule="auto"/>
        <w:jc w:val="both"/>
        <w:rPr>
          <w:rFonts w:asciiTheme="majorHAnsi" w:hAnsiTheme="majorHAnsi" w:cs="Times New Roman"/>
          <w:sz w:val="20"/>
          <w:szCs w:val="20"/>
        </w:rPr>
      </w:pPr>
    </w:p>
    <w:p w14:paraId="64726721" w14:textId="77777777" w:rsidR="00786A11" w:rsidRPr="008539D4" w:rsidRDefault="00786A11" w:rsidP="00786A11">
      <w:pPr>
        <w:spacing w:after="0" w:line="240" w:lineRule="auto"/>
        <w:jc w:val="both"/>
        <w:rPr>
          <w:rFonts w:asciiTheme="majorHAnsi" w:hAnsiTheme="majorHAnsi" w:cs="Times New Roman"/>
          <w:sz w:val="20"/>
          <w:szCs w:val="20"/>
        </w:rPr>
      </w:pPr>
    </w:p>
    <w:p w14:paraId="1D5BB22D" w14:textId="41AB9BF0" w:rsidR="00F61464" w:rsidRPr="008539D4"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8539D4">
        <w:rPr>
          <w:rFonts w:asciiTheme="majorHAnsi" w:hAnsiTheme="majorHAnsi"/>
          <w:b/>
          <w:sz w:val="20"/>
          <w:szCs w:val="20"/>
        </w:rPr>
        <w:t>¿Cómo se combinaría la obligación del EMS con las obligaciones de los observadores regionales existentes durante las operaciones de sacrificio?</w:t>
      </w:r>
    </w:p>
    <w:p w14:paraId="39A247E0" w14:textId="77777777" w:rsidR="00786A11" w:rsidRPr="008539D4" w:rsidRDefault="00786A11" w:rsidP="00786A11">
      <w:pPr>
        <w:spacing w:after="0" w:line="240" w:lineRule="auto"/>
        <w:jc w:val="both"/>
        <w:rPr>
          <w:rFonts w:asciiTheme="majorHAnsi" w:hAnsiTheme="majorHAnsi" w:cs="Times New Roman"/>
          <w:sz w:val="20"/>
          <w:szCs w:val="20"/>
        </w:rPr>
      </w:pPr>
    </w:p>
    <w:p w14:paraId="64E6573B" w14:textId="4F7E4177" w:rsidR="00F61464"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Actualmente existe la obligación de que un observador regional de ICCAT supervise las operaciones de sacrificio en las granjas, o un observador nacional en el caso de sacrificio desde la almadraba.</w:t>
      </w:r>
    </w:p>
    <w:p w14:paraId="42808ABB" w14:textId="77777777" w:rsidR="00786A11" w:rsidRPr="008539D4" w:rsidRDefault="00786A11" w:rsidP="00786A11">
      <w:pPr>
        <w:spacing w:after="0" w:line="240" w:lineRule="auto"/>
        <w:jc w:val="both"/>
        <w:rPr>
          <w:rFonts w:asciiTheme="majorHAnsi" w:hAnsiTheme="majorHAnsi" w:cs="Times New Roman"/>
          <w:sz w:val="20"/>
          <w:szCs w:val="20"/>
        </w:rPr>
      </w:pPr>
    </w:p>
    <w:p w14:paraId="73AD66A5" w14:textId="77777777" w:rsidR="00F61464"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Hay dos destinos posibles para los peces sacrificados:</w:t>
      </w:r>
    </w:p>
    <w:p w14:paraId="5F612917" w14:textId="77777777" w:rsidR="00161D9D" w:rsidRPr="008539D4" w:rsidRDefault="00161D9D" w:rsidP="00786A11">
      <w:pPr>
        <w:spacing w:after="0" w:line="240" w:lineRule="auto"/>
        <w:jc w:val="both"/>
        <w:rPr>
          <w:rFonts w:asciiTheme="majorHAnsi" w:hAnsiTheme="majorHAnsi" w:cs="Times New Roman"/>
          <w:sz w:val="20"/>
          <w:szCs w:val="20"/>
        </w:rPr>
      </w:pPr>
    </w:p>
    <w:p w14:paraId="0140B781" w14:textId="61781C31" w:rsidR="00F61464" w:rsidRPr="008539D4" w:rsidRDefault="00F61464" w:rsidP="00786A11">
      <w:pPr>
        <w:pStyle w:val="ListParagraph"/>
        <w:numPr>
          <w:ilvl w:val="0"/>
          <w:numId w:val="8"/>
        </w:numPr>
        <w:spacing w:after="0" w:line="240" w:lineRule="auto"/>
        <w:contextualSpacing w:val="0"/>
        <w:jc w:val="both"/>
        <w:rPr>
          <w:rFonts w:asciiTheme="majorHAnsi" w:hAnsiTheme="majorHAnsi" w:cs="Times New Roman"/>
          <w:sz w:val="20"/>
          <w:szCs w:val="20"/>
        </w:rPr>
      </w:pPr>
      <w:r w:rsidRPr="008539D4">
        <w:rPr>
          <w:rFonts w:asciiTheme="majorHAnsi" w:hAnsiTheme="majorHAnsi"/>
          <w:sz w:val="20"/>
          <w:szCs w:val="20"/>
        </w:rPr>
        <w:t>Sacrificio para el mercado de pescado fresco; los peces son capturados y transportados por un barco auxiliar para ser descargados en puerto.</w:t>
      </w:r>
    </w:p>
    <w:p w14:paraId="7FF4B383" w14:textId="4A3649EA" w:rsidR="00F61464" w:rsidRPr="008539D4" w:rsidRDefault="00F61464" w:rsidP="00786A11">
      <w:pPr>
        <w:pStyle w:val="ListParagraph"/>
        <w:numPr>
          <w:ilvl w:val="0"/>
          <w:numId w:val="8"/>
        </w:numPr>
        <w:spacing w:after="0" w:line="240" w:lineRule="auto"/>
        <w:contextualSpacing w:val="0"/>
        <w:jc w:val="both"/>
        <w:rPr>
          <w:rFonts w:asciiTheme="majorHAnsi" w:hAnsiTheme="majorHAnsi" w:cs="Times New Roman"/>
          <w:sz w:val="20"/>
          <w:szCs w:val="20"/>
        </w:rPr>
      </w:pPr>
      <w:r w:rsidRPr="008539D4">
        <w:rPr>
          <w:rFonts w:asciiTheme="majorHAnsi" w:hAnsiTheme="majorHAnsi"/>
          <w:sz w:val="20"/>
          <w:szCs w:val="20"/>
        </w:rPr>
        <w:t xml:space="preserve">Sacrificio masivo, en el que, a lo largo de varias semanas, la granja o la almadraba sacrifica los peces, que son transportados por un </w:t>
      </w:r>
      <w:r w:rsidR="00D47A7E">
        <w:rPr>
          <w:rFonts w:asciiTheme="majorHAnsi" w:hAnsiTheme="majorHAnsi"/>
          <w:sz w:val="20"/>
          <w:szCs w:val="20"/>
        </w:rPr>
        <w:t>barco</w:t>
      </w:r>
      <w:r w:rsidRPr="008539D4">
        <w:rPr>
          <w:rFonts w:asciiTheme="majorHAnsi" w:hAnsiTheme="majorHAnsi"/>
          <w:sz w:val="20"/>
          <w:szCs w:val="20"/>
        </w:rPr>
        <w:t xml:space="preserve"> auxiliar y transferidos al buque de transformación.</w:t>
      </w:r>
    </w:p>
    <w:p w14:paraId="1B4B0D5B" w14:textId="77777777" w:rsidR="00786A11" w:rsidRPr="008539D4" w:rsidRDefault="00786A11" w:rsidP="00786A11">
      <w:pPr>
        <w:spacing w:after="0" w:line="240" w:lineRule="auto"/>
        <w:jc w:val="both"/>
        <w:rPr>
          <w:rFonts w:asciiTheme="majorHAnsi" w:hAnsiTheme="majorHAnsi" w:cs="Times New Roman"/>
          <w:sz w:val="20"/>
          <w:szCs w:val="20"/>
        </w:rPr>
      </w:pPr>
    </w:p>
    <w:p w14:paraId="79997C5F" w14:textId="5856F6E8" w:rsidR="00F61464"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Es importante mencionar que las operaciones de sacrificio conforme a letra b) son habitualmente controladas por el observador desde el buque de transformación, por lo que el observador no presencia realmente el sacrificio</w:t>
      </w:r>
    </w:p>
    <w:p w14:paraId="693B8710" w14:textId="77777777" w:rsidR="00786A11" w:rsidRPr="008539D4" w:rsidRDefault="00786A11" w:rsidP="00786A11">
      <w:pPr>
        <w:spacing w:after="0" w:line="240" w:lineRule="auto"/>
        <w:jc w:val="both"/>
        <w:rPr>
          <w:rFonts w:asciiTheme="majorHAnsi" w:hAnsiTheme="majorHAnsi" w:cs="Times New Roman"/>
          <w:sz w:val="20"/>
          <w:szCs w:val="20"/>
        </w:rPr>
      </w:pPr>
    </w:p>
    <w:p w14:paraId="53683DA9" w14:textId="18CFC3FD" w:rsidR="00823025" w:rsidRPr="008539D4" w:rsidRDefault="00823025"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Además, cabe señalar que, mientras se lleva a cabo la captura destinada a la transformación a bordo, también podría estar produciéndose el sacrificio destinado al mercado de productos frescos al mismo tiempo y en el mismo lugar (jaula). La decisión sobre el destino del pescado podría tomarse en el mismo momento del sacrificio, en función de las características</w:t>
      </w:r>
      <w:r w:rsidR="002C016E">
        <w:rPr>
          <w:rFonts w:asciiTheme="majorHAnsi" w:hAnsiTheme="majorHAnsi"/>
          <w:sz w:val="20"/>
          <w:szCs w:val="20"/>
        </w:rPr>
        <w:t xml:space="preserve"> de los peces</w:t>
      </w:r>
      <w:r w:rsidRPr="008539D4">
        <w:rPr>
          <w:rFonts w:asciiTheme="majorHAnsi" w:hAnsiTheme="majorHAnsi"/>
          <w:sz w:val="20"/>
          <w:szCs w:val="20"/>
        </w:rPr>
        <w:t xml:space="preserve"> que el comprador exija. Si hubiera cobertura de observación (ya sea humana o mediante EMS) a bordo del buque de transformación, esta laguna quedaría resuelta. </w:t>
      </w:r>
    </w:p>
    <w:p w14:paraId="03DE1BE1" w14:textId="77777777" w:rsidR="00786A11" w:rsidRPr="008539D4" w:rsidRDefault="00786A11" w:rsidP="00786A11">
      <w:pPr>
        <w:spacing w:after="0" w:line="240" w:lineRule="auto"/>
        <w:jc w:val="both"/>
        <w:rPr>
          <w:rFonts w:asciiTheme="majorHAnsi" w:hAnsiTheme="majorHAnsi" w:cs="Times New Roman"/>
          <w:sz w:val="20"/>
          <w:szCs w:val="20"/>
        </w:rPr>
      </w:pPr>
    </w:p>
    <w:p w14:paraId="2381AA06" w14:textId="0513ABFD" w:rsidR="00405F51" w:rsidRPr="008539D4" w:rsidRDefault="003F1B1D"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Este proyecto propone dos opciones para llevar a cabo el seguimiento: bien mediante un observador regional destinado a bordo del buque de transformación las 24 horas del día, los 7 días de la semana</w:t>
      </w:r>
      <w:r w:rsidR="00F95378">
        <w:rPr>
          <w:rFonts w:asciiTheme="majorHAnsi" w:hAnsiTheme="majorHAnsi"/>
          <w:sz w:val="20"/>
          <w:szCs w:val="20"/>
        </w:rPr>
        <w:t xml:space="preserve"> o </w:t>
      </w:r>
      <w:r w:rsidRPr="008539D4">
        <w:rPr>
          <w:rFonts w:asciiTheme="majorHAnsi" w:hAnsiTheme="majorHAnsi"/>
          <w:sz w:val="20"/>
          <w:szCs w:val="20"/>
        </w:rPr>
        <w:t xml:space="preserve">bien mediante el EMS. </w:t>
      </w:r>
    </w:p>
    <w:p w14:paraId="6EFB7C0A" w14:textId="77777777" w:rsidR="00B65631" w:rsidRPr="008539D4" w:rsidRDefault="00B65631" w:rsidP="00786A11">
      <w:pPr>
        <w:spacing w:after="0" w:line="240" w:lineRule="auto"/>
        <w:jc w:val="both"/>
        <w:rPr>
          <w:rFonts w:asciiTheme="majorHAnsi" w:hAnsiTheme="majorHAnsi" w:cs="Times New Roman"/>
          <w:sz w:val="20"/>
          <w:szCs w:val="20"/>
        </w:rPr>
      </w:pPr>
    </w:p>
    <w:p w14:paraId="282DD14B" w14:textId="77777777" w:rsidR="00786A11" w:rsidRDefault="00786A11" w:rsidP="00786A11">
      <w:pPr>
        <w:spacing w:after="0" w:line="240" w:lineRule="auto"/>
        <w:jc w:val="both"/>
        <w:rPr>
          <w:rFonts w:asciiTheme="majorHAnsi" w:hAnsiTheme="majorHAnsi" w:cs="Times New Roman"/>
          <w:sz w:val="20"/>
          <w:szCs w:val="20"/>
        </w:rPr>
      </w:pPr>
    </w:p>
    <w:p w14:paraId="18D2D8BD" w14:textId="77777777" w:rsidR="00F95378" w:rsidRDefault="00F95378" w:rsidP="00786A11">
      <w:pPr>
        <w:spacing w:after="0" w:line="240" w:lineRule="auto"/>
        <w:jc w:val="both"/>
        <w:rPr>
          <w:rFonts w:asciiTheme="majorHAnsi" w:hAnsiTheme="majorHAnsi" w:cs="Times New Roman"/>
          <w:sz w:val="20"/>
          <w:szCs w:val="20"/>
        </w:rPr>
      </w:pPr>
    </w:p>
    <w:p w14:paraId="62956BB5" w14:textId="77777777" w:rsidR="00F95378" w:rsidRDefault="00F95378" w:rsidP="00786A11">
      <w:pPr>
        <w:spacing w:after="0" w:line="240" w:lineRule="auto"/>
        <w:jc w:val="both"/>
        <w:rPr>
          <w:rFonts w:asciiTheme="majorHAnsi" w:hAnsiTheme="majorHAnsi" w:cs="Times New Roman"/>
          <w:sz w:val="20"/>
          <w:szCs w:val="20"/>
        </w:rPr>
      </w:pPr>
    </w:p>
    <w:p w14:paraId="77086D32" w14:textId="77777777" w:rsidR="00F95378" w:rsidRPr="008539D4" w:rsidRDefault="00F95378" w:rsidP="00786A11">
      <w:pPr>
        <w:spacing w:after="0" w:line="240" w:lineRule="auto"/>
        <w:jc w:val="both"/>
        <w:rPr>
          <w:rFonts w:asciiTheme="majorHAnsi" w:hAnsiTheme="majorHAnsi" w:cs="Times New Roman"/>
          <w:sz w:val="20"/>
          <w:szCs w:val="20"/>
        </w:rPr>
      </w:pPr>
    </w:p>
    <w:p w14:paraId="023090EA" w14:textId="239B963A" w:rsidR="00F61464" w:rsidRPr="008539D4"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8539D4">
        <w:rPr>
          <w:rFonts w:asciiTheme="majorHAnsi" w:hAnsiTheme="majorHAnsi"/>
          <w:b/>
          <w:sz w:val="20"/>
          <w:szCs w:val="20"/>
        </w:rPr>
        <w:lastRenderedPageBreak/>
        <w:t>Validación del eBCD</w:t>
      </w:r>
    </w:p>
    <w:p w14:paraId="07BE7ACD" w14:textId="77777777" w:rsidR="00786A11" w:rsidRPr="008539D4" w:rsidRDefault="00786A11" w:rsidP="00786A11">
      <w:pPr>
        <w:spacing w:after="0" w:line="240" w:lineRule="auto"/>
        <w:jc w:val="both"/>
        <w:rPr>
          <w:rFonts w:asciiTheme="majorHAnsi" w:hAnsiTheme="majorHAnsi" w:cs="Times New Roman"/>
          <w:sz w:val="20"/>
          <w:szCs w:val="20"/>
        </w:rPr>
      </w:pPr>
    </w:p>
    <w:p w14:paraId="6F54A12F" w14:textId="1EC97763" w:rsidR="00F61464" w:rsidRDefault="005940CA" w:rsidP="00786A11">
      <w:pPr>
        <w:spacing w:after="0" w:line="240" w:lineRule="auto"/>
        <w:jc w:val="both"/>
        <w:rPr>
          <w:rFonts w:asciiTheme="majorHAnsi" w:hAnsiTheme="majorHAnsi"/>
          <w:sz w:val="20"/>
          <w:szCs w:val="20"/>
        </w:rPr>
      </w:pPr>
      <w:r w:rsidRPr="008539D4">
        <w:rPr>
          <w:rFonts w:asciiTheme="majorHAnsi" w:hAnsiTheme="majorHAnsi"/>
          <w:sz w:val="20"/>
          <w:szCs w:val="20"/>
        </w:rPr>
        <w:t>La validación de las operaciones de sacrificio seguirá el mismo procedimiento que se aplica actualmente. El observador regional o el observador de la CPC en las almadrabas firmaría la sección 7 de sacrificio, y las autoridades de control de la CPC validarían dicha sección. Para dicha validación, las autoridades de control de la CPC de la granja/</w:t>
      </w:r>
      <w:r w:rsidR="00774616" w:rsidRPr="008539D4">
        <w:rPr>
          <w:rFonts w:asciiTheme="majorHAnsi" w:hAnsiTheme="majorHAnsi"/>
          <w:sz w:val="20"/>
          <w:szCs w:val="20"/>
        </w:rPr>
        <w:t>almadraba dispondrían</w:t>
      </w:r>
      <w:r w:rsidRPr="008539D4">
        <w:rPr>
          <w:rFonts w:asciiTheme="majorHAnsi" w:hAnsiTheme="majorHAnsi"/>
          <w:sz w:val="20"/>
          <w:szCs w:val="20"/>
        </w:rPr>
        <w:t xml:space="preserve"> de datos más fiables para desempeñar sus funciones. Cabe señalar que los datos obtenidos del EMS o de los observadores a bordo de los buques de transformación también serían pertinentes para la firma de la declaración de transformación y la validación de los datos comerciales vinculados a la operación de transformación en cuestión.</w:t>
      </w:r>
    </w:p>
    <w:p w14:paraId="798BAE9B" w14:textId="77777777" w:rsidR="00F95378" w:rsidRDefault="00F95378" w:rsidP="00786A11">
      <w:pPr>
        <w:spacing w:after="0" w:line="240" w:lineRule="auto"/>
        <w:jc w:val="both"/>
        <w:rPr>
          <w:rFonts w:asciiTheme="majorHAnsi" w:hAnsiTheme="majorHAnsi"/>
          <w:sz w:val="20"/>
          <w:szCs w:val="20"/>
        </w:rPr>
      </w:pPr>
    </w:p>
    <w:p w14:paraId="6A79909B" w14:textId="77777777" w:rsidR="008F2D5D" w:rsidRPr="008539D4" w:rsidRDefault="008F2D5D" w:rsidP="00786A11">
      <w:pPr>
        <w:spacing w:after="0" w:line="240" w:lineRule="auto"/>
        <w:jc w:val="both"/>
        <w:rPr>
          <w:rFonts w:asciiTheme="majorHAnsi" w:hAnsiTheme="majorHAnsi" w:cs="Times New Roman"/>
          <w:sz w:val="20"/>
          <w:szCs w:val="20"/>
        </w:rPr>
      </w:pPr>
    </w:p>
    <w:p w14:paraId="6BDB59C9" w14:textId="2E69CAEC" w:rsidR="00F61464" w:rsidRPr="008539D4"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8539D4">
        <w:rPr>
          <w:rFonts w:asciiTheme="majorHAnsi" w:hAnsiTheme="majorHAnsi"/>
          <w:b/>
          <w:sz w:val="20"/>
          <w:szCs w:val="20"/>
        </w:rPr>
        <w:t>¿Quién tendrá la responsabilidad de analizar las grabaciones de vídeo y evaluar los datos?</w:t>
      </w:r>
    </w:p>
    <w:p w14:paraId="528C682A" w14:textId="77777777" w:rsidR="00786A11" w:rsidRPr="008539D4" w:rsidRDefault="00786A11" w:rsidP="00786A11">
      <w:pPr>
        <w:spacing w:after="0" w:line="240" w:lineRule="auto"/>
        <w:jc w:val="both"/>
        <w:rPr>
          <w:rFonts w:asciiTheme="majorHAnsi" w:hAnsiTheme="majorHAnsi" w:cs="Times New Roman"/>
          <w:sz w:val="20"/>
          <w:szCs w:val="20"/>
        </w:rPr>
      </w:pPr>
    </w:p>
    <w:p w14:paraId="7A9DA397" w14:textId="7E9F5875" w:rsidR="00F61464" w:rsidRPr="008539D4" w:rsidRDefault="00F14FFF"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Si bien las autoridades del Estado del pabellón siguen teniendo la responsabilidad obvia, las autoridades de control d</w:t>
      </w:r>
      <w:r w:rsidR="008539D4">
        <w:rPr>
          <w:rFonts w:asciiTheme="majorHAnsi" w:hAnsiTheme="majorHAnsi"/>
          <w:sz w:val="20"/>
          <w:szCs w:val="20"/>
        </w:rPr>
        <w:t>e la</w:t>
      </w:r>
      <w:r w:rsidRPr="008539D4">
        <w:rPr>
          <w:rFonts w:asciiTheme="majorHAnsi" w:hAnsiTheme="majorHAnsi"/>
          <w:sz w:val="20"/>
          <w:szCs w:val="20"/>
        </w:rPr>
        <w:t xml:space="preserve"> CPC </w:t>
      </w:r>
      <w:r w:rsidR="00685134">
        <w:rPr>
          <w:rFonts w:asciiTheme="majorHAnsi" w:hAnsiTheme="majorHAnsi"/>
          <w:sz w:val="20"/>
          <w:szCs w:val="20"/>
        </w:rPr>
        <w:t xml:space="preserve">de la granja/almadraba </w:t>
      </w:r>
      <w:r w:rsidRPr="008539D4">
        <w:rPr>
          <w:rFonts w:asciiTheme="majorHAnsi" w:hAnsiTheme="majorHAnsi"/>
          <w:sz w:val="20"/>
          <w:szCs w:val="20"/>
        </w:rPr>
        <w:t xml:space="preserve">tienen la responsabilidad del seguimiento de las actividades de los buques de transformación en sus aguas. </w:t>
      </w:r>
    </w:p>
    <w:p w14:paraId="5D710836" w14:textId="77777777" w:rsidR="00786A11" w:rsidRPr="008539D4" w:rsidRDefault="00786A11" w:rsidP="00786A11">
      <w:pPr>
        <w:spacing w:after="0" w:line="240" w:lineRule="auto"/>
        <w:jc w:val="both"/>
        <w:rPr>
          <w:rFonts w:asciiTheme="majorHAnsi" w:hAnsiTheme="majorHAnsi" w:cs="Times New Roman"/>
          <w:sz w:val="20"/>
          <w:szCs w:val="20"/>
        </w:rPr>
      </w:pPr>
    </w:p>
    <w:p w14:paraId="587194CB" w14:textId="16F3C3B4" w:rsidR="00786A11" w:rsidRPr="008539D4" w:rsidRDefault="00B52C9B"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Tanto las autoridades </w:t>
      </w:r>
      <w:r w:rsidR="002379CC">
        <w:rPr>
          <w:rFonts w:asciiTheme="majorHAnsi" w:hAnsiTheme="majorHAnsi"/>
          <w:sz w:val="20"/>
          <w:szCs w:val="20"/>
        </w:rPr>
        <w:t>de control d</w:t>
      </w:r>
      <w:r w:rsidRPr="008539D4">
        <w:rPr>
          <w:rFonts w:asciiTheme="majorHAnsi" w:hAnsiTheme="majorHAnsi"/>
          <w:sz w:val="20"/>
          <w:szCs w:val="20"/>
        </w:rPr>
        <w:t>el Estado de pabellón como las autoridades de control de la CPC de la granja/almadraba serán responsables de evaluar la información resultante de los análisis de los datos del EMS. De conformidad con la Recomendación 23-18, cuando se utilice el EMS con fines de control del cumplimiento, los análisis de datos deben basarse en una evaluación de riesgos. El EMS contará con un programa informático específico que ayude a examinar los datos. Por lo tanto, dicha información se pondrá a disposición del</w:t>
      </w:r>
      <w:r w:rsidR="00726FC5">
        <w:rPr>
          <w:rFonts w:asciiTheme="majorHAnsi" w:hAnsiTheme="majorHAnsi"/>
          <w:sz w:val="20"/>
          <w:szCs w:val="20"/>
        </w:rPr>
        <w:t xml:space="preserve"> las autoridades de control del</w:t>
      </w:r>
      <w:r w:rsidRPr="008539D4">
        <w:rPr>
          <w:rFonts w:asciiTheme="majorHAnsi" w:hAnsiTheme="majorHAnsi"/>
          <w:sz w:val="20"/>
          <w:szCs w:val="20"/>
        </w:rPr>
        <w:t xml:space="preserve"> Estado de pabellón y </w:t>
      </w:r>
      <w:r w:rsidR="008B5EAD">
        <w:rPr>
          <w:rFonts w:asciiTheme="majorHAnsi" w:hAnsiTheme="majorHAnsi"/>
          <w:sz w:val="20"/>
          <w:szCs w:val="20"/>
        </w:rPr>
        <w:t xml:space="preserve">de </w:t>
      </w:r>
      <w:r w:rsidRPr="008539D4">
        <w:rPr>
          <w:rFonts w:asciiTheme="majorHAnsi" w:hAnsiTheme="majorHAnsi"/>
          <w:sz w:val="20"/>
          <w:szCs w:val="20"/>
        </w:rPr>
        <w:t xml:space="preserve">las </w:t>
      </w:r>
      <w:r w:rsidR="002225A2">
        <w:rPr>
          <w:rFonts w:asciiTheme="majorHAnsi" w:hAnsiTheme="majorHAnsi"/>
          <w:sz w:val="20"/>
          <w:szCs w:val="20"/>
        </w:rPr>
        <w:t>granjas/almadrabas</w:t>
      </w:r>
      <w:r w:rsidRPr="008539D4">
        <w:rPr>
          <w:rFonts w:asciiTheme="majorHAnsi" w:hAnsiTheme="majorHAnsi"/>
          <w:sz w:val="20"/>
          <w:szCs w:val="20"/>
        </w:rPr>
        <w:t xml:space="preserve"> tan pronto como se disponga de los datos y, previa solicitud, de las autoridades de control de</w:t>
      </w:r>
      <w:r w:rsidR="0047017D">
        <w:rPr>
          <w:rFonts w:asciiTheme="majorHAnsi" w:hAnsiTheme="majorHAnsi"/>
          <w:sz w:val="20"/>
          <w:szCs w:val="20"/>
        </w:rPr>
        <w:t xml:space="preserve"> la CPC de</w:t>
      </w:r>
      <w:r w:rsidRPr="008539D4">
        <w:rPr>
          <w:rFonts w:asciiTheme="majorHAnsi" w:hAnsiTheme="majorHAnsi"/>
          <w:sz w:val="20"/>
          <w:szCs w:val="20"/>
        </w:rPr>
        <w:t xml:space="preserve"> </w:t>
      </w:r>
      <w:r w:rsidR="002379CC" w:rsidRPr="008539D4">
        <w:rPr>
          <w:rFonts w:asciiTheme="majorHAnsi" w:hAnsiTheme="majorHAnsi"/>
          <w:sz w:val="20"/>
          <w:szCs w:val="20"/>
        </w:rPr>
        <w:t xml:space="preserve">las </w:t>
      </w:r>
      <w:r w:rsidR="002379CC">
        <w:rPr>
          <w:rFonts w:asciiTheme="majorHAnsi" w:hAnsiTheme="majorHAnsi"/>
          <w:sz w:val="20"/>
          <w:szCs w:val="20"/>
        </w:rPr>
        <w:t>granjas/almadrabas</w:t>
      </w:r>
      <w:r w:rsidRPr="008539D4">
        <w:rPr>
          <w:rFonts w:asciiTheme="majorHAnsi" w:hAnsiTheme="majorHAnsi"/>
          <w:sz w:val="20"/>
          <w:szCs w:val="20"/>
        </w:rPr>
        <w:t xml:space="preserve">. </w:t>
      </w:r>
    </w:p>
    <w:p w14:paraId="1DF7CC41" w14:textId="77777777" w:rsidR="00786A11" w:rsidRPr="008539D4" w:rsidRDefault="00786A11" w:rsidP="00786A11">
      <w:pPr>
        <w:spacing w:after="0" w:line="240" w:lineRule="auto"/>
        <w:jc w:val="both"/>
        <w:rPr>
          <w:rFonts w:asciiTheme="majorHAnsi" w:hAnsiTheme="majorHAnsi" w:cs="Times New Roman"/>
          <w:sz w:val="20"/>
          <w:szCs w:val="20"/>
        </w:rPr>
      </w:pPr>
    </w:p>
    <w:p w14:paraId="1DA82414" w14:textId="4CA17372" w:rsidR="00E36A28" w:rsidRPr="008539D4" w:rsidRDefault="00995647"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Esto ayudará a dichas autoridades a comprobar la coherencia entre las cantidades declaradas en las declaraciones sacrificio y transformación presentadas por el operador y los datos obtenidos a través del EMS y durante las actividades de control.</w:t>
      </w:r>
    </w:p>
    <w:p w14:paraId="739E833B" w14:textId="77777777" w:rsidR="00786A11" w:rsidRPr="008539D4" w:rsidRDefault="00786A11" w:rsidP="00786A11">
      <w:pPr>
        <w:spacing w:after="0" w:line="240" w:lineRule="auto"/>
        <w:jc w:val="both"/>
        <w:rPr>
          <w:rFonts w:asciiTheme="majorHAnsi" w:hAnsiTheme="majorHAnsi" w:cs="Times New Roman"/>
          <w:sz w:val="20"/>
          <w:szCs w:val="20"/>
        </w:rPr>
      </w:pPr>
    </w:p>
    <w:p w14:paraId="753251A3" w14:textId="4663897E" w:rsidR="00AA0449" w:rsidRPr="008539D4" w:rsidRDefault="00D40B8B"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Estos análisis también podrían realizarse en cualquier momento para hacer un seguimiento del buque mientras se encuentre en las proximidades de la granja. Las autoridades de control de la CPC de la granja/almadraba no tienen necesariamente que realizar ellas mismas los análisis de los datos brutos, pero deben asegurarse de que </w:t>
      </w:r>
      <w:r w:rsidRPr="008922B2">
        <w:rPr>
          <w:rFonts w:asciiTheme="majorHAnsi" w:hAnsiTheme="majorHAnsi"/>
          <w:b/>
          <w:bCs/>
          <w:sz w:val="20"/>
          <w:szCs w:val="20"/>
        </w:rPr>
        <w:t>se pongan a su disposición los datos</w:t>
      </w:r>
      <w:r w:rsidRPr="008539D4">
        <w:rPr>
          <w:rFonts w:asciiTheme="majorHAnsi" w:hAnsiTheme="majorHAnsi"/>
          <w:b/>
          <w:bCs/>
          <w:sz w:val="20"/>
          <w:szCs w:val="20"/>
        </w:rPr>
        <w:t xml:space="preserve"> y eventos clave que supervisa el sistema.</w:t>
      </w:r>
    </w:p>
    <w:p w14:paraId="3BFEEB64" w14:textId="77777777" w:rsidR="00786A11" w:rsidRPr="008539D4" w:rsidRDefault="00786A11" w:rsidP="00786A11">
      <w:pPr>
        <w:spacing w:after="0" w:line="240" w:lineRule="auto"/>
        <w:jc w:val="both"/>
        <w:rPr>
          <w:rFonts w:asciiTheme="majorHAnsi" w:hAnsiTheme="majorHAnsi" w:cs="Times New Roman"/>
          <w:sz w:val="20"/>
          <w:szCs w:val="20"/>
        </w:rPr>
      </w:pPr>
    </w:p>
    <w:p w14:paraId="5FE782A8" w14:textId="2538F453" w:rsidR="00AA0449" w:rsidRPr="008539D4" w:rsidRDefault="00AA0449"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Las diferentes opciones para el análisis de las grabaciones de vídeo y la gestión de datos —a saber, la elaboración de informes, el almacenamiento y la transmisión de datos— deben tener en cuenta las recomendaciones de ICCAT que exigen el uso EMS para supervisar el cumplimiento, en particular el anexo 6 de la Recomendación 23-18 y el anexo 1 de la Resolución 21-17. </w:t>
      </w:r>
    </w:p>
    <w:p w14:paraId="6A9E2A1C" w14:textId="77777777" w:rsidR="00786A11" w:rsidRPr="008539D4" w:rsidRDefault="00786A11" w:rsidP="00786A11">
      <w:pPr>
        <w:spacing w:after="0" w:line="240" w:lineRule="auto"/>
        <w:jc w:val="both"/>
        <w:rPr>
          <w:rFonts w:asciiTheme="majorHAnsi" w:hAnsiTheme="majorHAnsi" w:cs="Times New Roman"/>
          <w:sz w:val="20"/>
          <w:szCs w:val="20"/>
        </w:rPr>
      </w:pPr>
    </w:p>
    <w:p w14:paraId="2518C3C2" w14:textId="78A94CB6" w:rsidR="009F33CC"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Esto supondría, no obstante, una mejora de la eficiencia con respecto a la situación actual, ya que el buque sería objeto de seguimiento independientemente de si se están llevando a cabo operaciones, y se desplegarían observadores y autoridades de control a la granja.</w:t>
      </w:r>
    </w:p>
    <w:p w14:paraId="274CA6CE" w14:textId="77777777" w:rsidR="00C14C81" w:rsidRPr="008539D4" w:rsidRDefault="00C14C81" w:rsidP="00786A11">
      <w:pPr>
        <w:spacing w:after="0" w:line="240" w:lineRule="auto"/>
        <w:jc w:val="both"/>
        <w:rPr>
          <w:rFonts w:asciiTheme="majorHAnsi" w:hAnsiTheme="majorHAnsi" w:cs="Times New Roman"/>
          <w:sz w:val="20"/>
          <w:szCs w:val="20"/>
        </w:rPr>
      </w:pPr>
    </w:p>
    <w:p w14:paraId="06D5445B" w14:textId="77777777" w:rsidR="00786A11" w:rsidRPr="008539D4" w:rsidRDefault="00786A11" w:rsidP="00786A11">
      <w:pPr>
        <w:spacing w:after="0" w:line="240" w:lineRule="auto"/>
        <w:jc w:val="both"/>
        <w:rPr>
          <w:rFonts w:asciiTheme="majorHAnsi" w:hAnsiTheme="majorHAnsi" w:cs="Times New Roman"/>
          <w:sz w:val="20"/>
          <w:szCs w:val="20"/>
        </w:rPr>
      </w:pPr>
    </w:p>
    <w:p w14:paraId="0CA9AD4C" w14:textId="1EB867E4" w:rsidR="00F61464" w:rsidRPr="008539D4"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8539D4">
        <w:rPr>
          <w:rFonts w:asciiTheme="majorHAnsi" w:hAnsiTheme="majorHAnsi"/>
          <w:b/>
          <w:sz w:val="20"/>
          <w:szCs w:val="20"/>
        </w:rPr>
        <w:t>Costes</w:t>
      </w:r>
    </w:p>
    <w:p w14:paraId="3ADE55AE" w14:textId="77777777" w:rsidR="00786A11" w:rsidRPr="008539D4" w:rsidRDefault="00786A11" w:rsidP="00786A11">
      <w:pPr>
        <w:spacing w:after="0" w:line="240" w:lineRule="auto"/>
        <w:jc w:val="both"/>
        <w:rPr>
          <w:rFonts w:asciiTheme="majorHAnsi" w:hAnsiTheme="majorHAnsi" w:cs="Times New Roman"/>
          <w:sz w:val="20"/>
          <w:szCs w:val="20"/>
        </w:rPr>
      </w:pPr>
    </w:p>
    <w:p w14:paraId="4D82E0CE" w14:textId="3D993DA2" w:rsidR="00F61464"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Esta propuesta pretende proporcionar medios para poder controlar las actividades de los buques de transformación y subsanar una deficiencia del sistema creada por la presencia de buques de transformación en las inmediaciones de granjas o almadrabas.</w:t>
      </w:r>
    </w:p>
    <w:p w14:paraId="0262457F" w14:textId="77777777" w:rsidR="00786A11" w:rsidRPr="008539D4" w:rsidRDefault="00786A11" w:rsidP="00786A11">
      <w:pPr>
        <w:spacing w:after="0" w:line="240" w:lineRule="auto"/>
        <w:jc w:val="both"/>
        <w:rPr>
          <w:rFonts w:asciiTheme="majorHAnsi" w:hAnsiTheme="majorHAnsi" w:cs="Times New Roman"/>
          <w:sz w:val="20"/>
          <w:szCs w:val="20"/>
        </w:rPr>
      </w:pPr>
    </w:p>
    <w:p w14:paraId="0994B339" w14:textId="0A9B3912" w:rsidR="00F61464" w:rsidRPr="008539D4" w:rsidRDefault="00F61464" w:rsidP="00786A11">
      <w:pPr>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Creemos que los costes del seguimiento de las actividades del buque de transformación deben correr a cargo del operador del buque de transformación. Esto sigue la misma lógica para el resto de los casos, almadrabas, granjas, buques pesqueros, </w:t>
      </w:r>
      <w:r w:rsidR="00897AFB">
        <w:rPr>
          <w:rFonts w:asciiTheme="majorHAnsi" w:hAnsiTheme="majorHAnsi"/>
          <w:sz w:val="20"/>
          <w:szCs w:val="20"/>
        </w:rPr>
        <w:t>remolcadores</w:t>
      </w:r>
      <w:r w:rsidRPr="008539D4">
        <w:rPr>
          <w:rFonts w:asciiTheme="majorHAnsi" w:hAnsiTheme="majorHAnsi"/>
          <w:sz w:val="20"/>
          <w:szCs w:val="20"/>
        </w:rPr>
        <w:t xml:space="preserve"> o buques de transporte. En todos los casos, es el operador del buque, la granja o la almadraba quien corre con los gastos de la observación.</w:t>
      </w:r>
    </w:p>
    <w:p w14:paraId="1983AA2B" w14:textId="77777777" w:rsidR="00B00CE0" w:rsidRPr="008539D4" w:rsidRDefault="00B00CE0" w:rsidP="00786A11">
      <w:pPr>
        <w:spacing w:after="0" w:line="240" w:lineRule="auto"/>
        <w:jc w:val="both"/>
        <w:rPr>
          <w:rFonts w:asciiTheme="majorHAnsi" w:hAnsiTheme="majorHAnsi" w:cs="Times New Roman"/>
          <w:b/>
          <w:bCs/>
          <w:sz w:val="20"/>
          <w:szCs w:val="20"/>
        </w:rPr>
      </w:pPr>
    </w:p>
    <w:p w14:paraId="2B8F4FB7" w14:textId="77777777" w:rsidR="00405F51" w:rsidRPr="008539D4" w:rsidRDefault="00405F51" w:rsidP="00786A11">
      <w:pPr>
        <w:spacing w:after="0" w:line="240" w:lineRule="auto"/>
        <w:jc w:val="both"/>
        <w:rPr>
          <w:rFonts w:asciiTheme="majorHAnsi" w:hAnsiTheme="majorHAnsi" w:cs="Times New Roman"/>
          <w:b/>
          <w:bCs/>
          <w:sz w:val="20"/>
          <w:szCs w:val="20"/>
        </w:rPr>
      </w:pPr>
      <w:r w:rsidRPr="008539D4">
        <w:rPr>
          <w:rFonts w:asciiTheme="majorHAnsi" w:hAnsiTheme="majorHAnsi"/>
          <w:sz w:val="20"/>
          <w:szCs w:val="20"/>
        </w:rPr>
        <w:br w:type="page"/>
      </w:r>
    </w:p>
    <w:p w14:paraId="4BB019CC" w14:textId="76E27A1D" w:rsidR="00F61464" w:rsidRPr="008539D4" w:rsidRDefault="00F61464" w:rsidP="001955D5">
      <w:pPr>
        <w:spacing w:after="0" w:line="240" w:lineRule="auto"/>
        <w:jc w:val="both"/>
        <w:rPr>
          <w:rFonts w:asciiTheme="majorHAnsi" w:hAnsiTheme="majorHAnsi" w:cs="Times New Roman"/>
          <w:b/>
          <w:bCs/>
          <w:sz w:val="20"/>
          <w:szCs w:val="20"/>
        </w:rPr>
      </w:pPr>
      <w:r w:rsidRPr="008539D4">
        <w:rPr>
          <w:rFonts w:asciiTheme="majorHAnsi" w:hAnsiTheme="majorHAnsi"/>
          <w:b/>
          <w:sz w:val="20"/>
          <w:szCs w:val="20"/>
        </w:rPr>
        <w:lastRenderedPageBreak/>
        <w:t xml:space="preserve">Enmienda propuesta a la </w:t>
      </w:r>
      <w:r w:rsidRPr="008539D4">
        <w:rPr>
          <w:rFonts w:asciiTheme="majorHAnsi" w:hAnsiTheme="majorHAnsi"/>
          <w:b/>
          <w:i/>
          <w:sz w:val="20"/>
          <w:szCs w:val="20"/>
        </w:rPr>
        <w:t>Recomendación de ICCAT que reemplaza la Recomendación 24-05 que establece un plan de ordenación plurianual para el atún rojo en el Atlántico este y el Mediterráneo</w:t>
      </w:r>
      <w:r w:rsidRPr="008539D4">
        <w:rPr>
          <w:rFonts w:asciiTheme="majorHAnsi" w:hAnsiTheme="majorHAnsi"/>
          <w:b/>
          <w:sz w:val="20"/>
          <w:szCs w:val="20"/>
        </w:rPr>
        <w:t xml:space="preserve"> (Rec. 25-04)</w:t>
      </w:r>
    </w:p>
    <w:p w14:paraId="523A6DD6" w14:textId="77777777" w:rsidR="00405F51" w:rsidRPr="008539D4" w:rsidRDefault="00405F51" w:rsidP="001955D5">
      <w:pPr>
        <w:spacing w:after="0" w:line="240" w:lineRule="auto"/>
        <w:jc w:val="both"/>
        <w:rPr>
          <w:rFonts w:asciiTheme="majorHAnsi" w:hAnsiTheme="majorHAnsi" w:cs="Times New Roman"/>
          <w:b/>
          <w:bCs/>
          <w:sz w:val="20"/>
          <w:szCs w:val="20"/>
        </w:rPr>
      </w:pPr>
    </w:p>
    <w:p w14:paraId="580E7F39" w14:textId="5F460570" w:rsidR="00F61464" w:rsidRPr="008539D4" w:rsidRDefault="00F61464" w:rsidP="001955D5">
      <w:pPr>
        <w:spacing w:after="0" w:line="240" w:lineRule="auto"/>
        <w:jc w:val="both"/>
        <w:rPr>
          <w:rFonts w:asciiTheme="majorHAnsi" w:hAnsiTheme="majorHAnsi" w:cs="Times New Roman"/>
          <w:sz w:val="20"/>
          <w:szCs w:val="20"/>
        </w:rPr>
      </w:pPr>
      <w:r w:rsidRPr="008539D4">
        <w:rPr>
          <w:rFonts w:asciiTheme="majorHAnsi" w:hAnsiTheme="majorHAnsi"/>
          <w:b/>
          <w:bCs/>
          <w:sz w:val="20"/>
          <w:szCs w:val="20"/>
        </w:rPr>
        <w:t>Párrafo 192.</w:t>
      </w:r>
      <w:r w:rsidRPr="008539D4">
        <w:rPr>
          <w:rFonts w:asciiTheme="majorHAnsi" w:hAnsiTheme="majorHAnsi"/>
          <w:sz w:val="20"/>
          <w:szCs w:val="20"/>
        </w:rPr>
        <w:t xml:space="preserve"> Las operaciones de sacrificio no se llevarán a cabo sin la presencia de un observador de la CPC en el caso de las almadrabas, o de un observador regional de ICCAT en el caso de sacrificio en las granjas. En el caso de los peces entregados a un buque de transformación, el observador de la CPC o regional de ICCAT puede realizar sus tareas pertinentes desde el buque de transformación.</w:t>
      </w:r>
    </w:p>
    <w:p w14:paraId="2C90773E" w14:textId="77777777" w:rsidR="003A36F1" w:rsidRPr="008539D4" w:rsidRDefault="003A36F1" w:rsidP="001955D5">
      <w:pPr>
        <w:spacing w:after="0" w:line="240" w:lineRule="auto"/>
        <w:jc w:val="both"/>
        <w:rPr>
          <w:rFonts w:asciiTheme="majorHAnsi" w:hAnsiTheme="majorHAnsi" w:cs="Times New Roman"/>
          <w:sz w:val="20"/>
          <w:szCs w:val="20"/>
        </w:rPr>
      </w:pPr>
    </w:p>
    <w:p w14:paraId="34DCDC82" w14:textId="0F2DA235" w:rsidR="00AA0449" w:rsidRPr="008539D4" w:rsidRDefault="00AA0449" w:rsidP="001955D5">
      <w:pPr>
        <w:spacing w:after="0" w:line="240" w:lineRule="auto"/>
        <w:jc w:val="both"/>
        <w:rPr>
          <w:rFonts w:asciiTheme="majorHAnsi" w:hAnsiTheme="majorHAnsi" w:cs="Times New Roman"/>
          <w:sz w:val="20"/>
          <w:szCs w:val="20"/>
          <w:u w:val="single"/>
        </w:rPr>
      </w:pPr>
      <w:r w:rsidRPr="008539D4">
        <w:rPr>
          <w:rFonts w:asciiTheme="majorHAnsi" w:hAnsiTheme="majorHAnsi"/>
          <w:b/>
          <w:sz w:val="20"/>
          <w:szCs w:val="20"/>
          <w:u w:val="single"/>
        </w:rPr>
        <w:t xml:space="preserve">Párrafo 192 a. </w:t>
      </w:r>
      <w:r w:rsidRPr="008539D4">
        <w:rPr>
          <w:rFonts w:asciiTheme="majorHAnsi" w:hAnsiTheme="majorHAnsi"/>
          <w:sz w:val="20"/>
          <w:szCs w:val="20"/>
          <w:u w:val="single"/>
        </w:rPr>
        <w:t>Cuando el atún rojo sacrificado vaya a ser desembarcado directamente en puerto, el operador de la granja</w:t>
      </w:r>
      <w:r w:rsidR="00A92CE7">
        <w:rPr>
          <w:rFonts w:asciiTheme="majorHAnsi" w:hAnsiTheme="majorHAnsi"/>
          <w:sz w:val="20"/>
          <w:szCs w:val="20"/>
          <w:u w:val="single"/>
        </w:rPr>
        <w:t>/</w:t>
      </w:r>
      <w:r w:rsidRPr="008539D4">
        <w:rPr>
          <w:rFonts w:asciiTheme="majorHAnsi" w:hAnsiTheme="majorHAnsi"/>
          <w:sz w:val="20"/>
          <w:szCs w:val="20"/>
          <w:u w:val="single"/>
        </w:rPr>
        <w:t>almadraba cumplimentará una declaración de sacrificio. Las declaraciones de sacrificio serán verificadas y, en su caso, firmadas por el observador regional de ICCAT o el observador de la CPC presente en la operación de sacrificio, y validadas por las autoridades de control de la CPC de la granja/almadraba.</w:t>
      </w:r>
    </w:p>
    <w:p w14:paraId="299C02B6" w14:textId="77777777" w:rsidR="006A6F79" w:rsidRPr="008539D4" w:rsidRDefault="006A6F79" w:rsidP="001955D5">
      <w:pPr>
        <w:spacing w:after="0" w:line="240" w:lineRule="auto"/>
        <w:jc w:val="both"/>
        <w:rPr>
          <w:rFonts w:asciiTheme="majorHAnsi" w:hAnsiTheme="majorHAnsi" w:cs="Times New Roman"/>
          <w:sz w:val="20"/>
          <w:szCs w:val="20"/>
        </w:rPr>
      </w:pPr>
    </w:p>
    <w:p w14:paraId="123BBBCD" w14:textId="2B9382C8" w:rsidR="003A36F1" w:rsidRPr="008539D4" w:rsidRDefault="003A36F1" w:rsidP="001955D5">
      <w:pPr>
        <w:spacing w:after="0" w:line="240" w:lineRule="auto"/>
        <w:jc w:val="both"/>
        <w:rPr>
          <w:rFonts w:asciiTheme="majorHAnsi" w:hAnsiTheme="majorHAnsi" w:cs="Times New Roman"/>
          <w:sz w:val="20"/>
          <w:szCs w:val="20"/>
        </w:rPr>
      </w:pPr>
      <w:r w:rsidRPr="008539D4">
        <w:rPr>
          <w:rFonts w:asciiTheme="majorHAnsi" w:hAnsiTheme="majorHAnsi"/>
          <w:b/>
          <w:bCs/>
          <w:sz w:val="20"/>
          <w:szCs w:val="20"/>
        </w:rPr>
        <w:t>Párrafo 193.</w:t>
      </w:r>
      <w:r w:rsidRPr="008539D4">
        <w:rPr>
          <w:rFonts w:asciiTheme="majorHAnsi" w:hAnsiTheme="majorHAnsi"/>
          <w:sz w:val="20"/>
          <w:szCs w:val="20"/>
        </w:rPr>
        <w:t xml:space="preserve"> Las autoridades de control de la CPC de la gra</w:t>
      </w:r>
      <w:r w:rsidRPr="009976F8">
        <w:rPr>
          <w:rFonts w:asciiTheme="majorHAnsi" w:hAnsiTheme="majorHAnsi"/>
          <w:sz w:val="20"/>
          <w:szCs w:val="20"/>
          <w:u w:val="single"/>
        </w:rPr>
        <w:t>nja</w:t>
      </w:r>
      <w:r w:rsidR="009F2A84" w:rsidRPr="009976F8">
        <w:rPr>
          <w:rFonts w:asciiTheme="majorHAnsi" w:hAnsiTheme="majorHAnsi"/>
          <w:sz w:val="20"/>
          <w:szCs w:val="20"/>
          <w:u w:val="single"/>
        </w:rPr>
        <w:t>/</w:t>
      </w:r>
      <w:r w:rsidRPr="009976F8">
        <w:rPr>
          <w:rFonts w:asciiTheme="majorHAnsi" w:hAnsiTheme="majorHAnsi"/>
          <w:sz w:val="20"/>
          <w:szCs w:val="20"/>
          <w:u w:val="single"/>
        </w:rPr>
        <w:t>al</w:t>
      </w:r>
      <w:r w:rsidRPr="008539D4">
        <w:rPr>
          <w:rFonts w:asciiTheme="majorHAnsi" w:hAnsiTheme="majorHAnsi"/>
          <w:sz w:val="20"/>
          <w:szCs w:val="20"/>
        </w:rPr>
        <w:t>madraba cotejarán y verificarán los resultados de todas las operaciones de sacrificio que tienen lugar en las granjas y almadrabas ba</w:t>
      </w:r>
      <w:r w:rsidRPr="00EC2CB8">
        <w:rPr>
          <w:rFonts w:asciiTheme="majorHAnsi" w:hAnsiTheme="majorHAnsi"/>
          <w:sz w:val="20"/>
          <w:szCs w:val="20"/>
        </w:rPr>
        <w:t xml:space="preserve">jo su </w:t>
      </w:r>
      <w:r w:rsidRPr="008539D4">
        <w:rPr>
          <w:rFonts w:asciiTheme="majorHAnsi" w:hAnsiTheme="majorHAnsi"/>
          <w:sz w:val="20"/>
          <w:szCs w:val="20"/>
        </w:rPr>
        <w:t>autoridad utilizando toda la información pertinente en su poder. Las autoridades de control de la CPC de la granja o almadraba inspeccionarán todas las operaciones de sacrificio de atún rojo destinadas a los buques de transformación y un porcentaje del resto de las operaciones de sacrificio basándose en un análisis de riesgos.</w:t>
      </w:r>
    </w:p>
    <w:p w14:paraId="272B6A51" w14:textId="77777777" w:rsidR="003A36F1" w:rsidRPr="008539D4" w:rsidRDefault="003A36F1" w:rsidP="001955D5">
      <w:pPr>
        <w:spacing w:after="0" w:line="240" w:lineRule="auto"/>
        <w:jc w:val="both"/>
        <w:rPr>
          <w:rFonts w:asciiTheme="majorHAnsi" w:hAnsiTheme="majorHAnsi" w:cs="Times New Roman"/>
          <w:sz w:val="20"/>
          <w:szCs w:val="20"/>
          <w:u w:val="single"/>
        </w:rPr>
      </w:pPr>
    </w:p>
    <w:p w14:paraId="71A4F0E7" w14:textId="2B38A084" w:rsidR="005D1F8F" w:rsidRPr="00BF2A95" w:rsidRDefault="00AA0449" w:rsidP="001955D5">
      <w:pPr>
        <w:spacing w:after="0" w:line="240" w:lineRule="auto"/>
        <w:jc w:val="both"/>
        <w:rPr>
          <w:rFonts w:asciiTheme="majorHAnsi" w:hAnsiTheme="majorHAnsi" w:cs="Times New Roman"/>
          <w:sz w:val="20"/>
          <w:szCs w:val="20"/>
          <w:u w:val="single"/>
        </w:rPr>
      </w:pPr>
      <w:r w:rsidRPr="008539D4">
        <w:rPr>
          <w:rFonts w:asciiTheme="majorHAnsi" w:hAnsiTheme="majorHAnsi"/>
          <w:b/>
          <w:bCs/>
          <w:sz w:val="20"/>
          <w:szCs w:val="20"/>
        </w:rPr>
        <w:t>Párrafo 194.</w:t>
      </w:r>
      <w:r w:rsidRPr="008539D4">
        <w:rPr>
          <w:rFonts w:asciiTheme="majorHAnsi" w:hAnsiTheme="majorHAnsi"/>
          <w:sz w:val="20"/>
          <w:szCs w:val="20"/>
        </w:rPr>
        <w:t xml:space="preserve"> Cuando el destino del atún rojo sea un buque de transformación, el patrón o representante del buque de transformación cumplimentará una declaración de transformación.</w:t>
      </w:r>
      <w:r w:rsidR="00CB097B" w:rsidRPr="00FC3395">
        <w:rPr>
          <w:rFonts w:asciiTheme="majorHAnsi" w:hAnsiTheme="majorHAnsi"/>
          <w:strike/>
          <w:sz w:val="20"/>
          <w:szCs w:val="20"/>
          <w:u w:val="single"/>
        </w:rPr>
        <w:t xml:space="preserve"> </w:t>
      </w:r>
      <w:r w:rsidRPr="00FC3395">
        <w:rPr>
          <w:rFonts w:asciiTheme="majorHAnsi" w:hAnsiTheme="majorHAnsi"/>
          <w:strike/>
          <w:sz w:val="20"/>
          <w:szCs w:val="20"/>
          <w:u w:val="single"/>
        </w:rPr>
        <w:t xml:space="preserve">Cuando el atún rojo sacrificado vaya a ser desembarcado directamente en puerto, el operador de la granja o almadraba cumplimentará una declaración de sacrificio. </w:t>
      </w:r>
      <w:r w:rsidRPr="008539D4">
        <w:rPr>
          <w:rFonts w:asciiTheme="majorHAnsi" w:hAnsiTheme="majorHAnsi"/>
          <w:sz w:val="20"/>
          <w:szCs w:val="20"/>
        </w:rPr>
        <w:t>Las declaraciones de transformación y sacrificio serán verificadas y, en su caso, firmadas por el observador regional de ICCAT</w:t>
      </w:r>
      <w:r w:rsidR="00E1784A" w:rsidRPr="00E1784A">
        <w:rPr>
          <w:rFonts w:asciiTheme="majorHAnsi" w:hAnsiTheme="majorHAnsi"/>
          <w:sz w:val="20"/>
          <w:szCs w:val="20"/>
          <w:u w:val="single"/>
        </w:rPr>
        <w:t>/</w:t>
      </w:r>
      <w:r w:rsidRPr="008539D4">
        <w:rPr>
          <w:rFonts w:asciiTheme="majorHAnsi" w:hAnsiTheme="majorHAnsi"/>
          <w:sz w:val="20"/>
          <w:szCs w:val="20"/>
        </w:rPr>
        <w:t xml:space="preserve">el observador de la CPC presente en la operación de sacrificio </w:t>
      </w:r>
      <w:r w:rsidR="00BF2A95" w:rsidRPr="00BF2A95">
        <w:rPr>
          <w:rFonts w:asciiTheme="majorHAnsi" w:hAnsiTheme="majorHAnsi"/>
          <w:sz w:val="20"/>
          <w:szCs w:val="20"/>
          <w:u w:val="single"/>
        </w:rPr>
        <w:t>y asignado a</w:t>
      </w:r>
      <w:r w:rsidRPr="00BF2A95">
        <w:rPr>
          <w:rFonts w:asciiTheme="majorHAnsi" w:hAnsiTheme="majorHAnsi"/>
          <w:sz w:val="20"/>
          <w:szCs w:val="20"/>
          <w:u w:val="single"/>
        </w:rPr>
        <w:t xml:space="preserve"> la granja</w:t>
      </w:r>
      <w:r w:rsidR="00527434" w:rsidRPr="00BF2A95">
        <w:rPr>
          <w:rFonts w:asciiTheme="majorHAnsi" w:hAnsiTheme="majorHAnsi"/>
          <w:sz w:val="20"/>
          <w:szCs w:val="20"/>
          <w:u w:val="single"/>
        </w:rPr>
        <w:t>/</w:t>
      </w:r>
      <w:r w:rsidRPr="00BF2A95">
        <w:rPr>
          <w:rFonts w:asciiTheme="majorHAnsi" w:hAnsiTheme="majorHAnsi"/>
          <w:sz w:val="20"/>
          <w:szCs w:val="20"/>
          <w:u w:val="single"/>
        </w:rPr>
        <w:t>almadraba.</w:t>
      </w:r>
    </w:p>
    <w:p w14:paraId="7C859413" w14:textId="77777777" w:rsidR="00C47B46" w:rsidRPr="008539D4" w:rsidRDefault="00C47B46" w:rsidP="00A863DE">
      <w:pPr>
        <w:spacing w:after="0" w:line="240" w:lineRule="auto"/>
        <w:jc w:val="both"/>
        <w:rPr>
          <w:rFonts w:asciiTheme="majorHAnsi" w:hAnsiTheme="majorHAnsi" w:cs="Times New Roman"/>
          <w:sz w:val="20"/>
          <w:szCs w:val="20"/>
          <w:u w:val="single"/>
        </w:rPr>
      </w:pPr>
    </w:p>
    <w:p w14:paraId="6264BF4B" w14:textId="047ED499" w:rsidR="005D1F8F" w:rsidRPr="008539D4" w:rsidRDefault="00AA0449" w:rsidP="00A863DE">
      <w:pPr>
        <w:spacing w:after="0" w:line="240" w:lineRule="auto"/>
        <w:jc w:val="both"/>
        <w:rPr>
          <w:rFonts w:asciiTheme="majorHAnsi" w:hAnsiTheme="majorHAnsi" w:cs="Times New Roman"/>
          <w:sz w:val="20"/>
          <w:szCs w:val="20"/>
        </w:rPr>
      </w:pPr>
      <w:r w:rsidRPr="008539D4">
        <w:rPr>
          <w:rFonts w:asciiTheme="majorHAnsi" w:hAnsiTheme="majorHAnsi"/>
          <w:b/>
          <w:bCs/>
          <w:sz w:val="20"/>
          <w:szCs w:val="20"/>
        </w:rPr>
        <w:t>Párrafo 195.</w:t>
      </w:r>
      <w:r w:rsidRPr="008539D4">
        <w:rPr>
          <w:rFonts w:asciiTheme="majorHAnsi" w:hAnsiTheme="majorHAnsi"/>
          <w:sz w:val="20"/>
          <w:szCs w:val="20"/>
        </w:rPr>
        <w:t xml:space="preserve"> La</w:t>
      </w:r>
      <w:r w:rsidRPr="0090767B">
        <w:rPr>
          <w:rFonts w:asciiTheme="majorHAnsi" w:hAnsiTheme="majorHAnsi"/>
          <w:sz w:val="20"/>
          <w:szCs w:val="20"/>
          <w:u w:val="single"/>
        </w:rPr>
        <w:t>s</w:t>
      </w:r>
      <w:r w:rsidRPr="008539D4">
        <w:rPr>
          <w:rFonts w:asciiTheme="majorHAnsi" w:hAnsiTheme="majorHAnsi"/>
          <w:sz w:val="20"/>
          <w:szCs w:val="20"/>
        </w:rPr>
        <w:t xml:space="preserve"> declaracione</w:t>
      </w:r>
      <w:r w:rsidRPr="0090767B">
        <w:rPr>
          <w:rFonts w:asciiTheme="majorHAnsi" w:hAnsiTheme="majorHAnsi"/>
          <w:sz w:val="20"/>
          <w:szCs w:val="20"/>
          <w:u w:val="single"/>
        </w:rPr>
        <w:t>s</w:t>
      </w:r>
      <w:r w:rsidRPr="008539D4">
        <w:rPr>
          <w:rFonts w:asciiTheme="majorHAnsi" w:hAnsiTheme="majorHAnsi"/>
          <w:sz w:val="20"/>
          <w:szCs w:val="20"/>
        </w:rPr>
        <w:t xml:space="preserve"> de transformación y la</w:t>
      </w:r>
      <w:r w:rsidRPr="0090767B">
        <w:rPr>
          <w:rFonts w:asciiTheme="majorHAnsi" w:hAnsiTheme="majorHAnsi"/>
          <w:sz w:val="20"/>
          <w:szCs w:val="20"/>
          <w:u w:val="single"/>
        </w:rPr>
        <w:t>s</w:t>
      </w:r>
      <w:r w:rsidRPr="008539D4">
        <w:rPr>
          <w:rFonts w:asciiTheme="majorHAnsi" w:hAnsiTheme="majorHAnsi"/>
          <w:sz w:val="20"/>
          <w:szCs w:val="20"/>
        </w:rPr>
        <w:t xml:space="preserve"> declaracione</w:t>
      </w:r>
      <w:r w:rsidRPr="0090767B">
        <w:rPr>
          <w:rFonts w:asciiTheme="majorHAnsi" w:hAnsiTheme="majorHAnsi"/>
          <w:sz w:val="20"/>
          <w:szCs w:val="20"/>
          <w:u w:val="single"/>
        </w:rPr>
        <w:t>s</w:t>
      </w:r>
      <w:r w:rsidRPr="008539D4">
        <w:rPr>
          <w:rFonts w:asciiTheme="majorHAnsi" w:hAnsiTheme="majorHAnsi"/>
          <w:sz w:val="20"/>
          <w:szCs w:val="20"/>
        </w:rPr>
        <w:t xml:space="preserve"> de sacrificio contendrá</w:t>
      </w:r>
      <w:r w:rsidRPr="00AC256E">
        <w:rPr>
          <w:rFonts w:asciiTheme="majorHAnsi" w:hAnsiTheme="majorHAnsi"/>
          <w:sz w:val="20"/>
          <w:szCs w:val="20"/>
          <w:u w:val="single"/>
        </w:rPr>
        <w:t>n</w:t>
      </w:r>
      <w:r w:rsidRPr="008539D4">
        <w:rPr>
          <w:rFonts w:asciiTheme="majorHAnsi" w:hAnsiTheme="majorHAnsi"/>
          <w:sz w:val="20"/>
          <w:szCs w:val="20"/>
        </w:rPr>
        <w:t xml:space="preserve">, como mínimo, la siguiente información, utilizando el </w:t>
      </w:r>
      <w:r w:rsidR="00AC256E" w:rsidRPr="00AC256E">
        <w:rPr>
          <w:rFonts w:asciiTheme="majorHAnsi" w:hAnsiTheme="majorHAnsi"/>
          <w:b/>
          <w:bCs/>
          <w:sz w:val="20"/>
          <w:szCs w:val="20"/>
        </w:rPr>
        <w:t xml:space="preserve">anexo </w:t>
      </w:r>
      <w:r w:rsidRPr="00AC256E">
        <w:rPr>
          <w:rFonts w:asciiTheme="majorHAnsi" w:hAnsiTheme="majorHAnsi"/>
          <w:b/>
          <w:bCs/>
          <w:sz w:val="20"/>
          <w:szCs w:val="20"/>
        </w:rPr>
        <w:t>15</w:t>
      </w:r>
      <w:r w:rsidRPr="008539D4">
        <w:rPr>
          <w:rFonts w:asciiTheme="majorHAnsi" w:hAnsiTheme="majorHAnsi"/>
          <w:sz w:val="20"/>
          <w:szCs w:val="20"/>
        </w:rPr>
        <w:t>:</w:t>
      </w:r>
    </w:p>
    <w:p w14:paraId="62AFEADE" w14:textId="77777777" w:rsidR="00A863DE" w:rsidRPr="008539D4" w:rsidRDefault="00A863DE" w:rsidP="00A863DE">
      <w:pPr>
        <w:spacing w:after="0" w:line="240" w:lineRule="auto"/>
        <w:jc w:val="both"/>
        <w:rPr>
          <w:rFonts w:asciiTheme="majorHAnsi" w:hAnsiTheme="majorHAnsi" w:cs="Times New Roman"/>
          <w:sz w:val="20"/>
          <w:szCs w:val="20"/>
        </w:rPr>
      </w:pPr>
    </w:p>
    <w:p w14:paraId="2AB61FE3" w14:textId="77777777" w:rsidR="005D1F8F" w:rsidRPr="008539D4" w:rsidRDefault="005D1F8F" w:rsidP="00A863DE">
      <w:pPr>
        <w:tabs>
          <w:tab w:val="left" w:pos="426"/>
        </w:tabs>
        <w:spacing w:after="0" w:line="240" w:lineRule="auto"/>
        <w:jc w:val="both"/>
        <w:rPr>
          <w:rFonts w:asciiTheme="majorHAnsi" w:hAnsiTheme="majorHAnsi" w:cs="Times New Roman"/>
          <w:sz w:val="20"/>
          <w:szCs w:val="20"/>
        </w:rPr>
      </w:pPr>
      <w:r w:rsidRPr="008539D4">
        <w:rPr>
          <w:rFonts w:asciiTheme="majorHAnsi" w:hAnsiTheme="majorHAnsi"/>
          <w:sz w:val="20"/>
          <w:szCs w:val="20"/>
        </w:rPr>
        <w:t>- fecha del sacrificio;</w:t>
      </w:r>
    </w:p>
    <w:p w14:paraId="27F21CCF" w14:textId="77777777" w:rsidR="005D1F8F" w:rsidRPr="008539D4" w:rsidRDefault="005D1F8F" w:rsidP="00A863DE">
      <w:pPr>
        <w:tabs>
          <w:tab w:val="left" w:pos="426"/>
        </w:tabs>
        <w:spacing w:after="0" w:line="240" w:lineRule="auto"/>
        <w:jc w:val="both"/>
        <w:rPr>
          <w:rFonts w:asciiTheme="majorHAnsi" w:hAnsiTheme="majorHAnsi" w:cs="Times New Roman"/>
          <w:sz w:val="20"/>
          <w:szCs w:val="20"/>
        </w:rPr>
      </w:pPr>
      <w:r w:rsidRPr="008539D4">
        <w:rPr>
          <w:rFonts w:asciiTheme="majorHAnsi" w:hAnsiTheme="majorHAnsi"/>
          <w:sz w:val="20"/>
          <w:szCs w:val="20"/>
        </w:rPr>
        <w:t>- granja o almadraba;</w:t>
      </w:r>
    </w:p>
    <w:p w14:paraId="0E4806C5" w14:textId="77777777" w:rsidR="005D1F8F" w:rsidRPr="008539D4" w:rsidRDefault="005D1F8F" w:rsidP="00A863DE">
      <w:pPr>
        <w:tabs>
          <w:tab w:val="left" w:pos="426"/>
        </w:tabs>
        <w:spacing w:after="0" w:line="240" w:lineRule="auto"/>
        <w:jc w:val="both"/>
        <w:rPr>
          <w:rFonts w:asciiTheme="majorHAnsi" w:hAnsiTheme="majorHAnsi" w:cs="Times New Roman"/>
          <w:sz w:val="20"/>
          <w:szCs w:val="20"/>
          <w:lang w:val="pt-BR"/>
        </w:rPr>
      </w:pPr>
      <w:r w:rsidRPr="008539D4">
        <w:rPr>
          <w:rFonts w:asciiTheme="majorHAnsi" w:hAnsiTheme="majorHAnsi"/>
          <w:sz w:val="20"/>
          <w:szCs w:val="20"/>
          <w:lang w:val="pt-BR"/>
        </w:rPr>
        <w:t xml:space="preserve">- </w:t>
      </w:r>
      <w:proofErr w:type="gramStart"/>
      <w:r w:rsidRPr="008539D4">
        <w:rPr>
          <w:rFonts w:asciiTheme="majorHAnsi" w:hAnsiTheme="majorHAnsi"/>
          <w:sz w:val="20"/>
          <w:szCs w:val="20"/>
          <w:lang w:val="pt-BR"/>
        </w:rPr>
        <w:t>número</w:t>
      </w:r>
      <w:proofErr w:type="gramEnd"/>
      <w:r w:rsidRPr="008539D4">
        <w:rPr>
          <w:rFonts w:asciiTheme="majorHAnsi" w:hAnsiTheme="majorHAnsi"/>
          <w:sz w:val="20"/>
          <w:szCs w:val="20"/>
          <w:lang w:val="pt-BR"/>
        </w:rPr>
        <w:t>(s) de jaula(s);</w:t>
      </w:r>
    </w:p>
    <w:p w14:paraId="7C3877AC" w14:textId="77777777" w:rsidR="005D1F8F" w:rsidRPr="008539D4" w:rsidRDefault="005D1F8F" w:rsidP="00A863DE">
      <w:pPr>
        <w:tabs>
          <w:tab w:val="left" w:pos="426"/>
        </w:tabs>
        <w:spacing w:after="0" w:line="240" w:lineRule="auto"/>
        <w:jc w:val="both"/>
        <w:rPr>
          <w:rFonts w:asciiTheme="majorHAnsi" w:hAnsiTheme="majorHAnsi" w:cs="Times New Roman"/>
          <w:sz w:val="20"/>
          <w:szCs w:val="20"/>
        </w:rPr>
      </w:pPr>
      <w:r w:rsidRPr="008539D4">
        <w:rPr>
          <w:rFonts w:asciiTheme="majorHAnsi" w:hAnsiTheme="majorHAnsi"/>
          <w:sz w:val="20"/>
          <w:szCs w:val="20"/>
        </w:rPr>
        <w:t>-número de ejemplares sacrificados;</w:t>
      </w:r>
    </w:p>
    <w:p w14:paraId="1D5405F6" w14:textId="00A70DD0" w:rsidR="005D1F8F" w:rsidRPr="008539D4" w:rsidRDefault="005D1F8F" w:rsidP="00A863DE">
      <w:pPr>
        <w:tabs>
          <w:tab w:val="left" w:pos="426"/>
        </w:tabs>
        <w:spacing w:after="0" w:line="240" w:lineRule="auto"/>
        <w:jc w:val="both"/>
        <w:rPr>
          <w:rFonts w:asciiTheme="majorHAnsi" w:hAnsiTheme="majorHAnsi" w:cs="Times New Roman"/>
          <w:sz w:val="20"/>
          <w:szCs w:val="20"/>
        </w:rPr>
      </w:pPr>
      <w:r w:rsidRPr="008539D4">
        <w:rPr>
          <w:rFonts w:asciiTheme="majorHAnsi" w:hAnsiTheme="majorHAnsi"/>
          <w:sz w:val="20"/>
          <w:szCs w:val="20"/>
        </w:rPr>
        <w:t xml:space="preserve">- peso en vivo y peso procesado en kg del atún rojo </w:t>
      </w:r>
      <w:r w:rsidR="00047148">
        <w:rPr>
          <w:rFonts w:asciiTheme="majorHAnsi" w:hAnsiTheme="majorHAnsi"/>
          <w:sz w:val="20"/>
          <w:szCs w:val="20"/>
        </w:rPr>
        <w:t>sacrificado</w:t>
      </w:r>
      <w:r w:rsidRPr="008539D4">
        <w:rPr>
          <w:rFonts w:asciiTheme="majorHAnsi" w:hAnsiTheme="majorHAnsi"/>
          <w:sz w:val="20"/>
          <w:szCs w:val="20"/>
        </w:rPr>
        <w:t>;</w:t>
      </w:r>
    </w:p>
    <w:p w14:paraId="3B75673D" w14:textId="77777777" w:rsidR="005D1F8F" w:rsidRPr="008539D4" w:rsidRDefault="005D1F8F" w:rsidP="00A863DE">
      <w:pPr>
        <w:tabs>
          <w:tab w:val="left" w:pos="426"/>
        </w:tabs>
        <w:spacing w:after="0" w:line="240" w:lineRule="auto"/>
        <w:jc w:val="both"/>
        <w:rPr>
          <w:rFonts w:asciiTheme="majorHAnsi" w:hAnsiTheme="majorHAnsi" w:cs="Times New Roman"/>
          <w:sz w:val="20"/>
          <w:szCs w:val="20"/>
        </w:rPr>
      </w:pPr>
      <w:r w:rsidRPr="008539D4">
        <w:rPr>
          <w:rFonts w:asciiTheme="majorHAnsi" w:hAnsiTheme="majorHAnsi"/>
          <w:sz w:val="20"/>
          <w:szCs w:val="20"/>
        </w:rPr>
        <w:t>- número(s) de eBCD asociado(s) al atún rojo sacrificado;</w:t>
      </w:r>
    </w:p>
    <w:p w14:paraId="220663D5" w14:textId="77777777" w:rsidR="005D1F8F" w:rsidRPr="008539D4" w:rsidRDefault="005D1F8F" w:rsidP="00A863DE">
      <w:pPr>
        <w:tabs>
          <w:tab w:val="left" w:pos="426"/>
        </w:tabs>
        <w:spacing w:after="0" w:line="240" w:lineRule="auto"/>
        <w:jc w:val="both"/>
        <w:rPr>
          <w:rFonts w:asciiTheme="majorHAnsi" w:hAnsiTheme="majorHAnsi" w:cs="Times New Roman"/>
          <w:sz w:val="20"/>
          <w:szCs w:val="20"/>
        </w:rPr>
      </w:pPr>
      <w:r w:rsidRPr="008539D4">
        <w:rPr>
          <w:rFonts w:asciiTheme="majorHAnsi" w:hAnsiTheme="majorHAnsi"/>
          <w:sz w:val="20"/>
          <w:szCs w:val="20"/>
        </w:rPr>
        <w:t>- detalles de los barcos auxiliares que participan en la operación;</w:t>
      </w:r>
    </w:p>
    <w:p w14:paraId="6A309F98" w14:textId="77777777" w:rsidR="005D1F8F" w:rsidRPr="008539D4" w:rsidRDefault="005D1F8F" w:rsidP="00A863DE">
      <w:pPr>
        <w:tabs>
          <w:tab w:val="left" w:pos="426"/>
        </w:tabs>
        <w:spacing w:after="0" w:line="240" w:lineRule="auto"/>
        <w:jc w:val="both"/>
        <w:rPr>
          <w:rFonts w:asciiTheme="majorHAnsi" w:hAnsiTheme="majorHAnsi" w:cs="Times New Roman"/>
          <w:sz w:val="20"/>
          <w:szCs w:val="20"/>
        </w:rPr>
      </w:pPr>
      <w:r w:rsidRPr="008539D4">
        <w:rPr>
          <w:rFonts w:asciiTheme="majorHAnsi" w:hAnsiTheme="majorHAnsi"/>
          <w:sz w:val="20"/>
          <w:szCs w:val="20"/>
        </w:rPr>
        <w:t>- destino de los atunes sacrificados (es decir, exportación, mercado local u otros);</w:t>
      </w:r>
    </w:p>
    <w:p w14:paraId="1050612D" w14:textId="6667736B" w:rsidR="005D1F8F" w:rsidRPr="008539D4" w:rsidRDefault="005D1F8F" w:rsidP="00A863DE">
      <w:pPr>
        <w:tabs>
          <w:tab w:val="left" w:pos="426"/>
        </w:tabs>
        <w:spacing w:after="0" w:line="240" w:lineRule="auto"/>
        <w:ind w:left="426" w:hanging="426"/>
        <w:jc w:val="both"/>
        <w:rPr>
          <w:rFonts w:asciiTheme="majorHAnsi" w:hAnsiTheme="majorHAnsi" w:cs="Times New Roman"/>
          <w:sz w:val="20"/>
          <w:szCs w:val="20"/>
        </w:rPr>
      </w:pPr>
      <w:r w:rsidRPr="008539D4">
        <w:rPr>
          <w:rFonts w:asciiTheme="majorHAnsi" w:hAnsiTheme="majorHAnsi"/>
          <w:sz w:val="20"/>
          <w:szCs w:val="20"/>
        </w:rPr>
        <w:t>- verificación y, cuando proceda, firma por parte del observador regional de ICCAT o del observador de la CPC, según corresponda:</w:t>
      </w:r>
    </w:p>
    <w:p w14:paraId="55AD277E" w14:textId="2FFE005F" w:rsidR="000907DC" w:rsidRPr="008539D4" w:rsidRDefault="000907DC" w:rsidP="00A863DE">
      <w:pPr>
        <w:tabs>
          <w:tab w:val="left" w:pos="426"/>
        </w:tabs>
        <w:spacing w:after="0" w:line="240" w:lineRule="auto"/>
        <w:jc w:val="both"/>
        <w:rPr>
          <w:rFonts w:asciiTheme="majorHAnsi" w:hAnsiTheme="majorHAnsi" w:cs="Times New Roman"/>
          <w:sz w:val="20"/>
          <w:szCs w:val="20"/>
          <w:u w:val="single"/>
        </w:rPr>
      </w:pPr>
      <w:r w:rsidRPr="008539D4">
        <w:rPr>
          <w:rFonts w:asciiTheme="majorHAnsi" w:hAnsiTheme="majorHAnsi"/>
          <w:sz w:val="20"/>
          <w:szCs w:val="20"/>
          <w:u w:val="single"/>
        </w:rPr>
        <w:t>-    en cuanto a las declaraciones de transformación, el tipo de cobertura (EMS u observador humano).</w:t>
      </w:r>
    </w:p>
    <w:p w14:paraId="5712668F" w14:textId="3735151B" w:rsidR="00890746" w:rsidRPr="008539D4" w:rsidRDefault="00890746" w:rsidP="00A863DE">
      <w:pPr>
        <w:tabs>
          <w:tab w:val="left" w:pos="426"/>
        </w:tabs>
        <w:spacing w:after="0" w:line="240" w:lineRule="auto"/>
        <w:ind w:right="140"/>
        <w:jc w:val="both"/>
        <w:rPr>
          <w:rFonts w:asciiTheme="majorHAnsi" w:hAnsiTheme="majorHAnsi" w:cs="Times New Roman"/>
          <w:sz w:val="20"/>
          <w:szCs w:val="20"/>
          <w:u w:val="single"/>
          <w:lang w:eastAsia="ja-JP"/>
        </w:rPr>
      </w:pPr>
    </w:p>
    <w:p w14:paraId="1F3290F9" w14:textId="0F84824E" w:rsidR="00E55613" w:rsidRPr="008539D4" w:rsidRDefault="00AA0449" w:rsidP="00A863DE">
      <w:pPr>
        <w:tabs>
          <w:tab w:val="left" w:pos="426"/>
        </w:tabs>
        <w:spacing w:after="0" w:line="240" w:lineRule="auto"/>
        <w:ind w:right="140"/>
        <w:jc w:val="both"/>
        <w:rPr>
          <w:rFonts w:asciiTheme="majorHAnsi" w:eastAsia="Cambria" w:hAnsiTheme="majorHAnsi" w:cs="Times New Roman"/>
          <w:b/>
          <w:color w:val="000000"/>
          <w:sz w:val="20"/>
          <w:szCs w:val="20"/>
        </w:rPr>
      </w:pPr>
      <w:r w:rsidRPr="008539D4">
        <w:rPr>
          <w:rFonts w:asciiTheme="majorHAnsi" w:hAnsiTheme="majorHAnsi"/>
          <w:b/>
          <w:bCs/>
          <w:sz w:val="20"/>
          <w:szCs w:val="20"/>
        </w:rPr>
        <w:t>Párrafo 196.</w:t>
      </w:r>
      <w:r w:rsidRPr="008539D4">
        <w:rPr>
          <w:rFonts w:asciiTheme="majorHAnsi" w:hAnsiTheme="majorHAnsi"/>
          <w:sz w:val="20"/>
          <w:szCs w:val="20"/>
        </w:rPr>
        <w:t xml:space="preserve"> Las declaraciones de transformación y sacrificio se enviarán por correo electrónico a las autoridades competentes de</w:t>
      </w:r>
      <w:r w:rsidR="007B43C3">
        <w:rPr>
          <w:rFonts w:asciiTheme="majorHAnsi" w:hAnsiTheme="majorHAnsi"/>
          <w:sz w:val="20"/>
          <w:szCs w:val="20"/>
        </w:rPr>
        <w:t xml:space="preserve"> la</w:t>
      </w:r>
      <w:r w:rsidRPr="008539D4">
        <w:rPr>
          <w:rFonts w:asciiTheme="majorHAnsi" w:hAnsiTheme="majorHAnsi"/>
          <w:sz w:val="20"/>
          <w:szCs w:val="20"/>
        </w:rPr>
        <w:t xml:space="preserve"> CPC de la granja </w:t>
      </w:r>
      <w:r w:rsidR="00525FE0">
        <w:rPr>
          <w:rFonts w:asciiTheme="majorHAnsi" w:hAnsiTheme="majorHAnsi"/>
          <w:sz w:val="20"/>
          <w:szCs w:val="20"/>
        </w:rPr>
        <w:t>/</w:t>
      </w:r>
      <w:r w:rsidRPr="00525FE0">
        <w:rPr>
          <w:rFonts w:asciiTheme="majorHAnsi" w:hAnsiTheme="majorHAnsi"/>
          <w:sz w:val="20"/>
          <w:szCs w:val="20"/>
          <w:u w:val="single"/>
        </w:rPr>
        <w:t>almadraba</w:t>
      </w:r>
      <w:r w:rsidRPr="008539D4">
        <w:rPr>
          <w:rFonts w:asciiTheme="majorHAnsi" w:hAnsiTheme="majorHAnsi"/>
          <w:sz w:val="20"/>
          <w:szCs w:val="20"/>
        </w:rPr>
        <w:t xml:space="preserve"> en un plazo de 48 horas desde la realización de la operación de sacrificio.</w:t>
      </w:r>
    </w:p>
    <w:p w14:paraId="099E0352" w14:textId="4A59A8C2" w:rsidR="009678CF" w:rsidRPr="008539D4" w:rsidRDefault="009678CF" w:rsidP="00A863DE">
      <w:pPr>
        <w:spacing w:after="0" w:line="240" w:lineRule="auto"/>
        <w:jc w:val="both"/>
        <w:rPr>
          <w:rFonts w:asciiTheme="majorHAnsi" w:hAnsiTheme="majorHAnsi" w:cs="Times New Roman"/>
          <w:sz w:val="20"/>
          <w:szCs w:val="20"/>
          <w:lang w:eastAsia="ja-JP"/>
        </w:rPr>
      </w:pPr>
    </w:p>
    <w:p w14:paraId="34C93D62" w14:textId="2D72D79F" w:rsidR="00C47B46" w:rsidRPr="008539D4" w:rsidRDefault="00AA0449" w:rsidP="00A863DE">
      <w:pPr>
        <w:spacing w:after="0" w:line="240" w:lineRule="auto"/>
        <w:jc w:val="both"/>
        <w:rPr>
          <w:rFonts w:asciiTheme="majorHAnsi" w:hAnsiTheme="majorHAnsi" w:cs="Times New Roman"/>
          <w:sz w:val="20"/>
          <w:szCs w:val="20"/>
          <w:u w:val="single"/>
        </w:rPr>
      </w:pPr>
      <w:r w:rsidRPr="008539D4">
        <w:rPr>
          <w:rFonts w:asciiTheme="majorHAnsi" w:hAnsiTheme="majorHAnsi"/>
          <w:b/>
          <w:sz w:val="20"/>
          <w:szCs w:val="20"/>
          <w:u w:val="single"/>
        </w:rPr>
        <w:t xml:space="preserve">Párrafo 196 a. </w:t>
      </w:r>
      <w:r w:rsidRPr="008539D4">
        <w:rPr>
          <w:rFonts w:asciiTheme="majorHAnsi" w:hAnsiTheme="majorHAnsi"/>
          <w:sz w:val="20"/>
          <w:szCs w:val="20"/>
          <w:u w:val="single"/>
        </w:rPr>
        <w:t>Las autoridades de control de la CPC de la granja</w:t>
      </w:r>
      <w:r w:rsidR="0067763C">
        <w:rPr>
          <w:rFonts w:asciiTheme="majorHAnsi" w:hAnsiTheme="majorHAnsi"/>
          <w:sz w:val="20"/>
          <w:szCs w:val="20"/>
          <w:u w:val="single"/>
        </w:rPr>
        <w:t>/</w:t>
      </w:r>
      <w:r w:rsidRPr="008539D4">
        <w:rPr>
          <w:rFonts w:asciiTheme="majorHAnsi" w:hAnsiTheme="majorHAnsi"/>
          <w:sz w:val="20"/>
          <w:szCs w:val="20"/>
          <w:u w:val="single"/>
        </w:rPr>
        <w:t>almadraba verificarán y cotejarán los resultados de todas las operaciones de transformación que se lleven a cabo bajo su autoridad, utilizando toda la información pertinente, incluida la procedente de un observador regional de ICCAT o del observador de una CPC a bordo de un buque de transformación, así como los datos del EMS, tan pronto como estén disponibles. Los datos de EMS se analizarán basándose en una evaluación de riesgos.</w:t>
      </w:r>
    </w:p>
    <w:p w14:paraId="1276FB40" w14:textId="644D60B0" w:rsidR="00DD3CCD" w:rsidRPr="008539D4" w:rsidRDefault="00DD3CCD" w:rsidP="00A863DE">
      <w:pPr>
        <w:spacing w:after="0" w:line="240" w:lineRule="auto"/>
        <w:jc w:val="both"/>
        <w:rPr>
          <w:rFonts w:asciiTheme="majorHAnsi" w:hAnsiTheme="majorHAnsi" w:cs="Times New Roman"/>
          <w:b/>
          <w:bCs/>
          <w:sz w:val="20"/>
          <w:szCs w:val="20"/>
          <w:u w:val="single"/>
          <w:lang w:eastAsia="ja-JP"/>
        </w:rPr>
      </w:pPr>
    </w:p>
    <w:p w14:paraId="4130968E" w14:textId="18EADEA4" w:rsidR="00C47B46" w:rsidRPr="008539D4" w:rsidRDefault="00AA0449" w:rsidP="00A863DE">
      <w:pPr>
        <w:spacing w:after="0" w:line="240" w:lineRule="auto"/>
        <w:jc w:val="both"/>
        <w:rPr>
          <w:rFonts w:asciiTheme="majorHAnsi" w:hAnsiTheme="majorHAnsi" w:cs="Times New Roman"/>
          <w:b/>
          <w:bCs/>
          <w:sz w:val="20"/>
          <w:szCs w:val="20"/>
          <w:u w:val="single"/>
        </w:rPr>
      </w:pPr>
      <w:r w:rsidRPr="008539D4">
        <w:rPr>
          <w:rFonts w:asciiTheme="majorHAnsi" w:hAnsiTheme="majorHAnsi"/>
          <w:b/>
          <w:sz w:val="20"/>
          <w:szCs w:val="20"/>
          <w:u w:val="single"/>
        </w:rPr>
        <w:t xml:space="preserve">Párrafo 196b. </w:t>
      </w:r>
      <w:r w:rsidRPr="008539D4">
        <w:rPr>
          <w:rFonts w:asciiTheme="majorHAnsi" w:hAnsiTheme="majorHAnsi"/>
          <w:sz w:val="20"/>
          <w:szCs w:val="20"/>
          <w:u w:val="single"/>
        </w:rPr>
        <w:t>El almacenamiento, la transmisión y/o la recuperación de los datos del EMS debe</w:t>
      </w:r>
      <w:r w:rsidR="00FB43CE">
        <w:rPr>
          <w:rFonts w:asciiTheme="majorHAnsi" w:hAnsiTheme="majorHAnsi"/>
          <w:sz w:val="20"/>
          <w:szCs w:val="20"/>
          <w:u w:val="single"/>
        </w:rPr>
        <w:t>ría</w:t>
      </w:r>
      <w:r w:rsidRPr="008539D4">
        <w:rPr>
          <w:rFonts w:asciiTheme="majorHAnsi" w:hAnsiTheme="majorHAnsi"/>
          <w:sz w:val="20"/>
          <w:szCs w:val="20"/>
          <w:u w:val="single"/>
        </w:rPr>
        <w:t>n realizarse de conformidad con el anexo 5 de la Recomendación 23-18 sobre normas mínimas para el uso de sistemas de seguimiento electrónico (EMS) en las pesquerías de ICCAT.</w:t>
      </w:r>
    </w:p>
    <w:p w14:paraId="4EFCC138" w14:textId="7109A986" w:rsidR="00DD3CCD" w:rsidRPr="008539D4" w:rsidRDefault="00DD3CCD" w:rsidP="00A863DE">
      <w:pPr>
        <w:spacing w:after="0" w:line="240" w:lineRule="auto"/>
        <w:jc w:val="both"/>
        <w:rPr>
          <w:rFonts w:asciiTheme="majorHAnsi" w:hAnsiTheme="majorHAnsi" w:cs="Times New Roman"/>
          <w:sz w:val="20"/>
          <w:szCs w:val="20"/>
          <w:lang w:eastAsia="ja-JP"/>
        </w:rPr>
      </w:pPr>
    </w:p>
    <w:p w14:paraId="6A42D5F4" w14:textId="53285F35" w:rsidR="00DF5D4B" w:rsidRPr="008539D4" w:rsidRDefault="00DF5D4B" w:rsidP="00A863DE">
      <w:pPr>
        <w:spacing w:after="0" w:line="240" w:lineRule="auto"/>
        <w:jc w:val="both"/>
        <w:rPr>
          <w:rFonts w:asciiTheme="majorHAnsi" w:hAnsiTheme="majorHAnsi" w:cs="Times New Roman"/>
          <w:sz w:val="20"/>
          <w:szCs w:val="20"/>
        </w:rPr>
      </w:pPr>
      <w:r w:rsidRPr="008539D4">
        <w:rPr>
          <w:rFonts w:asciiTheme="majorHAnsi" w:hAnsiTheme="majorHAnsi"/>
          <w:sz w:val="20"/>
          <w:szCs w:val="20"/>
        </w:rPr>
        <w:lastRenderedPageBreak/>
        <w:t>197. La Comisión estudiará la posibilidad de reflejar la "transformación a bordo" en el eBCD en su reunión anual de 2023. Para ello, el Grupo de trabajo IMM y luego el Grupo de trabajo técnico sobre el eBCD debatirán los requisitos técnicos, administrativos y de control e informarán de los resultados a la Comisión.</w:t>
      </w:r>
    </w:p>
    <w:p w14:paraId="1A9B4EBD" w14:textId="77777777" w:rsidR="00DF5D4B" w:rsidRPr="008539D4" w:rsidRDefault="00DF5D4B" w:rsidP="00A863DE">
      <w:pPr>
        <w:spacing w:after="0" w:line="240" w:lineRule="auto"/>
        <w:jc w:val="both"/>
        <w:rPr>
          <w:rFonts w:asciiTheme="majorHAnsi" w:hAnsiTheme="majorHAnsi" w:cs="Times New Roman"/>
          <w:sz w:val="20"/>
          <w:szCs w:val="20"/>
          <w:lang w:eastAsia="ja-JP"/>
        </w:rPr>
      </w:pPr>
    </w:p>
    <w:p w14:paraId="29371A41" w14:textId="77777777" w:rsidR="00A863DE" w:rsidRPr="008539D4" w:rsidRDefault="00A863DE" w:rsidP="00A863DE">
      <w:pPr>
        <w:spacing w:after="0" w:line="240" w:lineRule="auto"/>
        <w:jc w:val="both"/>
        <w:rPr>
          <w:rFonts w:asciiTheme="majorHAnsi" w:hAnsiTheme="majorHAnsi" w:cs="Times New Roman"/>
          <w:sz w:val="20"/>
          <w:szCs w:val="20"/>
          <w:lang w:eastAsia="ja-JP"/>
        </w:rPr>
      </w:pPr>
    </w:p>
    <w:p w14:paraId="2BEC5FD6" w14:textId="2B644518" w:rsidR="003D792A" w:rsidRPr="008539D4" w:rsidRDefault="003D792A" w:rsidP="00A863DE">
      <w:pPr>
        <w:spacing w:after="0" w:line="240" w:lineRule="auto"/>
        <w:jc w:val="center"/>
        <w:rPr>
          <w:rFonts w:asciiTheme="majorHAnsi" w:hAnsiTheme="majorHAnsi" w:cs="Times New Roman"/>
          <w:b/>
          <w:bCs/>
          <w:sz w:val="20"/>
          <w:szCs w:val="20"/>
          <w:u w:val="single"/>
        </w:rPr>
      </w:pPr>
      <w:r w:rsidRPr="008539D4">
        <w:rPr>
          <w:rFonts w:asciiTheme="majorHAnsi" w:hAnsiTheme="majorHAnsi"/>
          <w:b/>
          <w:sz w:val="20"/>
          <w:szCs w:val="20"/>
          <w:u w:val="single"/>
        </w:rPr>
        <w:t>Sección F(a) - Buques de transformación</w:t>
      </w:r>
    </w:p>
    <w:p w14:paraId="3A66B904" w14:textId="77777777" w:rsidR="00A863DE" w:rsidRPr="008539D4" w:rsidRDefault="00A863DE" w:rsidP="00A863DE">
      <w:pPr>
        <w:spacing w:after="0" w:line="240" w:lineRule="auto"/>
        <w:jc w:val="both"/>
        <w:rPr>
          <w:rFonts w:asciiTheme="majorHAnsi" w:hAnsiTheme="majorHAnsi" w:cs="Times New Roman"/>
          <w:b/>
          <w:bCs/>
          <w:sz w:val="20"/>
          <w:szCs w:val="20"/>
          <w:u w:val="single"/>
        </w:rPr>
      </w:pPr>
    </w:p>
    <w:p w14:paraId="262566B7" w14:textId="5EFC75F2" w:rsidR="003D792A" w:rsidRPr="008539D4" w:rsidRDefault="003D792A" w:rsidP="00A863DE">
      <w:pPr>
        <w:spacing w:after="0" w:line="240" w:lineRule="auto"/>
        <w:jc w:val="both"/>
        <w:rPr>
          <w:rFonts w:asciiTheme="majorHAnsi" w:hAnsiTheme="majorHAnsi" w:cs="Times New Roman"/>
          <w:sz w:val="20"/>
          <w:szCs w:val="20"/>
          <w:u w:val="single"/>
        </w:rPr>
      </w:pPr>
      <w:r w:rsidRPr="008539D4">
        <w:rPr>
          <w:rFonts w:asciiTheme="majorHAnsi" w:hAnsiTheme="majorHAnsi"/>
          <w:b/>
          <w:sz w:val="20"/>
          <w:szCs w:val="20"/>
          <w:u w:val="single"/>
        </w:rPr>
        <w:t xml:space="preserve">Párrafo 197 a. </w:t>
      </w:r>
      <w:r w:rsidRPr="008539D4">
        <w:rPr>
          <w:rFonts w:asciiTheme="majorHAnsi" w:hAnsiTheme="majorHAnsi"/>
          <w:sz w:val="20"/>
          <w:szCs w:val="20"/>
          <w:u w:val="single"/>
        </w:rPr>
        <w:t>Mientras estén activos en la pesquerías de atún rojo, los buques de transformación contarán con un observador regional de ICCAT a bordo las 24 horas del día, los 7 días de la semana, o estar</w:t>
      </w:r>
      <w:r w:rsidR="009F3A11">
        <w:rPr>
          <w:rFonts w:asciiTheme="majorHAnsi" w:hAnsiTheme="majorHAnsi"/>
          <w:sz w:val="20"/>
          <w:szCs w:val="20"/>
          <w:u w:val="single"/>
        </w:rPr>
        <w:t>án</w:t>
      </w:r>
      <w:r w:rsidRPr="008539D4">
        <w:rPr>
          <w:rFonts w:asciiTheme="majorHAnsi" w:hAnsiTheme="majorHAnsi"/>
          <w:sz w:val="20"/>
          <w:szCs w:val="20"/>
          <w:u w:val="single"/>
        </w:rPr>
        <w:t xml:space="preserve"> equipados con un sistema de seguimiento electrónico (EMS). </w:t>
      </w:r>
      <w:r w:rsidRPr="008539D4">
        <w:rPr>
          <w:rFonts w:asciiTheme="majorHAnsi" w:hAnsiTheme="majorHAnsi"/>
          <w:sz w:val="20"/>
          <w:szCs w:val="20"/>
        </w:rPr>
        <w:t xml:space="preserve">Este sistema cumplirá las normas mínimas y los requisitos del programa relativos al uso de los EMS en las pesquerías de ICCAT, tal y como se especifican en la </w:t>
      </w:r>
      <w:r w:rsidRPr="00CA0A66">
        <w:rPr>
          <w:rFonts w:asciiTheme="majorHAnsi" w:hAnsiTheme="majorHAnsi"/>
          <w:i/>
          <w:iCs/>
          <w:sz w:val="20"/>
          <w:szCs w:val="20"/>
        </w:rPr>
        <w:t>Recomendación de ICCAT para establecer normas mínimas y requisitos de programa para el uso de sistemas de seguimiento electrónico (EMS) en las pesquerías de ICCAT</w:t>
      </w:r>
      <w:r w:rsidRPr="00CA0A66">
        <w:rPr>
          <w:rFonts w:asciiTheme="majorHAnsi" w:hAnsiTheme="majorHAnsi"/>
          <w:sz w:val="20"/>
          <w:szCs w:val="20"/>
        </w:rPr>
        <w:t xml:space="preserve"> (Rec. 23-18)</w:t>
      </w:r>
      <w:r w:rsidRPr="008539D4">
        <w:rPr>
          <w:rFonts w:asciiTheme="majorHAnsi" w:hAnsiTheme="majorHAnsi"/>
          <w:sz w:val="20"/>
          <w:szCs w:val="20"/>
          <w:u w:val="single"/>
        </w:rPr>
        <w:t>.</w:t>
      </w:r>
    </w:p>
    <w:p w14:paraId="03E24962" w14:textId="77777777" w:rsidR="003D792A" w:rsidRPr="008539D4" w:rsidRDefault="003D792A" w:rsidP="00A863DE">
      <w:pPr>
        <w:spacing w:after="0" w:line="240" w:lineRule="auto"/>
        <w:jc w:val="both"/>
        <w:rPr>
          <w:rFonts w:asciiTheme="majorHAnsi" w:hAnsiTheme="majorHAnsi" w:cs="Times New Roman"/>
          <w:b/>
          <w:bCs/>
          <w:sz w:val="20"/>
          <w:szCs w:val="20"/>
          <w:u w:val="single"/>
        </w:rPr>
      </w:pPr>
    </w:p>
    <w:p w14:paraId="1B25F258" w14:textId="303C61F7" w:rsidR="003D792A" w:rsidRPr="008539D4" w:rsidRDefault="003D792A" w:rsidP="00A863DE">
      <w:pPr>
        <w:spacing w:after="0" w:line="240" w:lineRule="auto"/>
        <w:jc w:val="both"/>
        <w:rPr>
          <w:rFonts w:asciiTheme="majorHAnsi" w:hAnsiTheme="majorHAnsi" w:cs="Times New Roman"/>
          <w:sz w:val="20"/>
          <w:szCs w:val="20"/>
          <w:u w:val="single"/>
        </w:rPr>
      </w:pPr>
      <w:r w:rsidRPr="008539D4">
        <w:rPr>
          <w:rFonts w:asciiTheme="majorHAnsi" w:hAnsiTheme="majorHAnsi"/>
          <w:b/>
          <w:sz w:val="20"/>
          <w:szCs w:val="20"/>
          <w:u w:val="single"/>
        </w:rPr>
        <w:t>Párrafo 197b.</w:t>
      </w:r>
      <w:r w:rsidRPr="008539D4">
        <w:rPr>
          <w:rFonts w:asciiTheme="majorHAnsi" w:hAnsiTheme="majorHAnsi"/>
          <w:sz w:val="20"/>
          <w:szCs w:val="20"/>
          <w:u w:val="single"/>
        </w:rPr>
        <w:t xml:space="preserve"> A tal fin, las autoridades de control de la CPC de la granja</w:t>
      </w:r>
      <w:r w:rsidR="00A10EF4">
        <w:rPr>
          <w:rFonts w:asciiTheme="majorHAnsi" w:hAnsiTheme="majorHAnsi"/>
          <w:sz w:val="20"/>
          <w:szCs w:val="20"/>
          <w:u w:val="single"/>
        </w:rPr>
        <w:t>/</w:t>
      </w:r>
      <w:r w:rsidRPr="008539D4">
        <w:rPr>
          <w:rFonts w:asciiTheme="majorHAnsi" w:hAnsiTheme="majorHAnsi"/>
          <w:sz w:val="20"/>
          <w:szCs w:val="20"/>
          <w:u w:val="single"/>
        </w:rPr>
        <w:t xml:space="preserve"> almadraba confirmarán que el EMS está plenamente operativo o que hay un observador regional a bordo una vez que el buque llegue a la granja</w:t>
      </w:r>
      <w:r w:rsidR="00CF1193">
        <w:rPr>
          <w:rFonts w:asciiTheme="majorHAnsi" w:hAnsiTheme="majorHAnsi"/>
          <w:sz w:val="20"/>
          <w:szCs w:val="20"/>
          <w:u w:val="single"/>
        </w:rPr>
        <w:t>/</w:t>
      </w:r>
      <w:r w:rsidRPr="008539D4">
        <w:rPr>
          <w:rFonts w:asciiTheme="majorHAnsi" w:hAnsiTheme="majorHAnsi"/>
          <w:sz w:val="20"/>
          <w:szCs w:val="20"/>
          <w:u w:val="single"/>
        </w:rPr>
        <w:t xml:space="preserve"> almadraba y antes de iniciar las operaciones.</w:t>
      </w:r>
    </w:p>
    <w:p w14:paraId="19CEE739" w14:textId="77777777" w:rsidR="003D792A" w:rsidRPr="008539D4" w:rsidRDefault="003D792A" w:rsidP="00A863DE">
      <w:pPr>
        <w:spacing w:after="0" w:line="240" w:lineRule="auto"/>
        <w:jc w:val="both"/>
        <w:rPr>
          <w:rFonts w:asciiTheme="majorHAnsi" w:hAnsiTheme="majorHAnsi" w:cs="Times New Roman"/>
          <w:sz w:val="20"/>
          <w:szCs w:val="20"/>
          <w:u w:val="single"/>
        </w:rPr>
      </w:pPr>
    </w:p>
    <w:p w14:paraId="31893399" w14:textId="1194B64C" w:rsidR="003D792A" w:rsidRPr="008539D4" w:rsidRDefault="003D792A" w:rsidP="00A863DE">
      <w:pPr>
        <w:spacing w:after="0" w:line="240" w:lineRule="auto"/>
        <w:jc w:val="both"/>
        <w:rPr>
          <w:rFonts w:asciiTheme="majorHAnsi" w:hAnsiTheme="majorHAnsi" w:cs="Times New Roman"/>
          <w:sz w:val="20"/>
          <w:szCs w:val="20"/>
          <w:u w:val="single"/>
        </w:rPr>
      </w:pPr>
      <w:r w:rsidRPr="00CF1193">
        <w:rPr>
          <w:rFonts w:asciiTheme="majorHAnsi" w:hAnsiTheme="majorHAnsi"/>
          <w:b/>
          <w:bCs/>
          <w:sz w:val="20"/>
          <w:szCs w:val="20"/>
          <w:u w:val="single"/>
        </w:rPr>
        <w:t>Párrafo</w:t>
      </w:r>
      <w:r w:rsidRPr="008539D4">
        <w:rPr>
          <w:rFonts w:asciiTheme="majorHAnsi" w:hAnsiTheme="majorHAnsi"/>
          <w:sz w:val="20"/>
          <w:szCs w:val="20"/>
          <w:u w:val="single"/>
        </w:rPr>
        <w:t xml:space="preserve"> </w:t>
      </w:r>
      <w:r w:rsidRPr="008539D4">
        <w:rPr>
          <w:rFonts w:asciiTheme="majorHAnsi" w:hAnsiTheme="majorHAnsi"/>
          <w:b/>
          <w:sz w:val="20"/>
          <w:szCs w:val="20"/>
          <w:u w:val="single"/>
        </w:rPr>
        <w:t>197c.</w:t>
      </w:r>
      <w:r w:rsidRPr="008539D4">
        <w:rPr>
          <w:rFonts w:asciiTheme="majorHAnsi" w:hAnsiTheme="majorHAnsi"/>
          <w:sz w:val="20"/>
          <w:szCs w:val="20"/>
          <w:u w:val="single"/>
        </w:rPr>
        <w:t xml:space="preserve"> Cuando se utiliza un EMS, en caso de que este falle, las operaciones de sacrificio no podrán llevarse a cabo hasta que se garantice la cobertura de observación. Las operaciones podrán reanudarse una vez que las autoridades de control de la CPC de la granja/almadraba hayan verificado el cumplimiento de estos requisitos. Dicha cobertura implica la presencia de un observador humano a bordo del buque de transformación las 24 horas del día, los 7 días de la semana, hasta que se solucione la avería. El operador del buque de transformación deberá garantizar que el observador de ICCAT/de la CPC sea asignado al buque de transformación. En caso de que no sea posible reparar el sistema EMS mientras el buque se encuentre en el mar, el operador del buque de transformación se asegurará de que el sistema EMS se repare durante la primera entrada del buque en puerto, salvo que se haya asignado a un observador humano a bordo.</w:t>
      </w:r>
    </w:p>
    <w:p w14:paraId="778D4FC4" w14:textId="77777777" w:rsidR="003D792A" w:rsidRPr="008539D4" w:rsidRDefault="003D792A" w:rsidP="00A863DE">
      <w:pPr>
        <w:spacing w:after="0" w:line="240" w:lineRule="auto"/>
        <w:jc w:val="both"/>
        <w:rPr>
          <w:rFonts w:asciiTheme="majorHAnsi" w:hAnsiTheme="majorHAnsi" w:cs="Times New Roman"/>
          <w:sz w:val="20"/>
          <w:szCs w:val="20"/>
          <w:u w:val="single"/>
        </w:rPr>
      </w:pPr>
    </w:p>
    <w:p w14:paraId="033A1495" w14:textId="4C26D06A" w:rsidR="003D792A" w:rsidRPr="008539D4" w:rsidRDefault="003D792A" w:rsidP="00A863DE">
      <w:pPr>
        <w:spacing w:after="0" w:line="240" w:lineRule="auto"/>
        <w:jc w:val="both"/>
        <w:rPr>
          <w:rFonts w:asciiTheme="majorHAnsi" w:hAnsiTheme="majorHAnsi" w:cs="Times New Roman"/>
          <w:sz w:val="20"/>
          <w:szCs w:val="20"/>
          <w:u w:val="single"/>
        </w:rPr>
      </w:pPr>
      <w:r w:rsidRPr="008539D4">
        <w:rPr>
          <w:rFonts w:asciiTheme="majorHAnsi" w:hAnsiTheme="majorHAnsi"/>
          <w:b/>
          <w:sz w:val="20"/>
          <w:szCs w:val="20"/>
          <w:u w:val="single"/>
        </w:rPr>
        <w:t xml:space="preserve">Párrafo 197d. </w:t>
      </w:r>
      <w:r w:rsidRPr="008539D4">
        <w:rPr>
          <w:rFonts w:asciiTheme="majorHAnsi" w:hAnsiTheme="majorHAnsi"/>
          <w:sz w:val="20"/>
          <w:szCs w:val="20"/>
          <w:u w:val="single"/>
        </w:rPr>
        <w:t xml:space="preserve">Como circunstancia excepcional debidamente justificada, hasta que se reanude el sistema EMS y sea posible la </w:t>
      </w:r>
      <w:r w:rsidR="003F411B" w:rsidRPr="008539D4">
        <w:rPr>
          <w:rFonts w:asciiTheme="majorHAnsi" w:hAnsiTheme="majorHAnsi"/>
          <w:sz w:val="20"/>
          <w:szCs w:val="20"/>
          <w:u w:val="single"/>
        </w:rPr>
        <w:t>asignación</w:t>
      </w:r>
      <w:r w:rsidRPr="008539D4">
        <w:rPr>
          <w:rFonts w:asciiTheme="majorHAnsi" w:hAnsiTheme="majorHAnsi"/>
          <w:sz w:val="20"/>
          <w:szCs w:val="20"/>
          <w:u w:val="single"/>
        </w:rPr>
        <w:t xml:space="preserve"> de observadores humanos las 24 horas del día, los 7 días de la semana, las autoridades de control de la CPC de la granja</w:t>
      </w:r>
      <w:r w:rsidR="000410E1">
        <w:rPr>
          <w:rFonts w:asciiTheme="majorHAnsi" w:hAnsiTheme="majorHAnsi"/>
          <w:sz w:val="20"/>
          <w:szCs w:val="20"/>
          <w:u w:val="single"/>
        </w:rPr>
        <w:t>/</w:t>
      </w:r>
      <w:r w:rsidRPr="008539D4">
        <w:rPr>
          <w:rFonts w:asciiTheme="majorHAnsi" w:hAnsiTheme="majorHAnsi"/>
          <w:sz w:val="20"/>
          <w:szCs w:val="20"/>
          <w:u w:val="single"/>
        </w:rPr>
        <w:t>almadraba podrán autorizar la reanudación de las operaciones de sacrificio y trasferencia, siempre que haya a bordo del buque de transformación un observador regional de ICCAT o de la CPC que garantice la cobertura completa de todas esas operaciones. Estas circunstancias no afectarán a la cobertura de observadores para el sacrificio en el granja/almadraba.</w:t>
      </w:r>
    </w:p>
    <w:p w14:paraId="71267F7C" w14:textId="77777777" w:rsidR="001955D5" w:rsidRPr="008539D4" w:rsidRDefault="001955D5" w:rsidP="00A863DE">
      <w:pPr>
        <w:spacing w:after="0" w:line="240" w:lineRule="auto"/>
        <w:jc w:val="both"/>
        <w:rPr>
          <w:rFonts w:asciiTheme="majorHAnsi" w:hAnsiTheme="majorHAnsi"/>
          <w:sz w:val="20"/>
          <w:szCs w:val="20"/>
        </w:rPr>
      </w:pPr>
    </w:p>
    <w:p w14:paraId="66344DB3" w14:textId="68B82530" w:rsidR="003D792A" w:rsidRPr="008539D4" w:rsidRDefault="003D792A" w:rsidP="00A863DE">
      <w:pPr>
        <w:spacing w:after="0" w:line="240" w:lineRule="auto"/>
        <w:jc w:val="both"/>
        <w:rPr>
          <w:rFonts w:asciiTheme="majorHAnsi" w:eastAsia="Cambria" w:hAnsiTheme="majorHAnsi" w:cs="Cambria"/>
          <w:sz w:val="20"/>
          <w:szCs w:val="20"/>
          <w:u w:val="single"/>
        </w:rPr>
      </w:pPr>
      <w:r w:rsidRPr="008539D4">
        <w:rPr>
          <w:rFonts w:asciiTheme="majorHAnsi" w:hAnsiTheme="majorHAnsi"/>
          <w:sz w:val="20"/>
          <w:szCs w:val="20"/>
          <w:u w:val="single"/>
        </w:rPr>
        <w:t xml:space="preserve">En caso de que se utilice el EMS, se prevé un período de preparación y pruebas de un año a partir de la entrada en vigor de la presente Recomendación, durante el cual se exigirá la presencia de las autoridades de la </w:t>
      </w:r>
      <w:r w:rsidR="00D448FE">
        <w:rPr>
          <w:rFonts w:asciiTheme="majorHAnsi" w:hAnsiTheme="majorHAnsi"/>
          <w:sz w:val="20"/>
          <w:szCs w:val="20"/>
          <w:u w:val="single"/>
        </w:rPr>
        <w:t xml:space="preserve">CPC de la </w:t>
      </w:r>
      <w:r w:rsidRPr="008539D4">
        <w:rPr>
          <w:rFonts w:asciiTheme="majorHAnsi" w:hAnsiTheme="majorHAnsi"/>
          <w:sz w:val="20"/>
          <w:szCs w:val="20"/>
          <w:u w:val="single"/>
        </w:rPr>
        <w:t>granja o de observadores regionales de ICCAT a bordo del buque de transformación durante todas las operaciones de transformación.</w:t>
      </w:r>
    </w:p>
    <w:p w14:paraId="548101DD" w14:textId="77777777" w:rsidR="003D792A" w:rsidRPr="008539D4" w:rsidRDefault="003D792A" w:rsidP="00A863DE">
      <w:pPr>
        <w:spacing w:after="0" w:line="240" w:lineRule="auto"/>
        <w:jc w:val="both"/>
        <w:rPr>
          <w:rFonts w:asciiTheme="majorHAnsi" w:hAnsiTheme="majorHAnsi" w:cs="Times New Roman"/>
          <w:sz w:val="20"/>
          <w:szCs w:val="20"/>
          <w:lang w:eastAsia="ja-JP"/>
        </w:rPr>
      </w:pPr>
    </w:p>
    <w:sectPr w:rsidR="003D792A" w:rsidRPr="008539D4" w:rsidSect="00CE65F1">
      <w:headerReference w:type="default" r:id="rId21"/>
      <w:footerReference w:type="default" r:id="rId22"/>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AAD44" w14:textId="77777777" w:rsidR="00140FE4" w:rsidRDefault="00140FE4" w:rsidP="006D076A">
      <w:pPr>
        <w:spacing w:after="0" w:line="240" w:lineRule="auto"/>
      </w:pPr>
      <w:r>
        <w:separator/>
      </w:r>
    </w:p>
  </w:endnote>
  <w:endnote w:type="continuationSeparator" w:id="0">
    <w:p w14:paraId="40492563" w14:textId="77777777" w:rsidR="00140FE4" w:rsidRDefault="00140FE4" w:rsidP="006D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F565" w14:textId="53B890A4" w:rsidR="00B84401" w:rsidRPr="00B84401" w:rsidRDefault="00140FE4" w:rsidP="00B84401">
    <w:pPr>
      <w:tabs>
        <w:tab w:val="center" w:pos="4535"/>
        <w:tab w:val="center" w:pos="4680"/>
        <w:tab w:val="left" w:pos="6150"/>
        <w:tab w:val="right" w:pos="9360"/>
      </w:tabs>
      <w:spacing w:after="0" w:line="240" w:lineRule="auto"/>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B84401" w:rsidRPr="00713AD4">
          <w:rPr>
            <w:rFonts w:ascii="Cambria" w:eastAsia="Calibri" w:hAnsi="Cambria" w:cs="Calibri"/>
            <w:sz w:val="20"/>
          </w:rPr>
          <w:fldChar w:fldCharType="begin"/>
        </w:r>
        <w:r w:rsidR="00B84401" w:rsidRPr="00713AD4">
          <w:rPr>
            <w:rFonts w:ascii="Cambria" w:eastAsia="Calibri" w:hAnsi="Cambria" w:cs="Calibri"/>
            <w:sz w:val="20"/>
          </w:rPr>
          <w:instrText xml:space="preserve"> PAGE </w:instrText>
        </w:r>
        <w:r w:rsidR="00B84401" w:rsidRPr="00713AD4">
          <w:rPr>
            <w:rFonts w:ascii="Cambria" w:eastAsia="Calibri" w:hAnsi="Cambria" w:cs="Calibri"/>
            <w:sz w:val="20"/>
          </w:rPr>
          <w:fldChar w:fldCharType="separate"/>
        </w:r>
        <w:r w:rsidR="00B84401">
          <w:rPr>
            <w:rFonts w:ascii="Cambria" w:eastAsia="Calibri" w:hAnsi="Cambria" w:cs="Calibri"/>
            <w:sz w:val="20"/>
          </w:rPr>
          <w:t>1</w:t>
        </w:r>
        <w:r w:rsidR="00B84401" w:rsidRPr="00713AD4">
          <w:rPr>
            <w:rFonts w:ascii="Cambria" w:eastAsia="Calibri" w:hAnsi="Cambria" w:cs="Calibri"/>
            <w:sz w:val="20"/>
          </w:rPr>
          <w:fldChar w:fldCharType="end"/>
        </w:r>
        <w:r w:rsidR="003F5E9C">
          <w:rPr>
            <w:rFonts w:ascii="Cambria" w:hAnsi="Cambria"/>
            <w:sz w:val="20"/>
          </w:rPr>
          <w:t xml:space="preserve"> / </w:t>
        </w:r>
        <w:r w:rsidR="00B84401" w:rsidRPr="00713AD4">
          <w:rPr>
            <w:rFonts w:ascii="Cambria" w:eastAsia="Calibri" w:hAnsi="Cambria" w:cs="Calibri"/>
            <w:sz w:val="20"/>
          </w:rPr>
          <w:fldChar w:fldCharType="begin"/>
        </w:r>
        <w:r w:rsidR="00B84401" w:rsidRPr="00713AD4">
          <w:rPr>
            <w:rFonts w:ascii="Cambria" w:eastAsia="Calibri" w:hAnsi="Cambria" w:cs="Calibri"/>
            <w:sz w:val="20"/>
          </w:rPr>
          <w:instrText xml:space="preserve"> NUMPAGES  </w:instrText>
        </w:r>
        <w:r w:rsidR="00B84401" w:rsidRPr="00713AD4">
          <w:rPr>
            <w:rFonts w:ascii="Cambria" w:eastAsia="Calibri" w:hAnsi="Cambria" w:cs="Calibri"/>
            <w:sz w:val="20"/>
          </w:rPr>
          <w:fldChar w:fldCharType="separate"/>
        </w:r>
        <w:r w:rsidR="00B84401">
          <w:rPr>
            <w:rFonts w:ascii="Cambria" w:eastAsia="Calibri" w:hAnsi="Cambria" w:cs="Calibri"/>
            <w:sz w:val="20"/>
          </w:rPr>
          <w:t>2</w:t>
        </w:r>
        <w:r w:rsidR="00B84401"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729C6" w14:textId="77777777" w:rsidR="00140FE4" w:rsidRDefault="00140FE4" w:rsidP="006D076A">
      <w:pPr>
        <w:spacing w:after="0" w:line="240" w:lineRule="auto"/>
      </w:pPr>
      <w:r>
        <w:separator/>
      </w:r>
    </w:p>
  </w:footnote>
  <w:footnote w:type="continuationSeparator" w:id="0">
    <w:p w14:paraId="3C9F4B37" w14:textId="77777777" w:rsidR="00140FE4" w:rsidRDefault="00140FE4" w:rsidP="006D0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F6AA" w14:textId="52678015" w:rsidR="006D0E67" w:rsidRPr="006D0E67" w:rsidRDefault="006D0E67" w:rsidP="006D0E67">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PWG_421/2026</w:t>
    </w:r>
  </w:p>
  <w:p w14:paraId="46C0D983" w14:textId="229744F8" w:rsidR="006D076A" w:rsidRDefault="006D0E67" w:rsidP="00A51188">
    <w:pPr>
      <w:tabs>
        <w:tab w:val="left" w:pos="7320"/>
      </w:tabs>
      <w:spacing w:after="0" w:line="240" w:lineRule="exact"/>
      <w:jc w:val="right"/>
    </w:pPr>
    <w:r w:rsidRPr="006D0E67">
      <w:rPr>
        <w:rFonts w:ascii="Cambria" w:eastAsia="Times New Roman" w:hAnsi="Cambria" w:cs="Times New Roman"/>
        <w:b/>
        <w:sz w:val="16"/>
      </w:rPr>
      <w:fldChar w:fldCharType="begin"/>
    </w:r>
    <w:r w:rsidRPr="006D0E67">
      <w:rPr>
        <w:rFonts w:ascii="Cambria" w:eastAsia="Times New Roman" w:hAnsi="Cambria" w:cs="Times New Roman"/>
        <w:b/>
        <w:sz w:val="16"/>
      </w:rPr>
      <w:instrText xml:space="preserve"> TIME \@ "dd/MM/yyyy H:mm" </w:instrText>
    </w:r>
    <w:r w:rsidRPr="006D0E67">
      <w:rPr>
        <w:rFonts w:ascii="Cambria" w:eastAsia="Times New Roman" w:hAnsi="Cambria" w:cs="Times New Roman"/>
        <w:b/>
        <w:sz w:val="16"/>
      </w:rPr>
      <w:fldChar w:fldCharType="separate"/>
    </w:r>
    <w:r w:rsidR="00881480">
      <w:rPr>
        <w:rFonts w:ascii="Cambria" w:eastAsia="Times New Roman" w:hAnsi="Cambria" w:cs="Times New Roman"/>
        <w:b/>
        <w:noProof/>
        <w:sz w:val="16"/>
      </w:rPr>
      <w:t>28/10/2026 9:58</w:t>
    </w:r>
    <w:r w:rsidRPr="006D0E67">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1B6D"/>
    <w:multiLevelType w:val="multilevel"/>
    <w:tmpl w:val="A920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F6A09"/>
    <w:multiLevelType w:val="hybridMultilevel"/>
    <w:tmpl w:val="7618F256"/>
    <w:lvl w:ilvl="0" w:tplc="2F94BCF8">
      <w:start w:val="1"/>
      <w:numFmt w:val="bullet"/>
      <w:lvlText w:val=""/>
      <w:lvlJc w:val="left"/>
      <w:pPr>
        <w:ind w:left="720" w:hanging="360"/>
      </w:pPr>
      <w:rPr>
        <w:rFonts w:ascii="Symbol" w:hAnsi="Symbol" w:hint="default"/>
      </w:rPr>
    </w:lvl>
    <w:lvl w:ilvl="1" w:tplc="8934354A" w:tentative="1">
      <w:start w:val="1"/>
      <w:numFmt w:val="bullet"/>
      <w:lvlText w:val="o"/>
      <w:lvlJc w:val="left"/>
      <w:pPr>
        <w:ind w:left="1440" w:hanging="360"/>
      </w:pPr>
      <w:rPr>
        <w:rFonts w:ascii="Courier New" w:hAnsi="Courier New" w:hint="default"/>
      </w:rPr>
    </w:lvl>
    <w:lvl w:ilvl="2" w:tplc="A9F0E51C" w:tentative="1">
      <w:start w:val="1"/>
      <w:numFmt w:val="bullet"/>
      <w:lvlText w:val=""/>
      <w:lvlJc w:val="left"/>
      <w:pPr>
        <w:ind w:left="2160" w:hanging="360"/>
      </w:pPr>
      <w:rPr>
        <w:rFonts w:ascii="Wingdings" w:hAnsi="Wingdings" w:hint="default"/>
      </w:rPr>
    </w:lvl>
    <w:lvl w:ilvl="3" w:tplc="2A264C9E" w:tentative="1">
      <w:start w:val="1"/>
      <w:numFmt w:val="bullet"/>
      <w:lvlText w:val=""/>
      <w:lvlJc w:val="left"/>
      <w:pPr>
        <w:ind w:left="2880" w:hanging="360"/>
      </w:pPr>
      <w:rPr>
        <w:rFonts w:ascii="Symbol" w:hAnsi="Symbol" w:hint="default"/>
      </w:rPr>
    </w:lvl>
    <w:lvl w:ilvl="4" w:tplc="A3F20CC0" w:tentative="1">
      <w:start w:val="1"/>
      <w:numFmt w:val="bullet"/>
      <w:lvlText w:val="o"/>
      <w:lvlJc w:val="left"/>
      <w:pPr>
        <w:ind w:left="3600" w:hanging="360"/>
      </w:pPr>
      <w:rPr>
        <w:rFonts w:ascii="Courier New" w:hAnsi="Courier New" w:hint="default"/>
      </w:rPr>
    </w:lvl>
    <w:lvl w:ilvl="5" w:tplc="7700BFBC" w:tentative="1">
      <w:start w:val="1"/>
      <w:numFmt w:val="bullet"/>
      <w:lvlText w:val=""/>
      <w:lvlJc w:val="left"/>
      <w:pPr>
        <w:ind w:left="4320" w:hanging="360"/>
      </w:pPr>
      <w:rPr>
        <w:rFonts w:ascii="Wingdings" w:hAnsi="Wingdings" w:hint="default"/>
      </w:rPr>
    </w:lvl>
    <w:lvl w:ilvl="6" w:tplc="45F09104" w:tentative="1">
      <w:start w:val="1"/>
      <w:numFmt w:val="bullet"/>
      <w:lvlText w:val=""/>
      <w:lvlJc w:val="left"/>
      <w:pPr>
        <w:ind w:left="5040" w:hanging="360"/>
      </w:pPr>
      <w:rPr>
        <w:rFonts w:ascii="Symbol" w:hAnsi="Symbol" w:hint="default"/>
      </w:rPr>
    </w:lvl>
    <w:lvl w:ilvl="7" w:tplc="CF1623B4" w:tentative="1">
      <w:start w:val="1"/>
      <w:numFmt w:val="bullet"/>
      <w:lvlText w:val="o"/>
      <w:lvlJc w:val="left"/>
      <w:pPr>
        <w:ind w:left="5760" w:hanging="360"/>
      </w:pPr>
      <w:rPr>
        <w:rFonts w:ascii="Courier New" w:hAnsi="Courier New" w:hint="default"/>
      </w:rPr>
    </w:lvl>
    <w:lvl w:ilvl="8" w:tplc="1360C9BA" w:tentative="1">
      <w:start w:val="1"/>
      <w:numFmt w:val="bullet"/>
      <w:lvlText w:val=""/>
      <w:lvlJc w:val="left"/>
      <w:pPr>
        <w:ind w:left="6480" w:hanging="360"/>
      </w:pPr>
      <w:rPr>
        <w:rFonts w:ascii="Wingdings" w:hAnsi="Wingdings" w:hint="default"/>
      </w:rPr>
    </w:lvl>
  </w:abstractNum>
  <w:abstractNum w:abstractNumId="2" w15:restartNumberingAfterBreak="0">
    <w:nsid w:val="090C4045"/>
    <w:multiLevelType w:val="hybridMultilevel"/>
    <w:tmpl w:val="4D262144"/>
    <w:lvl w:ilvl="0" w:tplc="A01E18A2">
      <w:start w:val="1"/>
      <w:numFmt w:val="bullet"/>
      <w:lvlText w:val="-"/>
      <w:lvlJc w:val="left"/>
      <w:pPr>
        <w:ind w:left="720" w:hanging="360"/>
      </w:pPr>
      <w:rPr>
        <w:rFonts w:ascii="Aptos" w:hAnsi="Aptos" w:hint="default"/>
      </w:rPr>
    </w:lvl>
    <w:lvl w:ilvl="1" w:tplc="7A92C784">
      <w:start w:val="1"/>
      <w:numFmt w:val="bullet"/>
      <w:lvlText w:val="o"/>
      <w:lvlJc w:val="left"/>
      <w:pPr>
        <w:ind w:left="1440" w:hanging="360"/>
      </w:pPr>
      <w:rPr>
        <w:rFonts w:ascii="Courier New" w:hAnsi="Courier New" w:hint="default"/>
      </w:rPr>
    </w:lvl>
    <w:lvl w:ilvl="2" w:tplc="B41C1D4C">
      <w:start w:val="1"/>
      <w:numFmt w:val="bullet"/>
      <w:lvlText w:val=""/>
      <w:lvlJc w:val="left"/>
      <w:pPr>
        <w:ind w:left="2160" w:hanging="360"/>
      </w:pPr>
      <w:rPr>
        <w:rFonts w:ascii="Wingdings" w:hAnsi="Wingdings" w:hint="default"/>
      </w:rPr>
    </w:lvl>
    <w:lvl w:ilvl="3" w:tplc="4740EE26">
      <w:start w:val="1"/>
      <w:numFmt w:val="bullet"/>
      <w:lvlText w:val=""/>
      <w:lvlJc w:val="left"/>
      <w:pPr>
        <w:ind w:left="2880" w:hanging="360"/>
      </w:pPr>
      <w:rPr>
        <w:rFonts w:ascii="Symbol" w:hAnsi="Symbol" w:hint="default"/>
      </w:rPr>
    </w:lvl>
    <w:lvl w:ilvl="4" w:tplc="A6FCB7E6">
      <w:start w:val="1"/>
      <w:numFmt w:val="bullet"/>
      <w:lvlText w:val="o"/>
      <w:lvlJc w:val="left"/>
      <w:pPr>
        <w:ind w:left="3600" w:hanging="360"/>
      </w:pPr>
      <w:rPr>
        <w:rFonts w:ascii="Courier New" w:hAnsi="Courier New" w:hint="default"/>
      </w:rPr>
    </w:lvl>
    <w:lvl w:ilvl="5" w:tplc="A588BE6E">
      <w:start w:val="1"/>
      <w:numFmt w:val="bullet"/>
      <w:lvlText w:val=""/>
      <w:lvlJc w:val="left"/>
      <w:pPr>
        <w:ind w:left="4320" w:hanging="360"/>
      </w:pPr>
      <w:rPr>
        <w:rFonts w:ascii="Wingdings" w:hAnsi="Wingdings" w:hint="default"/>
      </w:rPr>
    </w:lvl>
    <w:lvl w:ilvl="6" w:tplc="3BAEE4FC">
      <w:start w:val="1"/>
      <w:numFmt w:val="bullet"/>
      <w:lvlText w:val=""/>
      <w:lvlJc w:val="left"/>
      <w:pPr>
        <w:ind w:left="5040" w:hanging="360"/>
      </w:pPr>
      <w:rPr>
        <w:rFonts w:ascii="Symbol" w:hAnsi="Symbol" w:hint="default"/>
      </w:rPr>
    </w:lvl>
    <w:lvl w:ilvl="7" w:tplc="2516387E">
      <w:start w:val="1"/>
      <w:numFmt w:val="bullet"/>
      <w:lvlText w:val="o"/>
      <w:lvlJc w:val="left"/>
      <w:pPr>
        <w:ind w:left="5760" w:hanging="360"/>
      </w:pPr>
      <w:rPr>
        <w:rFonts w:ascii="Courier New" w:hAnsi="Courier New" w:hint="default"/>
      </w:rPr>
    </w:lvl>
    <w:lvl w:ilvl="8" w:tplc="B02296BE">
      <w:start w:val="1"/>
      <w:numFmt w:val="bullet"/>
      <w:lvlText w:val=""/>
      <w:lvlJc w:val="left"/>
      <w:pPr>
        <w:ind w:left="6480" w:hanging="360"/>
      </w:pPr>
      <w:rPr>
        <w:rFonts w:ascii="Wingdings" w:hAnsi="Wingdings" w:hint="default"/>
      </w:rPr>
    </w:lvl>
  </w:abstractNum>
  <w:abstractNum w:abstractNumId="3" w15:restartNumberingAfterBreak="0">
    <w:nsid w:val="0E8D697E"/>
    <w:multiLevelType w:val="hybridMultilevel"/>
    <w:tmpl w:val="2B548786"/>
    <w:lvl w:ilvl="0" w:tplc="D9843478">
      <w:start w:val="1"/>
      <w:numFmt w:val="decimal"/>
      <w:lvlText w:val="%1."/>
      <w:lvlJc w:val="left"/>
      <w:pPr>
        <w:ind w:left="720" w:hanging="360"/>
      </w:pPr>
    </w:lvl>
    <w:lvl w:ilvl="1" w:tplc="61427BB8" w:tentative="1">
      <w:start w:val="1"/>
      <w:numFmt w:val="lowerLetter"/>
      <w:lvlText w:val="%2."/>
      <w:lvlJc w:val="left"/>
      <w:pPr>
        <w:ind w:left="1440" w:hanging="360"/>
      </w:pPr>
    </w:lvl>
    <w:lvl w:ilvl="2" w:tplc="E8162D9A" w:tentative="1">
      <w:start w:val="1"/>
      <w:numFmt w:val="lowerRoman"/>
      <w:lvlText w:val="%3."/>
      <w:lvlJc w:val="right"/>
      <w:pPr>
        <w:ind w:left="2160" w:hanging="180"/>
      </w:pPr>
    </w:lvl>
    <w:lvl w:ilvl="3" w:tplc="D7CAFA22" w:tentative="1">
      <w:start w:val="1"/>
      <w:numFmt w:val="decimal"/>
      <w:lvlText w:val="%4."/>
      <w:lvlJc w:val="left"/>
      <w:pPr>
        <w:ind w:left="2880" w:hanging="360"/>
      </w:pPr>
    </w:lvl>
    <w:lvl w:ilvl="4" w:tplc="7ABABEEC" w:tentative="1">
      <w:start w:val="1"/>
      <w:numFmt w:val="lowerLetter"/>
      <w:lvlText w:val="%5."/>
      <w:lvlJc w:val="left"/>
      <w:pPr>
        <w:ind w:left="3600" w:hanging="360"/>
      </w:pPr>
    </w:lvl>
    <w:lvl w:ilvl="5" w:tplc="FB9AEBF2" w:tentative="1">
      <w:start w:val="1"/>
      <w:numFmt w:val="lowerRoman"/>
      <w:lvlText w:val="%6."/>
      <w:lvlJc w:val="right"/>
      <w:pPr>
        <w:ind w:left="4320" w:hanging="180"/>
      </w:pPr>
    </w:lvl>
    <w:lvl w:ilvl="6" w:tplc="4FC0D398" w:tentative="1">
      <w:start w:val="1"/>
      <w:numFmt w:val="decimal"/>
      <w:lvlText w:val="%7."/>
      <w:lvlJc w:val="left"/>
      <w:pPr>
        <w:ind w:left="5040" w:hanging="360"/>
      </w:pPr>
    </w:lvl>
    <w:lvl w:ilvl="7" w:tplc="0CA20B9C" w:tentative="1">
      <w:start w:val="1"/>
      <w:numFmt w:val="lowerLetter"/>
      <w:lvlText w:val="%8."/>
      <w:lvlJc w:val="left"/>
      <w:pPr>
        <w:ind w:left="5760" w:hanging="360"/>
      </w:pPr>
    </w:lvl>
    <w:lvl w:ilvl="8" w:tplc="B14C3E2A" w:tentative="1">
      <w:start w:val="1"/>
      <w:numFmt w:val="lowerRoman"/>
      <w:lvlText w:val="%9."/>
      <w:lvlJc w:val="right"/>
      <w:pPr>
        <w:ind w:left="6480" w:hanging="180"/>
      </w:pPr>
    </w:lvl>
  </w:abstractNum>
  <w:abstractNum w:abstractNumId="4" w15:restartNumberingAfterBreak="0">
    <w:nsid w:val="10AA7ACB"/>
    <w:multiLevelType w:val="multilevel"/>
    <w:tmpl w:val="3312C0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B9431B"/>
    <w:multiLevelType w:val="hybridMultilevel"/>
    <w:tmpl w:val="3E56B966"/>
    <w:lvl w:ilvl="0" w:tplc="2FC29828">
      <w:start w:val="174"/>
      <w:numFmt w:val="decimal"/>
      <w:lvlText w:val="%1."/>
      <w:lvlJc w:val="left"/>
      <w:pPr>
        <w:ind w:left="420" w:hanging="420"/>
      </w:pPr>
      <w:rPr>
        <w:rFonts w:ascii="Cambria" w:hAnsi="Cambria" w:hint="default"/>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F50FAC"/>
    <w:multiLevelType w:val="hybridMultilevel"/>
    <w:tmpl w:val="F32A2F74"/>
    <w:lvl w:ilvl="0" w:tplc="C32E4E94">
      <w:numFmt w:val="bullet"/>
      <w:lvlText w:val="-"/>
      <w:lvlJc w:val="left"/>
      <w:pPr>
        <w:ind w:left="720" w:hanging="360"/>
      </w:pPr>
      <w:rPr>
        <w:rFonts w:ascii="Times New Roman" w:hAnsi="Times New Roman" w:hint="default"/>
      </w:rPr>
    </w:lvl>
    <w:lvl w:ilvl="1" w:tplc="D468203C" w:tentative="1">
      <w:start w:val="1"/>
      <w:numFmt w:val="bullet"/>
      <w:lvlText w:val="o"/>
      <w:lvlJc w:val="left"/>
      <w:pPr>
        <w:ind w:left="1440" w:hanging="360"/>
      </w:pPr>
      <w:rPr>
        <w:rFonts w:ascii="Courier New" w:hAnsi="Courier New" w:hint="default"/>
      </w:rPr>
    </w:lvl>
    <w:lvl w:ilvl="2" w:tplc="0B74D0DE" w:tentative="1">
      <w:start w:val="1"/>
      <w:numFmt w:val="bullet"/>
      <w:lvlText w:val=""/>
      <w:lvlJc w:val="left"/>
      <w:pPr>
        <w:ind w:left="2160" w:hanging="360"/>
      </w:pPr>
      <w:rPr>
        <w:rFonts w:ascii="Wingdings" w:hAnsi="Wingdings" w:hint="default"/>
      </w:rPr>
    </w:lvl>
    <w:lvl w:ilvl="3" w:tplc="8878DA62" w:tentative="1">
      <w:start w:val="1"/>
      <w:numFmt w:val="bullet"/>
      <w:lvlText w:val=""/>
      <w:lvlJc w:val="left"/>
      <w:pPr>
        <w:ind w:left="2880" w:hanging="360"/>
      </w:pPr>
      <w:rPr>
        <w:rFonts w:ascii="Symbol" w:hAnsi="Symbol" w:hint="default"/>
      </w:rPr>
    </w:lvl>
    <w:lvl w:ilvl="4" w:tplc="697A05C6" w:tentative="1">
      <w:start w:val="1"/>
      <w:numFmt w:val="bullet"/>
      <w:lvlText w:val="o"/>
      <w:lvlJc w:val="left"/>
      <w:pPr>
        <w:ind w:left="3600" w:hanging="360"/>
      </w:pPr>
      <w:rPr>
        <w:rFonts w:ascii="Courier New" w:hAnsi="Courier New" w:hint="default"/>
      </w:rPr>
    </w:lvl>
    <w:lvl w:ilvl="5" w:tplc="EF0C321C" w:tentative="1">
      <w:start w:val="1"/>
      <w:numFmt w:val="bullet"/>
      <w:lvlText w:val=""/>
      <w:lvlJc w:val="left"/>
      <w:pPr>
        <w:ind w:left="4320" w:hanging="360"/>
      </w:pPr>
      <w:rPr>
        <w:rFonts w:ascii="Wingdings" w:hAnsi="Wingdings" w:hint="default"/>
      </w:rPr>
    </w:lvl>
    <w:lvl w:ilvl="6" w:tplc="BD0C17C8" w:tentative="1">
      <w:start w:val="1"/>
      <w:numFmt w:val="bullet"/>
      <w:lvlText w:val=""/>
      <w:lvlJc w:val="left"/>
      <w:pPr>
        <w:ind w:left="5040" w:hanging="360"/>
      </w:pPr>
      <w:rPr>
        <w:rFonts w:ascii="Symbol" w:hAnsi="Symbol" w:hint="default"/>
      </w:rPr>
    </w:lvl>
    <w:lvl w:ilvl="7" w:tplc="CB18F4D8" w:tentative="1">
      <w:start w:val="1"/>
      <w:numFmt w:val="bullet"/>
      <w:lvlText w:val="o"/>
      <w:lvlJc w:val="left"/>
      <w:pPr>
        <w:ind w:left="5760" w:hanging="360"/>
      </w:pPr>
      <w:rPr>
        <w:rFonts w:ascii="Courier New" w:hAnsi="Courier New" w:hint="default"/>
      </w:rPr>
    </w:lvl>
    <w:lvl w:ilvl="8" w:tplc="88D847E4" w:tentative="1">
      <w:start w:val="1"/>
      <w:numFmt w:val="bullet"/>
      <w:lvlText w:val=""/>
      <w:lvlJc w:val="left"/>
      <w:pPr>
        <w:ind w:left="6480" w:hanging="360"/>
      </w:pPr>
      <w:rPr>
        <w:rFonts w:ascii="Wingdings" w:hAnsi="Wingdings" w:hint="default"/>
      </w:rPr>
    </w:lvl>
  </w:abstractNum>
  <w:abstractNum w:abstractNumId="7" w15:restartNumberingAfterBreak="0">
    <w:nsid w:val="237404F8"/>
    <w:multiLevelType w:val="hybridMultilevel"/>
    <w:tmpl w:val="C290994A"/>
    <w:lvl w:ilvl="0" w:tplc="544090F6">
      <w:start w:val="1"/>
      <w:numFmt w:val="bullet"/>
      <w:lvlText w:val="-"/>
      <w:lvlJc w:val="left"/>
      <w:pPr>
        <w:ind w:left="720" w:hanging="360"/>
      </w:pPr>
      <w:rPr>
        <w:rFonts w:ascii="Aptos" w:hAnsi="Aptos" w:hint="default"/>
      </w:rPr>
    </w:lvl>
    <w:lvl w:ilvl="1" w:tplc="CED2C8F8">
      <w:start w:val="1"/>
      <w:numFmt w:val="bullet"/>
      <w:lvlText w:val="o"/>
      <w:lvlJc w:val="left"/>
      <w:pPr>
        <w:ind w:left="1440" w:hanging="360"/>
      </w:pPr>
      <w:rPr>
        <w:rFonts w:ascii="Courier New" w:hAnsi="Courier New" w:hint="default"/>
      </w:rPr>
    </w:lvl>
    <w:lvl w:ilvl="2" w:tplc="7E9A42DC">
      <w:start w:val="1"/>
      <w:numFmt w:val="bullet"/>
      <w:lvlText w:val=""/>
      <w:lvlJc w:val="left"/>
      <w:pPr>
        <w:ind w:left="2160" w:hanging="360"/>
      </w:pPr>
      <w:rPr>
        <w:rFonts w:ascii="Wingdings" w:hAnsi="Wingdings" w:hint="default"/>
      </w:rPr>
    </w:lvl>
    <w:lvl w:ilvl="3" w:tplc="4776C59A">
      <w:start w:val="1"/>
      <w:numFmt w:val="bullet"/>
      <w:lvlText w:val=""/>
      <w:lvlJc w:val="left"/>
      <w:pPr>
        <w:ind w:left="2880" w:hanging="360"/>
      </w:pPr>
      <w:rPr>
        <w:rFonts w:ascii="Symbol" w:hAnsi="Symbol" w:hint="default"/>
      </w:rPr>
    </w:lvl>
    <w:lvl w:ilvl="4" w:tplc="557CD872">
      <w:start w:val="1"/>
      <w:numFmt w:val="bullet"/>
      <w:lvlText w:val="o"/>
      <w:lvlJc w:val="left"/>
      <w:pPr>
        <w:ind w:left="3600" w:hanging="360"/>
      </w:pPr>
      <w:rPr>
        <w:rFonts w:ascii="Courier New" w:hAnsi="Courier New" w:hint="default"/>
      </w:rPr>
    </w:lvl>
    <w:lvl w:ilvl="5" w:tplc="3232030E">
      <w:start w:val="1"/>
      <w:numFmt w:val="bullet"/>
      <w:lvlText w:val=""/>
      <w:lvlJc w:val="left"/>
      <w:pPr>
        <w:ind w:left="4320" w:hanging="360"/>
      </w:pPr>
      <w:rPr>
        <w:rFonts w:ascii="Wingdings" w:hAnsi="Wingdings" w:hint="default"/>
      </w:rPr>
    </w:lvl>
    <w:lvl w:ilvl="6" w:tplc="B1B84BC8">
      <w:start w:val="1"/>
      <w:numFmt w:val="bullet"/>
      <w:lvlText w:val=""/>
      <w:lvlJc w:val="left"/>
      <w:pPr>
        <w:ind w:left="5040" w:hanging="360"/>
      </w:pPr>
      <w:rPr>
        <w:rFonts w:ascii="Symbol" w:hAnsi="Symbol" w:hint="default"/>
      </w:rPr>
    </w:lvl>
    <w:lvl w:ilvl="7" w:tplc="9C18C9F2">
      <w:start w:val="1"/>
      <w:numFmt w:val="bullet"/>
      <w:lvlText w:val="o"/>
      <w:lvlJc w:val="left"/>
      <w:pPr>
        <w:ind w:left="5760" w:hanging="360"/>
      </w:pPr>
      <w:rPr>
        <w:rFonts w:ascii="Courier New" w:hAnsi="Courier New" w:hint="default"/>
      </w:rPr>
    </w:lvl>
    <w:lvl w:ilvl="8" w:tplc="01CAE52C">
      <w:start w:val="1"/>
      <w:numFmt w:val="bullet"/>
      <w:lvlText w:val=""/>
      <w:lvlJc w:val="left"/>
      <w:pPr>
        <w:ind w:left="6480" w:hanging="360"/>
      </w:pPr>
      <w:rPr>
        <w:rFonts w:ascii="Wingdings" w:hAnsi="Wingdings" w:hint="default"/>
      </w:rPr>
    </w:lvl>
  </w:abstractNum>
  <w:abstractNum w:abstractNumId="8" w15:restartNumberingAfterBreak="0">
    <w:nsid w:val="25C806A5"/>
    <w:multiLevelType w:val="hybridMultilevel"/>
    <w:tmpl w:val="D0F03A6E"/>
    <w:lvl w:ilvl="0" w:tplc="EC7CD0D4">
      <w:start w:val="1"/>
      <w:numFmt w:val="bullet"/>
      <w:lvlText w:val="-"/>
      <w:lvlJc w:val="left"/>
      <w:pPr>
        <w:ind w:left="720" w:hanging="360"/>
      </w:pPr>
      <w:rPr>
        <w:rFonts w:ascii="Aptos" w:hAnsi="Aptos" w:hint="default"/>
      </w:rPr>
    </w:lvl>
    <w:lvl w:ilvl="1" w:tplc="008AECA8">
      <w:start w:val="1"/>
      <w:numFmt w:val="bullet"/>
      <w:lvlText w:val="o"/>
      <w:lvlJc w:val="left"/>
      <w:pPr>
        <w:ind w:left="1440" w:hanging="360"/>
      </w:pPr>
      <w:rPr>
        <w:rFonts w:ascii="Courier New" w:hAnsi="Courier New" w:hint="default"/>
      </w:rPr>
    </w:lvl>
    <w:lvl w:ilvl="2" w:tplc="7C3EDAE4">
      <w:start w:val="1"/>
      <w:numFmt w:val="bullet"/>
      <w:lvlText w:val=""/>
      <w:lvlJc w:val="left"/>
      <w:pPr>
        <w:ind w:left="2160" w:hanging="360"/>
      </w:pPr>
      <w:rPr>
        <w:rFonts w:ascii="Wingdings" w:hAnsi="Wingdings" w:hint="default"/>
      </w:rPr>
    </w:lvl>
    <w:lvl w:ilvl="3" w:tplc="18EA1840">
      <w:start w:val="1"/>
      <w:numFmt w:val="bullet"/>
      <w:lvlText w:val=""/>
      <w:lvlJc w:val="left"/>
      <w:pPr>
        <w:ind w:left="2880" w:hanging="360"/>
      </w:pPr>
      <w:rPr>
        <w:rFonts w:ascii="Symbol" w:hAnsi="Symbol" w:hint="default"/>
      </w:rPr>
    </w:lvl>
    <w:lvl w:ilvl="4" w:tplc="B394A9C4">
      <w:start w:val="1"/>
      <w:numFmt w:val="bullet"/>
      <w:lvlText w:val="o"/>
      <w:lvlJc w:val="left"/>
      <w:pPr>
        <w:ind w:left="3600" w:hanging="360"/>
      </w:pPr>
      <w:rPr>
        <w:rFonts w:ascii="Courier New" w:hAnsi="Courier New" w:hint="default"/>
      </w:rPr>
    </w:lvl>
    <w:lvl w:ilvl="5" w:tplc="75B404C6">
      <w:start w:val="1"/>
      <w:numFmt w:val="bullet"/>
      <w:lvlText w:val=""/>
      <w:lvlJc w:val="left"/>
      <w:pPr>
        <w:ind w:left="4320" w:hanging="360"/>
      </w:pPr>
      <w:rPr>
        <w:rFonts w:ascii="Wingdings" w:hAnsi="Wingdings" w:hint="default"/>
      </w:rPr>
    </w:lvl>
    <w:lvl w:ilvl="6" w:tplc="7C122BD8">
      <w:start w:val="1"/>
      <w:numFmt w:val="bullet"/>
      <w:lvlText w:val=""/>
      <w:lvlJc w:val="left"/>
      <w:pPr>
        <w:ind w:left="5040" w:hanging="360"/>
      </w:pPr>
      <w:rPr>
        <w:rFonts w:ascii="Symbol" w:hAnsi="Symbol" w:hint="default"/>
      </w:rPr>
    </w:lvl>
    <w:lvl w:ilvl="7" w:tplc="89DC2340">
      <w:start w:val="1"/>
      <w:numFmt w:val="bullet"/>
      <w:lvlText w:val="o"/>
      <w:lvlJc w:val="left"/>
      <w:pPr>
        <w:ind w:left="5760" w:hanging="360"/>
      </w:pPr>
      <w:rPr>
        <w:rFonts w:ascii="Courier New" w:hAnsi="Courier New" w:hint="default"/>
      </w:rPr>
    </w:lvl>
    <w:lvl w:ilvl="8" w:tplc="CA2204C2">
      <w:start w:val="1"/>
      <w:numFmt w:val="bullet"/>
      <w:lvlText w:val=""/>
      <w:lvlJc w:val="left"/>
      <w:pPr>
        <w:ind w:left="6480" w:hanging="360"/>
      </w:pPr>
      <w:rPr>
        <w:rFonts w:ascii="Wingdings" w:hAnsi="Wingdings" w:hint="default"/>
      </w:rPr>
    </w:lvl>
  </w:abstractNum>
  <w:abstractNum w:abstractNumId="9" w15:restartNumberingAfterBreak="0">
    <w:nsid w:val="33DC4B51"/>
    <w:multiLevelType w:val="multilevel"/>
    <w:tmpl w:val="57D6020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AF92E72"/>
    <w:multiLevelType w:val="multilevel"/>
    <w:tmpl w:val="1E121CC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656927E"/>
    <w:multiLevelType w:val="hybridMultilevel"/>
    <w:tmpl w:val="169EFDE6"/>
    <w:lvl w:ilvl="0" w:tplc="FDF42BC0">
      <w:start w:val="1"/>
      <w:numFmt w:val="decimal"/>
      <w:lvlText w:val="%1."/>
      <w:lvlJc w:val="left"/>
      <w:pPr>
        <w:ind w:left="678" w:hanging="360"/>
      </w:pPr>
      <w:rPr>
        <w:rFonts w:ascii="Cambria" w:hAnsi="Cambria" w:hint="default"/>
        <w:color w:val="auto"/>
      </w:rPr>
    </w:lvl>
    <w:lvl w:ilvl="1" w:tplc="54F0D786">
      <w:start w:val="1"/>
      <w:numFmt w:val="lowerLetter"/>
      <w:lvlText w:val="%2."/>
      <w:lvlJc w:val="left"/>
      <w:pPr>
        <w:ind w:left="1440" w:hanging="360"/>
      </w:pPr>
    </w:lvl>
    <w:lvl w:ilvl="2" w:tplc="C1DC994C">
      <w:start w:val="1"/>
      <w:numFmt w:val="lowerRoman"/>
      <w:lvlText w:val="%3."/>
      <w:lvlJc w:val="right"/>
      <w:pPr>
        <w:ind w:left="2160" w:hanging="180"/>
      </w:pPr>
    </w:lvl>
    <w:lvl w:ilvl="3" w:tplc="99DC32AC">
      <w:start w:val="1"/>
      <w:numFmt w:val="decimal"/>
      <w:lvlText w:val="%4."/>
      <w:lvlJc w:val="left"/>
      <w:pPr>
        <w:ind w:left="2880" w:hanging="360"/>
      </w:pPr>
    </w:lvl>
    <w:lvl w:ilvl="4" w:tplc="5C523526">
      <w:start w:val="1"/>
      <w:numFmt w:val="lowerLetter"/>
      <w:lvlText w:val="%5."/>
      <w:lvlJc w:val="left"/>
      <w:pPr>
        <w:ind w:left="3600" w:hanging="360"/>
      </w:pPr>
    </w:lvl>
    <w:lvl w:ilvl="5" w:tplc="715418F4">
      <w:start w:val="1"/>
      <w:numFmt w:val="lowerRoman"/>
      <w:lvlText w:val="%6."/>
      <w:lvlJc w:val="right"/>
      <w:pPr>
        <w:ind w:left="4320" w:hanging="180"/>
      </w:pPr>
    </w:lvl>
    <w:lvl w:ilvl="6" w:tplc="988EE6A2">
      <w:start w:val="1"/>
      <w:numFmt w:val="decimal"/>
      <w:lvlText w:val="%7."/>
      <w:lvlJc w:val="left"/>
      <w:pPr>
        <w:ind w:left="5040" w:hanging="360"/>
      </w:pPr>
    </w:lvl>
    <w:lvl w:ilvl="7" w:tplc="8D3A858E">
      <w:start w:val="1"/>
      <w:numFmt w:val="lowerLetter"/>
      <w:lvlText w:val="%8."/>
      <w:lvlJc w:val="left"/>
      <w:pPr>
        <w:ind w:left="5760" w:hanging="360"/>
      </w:pPr>
    </w:lvl>
    <w:lvl w:ilvl="8" w:tplc="1A52FEF2">
      <w:start w:val="1"/>
      <w:numFmt w:val="lowerRoman"/>
      <w:lvlText w:val="%9."/>
      <w:lvlJc w:val="right"/>
      <w:pPr>
        <w:ind w:left="6480" w:hanging="180"/>
      </w:pPr>
    </w:lvl>
  </w:abstractNum>
  <w:abstractNum w:abstractNumId="12" w15:restartNumberingAfterBreak="0">
    <w:nsid w:val="46880BC3"/>
    <w:multiLevelType w:val="multilevel"/>
    <w:tmpl w:val="DA8CC9B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75B3C05"/>
    <w:multiLevelType w:val="multilevel"/>
    <w:tmpl w:val="8DA68B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E50659"/>
    <w:multiLevelType w:val="hybridMultilevel"/>
    <w:tmpl w:val="B0E86A98"/>
    <w:lvl w:ilvl="0" w:tplc="2F94BCF8">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534B20D9"/>
    <w:multiLevelType w:val="hybridMultilevel"/>
    <w:tmpl w:val="9EDE4A1A"/>
    <w:lvl w:ilvl="0" w:tplc="F7A05B4A">
      <w:start w:val="1"/>
      <w:numFmt w:val="lowerLetter"/>
      <w:lvlText w:val="%1)"/>
      <w:lvlJc w:val="left"/>
      <w:pPr>
        <w:ind w:left="720" w:hanging="360"/>
      </w:pPr>
    </w:lvl>
    <w:lvl w:ilvl="1" w:tplc="A12CA1C2" w:tentative="1">
      <w:start w:val="1"/>
      <w:numFmt w:val="lowerLetter"/>
      <w:lvlText w:val="%2."/>
      <w:lvlJc w:val="left"/>
      <w:pPr>
        <w:ind w:left="1440" w:hanging="360"/>
      </w:pPr>
    </w:lvl>
    <w:lvl w:ilvl="2" w:tplc="388A72AC" w:tentative="1">
      <w:start w:val="1"/>
      <w:numFmt w:val="lowerRoman"/>
      <w:lvlText w:val="%3."/>
      <w:lvlJc w:val="right"/>
      <w:pPr>
        <w:ind w:left="2160" w:hanging="180"/>
      </w:pPr>
    </w:lvl>
    <w:lvl w:ilvl="3" w:tplc="CF766FAC" w:tentative="1">
      <w:start w:val="1"/>
      <w:numFmt w:val="decimal"/>
      <w:lvlText w:val="%4."/>
      <w:lvlJc w:val="left"/>
      <w:pPr>
        <w:ind w:left="2880" w:hanging="360"/>
      </w:pPr>
    </w:lvl>
    <w:lvl w:ilvl="4" w:tplc="7FD214DA" w:tentative="1">
      <w:start w:val="1"/>
      <w:numFmt w:val="lowerLetter"/>
      <w:lvlText w:val="%5."/>
      <w:lvlJc w:val="left"/>
      <w:pPr>
        <w:ind w:left="3600" w:hanging="360"/>
      </w:pPr>
    </w:lvl>
    <w:lvl w:ilvl="5" w:tplc="3C54ABCE" w:tentative="1">
      <w:start w:val="1"/>
      <w:numFmt w:val="lowerRoman"/>
      <w:lvlText w:val="%6."/>
      <w:lvlJc w:val="right"/>
      <w:pPr>
        <w:ind w:left="4320" w:hanging="180"/>
      </w:pPr>
    </w:lvl>
    <w:lvl w:ilvl="6" w:tplc="8FC2A544" w:tentative="1">
      <w:start w:val="1"/>
      <w:numFmt w:val="decimal"/>
      <w:lvlText w:val="%7."/>
      <w:lvlJc w:val="left"/>
      <w:pPr>
        <w:ind w:left="5040" w:hanging="360"/>
      </w:pPr>
    </w:lvl>
    <w:lvl w:ilvl="7" w:tplc="D37E1A3A" w:tentative="1">
      <w:start w:val="1"/>
      <w:numFmt w:val="lowerLetter"/>
      <w:lvlText w:val="%8."/>
      <w:lvlJc w:val="left"/>
      <w:pPr>
        <w:ind w:left="5760" w:hanging="360"/>
      </w:pPr>
    </w:lvl>
    <w:lvl w:ilvl="8" w:tplc="740458DE" w:tentative="1">
      <w:start w:val="1"/>
      <w:numFmt w:val="lowerRoman"/>
      <w:lvlText w:val="%9."/>
      <w:lvlJc w:val="right"/>
      <w:pPr>
        <w:ind w:left="6480" w:hanging="180"/>
      </w:pPr>
    </w:lvl>
  </w:abstractNum>
  <w:abstractNum w:abstractNumId="16" w15:restartNumberingAfterBreak="0">
    <w:nsid w:val="5D380990"/>
    <w:multiLevelType w:val="hybridMultilevel"/>
    <w:tmpl w:val="1FE054B0"/>
    <w:lvl w:ilvl="0" w:tplc="DEBA079C">
      <w:start w:val="1"/>
      <w:numFmt w:val="lowerLetter"/>
      <w:lvlText w:val="%1)"/>
      <w:lvlJc w:val="left"/>
      <w:pPr>
        <w:ind w:left="720" w:hanging="360"/>
      </w:pPr>
    </w:lvl>
    <w:lvl w:ilvl="1" w:tplc="46B275CC" w:tentative="1">
      <w:start w:val="1"/>
      <w:numFmt w:val="lowerLetter"/>
      <w:lvlText w:val="%2."/>
      <w:lvlJc w:val="left"/>
      <w:pPr>
        <w:ind w:left="1440" w:hanging="360"/>
      </w:pPr>
    </w:lvl>
    <w:lvl w:ilvl="2" w:tplc="A740E418" w:tentative="1">
      <w:start w:val="1"/>
      <w:numFmt w:val="lowerRoman"/>
      <w:lvlText w:val="%3."/>
      <w:lvlJc w:val="right"/>
      <w:pPr>
        <w:ind w:left="2160" w:hanging="180"/>
      </w:pPr>
    </w:lvl>
    <w:lvl w:ilvl="3" w:tplc="20221250" w:tentative="1">
      <w:start w:val="1"/>
      <w:numFmt w:val="decimal"/>
      <w:lvlText w:val="%4."/>
      <w:lvlJc w:val="left"/>
      <w:pPr>
        <w:ind w:left="2880" w:hanging="360"/>
      </w:pPr>
    </w:lvl>
    <w:lvl w:ilvl="4" w:tplc="FDB818E8" w:tentative="1">
      <w:start w:val="1"/>
      <w:numFmt w:val="lowerLetter"/>
      <w:lvlText w:val="%5."/>
      <w:lvlJc w:val="left"/>
      <w:pPr>
        <w:ind w:left="3600" w:hanging="360"/>
      </w:pPr>
    </w:lvl>
    <w:lvl w:ilvl="5" w:tplc="DA741C48" w:tentative="1">
      <w:start w:val="1"/>
      <w:numFmt w:val="lowerRoman"/>
      <w:lvlText w:val="%6."/>
      <w:lvlJc w:val="right"/>
      <w:pPr>
        <w:ind w:left="4320" w:hanging="180"/>
      </w:pPr>
    </w:lvl>
    <w:lvl w:ilvl="6" w:tplc="7054B86E" w:tentative="1">
      <w:start w:val="1"/>
      <w:numFmt w:val="decimal"/>
      <w:lvlText w:val="%7."/>
      <w:lvlJc w:val="left"/>
      <w:pPr>
        <w:ind w:left="5040" w:hanging="360"/>
      </w:pPr>
    </w:lvl>
    <w:lvl w:ilvl="7" w:tplc="E3D29858" w:tentative="1">
      <w:start w:val="1"/>
      <w:numFmt w:val="lowerLetter"/>
      <w:lvlText w:val="%8."/>
      <w:lvlJc w:val="left"/>
      <w:pPr>
        <w:ind w:left="5760" w:hanging="360"/>
      </w:pPr>
    </w:lvl>
    <w:lvl w:ilvl="8" w:tplc="031492FC" w:tentative="1">
      <w:start w:val="1"/>
      <w:numFmt w:val="lowerRoman"/>
      <w:lvlText w:val="%9."/>
      <w:lvlJc w:val="right"/>
      <w:pPr>
        <w:ind w:left="6480" w:hanging="180"/>
      </w:pPr>
    </w:lvl>
  </w:abstractNum>
  <w:abstractNum w:abstractNumId="17" w15:restartNumberingAfterBreak="0">
    <w:nsid w:val="7C866E66"/>
    <w:multiLevelType w:val="multilevel"/>
    <w:tmpl w:val="DE1C91AA"/>
    <w:lvl w:ilvl="0">
      <w:start w:val="4"/>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970471435">
    <w:abstractNumId w:val="7"/>
  </w:num>
  <w:num w:numId="2" w16cid:durableId="205141933">
    <w:abstractNumId w:val="8"/>
  </w:num>
  <w:num w:numId="3" w16cid:durableId="233709557">
    <w:abstractNumId w:val="2"/>
  </w:num>
  <w:num w:numId="4" w16cid:durableId="1757240530">
    <w:abstractNumId w:val="11"/>
  </w:num>
  <w:num w:numId="5" w16cid:durableId="1668363373">
    <w:abstractNumId w:val="1"/>
  </w:num>
  <w:num w:numId="6" w16cid:durableId="636842704">
    <w:abstractNumId w:val="6"/>
  </w:num>
  <w:num w:numId="7" w16cid:durableId="1095174951">
    <w:abstractNumId w:val="3"/>
  </w:num>
  <w:num w:numId="8" w16cid:durableId="1663314958">
    <w:abstractNumId w:val="16"/>
  </w:num>
  <w:num w:numId="9" w16cid:durableId="1382048586">
    <w:abstractNumId w:val="15"/>
  </w:num>
  <w:num w:numId="10" w16cid:durableId="869878243">
    <w:abstractNumId w:val="0"/>
  </w:num>
  <w:num w:numId="11" w16cid:durableId="1877156924">
    <w:abstractNumId w:val="14"/>
  </w:num>
  <w:num w:numId="12" w16cid:durableId="942687523">
    <w:abstractNumId w:val="5"/>
  </w:num>
  <w:num w:numId="13" w16cid:durableId="2126149317">
    <w:abstractNumId w:val="9"/>
  </w:num>
  <w:num w:numId="14" w16cid:durableId="844828207">
    <w:abstractNumId w:val="10"/>
  </w:num>
  <w:num w:numId="15" w16cid:durableId="1706176060">
    <w:abstractNumId w:val="12"/>
  </w:num>
  <w:num w:numId="16" w16cid:durableId="849833507">
    <w:abstractNumId w:val="17"/>
  </w:num>
  <w:num w:numId="17" w16cid:durableId="398596622">
    <w:abstractNumId w:val="4"/>
  </w:num>
  <w:num w:numId="18" w16cid:durableId="13139510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61464"/>
    <w:rsid w:val="00003EE0"/>
    <w:rsid w:val="000149A6"/>
    <w:rsid w:val="000410E1"/>
    <w:rsid w:val="00043EF2"/>
    <w:rsid w:val="000450F1"/>
    <w:rsid w:val="00047148"/>
    <w:rsid w:val="00050B24"/>
    <w:rsid w:val="00052C5C"/>
    <w:rsid w:val="0006064E"/>
    <w:rsid w:val="00070752"/>
    <w:rsid w:val="00073D32"/>
    <w:rsid w:val="00074EC3"/>
    <w:rsid w:val="000802F8"/>
    <w:rsid w:val="000876B0"/>
    <w:rsid w:val="000907DC"/>
    <w:rsid w:val="00094890"/>
    <w:rsid w:val="00097FB9"/>
    <w:rsid w:val="000A479B"/>
    <w:rsid w:val="000A6018"/>
    <w:rsid w:val="000B1D97"/>
    <w:rsid w:val="000B1F3F"/>
    <w:rsid w:val="000B41F9"/>
    <w:rsid w:val="000C5A89"/>
    <w:rsid w:val="000C665E"/>
    <w:rsid w:val="000D30A3"/>
    <w:rsid w:val="000D4B8D"/>
    <w:rsid w:val="000D6CCD"/>
    <w:rsid w:val="000F2030"/>
    <w:rsid w:val="000F2FD1"/>
    <w:rsid w:val="000F37A3"/>
    <w:rsid w:val="000F6D37"/>
    <w:rsid w:val="00100E68"/>
    <w:rsid w:val="00105338"/>
    <w:rsid w:val="001158FE"/>
    <w:rsid w:val="00115C40"/>
    <w:rsid w:val="0012078E"/>
    <w:rsid w:val="00123E1C"/>
    <w:rsid w:val="00126CDA"/>
    <w:rsid w:val="00127867"/>
    <w:rsid w:val="001306B1"/>
    <w:rsid w:val="00131D3C"/>
    <w:rsid w:val="00133AF9"/>
    <w:rsid w:val="00137E92"/>
    <w:rsid w:val="00140FE4"/>
    <w:rsid w:val="001519F2"/>
    <w:rsid w:val="00154E04"/>
    <w:rsid w:val="00161D9D"/>
    <w:rsid w:val="00161EB1"/>
    <w:rsid w:val="001649CD"/>
    <w:rsid w:val="00167DC1"/>
    <w:rsid w:val="00172223"/>
    <w:rsid w:val="0018110C"/>
    <w:rsid w:val="00182F9A"/>
    <w:rsid w:val="001875B2"/>
    <w:rsid w:val="001938C6"/>
    <w:rsid w:val="0019476A"/>
    <w:rsid w:val="001955D5"/>
    <w:rsid w:val="001A5C04"/>
    <w:rsid w:val="001C5C81"/>
    <w:rsid w:val="001C7625"/>
    <w:rsid w:val="001D1F1A"/>
    <w:rsid w:val="001F17C3"/>
    <w:rsid w:val="001F4C81"/>
    <w:rsid w:val="001F6D31"/>
    <w:rsid w:val="001F74E4"/>
    <w:rsid w:val="00203100"/>
    <w:rsid w:val="00221C84"/>
    <w:rsid w:val="002225A2"/>
    <w:rsid w:val="00222EB3"/>
    <w:rsid w:val="00234EBB"/>
    <w:rsid w:val="002375B7"/>
    <w:rsid w:val="002379CC"/>
    <w:rsid w:val="00245FA8"/>
    <w:rsid w:val="00247A28"/>
    <w:rsid w:val="002549E0"/>
    <w:rsid w:val="002618CC"/>
    <w:rsid w:val="002669DF"/>
    <w:rsid w:val="002707E7"/>
    <w:rsid w:val="00271938"/>
    <w:rsid w:val="00272E4D"/>
    <w:rsid w:val="002751AB"/>
    <w:rsid w:val="002A0BD0"/>
    <w:rsid w:val="002A2D3C"/>
    <w:rsid w:val="002B7A5E"/>
    <w:rsid w:val="002C016E"/>
    <w:rsid w:val="002C15E7"/>
    <w:rsid w:val="002C4846"/>
    <w:rsid w:val="002C5036"/>
    <w:rsid w:val="002C77AF"/>
    <w:rsid w:val="002D7A00"/>
    <w:rsid w:val="002E1FF7"/>
    <w:rsid w:val="002E5642"/>
    <w:rsid w:val="002E7731"/>
    <w:rsid w:val="002F2634"/>
    <w:rsid w:val="002F275F"/>
    <w:rsid w:val="002F327B"/>
    <w:rsid w:val="002F3547"/>
    <w:rsid w:val="002F7841"/>
    <w:rsid w:val="003006F0"/>
    <w:rsid w:val="00304B39"/>
    <w:rsid w:val="00310CDF"/>
    <w:rsid w:val="003157A1"/>
    <w:rsid w:val="00315DB1"/>
    <w:rsid w:val="003166C1"/>
    <w:rsid w:val="00316BA0"/>
    <w:rsid w:val="0032598F"/>
    <w:rsid w:val="00325E48"/>
    <w:rsid w:val="00325E98"/>
    <w:rsid w:val="0033303F"/>
    <w:rsid w:val="00334196"/>
    <w:rsid w:val="0034263C"/>
    <w:rsid w:val="003473A5"/>
    <w:rsid w:val="00350F12"/>
    <w:rsid w:val="00356834"/>
    <w:rsid w:val="0036791D"/>
    <w:rsid w:val="003835F2"/>
    <w:rsid w:val="00385513"/>
    <w:rsid w:val="00395981"/>
    <w:rsid w:val="003A1C72"/>
    <w:rsid w:val="003A36F1"/>
    <w:rsid w:val="003A477C"/>
    <w:rsid w:val="003A69F8"/>
    <w:rsid w:val="003B3454"/>
    <w:rsid w:val="003B3E9D"/>
    <w:rsid w:val="003C00D4"/>
    <w:rsid w:val="003C1364"/>
    <w:rsid w:val="003C24D9"/>
    <w:rsid w:val="003D45F0"/>
    <w:rsid w:val="003D4A82"/>
    <w:rsid w:val="003D73F5"/>
    <w:rsid w:val="003D792A"/>
    <w:rsid w:val="003E39DA"/>
    <w:rsid w:val="003E4E31"/>
    <w:rsid w:val="003E7C1A"/>
    <w:rsid w:val="003F016A"/>
    <w:rsid w:val="003F1B1D"/>
    <w:rsid w:val="003F411B"/>
    <w:rsid w:val="003F5E9C"/>
    <w:rsid w:val="00405F51"/>
    <w:rsid w:val="00411E63"/>
    <w:rsid w:val="00412A4A"/>
    <w:rsid w:val="00414CC7"/>
    <w:rsid w:val="00417262"/>
    <w:rsid w:val="004239CB"/>
    <w:rsid w:val="00442EDE"/>
    <w:rsid w:val="004438BC"/>
    <w:rsid w:val="0045659D"/>
    <w:rsid w:val="0046111F"/>
    <w:rsid w:val="004679B4"/>
    <w:rsid w:val="0047017D"/>
    <w:rsid w:val="00475565"/>
    <w:rsid w:val="0048552E"/>
    <w:rsid w:val="00492216"/>
    <w:rsid w:val="004A4F41"/>
    <w:rsid w:val="004B43BF"/>
    <w:rsid w:val="004D0A93"/>
    <w:rsid w:val="004D3F20"/>
    <w:rsid w:val="004E09C4"/>
    <w:rsid w:val="004E5B59"/>
    <w:rsid w:val="004E7FA9"/>
    <w:rsid w:val="0050394B"/>
    <w:rsid w:val="00514486"/>
    <w:rsid w:val="00514F67"/>
    <w:rsid w:val="005242E8"/>
    <w:rsid w:val="00525FE0"/>
    <w:rsid w:val="00526BBF"/>
    <w:rsid w:val="00527434"/>
    <w:rsid w:val="005413A2"/>
    <w:rsid w:val="00545DCD"/>
    <w:rsid w:val="0055212E"/>
    <w:rsid w:val="00552F0A"/>
    <w:rsid w:val="00562E94"/>
    <w:rsid w:val="00562F7C"/>
    <w:rsid w:val="00565099"/>
    <w:rsid w:val="005650F8"/>
    <w:rsid w:val="00576CCB"/>
    <w:rsid w:val="0057736F"/>
    <w:rsid w:val="00577D4F"/>
    <w:rsid w:val="0058575C"/>
    <w:rsid w:val="005940CA"/>
    <w:rsid w:val="00597C14"/>
    <w:rsid w:val="005A2AAF"/>
    <w:rsid w:val="005A54F8"/>
    <w:rsid w:val="005C4469"/>
    <w:rsid w:val="005C5C15"/>
    <w:rsid w:val="005C64AF"/>
    <w:rsid w:val="005C75A2"/>
    <w:rsid w:val="005D1C1F"/>
    <w:rsid w:val="005D1F8F"/>
    <w:rsid w:val="005D3B17"/>
    <w:rsid w:val="005D4B13"/>
    <w:rsid w:val="005E1B49"/>
    <w:rsid w:val="005E1BE3"/>
    <w:rsid w:val="005E6950"/>
    <w:rsid w:val="00602999"/>
    <w:rsid w:val="006057C3"/>
    <w:rsid w:val="006174DD"/>
    <w:rsid w:val="00633DD8"/>
    <w:rsid w:val="00642D91"/>
    <w:rsid w:val="00652B52"/>
    <w:rsid w:val="006537CB"/>
    <w:rsid w:val="0067763C"/>
    <w:rsid w:val="00683152"/>
    <w:rsid w:val="00683739"/>
    <w:rsid w:val="00685134"/>
    <w:rsid w:val="0069027D"/>
    <w:rsid w:val="0069557D"/>
    <w:rsid w:val="00697512"/>
    <w:rsid w:val="006A0BBE"/>
    <w:rsid w:val="006A1D0D"/>
    <w:rsid w:val="006A6F79"/>
    <w:rsid w:val="006B634C"/>
    <w:rsid w:val="006C4731"/>
    <w:rsid w:val="006D076A"/>
    <w:rsid w:val="006D0E67"/>
    <w:rsid w:val="006E47D4"/>
    <w:rsid w:val="006E55C1"/>
    <w:rsid w:val="006F5B2E"/>
    <w:rsid w:val="00707B9D"/>
    <w:rsid w:val="00710B5D"/>
    <w:rsid w:val="00715049"/>
    <w:rsid w:val="00724D7F"/>
    <w:rsid w:val="00726FC5"/>
    <w:rsid w:val="00731351"/>
    <w:rsid w:val="00742469"/>
    <w:rsid w:val="007430A2"/>
    <w:rsid w:val="007430FF"/>
    <w:rsid w:val="0075161A"/>
    <w:rsid w:val="00753FAB"/>
    <w:rsid w:val="00763021"/>
    <w:rsid w:val="00766376"/>
    <w:rsid w:val="00774616"/>
    <w:rsid w:val="00774983"/>
    <w:rsid w:val="007757A1"/>
    <w:rsid w:val="007865B9"/>
    <w:rsid w:val="00786A11"/>
    <w:rsid w:val="00787B01"/>
    <w:rsid w:val="0079161E"/>
    <w:rsid w:val="007A2A5F"/>
    <w:rsid w:val="007A2C15"/>
    <w:rsid w:val="007B0F28"/>
    <w:rsid w:val="007B37C3"/>
    <w:rsid w:val="007B3809"/>
    <w:rsid w:val="007B43C3"/>
    <w:rsid w:val="007B6143"/>
    <w:rsid w:val="007C633B"/>
    <w:rsid w:val="007D334E"/>
    <w:rsid w:val="007D3B7C"/>
    <w:rsid w:val="007D45FF"/>
    <w:rsid w:val="007E1979"/>
    <w:rsid w:val="007E496E"/>
    <w:rsid w:val="007F7A1A"/>
    <w:rsid w:val="00801052"/>
    <w:rsid w:val="00802AB2"/>
    <w:rsid w:val="008030BC"/>
    <w:rsid w:val="00810BC6"/>
    <w:rsid w:val="008119E6"/>
    <w:rsid w:val="00816D03"/>
    <w:rsid w:val="00823025"/>
    <w:rsid w:val="00840B99"/>
    <w:rsid w:val="00840E80"/>
    <w:rsid w:val="008417ED"/>
    <w:rsid w:val="00842F62"/>
    <w:rsid w:val="00842F6C"/>
    <w:rsid w:val="00843A9A"/>
    <w:rsid w:val="00845601"/>
    <w:rsid w:val="00845BF7"/>
    <w:rsid w:val="008539D4"/>
    <w:rsid w:val="0086394B"/>
    <w:rsid w:val="00876DF0"/>
    <w:rsid w:val="00881480"/>
    <w:rsid w:val="00890746"/>
    <w:rsid w:val="008922B2"/>
    <w:rsid w:val="00897AFB"/>
    <w:rsid w:val="008A4362"/>
    <w:rsid w:val="008A6D35"/>
    <w:rsid w:val="008B1809"/>
    <w:rsid w:val="008B3526"/>
    <w:rsid w:val="008B3FE4"/>
    <w:rsid w:val="008B5EAD"/>
    <w:rsid w:val="008C6312"/>
    <w:rsid w:val="008C63A3"/>
    <w:rsid w:val="008D235D"/>
    <w:rsid w:val="008D314E"/>
    <w:rsid w:val="008D57CA"/>
    <w:rsid w:val="008E07C4"/>
    <w:rsid w:val="008E3765"/>
    <w:rsid w:val="008E4BD3"/>
    <w:rsid w:val="008E721A"/>
    <w:rsid w:val="008F2D5D"/>
    <w:rsid w:val="008F68AC"/>
    <w:rsid w:val="009064EB"/>
    <w:rsid w:val="0090767B"/>
    <w:rsid w:val="00912A08"/>
    <w:rsid w:val="00915D43"/>
    <w:rsid w:val="00920478"/>
    <w:rsid w:val="00925F73"/>
    <w:rsid w:val="0092777F"/>
    <w:rsid w:val="00935A6B"/>
    <w:rsid w:val="00936816"/>
    <w:rsid w:val="009372E9"/>
    <w:rsid w:val="0093773B"/>
    <w:rsid w:val="00944BB3"/>
    <w:rsid w:val="00950F4D"/>
    <w:rsid w:val="00952DF4"/>
    <w:rsid w:val="00953389"/>
    <w:rsid w:val="00960AE9"/>
    <w:rsid w:val="00963E48"/>
    <w:rsid w:val="00966E48"/>
    <w:rsid w:val="009678CF"/>
    <w:rsid w:val="00975EFE"/>
    <w:rsid w:val="00982230"/>
    <w:rsid w:val="00983183"/>
    <w:rsid w:val="00984DB1"/>
    <w:rsid w:val="00993904"/>
    <w:rsid w:val="00995647"/>
    <w:rsid w:val="009976F8"/>
    <w:rsid w:val="009A6F0E"/>
    <w:rsid w:val="009A7BE9"/>
    <w:rsid w:val="009C75B4"/>
    <w:rsid w:val="009C7771"/>
    <w:rsid w:val="009E0379"/>
    <w:rsid w:val="009E720A"/>
    <w:rsid w:val="009F1921"/>
    <w:rsid w:val="009F2A84"/>
    <w:rsid w:val="009F33CC"/>
    <w:rsid w:val="009F3A11"/>
    <w:rsid w:val="00A00744"/>
    <w:rsid w:val="00A025D0"/>
    <w:rsid w:val="00A1010B"/>
    <w:rsid w:val="00A10EF4"/>
    <w:rsid w:val="00A1193C"/>
    <w:rsid w:val="00A153A8"/>
    <w:rsid w:val="00A16C6B"/>
    <w:rsid w:val="00A17757"/>
    <w:rsid w:val="00A223EF"/>
    <w:rsid w:val="00A30F29"/>
    <w:rsid w:val="00A32F2E"/>
    <w:rsid w:val="00A334C0"/>
    <w:rsid w:val="00A33DE7"/>
    <w:rsid w:val="00A37841"/>
    <w:rsid w:val="00A437C3"/>
    <w:rsid w:val="00A51188"/>
    <w:rsid w:val="00A52B82"/>
    <w:rsid w:val="00A5569C"/>
    <w:rsid w:val="00A64650"/>
    <w:rsid w:val="00A6680E"/>
    <w:rsid w:val="00A779E7"/>
    <w:rsid w:val="00A863DE"/>
    <w:rsid w:val="00A87F23"/>
    <w:rsid w:val="00A925A0"/>
    <w:rsid w:val="00A92CE7"/>
    <w:rsid w:val="00A951C4"/>
    <w:rsid w:val="00A95F97"/>
    <w:rsid w:val="00AA0449"/>
    <w:rsid w:val="00AA2587"/>
    <w:rsid w:val="00AB2780"/>
    <w:rsid w:val="00AC148F"/>
    <w:rsid w:val="00AC256E"/>
    <w:rsid w:val="00AC7420"/>
    <w:rsid w:val="00AD6E03"/>
    <w:rsid w:val="00AE2F26"/>
    <w:rsid w:val="00AE44D4"/>
    <w:rsid w:val="00AE733A"/>
    <w:rsid w:val="00AF58F3"/>
    <w:rsid w:val="00AF5D0B"/>
    <w:rsid w:val="00AF62A9"/>
    <w:rsid w:val="00B00CE0"/>
    <w:rsid w:val="00B0352C"/>
    <w:rsid w:val="00B11945"/>
    <w:rsid w:val="00B1267B"/>
    <w:rsid w:val="00B1316D"/>
    <w:rsid w:val="00B17FB7"/>
    <w:rsid w:val="00B21463"/>
    <w:rsid w:val="00B26961"/>
    <w:rsid w:val="00B310CF"/>
    <w:rsid w:val="00B36C44"/>
    <w:rsid w:val="00B436F7"/>
    <w:rsid w:val="00B51EEB"/>
    <w:rsid w:val="00B52C9B"/>
    <w:rsid w:val="00B56BD9"/>
    <w:rsid w:val="00B603FF"/>
    <w:rsid w:val="00B639C3"/>
    <w:rsid w:val="00B65631"/>
    <w:rsid w:val="00B721A9"/>
    <w:rsid w:val="00B77A17"/>
    <w:rsid w:val="00B84401"/>
    <w:rsid w:val="00B8737C"/>
    <w:rsid w:val="00B8742E"/>
    <w:rsid w:val="00B876BE"/>
    <w:rsid w:val="00B904D4"/>
    <w:rsid w:val="00B92A03"/>
    <w:rsid w:val="00BA14BB"/>
    <w:rsid w:val="00BB1EDD"/>
    <w:rsid w:val="00BB29AA"/>
    <w:rsid w:val="00BB4916"/>
    <w:rsid w:val="00BC31C4"/>
    <w:rsid w:val="00BC33C0"/>
    <w:rsid w:val="00BC3968"/>
    <w:rsid w:val="00BC5209"/>
    <w:rsid w:val="00BE6E45"/>
    <w:rsid w:val="00BF2A95"/>
    <w:rsid w:val="00BF37AE"/>
    <w:rsid w:val="00BF554E"/>
    <w:rsid w:val="00C030DD"/>
    <w:rsid w:val="00C06753"/>
    <w:rsid w:val="00C14A8A"/>
    <w:rsid w:val="00C14C81"/>
    <w:rsid w:val="00C277E3"/>
    <w:rsid w:val="00C32235"/>
    <w:rsid w:val="00C3578E"/>
    <w:rsid w:val="00C35971"/>
    <w:rsid w:val="00C3782E"/>
    <w:rsid w:val="00C40C14"/>
    <w:rsid w:val="00C427BF"/>
    <w:rsid w:val="00C44AEC"/>
    <w:rsid w:val="00C47287"/>
    <w:rsid w:val="00C47B46"/>
    <w:rsid w:val="00C5057B"/>
    <w:rsid w:val="00C553AA"/>
    <w:rsid w:val="00C56783"/>
    <w:rsid w:val="00C57519"/>
    <w:rsid w:val="00C57EE4"/>
    <w:rsid w:val="00C60B3B"/>
    <w:rsid w:val="00C61D90"/>
    <w:rsid w:val="00C6410F"/>
    <w:rsid w:val="00C64A63"/>
    <w:rsid w:val="00C70B0A"/>
    <w:rsid w:val="00C7492D"/>
    <w:rsid w:val="00C8259A"/>
    <w:rsid w:val="00C84EF0"/>
    <w:rsid w:val="00C94161"/>
    <w:rsid w:val="00C96C98"/>
    <w:rsid w:val="00CA0A66"/>
    <w:rsid w:val="00CA45DB"/>
    <w:rsid w:val="00CB097B"/>
    <w:rsid w:val="00CB31B2"/>
    <w:rsid w:val="00CB7A6B"/>
    <w:rsid w:val="00CC7733"/>
    <w:rsid w:val="00CD2E2C"/>
    <w:rsid w:val="00CD5B30"/>
    <w:rsid w:val="00CD69E1"/>
    <w:rsid w:val="00CE0F91"/>
    <w:rsid w:val="00CE1D27"/>
    <w:rsid w:val="00CE323C"/>
    <w:rsid w:val="00CE65F1"/>
    <w:rsid w:val="00CF1193"/>
    <w:rsid w:val="00CF3F46"/>
    <w:rsid w:val="00D015C5"/>
    <w:rsid w:val="00D03E89"/>
    <w:rsid w:val="00D142B3"/>
    <w:rsid w:val="00D1716D"/>
    <w:rsid w:val="00D21FDC"/>
    <w:rsid w:val="00D25C65"/>
    <w:rsid w:val="00D30353"/>
    <w:rsid w:val="00D40B8B"/>
    <w:rsid w:val="00D448FE"/>
    <w:rsid w:val="00D47A7E"/>
    <w:rsid w:val="00D61B7C"/>
    <w:rsid w:val="00D767B5"/>
    <w:rsid w:val="00D8396D"/>
    <w:rsid w:val="00D85908"/>
    <w:rsid w:val="00D93172"/>
    <w:rsid w:val="00D96E2C"/>
    <w:rsid w:val="00DA2D3B"/>
    <w:rsid w:val="00DB3679"/>
    <w:rsid w:val="00DB3C29"/>
    <w:rsid w:val="00DC4B60"/>
    <w:rsid w:val="00DD3CCD"/>
    <w:rsid w:val="00DE0118"/>
    <w:rsid w:val="00DF5D4B"/>
    <w:rsid w:val="00E071BA"/>
    <w:rsid w:val="00E07D7B"/>
    <w:rsid w:val="00E10E66"/>
    <w:rsid w:val="00E144E7"/>
    <w:rsid w:val="00E1784A"/>
    <w:rsid w:val="00E1A2FA"/>
    <w:rsid w:val="00E3358B"/>
    <w:rsid w:val="00E33F49"/>
    <w:rsid w:val="00E36A28"/>
    <w:rsid w:val="00E410BE"/>
    <w:rsid w:val="00E41795"/>
    <w:rsid w:val="00E46336"/>
    <w:rsid w:val="00E53720"/>
    <w:rsid w:val="00E53BAD"/>
    <w:rsid w:val="00E53EF8"/>
    <w:rsid w:val="00E55613"/>
    <w:rsid w:val="00E56765"/>
    <w:rsid w:val="00E612CF"/>
    <w:rsid w:val="00E62F3D"/>
    <w:rsid w:val="00E6434C"/>
    <w:rsid w:val="00E65215"/>
    <w:rsid w:val="00E65FB3"/>
    <w:rsid w:val="00E8292F"/>
    <w:rsid w:val="00E87EF9"/>
    <w:rsid w:val="00EA546B"/>
    <w:rsid w:val="00EB26D6"/>
    <w:rsid w:val="00EB51A2"/>
    <w:rsid w:val="00EB7324"/>
    <w:rsid w:val="00EC27A2"/>
    <w:rsid w:val="00EC2CB8"/>
    <w:rsid w:val="00EC78C4"/>
    <w:rsid w:val="00ED373E"/>
    <w:rsid w:val="00ED391F"/>
    <w:rsid w:val="00ED5CC1"/>
    <w:rsid w:val="00EE1557"/>
    <w:rsid w:val="00EE1A6E"/>
    <w:rsid w:val="00EF2E7E"/>
    <w:rsid w:val="00EF410E"/>
    <w:rsid w:val="00F00872"/>
    <w:rsid w:val="00F04F2D"/>
    <w:rsid w:val="00F14FFF"/>
    <w:rsid w:val="00F32458"/>
    <w:rsid w:val="00F33E60"/>
    <w:rsid w:val="00F415C0"/>
    <w:rsid w:val="00F4783D"/>
    <w:rsid w:val="00F61464"/>
    <w:rsid w:val="00F65AF0"/>
    <w:rsid w:val="00F677EB"/>
    <w:rsid w:val="00F73042"/>
    <w:rsid w:val="00F808CC"/>
    <w:rsid w:val="00F84998"/>
    <w:rsid w:val="00F91CFF"/>
    <w:rsid w:val="00F95378"/>
    <w:rsid w:val="00FB1DBA"/>
    <w:rsid w:val="00FB34FB"/>
    <w:rsid w:val="00FB43CE"/>
    <w:rsid w:val="00FC3395"/>
    <w:rsid w:val="00FD06A5"/>
    <w:rsid w:val="00FD06FE"/>
    <w:rsid w:val="00FD68CA"/>
    <w:rsid w:val="03C8095B"/>
    <w:rsid w:val="046622F3"/>
    <w:rsid w:val="06F7A77E"/>
    <w:rsid w:val="07E2D9D8"/>
    <w:rsid w:val="08DE3C8C"/>
    <w:rsid w:val="094FC7AC"/>
    <w:rsid w:val="09576409"/>
    <w:rsid w:val="09625BCC"/>
    <w:rsid w:val="0DC0A67C"/>
    <w:rsid w:val="0E39F94B"/>
    <w:rsid w:val="1396E478"/>
    <w:rsid w:val="13E92CFF"/>
    <w:rsid w:val="1CCA3B5F"/>
    <w:rsid w:val="1CE91DA2"/>
    <w:rsid w:val="1D021014"/>
    <w:rsid w:val="1D8573E6"/>
    <w:rsid w:val="1F2C6745"/>
    <w:rsid w:val="1F5EB101"/>
    <w:rsid w:val="24D3065A"/>
    <w:rsid w:val="26E0075C"/>
    <w:rsid w:val="2742DF9E"/>
    <w:rsid w:val="279824DC"/>
    <w:rsid w:val="2C2DE88F"/>
    <w:rsid w:val="2E2A2C0C"/>
    <w:rsid w:val="32925AFD"/>
    <w:rsid w:val="3351F9F3"/>
    <w:rsid w:val="369CA84E"/>
    <w:rsid w:val="3948C0CC"/>
    <w:rsid w:val="3C62F0A9"/>
    <w:rsid w:val="3F5D5233"/>
    <w:rsid w:val="3F905FEF"/>
    <w:rsid w:val="44551002"/>
    <w:rsid w:val="4731680C"/>
    <w:rsid w:val="475ED1B1"/>
    <w:rsid w:val="47AD263E"/>
    <w:rsid w:val="4C8CB065"/>
    <w:rsid w:val="50668A4F"/>
    <w:rsid w:val="56F51FA8"/>
    <w:rsid w:val="56F95B0F"/>
    <w:rsid w:val="57E06AEB"/>
    <w:rsid w:val="59BBD6E5"/>
    <w:rsid w:val="5A29723E"/>
    <w:rsid w:val="5B7774DA"/>
    <w:rsid w:val="5BA7E29D"/>
    <w:rsid w:val="5D8DB13E"/>
    <w:rsid w:val="5DB8C59F"/>
    <w:rsid w:val="5FB1177A"/>
    <w:rsid w:val="60B20943"/>
    <w:rsid w:val="60B40CD7"/>
    <w:rsid w:val="62B2492A"/>
    <w:rsid w:val="63E9B721"/>
    <w:rsid w:val="64F319BF"/>
    <w:rsid w:val="65D11C74"/>
    <w:rsid w:val="67BBEC98"/>
    <w:rsid w:val="688E2162"/>
    <w:rsid w:val="69DFD198"/>
    <w:rsid w:val="6A29DCBF"/>
    <w:rsid w:val="6ADA1F02"/>
    <w:rsid w:val="6CA01C53"/>
    <w:rsid w:val="6EF6B0D8"/>
    <w:rsid w:val="7239C2BC"/>
    <w:rsid w:val="724FE288"/>
    <w:rsid w:val="74453345"/>
    <w:rsid w:val="750FA575"/>
    <w:rsid w:val="7715252E"/>
    <w:rsid w:val="773A2535"/>
    <w:rsid w:val="7952C01F"/>
    <w:rsid w:val="7A041C7F"/>
    <w:rsid w:val="7A6F04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F71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46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6146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6146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6146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6146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61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46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6146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6146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6146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6146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61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464"/>
    <w:rPr>
      <w:rFonts w:eastAsiaTheme="majorEastAsia" w:cstheme="majorBidi"/>
      <w:color w:val="272727" w:themeColor="text1" w:themeTint="D8"/>
    </w:rPr>
  </w:style>
  <w:style w:type="paragraph" w:styleId="Title">
    <w:name w:val="Title"/>
    <w:basedOn w:val="Normal"/>
    <w:next w:val="Normal"/>
    <w:link w:val="TitleChar"/>
    <w:uiPriority w:val="10"/>
    <w:qFormat/>
    <w:rsid w:val="00F61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46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46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1464"/>
    <w:rPr>
      <w:i/>
      <w:iCs/>
      <w:color w:val="404040" w:themeColor="text1" w:themeTint="BF"/>
    </w:rPr>
  </w:style>
  <w:style w:type="paragraph" w:styleId="ListParagraph">
    <w:name w:val="List Paragraph"/>
    <w:basedOn w:val="Normal"/>
    <w:uiPriority w:val="34"/>
    <w:qFormat/>
    <w:rsid w:val="00F61464"/>
    <w:pPr>
      <w:ind w:left="720"/>
      <w:contextualSpacing/>
    </w:pPr>
  </w:style>
  <w:style w:type="character" w:styleId="IntenseEmphasis">
    <w:name w:val="Intense Emphasis"/>
    <w:basedOn w:val="DefaultParagraphFont"/>
    <w:uiPriority w:val="21"/>
    <w:qFormat/>
    <w:rsid w:val="00F61464"/>
    <w:rPr>
      <w:i/>
      <w:iCs/>
      <w:color w:val="365F91" w:themeColor="accent1" w:themeShade="BF"/>
    </w:rPr>
  </w:style>
  <w:style w:type="paragraph" w:styleId="IntenseQuote">
    <w:name w:val="Intense Quote"/>
    <w:basedOn w:val="Normal"/>
    <w:next w:val="Normal"/>
    <w:link w:val="IntenseQuoteChar"/>
    <w:uiPriority w:val="30"/>
    <w:qFormat/>
    <w:rsid w:val="00F6146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61464"/>
    <w:rPr>
      <w:i/>
      <w:iCs/>
      <w:color w:val="365F91" w:themeColor="accent1" w:themeShade="BF"/>
    </w:rPr>
  </w:style>
  <w:style w:type="character" w:styleId="IntenseReference">
    <w:name w:val="Intense Reference"/>
    <w:basedOn w:val="DefaultParagraphFont"/>
    <w:uiPriority w:val="32"/>
    <w:qFormat/>
    <w:rsid w:val="00F61464"/>
    <w:rPr>
      <w:b/>
      <w:bCs/>
      <w:smallCaps/>
      <w:color w:val="365F91" w:themeColor="accent1" w:themeShade="BF"/>
      <w:spacing w:val="5"/>
    </w:rPr>
  </w:style>
  <w:style w:type="paragraph" w:styleId="NormalWeb">
    <w:name w:val="Normal (Web)"/>
    <w:basedOn w:val="Normal"/>
    <w:uiPriority w:val="99"/>
    <w:semiHidden/>
    <w:unhideWhenUsed/>
    <w:rsid w:val="00F61464"/>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paragraph" w:styleId="Header">
    <w:name w:val="header"/>
    <w:basedOn w:val="Normal"/>
    <w:link w:val="HeaderChar"/>
    <w:uiPriority w:val="99"/>
    <w:unhideWhenUsed/>
    <w:rsid w:val="006D0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76A"/>
  </w:style>
  <w:style w:type="paragraph" w:styleId="Footer">
    <w:name w:val="footer"/>
    <w:basedOn w:val="Normal"/>
    <w:link w:val="FooterChar"/>
    <w:uiPriority w:val="99"/>
    <w:unhideWhenUsed/>
    <w:rsid w:val="006D0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76A"/>
  </w:style>
  <w:style w:type="character" w:styleId="Hyperlink">
    <w:name w:val="Hyperlink"/>
    <w:basedOn w:val="DefaultParagraphFont"/>
    <w:uiPriority w:val="99"/>
    <w:unhideWhenUsed/>
    <w:rsid w:val="00724D7F"/>
    <w:rPr>
      <w:color w:val="0000FF" w:themeColor="hyperlink"/>
      <w:u w:val="single"/>
    </w:rPr>
  </w:style>
  <w:style w:type="character" w:styleId="UnresolvedMention">
    <w:name w:val="Unresolved Mention"/>
    <w:basedOn w:val="DefaultParagraphFont"/>
    <w:uiPriority w:val="99"/>
    <w:semiHidden/>
    <w:unhideWhenUsed/>
    <w:rsid w:val="00724D7F"/>
    <w:rPr>
      <w:color w:val="605E5C"/>
      <w:shd w:val="clear" w:color="auto" w:fill="E1DFDD"/>
    </w:rPr>
  </w:style>
  <w:style w:type="character" w:styleId="CommentReference">
    <w:name w:val="annotation reference"/>
    <w:basedOn w:val="DefaultParagraphFont"/>
    <w:uiPriority w:val="99"/>
    <w:semiHidden/>
    <w:unhideWhenUsed/>
    <w:rsid w:val="0036791D"/>
    <w:rPr>
      <w:sz w:val="18"/>
      <w:szCs w:val="18"/>
    </w:rPr>
  </w:style>
  <w:style w:type="paragraph" w:styleId="CommentText">
    <w:name w:val="annotation text"/>
    <w:basedOn w:val="Normal"/>
    <w:link w:val="CommentTextChar"/>
    <w:uiPriority w:val="99"/>
    <w:unhideWhenUsed/>
    <w:rsid w:val="0036791D"/>
  </w:style>
  <w:style w:type="character" w:customStyle="1" w:styleId="CommentTextChar">
    <w:name w:val="Comment Text Char"/>
    <w:basedOn w:val="DefaultParagraphFont"/>
    <w:link w:val="CommentText"/>
    <w:uiPriority w:val="99"/>
    <w:rsid w:val="0036791D"/>
  </w:style>
  <w:style w:type="paragraph" w:styleId="CommentSubject">
    <w:name w:val="annotation subject"/>
    <w:basedOn w:val="CommentText"/>
    <w:next w:val="CommentText"/>
    <w:link w:val="CommentSubjectChar"/>
    <w:uiPriority w:val="99"/>
    <w:semiHidden/>
    <w:unhideWhenUsed/>
    <w:rsid w:val="0036791D"/>
    <w:rPr>
      <w:b/>
      <w:bCs/>
    </w:rPr>
  </w:style>
  <w:style w:type="character" w:customStyle="1" w:styleId="CommentSubjectChar">
    <w:name w:val="Comment Subject Char"/>
    <w:basedOn w:val="CommentTextChar"/>
    <w:link w:val="CommentSubject"/>
    <w:uiPriority w:val="99"/>
    <w:semiHidden/>
    <w:rsid w:val="0036791D"/>
    <w:rPr>
      <w:b/>
      <w:bCs/>
    </w:rPr>
  </w:style>
  <w:style w:type="paragraph" w:styleId="Revision">
    <w:name w:val="Revision"/>
    <w:hidden/>
    <w:uiPriority w:val="99"/>
    <w:semiHidden/>
    <w:rsid w:val="003A477C"/>
    <w:pPr>
      <w:spacing w:after="0" w:line="240" w:lineRule="auto"/>
    </w:pPr>
  </w:style>
  <w:style w:type="character" w:styleId="FollowedHyperlink">
    <w:name w:val="FollowedHyperlink"/>
    <w:basedOn w:val="DefaultParagraphFont"/>
    <w:uiPriority w:val="99"/>
    <w:semiHidden/>
    <w:unhideWhenUsed/>
    <w:rsid w:val="00BF37AE"/>
    <w:rPr>
      <w:color w:val="800080" w:themeColor="followedHyperlink"/>
      <w:u w:val="single"/>
    </w:rPr>
  </w:style>
  <w:style w:type="character" w:styleId="Mention">
    <w:name w:val="Mention"/>
    <w:basedOn w:val="DefaultParagraphFont"/>
    <w:uiPriority w:val="99"/>
    <w:unhideWhenUsed/>
    <w:rsid w:val="007757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77428">
      <w:bodyDiv w:val="1"/>
      <w:marLeft w:val="0"/>
      <w:marRight w:val="0"/>
      <w:marTop w:val="0"/>
      <w:marBottom w:val="0"/>
      <w:divBdr>
        <w:top w:val="none" w:sz="0" w:space="0" w:color="auto"/>
        <w:left w:val="none" w:sz="0" w:space="0" w:color="auto"/>
        <w:bottom w:val="none" w:sz="0" w:space="0" w:color="auto"/>
        <w:right w:val="none" w:sz="0" w:space="0" w:color="auto"/>
      </w:divBdr>
    </w:div>
    <w:div w:id="407388225">
      <w:bodyDiv w:val="1"/>
      <w:marLeft w:val="0"/>
      <w:marRight w:val="0"/>
      <w:marTop w:val="0"/>
      <w:marBottom w:val="0"/>
      <w:divBdr>
        <w:top w:val="none" w:sz="0" w:space="0" w:color="auto"/>
        <w:left w:val="none" w:sz="0" w:space="0" w:color="auto"/>
        <w:bottom w:val="none" w:sz="0" w:space="0" w:color="auto"/>
        <w:right w:val="none" w:sz="0" w:space="0" w:color="auto"/>
      </w:divBdr>
    </w:div>
    <w:div w:id="678508867">
      <w:bodyDiv w:val="1"/>
      <w:marLeft w:val="0"/>
      <w:marRight w:val="0"/>
      <w:marTop w:val="0"/>
      <w:marBottom w:val="0"/>
      <w:divBdr>
        <w:top w:val="none" w:sz="0" w:space="0" w:color="auto"/>
        <w:left w:val="none" w:sz="0" w:space="0" w:color="auto"/>
        <w:bottom w:val="none" w:sz="0" w:space="0" w:color="auto"/>
        <w:right w:val="none" w:sz="0" w:space="0" w:color="auto"/>
      </w:divBdr>
    </w:div>
    <w:div w:id="854031147">
      <w:bodyDiv w:val="1"/>
      <w:marLeft w:val="0"/>
      <w:marRight w:val="0"/>
      <w:marTop w:val="0"/>
      <w:marBottom w:val="0"/>
      <w:divBdr>
        <w:top w:val="none" w:sz="0" w:space="0" w:color="auto"/>
        <w:left w:val="none" w:sz="0" w:space="0" w:color="auto"/>
        <w:bottom w:val="none" w:sz="0" w:space="0" w:color="auto"/>
        <w:right w:val="none" w:sz="0" w:space="0" w:color="auto"/>
      </w:divBdr>
    </w:div>
    <w:div w:id="915896907">
      <w:bodyDiv w:val="1"/>
      <w:marLeft w:val="0"/>
      <w:marRight w:val="0"/>
      <w:marTop w:val="0"/>
      <w:marBottom w:val="0"/>
      <w:divBdr>
        <w:top w:val="none" w:sz="0" w:space="0" w:color="auto"/>
        <w:left w:val="none" w:sz="0" w:space="0" w:color="auto"/>
        <w:bottom w:val="none" w:sz="0" w:space="0" w:color="auto"/>
        <w:right w:val="none" w:sz="0" w:space="0" w:color="auto"/>
      </w:divBdr>
    </w:div>
    <w:div w:id="944387914">
      <w:bodyDiv w:val="1"/>
      <w:marLeft w:val="0"/>
      <w:marRight w:val="0"/>
      <w:marTop w:val="0"/>
      <w:marBottom w:val="0"/>
      <w:divBdr>
        <w:top w:val="none" w:sz="0" w:space="0" w:color="auto"/>
        <w:left w:val="none" w:sz="0" w:space="0" w:color="auto"/>
        <w:bottom w:val="none" w:sz="0" w:space="0" w:color="auto"/>
        <w:right w:val="none" w:sz="0" w:space="0" w:color="auto"/>
      </w:divBdr>
    </w:div>
    <w:div w:id="957376461">
      <w:bodyDiv w:val="1"/>
      <w:marLeft w:val="0"/>
      <w:marRight w:val="0"/>
      <w:marTop w:val="0"/>
      <w:marBottom w:val="0"/>
      <w:divBdr>
        <w:top w:val="none" w:sz="0" w:space="0" w:color="auto"/>
        <w:left w:val="none" w:sz="0" w:space="0" w:color="auto"/>
        <w:bottom w:val="none" w:sz="0" w:space="0" w:color="auto"/>
        <w:right w:val="none" w:sz="0" w:space="0" w:color="auto"/>
      </w:divBdr>
    </w:div>
    <w:div w:id="1046445174">
      <w:bodyDiv w:val="1"/>
      <w:marLeft w:val="0"/>
      <w:marRight w:val="0"/>
      <w:marTop w:val="0"/>
      <w:marBottom w:val="0"/>
      <w:divBdr>
        <w:top w:val="none" w:sz="0" w:space="0" w:color="auto"/>
        <w:left w:val="none" w:sz="0" w:space="0" w:color="auto"/>
        <w:bottom w:val="none" w:sz="0" w:space="0" w:color="auto"/>
        <w:right w:val="none" w:sz="0" w:space="0" w:color="auto"/>
      </w:divBdr>
    </w:div>
    <w:div w:id="116327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cat.int/Documents/Recs/compendiopdf-s/2025-04-s.pdf" TargetMode="External"/><Relationship Id="rId18" Type="http://schemas.openxmlformats.org/officeDocument/2006/relationships/hyperlink" Target="https://www.iccat.int/Documents/Recs/compendiopdf-s/2023-18-s.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iccat.int/Documents/Recs/compendiopdf-s/2023-18-s.pdf" TargetMode="External"/><Relationship Id="rId17" Type="http://schemas.openxmlformats.org/officeDocument/2006/relationships/hyperlink" Target="https://www.iccat.int/Documents/Recs/compendiopdf-s/2021-17-s.pdf" TargetMode="External"/><Relationship Id="rId2" Type="http://schemas.openxmlformats.org/officeDocument/2006/relationships/customXml" Target="../customXml/item2.xml"/><Relationship Id="rId16" Type="http://schemas.openxmlformats.org/officeDocument/2006/relationships/hyperlink" Target="https://www.iccat.int/Documents/Recs/compendiopdf-s/2021-17-s.pdf" TargetMode="External"/><Relationship Id="rId20" Type="http://schemas.openxmlformats.org/officeDocument/2006/relationships/hyperlink" Target="https://www.iccat.int/Documents/Recs/compendiopdf-s/2023-18-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ccat.int/Documents/Recs/compendiopdf-s/2025-04-s.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iccat.int/Documents/Recs/compendiopdf-s/2025-04-s.pdf" TargetMode="External"/><Relationship Id="rId23" Type="http://schemas.openxmlformats.org/officeDocument/2006/relationships/fontTable" Target="fontTable.xml"/><Relationship Id="rId10" Type="http://schemas.openxmlformats.org/officeDocument/2006/relationships/hyperlink" Target="https://www.iccat.int/Documents/Recs/compendiopdf-s/2025-04-s.pdf" TargetMode="External"/><Relationship Id="rId19" Type="http://schemas.openxmlformats.org/officeDocument/2006/relationships/hyperlink" Target="https://www.iccat.int/Documents/Recs/compendiopdf-s/2023-18-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cat.int/Documents/Recs/compendiopdf-s/2025-04-s.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c986aa-787d-4a14-b577-9f29a18a2836">
      <Terms xmlns="http://schemas.microsoft.com/office/infopath/2007/PartnerControls"/>
    </lcf76f155ced4ddcb4097134ff3c332f>
    <TaxCatchAll xmlns="7d73a274-b5d4-4934-af93-8b8c31f6f19f" xsi:nil="true"/>
  </documentManagement>
</p:properties>
</file>

<file path=customXml/itemProps1.xml><?xml version="1.0" encoding="utf-8"?>
<ds:datastoreItem xmlns:ds="http://schemas.openxmlformats.org/officeDocument/2006/customXml" ds:itemID="{F3020235-4AB8-4B8B-BE95-FC158A980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3AA325-7637-44BF-A69C-78F0A4171806}">
  <ds:schemaRefs>
    <ds:schemaRef ds:uri="http://schemas.microsoft.com/sharepoint/v3/contenttype/forms"/>
  </ds:schemaRefs>
</ds:datastoreItem>
</file>

<file path=customXml/itemProps3.xml><?xml version="1.0" encoding="utf-8"?>
<ds:datastoreItem xmlns:ds="http://schemas.openxmlformats.org/officeDocument/2006/customXml" ds:itemID="{6702B934-EB03-4E65-92AF-E4BE0AC5D3A5}">
  <ds:schemaRefs>
    <ds:schemaRef ds:uri="http://schemas.microsoft.com/office/2006/metadata/properties"/>
    <ds:schemaRef ds:uri="http://schemas.microsoft.com/office/infopath/2007/PartnerControls"/>
    <ds:schemaRef ds:uri="04c986aa-787d-4a14-b577-9f29a18a2836"/>
    <ds:schemaRef ds:uri="7d73a274-b5d4-4934-af93-8b8c31f6f1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3591</Words>
  <Characters>20473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24016</CharactersWithSpaces>
  <SharedDoc>false</SharedDoc>
  <HLinks>
    <vt:vector size="102" baseType="variant">
      <vt:variant>
        <vt:i4>4456449</vt:i4>
      </vt:variant>
      <vt:variant>
        <vt:i4>33</vt:i4>
      </vt:variant>
      <vt:variant>
        <vt:i4>0</vt:i4>
      </vt:variant>
      <vt:variant>
        <vt:i4>5</vt:i4>
      </vt:variant>
      <vt:variant>
        <vt:lpwstr>https://www.iccat.int/Documents/Recs/compendiopdf-e/2023-18-e.pdf</vt:lpwstr>
      </vt:variant>
      <vt:variant>
        <vt:lpwstr/>
      </vt:variant>
      <vt:variant>
        <vt:i4>4456449</vt:i4>
      </vt:variant>
      <vt:variant>
        <vt:i4>30</vt:i4>
      </vt:variant>
      <vt:variant>
        <vt:i4>0</vt:i4>
      </vt:variant>
      <vt:variant>
        <vt:i4>5</vt:i4>
      </vt:variant>
      <vt:variant>
        <vt:lpwstr>https://www.iccat.int/Documents/Recs/compendiopdf-e/2023-18-e.pdf</vt:lpwstr>
      </vt:variant>
      <vt:variant>
        <vt:lpwstr/>
      </vt:variant>
      <vt:variant>
        <vt:i4>4456449</vt:i4>
      </vt:variant>
      <vt:variant>
        <vt:i4>27</vt:i4>
      </vt:variant>
      <vt:variant>
        <vt:i4>0</vt:i4>
      </vt:variant>
      <vt:variant>
        <vt:i4>5</vt:i4>
      </vt:variant>
      <vt:variant>
        <vt:lpwstr>https://www.iccat.int/Documents/Recs/compendiopdf-e/2023-18-e.pdf</vt:lpwstr>
      </vt:variant>
      <vt:variant>
        <vt:lpwstr/>
      </vt:variant>
      <vt:variant>
        <vt:i4>4456449</vt:i4>
      </vt:variant>
      <vt:variant>
        <vt:i4>24</vt:i4>
      </vt:variant>
      <vt:variant>
        <vt:i4>0</vt:i4>
      </vt:variant>
      <vt:variant>
        <vt:i4>5</vt:i4>
      </vt:variant>
      <vt:variant>
        <vt:lpwstr>https://www.iccat.int/Documents/Recs/compendiopdf-e/2023-18-e.pdf</vt:lpwstr>
      </vt:variant>
      <vt:variant>
        <vt:lpwstr/>
      </vt:variant>
      <vt:variant>
        <vt:i4>4587534</vt:i4>
      </vt:variant>
      <vt:variant>
        <vt:i4>21</vt:i4>
      </vt:variant>
      <vt:variant>
        <vt:i4>0</vt:i4>
      </vt:variant>
      <vt:variant>
        <vt:i4>5</vt:i4>
      </vt:variant>
      <vt:variant>
        <vt:lpwstr>https://www.iccat.int/Documents/Recs/compendiopdf-e/2021-17-e.pdf</vt:lpwstr>
      </vt:variant>
      <vt:variant>
        <vt:lpwstr/>
      </vt:variant>
      <vt:variant>
        <vt:i4>4587534</vt:i4>
      </vt:variant>
      <vt:variant>
        <vt:i4>18</vt:i4>
      </vt:variant>
      <vt:variant>
        <vt:i4>0</vt:i4>
      </vt:variant>
      <vt:variant>
        <vt:i4>5</vt:i4>
      </vt:variant>
      <vt:variant>
        <vt:lpwstr>https://www.iccat.int/Documents/Recs/compendiopdf-e/2021-17-e.pdf</vt:lpwstr>
      </vt:variant>
      <vt:variant>
        <vt:lpwstr/>
      </vt:variant>
      <vt:variant>
        <vt:i4>4390925</vt:i4>
      </vt:variant>
      <vt:variant>
        <vt:i4>15</vt:i4>
      </vt:variant>
      <vt:variant>
        <vt:i4>0</vt:i4>
      </vt:variant>
      <vt:variant>
        <vt:i4>5</vt:i4>
      </vt:variant>
      <vt:variant>
        <vt:lpwstr>https://www.iccat.int/Documents/Recs/compendiopdf-e/2025-04-e.pdf</vt:lpwstr>
      </vt:variant>
      <vt:variant>
        <vt:lpwstr/>
      </vt:variant>
      <vt:variant>
        <vt:i4>4390925</vt:i4>
      </vt:variant>
      <vt:variant>
        <vt:i4>12</vt:i4>
      </vt:variant>
      <vt:variant>
        <vt:i4>0</vt:i4>
      </vt:variant>
      <vt:variant>
        <vt:i4>5</vt:i4>
      </vt:variant>
      <vt:variant>
        <vt:lpwstr>https://www.iccat.int/Documents/Recs/compendiopdf-e/2025-04-e.pdf</vt:lpwstr>
      </vt:variant>
      <vt:variant>
        <vt:lpwstr/>
      </vt:variant>
      <vt:variant>
        <vt:i4>4390925</vt:i4>
      </vt:variant>
      <vt:variant>
        <vt:i4>9</vt:i4>
      </vt:variant>
      <vt:variant>
        <vt:i4>0</vt:i4>
      </vt:variant>
      <vt:variant>
        <vt:i4>5</vt:i4>
      </vt:variant>
      <vt:variant>
        <vt:lpwstr>https://www.iccat.int/Documents/Recs/compendiopdf-e/2025-04-e.pdf</vt:lpwstr>
      </vt:variant>
      <vt:variant>
        <vt:lpwstr/>
      </vt:variant>
      <vt:variant>
        <vt:i4>4456449</vt:i4>
      </vt:variant>
      <vt:variant>
        <vt:i4>6</vt:i4>
      </vt:variant>
      <vt:variant>
        <vt:i4>0</vt:i4>
      </vt:variant>
      <vt:variant>
        <vt:i4>5</vt:i4>
      </vt:variant>
      <vt:variant>
        <vt:lpwstr>https://www.iccat.int/Documents/Recs/compendiopdf-e/2023-18-e.pdf</vt:lpwstr>
      </vt:variant>
      <vt:variant>
        <vt:lpwstr/>
      </vt:variant>
      <vt:variant>
        <vt:i4>4390925</vt:i4>
      </vt:variant>
      <vt:variant>
        <vt:i4>3</vt:i4>
      </vt:variant>
      <vt:variant>
        <vt:i4>0</vt:i4>
      </vt:variant>
      <vt:variant>
        <vt:i4>5</vt:i4>
      </vt:variant>
      <vt:variant>
        <vt:lpwstr>https://www.iccat.int/Documents/Recs/compendiopdf-e/2025-04-e.pdf</vt:lpwstr>
      </vt:variant>
      <vt:variant>
        <vt:lpwstr/>
      </vt:variant>
      <vt:variant>
        <vt:i4>4390925</vt:i4>
      </vt:variant>
      <vt:variant>
        <vt:i4>0</vt:i4>
      </vt:variant>
      <vt:variant>
        <vt:i4>0</vt:i4>
      </vt:variant>
      <vt:variant>
        <vt:i4>5</vt:i4>
      </vt:variant>
      <vt:variant>
        <vt:lpwstr>https://www.iccat.int/Documents/Recs/compendiopdf-e/2025-04-e.pdf</vt:lpwstr>
      </vt:variant>
      <vt:variant>
        <vt:lpwstr/>
      </vt:variant>
      <vt:variant>
        <vt:i4>5963892</vt:i4>
      </vt:variant>
      <vt:variant>
        <vt:i4>12</vt:i4>
      </vt:variant>
      <vt:variant>
        <vt:i4>0</vt:i4>
      </vt:variant>
      <vt:variant>
        <vt:i4>5</vt:i4>
      </vt:variant>
      <vt:variant>
        <vt:lpwstr>mailto:Laura.RULL-DEL-AGUILA@ec.europa.eu</vt:lpwstr>
      </vt:variant>
      <vt:variant>
        <vt:lpwstr/>
      </vt:variant>
      <vt:variant>
        <vt:i4>5963892</vt:i4>
      </vt:variant>
      <vt:variant>
        <vt:i4>9</vt:i4>
      </vt:variant>
      <vt:variant>
        <vt:i4>0</vt:i4>
      </vt:variant>
      <vt:variant>
        <vt:i4>5</vt:i4>
      </vt:variant>
      <vt:variant>
        <vt:lpwstr>mailto:Laura.RULL-DEL-AGUILA@ec.europa.eu</vt:lpwstr>
      </vt:variant>
      <vt:variant>
        <vt:lpwstr/>
      </vt:variant>
      <vt:variant>
        <vt:i4>2359315</vt:i4>
      </vt:variant>
      <vt:variant>
        <vt:i4>6</vt:i4>
      </vt:variant>
      <vt:variant>
        <vt:i4>0</vt:i4>
      </vt:variant>
      <vt:variant>
        <vt:i4>5</vt:i4>
      </vt:variant>
      <vt:variant>
        <vt:lpwstr>mailto:Laura.MAROT@ec.europa.eu</vt:lpwstr>
      </vt:variant>
      <vt:variant>
        <vt:lpwstr/>
      </vt:variant>
      <vt:variant>
        <vt:i4>6291544</vt:i4>
      </vt:variant>
      <vt:variant>
        <vt:i4>3</vt:i4>
      </vt:variant>
      <vt:variant>
        <vt:i4>0</vt:i4>
      </vt:variant>
      <vt:variant>
        <vt:i4>5</vt:i4>
      </vt:variant>
      <vt:variant>
        <vt:lpwstr>mailto:Yannick.BIJL@ec.europa.eu</vt:lpwstr>
      </vt:variant>
      <vt:variant>
        <vt:lpwstr/>
      </vt:variant>
      <vt:variant>
        <vt:i4>5963892</vt:i4>
      </vt:variant>
      <vt:variant>
        <vt:i4>0</vt:i4>
      </vt:variant>
      <vt:variant>
        <vt:i4>0</vt:i4>
      </vt:variant>
      <vt:variant>
        <vt:i4>5</vt:i4>
      </vt:variant>
      <vt:variant>
        <vt:lpwstr>mailto:Laura.RULL-DEL-AGUILA@ec.europa.eu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2026-10-28T10:12:00Z</dcterms:created>
  <dcterms:modified xsi:type="dcterms:W3CDTF">2026-10-28T10:12:00Z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2026-10-16T15:42:37Z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64b01b88-057f-4c3b-bfd6-b3c0391fdaf2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0x0101003E84DD1BACBE3641B802C49D00950036</vt:lpwstr>
  </property>
</Properties>
</file>