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6024B" w14:textId="77777777" w:rsidR="00FD68CA" w:rsidRPr="00D049C3" w:rsidRDefault="00FD68CA" w:rsidP="006D0E67">
      <w:pPr>
        <w:spacing w:after="80" w:line="240" w:lineRule="auto"/>
        <w:jc w:val="right"/>
        <w:rPr>
          <w:rFonts w:asciiTheme="majorHAnsi" w:eastAsia="Cambria" w:hAnsiTheme="majorHAnsi" w:cs="Cambria"/>
          <w:b/>
          <w:bCs/>
          <w:sz w:val="20"/>
          <w:szCs w:val="20"/>
        </w:rPr>
      </w:pPr>
      <w:r w:rsidRPr="00D049C3">
        <w:rPr>
          <w:rFonts w:asciiTheme="majorHAnsi" w:hAnsiTheme="majorHAnsi"/>
          <w:b/>
          <w:sz w:val="20"/>
        </w:rPr>
        <w:t xml:space="preserve">Original : </w:t>
      </w:r>
      <w:r w:rsidRPr="00D049C3">
        <w:rPr>
          <w:rFonts w:asciiTheme="majorHAnsi" w:hAnsiTheme="majorHAnsi"/>
          <w:b/>
          <w:bCs/>
          <w:sz w:val="20"/>
        </w:rPr>
        <w:t>anglais</w:t>
      </w:r>
      <w:r w:rsidRPr="00D049C3">
        <w:rPr>
          <w:rFonts w:asciiTheme="majorHAnsi" w:hAnsiTheme="majorHAnsi"/>
          <w:b/>
          <w:sz w:val="20"/>
        </w:rPr>
        <w:t> </w:t>
      </w:r>
    </w:p>
    <w:p w14:paraId="268F4018" w14:textId="77777777" w:rsidR="00154E04" w:rsidRPr="00D049C3" w:rsidRDefault="00154E04" w:rsidP="00154E04">
      <w:pPr>
        <w:widowControl w:val="0"/>
        <w:spacing w:after="0" w:line="240" w:lineRule="auto"/>
        <w:ind w:left="2905" w:hanging="2905"/>
        <w:jc w:val="center"/>
        <w:rPr>
          <w:rFonts w:asciiTheme="majorHAnsi" w:eastAsia="Cambria" w:hAnsiTheme="majorHAnsi" w:cs="Cambria"/>
          <w:b/>
          <w:bCs/>
          <w:kern w:val="0"/>
          <w:sz w:val="20"/>
          <w:szCs w:val="20"/>
          <w14:ligatures w14:val="none"/>
        </w:rPr>
      </w:pPr>
      <w:r w:rsidRPr="00D049C3">
        <w:rPr>
          <w:rFonts w:asciiTheme="majorHAnsi" w:hAnsiTheme="majorHAnsi"/>
          <w:b/>
          <w:sz w:val="20"/>
        </w:rPr>
        <w:t>Page de garde accompagnant les nouvelles propositions</w:t>
      </w:r>
    </w:p>
    <w:p w14:paraId="609AA598" w14:textId="77777777" w:rsidR="00154E04" w:rsidRPr="00D049C3" w:rsidRDefault="00154E04" w:rsidP="00154E04">
      <w:pPr>
        <w:widowControl w:val="0"/>
        <w:pBdr>
          <w:top w:val="nil"/>
          <w:left w:val="nil"/>
          <w:bottom w:val="nil"/>
          <w:right w:val="nil"/>
          <w:between w:val="nil"/>
        </w:pBdr>
        <w:spacing w:before="63" w:after="0" w:line="240" w:lineRule="auto"/>
        <w:rPr>
          <w:rFonts w:asciiTheme="majorHAnsi" w:eastAsia="Cambria" w:hAnsiTheme="majorHAnsi" w:cs="Cambria"/>
          <w:b/>
          <w:bCs/>
          <w:color w:val="000000"/>
          <w:kern w:val="0"/>
          <w:sz w:val="20"/>
          <w:szCs w:val="20"/>
          <w14:ligatures w14:val="none"/>
        </w:rPr>
      </w:pPr>
    </w:p>
    <w:p w14:paraId="27CF9FFF" w14:textId="3F74F7F1" w:rsidR="00154E04" w:rsidRPr="00D049C3" w:rsidRDefault="00154E04" w:rsidP="00154E04">
      <w:pPr>
        <w:widowControl w:val="0"/>
        <w:spacing w:after="0" w:line="234" w:lineRule="auto"/>
        <w:ind w:right="4"/>
        <w:jc w:val="center"/>
        <w:rPr>
          <w:rFonts w:asciiTheme="majorHAnsi" w:eastAsia="Cambria" w:hAnsiTheme="majorHAnsi" w:cs="Cambria"/>
          <w:i/>
          <w:iCs/>
          <w:kern w:val="0"/>
          <w:sz w:val="20"/>
          <w:szCs w:val="20"/>
          <w14:ligatures w14:val="none"/>
        </w:rPr>
      </w:pPr>
      <w:r w:rsidRPr="00D049C3">
        <w:rPr>
          <w:rFonts w:asciiTheme="majorHAnsi" w:hAnsiTheme="majorHAnsi"/>
          <w:i/>
          <w:sz w:val="20"/>
        </w:rPr>
        <w:t>(Document présenté par l’Union européenne)</w:t>
      </w:r>
    </w:p>
    <w:p w14:paraId="4D2A0771" w14:textId="77777777" w:rsidR="00E53EF8" w:rsidRPr="00D049C3" w:rsidRDefault="00E53EF8" w:rsidP="00AE733A">
      <w:pPr>
        <w:spacing w:after="0" w:line="240" w:lineRule="auto"/>
        <w:jc w:val="both"/>
        <w:rPr>
          <w:rFonts w:asciiTheme="majorHAnsi" w:eastAsia="Cambria" w:hAnsiTheme="majorHAnsi" w:cs="Cambria"/>
          <w:b/>
          <w:bCs/>
          <w:sz w:val="20"/>
          <w:szCs w:val="20"/>
        </w:rPr>
      </w:pPr>
    </w:p>
    <w:p w14:paraId="015FB7AC" w14:textId="7A2DE152" w:rsidR="00FD68CA" w:rsidRPr="00D049C3" w:rsidRDefault="00FD68CA" w:rsidP="00AE733A">
      <w:pPr>
        <w:spacing w:after="0" w:line="240" w:lineRule="auto"/>
        <w:jc w:val="both"/>
        <w:rPr>
          <w:rFonts w:asciiTheme="majorHAnsi" w:eastAsia="Cambria" w:hAnsiTheme="majorHAnsi" w:cs="Cambria"/>
          <w:color w:val="EE0000"/>
          <w:sz w:val="20"/>
          <w:szCs w:val="20"/>
        </w:rPr>
      </w:pPr>
      <w:r w:rsidRPr="00D049C3">
        <w:rPr>
          <w:rFonts w:asciiTheme="majorHAnsi" w:hAnsiTheme="majorHAnsi"/>
          <w:b/>
          <w:sz w:val="20"/>
        </w:rPr>
        <w:t>Titre de la proposition de projet de Recommandation/Résolution : </w:t>
      </w:r>
      <w:r w:rsidRPr="00D049C3">
        <w:rPr>
          <w:rFonts w:asciiTheme="majorHAnsi" w:hAnsiTheme="majorHAnsi"/>
          <w:color w:val="EE0000"/>
          <w:sz w:val="20"/>
        </w:rPr>
        <w:t>Projet de Recommandation de l’ICCAT sur les systèmes de surveillance électronique (EMS) pour améliorer le contrôle des navires de transformation de thon rouge</w:t>
      </w:r>
    </w:p>
    <w:p w14:paraId="6FD04079" w14:textId="77777777" w:rsidR="00AE733A" w:rsidRPr="00D049C3" w:rsidRDefault="00AE733A" w:rsidP="00AE733A">
      <w:pPr>
        <w:spacing w:after="0" w:line="240" w:lineRule="auto"/>
        <w:jc w:val="both"/>
        <w:rPr>
          <w:rFonts w:asciiTheme="majorHAnsi" w:eastAsia="Cambria" w:hAnsiTheme="majorHAnsi" w:cs="Cambria"/>
          <w:b/>
          <w:bCs/>
          <w:color w:val="EE0000"/>
          <w:sz w:val="20"/>
          <w:szCs w:val="20"/>
        </w:rPr>
      </w:pPr>
    </w:p>
    <w:p w14:paraId="7D5ECEFB" w14:textId="57155DE1" w:rsidR="002618CC" w:rsidRPr="00D049C3" w:rsidRDefault="00FD68CA" w:rsidP="00AE733A">
      <w:pPr>
        <w:spacing w:after="0" w:line="240" w:lineRule="auto"/>
        <w:jc w:val="both"/>
        <w:rPr>
          <w:rFonts w:asciiTheme="majorHAnsi" w:hAnsiTheme="majorHAnsi"/>
          <w:color w:val="EE0000"/>
          <w:sz w:val="20"/>
          <w:szCs w:val="20"/>
        </w:rPr>
      </w:pPr>
      <w:r w:rsidRPr="00D049C3">
        <w:rPr>
          <w:rFonts w:asciiTheme="majorHAnsi" w:hAnsiTheme="majorHAnsi"/>
          <w:b/>
          <w:sz w:val="20"/>
        </w:rPr>
        <w:t>Titre de la ou des Recommandations ou Résolutions en vigueur traitant des mêmes questions ou de questions connexes :  </w:t>
      </w:r>
      <w:hyperlink r:id="rId10" w:tgtFrame="_blank" w:history="1">
        <w:r w:rsidRPr="00D049C3">
          <w:rPr>
            <w:rFonts w:asciiTheme="majorHAnsi" w:hAnsiTheme="majorHAnsi"/>
            <w:i/>
            <w:iCs/>
            <w:color w:val="EE0000"/>
            <w:sz w:val="20"/>
          </w:rPr>
          <w:t xml:space="preserve">Recommandation de l’ICCAT remplaçant la Recommandation 24-05 établissant un plan pluriannuel de gestion du thon rouge dans l’Atlantique Est et la Méditerranée </w:t>
        </w:r>
        <w:r w:rsidRPr="00D049C3">
          <w:rPr>
            <w:rFonts w:asciiTheme="majorHAnsi" w:hAnsiTheme="majorHAnsi"/>
            <w:color w:val="EE0000"/>
            <w:sz w:val="20"/>
          </w:rPr>
          <w:t xml:space="preserve"> (Rec. 25-04)</w:t>
        </w:r>
      </w:hyperlink>
    </w:p>
    <w:p w14:paraId="0CC70A5C" w14:textId="77777777" w:rsidR="002707E7" w:rsidRPr="00D049C3" w:rsidRDefault="002707E7" w:rsidP="00AE733A">
      <w:pPr>
        <w:spacing w:after="0" w:line="240" w:lineRule="auto"/>
        <w:jc w:val="both"/>
        <w:rPr>
          <w:rFonts w:asciiTheme="majorHAnsi" w:eastAsia="Cambria" w:hAnsiTheme="majorHAnsi" w:cs="Cambria"/>
          <w:b/>
          <w:bCs/>
          <w:color w:val="0070C0"/>
          <w:sz w:val="20"/>
          <w:szCs w:val="20"/>
        </w:rPr>
      </w:pPr>
    </w:p>
    <w:p w14:paraId="2AA15608" w14:textId="76237B9D" w:rsidR="00FD68CA" w:rsidRPr="00D049C3" w:rsidRDefault="00FD68CA" w:rsidP="00AE733A">
      <w:pPr>
        <w:numPr>
          <w:ilvl w:val="0"/>
          <w:numId w:val="13"/>
        </w:numPr>
        <w:tabs>
          <w:tab w:val="clear" w:pos="360"/>
          <w:tab w:val="num" w:pos="284"/>
          <w:tab w:val="num" w:pos="720"/>
        </w:tabs>
        <w:spacing w:after="0" w:line="240" w:lineRule="auto"/>
        <w:ind w:left="0" w:firstLine="0"/>
        <w:jc w:val="both"/>
        <w:rPr>
          <w:rFonts w:asciiTheme="majorHAnsi" w:eastAsia="Cambria" w:hAnsiTheme="majorHAnsi" w:cs="Cambria"/>
          <w:color w:val="EE0000"/>
          <w:sz w:val="20"/>
          <w:szCs w:val="20"/>
        </w:rPr>
      </w:pPr>
      <w:r w:rsidRPr="00D049C3">
        <w:rPr>
          <w:rFonts w:asciiTheme="majorHAnsi" w:hAnsiTheme="majorHAnsi"/>
          <w:sz w:val="20"/>
        </w:rPr>
        <w:t xml:space="preserve">Cela crée-t-il de nouvelles </w:t>
      </w:r>
      <w:r w:rsidRPr="00D049C3">
        <w:rPr>
          <w:rFonts w:asciiTheme="majorHAnsi" w:hAnsiTheme="majorHAnsi"/>
          <w:b/>
          <w:sz w:val="20"/>
        </w:rPr>
        <w:t xml:space="preserve">obligations de déclaration </w:t>
      </w:r>
      <w:r w:rsidRPr="00D049C3">
        <w:rPr>
          <w:rFonts w:asciiTheme="majorHAnsi" w:hAnsiTheme="majorHAnsi"/>
          <w:sz w:val="20"/>
        </w:rPr>
        <w:t xml:space="preserve">pour les CPC ? </w:t>
      </w:r>
      <w:r w:rsidRPr="00D049C3">
        <w:rPr>
          <w:rFonts w:asciiTheme="majorHAnsi" w:hAnsiTheme="majorHAnsi"/>
          <w:sz w:val="20"/>
        </w:rPr>
        <w:tab/>
        <w:t xml:space="preserve">Oui </w:t>
      </w:r>
      <w:r w:rsidRPr="00D049C3">
        <w:rPr>
          <w:rFonts w:ascii="Segoe UI Symbol" w:hAnsi="Segoe UI Symbol" w:cs="Segoe UI Symbol"/>
          <w:sz w:val="20"/>
        </w:rPr>
        <w:t>☐</w:t>
      </w:r>
      <w:r w:rsidRPr="00D049C3">
        <w:rPr>
          <w:rFonts w:asciiTheme="majorHAnsi" w:hAnsiTheme="majorHAnsi"/>
          <w:sz w:val="20"/>
        </w:rPr>
        <w:t xml:space="preserve">  </w:t>
      </w:r>
      <w:r w:rsidRPr="00D049C3">
        <w:rPr>
          <w:rFonts w:asciiTheme="majorHAnsi" w:hAnsiTheme="majorHAnsi"/>
          <w:color w:val="EE0000"/>
          <w:sz w:val="20"/>
        </w:rPr>
        <w:t xml:space="preserve">Non  </w:t>
      </w:r>
      <w:r w:rsidRPr="00D049C3">
        <w:rPr>
          <w:rFonts w:ascii="Segoe UI Symbol" w:hAnsi="Segoe UI Symbol" w:cs="Segoe UI Symbol"/>
          <w:color w:val="EE0000"/>
          <w:sz w:val="20"/>
        </w:rPr>
        <w:t>☒</w:t>
      </w:r>
    </w:p>
    <w:p w14:paraId="0ED758FC" w14:textId="77777777" w:rsidR="00AE733A" w:rsidRPr="00D049C3" w:rsidRDefault="00AE733A" w:rsidP="00AE733A">
      <w:pPr>
        <w:tabs>
          <w:tab w:val="num" w:pos="284"/>
        </w:tabs>
        <w:spacing w:after="0" w:line="240" w:lineRule="auto"/>
        <w:jc w:val="both"/>
        <w:rPr>
          <w:rFonts w:asciiTheme="majorHAnsi" w:eastAsia="Cambria" w:hAnsiTheme="majorHAnsi" w:cs="Cambria"/>
          <w:sz w:val="20"/>
          <w:szCs w:val="20"/>
          <w:lang w:val="en-US"/>
        </w:rPr>
      </w:pPr>
    </w:p>
    <w:p w14:paraId="0A6E4AE6" w14:textId="599045EC" w:rsidR="00FD68CA" w:rsidRPr="00D049C3" w:rsidRDefault="00FD68CA" w:rsidP="00AE733A">
      <w:pPr>
        <w:tabs>
          <w:tab w:val="num" w:pos="284"/>
        </w:tabs>
        <w:spacing w:after="0" w:line="240" w:lineRule="auto"/>
        <w:jc w:val="both"/>
        <w:rPr>
          <w:rFonts w:asciiTheme="majorHAnsi" w:eastAsia="Cambria" w:hAnsiTheme="majorHAnsi" w:cs="Cambria"/>
          <w:sz w:val="20"/>
          <w:szCs w:val="20"/>
        </w:rPr>
      </w:pPr>
      <w:r w:rsidRPr="00D049C3">
        <w:rPr>
          <w:rFonts w:asciiTheme="majorHAnsi" w:hAnsiTheme="majorHAnsi"/>
          <w:sz w:val="20"/>
        </w:rPr>
        <w:t>Brève description de la ou des nouvelle(s) obligation(s) de déclaration : </w:t>
      </w:r>
    </w:p>
    <w:p w14:paraId="4F48080E" w14:textId="77777777" w:rsidR="002707E7" w:rsidRPr="00D049C3" w:rsidRDefault="002707E7" w:rsidP="00AE733A">
      <w:pPr>
        <w:tabs>
          <w:tab w:val="num" w:pos="284"/>
        </w:tabs>
        <w:spacing w:after="0" w:line="240" w:lineRule="auto"/>
        <w:jc w:val="both"/>
        <w:rPr>
          <w:rFonts w:asciiTheme="majorHAnsi" w:eastAsia="Cambria" w:hAnsiTheme="majorHAnsi" w:cs="Cambria"/>
          <w:sz w:val="20"/>
          <w:szCs w:val="20"/>
        </w:rPr>
      </w:pPr>
    </w:p>
    <w:p w14:paraId="61F9F1A4" w14:textId="699F87B7" w:rsidR="00FD68CA" w:rsidRPr="00D049C3" w:rsidRDefault="00FD68CA" w:rsidP="00AE733A">
      <w:pPr>
        <w:numPr>
          <w:ilvl w:val="0"/>
          <w:numId w:val="14"/>
        </w:numPr>
        <w:tabs>
          <w:tab w:val="clear" w:pos="360"/>
          <w:tab w:val="num" w:pos="284"/>
        </w:tabs>
        <w:spacing w:after="0" w:line="240" w:lineRule="auto"/>
        <w:ind w:left="0" w:firstLine="0"/>
        <w:jc w:val="both"/>
        <w:rPr>
          <w:rFonts w:asciiTheme="majorHAnsi" w:eastAsia="Cambria" w:hAnsiTheme="majorHAnsi" w:cs="Cambria"/>
          <w:sz w:val="20"/>
          <w:szCs w:val="20"/>
        </w:rPr>
      </w:pPr>
      <w:r w:rsidRPr="00D049C3">
        <w:rPr>
          <w:rFonts w:asciiTheme="majorHAnsi" w:hAnsiTheme="majorHAnsi"/>
          <w:sz w:val="20"/>
        </w:rPr>
        <w:t>Cela nécessite-t-il une contribution ou un travail supplémentaire de la part du SCRS ?</w:t>
      </w:r>
      <w:r w:rsidRPr="00D049C3">
        <w:rPr>
          <w:rFonts w:asciiTheme="majorHAnsi" w:hAnsiTheme="majorHAnsi"/>
          <w:sz w:val="20"/>
        </w:rPr>
        <w:tab/>
        <w:t xml:space="preserve">Oui </w:t>
      </w:r>
      <w:r w:rsidRPr="00D049C3">
        <w:rPr>
          <w:rFonts w:ascii="Segoe UI Symbol" w:hAnsi="Segoe UI Symbol" w:cs="Segoe UI Symbol"/>
          <w:sz w:val="20"/>
        </w:rPr>
        <w:t>☐</w:t>
      </w:r>
      <w:r w:rsidRPr="00D049C3">
        <w:rPr>
          <w:rFonts w:asciiTheme="majorHAnsi" w:hAnsiTheme="majorHAnsi"/>
          <w:sz w:val="20"/>
        </w:rPr>
        <w:t xml:space="preserve"> </w:t>
      </w:r>
      <w:r w:rsidRPr="00D049C3">
        <w:rPr>
          <w:rFonts w:asciiTheme="majorHAnsi" w:hAnsiTheme="majorHAnsi"/>
          <w:color w:val="EE0000"/>
          <w:sz w:val="20"/>
        </w:rPr>
        <w:t xml:space="preserve">Non </w:t>
      </w:r>
      <w:r w:rsidRPr="00D049C3">
        <w:rPr>
          <w:rFonts w:ascii="Segoe UI Symbol" w:hAnsi="Segoe UI Symbol" w:cs="Segoe UI Symbol"/>
          <w:color w:val="EE0000"/>
          <w:sz w:val="20"/>
        </w:rPr>
        <w:t>☒</w:t>
      </w:r>
      <w:r w:rsidRPr="00D049C3">
        <w:rPr>
          <w:rFonts w:asciiTheme="majorHAnsi" w:hAnsiTheme="majorHAnsi"/>
          <w:color w:val="EE0000"/>
          <w:sz w:val="20"/>
        </w:rPr>
        <w:t> </w:t>
      </w:r>
    </w:p>
    <w:p w14:paraId="485AA559" w14:textId="77777777" w:rsidR="00AE733A" w:rsidRPr="00D049C3" w:rsidRDefault="00AE733A" w:rsidP="00AE733A">
      <w:pPr>
        <w:tabs>
          <w:tab w:val="num" w:pos="284"/>
        </w:tabs>
        <w:spacing w:after="0" w:line="240" w:lineRule="auto"/>
        <w:jc w:val="both"/>
        <w:rPr>
          <w:rFonts w:asciiTheme="majorHAnsi" w:eastAsia="Cambria" w:hAnsiTheme="majorHAnsi" w:cs="Cambria"/>
          <w:sz w:val="20"/>
          <w:szCs w:val="20"/>
          <w:lang w:val="en-US"/>
        </w:rPr>
      </w:pPr>
    </w:p>
    <w:p w14:paraId="4AAC99EB" w14:textId="767D84C0" w:rsidR="00FD68CA" w:rsidRPr="00D049C3" w:rsidRDefault="00FD68CA" w:rsidP="00AE733A">
      <w:pPr>
        <w:tabs>
          <w:tab w:val="num" w:pos="284"/>
        </w:tabs>
        <w:spacing w:after="0" w:line="240" w:lineRule="auto"/>
        <w:jc w:val="both"/>
        <w:rPr>
          <w:rFonts w:asciiTheme="majorHAnsi" w:eastAsia="Cambria" w:hAnsiTheme="majorHAnsi" w:cs="Cambria"/>
          <w:sz w:val="20"/>
          <w:szCs w:val="20"/>
        </w:rPr>
      </w:pPr>
      <w:r w:rsidRPr="00D049C3">
        <w:rPr>
          <w:rFonts w:asciiTheme="majorHAnsi" w:hAnsiTheme="majorHAnsi"/>
          <w:sz w:val="20"/>
        </w:rPr>
        <w:t xml:space="preserve">Ce travail est-il déjà inclus dans le plan de travail actuel du SCRS ? Oui </w:t>
      </w:r>
      <w:r w:rsidRPr="00D049C3">
        <w:rPr>
          <w:rFonts w:ascii="Segoe UI Symbol" w:hAnsi="Segoe UI Symbol" w:cs="Segoe UI Symbol"/>
          <w:sz w:val="20"/>
        </w:rPr>
        <w:t>☐</w:t>
      </w:r>
      <w:r w:rsidRPr="00D049C3">
        <w:rPr>
          <w:rFonts w:asciiTheme="majorHAnsi" w:hAnsiTheme="majorHAnsi"/>
          <w:sz w:val="20"/>
        </w:rPr>
        <w:t xml:space="preserve"> </w:t>
      </w:r>
      <w:r w:rsidRPr="00D049C3">
        <w:rPr>
          <w:rFonts w:asciiTheme="majorHAnsi" w:hAnsiTheme="majorHAnsi"/>
          <w:sz w:val="20"/>
        </w:rPr>
        <w:tab/>
      </w:r>
      <w:r w:rsidRPr="00D049C3">
        <w:rPr>
          <w:rFonts w:asciiTheme="majorHAnsi" w:hAnsiTheme="majorHAnsi"/>
          <w:sz w:val="20"/>
        </w:rPr>
        <w:tab/>
        <w:t xml:space="preserve">Non  </w:t>
      </w:r>
      <w:r w:rsidRPr="00D049C3">
        <w:rPr>
          <w:rFonts w:ascii="Segoe UI Symbol" w:hAnsi="Segoe UI Symbol" w:cs="Segoe UI Symbol"/>
          <w:sz w:val="20"/>
        </w:rPr>
        <w:t>☐</w:t>
      </w:r>
      <w:r w:rsidRPr="00D049C3">
        <w:rPr>
          <w:rFonts w:asciiTheme="majorHAnsi" w:hAnsiTheme="majorHAnsi"/>
          <w:sz w:val="20"/>
        </w:rPr>
        <w:t> </w:t>
      </w:r>
    </w:p>
    <w:p w14:paraId="2BC1F185" w14:textId="77777777" w:rsidR="00AE733A" w:rsidRPr="00D049C3" w:rsidRDefault="00AE733A" w:rsidP="00AE733A">
      <w:pPr>
        <w:tabs>
          <w:tab w:val="num" w:pos="284"/>
        </w:tabs>
        <w:spacing w:after="0" w:line="240" w:lineRule="auto"/>
        <w:jc w:val="both"/>
        <w:rPr>
          <w:rFonts w:asciiTheme="majorHAnsi" w:eastAsia="Cambria" w:hAnsiTheme="majorHAnsi" w:cs="Cambria"/>
          <w:sz w:val="20"/>
          <w:szCs w:val="20"/>
        </w:rPr>
      </w:pPr>
    </w:p>
    <w:p w14:paraId="5A99BA24" w14:textId="58861AE0" w:rsidR="00FD68CA" w:rsidRPr="00D049C3" w:rsidRDefault="00FD68CA" w:rsidP="00AE733A">
      <w:pPr>
        <w:tabs>
          <w:tab w:val="num" w:pos="284"/>
        </w:tabs>
        <w:spacing w:after="0" w:line="240" w:lineRule="auto"/>
        <w:jc w:val="both"/>
        <w:rPr>
          <w:rFonts w:asciiTheme="majorHAnsi" w:eastAsia="Cambria" w:hAnsiTheme="majorHAnsi" w:cs="Cambria"/>
          <w:sz w:val="20"/>
          <w:szCs w:val="20"/>
        </w:rPr>
      </w:pPr>
      <w:r w:rsidRPr="00D049C3">
        <w:rPr>
          <w:rFonts w:asciiTheme="majorHAnsi" w:hAnsiTheme="majorHAnsi"/>
          <w:sz w:val="20"/>
        </w:rPr>
        <w:t>Brève description des nouveaux travaux scientifiques requis (évaluation des stocks, analyse, consultant externe) : </w:t>
      </w:r>
    </w:p>
    <w:p w14:paraId="5686D4E3" w14:textId="77777777" w:rsidR="00FD68CA" w:rsidRPr="00D049C3" w:rsidRDefault="00FD68CA" w:rsidP="00AE733A">
      <w:pPr>
        <w:tabs>
          <w:tab w:val="num" w:pos="284"/>
        </w:tabs>
        <w:spacing w:after="0" w:line="240" w:lineRule="auto"/>
        <w:jc w:val="both"/>
        <w:rPr>
          <w:rFonts w:asciiTheme="majorHAnsi" w:eastAsia="Cambria" w:hAnsiTheme="majorHAnsi" w:cs="Cambria"/>
          <w:b/>
          <w:bCs/>
          <w:sz w:val="20"/>
          <w:szCs w:val="20"/>
        </w:rPr>
      </w:pPr>
      <w:r w:rsidRPr="00D049C3">
        <w:rPr>
          <w:rFonts w:asciiTheme="majorHAnsi" w:hAnsiTheme="majorHAnsi"/>
          <w:b/>
          <w:sz w:val="20"/>
        </w:rPr>
        <w:t> </w:t>
      </w:r>
    </w:p>
    <w:p w14:paraId="0DA1F231" w14:textId="77777777" w:rsidR="00FD68CA" w:rsidRPr="00D049C3" w:rsidRDefault="00FD68CA" w:rsidP="00AE733A">
      <w:pPr>
        <w:numPr>
          <w:ilvl w:val="0"/>
          <w:numId w:val="15"/>
        </w:numPr>
        <w:tabs>
          <w:tab w:val="clear" w:pos="360"/>
          <w:tab w:val="num" w:pos="284"/>
          <w:tab w:val="num" w:pos="720"/>
        </w:tabs>
        <w:spacing w:after="0" w:line="240" w:lineRule="auto"/>
        <w:ind w:left="0" w:firstLine="0"/>
        <w:jc w:val="both"/>
        <w:rPr>
          <w:rFonts w:asciiTheme="majorHAnsi" w:eastAsia="Cambria" w:hAnsiTheme="majorHAnsi" w:cs="Cambria"/>
          <w:sz w:val="20"/>
          <w:szCs w:val="20"/>
        </w:rPr>
      </w:pPr>
      <w:r w:rsidRPr="00D049C3">
        <w:rPr>
          <w:rFonts w:asciiTheme="majorHAnsi" w:hAnsiTheme="majorHAnsi"/>
          <w:sz w:val="20"/>
        </w:rPr>
        <w:t xml:space="preserve">Cela implique-t-il la création d'un </w:t>
      </w:r>
      <w:r w:rsidRPr="00D049C3">
        <w:rPr>
          <w:rFonts w:asciiTheme="majorHAnsi" w:hAnsiTheme="majorHAnsi"/>
          <w:b/>
          <w:sz w:val="20"/>
        </w:rPr>
        <w:t xml:space="preserve">nouveau groupe de travail ou d'un processus intersessions </w:t>
      </w:r>
      <w:r w:rsidRPr="00D049C3">
        <w:rPr>
          <w:rFonts w:asciiTheme="majorHAnsi" w:hAnsiTheme="majorHAnsi"/>
          <w:sz w:val="20"/>
        </w:rPr>
        <w:t xml:space="preserve">? Oui </w:t>
      </w:r>
      <w:r w:rsidRPr="00D049C3">
        <w:rPr>
          <w:rFonts w:ascii="Segoe UI Symbol" w:hAnsi="Segoe UI Symbol" w:cs="Segoe UI Symbol"/>
          <w:sz w:val="20"/>
        </w:rPr>
        <w:t>☐</w:t>
      </w:r>
      <w:r w:rsidRPr="00D049C3">
        <w:rPr>
          <w:rFonts w:asciiTheme="majorHAnsi" w:hAnsiTheme="majorHAnsi"/>
          <w:sz w:val="20"/>
        </w:rPr>
        <w:t xml:space="preserve">  </w:t>
      </w:r>
      <w:r w:rsidRPr="00D049C3">
        <w:rPr>
          <w:rFonts w:asciiTheme="majorHAnsi" w:hAnsiTheme="majorHAnsi"/>
          <w:color w:val="EE0000"/>
          <w:sz w:val="20"/>
        </w:rPr>
        <w:t xml:space="preserve">Non </w:t>
      </w:r>
      <w:r w:rsidRPr="00D049C3">
        <w:rPr>
          <w:rFonts w:ascii="Segoe UI Symbol" w:hAnsi="Segoe UI Symbol" w:cs="Segoe UI Symbol"/>
          <w:color w:val="EE0000"/>
          <w:sz w:val="20"/>
        </w:rPr>
        <w:t>☒</w:t>
      </w:r>
      <w:r w:rsidRPr="00D049C3">
        <w:rPr>
          <w:rFonts w:asciiTheme="majorHAnsi" w:hAnsiTheme="majorHAnsi"/>
          <w:color w:val="0070C0"/>
          <w:sz w:val="20"/>
        </w:rPr>
        <w:t> </w:t>
      </w:r>
    </w:p>
    <w:p w14:paraId="18D50098" w14:textId="77777777" w:rsidR="00FD68CA" w:rsidRPr="00D049C3" w:rsidRDefault="00FD68CA" w:rsidP="00AE733A">
      <w:pPr>
        <w:tabs>
          <w:tab w:val="num" w:pos="284"/>
        </w:tabs>
        <w:spacing w:after="0" w:line="240" w:lineRule="auto"/>
        <w:jc w:val="both"/>
        <w:rPr>
          <w:rFonts w:asciiTheme="majorHAnsi" w:eastAsia="Cambria" w:hAnsiTheme="majorHAnsi" w:cs="Cambria"/>
          <w:b/>
          <w:bCs/>
          <w:sz w:val="20"/>
          <w:szCs w:val="20"/>
        </w:rPr>
      </w:pPr>
      <w:r w:rsidRPr="00D049C3">
        <w:rPr>
          <w:rFonts w:asciiTheme="majorHAnsi" w:hAnsiTheme="majorHAnsi"/>
          <w:b/>
          <w:sz w:val="20"/>
        </w:rPr>
        <w:t> </w:t>
      </w:r>
    </w:p>
    <w:p w14:paraId="04003D82" w14:textId="62F21433" w:rsidR="00633DD8" w:rsidRPr="00D049C3" w:rsidRDefault="00FD68CA" w:rsidP="00AE733A">
      <w:pPr>
        <w:numPr>
          <w:ilvl w:val="0"/>
          <w:numId w:val="16"/>
        </w:numPr>
        <w:tabs>
          <w:tab w:val="clear" w:pos="360"/>
          <w:tab w:val="num" w:pos="284"/>
          <w:tab w:val="num" w:pos="720"/>
        </w:tabs>
        <w:spacing w:after="0" w:line="240" w:lineRule="auto"/>
        <w:ind w:left="0" w:firstLine="0"/>
        <w:jc w:val="both"/>
        <w:rPr>
          <w:rFonts w:asciiTheme="majorHAnsi" w:eastAsia="Cambria" w:hAnsiTheme="majorHAnsi" w:cs="Cambria"/>
          <w:color w:val="0070C0"/>
          <w:sz w:val="20"/>
          <w:szCs w:val="20"/>
        </w:rPr>
      </w:pPr>
      <w:r w:rsidRPr="00D049C3">
        <w:rPr>
          <w:rFonts w:asciiTheme="majorHAnsi" w:hAnsiTheme="majorHAnsi"/>
          <w:sz w:val="20"/>
        </w:rPr>
        <w:t xml:space="preserve">Cela nécessite-t-il un nouveau </w:t>
      </w:r>
      <w:r w:rsidRPr="00D049C3">
        <w:rPr>
          <w:rFonts w:asciiTheme="majorHAnsi" w:hAnsiTheme="majorHAnsi"/>
          <w:b/>
          <w:sz w:val="20"/>
        </w:rPr>
        <w:t xml:space="preserve">programme ou des activités supplémentaires à gérer par le Secrétariat </w:t>
      </w:r>
      <w:r w:rsidRPr="00D049C3">
        <w:rPr>
          <w:rFonts w:asciiTheme="majorHAnsi" w:hAnsiTheme="majorHAnsi"/>
          <w:sz w:val="20"/>
        </w:rPr>
        <w:t xml:space="preserve">?   Oui </w:t>
      </w:r>
      <w:r w:rsidRPr="00D049C3">
        <w:rPr>
          <w:rFonts w:ascii="Segoe UI Symbol" w:hAnsi="Segoe UI Symbol" w:cs="Segoe UI Symbol"/>
          <w:sz w:val="20"/>
        </w:rPr>
        <w:t>☐</w:t>
      </w:r>
      <w:r w:rsidRPr="00D049C3">
        <w:rPr>
          <w:rFonts w:asciiTheme="majorHAnsi" w:hAnsiTheme="majorHAnsi"/>
          <w:sz w:val="20"/>
        </w:rPr>
        <w:t xml:space="preserve">  </w:t>
      </w:r>
      <w:r w:rsidRPr="00D049C3">
        <w:rPr>
          <w:rFonts w:asciiTheme="majorHAnsi" w:hAnsiTheme="majorHAnsi"/>
          <w:color w:val="EE0000"/>
          <w:sz w:val="20"/>
        </w:rPr>
        <w:t xml:space="preserve">Non </w:t>
      </w:r>
      <w:r w:rsidRPr="00D049C3">
        <w:rPr>
          <w:rFonts w:ascii="Segoe UI Symbol" w:hAnsi="Segoe UI Symbol" w:cs="Segoe UI Symbol"/>
          <w:color w:val="EE0000"/>
          <w:sz w:val="20"/>
        </w:rPr>
        <w:t>☒</w:t>
      </w:r>
      <w:r w:rsidRPr="00D049C3">
        <w:rPr>
          <w:rFonts w:asciiTheme="majorHAnsi" w:hAnsiTheme="majorHAnsi"/>
          <w:color w:val="0070C0"/>
          <w:sz w:val="20"/>
        </w:rPr>
        <w:t> </w:t>
      </w:r>
    </w:p>
    <w:p w14:paraId="3C571847" w14:textId="77777777" w:rsidR="002707E7" w:rsidRPr="00D049C3" w:rsidRDefault="002707E7" w:rsidP="00AE733A">
      <w:pPr>
        <w:tabs>
          <w:tab w:val="num" w:pos="284"/>
        </w:tabs>
        <w:spacing w:after="0" w:line="240" w:lineRule="auto"/>
        <w:jc w:val="both"/>
        <w:rPr>
          <w:rFonts w:asciiTheme="majorHAnsi" w:eastAsia="Cambria" w:hAnsiTheme="majorHAnsi" w:cs="Cambria"/>
          <w:color w:val="0070C0"/>
          <w:sz w:val="20"/>
          <w:szCs w:val="20"/>
          <w:lang w:val="en-IE"/>
        </w:rPr>
      </w:pPr>
    </w:p>
    <w:p w14:paraId="294F6D8B" w14:textId="77777777" w:rsidR="00FD68CA" w:rsidRPr="00D049C3" w:rsidRDefault="00FD68CA" w:rsidP="00AE733A">
      <w:pPr>
        <w:numPr>
          <w:ilvl w:val="0"/>
          <w:numId w:val="17"/>
        </w:numPr>
        <w:tabs>
          <w:tab w:val="num" w:pos="284"/>
        </w:tabs>
        <w:spacing w:after="0" w:line="240" w:lineRule="auto"/>
        <w:ind w:left="0" w:firstLine="0"/>
        <w:jc w:val="both"/>
        <w:rPr>
          <w:rFonts w:asciiTheme="majorHAnsi" w:eastAsia="Cambria" w:hAnsiTheme="majorHAnsi" w:cs="Cambria"/>
          <w:sz w:val="20"/>
          <w:szCs w:val="20"/>
        </w:rPr>
      </w:pPr>
      <w:r w:rsidRPr="00D049C3">
        <w:rPr>
          <w:rFonts w:asciiTheme="majorHAnsi" w:hAnsiTheme="majorHAnsi"/>
          <w:sz w:val="20"/>
        </w:rPr>
        <w:t>Quel est le calendrier proposé pour la mise en œuvre, et existe-t-il des calendriers spécifiques différents pour certaines CPC, pêcheries, régions, etc. ? </w:t>
      </w:r>
    </w:p>
    <w:p w14:paraId="672A4490" w14:textId="77777777" w:rsidR="00FD68CA" w:rsidRPr="00D049C3" w:rsidRDefault="00FD68CA" w:rsidP="00AE733A">
      <w:pPr>
        <w:tabs>
          <w:tab w:val="num" w:pos="284"/>
        </w:tabs>
        <w:spacing w:after="0" w:line="240" w:lineRule="auto"/>
        <w:jc w:val="both"/>
        <w:rPr>
          <w:rFonts w:asciiTheme="majorHAnsi" w:eastAsia="Cambria" w:hAnsiTheme="majorHAnsi" w:cs="Cambria"/>
          <w:b/>
          <w:bCs/>
          <w:sz w:val="20"/>
          <w:szCs w:val="20"/>
        </w:rPr>
      </w:pPr>
      <w:r w:rsidRPr="00D049C3">
        <w:rPr>
          <w:rFonts w:asciiTheme="majorHAnsi" w:hAnsiTheme="majorHAnsi"/>
          <w:b/>
          <w:sz w:val="20"/>
        </w:rPr>
        <w:t> </w:t>
      </w:r>
    </w:p>
    <w:p w14:paraId="5B9524B3" w14:textId="77777777" w:rsidR="00FD68CA" w:rsidRPr="00D049C3" w:rsidRDefault="00FD68CA" w:rsidP="00AE733A">
      <w:pPr>
        <w:numPr>
          <w:ilvl w:val="0"/>
          <w:numId w:val="18"/>
        </w:numPr>
        <w:tabs>
          <w:tab w:val="num" w:pos="284"/>
        </w:tabs>
        <w:spacing w:after="0" w:line="240" w:lineRule="auto"/>
        <w:ind w:left="0" w:firstLine="0"/>
        <w:jc w:val="both"/>
        <w:rPr>
          <w:rFonts w:asciiTheme="majorHAnsi" w:eastAsia="Cambria" w:hAnsiTheme="majorHAnsi" w:cs="Cambria"/>
          <w:sz w:val="20"/>
          <w:szCs w:val="20"/>
        </w:rPr>
      </w:pPr>
      <w:r w:rsidRPr="00D049C3">
        <w:rPr>
          <w:rFonts w:asciiTheme="majorHAnsi" w:hAnsiTheme="majorHAnsi"/>
          <w:sz w:val="20"/>
        </w:rPr>
        <w:t>Existe-t-il d'autres informations pertinentes concernant les implications de la proposition en termes de ressources et de charge de travail ? </w:t>
      </w:r>
    </w:p>
    <w:p w14:paraId="6B60D99B" w14:textId="77777777" w:rsidR="00FD68CA" w:rsidRPr="00D049C3" w:rsidRDefault="00FD68CA" w:rsidP="00AE733A">
      <w:pPr>
        <w:spacing w:after="0" w:line="240" w:lineRule="auto"/>
        <w:jc w:val="both"/>
        <w:rPr>
          <w:rFonts w:asciiTheme="majorHAnsi" w:eastAsia="Cambria" w:hAnsiTheme="majorHAnsi" w:cs="Cambria"/>
          <w:b/>
          <w:bCs/>
          <w:sz w:val="20"/>
          <w:szCs w:val="20"/>
        </w:rPr>
      </w:pPr>
      <w:r w:rsidRPr="00D049C3">
        <w:rPr>
          <w:rFonts w:asciiTheme="majorHAnsi" w:hAnsiTheme="majorHAnsi"/>
        </w:rPr>
        <w:br w:type="page"/>
      </w:r>
    </w:p>
    <w:p w14:paraId="2A8E4C7C" w14:textId="0A7B7432" w:rsidR="00A51188" w:rsidRPr="00D049C3" w:rsidRDefault="06F7A77E" w:rsidP="00A51188">
      <w:pPr>
        <w:spacing w:after="0" w:line="240" w:lineRule="auto"/>
        <w:jc w:val="center"/>
        <w:rPr>
          <w:rFonts w:asciiTheme="majorHAnsi" w:eastAsia="Cambria" w:hAnsiTheme="majorHAnsi" w:cs="Cambria"/>
          <w:b/>
          <w:bCs/>
          <w:sz w:val="20"/>
          <w:szCs w:val="20"/>
        </w:rPr>
      </w:pPr>
      <w:r w:rsidRPr="00D049C3">
        <w:rPr>
          <w:rFonts w:asciiTheme="majorHAnsi" w:hAnsiTheme="majorHAnsi"/>
          <w:b/>
          <w:sz w:val="20"/>
        </w:rPr>
        <w:lastRenderedPageBreak/>
        <w:t xml:space="preserve">Note explicative relative au Projet de Recommandation de l’ICCAT sur les systèmes de surveillance électronique (EMS)  </w:t>
      </w:r>
      <w:r w:rsidR="00A51188" w:rsidRPr="00D049C3">
        <w:rPr>
          <w:rFonts w:asciiTheme="majorHAnsi" w:hAnsiTheme="majorHAnsi"/>
          <w:b/>
          <w:sz w:val="20"/>
        </w:rPr>
        <w:t>pour améliorer le contrôle des navires de transformation de thon rouge</w:t>
      </w:r>
    </w:p>
    <w:p w14:paraId="5D337C29" w14:textId="77777777" w:rsidR="00D049C3" w:rsidRDefault="00D049C3" w:rsidP="00A51188">
      <w:pPr>
        <w:widowControl w:val="0"/>
        <w:spacing w:after="80" w:line="240" w:lineRule="auto"/>
        <w:ind w:hanging="10"/>
        <w:jc w:val="center"/>
        <w:rPr>
          <w:rFonts w:asciiTheme="majorHAnsi" w:hAnsiTheme="majorHAnsi"/>
          <w:i/>
          <w:sz w:val="20"/>
        </w:rPr>
      </w:pPr>
    </w:p>
    <w:p w14:paraId="421A14B3" w14:textId="3D255B7C" w:rsidR="00EE1557" w:rsidRPr="00D049C3" w:rsidRDefault="00EE1557" w:rsidP="00A51188">
      <w:pPr>
        <w:widowControl w:val="0"/>
        <w:spacing w:after="80" w:line="240" w:lineRule="auto"/>
        <w:ind w:hanging="10"/>
        <w:jc w:val="center"/>
        <w:rPr>
          <w:rFonts w:asciiTheme="majorHAnsi" w:eastAsia="Cambria" w:hAnsiTheme="majorHAnsi" w:cs="Cambria"/>
          <w:i/>
          <w:iCs/>
          <w:kern w:val="0"/>
          <w:sz w:val="20"/>
          <w:szCs w:val="20"/>
          <w14:ligatures w14:val="none"/>
        </w:rPr>
      </w:pPr>
      <w:r w:rsidRPr="00D049C3">
        <w:rPr>
          <w:rFonts w:asciiTheme="majorHAnsi" w:hAnsiTheme="majorHAnsi"/>
          <w:i/>
          <w:sz w:val="20"/>
        </w:rPr>
        <w:t>(Document présenté par l’Union européenne)</w:t>
      </w:r>
    </w:p>
    <w:p w14:paraId="4E21C92D" w14:textId="77777777" w:rsidR="00C35971" w:rsidRPr="00D049C3" w:rsidRDefault="00C35971" w:rsidP="002707E7">
      <w:pPr>
        <w:widowControl w:val="0"/>
        <w:spacing w:after="80" w:line="240" w:lineRule="auto"/>
        <w:ind w:hanging="10"/>
        <w:jc w:val="both"/>
        <w:rPr>
          <w:rFonts w:asciiTheme="majorHAnsi" w:eastAsia="Cambria" w:hAnsiTheme="majorHAnsi" w:cs="Cambria"/>
          <w:sz w:val="20"/>
          <w:szCs w:val="20"/>
        </w:rPr>
      </w:pPr>
    </w:p>
    <w:p w14:paraId="76167327" w14:textId="6E662D6E" w:rsidR="369CA84E" w:rsidRPr="00D049C3" w:rsidRDefault="369CA84E" w:rsidP="00A51188">
      <w:pPr>
        <w:spacing w:after="0" w:line="240" w:lineRule="auto"/>
        <w:jc w:val="both"/>
        <w:rPr>
          <w:rFonts w:asciiTheme="majorHAnsi" w:eastAsia="Cambria" w:hAnsiTheme="majorHAnsi" w:cs="Cambria"/>
          <w:sz w:val="20"/>
          <w:szCs w:val="20"/>
        </w:rPr>
      </w:pPr>
      <w:r w:rsidRPr="00D049C3">
        <w:rPr>
          <w:rFonts w:asciiTheme="majorHAnsi" w:hAnsiTheme="majorHAnsi"/>
          <w:sz w:val="20"/>
        </w:rPr>
        <w:t xml:space="preserve">Il s’agit d’une proposition visant à introduire des systèmes de surveillance électronique (EMS) pour améliorer le contrôle des navires de transformation de thon rouge La présente proposition porte sur une modification de la </w:t>
      </w:r>
      <w:hyperlink r:id="rId11">
        <w:r w:rsidRPr="00D049C3">
          <w:rPr>
            <w:rStyle w:val="Hyperlink"/>
            <w:rFonts w:asciiTheme="majorHAnsi" w:hAnsiTheme="majorHAnsi"/>
            <w:i/>
            <w:iCs/>
            <w:sz w:val="20"/>
            <w:u w:val="none"/>
          </w:rPr>
          <w:t>Recommandation de l’ICCAT remplaçant la Recommandation 24-05 établissant un plan pluriannuel de gestion du thon rouge dans l’Atlantique Est et la Méditerranée</w:t>
        </w:r>
        <w:r w:rsidRPr="00D049C3">
          <w:rPr>
            <w:rStyle w:val="Hyperlink"/>
            <w:rFonts w:asciiTheme="majorHAnsi" w:hAnsiTheme="majorHAnsi"/>
            <w:sz w:val="20"/>
            <w:u w:val="none"/>
          </w:rPr>
          <w:t xml:space="preserve"> (Rec. 25-04)</w:t>
        </w:r>
      </w:hyperlink>
      <w:r w:rsidRPr="00D049C3">
        <w:rPr>
          <w:rFonts w:asciiTheme="majorHAnsi" w:hAnsiTheme="majorHAnsi"/>
          <w:sz w:val="20"/>
        </w:rPr>
        <w:t xml:space="preserve"> afin d'introduire le système parmi les outils de contrôle établis pour la pêcherie de thon rouge et de modifier la </w:t>
      </w:r>
      <w:hyperlink r:id="rId12">
        <w:r w:rsidRPr="00D049C3">
          <w:rPr>
            <w:rStyle w:val="Hyperlink"/>
            <w:rFonts w:asciiTheme="majorHAnsi" w:hAnsiTheme="majorHAnsi"/>
            <w:i/>
            <w:iCs/>
            <w:sz w:val="20"/>
            <w:u w:val="none"/>
          </w:rPr>
          <w:t>Recommandation de l’ICCAT visant à établir des normes minimales et des exigences du programme aux fins de l'utilisation des systèmes de surveillance électronique (EMS) dans les pêcheries de l’ICCAT</w:t>
        </w:r>
        <w:r w:rsidRPr="00D049C3">
          <w:rPr>
            <w:rStyle w:val="Hyperlink"/>
            <w:rFonts w:asciiTheme="majorHAnsi" w:hAnsiTheme="majorHAnsi"/>
            <w:sz w:val="20"/>
            <w:u w:val="none"/>
          </w:rPr>
          <w:t xml:space="preserve"> (Rec. 23-18)</w:t>
        </w:r>
      </w:hyperlink>
      <w:r w:rsidRPr="00D049C3">
        <w:rPr>
          <w:rFonts w:asciiTheme="majorHAnsi" w:hAnsiTheme="majorHAnsi"/>
          <w:sz w:val="20"/>
        </w:rPr>
        <w:t xml:space="preserve"> (telle qu'énoncée dans l’EMS_08_</w:t>
      </w:r>
      <w:r w:rsidR="00665AFC">
        <w:rPr>
          <w:rFonts w:asciiTheme="majorHAnsi" w:hAnsiTheme="majorHAnsi"/>
          <w:sz w:val="20"/>
        </w:rPr>
        <w:t>FRA</w:t>
      </w:r>
      <w:r w:rsidRPr="00D049C3">
        <w:rPr>
          <w:rFonts w:asciiTheme="majorHAnsi" w:hAnsiTheme="majorHAnsi"/>
          <w:sz w:val="20"/>
        </w:rPr>
        <w:t>_REV_1) afin d'y inclure une annexe contenant les normes minimales applicables au système EMS pour les navires de transformation, étant donné que les normes minimales actuelles de la Recommandation ne couvrent que les senneurs et les palangriers.</w:t>
      </w:r>
    </w:p>
    <w:p w14:paraId="2EA91C03" w14:textId="77777777" w:rsidR="00A51188" w:rsidRPr="00D049C3" w:rsidRDefault="00A51188" w:rsidP="00A51188">
      <w:pPr>
        <w:spacing w:after="0" w:line="240" w:lineRule="auto"/>
        <w:jc w:val="both"/>
        <w:rPr>
          <w:rFonts w:asciiTheme="majorHAnsi" w:eastAsia="Cambria" w:hAnsiTheme="majorHAnsi" w:cs="Cambria"/>
          <w:sz w:val="20"/>
          <w:szCs w:val="20"/>
        </w:rPr>
      </w:pPr>
    </w:p>
    <w:p w14:paraId="4567AEA5" w14:textId="50322458" w:rsidR="004E5B59" w:rsidRPr="00D049C3" w:rsidRDefault="004E5B59" w:rsidP="00A51188">
      <w:pPr>
        <w:spacing w:after="0" w:line="240" w:lineRule="auto"/>
        <w:jc w:val="both"/>
        <w:rPr>
          <w:rFonts w:asciiTheme="majorHAnsi" w:eastAsia="Cambria" w:hAnsiTheme="majorHAnsi" w:cs="Cambria"/>
          <w:sz w:val="20"/>
          <w:szCs w:val="20"/>
        </w:rPr>
      </w:pPr>
      <w:r w:rsidRPr="00D049C3">
        <w:rPr>
          <w:rFonts w:asciiTheme="majorHAnsi" w:hAnsiTheme="majorHAnsi"/>
          <w:sz w:val="20"/>
        </w:rPr>
        <w:t>Il s'agit de la même proposition que celle présentée lors de la dernière réunion du Groupe de travail sur les systèmes de surveillance électronique (EMS WG), avec des modifications visant à répondre aux préoccupations exprimées par plusieurs CPC au cours de cette réunion, notamment en ce qui concerne l'examen des données et la répartition des responsabilités entre les autorités de contrôle impliquées dans les opérations des navires de transformation du thon rouge.</w:t>
      </w:r>
    </w:p>
    <w:p w14:paraId="455422B8" w14:textId="77777777" w:rsidR="004E5B59" w:rsidRPr="00D049C3" w:rsidRDefault="004E5B59" w:rsidP="002707E7">
      <w:pPr>
        <w:spacing w:after="80" w:line="240" w:lineRule="auto"/>
        <w:jc w:val="both"/>
        <w:rPr>
          <w:rFonts w:asciiTheme="majorHAnsi" w:eastAsia="Cambria" w:hAnsiTheme="majorHAnsi" w:cs="Cambria"/>
          <w:sz w:val="20"/>
          <w:szCs w:val="20"/>
        </w:rPr>
      </w:pPr>
    </w:p>
    <w:p w14:paraId="7C7C2051" w14:textId="47C9E958" w:rsidR="724FE288" w:rsidRPr="00D049C3" w:rsidRDefault="724FE288" w:rsidP="002707E7">
      <w:pPr>
        <w:spacing w:after="80" w:line="240" w:lineRule="auto"/>
        <w:jc w:val="both"/>
        <w:rPr>
          <w:rFonts w:asciiTheme="majorHAnsi" w:hAnsiTheme="majorHAnsi"/>
          <w:sz w:val="20"/>
          <w:szCs w:val="20"/>
        </w:rPr>
      </w:pPr>
      <w:r w:rsidRPr="00D049C3">
        <w:rPr>
          <w:rFonts w:asciiTheme="majorHAnsi" w:hAnsiTheme="majorHAnsi"/>
        </w:rPr>
        <w:br w:type="page"/>
      </w:r>
    </w:p>
    <w:p w14:paraId="001B1AAC" w14:textId="2E9A46D2" w:rsidR="00A51188" w:rsidRPr="000F1F7F" w:rsidRDefault="00A51188" w:rsidP="00A51188">
      <w:pPr>
        <w:spacing w:after="0" w:line="240" w:lineRule="auto"/>
        <w:jc w:val="center"/>
        <w:rPr>
          <w:rFonts w:asciiTheme="majorHAnsi" w:eastAsia="Cambria" w:hAnsiTheme="majorHAnsi" w:cs="Cambria"/>
          <w:b/>
          <w:bCs/>
          <w:sz w:val="20"/>
          <w:szCs w:val="20"/>
        </w:rPr>
      </w:pPr>
      <w:r w:rsidRPr="000F1F7F">
        <w:rPr>
          <w:rFonts w:asciiTheme="majorHAnsi" w:hAnsiTheme="majorHAnsi"/>
          <w:b/>
          <w:sz w:val="20"/>
        </w:rPr>
        <w:lastRenderedPageBreak/>
        <w:t>Pro</w:t>
      </w:r>
      <w:r w:rsidR="00665AFC" w:rsidRPr="000F1F7F">
        <w:rPr>
          <w:rFonts w:asciiTheme="majorHAnsi" w:hAnsiTheme="majorHAnsi"/>
          <w:b/>
          <w:sz w:val="20"/>
        </w:rPr>
        <w:t>position visant à introduire d</w:t>
      </w:r>
      <w:r w:rsidRPr="000F1F7F">
        <w:rPr>
          <w:rFonts w:asciiTheme="majorHAnsi" w:hAnsiTheme="majorHAnsi"/>
          <w:b/>
          <w:sz w:val="20"/>
        </w:rPr>
        <w:t>es systèmes de surveillance électronique (EMS) pour améliorer le co</w:t>
      </w:r>
      <w:r w:rsidRPr="000F1F7F">
        <w:rPr>
          <w:rFonts w:asciiTheme="majorHAnsi" w:hAnsiTheme="majorHAnsi"/>
          <w:b/>
          <w:sz w:val="20"/>
          <w:szCs w:val="20"/>
        </w:rPr>
        <w:t>ntrôle des navires de transformation de thon rouge</w:t>
      </w:r>
    </w:p>
    <w:p w14:paraId="28022840" w14:textId="2B8783FD" w:rsidR="00F61464" w:rsidRPr="000F1F7F" w:rsidRDefault="00F61464" w:rsidP="00A51188">
      <w:pPr>
        <w:spacing w:after="80" w:line="240" w:lineRule="auto"/>
        <w:jc w:val="center"/>
        <w:rPr>
          <w:rFonts w:asciiTheme="majorHAnsi" w:hAnsiTheme="majorHAnsi" w:cs="Times New Roman"/>
          <w:sz w:val="20"/>
          <w:szCs w:val="20"/>
        </w:rPr>
      </w:pPr>
      <w:r w:rsidRPr="000F1F7F">
        <w:rPr>
          <w:rFonts w:asciiTheme="majorHAnsi" w:hAnsiTheme="majorHAnsi"/>
          <w:sz w:val="20"/>
          <w:szCs w:val="20"/>
        </w:rPr>
        <w:t>(</w:t>
      </w:r>
      <w:r w:rsidRPr="000F1F7F">
        <w:rPr>
          <w:rFonts w:asciiTheme="majorHAnsi" w:hAnsiTheme="majorHAnsi"/>
          <w:i/>
          <w:iCs/>
          <w:sz w:val="20"/>
          <w:szCs w:val="20"/>
        </w:rPr>
        <w:t>Document présenté par l’Union européenne)</w:t>
      </w:r>
    </w:p>
    <w:p w14:paraId="47756C78" w14:textId="77777777" w:rsidR="00C57519" w:rsidRPr="000F1F7F" w:rsidRDefault="00C57519" w:rsidP="002707E7">
      <w:pPr>
        <w:spacing w:after="80" w:line="240" w:lineRule="auto"/>
        <w:jc w:val="both"/>
        <w:rPr>
          <w:rFonts w:asciiTheme="majorHAnsi" w:hAnsiTheme="majorHAnsi" w:cs="Times New Roman"/>
          <w:b/>
          <w:bCs/>
          <w:sz w:val="20"/>
          <w:szCs w:val="20"/>
        </w:rPr>
      </w:pPr>
    </w:p>
    <w:p w14:paraId="75CEF471" w14:textId="0A57055D" w:rsidR="00F61464" w:rsidRPr="000F1F7F" w:rsidRDefault="00F61464" w:rsidP="00A51188">
      <w:pPr>
        <w:spacing w:after="0" w:line="240" w:lineRule="auto"/>
        <w:jc w:val="both"/>
        <w:rPr>
          <w:rFonts w:asciiTheme="majorHAnsi" w:hAnsiTheme="majorHAnsi" w:cs="Times New Roman"/>
          <w:b/>
          <w:bCs/>
          <w:sz w:val="20"/>
          <w:szCs w:val="20"/>
        </w:rPr>
      </w:pPr>
      <w:r w:rsidRPr="000F1F7F">
        <w:rPr>
          <w:rFonts w:asciiTheme="majorHAnsi" w:hAnsiTheme="majorHAnsi"/>
          <w:b/>
          <w:bCs/>
          <w:sz w:val="20"/>
          <w:szCs w:val="20"/>
        </w:rPr>
        <w:t>Introduction</w:t>
      </w:r>
    </w:p>
    <w:p w14:paraId="3AE3E26B" w14:textId="77777777" w:rsidR="00A51188" w:rsidRPr="000F1F7F" w:rsidRDefault="00A51188" w:rsidP="00A51188">
      <w:pPr>
        <w:spacing w:after="0" w:line="240" w:lineRule="auto"/>
        <w:jc w:val="both"/>
        <w:rPr>
          <w:rFonts w:asciiTheme="majorHAnsi" w:hAnsiTheme="majorHAnsi" w:cs="Times New Roman"/>
          <w:sz w:val="20"/>
          <w:szCs w:val="20"/>
        </w:rPr>
      </w:pPr>
    </w:p>
    <w:p w14:paraId="5776A4BA" w14:textId="2507431D" w:rsidR="00F65AF0" w:rsidRPr="00D049C3" w:rsidRDefault="00F61464" w:rsidP="00A51188">
      <w:pPr>
        <w:spacing w:after="0" w:line="240" w:lineRule="auto"/>
        <w:jc w:val="both"/>
        <w:rPr>
          <w:rFonts w:asciiTheme="majorHAnsi" w:hAnsiTheme="majorHAnsi" w:cs="Times New Roman"/>
          <w:sz w:val="20"/>
          <w:szCs w:val="20"/>
        </w:rPr>
      </w:pPr>
      <w:r w:rsidRPr="000F1F7F">
        <w:rPr>
          <w:rFonts w:asciiTheme="majorHAnsi" w:hAnsiTheme="majorHAnsi"/>
          <w:sz w:val="20"/>
          <w:szCs w:val="20"/>
        </w:rPr>
        <w:t>Lors de</w:t>
      </w:r>
      <w:r w:rsidR="00665AFC" w:rsidRPr="000F1F7F">
        <w:rPr>
          <w:rFonts w:asciiTheme="majorHAnsi" w:hAnsiTheme="majorHAnsi"/>
          <w:sz w:val="20"/>
          <w:szCs w:val="20"/>
        </w:rPr>
        <w:t>s</w:t>
      </w:r>
      <w:r w:rsidRPr="000F1F7F">
        <w:rPr>
          <w:rFonts w:asciiTheme="majorHAnsi" w:hAnsiTheme="majorHAnsi"/>
          <w:sz w:val="20"/>
          <w:szCs w:val="20"/>
        </w:rPr>
        <w:t xml:space="preserve"> réunion</w:t>
      </w:r>
      <w:r w:rsidR="00665AFC" w:rsidRPr="000F1F7F">
        <w:rPr>
          <w:rFonts w:asciiTheme="majorHAnsi" w:hAnsiTheme="majorHAnsi"/>
          <w:sz w:val="20"/>
          <w:szCs w:val="20"/>
        </w:rPr>
        <w:t>s</w:t>
      </w:r>
      <w:r w:rsidRPr="000F1F7F">
        <w:rPr>
          <w:rFonts w:asciiTheme="majorHAnsi" w:hAnsiTheme="majorHAnsi"/>
          <w:sz w:val="20"/>
          <w:szCs w:val="20"/>
        </w:rPr>
        <w:t xml:space="preserve"> annuelle</w:t>
      </w:r>
      <w:r w:rsidR="00665AFC" w:rsidRPr="000F1F7F">
        <w:rPr>
          <w:rFonts w:asciiTheme="majorHAnsi" w:hAnsiTheme="majorHAnsi"/>
          <w:sz w:val="20"/>
          <w:szCs w:val="20"/>
        </w:rPr>
        <w:t>s</w:t>
      </w:r>
      <w:r w:rsidRPr="000F1F7F">
        <w:rPr>
          <w:rFonts w:asciiTheme="majorHAnsi" w:hAnsiTheme="majorHAnsi"/>
          <w:sz w:val="20"/>
          <w:szCs w:val="20"/>
        </w:rPr>
        <w:t xml:space="preserve"> de l’ICCAT de 2024</w:t>
      </w:r>
      <w:r w:rsidRPr="00D049C3">
        <w:rPr>
          <w:rFonts w:asciiTheme="majorHAnsi" w:hAnsiTheme="majorHAnsi"/>
          <w:sz w:val="20"/>
          <w:szCs w:val="20"/>
        </w:rPr>
        <w:t xml:space="preserve"> et 2025, l'UE a présenté le « Projet de Recommandation de l’ICCAT amendant la Recommandation 22-08 établissant un plan pluriannuel de gestion du thon rouge dans l’Atlantique Est et la Méditerranée – Systèmes de surveillance électronique (EMS) » [PWG_418/2024] et une « Proposition visant à introduire des systèmes de surveillance électronique (EMS) pour améliorer le contrôle des navires de transformation de thon rouge » [PWG_422/2025].</w:t>
      </w:r>
    </w:p>
    <w:p w14:paraId="547A8080" w14:textId="77777777" w:rsidR="00A51188" w:rsidRPr="00D049C3" w:rsidRDefault="00A51188" w:rsidP="00A51188">
      <w:pPr>
        <w:spacing w:after="0" w:line="240" w:lineRule="auto"/>
        <w:jc w:val="both"/>
        <w:rPr>
          <w:rFonts w:asciiTheme="majorHAnsi" w:hAnsiTheme="majorHAnsi" w:cs="Times New Roman"/>
          <w:sz w:val="20"/>
          <w:szCs w:val="20"/>
        </w:rPr>
      </w:pPr>
    </w:p>
    <w:p w14:paraId="08C33F2D" w14:textId="5371EC13" w:rsidR="00F61464" w:rsidRPr="00D049C3" w:rsidRDefault="00F61464" w:rsidP="00A51188">
      <w:pPr>
        <w:spacing w:after="0" w:line="240" w:lineRule="auto"/>
        <w:jc w:val="both"/>
        <w:rPr>
          <w:rFonts w:asciiTheme="majorHAnsi" w:hAnsiTheme="majorHAnsi" w:cs="Times New Roman"/>
          <w:sz w:val="20"/>
          <w:szCs w:val="20"/>
        </w:rPr>
      </w:pPr>
      <w:r w:rsidRPr="00D049C3">
        <w:rPr>
          <w:rFonts w:asciiTheme="majorHAnsi" w:hAnsiTheme="majorHAnsi"/>
          <w:sz w:val="20"/>
          <w:szCs w:val="20"/>
        </w:rPr>
        <w:t>Au cours de la discussion, des doutes ont été émis quant aux détails de la mise en œuvre du système dans la pratique, notamment en ce qui concerne les exigences techniques minimales, la complémentarité avec les tâches actuelles des observateurs régionaux de l’ICCAT, les responsabilités en matière d'analyse des enregistrements vidéo, la validation de l'eBCD ou les coûts.</w:t>
      </w:r>
    </w:p>
    <w:p w14:paraId="7AA9CE23" w14:textId="77777777" w:rsidR="00A51188" w:rsidRPr="00D049C3" w:rsidRDefault="00A51188" w:rsidP="00A51188">
      <w:pPr>
        <w:spacing w:after="0" w:line="240" w:lineRule="auto"/>
        <w:jc w:val="both"/>
        <w:rPr>
          <w:rFonts w:asciiTheme="majorHAnsi" w:hAnsiTheme="majorHAnsi" w:cs="Times New Roman"/>
          <w:sz w:val="20"/>
          <w:szCs w:val="20"/>
        </w:rPr>
      </w:pPr>
    </w:p>
    <w:p w14:paraId="54E43CBA" w14:textId="0AEB4391" w:rsidR="00AA0449" w:rsidRPr="00D049C3" w:rsidRDefault="00AA0449" w:rsidP="00A51188">
      <w:pPr>
        <w:spacing w:after="0" w:line="240" w:lineRule="auto"/>
        <w:jc w:val="both"/>
        <w:rPr>
          <w:rFonts w:asciiTheme="majorHAnsi" w:hAnsiTheme="majorHAnsi" w:cs="Times New Roman"/>
          <w:sz w:val="20"/>
          <w:szCs w:val="20"/>
        </w:rPr>
      </w:pPr>
      <w:r w:rsidRPr="00D049C3">
        <w:rPr>
          <w:rFonts w:asciiTheme="majorHAnsi" w:hAnsiTheme="majorHAnsi"/>
          <w:sz w:val="20"/>
          <w:szCs w:val="20"/>
        </w:rPr>
        <w:t xml:space="preserve">Lors de la réunion de 2026 du Groupe de travail sur les systèmes de surveillance électronique (EMS WG), l'UE a présenté une proposition [EMS_07/i2026] visant à introduire l'utilisation de l’EMS à bord des navires de transformation, ainsi que les modifications nécessaires qui en découlent pour harmoniser </w:t>
      </w:r>
      <w:hyperlink r:id="rId13" w:history="1">
        <w:r w:rsidRPr="00DD5F06">
          <w:rPr>
            <w:rStyle w:val="Hyperlink"/>
            <w:rFonts w:asciiTheme="majorHAnsi" w:hAnsiTheme="majorHAnsi"/>
            <w:iCs/>
            <w:color w:val="auto"/>
            <w:sz w:val="20"/>
            <w:szCs w:val="20"/>
            <w:u w:val="none"/>
          </w:rPr>
          <w:t>la</w:t>
        </w:r>
        <w:r w:rsidRPr="00D049C3">
          <w:rPr>
            <w:rStyle w:val="Hyperlink"/>
            <w:rFonts w:asciiTheme="majorHAnsi" w:hAnsiTheme="majorHAnsi"/>
            <w:i/>
            <w:sz w:val="20"/>
            <w:szCs w:val="20"/>
            <w:u w:val="none"/>
          </w:rPr>
          <w:t xml:space="preserve"> Recommandation de l’ICCAT remplaçant la Recommandation 24-05 établissant un plan pluriannuel de gestion du thon rouge dans l’Atlantique Est et la Méditerranée</w:t>
        </w:r>
        <w:r w:rsidRPr="00D049C3">
          <w:rPr>
            <w:rStyle w:val="Hyperlink"/>
            <w:rFonts w:asciiTheme="majorHAnsi" w:hAnsiTheme="majorHAnsi"/>
            <w:sz w:val="20"/>
            <w:szCs w:val="20"/>
            <w:u w:val="none"/>
          </w:rPr>
          <w:t xml:space="preserve"> (Rec. 25-04)</w:t>
        </w:r>
      </w:hyperlink>
      <w:r w:rsidRPr="00D049C3">
        <w:rPr>
          <w:rFonts w:asciiTheme="majorHAnsi" w:hAnsiTheme="majorHAnsi"/>
          <w:sz w:val="20"/>
          <w:szCs w:val="20"/>
        </w:rPr>
        <w:t>, où de nouvelles préoccupations ont été soulevées par plusieurs CPC.</w:t>
      </w:r>
    </w:p>
    <w:p w14:paraId="04844C16" w14:textId="77777777" w:rsidR="00A51188" w:rsidRPr="00D049C3" w:rsidRDefault="00A51188" w:rsidP="00A51188">
      <w:pPr>
        <w:spacing w:after="0" w:line="240" w:lineRule="auto"/>
        <w:jc w:val="both"/>
        <w:rPr>
          <w:rFonts w:asciiTheme="majorHAnsi" w:hAnsiTheme="majorHAnsi" w:cs="Times New Roman"/>
          <w:sz w:val="20"/>
          <w:szCs w:val="20"/>
        </w:rPr>
      </w:pPr>
    </w:p>
    <w:p w14:paraId="13B5EECE" w14:textId="5F561584" w:rsidR="00F61464" w:rsidRPr="00D049C3" w:rsidRDefault="00F61464" w:rsidP="00A51188">
      <w:pPr>
        <w:spacing w:after="0" w:line="240" w:lineRule="auto"/>
        <w:jc w:val="both"/>
        <w:rPr>
          <w:rFonts w:asciiTheme="majorHAnsi" w:hAnsiTheme="majorHAnsi" w:cs="Times New Roman"/>
          <w:sz w:val="20"/>
          <w:szCs w:val="20"/>
        </w:rPr>
      </w:pPr>
      <w:r w:rsidRPr="00D049C3">
        <w:rPr>
          <w:rFonts w:asciiTheme="majorHAnsi" w:hAnsiTheme="majorHAnsi"/>
          <w:sz w:val="20"/>
          <w:szCs w:val="20"/>
        </w:rPr>
        <w:t xml:space="preserve">Le présent document vise à répondre à ces questions afin d'examiner les options et la voie à suivre, y compris un amendement éventuel à la </w:t>
      </w:r>
      <w:hyperlink r:id="rId14" w:history="1">
        <w:r w:rsidRPr="00D049C3">
          <w:rPr>
            <w:rStyle w:val="Hyperlink"/>
            <w:rFonts w:asciiTheme="majorHAnsi" w:hAnsiTheme="majorHAnsi"/>
            <w:i/>
            <w:iCs/>
            <w:sz w:val="20"/>
            <w:szCs w:val="20"/>
            <w:u w:val="none"/>
          </w:rPr>
          <w:t>Recommandation de l’ICCAT remplaçant la Recommandation 24-05 établissant un plan pluriannuel de gestion du thon rouge dans l’Atlantique Est et la Méditerranée (</w:t>
        </w:r>
        <w:r w:rsidRPr="00D049C3">
          <w:rPr>
            <w:rStyle w:val="Hyperlink"/>
            <w:rFonts w:asciiTheme="majorHAnsi" w:hAnsiTheme="majorHAnsi"/>
            <w:sz w:val="20"/>
            <w:szCs w:val="20"/>
            <w:u w:val="none"/>
          </w:rPr>
          <w:t>Rec. 25-04)</w:t>
        </w:r>
      </w:hyperlink>
      <w:r w:rsidRPr="00D049C3">
        <w:rPr>
          <w:rFonts w:asciiTheme="majorHAnsi" w:hAnsiTheme="majorHAnsi"/>
          <w:sz w:val="20"/>
          <w:szCs w:val="20"/>
        </w:rPr>
        <w:t>.</w:t>
      </w:r>
    </w:p>
    <w:p w14:paraId="523BBC62" w14:textId="77777777" w:rsidR="00C57519" w:rsidRPr="00D049C3" w:rsidRDefault="00C57519" w:rsidP="00A51188">
      <w:pPr>
        <w:spacing w:after="0" w:line="240" w:lineRule="auto"/>
        <w:jc w:val="both"/>
        <w:rPr>
          <w:rFonts w:asciiTheme="majorHAnsi" w:hAnsiTheme="majorHAnsi" w:cs="Times New Roman"/>
          <w:sz w:val="20"/>
          <w:szCs w:val="20"/>
        </w:rPr>
      </w:pPr>
    </w:p>
    <w:p w14:paraId="4596FECC" w14:textId="77777777" w:rsidR="00F61464" w:rsidRPr="00D049C3" w:rsidRDefault="00F61464" w:rsidP="00A51188">
      <w:pPr>
        <w:spacing w:after="0" w:line="240" w:lineRule="auto"/>
        <w:jc w:val="both"/>
        <w:rPr>
          <w:rFonts w:asciiTheme="majorHAnsi" w:hAnsiTheme="majorHAnsi" w:cs="Times New Roman"/>
          <w:b/>
          <w:bCs/>
          <w:sz w:val="20"/>
          <w:szCs w:val="20"/>
        </w:rPr>
      </w:pPr>
      <w:r w:rsidRPr="00D049C3">
        <w:rPr>
          <w:rFonts w:asciiTheme="majorHAnsi" w:hAnsiTheme="majorHAnsi"/>
          <w:b/>
          <w:sz w:val="20"/>
          <w:szCs w:val="20"/>
        </w:rPr>
        <w:t>Contexte</w:t>
      </w:r>
    </w:p>
    <w:p w14:paraId="3D8D27B4" w14:textId="77777777" w:rsidR="00A51188" w:rsidRPr="00D049C3" w:rsidRDefault="00A51188" w:rsidP="00A51188">
      <w:pPr>
        <w:spacing w:after="0" w:line="240" w:lineRule="auto"/>
        <w:jc w:val="both"/>
        <w:rPr>
          <w:rFonts w:asciiTheme="majorHAnsi" w:hAnsiTheme="majorHAnsi" w:cs="Times New Roman"/>
          <w:sz w:val="20"/>
          <w:szCs w:val="20"/>
        </w:rPr>
      </w:pPr>
    </w:p>
    <w:p w14:paraId="30988471" w14:textId="6267A761" w:rsidR="00F61464" w:rsidRPr="00D049C3" w:rsidRDefault="00F61464" w:rsidP="00A51188">
      <w:pPr>
        <w:spacing w:after="0" w:line="240" w:lineRule="auto"/>
        <w:jc w:val="both"/>
        <w:rPr>
          <w:rFonts w:asciiTheme="majorHAnsi" w:hAnsiTheme="majorHAnsi" w:cs="Times New Roman"/>
          <w:sz w:val="20"/>
          <w:szCs w:val="20"/>
        </w:rPr>
      </w:pPr>
      <w:r w:rsidRPr="00D049C3">
        <w:rPr>
          <w:rFonts w:asciiTheme="majorHAnsi" w:hAnsiTheme="majorHAnsi"/>
          <w:sz w:val="20"/>
          <w:szCs w:val="20"/>
        </w:rPr>
        <w:t>Les navires de transformation constituent une étape cruciale dans la chaîne de contrôle du thon rouge, car la majeure partie des prises de thon rouge y transite. Si la présence d'observateurs à bord des senneurs permet de contrôler intégralement les opérations de pêche en mer, ainsi que les navires de remorquage et les activités d'élevage, le contrôle des navires de transformation semble constituer une lacune dans l'ensemble de la filière du thon rouge. Cela est dû au fait que les observateurs et les inspecteurs ne sont déployés que pendant les opérations programmées et les contrôles aléatoires, alors que les navires de transformation restent à proximité des fermes/madragues pendant des semaines.</w:t>
      </w:r>
    </w:p>
    <w:p w14:paraId="03F6D530" w14:textId="77777777" w:rsidR="00A51188" w:rsidRPr="00D049C3" w:rsidRDefault="00A51188" w:rsidP="00A51188">
      <w:pPr>
        <w:spacing w:after="0" w:line="240" w:lineRule="auto"/>
        <w:jc w:val="both"/>
        <w:rPr>
          <w:rFonts w:asciiTheme="majorHAnsi" w:hAnsiTheme="majorHAnsi" w:cs="Times New Roman"/>
          <w:sz w:val="20"/>
          <w:szCs w:val="20"/>
        </w:rPr>
      </w:pPr>
    </w:p>
    <w:p w14:paraId="6D0CEC2E" w14:textId="6B38FAB5" w:rsidR="002375B7" w:rsidRPr="00D049C3" w:rsidRDefault="000450F1" w:rsidP="00A51188">
      <w:pPr>
        <w:spacing w:after="0" w:line="240" w:lineRule="auto"/>
        <w:jc w:val="both"/>
        <w:rPr>
          <w:rFonts w:asciiTheme="majorHAnsi" w:hAnsiTheme="majorHAnsi" w:cs="Times New Roman"/>
          <w:sz w:val="20"/>
          <w:szCs w:val="20"/>
        </w:rPr>
      </w:pPr>
      <w:r w:rsidRPr="00D049C3">
        <w:rPr>
          <w:rFonts w:asciiTheme="majorHAnsi" w:hAnsiTheme="majorHAnsi"/>
          <w:sz w:val="20"/>
          <w:szCs w:val="20"/>
        </w:rPr>
        <w:t xml:space="preserve">Les observateurs ne peuvent pas couvrir l'ensemble de l'opération, qui comprend la mise à mort du thon rouge et son transfert vers le navire de transformation, car ces deux activités se déroulent presque simultanément. Les dispositions de l'ICCAT ne précisent pas où les observateurs doivent être affectés (que ce soit lors de la mise à mort dans la ferme ou à bord des navires de transformation). Cela signifie que, pendant que l'observateur surveille la mise à mort dans la ferme, la quantité transférée vers le navire de transformation n'est pas contrôlée.  </w:t>
      </w:r>
    </w:p>
    <w:p w14:paraId="28897118" w14:textId="77777777" w:rsidR="00A51188" w:rsidRPr="00D049C3" w:rsidRDefault="00A51188" w:rsidP="00A51188">
      <w:pPr>
        <w:spacing w:after="0" w:line="240" w:lineRule="auto"/>
        <w:jc w:val="both"/>
        <w:rPr>
          <w:rFonts w:asciiTheme="majorHAnsi" w:hAnsiTheme="majorHAnsi" w:cs="Times New Roman"/>
          <w:sz w:val="20"/>
          <w:szCs w:val="20"/>
        </w:rPr>
      </w:pPr>
    </w:p>
    <w:p w14:paraId="15EFBA5C" w14:textId="2F5D476A" w:rsidR="002375B7" w:rsidRPr="00D049C3" w:rsidRDefault="003E7C1A" w:rsidP="00A51188">
      <w:pPr>
        <w:spacing w:after="0" w:line="240" w:lineRule="auto"/>
        <w:jc w:val="both"/>
        <w:rPr>
          <w:rFonts w:asciiTheme="majorHAnsi" w:hAnsiTheme="majorHAnsi" w:cs="Times New Roman"/>
          <w:sz w:val="20"/>
          <w:szCs w:val="20"/>
        </w:rPr>
      </w:pPr>
      <w:r w:rsidRPr="00D049C3">
        <w:rPr>
          <w:rFonts w:asciiTheme="majorHAnsi" w:hAnsiTheme="majorHAnsi"/>
          <w:sz w:val="20"/>
          <w:szCs w:val="20"/>
        </w:rPr>
        <w:t>En outre, le paragraphe 192 (</w:t>
      </w:r>
      <w:hyperlink r:id="rId15" w:history="1">
        <w:r w:rsidRPr="00D049C3">
          <w:rPr>
            <w:rStyle w:val="Hyperlink"/>
            <w:rFonts w:asciiTheme="majorHAnsi" w:hAnsiTheme="majorHAnsi"/>
            <w:sz w:val="20"/>
            <w:szCs w:val="20"/>
            <w:u w:val="none"/>
          </w:rPr>
          <w:t>Rec. 25-04</w:t>
        </w:r>
      </w:hyperlink>
      <w:r w:rsidRPr="00D049C3">
        <w:rPr>
          <w:rFonts w:asciiTheme="majorHAnsi" w:hAnsiTheme="majorHAnsi"/>
          <w:sz w:val="20"/>
          <w:szCs w:val="20"/>
        </w:rPr>
        <w:t xml:space="preserve">) prévoit que la couverture des observateurs </w:t>
      </w:r>
      <w:r w:rsidRPr="00D049C3">
        <w:rPr>
          <w:rFonts w:asciiTheme="majorHAnsi" w:hAnsiTheme="majorHAnsi"/>
          <w:i/>
          <w:sz w:val="20"/>
          <w:szCs w:val="20"/>
        </w:rPr>
        <w:t>peut</w:t>
      </w:r>
      <w:r w:rsidRPr="00D049C3">
        <w:rPr>
          <w:rFonts w:asciiTheme="majorHAnsi" w:hAnsiTheme="majorHAnsi"/>
          <w:sz w:val="20"/>
          <w:szCs w:val="20"/>
        </w:rPr>
        <w:t xml:space="preserve"> être assurée à bord des navires de transformation. Toutefois, ce déploiement pourrait entraîner un grave manque de couverture des observateurs lorsque des opérations de mise à mort simultanées auraient lieu avec une double destination, à la fois vers le navire de transformation et l’usine de transformation au port. Dans ce cas de figure, la couverture des observateurs à la ferme est indispensable.</w:t>
      </w:r>
    </w:p>
    <w:p w14:paraId="7B72AD39" w14:textId="77777777" w:rsidR="00A51188" w:rsidRPr="00D049C3" w:rsidRDefault="00A51188" w:rsidP="00A51188">
      <w:pPr>
        <w:spacing w:after="0" w:line="240" w:lineRule="auto"/>
        <w:jc w:val="both"/>
        <w:rPr>
          <w:rFonts w:asciiTheme="majorHAnsi" w:hAnsiTheme="majorHAnsi" w:cs="Times New Roman"/>
          <w:sz w:val="20"/>
          <w:szCs w:val="20"/>
        </w:rPr>
      </w:pPr>
    </w:p>
    <w:p w14:paraId="62AFAC47" w14:textId="3BC4796A" w:rsidR="000450F1" w:rsidRPr="00D049C3" w:rsidRDefault="002375B7" w:rsidP="00A51188">
      <w:pPr>
        <w:spacing w:after="0" w:line="240" w:lineRule="auto"/>
        <w:jc w:val="both"/>
        <w:rPr>
          <w:rFonts w:asciiTheme="majorHAnsi" w:hAnsiTheme="majorHAnsi" w:cs="Times New Roman"/>
          <w:sz w:val="20"/>
          <w:szCs w:val="20"/>
        </w:rPr>
      </w:pPr>
      <w:r w:rsidRPr="00D049C3">
        <w:rPr>
          <w:rFonts w:asciiTheme="majorHAnsi" w:hAnsiTheme="majorHAnsi"/>
          <w:sz w:val="20"/>
          <w:szCs w:val="20"/>
        </w:rPr>
        <w:t>En ce qui concerne les autorités de contrôle, celles-ci doivent contrôler toutes les opérations de mise à mort destinées aux navires de transformation ; elles peuvent être déployées soit à bord du navire de transformation, soit dans la ferme pendant la mise à mort.</w:t>
      </w:r>
    </w:p>
    <w:p w14:paraId="3FCF1964" w14:textId="77777777" w:rsidR="009E0379" w:rsidRPr="00D049C3" w:rsidRDefault="009E0379" w:rsidP="00A51188">
      <w:pPr>
        <w:spacing w:after="0" w:line="240" w:lineRule="auto"/>
        <w:jc w:val="both"/>
        <w:rPr>
          <w:rFonts w:asciiTheme="majorHAnsi" w:hAnsiTheme="majorHAnsi" w:cs="Times New Roman"/>
          <w:sz w:val="20"/>
          <w:szCs w:val="20"/>
        </w:rPr>
      </w:pPr>
    </w:p>
    <w:p w14:paraId="28971142" w14:textId="77777777" w:rsidR="00D049C3" w:rsidRPr="00D049C3" w:rsidRDefault="00D049C3">
      <w:pPr>
        <w:rPr>
          <w:rFonts w:asciiTheme="majorHAnsi" w:hAnsiTheme="majorHAnsi"/>
          <w:sz w:val="20"/>
          <w:szCs w:val="20"/>
        </w:rPr>
      </w:pPr>
      <w:r w:rsidRPr="00D049C3">
        <w:rPr>
          <w:rFonts w:asciiTheme="majorHAnsi" w:hAnsiTheme="majorHAnsi"/>
          <w:sz w:val="20"/>
          <w:szCs w:val="20"/>
        </w:rPr>
        <w:br w:type="page"/>
      </w:r>
    </w:p>
    <w:p w14:paraId="691CDFC5" w14:textId="4C71109C" w:rsidR="00F61464" w:rsidRPr="00D049C3" w:rsidRDefault="00F61464" w:rsidP="00A51188">
      <w:pPr>
        <w:spacing w:after="0" w:line="240" w:lineRule="auto"/>
        <w:jc w:val="both"/>
        <w:rPr>
          <w:rFonts w:asciiTheme="majorHAnsi" w:hAnsiTheme="majorHAnsi" w:cs="Times New Roman"/>
          <w:sz w:val="20"/>
          <w:szCs w:val="20"/>
        </w:rPr>
      </w:pPr>
      <w:r w:rsidRPr="00D049C3">
        <w:rPr>
          <w:rFonts w:asciiTheme="majorHAnsi" w:hAnsiTheme="majorHAnsi"/>
          <w:sz w:val="20"/>
          <w:szCs w:val="20"/>
        </w:rPr>
        <w:lastRenderedPageBreak/>
        <w:t xml:space="preserve">Une </w:t>
      </w:r>
      <w:hyperlink r:id="rId16" w:history="1">
        <w:r w:rsidRPr="00D049C3">
          <w:rPr>
            <w:rStyle w:val="Hyperlink"/>
            <w:rFonts w:asciiTheme="majorHAnsi" w:hAnsiTheme="majorHAnsi"/>
            <w:i/>
            <w:iCs/>
            <w:sz w:val="20"/>
            <w:szCs w:val="20"/>
            <w:u w:val="none"/>
          </w:rPr>
          <w:t>Résolution de l'ICCAT établissant un projet pilote aux fins de la mise en œuvre de la surveillance électronique à distance (REM) à bord des navires de transformation du thon rouge</w:t>
        </w:r>
        <w:r w:rsidRPr="00D049C3">
          <w:rPr>
            <w:rStyle w:val="Hyperlink"/>
            <w:rFonts w:asciiTheme="majorHAnsi" w:hAnsiTheme="majorHAnsi"/>
            <w:sz w:val="20"/>
            <w:szCs w:val="20"/>
            <w:u w:val="none"/>
          </w:rPr>
          <w:t xml:space="preserve"> (Rés. 21-17</w:t>
        </w:r>
      </w:hyperlink>
      <w:r w:rsidRPr="00D049C3">
        <w:rPr>
          <w:rFonts w:asciiTheme="majorHAnsi" w:hAnsiTheme="majorHAnsi"/>
          <w:sz w:val="20"/>
          <w:szCs w:val="20"/>
        </w:rPr>
        <w:t>) a été adoptée en 2021. Le projet pilote a été mis en œuvre sur deux navires de transformation pendant leurs activités sur une période de deux ans. Les résultats du projet pilote ont été présentés lors de la réunion du Groupe de travail sur les systèmes de surveillance électronique (EMS WG) en juin 2024. Les résultats ont été très positifs, à savoir :</w:t>
      </w:r>
    </w:p>
    <w:p w14:paraId="4D16C0D7" w14:textId="77777777" w:rsidR="00A51188" w:rsidRPr="00D049C3" w:rsidRDefault="00A51188" w:rsidP="00A51188">
      <w:pPr>
        <w:spacing w:after="0" w:line="240" w:lineRule="auto"/>
        <w:jc w:val="both"/>
        <w:rPr>
          <w:rFonts w:asciiTheme="majorHAnsi" w:hAnsiTheme="majorHAnsi" w:cs="Times New Roman"/>
          <w:sz w:val="20"/>
          <w:szCs w:val="20"/>
        </w:rPr>
      </w:pPr>
    </w:p>
    <w:p w14:paraId="13C1669B" w14:textId="76F45981" w:rsidR="00F61464" w:rsidRPr="00D049C3" w:rsidRDefault="00F61464" w:rsidP="00A51188">
      <w:pPr>
        <w:pStyle w:val="ListParagraph"/>
        <w:numPr>
          <w:ilvl w:val="0"/>
          <w:numId w:val="11"/>
        </w:numPr>
        <w:tabs>
          <w:tab w:val="left" w:pos="1134"/>
        </w:tabs>
        <w:spacing w:after="0" w:line="240" w:lineRule="auto"/>
        <w:ind w:left="426"/>
        <w:contextualSpacing w:val="0"/>
        <w:jc w:val="both"/>
        <w:rPr>
          <w:rFonts w:asciiTheme="majorHAnsi" w:hAnsiTheme="majorHAnsi" w:cs="Times New Roman"/>
          <w:sz w:val="20"/>
          <w:szCs w:val="20"/>
        </w:rPr>
      </w:pPr>
      <w:r w:rsidRPr="00D049C3">
        <w:rPr>
          <w:rFonts w:asciiTheme="majorHAnsi" w:hAnsiTheme="majorHAnsi"/>
          <w:sz w:val="20"/>
          <w:szCs w:val="20"/>
        </w:rPr>
        <w:t>Le système EMS a permis une surveillance 24 heures sur 24 et 7 jours sur 7 des activités des navires (comblant ainsi la principale lacune identifiée lorsque le navire est à l'ancrage à proximité de la ferme).</w:t>
      </w:r>
    </w:p>
    <w:p w14:paraId="3150C269" w14:textId="55792BBB" w:rsidR="00F61464" w:rsidRPr="00D049C3"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D049C3">
        <w:rPr>
          <w:rFonts w:asciiTheme="majorHAnsi" w:hAnsiTheme="majorHAnsi"/>
          <w:sz w:val="20"/>
          <w:szCs w:val="20"/>
        </w:rPr>
        <w:t>L'EMS a bien fonctionné pendant la durée du projet pilote (il n'y a eu qu'une seule occasion où le système est tombé en panne pendant quelques heures).</w:t>
      </w:r>
    </w:p>
    <w:p w14:paraId="023EF311" w14:textId="248F8777" w:rsidR="00F61464" w:rsidRPr="00D049C3"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D049C3">
        <w:rPr>
          <w:rFonts w:asciiTheme="majorHAnsi" w:hAnsiTheme="majorHAnsi"/>
          <w:sz w:val="20"/>
          <w:szCs w:val="20"/>
        </w:rPr>
        <w:t>Le nombre de s</w:t>
      </w:r>
      <w:r w:rsidRPr="00D049C3">
        <w:rPr>
          <w:rFonts w:asciiTheme="majorHAnsi" w:hAnsiTheme="majorHAnsi"/>
          <w:sz w:val="20"/>
        </w:rPr>
        <w:t>pécimens et leur poids ont été estimés avec précision.</w:t>
      </w:r>
    </w:p>
    <w:p w14:paraId="5485D8E7" w14:textId="24BEBF3A" w:rsidR="00070752" w:rsidRPr="00D049C3"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D049C3">
        <w:rPr>
          <w:rFonts w:asciiTheme="majorHAnsi" w:hAnsiTheme="majorHAnsi"/>
          <w:sz w:val="20"/>
        </w:rPr>
        <w:t>L’analyse des données était facile (le poids est saisi par des balances attachées à la grue et est enregistré dans le système, le nombre de spécimens est obtenu par comptage visuel).</w:t>
      </w:r>
    </w:p>
    <w:p w14:paraId="6308EA34" w14:textId="7BDBEC87" w:rsidR="00070752" w:rsidRPr="000F1F7F"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0F1F7F">
        <w:rPr>
          <w:rFonts w:asciiTheme="majorHAnsi" w:hAnsiTheme="majorHAnsi"/>
          <w:sz w:val="20"/>
        </w:rPr>
        <w:t xml:space="preserve">L'EMS pourrait aussi fournir des données pertinentes pour la science (longueur du thon </w:t>
      </w:r>
      <w:r w:rsidR="00665AFC" w:rsidRPr="000F1F7F">
        <w:rPr>
          <w:rFonts w:asciiTheme="majorHAnsi" w:hAnsiTheme="majorHAnsi"/>
          <w:sz w:val="20"/>
        </w:rPr>
        <w:t>mis à mort</w:t>
      </w:r>
      <w:r w:rsidRPr="000F1F7F">
        <w:rPr>
          <w:rFonts w:asciiTheme="majorHAnsi" w:hAnsiTheme="majorHAnsi"/>
          <w:sz w:val="20"/>
        </w:rPr>
        <w:t>).</w:t>
      </w:r>
    </w:p>
    <w:p w14:paraId="2F02EBDA" w14:textId="021E0F27" w:rsidR="00F61464" w:rsidRPr="00D049C3"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D049C3">
        <w:rPr>
          <w:rFonts w:asciiTheme="majorHAnsi" w:hAnsiTheme="majorHAnsi"/>
          <w:sz w:val="20"/>
        </w:rPr>
        <w:t>Il pourrait être possible de réduire le temps consacré au contrôle, de diminuer la charge de travail et les coûts (des données comparatives doivent être compilées et analysées).</w:t>
      </w:r>
    </w:p>
    <w:p w14:paraId="1E4DAAEA" w14:textId="0A94D3EE" w:rsidR="00F61464" w:rsidRPr="00D049C3" w:rsidRDefault="00F61464" w:rsidP="00A51188">
      <w:pPr>
        <w:pStyle w:val="ListParagraph"/>
        <w:numPr>
          <w:ilvl w:val="0"/>
          <w:numId w:val="11"/>
        </w:numPr>
        <w:spacing w:after="0" w:line="240" w:lineRule="auto"/>
        <w:ind w:left="426"/>
        <w:contextualSpacing w:val="0"/>
        <w:jc w:val="both"/>
        <w:rPr>
          <w:rFonts w:asciiTheme="majorHAnsi" w:hAnsiTheme="majorHAnsi" w:cs="Times New Roman"/>
          <w:sz w:val="20"/>
          <w:szCs w:val="20"/>
        </w:rPr>
      </w:pPr>
      <w:r w:rsidRPr="00D049C3">
        <w:rPr>
          <w:rFonts w:asciiTheme="majorHAnsi" w:hAnsiTheme="majorHAnsi"/>
          <w:sz w:val="20"/>
        </w:rPr>
        <w:t>Il pourrait être possible d’appliquer l'IA pour l'identification et le comptage des thons rouges, ce qui permettrait de réduire le temps consacré à l'analyse.</w:t>
      </w:r>
    </w:p>
    <w:p w14:paraId="00730671" w14:textId="77777777" w:rsidR="00B00CE0" w:rsidRPr="00D049C3" w:rsidRDefault="00B00CE0" w:rsidP="00A51188">
      <w:pPr>
        <w:spacing w:after="0" w:line="240" w:lineRule="auto"/>
        <w:jc w:val="both"/>
        <w:rPr>
          <w:rFonts w:asciiTheme="majorHAnsi" w:hAnsiTheme="majorHAnsi" w:cs="Times New Roman"/>
          <w:b/>
          <w:bCs/>
          <w:sz w:val="20"/>
          <w:szCs w:val="20"/>
        </w:rPr>
      </w:pPr>
    </w:p>
    <w:p w14:paraId="2F34C18E" w14:textId="77777777" w:rsidR="00405F51" w:rsidRPr="00D049C3" w:rsidRDefault="00405F51" w:rsidP="00A51188">
      <w:pPr>
        <w:spacing w:after="0" w:line="240" w:lineRule="auto"/>
        <w:jc w:val="both"/>
        <w:rPr>
          <w:rFonts w:asciiTheme="majorHAnsi" w:hAnsiTheme="majorHAnsi" w:cs="Times New Roman"/>
          <w:b/>
          <w:bCs/>
          <w:sz w:val="20"/>
          <w:szCs w:val="20"/>
        </w:rPr>
      </w:pPr>
      <w:r w:rsidRPr="00D049C3">
        <w:rPr>
          <w:rFonts w:asciiTheme="majorHAnsi" w:hAnsiTheme="majorHAnsi"/>
        </w:rPr>
        <w:br w:type="page"/>
      </w:r>
    </w:p>
    <w:p w14:paraId="6916AAE1" w14:textId="670E821E" w:rsidR="00097FB9" w:rsidRPr="00D049C3" w:rsidRDefault="00F61464" w:rsidP="00786A11">
      <w:pPr>
        <w:spacing w:after="0" w:line="240" w:lineRule="auto"/>
        <w:jc w:val="center"/>
        <w:rPr>
          <w:rFonts w:asciiTheme="majorHAnsi" w:hAnsiTheme="majorHAnsi" w:cs="Times New Roman"/>
          <w:b/>
          <w:bCs/>
          <w:sz w:val="20"/>
          <w:szCs w:val="20"/>
        </w:rPr>
      </w:pPr>
      <w:r w:rsidRPr="00D049C3">
        <w:rPr>
          <w:rFonts w:asciiTheme="majorHAnsi" w:hAnsiTheme="majorHAnsi"/>
          <w:b/>
          <w:sz w:val="20"/>
        </w:rPr>
        <w:lastRenderedPageBreak/>
        <w:t>Réponses aux questions soulevées lors des discussions tenues à la réunion 2024 du Groupe de travail permanent sur l’amélioration des statistiques et des mesures de conservation de l’ICCAT (PWG)</w:t>
      </w:r>
    </w:p>
    <w:p w14:paraId="24A29A1E" w14:textId="0A97721E" w:rsidR="00F61464" w:rsidRPr="00D049C3" w:rsidRDefault="003F016A" w:rsidP="00786A11">
      <w:pPr>
        <w:spacing w:after="0" w:line="240" w:lineRule="auto"/>
        <w:jc w:val="center"/>
        <w:rPr>
          <w:rFonts w:asciiTheme="majorHAnsi" w:hAnsiTheme="majorHAnsi" w:cs="Times New Roman"/>
          <w:b/>
          <w:bCs/>
          <w:sz w:val="20"/>
          <w:szCs w:val="20"/>
        </w:rPr>
      </w:pPr>
      <w:r w:rsidRPr="00D049C3">
        <w:rPr>
          <w:rFonts w:asciiTheme="majorHAnsi" w:hAnsiTheme="majorHAnsi"/>
          <w:b/>
          <w:sz w:val="20"/>
        </w:rPr>
        <w:t>Réunion annuelle de 2025 de la Commission et réunion de 2026 du Groupe de travail sur les systèmes de surveillance électronique (EMS WG)</w:t>
      </w:r>
    </w:p>
    <w:p w14:paraId="7E1F8A0A" w14:textId="77777777" w:rsidR="0048552E" w:rsidRPr="00D049C3" w:rsidRDefault="0048552E" w:rsidP="00786A11">
      <w:pPr>
        <w:spacing w:after="0" w:line="240" w:lineRule="auto"/>
        <w:jc w:val="both"/>
        <w:rPr>
          <w:rFonts w:asciiTheme="majorHAnsi" w:hAnsiTheme="majorHAnsi" w:cs="Times New Roman"/>
          <w:b/>
          <w:bCs/>
          <w:sz w:val="20"/>
          <w:szCs w:val="20"/>
        </w:rPr>
      </w:pPr>
    </w:p>
    <w:p w14:paraId="0CFF32D7" w14:textId="390A0434" w:rsidR="00F61464" w:rsidRPr="00D049C3" w:rsidRDefault="00F61464" w:rsidP="00786A11">
      <w:pPr>
        <w:pStyle w:val="ListParagraph"/>
        <w:numPr>
          <w:ilvl w:val="0"/>
          <w:numId w:val="7"/>
        </w:numPr>
        <w:spacing w:after="0" w:line="240" w:lineRule="auto"/>
        <w:ind w:left="426" w:hanging="426"/>
        <w:contextualSpacing w:val="0"/>
        <w:jc w:val="both"/>
        <w:rPr>
          <w:rFonts w:asciiTheme="majorHAnsi" w:hAnsiTheme="majorHAnsi" w:cs="Times New Roman"/>
          <w:b/>
          <w:bCs/>
          <w:sz w:val="20"/>
          <w:szCs w:val="20"/>
        </w:rPr>
      </w:pPr>
      <w:r w:rsidRPr="00D049C3">
        <w:rPr>
          <w:rFonts w:asciiTheme="majorHAnsi" w:hAnsiTheme="majorHAnsi"/>
          <w:b/>
          <w:sz w:val="20"/>
        </w:rPr>
        <w:t>Quelles sont les normes techniques minimales applicables ?</w:t>
      </w:r>
    </w:p>
    <w:p w14:paraId="52E77E4A" w14:textId="77777777" w:rsidR="00786A11" w:rsidRPr="00D049C3" w:rsidRDefault="00786A11" w:rsidP="00786A11">
      <w:pPr>
        <w:spacing w:after="0" w:line="240" w:lineRule="auto"/>
        <w:jc w:val="both"/>
        <w:rPr>
          <w:rFonts w:asciiTheme="majorHAnsi" w:hAnsiTheme="majorHAnsi" w:cs="Times New Roman"/>
          <w:sz w:val="20"/>
          <w:szCs w:val="20"/>
        </w:rPr>
      </w:pPr>
    </w:p>
    <w:p w14:paraId="1F85FF4B" w14:textId="42636379" w:rsidR="00F61464" w:rsidRPr="00665AFC" w:rsidRDefault="00F61464" w:rsidP="00786A11">
      <w:pPr>
        <w:spacing w:after="0" w:line="240" w:lineRule="auto"/>
        <w:jc w:val="both"/>
        <w:rPr>
          <w:rFonts w:asciiTheme="majorHAnsi" w:hAnsiTheme="majorHAnsi" w:cs="Times New Roman"/>
          <w:sz w:val="20"/>
          <w:szCs w:val="20"/>
        </w:rPr>
      </w:pPr>
      <w:r w:rsidRPr="00D049C3">
        <w:rPr>
          <w:rFonts w:asciiTheme="majorHAnsi" w:hAnsiTheme="majorHAnsi"/>
        </w:rPr>
        <w:t xml:space="preserve">La </w:t>
      </w:r>
      <w:hyperlink r:id="rId17" w:history="1">
        <w:r w:rsidRPr="00D049C3">
          <w:rPr>
            <w:rStyle w:val="Hyperlink"/>
            <w:rFonts w:asciiTheme="majorHAnsi" w:hAnsiTheme="majorHAnsi"/>
            <w:i/>
            <w:iCs/>
            <w:sz w:val="20"/>
            <w:u w:val="none"/>
          </w:rPr>
          <w:t>Résolution de l'ICCAT établissant un projet pilote aux fins de la mise en œuvre de la surveillance électronique à distance (REM) à bord des navires de transformation du thon rouge (Rés. 21-17)</w:t>
        </w:r>
      </w:hyperlink>
      <w:r w:rsidRPr="00D049C3">
        <w:rPr>
          <w:rFonts w:asciiTheme="majorHAnsi" w:hAnsiTheme="majorHAnsi"/>
        </w:rPr>
        <w:t xml:space="preserve"> définit dans son annexe</w:t>
      </w:r>
      <w:r w:rsidR="00665AFC">
        <w:rPr>
          <w:rFonts w:asciiTheme="majorHAnsi" w:hAnsiTheme="majorHAnsi"/>
        </w:rPr>
        <w:t> </w:t>
      </w:r>
      <w:r w:rsidRPr="00D049C3">
        <w:rPr>
          <w:rFonts w:asciiTheme="majorHAnsi" w:hAnsiTheme="majorHAnsi"/>
        </w:rPr>
        <w:t>1 les normes techniques minimales du système.</w:t>
      </w:r>
      <w:r w:rsidRPr="00D049C3">
        <w:rPr>
          <w:rFonts w:asciiTheme="majorHAnsi" w:hAnsiTheme="majorHAnsi"/>
          <w:sz w:val="20"/>
        </w:rPr>
        <w:t xml:space="preserve"> Ces normes sont exhaustives et se sont avérées efficaces lors des tests pour atteindre les objectifs du système. </w:t>
      </w:r>
      <w:r w:rsidRPr="00665AFC">
        <w:rPr>
          <w:rFonts w:asciiTheme="majorHAnsi" w:hAnsiTheme="majorHAnsi"/>
          <w:sz w:val="20"/>
        </w:rPr>
        <w:t xml:space="preserve">Les résultats des tests montrent que le système obtient une couverture du </w:t>
      </w:r>
      <w:r w:rsidRPr="00665AFC">
        <w:rPr>
          <w:rFonts w:asciiTheme="majorHAnsi" w:hAnsiTheme="majorHAnsi"/>
          <w:b/>
          <w:bCs/>
          <w:sz w:val="20"/>
        </w:rPr>
        <w:t>suivi de 24h/24, 7j/7</w:t>
      </w:r>
      <w:r w:rsidRPr="00665AFC">
        <w:rPr>
          <w:rFonts w:asciiTheme="majorHAnsi" w:hAnsiTheme="majorHAnsi"/>
          <w:sz w:val="20"/>
        </w:rPr>
        <w:t xml:space="preserve"> (une amélioration considérable par rapport au système de contrôle actuel), qu’il a bien fonctionné pendant la durée du projet et </w:t>
      </w:r>
      <w:r w:rsidRPr="00665AFC">
        <w:rPr>
          <w:rFonts w:asciiTheme="majorHAnsi" w:hAnsiTheme="majorHAnsi"/>
          <w:b/>
          <w:bCs/>
          <w:sz w:val="20"/>
        </w:rPr>
        <w:t>a permis de déterminer avec précision le nombre de spécimens et leur poids et a facilité l’analyse des données.</w:t>
      </w:r>
    </w:p>
    <w:p w14:paraId="0644DAB7" w14:textId="77777777" w:rsidR="00786A11" w:rsidRPr="00D049C3" w:rsidRDefault="00786A11" w:rsidP="00786A11">
      <w:pPr>
        <w:spacing w:after="0" w:line="240" w:lineRule="auto"/>
        <w:jc w:val="both"/>
        <w:rPr>
          <w:rFonts w:asciiTheme="majorHAnsi" w:hAnsiTheme="majorHAnsi" w:cs="Times New Roman"/>
          <w:sz w:val="20"/>
          <w:szCs w:val="20"/>
        </w:rPr>
      </w:pPr>
    </w:p>
    <w:p w14:paraId="21B0F2F6" w14:textId="15E4D179" w:rsidR="00F61464" w:rsidRPr="00D049C3" w:rsidRDefault="00724D7F" w:rsidP="00786A11">
      <w:pPr>
        <w:spacing w:after="0" w:line="240" w:lineRule="auto"/>
        <w:jc w:val="both"/>
        <w:rPr>
          <w:rFonts w:asciiTheme="majorHAnsi" w:hAnsiTheme="majorHAnsi" w:cs="Times New Roman"/>
          <w:sz w:val="20"/>
          <w:szCs w:val="20"/>
        </w:rPr>
      </w:pPr>
      <w:r w:rsidRPr="00D049C3">
        <w:rPr>
          <w:rFonts w:asciiTheme="majorHAnsi" w:hAnsiTheme="majorHAnsi"/>
          <w:sz w:val="20"/>
        </w:rPr>
        <w:t xml:space="preserve">La </w:t>
      </w:r>
      <w:hyperlink r:id="rId18" w:tgtFrame="_blank" w:history="1">
        <w:r w:rsidRPr="00D049C3">
          <w:rPr>
            <w:rStyle w:val="Hyperlink"/>
            <w:rFonts w:asciiTheme="majorHAnsi" w:hAnsiTheme="majorHAnsi"/>
            <w:i/>
            <w:iCs/>
            <w:sz w:val="20"/>
            <w:u w:val="none"/>
          </w:rPr>
          <w:t>Recommandation de l’ICCAT visant à établir des normes minimales et des exigences du programme aux fins de l'utilisation des systèmes de surveillance électronique (EMS) dans les pêcheries de l’ICCAT</w:t>
        </w:r>
        <w:r w:rsidRPr="00D049C3">
          <w:rPr>
            <w:rStyle w:val="Hyperlink"/>
            <w:rFonts w:asciiTheme="majorHAnsi" w:hAnsiTheme="majorHAnsi"/>
            <w:sz w:val="20"/>
            <w:u w:val="none"/>
          </w:rPr>
          <w:t xml:space="preserve"> (Rec. 23-18) </w:t>
        </w:r>
      </w:hyperlink>
      <w:r w:rsidRPr="00D049C3">
        <w:rPr>
          <w:rFonts w:asciiTheme="majorHAnsi" w:hAnsiTheme="majorHAnsi"/>
        </w:rPr>
        <w:t xml:space="preserve"> </w:t>
      </w:r>
      <w:r w:rsidRPr="00D049C3">
        <w:rPr>
          <w:rFonts w:asciiTheme="majorHAnsi" w:hAnsiTheme="majorHAnsi"/>
          <w:sz w:val="20"/>
        </w:rPr>
        <w:t xml:space="preserve">établit des normes minimales et des exigences du programme pour l'utilisation des EMS dans les pêcheries de l’ICCAT, mais elle n'a été élaborée jusqu'à présent que pour les senneurs et les palangriers. </w:t>
      </w:r>
    </w:p>
    <w:p w14:paraId="524C2D9A" w14:textId="77777777" w:rsidR="00786A11" w:rsidRPr="00D049C3" w:rsidRDefault="00786A11" w:rsidP="00786A11">
      <w:pPr>
        <w:spacing w:after="0" w:line="240" w:lineRule="auto"/>
        <w:jc w:val="both"/>
        <w:rPr>
          <w:rFonts w:asciiTheme="majorHAnsi" w:hAnsiTheme="majorHAnsi" w:cs="Times New Roman"/>
          <w:sz w:val="20"/>
          <w:szCs w:val="20"/>
        </w:rPr>
      </w:pPr>
    </w:p>
    <w:p w14:paraId="0FCEA4B1" w14:textId="3D4BF55B" w:rsidR="00F61464" w:rsidRPr="007C6A48" w:rsidRDefault="00F61464" w:rsidP="00786A11">
      <w:pPr>
        <w:spacing w:after="0" w:line="240" w:lineRule="auto"/>
        <w:jc w:val="both"/>
        <w:rPr>
          <w:rFonts w:asciiTheme="majorHAnsi" w:hAnsiTheme="majorHAnsi" w:cs="Times New Roman"/>
          <w:sz w:val="20"/>
          <w:szCs w:val="20"/>
        </w:rPr>
      </w:pPr>
      <w:r w:rsidRPr="007C6A48">
        <w:rPr>
          <w:rFonts w:asciiTheme="majorHAnsi" w:hAnsiTheme="majorHAnsi"/>
          <w:sz w:val="20"/>
          <w:szCs w:val="20"/>
        </w:rPr>
        <w:t xml:space="preserve">L'UE a soumis un « Projet de Recommandation de l’ICCAT amendant la </w:t>
      </w:r>
      <w:hyperlink r:id="rId19" w:history="1">
        <w:r w:rsidRPr="007C6A48">
          <w:rPr>
            <w:rStyle w:val="Hyperlink"/>
            <w:rFonts w:asciiTheme="majorHAnsi" w:hAnsiTheme="majorHAnsi"/>
            <w:sz w:val="20"/>
            <w:szCs w:val="20"/>
            <w:u w:val="none"/>
          </w:rPr>
          <w:t>Rec. 23-18</w:t>
        </w:r>
      </w:hyperlink>
      <w:r w:rsidRPr="007C6A48">
        <w:rPr>
          <w:rFonts w:asciiTheme="majorHAnsi" w:hAnsiTheme="majorHAnsi"/>
          <w:sz w:val="20"/>
          <w:szCs w:val="20"/>
        </w:rPr>
        <w:t xml:space="preserve"> visant à établir des normes minimales aux fins de l'utilisation de l’EMS » [EMS</w:t>
      </w:r>
      <w:r w:rsidR="00665AFC" w:rsidRPr="007C6A48">
        <w:rPr>
          <w:rFonts w:asciiTheme="majorHAnsi" w:hAnsiTheme="majorHAnsi"/>
          <w:sz w:val="20"/>
          <w:szCs w:val="20"/>
        </w:rPr>
        <w:t>_</w:t>
      </w:r>
      <w:r w:rsidRPr="007C6A48">
        <w:rPr>
          <w:rFonts w:asciiTheme="majorHAnsi" w:hAnsiTheme="majorHAnsi"/>
          <w:sz w:val="20"/>
          <w:szCs w:val="20"/>
        </w:rPr>
        <w:t>08_REV</w:t>
      </w:r>
      <w:r w:rsidR="00665AFC" w:rsidRPr="007C6A48">
        <w:rPr>
          <w:rFonts w:asciiTheme="majorHAnsi" w:hAnsiTheme="majorHAnsi"/>
          <w:sz w:val="20"/>
          <w:szCs w:val="20"/>
        </w:rPr>
        <w:t>_</w:t>
      </w:r>
      <w:r w:rsidRPr="007C6A48">
        <w:rPr>
          <w:rFonts w:asciiTheme="majorHAnsi" w:hAnsiTheme="majorHAnsi"/>
          <w:sz w:val="20"/>
          <w:szCs w:val="20"/>
        </w:rPr>
        <w:t xml:space="preserve">1/i2026], à la dernière réunion du Groupe de travail sur les systèmes de surveillance électronique (EMS WG), lequel amendait la </w:t>
      </w:r>
      <w:hyperlink r:id="rId20" w:history="1">
        <w:r w:rsidRPr="007C6A48">
          <w:rPr>
            <w:rStyle w:val="Hyperlink"/>
            <w:rFonts w:asciiTheme="majorHAnsi" w:hAnsiTheme="majorHAnsi"/>
            <w:sz w:val="20"/>
            <w:szCs w:val="20"/>
            <w:u w:val="none"/>
          </w:rPr>
          <w:t>Rec. 23-18</w:t>
        </w:r>
      </w:hyperlink>
      <w:r w:rsidRPr="007C6A48">
        <w:rPr>
          <w:rFonts w:asciiTheme="majorHAnsi" w:hAnsiTheme="majorHAnsi"/>
          <w:sz w:val="20"/>
          <w:szCs w:val="20"/>
        </w:rPr>
        <w:t xml:space="preserve"> et incluait une nouvelle annexe pour les navires de transformation.</w:t>
      </w:r>
    </w:p>
    <w:p w14:paraId="43D87760" w14:textId="77777777" w:rsidR="00405F51" w:rsidRPr="00D049C3" w:rsidRDefault="00405F51" w:rsidP="00786A11">
      <w:pPr>
        <w:spacing w:after="0" w:line="240" w:lineRule="auto"/>
        <w:jc w:val="both"/>
        <w:rPr>
          <w:rFonts w:asciiTheme="majorHAnsi" w:hAnsiTheme="majorHAnsi" w:cs="Times New Roman"/>
          <w:sz w:val="20"/>
          <w:szCs w:val="20"/>
        </w:rPr>
      </w:pPr>
    </w:p>
    <w:p w14:paraId="64726721" w14:textId="77777777" w:rsidR="00786A11" w:rsidRPr="00D049C3" w:rsidRDefault="00786A11" w:rsidP="00786A11">
      <w:pPr>
        <w:spacing w:after="0" w:line="240" w:lineRule="auto"/>
        <w:jc w:val="both"/>
        <w:rPr>
          <w:rFonts w:asciiTheme="majorHAnsi" w:hAnsiTheme="majorHAnsi" w:cs="Times New Roman"/>
          <w:sz w:val="20"/>
          <w:szCs w:val="20"/>
        </w:rPr>
      </w:pPr>
    </w:p>
    <w:p w14:paraId="1D5BB22D" w14:textId="7D9E923F" w:rsidR="00F61464" w:rsidRPr="00D049C3" w:rsidRDefault="00F61464" w:rsidP="00786A11">
      <w:pPr>
        <w:pStyle w:val="ListParagraph"/>
        <w:numPr>
          <w:ilvl w:val="0"/>
          <w:numId w:val="7"/>
        </w:numPr>
        <w:spacing w:after="0" w:line="240" w:lineRule="auto"/>
        <w:ind w:left="426" w:hanging="426"/>
        <w:contextualSpacing w:val="0"/>
        <w:jc w:val="both"/>
        <w:rPr>
          <w:rFonts w:asciiTheme="majorHAnsi" w:hAnsiTheme="majorHAnsi" w:cs="Times New Roman"/>
          <w:b/>
          <w:bCs/>
          <w:sz w:val="20"/>
          <w:szCs w:val="20"/>
        </w:rPr>
      </w:pPr>
      <w:r w:rsidRPr="00D049C3">
        <w:rPr>
          <w:rFonts w:asciiTheme="majorHAnsi" w:hAnsiTheme="majorHAnsi"/>
          <w:b/>
          <w:sz w:val="20"/>
        </w:rPr>
        <w:t xml:space="preserve">Comment l'obligation de l'EMS serait-elle combinée avec les obligations existantes concernant les observateurs régionaux pendant les opérations de mise à </w:t>
      </w:r>
      <w:r w:rsidR="007C6A48" w:rsidRPr="00D049C3">
        <w:rPr>
          <w:rFonts w:asciiTheme="majorHAnsi" w:hAnsiTheme="majorHAnsi"/>
          <w:b/>
          <w:sz w:val="20"/>
        </w:rPr>
        <w:t>mort ?</w:t>
      </w:r>
    </w:p>
    <w:p w14:paraId="39A247E0" w14:textId="77777777" w:rsidR="00786A11" w:rsidRPr="00D049C3" w:rsidRDefault="00786A11" w:rsidP="00786A11">
      <w:pPr>
        <w:spacing w:after="0" w:line="240" w:lineRule="auto"/>
        <w:jc w:val="both"/>
        <w:rPr>
          <w:rFonts w:asciiTheme="majorHAnsi" w:hAnsiTheme="majorHAnsi" w:cs="Times New Roman"/>
          <w:sz w:val="20"/>
          <w:szCs w:val="20"/>
        </w:rPr>
      </w:pPr>
    </w:p>
    <w:p w14:paraId="64E6573B" w14:textId="4F7E4177" w:rsidR="00F61464" w:rsidRPr="00D049C3" w:rsidRDefault="00F61464" w:rsidP="00786A11">
      <w:pPr>
        <w:spacing w:after="0" w:line="240" w:lineRule="auto"/>
        <w:jc w:val="both"/>
        <w:rPr>
          <w:rFonts w:asciiTheme="majorHAnsi" w:hAnsiTheme="majorHAnsi" w:cs="Times New Roman"/>
          <w:sz w:val="20"/>
          <w:szCs w:val="20"/>
        </w:rPr>
      </w:pPr>
      <w:r w:rsidRPr="00D049C3">
        <w:rPr>
          <w:rFonts w:asciiTheme="majorHAnsi" w:hAnsiTheme="majorHAnsi"/>
          <w:sz w:val="20"/>
        </w:rPr>
        <w:t>Actuellement, il est obligatoire que toutes les opérations de mise à mort dans les fermes soient surveillées par un observateur régional de l’ICCAT, ou par un observateur national dans le cas de la mise à mort dans les madragues.</w:t>
      </w:r>
    </w:p>
    <w:p w14:paraId="42808ABB" w14:textId="77777777" w:rsidR="00786A11" w:rsidRPr="00D049C3" w:rsidRDefault="00786A11" w:rsidP="00786A11">
      <w:pPr>
        <w:spacing w:after="0" w:line="240" w:lineRule="auto"/>
        <w:jc w:val="both"/>
        <w:rPr>
          <w:rFonts w:asciiTheme="majorHAnsi" w:hAnsiTheme="majorHAnsi" w:cs="Times New Roman"/>
          <w:sz w:val="20"/>
          <w:szCs w:val="20"/>
        </w:rPr>
      </w:pPr>
    </w:p>
    <w:p w14:paraId="73AD66A5" w14:textId="77777777" w:rsidR="00F61464" w:rsidRPr="00D049C3" w:rsidRDefault="00F61464" w:rsidP="00786A11">
      <w:pPr>
        <w:spacing w:after="0" w:line="240" w:lineRule="auto"/>
        <w:jc w:val="both"/>
        <w:rPr>
          <w:rFonts w:asciiTheme="majorHAnsi" w:hAnsiTheme="majorHAnsi" w:cs="Times New Roman"/>
          <w:sz w:val="20"/>
          <w:szCs w:val="20"/>
        </w:rPr>
      </w:pPr>
      <w:r w:rsidRPr="00D049C3">
        <w:rPr>
          <w:rFonts w:asciiTheme="majorHAnsi" w:hAnsiTheme="majorHAnsi"/>
          <w:sz w:val="20"/>
        </w:rPr>
        <w:t>Il existe deux destinations possibles pour les poissons mis à mort :</w:t>
      </w:r>
    </w:p>
    <w:p w14:paraId="5F612917" w14:textId="77777777" w:rsidR="00161D9D" w:rsidRPr="00D049C3" w:rsidRDefault="00161D9D" w:rsidP="00786A11">
      <w:pPr>
        <w:spacing w:after="0" w:line="240" w:lineRule="auto"/>
        <w:jc w:val="both"/>
        <w:rPr>
          <w:rFonts w:asciiTheme="majorHAnsi" w:hAnsiTheme="majorHAnsi" w:cs="Times New Roman"/>
          <w:sz w:val="20"/>
          <w:szCs w:val="20"/>
        </w:rPr>
      </w:pPr>
    </w:p>
    <w:p w14:paraId="0140B781" w14:textId="75BBE89E" w:rsidR="00F61464" w:rsidRPr="00D049C3" w:rsidRDefault="00F61464" w:rsidP="00786A11">
      <w:pPr>
        <w:pStyle w:val="ListParagraph"/>
        <w:numPr>
          <w:ilvl w:val="0"/>
          <w:numId w:val="8"/>
        </w:numPr>
        <w:spacing w:after="0" w:line="240" w:lineRule="auto"/>
        <w:contextualSpacing w:val="0"/>
        <w:jc w:val="both"/>
        <w:rPr>
          <w:rFonts w:asciiTheme="majorHAnsi" w:hAnsiTheme="majorHAnsi" w:cs="Times New Roman"/>
          <w:sz w:val="20"/>
          <w:szCs w:val="20"/>
        </w:rPr>
      </w:pPr>
      <w:r w:rsidRPr="00D049C3">
        <w:rPr>
          <w:rFonts w:asciiTheme="majorHAnsi" w:hAnsiTheme="majorHAnsi"/>
          <w:sz w:val="20"/>
        </w:rPr>
        <w:t>la mise à mort pour le marché du frais, dans laquelle le poisson est mis à mort et transporté par un navire auxiliaire pour être déchargé au port.</w:t>
      </w:r>
    </w:p>
    <w:p w14:paraId="7FF4B383" w14:textId="56380B88" w:rsidR="00F61464" w:rsidRPr="00D049C3" w:rsidRDefault="00F61464" w:rsidP="00786A11">
      <w:pPr>
        <w:pStyle w:val="ListParagraph"/>
        <w:numPr>
          <w:ilvl w:val="0"/>
          <w:numId w:val="8"/>
        </w:numPr>
        <w:spacing w:after="0" w:line="240" w:lineRule="auto"/>
        <w:contextualSpacing w:val="0"/>
        <w:jc w:val="both"/>
        <w:rPr>
          <w:rFonts w:asciiTheme="majorHAnsi" w:hAnsiTheme="majorHAnsi" w:cs="Times New Roman"/>
          <w:sz w:val="20"/>
          <w:szCs w:val="20"/>
        </w:rPr>
      </w:pPr>
      <w:r w:rsidRPr="00D049C3">
        <w:rPr>
          <w:rFonts w:asciiTheme="majorHAnsi" w:hAnsiTheme="majorHAnsi"/>
          <w:sz w:val="20"/>
        </w:rPr>
        <w:t>La mise à mort massive qui signifie que, sur une période de plusieurs semaines, la ferme/la madrague met à mort le poisson qui est ensuite transporté par un navire auxiliaire et transféré vers un navire de transformation.</w:t>
      </w:r>
    </w:p>
    <w:p w14:paraId="1B4B0D5B" w14:textId="77777777" w:rsidR="00786A11" w:rsidRPr="00D049C3" w:rsidRDefault="00786A11" w:rsidP="00786A11">
      <w:pPr>
        <w:spacing w:after="0" w:line="240" w:lineRule="auto"/>
        <w:jc w:val="both"/>
        <w:rPr>
          <w:rFonts w:asciiTheme="majorHAnsi" w:hAnsiTheme="majorHAnsi" w:cs="Times New Roman"/>
          <w:sz w:val="20"/>
          <w:szCs w:val="20"/>
        </w:rPr>
      </w:pPr>
    </w:p>
    <w:p w14:paraId="79997C5F" w14:textId="5856F6E8" w:rsidR="00F61464" w:rsidRPr="00D049C3" w:rsidRDefault="00F61464" w:rsidP="00786A11">
      <w:pPr>
        <w:spacing w:after="0" w:line="240" w:lineRule="auto"/>
        <w:jc w:val="both"/>
        <w:rPr>
          <w:rFonts w:asciiTheme="majorHAnsi" w:hAnsiTheme="majorHAnsi" w:cs="Times New Roman"/>
          <w:sz w:val="20"/>
          <w:szCs w:val="20"/>
        </w:rPr>
      </w:pPr>
      <w:r w:rsidRPr="00D049C3">
        <w:rPr>
          <w:rFonts w:asciiTheme="majorHAnsi" w:hAnsiTheme="majorHAnsi"/>
          <w:sz w:val="20"/>
        </w:rPr>
        <w:t>Il est important de mentionner que les opérations de mise à mort visées au point b) sont habituellement contrôlées par l'observateur depuis le navire de transformation, de sorte que l'observateur n'assiste pas réellement à la mise à mort.</w:t>
      </w:r>
    </w:p>
    <w:p w14:paraId="693B8710" w14:textId="77777777" w:rsidR="00786A11" w:rsidRPr="00D049C3" w:rsidRDefault="00786A11" w:rsidP="00786A11">
      <w:pPr>
        <w:spacing w:after="0" w:line="240" w:lineRule="auto"/>
        <w:jc w:val="both"/>
        <w:rPr>
          <w:rFonts w:asciiTheme="majorHAnsi" w:hAnsiTheme="majorHAnsi" w:cs="Times New Roman"/>
          <w:sz w:val="20"/>
          <w:szCs w:val="20"/>
        </w:rPr>
      </w:pPr>
    </w:p>
    <w:p w14:paraId="53683DA9" w14:textId="58676755" w:rsidR="00823025" w:rsidRPr="00D049C3" w:rsidRDefault="00823025" w:rsidP="00786A11">
      <w:pPr>
        <w:spacing w:after="0" w:line="240" w:lineRule="auto"/>
        <w:jc w:val="both"/>
        <w:rPr>
          <w:rFonts w:asciiTheme="majorHAnsi" w:hAnsiTheme="majorHAnsi" w:cs="Times New Roman"/>
          <w:sz w:val="20"/>
          <w:szCs w:val="20"/>
        </w:rPr>
      </w:pPr>
      <w:r w:rsidRPr="00D049C3">
        <w:rPr>
          <w:rFonts w:asciiTheme="majorHAnsi" w:hAnsiTheme="majorHAnsi"/>
          <w:sz w:val="20"/>
        </w:rPr>
        <w:t xml:space="preserve">Il convient par ailleurs de noter que, pendant la mise à mort destinée à la transformation à bord, la mise à mort destinée au marché du frais pourrait également avoir lieu au même moment et au même endroit (cage). La décision concernant la destination du poisson peut être prise sur place, au moment de la mise à mort, en fonction des caractéristiques du poisson demandées par l'acheteur. S’il y avait une couverture d’observateur (humain ou EMS) à bord du navire de transformation, cette lacune serait comblée. </w:t>
      </w:r>
    </w:p>
    <w:p w14:paraId="03DE1BE1" w14:textId="77777777" w:rsidR="00786A11" w:rsidRPr="00D049C3" w:rsidRDefault="00786A11" w:rsidP="00786A11">
      <w:pPr>
        <w:spacing w:after="0" w:line="240" w:lineRule="auto"/>
        <w:jc w:val="both"/>
        <w:rPr>
          <w:rFonts w:asciiTheme="majorHAnsi" w:hAnsiTheme="majorHAnsi" w:cs="Times New Roman"/>
          <w:sz w:val="20"/>
          <w:szCs w:val="20"/>
        </w:rPr>
      </w:pPr>
    </w:p>
    <w:p w14:paraId="2381AA06" w14:textId="573B63A4" w:rsidR="00405F51" w:rsidRPr="00D049C3" w:rsidRDefault="003F1B1D" w:rsidP="00786A11">
      <w:pPr>
        <w:spacing w:after="0" w:line="240" w:lineRule="auto"/>
        <w:jc w:val="both"/>
        <w:rPr>
          <w:rFonts w:asciiTheme="majorHAnsi" w:hAnsiTheme="majorHAnsi" w:cs="Times New Roman"/>
          <w:sz w:val="20"/>
          <w:szCs w:val="20"/>
        </w:rPr>
      </w:pPr>
      <w:r w:rsidRPr="00D049C3">
        <w:rPr>
          <w:rFonts w:asciiTheme="majorHAnsi" w:hAnsiTheme="majorHAnsi"/>
          <w:sz w:val="20"/>
        </w:rPr>
        <w:t xml:space="preserve">Ce projet propose plusieurs options pour la mise en œuvre de la surveillance : soit par un observateur régional présent 24 heures sur 24 et 7 jours sur 7 à bord du navire de transformation, soit par le biais de l’EMS. </w:t>
      </w:r>
    </w:p>
    <w:p w14:paraId="6EFB7C0A" w14:textId="77777777" w:rsidR="00B65631" w:rsidRDefault="00B65631" w:rsidP="00786A11">
      <w:pPr>
        <w:spacing w:after="0" w:line="240" w:lineRule="auto"/>
        <w:jc w:val="both"/>
        <w:rPr>
          <w:rFonts w:asciiTheme="majorHAnsi" w:hAnsiTheme="majorHAnsi" w:cs="Times New Roman"/>
          <w:sz w:val="20"/>
          <w:szCs w:val="20"/>
        </w:rPr>
      </w:pPr>
    </w:p>
    <w:p w14:paraId="2F80C1B5" w14:textId="77777777" w:rsidR="00B73157" w:rsidRDefault="00B73157" w:rsidP="00786A11">
      <w:pPr>
        <w:spacing w:after="0" w:line="240" w:lineRule="auto"/>
        <w:jc w:val="both"/>
        <w:rPr>
          <w:rFonts w:asciiTheme="majorHAnsi" w:hAnsiTheme="majorHAnsi" w:cs="Times New Roman"/>
          <w:sz w:val="20"/>
          <w:szCs w:val="20"/>
        </w:rPr>
      </w:pPr>
    </w:p>
    <w:p w14:paraId="3E3CB908" w14:textId="77777777" w:rsidR="00B73157" w:rsidRPr="00D049C3" w:rsidRDefault="00B73157" w:rsidP="00786A11">
      <w:pPr>
        <w:spacing w:after="0" w:line="240" w:lineRule="auto"/>
        <w:jc w:val="both"/>
        <w:rPr>
          <w:rFonts w:asciiTheme="majorHAnsi" w:hAnsiTheme="majorHAnsi" w:cs="Times New Roman"/>
          <w:sz w:val="20"/>
          <w:szCs w:val="20"/>
        </w:rPr>
      </w:pPr>
    </w:p>
    <w:p w14:paraId="282DD14B" w14:textId="77777777" w:rsidR="00786A11" w:rsidRPr="00D049C3" w:rsidRDefault="00786A11" w:rsidP="00786A11">
      <w:pPr>
        <w:spacing w:after="0" w:line="240" w:lineRule="auto"/>
        <w:jc w:val="both"/>
        <w:rPr>
          <w:rFonts w:asciiTheme="majorHAnsi" w:hAnsiTheme="majorHAnsi" w:cs="Times New Roman"/>
          <w:sz w:val="20"/>
          <w:szCs w:val="20"/>
        </w:rPr>
      </w:pPr>
    </w:p>
    <w:p w14:paraId="023090EA" w14:textId="239B963A" w:rsidR="00F61464" w:rsidRPr="00D049C3" w:rsidRDefault="00F61464" w:rsidP="00786A11">
      <w:pPr>
        <w:pStyle w:val="ListParagraph"/>
        <w:numPr>
          <w:ilvl w:val="0"/>
          <w:numId w:val="7"/>
        </w:numPr>
        <w:spacing w:after="0" w:line="240" w:lineRule="auto"/>
        <w:ind w:left="426" w:hanging="426"/>
        <w:contextualSpacing w:val="0"/>
        <w:jc w:val="both"/>
        <w:rPr>
          <w:rFonts w:asciiTheme="majorHAnsi" w:hAnsiTheme="majorHAnsi" w:cs="Times New Roman"/>
          <w:b/>
          <w:bCs/>
          <w:sz w:val="20"/>
          <w:szCs w:val="20"/>
        </w:rPr>
      </w:pPr>
      <w:r w:rsidRPr="00D049C3">
        <w:rPr>
          <w:rFonts w:asciiTheme="majorHAnsi" w:hAnsiTheme="majorHAnsi"/>
          <w:b/>
          <w:sz w:val="20"/>
        </w:rPr>
        <w:lastRenderedPageBreak/>
        <w:t>Validation de l'eBCD</w:t>
      </w:r>
    </w:p>
    <w:p w14:paraId="07BE7ACD" w14:textId="77777777" w:rsidR="00786A11" w:rsidRPr="00D049C3" w:rsidRDefault="00786A11" w:rsidP="00786A11">
      <w:pPr>
        <w:spacing w:after="0" w:line="240" w:lineRule="auto"/>
        <w:jc w:val="both"/>
        <w:rPr>
          <w:rFonts w:asciiTheme="majorHAnsi" w:hAnsiTheme="majorHAnsi" w:cs="Times New Roman"/>
          <w:sz w:val="20"/>
          <w:szCs w:val="20"/>
        </w:rPr>
      </w:pPr>
    </w:p>
    <w:p w14:paraId="6F54A12F" w14:textId="7AE03E2F" w:rsidR="00F61464" w:rsidRDefault="005940CA" w:rsidP="00786A11">
      <w:pPr>
        <w:spacing w:after="0" w:line="240" w:lineRule="auto"/>
        <w:jc w:val="both"/>
        <w:rPr>
          <w:rFonts w:asciiTheme="majorHAnsi" w:hAnsiTheme="majorHAnsi"/>
          <w:sz w:val="20"/>
        </w:rPr>
      </w:pPr>
      <w:r w:rsidRPr="00D049C3">
        <w:rPr>
          <w:rFonts w:asciiTheme="majorHAnsi" w:hAnsiTheme="majorHAnsi"/>
          <w:sz w:val="20"/>
        </w:rPr>
        <w:t>La validation des opérations de mise à mort se poursuivra selon la procédure actuellement en vigueur. L'observateur régional ou l'observateur de la CPC présent dans les madragues signerait la section 7 sur la mise à mort, et les autorités de contrôle de la CPC valideraient cette section. Pour cette validation, les autorités de contrôle de la CPC de la ferme/madrague disposeraient de données plus fiables pour s'acquitter de leurs missions. Il convient de noter que les données obtenues de l’EMS ou d'un observateur à bord d'un navire de transformation seraient également pertinentes pour la signature de la déclaration de transformation et la validation des données commerciales liées à l'opération de transformation concernée.</w:t>
      </w:r>
    </w:p>
    <w:p w14:paraId="405376C8" w14:textId="77777777" w:rsidR="00B73157" w:rsidRDefault="00B73157" w:rsidP="00786A11">
      <w:pPr>
        <w:spacing w:after="0" w:line="240" w:lineRule="auto"/>
        <w:jc w:val="both"/>
        <w:rPr>
          <w:rFonts w:asciiTheme="majorHAnsi" w:hAnsiTheme="majorHAnsi"/>
          <w:sz w:val="20"/>
        </w:rPr>
      </w:pPr>
    </w:p>
    <w:p w14:paraId="7C8020D3" w14:textId="77777777" w:rsidR="00B73157" w:rsidRPr="00D049C3" w:rsidRDefault="00B73157" w:rsidP="00786A11">
      <w:pPr>
        <w:spacing w:after="0" w:line="240" w:lineRule="auto"/>
        <w:jc w:val="both"/>
        <w:rPr>
          <w:rFonts w:asciiTheme="majorHAnsi" w:hAnsiTheme="majorHAnsi" w:cs="Times New Roman"/>
          <w:sz w:val="20"/>
          <w:szCs w:val="20"/>
        </w:rPr>
      </w:pPr>
    </w:p>
    <w:p w14:paraId="6BDB59C9" w14:textId="2E69CAEC" w:rsidR="00F61464" w:rsidRPr="00D049C3" w:rsidRDefault="00F61464" w:rsidP="00786A11">
      <w:pPr>
        <w:pStyle w:val="ListParagraph"/>
        <w:numPr>
          <w:ilvl w:val="0"/>
          <w:numId w:val="7"/>
        </w:numPr>
        <w:spacing w:after="0" w:line="240" w:lineRule="auto"/>
        <w:ind w:left="426" w:hanging="426"/>
        <w:contextualSpacing w:val="0"/>
        <w:jc w:val="both"/>
        <w:rPr>
          <w:rFonts w:asciiTheme="majorHAnsi" w:hAnsiTheme="majorHAnsi" w:cs="Times New Roman"/>
          <w:b/>
          <w:bCs/>
          <w:sz w:val="20"/>
          <w:szCs w:val="20"/>
        </w:rPr>
      </w:pPr>
      <w:r w:rsidRPr="00D049C3">
        <w:rPr>
          <w:rFonts w:asciiTheme="majorHAnsi" w:hAnsiTheme="majorHAnsi"/>
          <w:b/>
          <w:sz w:val="20"/>
        </w:rPr>
        <w:t>Qui sera chargé d'analyser les enregistrements vidéo et l’évaluation des données ?</w:t>
      </w:r>
    </w:p>
    <w:p w14:paraId="528C682A" w14:textId="77777777" w:rsidR="00786A11" w:rsidRPr="00D049C3" w:rsidRDefault="00786A11" w:rsidP="00786A11">
      <w:pPr>
        <w:spacing w:after="0" w:line="240" w:lineRule="auto"/>
        <w:jc w:val="both"/>
        <w:rPr>
          <w:rFonts w:asciiTheme="majorHAnsi" w:hAnsiTheme="majorHAnsi" w:cs="Times New Roman"/>
          <w:sz w:val="20"/>
          <w:szCs w:val="20"/>
        </w:rPr>
      </w:pPr>
    </w:p>
    <w:p w14:paraId="7A9DA397" w14:textId="00C2F70D" w:rsidR="00F61464" w:rsidRPr="00D049C3" w:rsidRDefault="00F14FFF" w:rsidP="00786A11">
      <w:pPr>
        <w:spacing w:after="0" w:line="240" w:lineRule="auto"/>
        <w:jc w:val="both"/>
        <w:rPr>
          <w:rFonts w:asciiTheme="majorHAnsi" w:hAnsiTheme="majorHAnsi" w:cs="Times New Roman"/>
          <w:sz w:val="20"/>
          <w:szCs w:val="20"/>
        </w:rPr>
      </w:pPr>
      <w:r w:rsidRPr="00D049C3">
        <w:rPr>
          <w:rFonts w:asciiTheme="majorHAnsi" w:hAnsiTheme="majorHAnsi"/>
          <w:sz w:val="20"/>
        </w:rPr>
        <w:t xml:space="preserve">Si les autorités de l'État du pavillon conservent bien sûr leurs responsabilités, les autorités de contrôle de la CPC de la ferme/madrague ont pour mission de surveiller les activités des navires de transformation dans leurs eaux. </w:t>
      </w:r>
    </w:p>
    <w:p w14:paraId="5D710836" w14:textId="77777777" w:rsidR="00786A11" w:rsidRPr="00D049C3" w:rsidRDefault="00786A11" w:rsidP="00786A11">
      <w:pPr>
        <w:spacing w:after="0" w:line="240" w:lineRule="auto"/>
        <w:jc w:val="both"/>
        <w:rPr>
          <w:rFonts w:asciiTheme="majorHAnsi" w:hAnsiTheme="majorHAnsi" w:cs="Times New Roman"/>
          <w:sz w:val="20"/>
          <w:szCs w:val="20"/>
        </w:rPr>
      </w:pPr>
    </w:p>
    <w:p w14:paraId="587194CB" w14:textId="50C264CA" w:rsidR="00786A11" w:rsidRPr="00D049C3" w:rsidRDefault="00B52C9B" w:rsidP="00786A11">
      <w:pPr>
        <w:spacing w:after="0" w:line="240" w:lineRule="auto"/>
        <w:jc w:val="both"/>
        <w:rPr>
          <w:rFonts w:asciiTheme="majorHAnsi" w:hAnsiTheme="majorHAnsi" w:cs="Times New Roman"/>
          <w:sz w:val="20"/>
          <w:szCs w:val="20"/>
        </w:rPr>
      </w:pPr>
      <w:r w:rsidRPr="00D049C3">
        <w:rPr>
          <w:rFonts w:asciiTheme="majorHAnsi" w:hAnsiTheme="majorHAnsi"/>
          <w:sz w:val="20"/>
        </w:rPr>
        <w:t xml:space="preserve">Il incombera tant aux autorités de contrôle de la CPC de l'État du pavillon qu'aux autorités de contrôle de la CPC de la ferme/madrague d'évaluer les informations issues des analyses des données de l’EMS. En vertu de la Rec. 23-18, lorsque l’EMS est utilisé à des fins de contrôle de l'application, l'analyse des données devrait être basée sur l'évaluation des risques. L’EMS devra disposer d'un logiciel dédié pour faciliter l'examen des données. Ces informations devront donc être communiquées aux autorités de contrôle de l'État du pavillon et de la ferme/madrague dès que les données sont disponibles, et dès que les autorités de contrôle de la CPC de la ferme/madrague en font la demande. </w:t>
      </w:r>
    </w:p>
    <w:p w14:paraId="1DF7CC41" w14:textId="77777777" w:rsidR="00786A11" w:rsidRPr="00D049C3" w:rsidRDefault="00786A11" w:rsidP="00786A11">
      <w:pPr>
        <w:spacing w:after="0" w:line="240" w:lineRule="auto"/>
        <w:jc w:val="both"/>
        <w:rPr>
          <w:rFonts w:asciiTheme="majorHAnsi" w:hAnsiTheme="majorHAnsi" w:cs="Times New Roman"/>
          <w:sz w:val="20"/>
          <w:szCs w:val="20"/>
        </w:rPr>
      </w:pPr>
    </w:p>
    <w:p w14:paraId="1DA82414" w14:textId="4CA17372" w:rsidR="00E36A28" w:rsidRPr="00D049C3" w:rsidRDefault="00995647" w:rsidP="00786A11">
      <w:pPr>
        <w:spacing w:after="0" w:line="240" w:lineRule="auto"/>
        <w:jc w:val="both"/>
        <w:rPr>
          <w:rFonts w:asciiTheme="majorHAnsi" w:hAnsiTheme="majorHAnsi" w:cs="Times New Roman"/>
          <w:sz w:val="20"/>
          <w:szCs w:val="20"/>
        </w:rPr>
      </w:pPr>
      <w:r w:rsidRPr="00D049C3">
        <w:rPr>
          <w:rFonts w:asciiTheme="majorHAnsi" w:hAnsiTheme="majorHAnsi"/>
          <w:sz w:val="20"/>
        </w:rPr>
        <w:t>Cela permettra à ces autorités de vérifier la cohérence entre les quantités déclarées dans les déclarations de mise à mort et de transformation fournies par l'opérateur et les données obtenues par le biais de l’EMS ainsi que lors des activités de contrôle.</w:t>
      </w:r>
    </w:p>
    <w:p w14:paraId="739E833B" w14:textId="77777777" w:rsidR="00786A11" w:rsidRPr="00D049C3" w:rsidRDefault="00786A11" w:rsidP="00786A11">
      <w:pPr>
        <w:spacing w:after="0" w:line="240" w:lineRule="auto"/>
        <w:jc w:val="both"/>
        <w:rPr>
          <w:rFonts w:asciiTheme="majorHAnsi" w:hAnsiTheme="majorHAnsi" w:cs="Times New Roman"/>
          <w:sz w:val="20"/>
          <w:szCs w:val="20"/>
        </w:rPr>
      </w:pPr>
    </w:p>
    <w:p w14:paraId="753251A3" w14:textId="4663897E" w:rsidR="00AA0449" w:rsidRPr="00D049C3" w:rsidRDefault="00D40B8B" w:rsidP="00786A11">
      <w:pPr>
        <w:spacing w:after="0" w:line="240" w:lineRule="auto"/>
        <w:jc w:val="both"/>
        <w:rPr>
          <w:rFonts w:asciiTheme="majorHAnsi" w:hAnsiTheme="majorHAnsi" w:cs="Times New Roman"/>
          <w:sz w:val="20"/>
          <w:szCs w:val="20"/>
        </w:rPr>
      </w:pPr>
      <w:r w:rsidRPr="00D049C3">
        <w:rPr>
          <w:rFonts w:asciiTheme="majorHAnsi" w:hAnsiTheme="majorHAnsi"/>
          <w:sz w:val="20"/>
        </w:rPr>
        <w:t xml:space="preserve">Ces analyses pourraient également être effectuées à tout moment afin de surveiller le navire lorsqu'il se trouve à proximité de la ferme. Les autorités de contrôle de la CPC de la ferme/madrague ne sont pas tenues d'effectuer elles-mêmes les analyses des données brutes, mais devraient s'assurer que </w:t>
      </w:r>
      <w:r w:rsidRPr="00D049C3">
        <w:rPr>
          <w:rFonts w:asciiTheme="majorHAnsi" w:hAnsiTheme="majorHAnsi"/>
          <w:b/>
          <w:bCs/>
          <w:sz w:val="20"/>
        </w:rPr>
        <w:t>les données et événements</w:t>
      </w:r>
      <w:r w:rsidRPr="00D049C3">
        <w:rPr>
          <w:rFonts w:asciiTheme="majorHAnsi" w:hAnsiTheme="majorHAnsi"/>
          <w:sz w:val="20"/>
        </w:rPr>
        <w:t xml:space="preserve"> clés</w:t>
      </w:r>
      <w:r w:rsidRPr="00D049C3">
        <w:rPr>
          <w:rFonts w:asciiTheme="majorHAnsi" w:hAnsiTheme="majorHAnsi"/>
          <w:b/>
          <w:sz w:val="20"/>
        </w:rPr>
        <w:t xml:space="preserve"> surveillés par le système sont mis à leur disposition</w:t>
      </w:r>
      <w:r w:rsidRPr="00D049C3">
        <w:rPr>
          <w:rFonts w:asciiTheme="majorHAnsi" w:hAnsiTheme="majorHAnsi"/>
          <w:sz w:val="20"/>
        </w:rPr>
        <w:t>.</w:t>
      </w:r>
    </w:p>
    <w:p w14:paraId="3BFEEB64" w14:textId="77777777" w:rsidR="00786A11" w:rsidRPr="00D049C3" w:rsidRDefault="00786A11" w:rsidP="00786A11">
      <w:pPr>
        <w:spacing w:after="0" w:line="240" w:lineRule="auto"/>
        <w:jc w:val="both"/>
        <w:rPr>
          <w:rFonts w:asciiTheme="majorHAnsi" w:hAnsiTheme="majorHAnsi" w:cs="Times New Roman"/>
          <w:sz w:val="20"/>
          <w:szCs w:val="20"/>
        </w:rPr>
      </w:pPr>
    </w:p>
    <w:p w14:paraId="5FE782A8" w14:textId="2538F453" w:rsidR="00AA0449" w:rsidRPr="00D049C3" w:rsidRDefault="00AA0449" w:rsidP="00786A11">
      <w:pPr>
        <w:spacing w:after="0" w:line="240" w:lineRule="auto"/>
        <w:jc w:val="both"/>
        <w:rPr>
          <w:rFonts w:asciiTheme="majorHAnsi" w:hAnsiTheme="majorHAnsi" w:cs="Times New Roman"/>
          <w:sz w:val="20"/>
          <w:szCs w:val="20"/>
        </w:rPr>
      </w:pPr>
      <w:r w:rsidRPr="00D049C3">
        <w:rPr>
          <w:rFonts w:asciiTheme="majorHAnsi" w:hAnsiTheme="majorHAnsi"/>
          <w:sz w:val="20"/>
        </w:rPr>
        <w:t xml:space="preserve">Les différentes options en matière d'analyse des enregistrements vidéo et de gestion des données, à savoir la déclaration, le stockage et la transmission des données, devraient tenir compte des recommandations de l’ICCAT qui exigent l'utilisation de l’EMS pour contrôler l’application, en particulier l'annexe 6 de la Rec. 23-18 et l'annexe 1 de la Rés. 21-17. </w:t>
      </w:r>
    </w:p>
    <w:p w14:paraId="6A9E2A1C" w14:textId="77777777" w:rsidR="00786A11" w:rsidRPr="00D049C3" w:rsidRDefault="00786A11" w:rsidP="00786A11">
      <w:pPr>
        <w:spacing w:after="0" w:line="240" w:lineRule="auto"/>
        <w:jc w:val="both"/>
        <w:rPr>
          <w:rFonts w:asciiTheme="majorHAnsi" w:hAnsiTheme="majorHAnsi" w:cs="Times New Roman"/>
          <w:sz w:val="20"/>
          <w:szCs w:val="20"/>
        </w:rPr>
      </w:pPr>
    </w:p>
    <w:p w14:paraId="2518C3C2" w14:textId="78A94CB6" w:rsidR="009F33CC" w:rsidRPr="00D049C3" w:rsidRDefault="00F61464" w:rsidP="00786A11">
      <w:pPr>
        <w:spacing w:after="0" w:line="240" w:lineRule="auto"/>
        <w:jc w:val="both"/>
        <w:rPr>
          <w:rFonts w:asciiTheme="majorHAnsi" w:hAnsiTheme="majorHAnsi" w:cs="Times New Roman"/>
          <w:sz w:val="20"/>
          <w:szCs w:val="20"/>
        </w:rPr>
      </w:pPr>
      <w:r w:rsidRPr="00D049C3">
        <w:rPr>
          <w:rFonts w:asciiTheme="majorHAnsi" w:hAnsiTheme="majorHAnsi"/>
          <w:sz w:val="20"/>
        </w:rPr>
        <w:t>Cela permettrait tout de même d'améliorer l'efficacité par rapport à la situation actuelle, car le navire ferait l'objet d'une surveillance, qu'il y ait ou non des opérations en cours, et des observateurs ainsi que des autorités de contrôle seraient déployés dans la ferme.</w:t>
      </w:r>
    </w:p>
    <w:p w14:paraId="274CA6CE" w14:textId="77777777" w:rsidR="00C14C81" w:rsidRPr="00D049C3" w:rsidRDefault="00C14C81" w:rsidP="00786A11">
      <w:pPr>
        <w:spacing w:after="0" w:line="240" w:lineRule="auto"/>
        <w:jc w:val="both"/>
        <w:rPr>
          <w:rFonts w:asciiTheme="majorHAnsi" w:hAnsiTheme="majorHAnsi" w:cs="Times New Roman"/>
          <w:sz w:val="20"/>
          <w:szCs w:val="20"/>
        </w:rPr>
      </w:pPr>
    </w:p>
    <w:p w14:paraId="06D5445B" w14:textId="77777777" w:rsidR="00786A11" w:rsidRPr="00D049C3" w:rsidRDefault="00786A11" w:rsidP="00786A11">
      <w:pPr>
        <w:spacing w:after="0" w:line="240" w:lineRule="auto"/>
        <w:jc w:val="both"/>
        <w:rPr>
          <w:rFonts w:asciiTheme="majorHAnsi" w:hAnsiTheme="majorHAnsi" w:cs="Times New Roman"/>
          <w:sz w:val="20"/>
          <w:szCs w:val="20"/>
        </w:rPr>
      </w:pPr>
    </w:p>
    <w:p w14:paraId="0CA9AD4C" w14:textId="1EB867E4" w:rsidR="00F61464" w:rsidRPr="00D049C3" w:rsidRDefault="00F61464" w:rsidP="00786A11">
      <w:pPr>
        <w:pStyle w:val="ListParagraph"/>
        <w:numPr>
          <w:ilvl w:val="0"/>
          <w:numId w:val="7"/>
        </w:numPr>
        <w:spacing w:after="0" w:line="240" w:lineRule="auto"/>
        <w:ind w:left="426" w:hanging="426"/>
        <w:contextualSpacing w:val="0"/>
        <w:jc w:val="both"/>
        <w:rPr>
          <w:rFonts w:asciiTheme="majorHAnsi" w:hAnsiTheme="majorHAnsi" w:cs="Times New Roman"/>
          <w:b/>
          <w:bCs/>
          <w:sz w:val="20"/>
          <w:szCs w:val="20"/>
        </w:rPr>
      </w:pPr>
      <w:r w:rsidRPr="00D049C3">
        <w:rPr>
          <w:rFonts w:asciiTheme="majorHAnsi" w:hAnsiTheme="majorHAnsi"/>
          <w:b/>
          <w:sz w:val="20"/>
        </w:rPr>
        <w:t>Coûts</w:t>
      </w:r>
    </w:p>
    <w:p w14:paraId="3ADE55AE" w14:textId="77777777" w:rsidR="00786A11" w:rsidRPr="00D049C3" w:rsidRDefault="00786A11" w:rsidP="00786A11">
      <w:pPr>
        <w:spacing w:after="0" w:line="240" w:lineRule="auto"/>
        <w:jc w:val="both"/>
        <w:rPr>
          <w:rFonts w:asciiTheme="majorHAnsi" w:hAnsiTheme="majorHAnsi" w:cs="Times New Roman"/>
          <w:sz w:val="20"/>
          <w:szCs w:val="20"/>
        </w:rPr>
      </w:pPr>
    </w:p>
    <w:p w14:paraId="4D82E0CE" w14:textId="3D993DA2" w:rsidR="00F61464" w:rsidRPr="00D049C3" w:rsidRDefault="00F61464" w:rsidP="00786A11">
      <w:pPr>
        <w:spacing w:after="0" w:line="240" w:lineRule="auto"/>
        <w:jc w:val="both"/>
        <w:rPr>
          <w:rFonts w:asciiTheme="majorHAnsi" w:hAnsiTheme="majorHAnsi" w:cs="Times New Roman"/>
          <w:sz w:val="20"/>
          <w:szCs w:val="20"/>
        </w:rPr>
      </w:pPr>
      <w:r w:rsidRPr="00D049C3">
        <w:rPr>
          <w:rFonts w:asciiTheme="majorHAnsi" w:hAnsiTheme="majorHAnsi"/>
          <w:sz w:val="20"/>
        </w:rPr>
        <w:t>Cette proposition vise à disposer de moyens permettant de contrôler les activités des navires de transformation et à remédier à une faiblesse du système due à la présence de navires de transformation à proximité de fermes ou de madragues.</w:t>
      </w:r>
    </w:p>
    <w:p w14:paraId="0262457F" w14:textId="77777777" w:rsidR="00786A11" w:rsidRPr="00D049C3" w:rsidRDefault="00786A11" w:rsidP="00786A11">
      <w:pPr>
        <w:spacing w:after="0" w:line="240" w:lineRule="auto"/>
        <w:jc w:val="both"/>
        <w:rPr>
          <w:rFonts w:asciiTheme="majorHAnsi" w:hAnsiTheme="majorHAnsi" w:cs="Times New Roman"/>
          <w:sz w:val="20"/>
          <w:szCs w:val="20"/>
        </w:rPr>
      </w:pPr>
    </w:p>
    <w:p w14:paraId="0994B339" w14:textId="34D1F471" w:rsidR="00F61464" w:rsidRPr="00D049C3" w:rsidRDefault="00F61464" w:rsidP="00786A11">
      <w:pPr>
        <w:spacing w:after="0" w:line="240" w:lineRule="auto"/>
        <w:jc w:val="both"/>
        <w:rPr>
          <w:rFonts w:asciiTheme="majorHAnsi" w:hAnsiTheme="majorHAnsi" w:cs="Times New Roman"/>
          <w:sz w:val="20"/>
          <w:szCs w:val="20"/>
        </w:rPr>
      </w:pPr>
      <w:r w:rsidRPr="00D049C3">
        <w:rPr>
          <w:rFonts w:asciiTheme="majorHAnsi" w:hAnsiTheme="majorHAnsi"/>
          <w:sz w:val="20"/>
        </w:rPr>
        <w:t>Nous pensons que les coûts du contrôle des activités du navire de transformation devraient être pris en charge par l'opérateur du navire de transformation. Il en va de même pour le reste des cas, madragues, fermes, navires de pêche, navires remorqueurs ou navires transporteurs. Dans tous les cas, c'est l'opérateur du navire, de la ferme ou de la madrague qui prend en charge les frais d'observation.</w:t>
      </w:r>
    </w:p>
    <w:p w14:paraId="1983AA2B" w14:textId="77777777" w:rsidR="00B00CE0" w:rsidRPr="00D049C3" w:rsidRDefault="00B00CE0" w:rsidP="00786A11">
      <w:pPr>
        <w:spacing w:after="0" w:line="240" w:lineRule="auto"/>
        <w:jc w:val="both"/>
        <w:rPr>
          <w:rFonts w:asciiTheme="majorHAnsi" w:hAnsiTheme="majorHAnsi" w:cs="Times New Roman"/>
          <w:b/>
          <w:bCs/>
          <w:sz w:val="20"/>
          <w:szCs w:val="20"/>
        </w:rPr>
      </w:pPr>
    </w:p>
    <w:p w14:paraId="2B8F4FB7" w14:textId="77777777" w:rsidR="00405F51" w:rsidRPr="00D049C3" w:rsidRDefault="00405F51" w:rsidP="00786A11">
      <w:pPr>
        <w:spacing w:after="0" w:line="240" w:lineRule="auto"/>
        <w:jc w:val="both"/>
        <w:rPr>
          <w:rFonts w:asciiTheme="majorHAnsi" w:hAnsiTheme="majorHAnsi" w:cs="Times New Roman"/>
          <w:b/>
          <w:bCs/>
          <w:sz w:val="20"/>
          <w:szCs w:val="20"/>
        </w:rPr>
      </w:pPr>
      <w:r w:rsidRPr="00D049C3">
        <w:rPr>
          <w:rFonts w:asciiTheme="majorHAnsi" w:hAnsiTheme="majorHAnsi"/>
        </w:rPr>
        <w:br w:type="page"/>
      </w:r>
    </w:p>
    <w:p w14:paraId="4BB019CC" w14:textId="76E27A1D" w:rsidR="00F61464" w:rsidRPr="00D049C3" w:rsidRDefault="00F61464" w:rsidP="001955D5">
      <w:pPr>
        <w:spacing w:after="0" w:line="240" w:lineRule="auto"/>
        <w:jc w:val="both"/>
        <w:rPr>
          <w:rFonts w:asciiTheme="majorHAnsi" w:hAnsiTheme="majorHAnsi" w:cs="Times New Roman"/>
          <w:b/>
          <w:bCs/>
          <w:sz w:val="20"/>
          <w:szCs w:val="20"/>
        </w:rPr>
      </w:pPr>
      <w:r w:rsidRPr="00D049C3">
        <w:rPr>
          <w:rFonts w:asciiTheme="majorHAnsi" w:hAnsiTheme="majorHAnsi"/>
          <w:b/>
          <w:sz w:val="20"/>
        </w:rPr>
        <w:lastRenderedPageBreak/>
        <w:t>Amendement proposé à la</w:t>
      </w:r>
      <w:r w:rsidRPr="00D049C3">
        <w:rPr>
          <w:rFonts w:asciiTheme="majorHAnsi" w:hAnsiTheme="majorHAnsi"/>
          <w:b/>
          <w:i/>
          <w:iCs/>
          <w:sz w:val="20"/>
        </w:rPr>
        <w:t xml:space="preserve"> Recommandation de l’ICCAT amendant la Recommandation 24-05 établissant un plan pluriannuel de gestion du thon rouge dans l’Atlantique Est et la Méditerranée</w:t>
      </w:r>
      <w:r w:rsidRPr="00D049C3">
        <w:rPr>
          <w:rFonts w:asciiTheme="majorHAnsi" w:hAnsiTheme="majorHAnsi"/>
          <w:b/>
          <w:sz w:val="20"/>
        </w:rPr>
        <w:t xml:space="preserve"> (Rec. 25-04)</w:t>
      </w:r>
    </w:p>
    <w:p w14:paraId="523A6DD6" w14:textId="77777777" w:rsidR="00405F51" w:rsidRPr="00D049C3" w:rsidRDefault="00405F51" w:rsidP="001955D5">
      <w:pPr>
        <w:spacing w:after="0" w:line="240" w:lineRule="auto"/>
        <w:jc w:val="both"/>
        <w:rPr>
          <w:rFonts w:asciiTheme="majorHAnsi" w:hAnsiTheme="majorHAnsi" w:cs="Times New Roman"/>
          <w:b/>
          <w:bCs/>
          <w:sz w:val="20"/>
          <w:szCs w:val="20"/>
        </w:rPr>
      </w:pPr>
    </w:p>
    <w:p w14:paraId="580E7F39" w14:textId="5F460570" w:rsidR="00F61464" w:rsidRPr="00D049C3" w:rsidRDefault="00F61464" w:rsidP="001955D5">
      <w:pPr>
        <w:spacing w:after="0" w:line="240" w:lineRule="auto"/>
        <w:jc w:val="both"/>
        <w:rPr>
          <w:rFonts w:asciiTheme="majorHAnsi" w:hAnsiTheme="majorHAnsi" w:cs="Times New Roman"/>
          <w:sz w:val="20"/>
          <w:szCs w:val="20"/>
        </w:rPr>
      </w:pPr>
      <w:r w:rsidRPr="00D049C3">
        <w:rPr>
          <w:rFonts w:asciiTheme="majorHAnsi" w:hAnsiTheme="majorHAnsi"/>
          <w:b/>
          <w:bCs/>
          <w:sz w:val="20"/>
        </w:rPr>
        <w:t>Paragraphe 192.</w:t>
      </w:r>
      <w:r w:rsidRPr="00D049C3">
        <w:rPr>
          <w:rFonts w:asciiTheme="majorHAnsi" w:hAnsiTheme="majorHAnsi"/>
          <w:sz w:val="20"/>
        </w:rPr>
        <w:t xml:space="preserve"> Les opérations de mise à mort ne devront pas avoir lieu sans la présence d'un observateur de la CPC dans le cas des madragues, ou d'un observateur régional de l’ICCAT dans le cas de la mise à mort dans les fermes. En ce qui concerne le poisson fourni à un navire de transformation, l'observateur de la CPC ou l’observateur régional de l’ICCAT, ou l’EMS peut effectuer ses tâches pertinentes à partir du navire de transformation.</w:t>
      </w:r>
    </w:p>
    <w:p w14:paraId="2C90773E" w14:textId="77777777" w:rsidR="003A36F1" w:rsidRPr="00D049C3" w:rsidRDefault="003A36F1" w:rsidP="001955D5">
      <w:pPr>
        <w:spacing w:after="0" w:line="240" w:lineRule="auto"/>
        <w:jc w:val="both"/>
        <w:rPr>
          <w:rFonts w:asciiTheme="majorHAnsi" w:hAnsiTheme="majorHAnsi" w:cs="Times New Roman"/>
          <w:sz w:val="20"/>
          <w:szCs w:val="20"/>
        </w:rPr>
      </w:pPr>
    </w:p>
    <w:p w14:paraId="34DCDC82" w14:textId="5D4377B6" w:rsidR="00AA0449" w:rsidRPr="00D049C3" w:rsidRDefault="00AA0449" w:rsidP="001955D5">
      <w:pPr>
        <w:spacing w:after="0" w:line="240" w:lineRule="auto"/>
        <w:jc w:val="both"/>
        <w:rPr>
          <w:rFonts w:asciiTheme="majorHAnsi" w:hAnsiTheme="majorHAnsi" w:cs="Times New Roman"/>
          <w:sz w:val="20"/>
          <w:szCs w:val="20"/>
          <w:u w:val="single"/>
        </w:rPr>
      </w:pPr>
      <w:r w:rsidRPr="00D049C3">
        <w:rPr>
          <w:rFonts w:asciiTheme="majorHAnsi" w:hAnsiTheme="majorHAnsi"/>
          <w:b/>
          <w:sz w:val="20"/>
          <w:u w:val="single"/>
        </w:rPr>
        <w:t xml:space="preserve">Paragraphe 192a. </w:t>
      </w:r>
      <w:r w:rsidRPr="00D049C3">
        <w:rPr>
          <w:rFonts w:asciiTheme="majorHAnsi" w:hAnsiTheme="majorHAnsi"/>
          <w:sz w:val="20"/>
          <w:u w:val="single"/>
        </w:rPr>
        <w:t>Lorsque le thon rouge mis à mort doit être débarqué directement au port, l’opérateur de la ferme ou de la madrague devra remplir une déclaration de mise à mort. Les déclarations de mise à mort devront être vérifiées et, le cas échéant, signées par l'observateur régional de l’ICCAT ou l'observateur de la CPC présent lors de l’opération de mise à mort et validées par les autorités de contrôle de la CPC de la ferme/madrague.</w:t>
      </w:r>
    </w:p>
    <w:p w14:paraId="299C02B6" w14:textId="77777777" w:rsidR="006A6F79" w:rsidRPr="00D049C3" w:rsidRDefault="006A6F79" w:rsidP="001955D5">
      <w:pPr>
        <w:spacing w:after="0" w:line="240" w:lineRule="auto"/>
        <w:jc w:val="both"/>
        <w:rPr>
          <w:rFonts w:asciiTheme="majorHAnsi" w:hAnsiTheme="majorHAnsi" w:cs="Times New Roman"/>
          <w:sz w:val="20"/>
          <w:szCs w:val="20"/>
        </w:rPr>
      </w:pPr>
    </w:p>
    <w:p w14:paraId="123BBBCD" w14:textId="445768B2" w:rsidR="003A36F1" w:rsidRPr="00D049C3" w:rsidRDefault="003A36F1" w:rsidP="001955D5">
      <w:pPr>
        <w:spacing w:after="0" w:line="240" w:lineRule="auto"/>
        <w:jc w:val="both"/>
        <w:rPr>
          <w:rFonts w:asciiTheme="majorHAnsi" w:hAnsiTheme="majorHAnsi" w:cs="Times New Roman"/>
          <w:sz w:val="20"/>
          <w:szCs w:val="20"/>
        </w:rPr>
      </w:pPr>
      <w:r w:rsidRPr="00D049C3">
        <w:rPr>
          <w:rFonts w:asciiTheme="majorHAnsi" w:hAnsiTheme="majorHAnsi"/>
          <w:b/>
          <w:bCs/>
          <w:sz w:val="20"/>
        </w:rPr>
        <w:t>Paragraphe 193.</w:t>
      </w:r>
      <w:r w:rsidRPr="00D049C3">
        <w:rPr>
          <w:rFonts w:asciiTheme="majorHAnsi" w:hAnsiTheme="majorHAnsi"/>
          <w:sz w:val="20"/>
        </w:rPr>
        <w:t xml:space="preserve"> Les autorités de contrôle de la CPC de la ferme</w:t>
      </w:r>
      <w:r w:rsidRPr="00C1338A">
        <w:rPr>
          <w:rFonts w:asciiTheme="majorHAnsi" w:hAnsiTheme="majorHAnsi"/>
          <w:sz w:val="20"/>
          <w:u w:val="single"/>
        </w:rPr>
        <w:t>/</w:t>
      </w:r>
      <w:r w:rsidRPr="00D049C3">
        <w:rPr>
          <w:rFonts w:asciiTheme="majorHAnsi" w:hAnsiTheme="majorHAnsi"/>
          <w:sz w:val="20"/>
        </w:rPr>
        <w:t xml:space="preserve">madrague devront vérifier et recouper les résultats de toutes les opérations de mise à mort qui ont lieu dans les fermes et les madragues sous </w:t>
      </w:r>
      <w:r w:rsidRPr="00C1338A">
        <w:rPr>
          <w:rFonts w:asciiTheme="majorHAnsi" w:hAnsiTheme="majorHAnsi"/>
          <w:sz w:val="20"/>
          <w:u w:val="single"/>
        </w:rPr>
        <w:t>leur</w:t>
      </w:r>
      <w:r w:rsidRPr="00D049C3">
        <w:rPr>
          <w:rFonts w:asciiTheme="majorHAnsi" w:hAnsiTheme="majorHAnsi"/>
          <w:sz w:val="20"/>
        </w:rPr>
        <w:t xml:space="preserve"> autorité, en utilisant toutes les informations pertinentes en </w:t>
      </w:r>
      <w:r w:rsidRPr="00C1338A">
        <w:rPr>
          <w:rFonts w:asciiTheme="majorHAnsi" w:hAnsiTheme="majorHAnsi"/>
          <w:sz w:val="20"/>
          <w:u w:val="single"/>
        </w:rPr>
        <w:t>leur</w:t>
      </w:r>
      <w:r w:rsidRPr="00D049C3">
        <w:rPr>
          <w:rFonts w:asciiTheme="majorHAnsi" w:hAnsiTheme="majorHAnsi"/>
          <w:sz w:val="20"/>
        </w:rPr>
        <w:t xml:space="preserve"> possession. Les autorités de contrôle de la CPC de la ferme ou de la madrague devront inspecter toutes les opérations de mise à mort du thon rouge destiné aux navires de transformation et un pourcentage du reste des opérations de mise à mort sur la base d'une analyse des risques.</w:t>
      </w:r>
    </w:p>
    <w:p w14:paraId="272B6A51" w14:textId="77777777" w:rsidR="003A36F1" w:rsidRPr="00D049C3" w:rsidRDefault="003A36F1" w:rsidP="001955D5">
      <w:pPr>
        <w:spacing w:after="0" w:line="240" w:lineRule="auto"/>
        <w:jc w:val="both"/>
        <w:rPr>
          <w:rFonts w:asciiTheme="majorHAnsi" w:hAnsiTheme="majorHAnsi" w:cs="Times New Roman"/>
          <w:sz w:val="20"/>
          <w:szCs w:val="20"/>
          <w:u w:val="single"/>
        </w:rPr>
      </w:pPr>
    </w:p>
    <w:p w14:paraId="71A4F0E7" w14:textId="7DD0286D" w:rsidR="005D1F8F" w:rsidRPr="00D049C3" w:rsidRDefault="00AA0449" w:rsidP="001955D5">
      <w:pPr>
        <w:spacing w:after="0" w:line="240" w:lineRule="auto"/>
        <w:jc w:val="both"/>
        <w:rPr>
          <w:rFonts w:asciiTheme="majorHAnsi" w:hAnsiTheme="majorHAnsi" w:cs="Times New Roman"/>
          <w:sz w:val="20"/>
          <w:szCs w:val="20"/>
        </w:rPr>
      </w:pPr>
      <w:r w:rsidRPr="00D049C3">
        <w:rPr>
          <w:rFonts w:asciiTheme="majorHAnsi" w:hAnsiTheme="majorHAnsi"/>
          <w:b/>
          <w:bCs/>
          <w:sz w:val="20"/>
        </w:rPr>
        <w:t>Paragraphe 194.</w:t>
      </w:r>
      <w:r w:rsidRPr="00D049C3">
        <w:rPr>
          <w:rFonts w:asciiTheme="majorHAnsi" w:hAnsiTheme="majorHAnsi"/>
          <w:sz w:val="20"/>
        </w:rPr>
        <w:t xml:space="preserve"> Lorsque la destination du thon rouge est un navire de transformation, le capitaine ou le représentant du navire de transformation devra remplir une déclaration de transformation.</w:t>
      </w:r>
      <w:r w:rsidRPr="00D049C3">
        <w:rPr>
          <w:rFonts w:asciiTheme="majorHAnsi" w:hAnsiTheme="majorHAnsi"/>
          <w:strike/>
          <w:sz w:val="20"/>
          <w:u w:val="single"/>
        </w:rPr>
        <w:t xml:space="preserve"> Lorsque le thon rouge mis à mort doit être débarqué directement au port, l’opérateur de la ferme ou de la madrague devra remplir une déclaration de mise à mort.</w:t>
      </w:r>
      <w:r w:rsidRPr="00D049C3">
        <w:rPr>
          <w:rFonts w:asciiTheme="majorHAnsi" w:hAnsiTheme="majorHAnsi"/>
          <w:sz w:val="20"/>
          <w:u w:val="single"/>
        </w:rPr>
        <w:t xml:space="preserve"> </w:t>
      </w:r>
      <w:r w:rsidRPr="00D049C3">
        <w:rPr>
          <w:rFonts w:asciiTheme="majorHAnsi" w:hAnsiTheme="majorHAnsi"/>
          <w:sz w:val="20"/>
        </w:rPr>
        <w:t>Les déclarations de transformation et de mise à mort devront être vérifiées et, le cas échéant, signées par l'observateur régional de l’ICCAT</w:t>
      </w:r>
      <w:r w:rsidRPr="00397E51">
        <w:rPr>
          <w:rFonts w:asciiTheme="majorHAnsi" w:hAnsiTheme="majorHAnsi"/>
          <w:sz w:val="20"/>
          <w:u w:val="single"/>
        </w:rPr>
        <w:t>/</w:t>
      </w:r>
      <w:r w:rsidRPr="00D049C3">
        <w:rPr>
          <w:rFonts w:asciiTheme="majorHAnsi" w:hAnsiTheme="majorHAnsi"/>
          <w:sz w:val="20"/>
        </w:rPr>
        <w:t xml:space="preserve">l'observateur de la CPC </w:t>
      </w:r>
      <w:r w:rsidRPr="00813D33">
        <w:rPr>
          <w:rFonts w:asciiTheme="majorHAnsi" w:hAnsiTheme="majorHAnsi"/>
          <w:sz w:val="20"/>
          <w:u w:val="single"/>
        </w:rPr>
        <w:t>déployé dans la ferme/madrague</w:t>
      </w:r>
      <w:r w:rsidRPr="00D049C3">
        <w:rPr>
          <w:rFonts w:asciiTheme="majorHAnsi" w:hAnsiTheme="majorHAnsi"/>
          <w:sz w:val="20"/>
        </w:rPr>
        <w:t xml:space="preserve"> lors de l’opération de mise à mort.</w:t>
      </w:r>
    </w:p>
    <w:p w14:paraId="7C859413" w14:textId="77777777" w:rsidR="00C47B46" w:rsidRPr="00D049C3" w:rsidRDefault="00C47B46" w:rsidP="00A863DE">
      <w:pPr>
        <w:spacing w:after="0" w:line="240" w:lineRule="auto"/>
        <w:jc w:val="both"/>
        <w:rPr>
          <w:rFonts w:asciiTheme="majorHAnsi" w:hAnsiTheme="majorHAnsi" w:cs="Times New Roman"/>
          <w:sz w:val="20"/>
          <w:szCs w:val="20"/>
          <w:u w:val="single"/>
        </w:rPr>
      </w:pPr>
    </w:p>
    <w:p w14:paraId="6264BF4B" w14:textId="24C0B5FA" w:rsidR="005D1F8F" w:rsidRPr="00D049C3" w:rsidRDefault="00AA0449" w:rsidP="00A863DE">
      <w:pPr>
        <w:spacing w:after="0" w:line="240" w:lineRule="auto"/>
        <w:jc w:val="both"/>
        <w:rPr>
          <w:rFonts w:asciiTheme="majorHAnsi" w:hAnsiTheme="majorHAnsi" w:cs="Times New Roman"/>
          <w:sz w:val="20"/>
          <w:szCs w:val="20"/>
        </w:rPr>
      </w:pPr>
      <w:r w:rsidRPr="00D049C3">
        <w:rPr>
          <w:rFonts w:asciiTheme="majorHAnsi" w:hAnsiTheme="majorHAnsi"/>
          <w:b/>
          <w:bCs/>
          <w:sz w:val="20"/>
        </w:rPr>
        <w:t>Paragraphe 195.</w:t>
      </w:r>
      <w:r w:rsidRPr="00D049C3">
        <w:rPr>
          <w:rFonts w:asciiTheme="majorHAnsi" w:hAnsiTheme="majorHAnsi"/>
          <w:sz w:val="20"/>
        </w:rPr>
        <w:t xml:space="preserve"> Les déclaration</w:t>
      </w:r>
      <w:r w:rsidRPr="00813D33">
        <w:rPr>
          <w:rFonts w:asciiTheme="majorHAnsi" w:hAnsiTheme="majorHAnsi"/>
          <w:sz w:val="20"/>
          <w:u w:val="single"/>
        </w:rPr>
        <w:t>s</w:t>
      </w:r>
      <w:r w:rsidRPr="00D049C3">
        <w:rPr>
          <w:rFonts w:asciiTheme="majorHAnsi" w:hAnsiTheme="majorHAnsi"/>
          <w:sz w:val="20"/>
        </w:rPr>
        <w:t xml:space="preserve"> de transformation et les déclaration</w:t>
      </w:r>
      <w:r w:rsidRPr="00813D33">
        <w:rPr>
          <w:rFonts w:asciiTheme="majorHAnsi" w:hAnsiTheme="majorHAnsi"/>
          <w:sz w:val="20"/>
          <w:u w:val="single"/>
        </w:rPr>
        <w:t>s</w:t>
      </w:r>
      <w:r w:rsidRPr="00D049C3">
        <w:rPr>
          <w:rFonts w:asciiTheme="majorHAnsi" w:hAnsiTheme="majorHAnsi"/>
          <w:sz w:val="20"/>
        </w:rPr>
        <w:t xml:space="preserve"> de mise à mort devront contenir au moins les informations suivantes en utilisant l’annexe 15 :</w:t>
      </w:r>
    </w:p>
    <w:p w14:paraId="62AFEADE" w14:textId="77777777" w:rsidR="00A863DE" w:rsidRPr="00D049C3" w:rsidRDefault="00A863DE" w:rsidP="00A863DE">
      <w:pPr>
        <w:spacing w:after="0" w:line="240" w:lineRule="auto"/>
        <w:jc w:val="both"/>
        <w:rPr>
          <w:rFonts w:asciiTheme="majorHAnsi" w:hAnsiTheme="majorHAnsi" w:cs="Times New Roman"/>
          <w:sz w:val="20"/>
          <w:szCs w:val="20"/>
        </w:rPr>
      </w:pPr>
    </w:p>
    <w:p w14:paraId="2AB61FE3" w14:textId="77777777" w:rsidR="005D1F8F" w:rsidRPr="00D049C3" w:rsidRDefault="005D1F8F" w:rsidP="00A863DE">
      <w:pPr>
        <w:tabs>
          <w:tab w:val="left" w:pos="426"/>
        </w:tabs>
        <w:spacing w:after="0" w:line="240" w:lineRule="auto"/>
        <w:jc w:val="both"/>
        <w:rPr>
          <w:rFonts w:asciiTheme="majorHAnsi" w:hAnsiTheme="majorHAnsi" w:cs="Times New Roman"/>
          <w:sz w:val="20"/>
          <w:szCs w:val="20"/>
        </w:rPr>
      </w:pPr>
      <w:r w:rsidRPr="00D049C3">
        <w:rPr>
          <w:rFonts w:asciiTheme="majorHAnsi" w:hAnsiTheme="majorHAnsi"/>
          <w:sz w:val="20"/>
        </w:rPr>
        <w:t>-</w:t>
      </w:r>
      <w:r w:rsidRPr="00D049C3">
        <w:rPr>
          <w:rFonts w:asciiTheme="majorHAnsi" w:hAnsiTheme="majorHAnsi"/>
          <w:sz w:val="20"/>
        </w:rPr>
        <w:tab/>
        <w:t>Date de la mise à mort ;</w:t>
      </w:r>
    </w:p>
    <w:p w14:paraId="27F21CCF" w14:textId="77777777" w:rsidR="005D1F8F" w:rsidRPr="00D049C3" w:rsidRDefault="005D1F8F" w:rsidP="00A863DE">
      <w:pPr>
        <w:tabs>
          <w:tab w:val="left" w:pos="426"/>
        </w:tabs>
        <w:spacing w:after="0" w:line="240" w:lineRule="auto"/>
        <w:jc w:val="both"/>
        <w:rPr>
          <w:rFonts w:asciiTheme="majorHAnsi" w:hAnsiTheme="majorHAnsi" w:cs="Times New Roman"/>
          <w:sz w:val="20"/>
          <w:szCs w:val="20"/>
        </w:rPr>
      </w:pPr>
      <w:r w:rsidRPr="00D049C3">
        <w:rPr>
          <w:rFonts w:asciiTheme="majorHAnsi" w:hAnsiTheme="majorHAnsi"/>
          <w:sz w:val="20"/>
        </w:rPr>
        <w:t>-</w:t>
      </w:r>
      <w:r w:rsidRPr="00D049C3">
        <w:rPr>
          <w:rFonts w:asciiTheme="majorHAnsi" w:hAnsiTheme="majorHAnsi"/>
          <w:sz w:val="20"/>
        </w:rPr>
        <w:tab/>
        <w:t>Ferme ou madrague ;</w:t>
      </w:r>
    </w:p>
    <w:p w14:paraId="0E4806C5" w14:textId="77777777" w:rsidR="005D1F8F" w:rsidRPr="00D049C3" w:rsidRDefault="005D1F8F" w:rsidP="00A863DE">
      <w:pPr>
        <w:tabs>
          <w:tab w:val="left" w:pos="426"/>
        </w:tabs>
        <w:spacing w:after="0" w:line="240" w:lineRule="auto"/>
        <w:jc w:val="both"/>
        <w:rPr>
          <w:rFonts w:asciiTheme="majorHAnsi" w:hAnsiTheme="majorHAnsi" w:cs="Times New Roman"/>
          <w:sz w:val="20"/>
          <w:szCs w:val="20"/>
        </w:rPr>
      </w:pPr>
      <w:r w:rsidRPr="00D049C3">
        <w:rPr>
          <w:rFonts w:asciiTheme="majorHAnsi" w:hAnsiTheme="majorHAnsi"/>
          <w:sz w:val="20"/>
        </w:rPr>
        <w:t>-</w:t>
      </w:r>
      <w:r w:rsidRPr="00D049C3">
        <w:rPr>
          <w:rFonts w:asciiTheme="majorHAnsi" w:hAnsiTheme="majorHAnsi"/>
          <w:sz w:val="20"/>
        </w:rPr>
        <w:tab/>
        <w:t>Numéro(s) de la/des cage(s) ;</w:t>
      </w:r>
    </w:p>
    <w:p w14:paraId="7C3877AC" w14:textId="77777777" w:rsidR="005D1F8F" w:rsidRPr="00D049C3" w:rsidRDefault="005D1F8F" w:rsidP="00A863DE">
      <w:pPr>
        <w:tabs>
          <w:tab w:val="left" w:pos="426"/>
        </w:tabs>
        <w:spacing w:after="0" w:line="240" w:lineRule="auto"/>
        <w:jc w:val="both"/>
        <w:rPr>
          <w:rFonts w:asciiTheme="majorHAnsi" w:hAnsiTheme="majorHAnsi" w:cs="Times New Roman"/>
          <w:sz w:val="20"/>
          <w:szCs w:val="20"/>
        </w:rPr>
      </w:pPr>
      <w:r w:rsidRPr="00D049C3">
        <w:rPr>
          <w:rFonts w:asciiTheme="majorHAnsi" w:hAnsiTheme="majorHAnsi"/>
          <w:sz w:val="20"/>
        </w:rPr>
        <w:t>-</w:t>
      </w:r>
      <w:r w:rsidRPr="00D049C3">
        <w:rPr>
          <w:rFonts w:asciiTheme="majorHAnsi" w:hAnsiTheme="majorHAnsi"/>
          <w:sz w:val="20"/>
        </w:rPr>
        <w:tab/>
        <w:t>Nombre de spécimens mis à mort ;</w:t>
      </w:r>
    </w:p>
    <w:p w14:paraId="1D5405F6" w14:textId="77777777" w:rsidR="005D1F8F" w:rsidRPr="00D049C3" w:rsidRDefault="005D1F8F" w:rsidP="00A863DE">
      <w:pPr>
        <w:tabs>
          <w:tab w:val="left" w:pos="426"/>
        </w:tabs>
        <w:spacing w:after="0" w:line="240" w:lineRule="auto"/>
        <w:jc w:val="both"/>
        <w:rPr>
          <w:rFonts w:asciiTheme="majorHAnsi" w:hAnsiTheme="majorHAnsi" w:cs="Times New Roman"/>
          <w:sz w:val="20"/>
          <w:szCs w:val="20"/>
        </w:rPr>
      </w:pPr>
      <w:r w:rsidRPr="00D049C3">
        <w:rPr>
          <w:rFonts w:asciiTheme="majorHAnsi" w:hAnsiTheme="majorHAnsi"/>
          <w:sz w:val="20"/>
        </w:rPr>
        <w:t>-</w:t>
      </w:r>
      <w:r w:rsidRPr="00D049C3">
        <w:rPr>
          <w:rFonts w:asciiTheme="majorHAnsi" w:hAnsiTheme="majorHAnsi"/>
          <w:sz w:val="20"/>
        </w:rPr>
        <w:tab/>
        <w:t>Poids vif et poids transformé en kg du thon rouge mis à mort ;</w:t>
      </w:r>
    </w:p>
    <w:p w14:paraId="3B75673D" w14:textId="77777777" w:rsidR="005D1F8F" w:rsidRPr="00D049C3" w:rsidRDefault="005D1F8F" w:rsidP="00A863DE">
      <w:pPr>
        <w:tabs>
          <w:tab w:val="left" w:pos="426"/>
        </w:tabs>
        <w:spacing w:after="0" w:line="240" w:lineRule="auto"/>
        <w:jc w:val="both"/>
        <w:rPr>
          <w:rFonts w:asciiTheme="majorHAnsi" w:hAnsiTheme="majorHAnsi" w:cs="Times New Roman"/>
          <w:sz w:val="20"/>
          <w:szCs w:val="20"/>
        </w:rPr>
      </w:pPr>
      <w:r w:rsidRPr="00D049C3">
        <w:rPr>
          <w:rFonts w:asciiTheme="majorHAnsi" w:hAnsiTheme="majorHAnsi"/>
          <w:sz w:val="20"/>
        </w:rPr>
        <w:t>-</w:t>
      </w:r>
      <w:r w:rsidRPr="00D049C3">
        <w:rPr>
          <w:rFonts w:asciiTheme="majorHAnsi" w:hAnsiTheme="majorHAnsi"/>
          <w:sz w:val="20"/>
        </w:rPr>
        <w:tab/>
        <w:t>Numéro(s) eBCD associé(s) au thon rouge mis à mort ;</w:t>
      </w:r>
    </w:p>
    <w:p w14:paraId="220663D5" w14:textId="77777777" w:rsidR="005D1F8F" w:rsidRPr="00D049C3" w:rsidRDefault="005D1F8F" w:rsidP="00A863DE">
      <w:pPr>
        <w:tabs>
          <w:tab w:val="left" w:pos="426"/>
        </w:tabs>
        <w:spacing w:after="0" w:line="240" w:lineRule="auto"/>
        <w:jc w:val="both"/>
        <w:rPr>
          <w:rFonts w:asciiTheme="majorHAnsi" w:hAnsiTheme="majorHAnsi" w:cs="Times New Roman"/>
          <w:sz w:val="20"/>
          <w:szCs w:val="20"/>
        </w:rPr>
      </w:pPr>
      <w:r w:rsidRPr="00D049C3">
        <w:rPr>
          <w:rFonts w:asciiTheme="majorHAnsi" w:hAnsiTheme="majorHAnsi"/>
          <w:sz w:val="20"/>
        </w:rPr>
        <w:t>-</w:t>
      </w:r>
      <w:r w:rsidRPr="00D049C3">
        <w:rPr>
          <w:rFonts w:asciiTheme="majorHAnsi" w:hAnsiTheme="majorHAnsi"/>
          <w:sz w:val="20"/>
        </w:rPr>
        <w:tab/>
        <w:t>Détails des navires auxiliaires participant à l'opération ;</w:t>
      </w:r>
    </w:p>
    <w:p w14:paraId="6A309F98" w14:textId="77777777" w:rsidR="005D1F8F" w:rsidRPr="00D049C3" w:rsidRDefault="005D1F8F" w:rsidP="00A863DE">
      <w:pPr>
        <w:tabs>
          <w:tab w:val="left" w:pos="426"/>
        </w:tabs>
        <w:spacing w:after="0" w:line="240" w:lineRule="auto"/>
        <w:jc w:val="both"/>
        <w:rPr>
          <w:rFonts w:asciiTheme="majorHAnsi" w:hAnsiTheme="majorHAnsi" w:cs="Times New Roman"/>
          <w:sz w:val="20"/>
          <w:szCs w:val="20"/>
        </w:rPr>
      </w:pPr>
      <w:r w:rsidRPr="00D049C3">
        <w:rPr>
          <w:rFonts w:asciiTheme="majorHAnsi" w:hAnsiTheme="majorHAnsi"/>
          <w:sz w:val="20"/>
        </w:rPr>
        <w:t>-</w:t>
      </w:r>
      <w:r w:rsidRPr="00D049C3">
        <w:rPr>
          <w:rFonts w:asciiTheme="majorHAnsi" w:hAnsiTheme="majorHAnsi"/>
          <w:sz w:val="20"/>
        </w:rPr>
        <w:tab/>
        <w:t>Destination du thon mis à mort (c'est-à-dire exportation, marché local ou autre) ;</w:t>
      </w:r>
    </w:p>
    <w:p w14:paraId="1050612D" w14:textId="6667736B" w:rsidR="005D1F8F" w:rsidRPr="00D049C3" w:rsidRDefault="005D1F8F" w:rsidP="00A863DE">
      <w:pPr>
        <w:tabs>
          <w:tab w:val="left" w:pos="426"/>
        </w:tabs>
        <w:spacing w:after="0" w:line="240" w:lineRule="auto"/>
        <w:ind w:left="426" w:hanging="426"/>
        <w:jc w:val="both"/>
        <w:rPr>
          <w:rFonts w:asciiTheme="majorHAnsi" w:hAnsiTheme="majorHAnsi" w:cs="Times New Roman"/>
          <w:sz w:val="20"/>
          <w:szCs w:val="20"/>
        </w:rPr>
      </w:pPr>
      <w:r w:rsidRPr="00D049C3">
        <w:rPr>
          <w:rFonts w:asciiTheme="majorHAnsi" w:hAnsiTheme="majorHAnsi"/>
          <w:sz w:val="20"/>
        </w:rPr>
        <w:t>-</w:t>
      </w:r>
      <w:r w:rsidRPr="00D049C3">
        <w:rPr>
          <w:rFonts w:asciiTheme="majorHAnsi" w:hAnsiTheme="majorHAnsi"/>
          <w:sz w:val="20"/>
        </w:rPr>
        <w:tab/>
        <w:t>Vérification et, le cas échéant, signature par l'observateur régional de l'ICCAT ou l'observateur de la CPC, selon le cas.</w:t>
      </w:r>
    </w:p>
    <w:p w14:paraId="55AD277E" w14:textId="2FFE005F" w:rsidR="000907DC" w:rsidRPr="00D049C3" w:rsidRDefault="000907DC" w:rsidP="00A863DE">
      <w:pPr>
        <w:tabs>
          <w:tab w:val="left" w:pos="426"/>
        </w:tabs>
        <w:spacing w:after="0" w:line="240" w:lineRule="auto"/>
        <w:jc w:val="both"/>
        <w:rPr>
          <w:rFonts w:asciiTheme="majorHAnsi" w:hAnsiTheme="majorHAnsi" w:cs="Times New Roman"/>
          <w:sz w:val="20"/>
          <w:szCs w:val="20"/>
          <w:u w:val="single"/>
        </w:rPr>
      </w:pPr>
      <w:r w:rsidRPr="00D049C3">
        <w:rPr>
          <w:rFonts w:asciiTheme="majorHAnsi" w:hAnsiTheme="majorHAnsi"/>
          <w:sz w:val="20"/>
          <w:u w:val="single"/>
        </w:rPr>
        <w:t>-</w:t>
      </w:r>
      <w:r w:rsidRPr="00D049C3">
        <w:rPr>
          <w:rFonts w:asciiTheme="majorHAnsi" w:hAnsiTheme="majorHAnsi"/>
          <w:sz w:val="20"/>
          <w:u w:val="single"/>
        </w:rPr>
        <w:tab/>
        <w:t>Pour les déclarations de transformation, le type de couverture (EMS ou observateur humain).</w:t>
      </w:r>
    </w:p>
    <w:p w14:paraId="5712668F" w14:textId="3735151B" w:rsidR="00890746" w:rsidRPr="00D049C3" w:rsidRDefault="00890746" w:rsidP="00A863DE">
      <w:pPr>
        <w:tabs>
          <w:tab w:val="left" w:pos="426"/>
        </w:tabs>
        <w:spacing w:after="0" w:line="240" w:lineRule="auto"/>
        <w:ind w:right="140"/>
        <w:jc w:val="both"/>
        <w:rPr>
          <w:rFonts w:asciiTheme="majorHAnsi" w:hAnsiTheme="majorHAnsi" w:cs="Times New Roman"/>
          <w:sz w:val="20"/>
          <w:szCs w:val="20"/>
          <w:u w:val="single"/>
          <w:lang w:eastAsia="ja-JP"/>
        </w:rPr>
      </w:pPr>
    </w:p>
    <w:p w14:paraId="1F3290F9" w14:textId="4CDD02F2" w:rsidR="00E55613" w:rsidRPr="00D049C3" w:rsidRDefault="00AA0449" w:rsidP="00A863DE">
      <w:pPr>
        <w:tabs>
          <w:tab w:val="left" w:pos="426"/>
        </w:tabs>
        <w:spacing w:after="0" w:line="240" w:lineRule="auto"/>
        <w:ind w:right="140"/>
        <w:jc w:val="both"/>
        <w:rPr>
          <w:rFonts w:asciiTheme="majorHAnsi" w:eastAsia="Cambria" w:hAnsiTheme="majorHAnsi" w:cs="Times New Roman"/>
          <w:b/>
          <w:color w:val="000000"/>
          <w:sz w:val="20"/>
          <w:szCs w:val="20"/>
        </w:rPr>
      </w:pPr>
      <w:r w:rsidRPr="00D049C3">
        <w:rPr>
          <w:rFonts w:asciiTheme="majorHAnsi" w:hAnsiTheme="majorHAnsi"/>
          <w:b/>
          <w:bCs/>
          <w:sz w:val="20"/>
        </w:rPr>
        <w:t>Paragraphe 196.</w:t>
      </w:r>
      <w:r w:rsidRPr="00D049C3">
        <w:rPr>
          <w:rFonts w:asciiTheme="majorHAnsi" w:hAnsiTheme="majorHAnsi"/>
          <w:sz w:val="20"/>
        </w:rPr>
        <w:t xml:space="preserve"> Les déclarations de transformation et de mise à mort devront être envoyées par courrier électronique aux autorités compétentes de la CPC de la ferme</w:t>
      </w:r>
      <w:r w:rsidRPr="00B305F7">
        <w:rPr>
          <w:rFonts w:asciiTheme="majorHAnsi" w:hAnsiTheme="majorHAnsi"/>
          <w:sz w:val="20"/>
          <w:u w:val="single"/>
        </w:rPr>
        <w:t>/madrague</w:t>
      </w:r>
      <w:r w:rsidRPr="00D049C3">
        <w:rPr>
          <w:rFonts w:asciiTheme="majorHAnsi" w:hAnsiTheme="majorHAnsi"/>
          <w:sz w:val="20"/>
        </w:rPr>
        <w:t xml:space="preserve"> dans les 48 heures suivant l'opération de mise à mort.</w:t>
      </w:r>
    </w:p>
    <w:p w14:paraId="099E0352" w14:textId="4A59A8C2" w:rsidR="009678CF" w:rsidRPr="00D049C3" w:rsidRDefault="009678CF" w:rsidP="00A863DE">
      <w:pPr>
        <w:spacing w:after="0" w:line="240" w:lineRule="auto"/>
        <w:jc w:val="both"/>
        <w:rPr>
          <w:rFonts w:asciiTheme="majorHAnsi" w:hAnsiTheme="majorHAnsi" w:cs="Times New Roman"/>
          <w:sz w:val="20"/>
          <w:szCs w:val="20"/>
          <w:lang w:eastAsia="ja-JP"/>
        </w:rPr>
      </w:pPr>
    </w:p>
    <w:p w14:paraId="34C93D62" w14:textId="4B833144" w:rsidR="00C47B46" w:rsidRPr="00D049C3" w:rsidRDefault="00AA0449" w:rsidP="00A863DE">
      <w:pPr>
        <w:spacing w:after="0" w:line="240" w:lineRule="auto"/>
        <w:jc w:val="both"/>
        <w:rPr>
          <w:rFonts w:asciiTheme="majorHAnsi" w:hAnsiTheme="majorHAnsi" w:cs="Times New Roman"/>
          <w:sz w:val="20"/>
          <w:szCs w:val="20"/>
          <w:u w:val="single"/>
        </w:rPr>
      </w:pPr>
      <w:r w:rsidRPr="00D049C3">
        <w:rPr>
          <w:rFonts w:asciiTheme="majorHAnsi" w:hAnsiTheme="majorHAnsi"/>
          <w:b/>
          <w:sz w:val="20"/>
          <w:u w:val="single"/>
        </w:rPr>
        <w:t xml:space="preserve">Paragraphe 196a. </w:t>
      </w:r>
      <w:r w:rsidRPr="00D049C3">
        <w:rPr>
          <w:rFonts w:asciiTheme="majorHAnsi" w:hAnsiTheme="majorHAnsi"/>
          <w:sz w:val="20"/>
          <w:u w:val="single"/>
        </w:rPr>
        <w:t>Les autorités de contrôle de la CPC de la ferme/madrague devront vérifier et recouper les résultats de toutes les opérations de transformation menées sous leur autorité, en s'appuyant sur toutes les informations pertinentes, y compris celles fournies par un observateur régional de l’ICCAT/d'une CPC présent à bord d'un navire de transformation, ainsi que sur les données EMS dès qu'elles sont disponibles. Les données EMS devraient être analysées dans le cadre d'une évaluation des risques.</w:t>
      </w:r>
    </w:p>
    <w:p w14:paraId="1276FB40" w14:textId="644D60B0" w:rsidR="00DD3CCD" w:rsidRPr="00D049C3" w:rsidRDefault="00DD3CCD" w:rsidP="00A863DE">
      <w:pPr>
        <w:spacing w:after="0" w:line="240" w:lineRule="auto"/>
        <w:jc w:val="both"/>
        <w:rPr>
          <w:rFonts w:asciiTheme="majorHAnsi" w:hAnsiTheme="majorHAnsi" w:cs="Times New Roman"/>
          <w:b/>
          <w:bCs/>
          <w:sz w:val="20"/>
          <w:szCs w:val="20"/>
          <w:u w:val="single"/>
          <w:lang w:eastAsia="ja-JP"/>
        </w:rPr>
      </w:pPr>
    </w:p>
    <w:p w14:paraId="4130968E" w14:textId="284B9DBE" w:rsidR="00C47B46" w:rsidRPr="00D049C3" w:rsidRDefault="00AA0449" w:rsidP="00A863DE">
      <w:pPr>
        <w:spacing w:after="0" w:line="240" w:lineRule="auto"/>
        <w:jc w:val="both"/>
        <w:rPr>
          <w:rFonts w:asciiTheme="majorHAnsi" w:hAnsiTheme="majorHAnsi" w:cs="Times New Roman"/>
          <w:b/>
          <w:bCs/>
          <w:sz w:val="20"/>
          <w:szCs w:val="20"/>
          <w:u w:val="single"/>
        </w:rPr>
      </w:pPr>
      <w:r w:rsidRPr="00D049C3">
        <w:rPr>
          <w:rFonts w:asciiTheme="majorHAnsi" w:hAnsiTheme="majorHAnsi"/>
          <w:b/>
          <w:sz w:val="20"/>
          <w:u w:val="single"/>
        </w:rPr>
        <w:t xml:space="preserve">Paragraphe 196b. </w:t>
      </w:r>
      <w:r w:rsidRPr="00D049C3">
        <w:rPr>
          <w:rFonts w:asciiTheme="majorHAnsi" w:hAnsiTheme="majorHAnsi"/>
          <w:sz w:val="20"/>
          <w:u w:val="single"/>
        </w:rPr>
        <w:t>Le stockage, la transmission et/ou la récupération des données EMS devraient  s'effectuer conformément à l'annexe 5 de la Rec. 23-18 relative aux normes minimales d'utilisation des systèmes de surveillance électroniques (EMS) dans les pêcheries de l’ICCAT.</w:t>
      </w:r>
    </w:p>
    <w:p w14:paraId="4EFCC138" w14:textId="7109A986" w:rsidR="00DD3CCD" w:rsidRPr="00D049C3" w:rsidRDefault="00DD3CCD" w:rsidP="00A863DE">
      <w:pPr>
        <w:spacing w:after="0" w:line="240" w:lineRule="auto"/>
        <w:jc w:val="both"/>
        <w:rPr>
          <w:rFonts w:asciiTheme="majorHAnsi" w:hAnsiTheme="majorHAnsi" w:cs="Times New Roman"/>
          <w:sz w:val="20"/>
          <w:szCs w:val="20"/>
          <w:lang w:eastAsia="ja-JP"/>
        </w:rPr>
      </w:pPr>
    </w:p>
    <w:p w14:paraId="6A42D5F4" w14:textId="53285F35" w:rsidR="00DF5D4B" w:rsidRPr="00D049C3" w:rsidRDefault="00DF5D4B" w:rsidP="00A863DE">
      <w:pPr>
        <w:spacing w:after="0" w:line="240" w:lineRule="auto"/>
        <w:jc w:val="both"/>
        <w:rPr>
          <w:rFonts w:asciiTheme="majorHAnsi" w:hAnsiTheme="majorHAnsi" w:cs="Times New Roman"/>
          <w:sz w:val="20"/>
          <w:szCs w:val="20"/>
        </w:rPr>
      </w:pPr>
      <w:r w:rsidRPr="00D049C3">
        <w:rPr>
          <w:rFonts w:asciiTheme="majorHAnsi" w:hAnsiTheme="majorHAnsi"/>
          <w:sz w:val="20"/>
        </w:rPr>
        <w:lastRenderedPageBreak/>
        <w:t>197</w:t>
      </w:r>
      <w:r w:rsidRPr="00D049C3">
        <w:rPr>
          <w:rFonts w:asciiTheme="majorHAnsi" w:hAnsiTheme="majorHAnsi"/>
          <w:b/>
          <w:bCs/>
          <w:sz w:val="20"/>
        </w:rPr>
        <w:t>.</w:t>
      </w:r>
      <w:r w:rsidRPr="00D049C3">
        <w:rPr>
          <w:rFonts w:asciiTheme="majorHAnsi" w:hAnsiTheme="majorHAnsi"/>
          <w:sz w:val="20"/>
        </w:rPr>
        <w:t xml:space="preserve"> La Commission devra envisager de refléter la « transformation à bord » dans l'eBCD lors de sa réunion annuelle de 2023. À cette fin, le Groupe de travail IMM puis le Groupe de travail technique sur l’eBCD devront discuter des exigences techniques, administratives et de contrôle et faire rapport des résultats à la Commission.</w:t>
      </w:r>
    </w:p>
    <w:p w14:paraId="1AD5B046" w14:textId="77777777" w:rsidR="001955D5" w:rsidRPr="00D049C3" w:rsidRDefault="001955D5" w:rsidP="00A863DE">
      <w:pPr>
        <w:spacing w:after="0" w:line="240" w:lineRule="auto"/>
        <w:jc w:val="both"/>
        <w:rPr>
          <w:rFonts w:asciiTheme="majorHAnsi" w:hAnsiTheme="majorHAnsi" w:cs="Times New Roman"/>
          <w:sz w:val="20"/>
          <w:szCs w:val="20"/>
          <w:lang w:eastAsia="ja-JP"/>
        </w:rPr>
      </w:pPr>
    </w:p>
    <w:p w14:paraId="29371A41" w14:textId="77777777" w:rsidR="00A863DE" w:rsidRPr="00D049C3" w:rsidRDefault="00A863DE" w:rsidP="00A863DE">
      <w:pPr>
        <w:spacing w:after="0" w:line="240" w:lineRule="auto"/>
        <w:jc w:val="both"/>
        <w:rPr>
          <w:rFonts w:asciiTheme="majorHAnsi" w:hAnsiTheme="majorHAnsi" w:cs="Times New Roman"/>
          <w:sz w:val="20"/>
          <w:szCs w:val="20"/>
          <w:lang w:eastAsia="ja-JP"/>
        </w:rPr>
      </w:pPr>
    </w:p>
    <w:p w14:paraId="2BEC5FD6" w14:textId="2B644518" w:rsidR="003D792A" w:rsidRPr="00D049C3" w:rsidRDefault="003D792A" w:rsidP="00A863DE">
      <w:pPr>
        <w:spacing w:after="0" w:line="240" w:lineRule="auto"/>
        <w:jc w:val="center"/>
        <w:rPr>
          <w:rFonts w:asciiTheme="majorHAnsi" w:hAnsiTheme="majorHAnsi" w:cs="Times New Roman"/>
          <w:b/>
          <w:bCs/>
          <w:sz w:val="20"/>
          <w:szCs w:val="20"/>
          <w:u w:val="single"/>
        </w:rPr>
      </w:pPr>
      <w:r w:rsidRPr="00D049C3">
        <w:rPr>
          <w:rFonts w:asciiTheme="majorHAnsi" w:hAnsiTheme="majorHAnsi"/>
          <w:b/>
          <w:sz w:val="20"/>
          <w:u w:val="single"/>
        </w:rPr>
        <w:t>Section F(a) - Navires de transformation</w:t>
      </w:r>
    </w:p>
    <w:p w14:paraId="3A66B904" w14:textId="77777777" w:rsidR="00A863DE" w:rsidRPr="00D049C3" w:rsidRDefault="00A863DE" w:rsidP="00A863DE">
      <w:pPr>
        <w:spacing w:after="0" w:line="240" w:lineRule="auto"/>
        <w:jc w:val="both"/>
        <w:rPr>
          <w:rFonts w:asciiTheme="majorHAnsi" w:hAnsiTheme="majorHAnsi" w:cs="Times New Roman"/>
          <w:b/>
          <w:bCs/>
          <w:sz w:val="20"/>
          <w:szCs w:val="20"/>
          <w:u w:val="single"/>
        </w:rPr>
      </w:pPr>
    </w:p>
    <w:p w14:paraId="262566B7" w14:textId="41F6F6CC" w:rsidR="003D792A" w:rsidRPr="007C6A48" w:rsidRDefault="003D792A" w:rsidP="00A863DE">
      <w:pPr>
        <w:spacing w:after="0" w:line="240" w:lineRule="auto"/>
        <w:jc w:val="both"/>
        <w:rPr>
          <w:rFonts w:asciiTheme="majorHAnsi" w:hAnsiTheme="majorHAnsi" w:cs="Times New Roman"/>
          <w:sz w:val="20"/>
          <w:szCs w:val="20"/>
          <w:u w:val="single"/>
        </w:rPr>
      </w:pPr>
      <w:r w:rsidRPr="007C6A48">
        <w:rPr>
          <w:rFonts w:asciiTheme="majorHAnsi" w:hAnsiTheme="majorHAnsi"/>
          <w:b/>
          <w:sz w:val="20"/>
          <w:szCs w:val="20"/>
          <w:u w:val="single"/>
        </w:rPr>
        <w:t xml:space="preserve">Paragraphe 197a. </w:t>
      </w:r>
      <w:r w:rsidRPr="007C6A48">
        <w:rPr>
          <w:rFonts w:asciiTheme="majorHAnsi" w:hAnsiTheme="majorHAnsi"/>
          <w:sz w:val="20"/>
          <w:szCs w:val="20"/>
          <w:u w:val="single"/>
        </w:rPr>
        <w:t xml:space="preserve">Lorsqu'ils sont actifs dans les pêcheries de thon rouge, les navires de transformation devront soit avoir à leur bord un observateur régional de l’ICCAT présent 24 heures sur 24 et 7 jours sur 7, soit être équipés d'un système de surveillance électronique (EMS). </w:t>
      </w:r>
      <w:r w:rsidRPr="007C6A48">
        <w:rPr>
          <w:rFonts w:asciiTheme="majorHAnsi" w:hAnsiTheme="majorHAnsi"/>
          <w:sz w:val="20"/>
          <w:szCs w:val="20"/>
        </w:rPr>
        <w:t xml:space="preserve">Ce système devra respecter les normes minimales et les exigences du programme relatives à l'utilisation de l’EMS dans les pêcheries de l’ICCAT telles que spécifiées dans la </w:t>
      </w:r>
      <w:hyperlink r:id="rId21" w:history="1">
        <w:r w:rsidRPr="007C6A48">
          <w:rPr>
            <w:rStyle w:val="Hyperlink"/>
            <w:rFonts w:asciiTheme="majorHAnsi" w:hAnsiTheme="majorHAnsi"/>
            <w:i/>
            <w:iCs/>
            <w:sz w:val="20"/>
            <w:szCs w:val="20"/>
          </w:rPr>
          <w:t>Recommandation de l’ICCAT visant à établir des normes minimales et des exigences du programme aux fins de l'utilisation des systèmes de surveillance électronique (EMS) dans les pêcheries de l’ICCAT</w:t>
        </w:r>
        <w:r w:rsidRPr="007C6A48">
          <w:rPr>
            <w:rStyle w:val="Hyperlink"/>
            <w:rFonts w:asciiTheme="majorHAnsi" w:hAnsiTheme="majorHAnsi"/>
            <w:sz w:val="20"/>
            <w:szCs w:val="20"/>
          </w:rPr>
          <w:t xml:space="preserve"> (Rec. 23-18)</w:t>
        </w:r>
      </w:hyperlink>
      <w:r w:rsidRPr="007C6A48">
        <w:rPr>
          <w:rFonts w:asciiTheme="majorHAnsi" w:hAnsiTheme="majorHAnsi"/>
          <w:sz w:val="20"/>
          <w:szCs w:val="20"/>
        </w:rPr>
        <w:t>.</w:t>
      </w:r>
    </w:p>
    <w:p w14:paraId="03E24962" w14:textId="77777777" w:rsidR="003D792A" w:rsidRPr="007C6A48" w:rsidRDefault="003D792A" w:rsidP="00A863DE">
      <w:pPr>
        <w:spacing w:after="0" w:line="240" w:lineRule="auto"/>
        <w:jc w:val="both"/>
        <w:rPr>
          <w:rFonts w:asciiTheme="majorHAnsi" w:hAnsiTheme="majorHAnsi" w:cs="Times New Roman"/>
          <w:b/>
          <w:bCs/>
          <w:sz w:val="20"/>
          <w:szCs w:val="20"/>
          <w:u w:val="single"/>
        </w:rPr>
      </w:pPr>
    </w:p>
    <w:p w14:paraId="1B25F258" w14:textId="2EFC1A68" w:rsidR="003D792A" w:rsidRPr="007C6A48" w:rsidRDefault="003D792A" w:rsidP="00A863DE">
      <w:pPr>
        <w:spacing w:after="0" w:line="240" w:lineRule="auto"/>
        <w:jc w:val="both"/>
        <w:rPr>
          <w:rFonts w:asciiTheme="majorHAnsi" w:hAnsiTheme="majorHAnsi" w:cs="Times New Roman"/>
          <w:sz w:val="20"/>
          <w:szCs w:val="20"/>
          <w:u w:val="single"/>
        </w:rPr>
      </w:pPr>
      <w:r w:rsidRPr="007C6A48">
        <w:rPr>
          <w:rFonts w:asciiTheme="majorHAnsi" w:hAnsiTheme="majorHAnsi"/>
          <w:b/>
          <w:sz w:val="20"/>
          <w:szCs w:val="20"/>
          <w:u w:val="single"/>
        </w:rPr>
        <w:t>Paragraphe 197b.</w:t>
      </w:r>
      <w:r w:rsidRPr="007C6A48">
        <w:rPr>
          <w:rFonts w:asciiTheme="majorHAnsi" w:hAnsiTheme="majorHAnsi"/>
          <w:sz w:val="20"/>
          <w:szCs w:val="20"/>
          <w:u w:val="single"/>
        </w:rPr>
        <w:t xml:space="preserve"> À cette fin, les autorités de contrôle de la CPC de la ferme/madrague devront confirmer que l’EMS est pleinement opérationnel ou qu'un observateur régional se trouve à bord dès l'arrivée du navire à une ferme/madrague et avant le début des opérations.</w:t>
      </w:r>
    </w:p>
    <w:p w14:paraId="19CEE739" w14:textId="77777777" w:rsidR="003D792A" w:rsidRPr="007C6A48" w:rsidRDefault="003D792A" w:rsidP="00A863DE">
      <w:pPr>
        <w:spacing w:after="0" w:line="240" w:lineRule="auto"/>
        <w:jc w:val="both"/>
        <w:rPr>
          <w:rFonts w:asciiTheme="majorHAnsi" w:hAnsiTheme="majorHAnsi" w:cs="Times New Roman"/>
          <w:sz w:val="20"/>
          <w:szCs w:val="20"/>
          <w:u w:val="single"/>
        </w:rPr>
      </w:pPr>
    </w:p>
    <w:p w14:paraId="31893399" w14:textId="1194B64C" w:rsidR="003D792A" w:rsidRPr="007C6A48" w:rsidRDefault="003D792A" w:rsidP="00A863DE">
      <w:pPr>
        <w:spacing w:after="0" w:line="240" w:lineRule="auto"/>
        <w:jc w:val="both"/>
        <w:rPr>
          <w:rFonts w:asciiTheme="majorHAnsi" w:hAnsiTheme="majorHAnsi" w:cs="Times New Roman"/>
          <w:sz w:val="20"/>
          <w:szCs w:val="20"/>
          <w:u w:val="single"/>
        </w:rPr>
      </w:pPr>
      <w:r w:rsidRPr="007C6A48">
        <w:rPr>
          <w:rFonts w:asciiTheme="majorHAnsi" w:hAnsiTheme="majorHAnsi"/>
          <w:b/>
          <w:bCs/>
          <w:sz w:val="20"/>
          <w:szCs w:val="20"/>
          <w:u w:val="single"/>
        </w:rPr>
        <w:t>Paragraphe 197c.</w:t>
      </w:r>
      <w:r w:rsidRPr="007C6A48">
        <w:rPr>
          <w:rFonts w:asciiTheme="majorHAnsi" w:hAnsiTheme="majorHAnsi"/>
          <w:sz w:val="20"/>
          <w:szCs w:val="20"/>
          <w:u w:val="single"/>
        </w:rPr>
        <w:t xml:space="preserve"> Lorsqu'un système EMS est utilisé, en cas de dysfonctionnement de ce dernier, les opérations de mise à mort ne peuvent pas avoir lieu tant que la couverture d’observateurs n'est pas garantie. Les opérations pourront reprendre dès que les autorités de contrôle de la CPC de la ferme/madrague auront vérifié que ces exigences sont remplies. Une telle couverture implique le déploiement d'un observateur humain à bord du navire de transformation 24 heures sur 24, 7 jours sur 7, jusqu'à ce que la panne soit réparée. L'opérateur du navire de transformation devra veiller à ce qu'un observateur régional de l’ICCAT/un observateur de la CPC soit déployé à bord du navire de transformation. Si le système EMS ne peut être réparé pendant que le navire est en mer, l'opérateur du navire de transformation devra veiller à ce que le système EMS soit réparé lors de la première entrée au port du navire, sauf si un observateur humain est présent à bord.</w:t>
      </w:r>
    </w:p>
    <w:p w14:paraId="778D4FC4" w14:textId="77777777" w:rsidR="003D792A" w:rsidRPr="007C6A48" w:rsidRDefault="003D792A" w:rsidP="00A863DE">
      <w:pPr>
        <w:spacing w:after="0" w:line="240" w:lineRule="auto"/>
        <w:jc w:val="both"/>
        <w:rPr>
          <w:rFonts w:asciiTheme="majorHAnsi" w:hAnsiTheme="majorHAnsi" w:cs="Times New Roman"/>
          <w:sz w:val="20"/>
          <w:szCs w:val="20"/>
          <w:u w:val="single"/>
        </w:rPr>
      </w:pPr>
    </w:p>
    <w:p w14:paraId="033A1495" w14:textId="34436B2A" w:rsidR="003D792A" w:rsidRPr="007C6A48" w:rsidRDefault="003D792A" w:rsidP="00A863DE">
      <w:pPr>
        <w:spacing w:after="0" w:line="240" w:lineRule="auto"/>
        <w:jc w:val="both"/>
        <w:rPr>
          <w:rFonts w:asciiTheme="majorHAnsi" w:hAnsiTheme="majorHAnsi" w:cs="Times New Roman"/>
          <w:sz w:val="20"/>
          <w:szCs w:val="20"/>
          <w:u w:val="single"/>
        </w:rPr>
      </w:pPr>
      <w:r w:rsidRPr="007C6A48">
        <w:rPr>
          <w:rFonts w:asciiTheme="majorHAnsi" w:hAnsiTheme="majorHAnsi"/>
          <w:b/>
          <w:sz w:val="20"/>
          <w:szCs w:val="20"/>
          <w:u w:val="single"/>
        </w:rPr>
        <w:t xml:space="preserve">Paragraphe 197d. </w:t>
      </w:r>
      <w:r w:rsidRPr="007C6A48">
        <w:rPr>
          <w:rFonts w:asciiTheme="majorHAnsi" w:hAnsiTheme="majorHAnsi"/>
          <w:sz w:val="20"/>
          <w:szCs w:val="20"/>
          <w:u w:val="single"/>
        </w:rPr>
        <w:t xml:space="preserve">En tant que circonstance exceptionnelle dûment justifiée, jusqu’à la remise en service du système EMS et jusqu’à ce que le déploiement d’observateurs humains assurant une couverture 24 heures sur </w:t>
      </w:r>
      <w:r w:rsidRPr="000F1F7F">
        <w:rPr>
          <w:rFonts w:asciiTheme="majorHAnsi" w:hAnsiTheme="majorHAnsi"/>
          <w:sz w:val="20"/>
          <w:szCs w:val="20"/>
          <w:u w:val="single"/>
        </w:rPr>
        <w:t xml:space="preserve">24 et 7 jours sur 7 soit possible, les autorités de contrôle de la CPC de la ferme/madrague pourront autoriser la reprise des opérations de mise à mort et de transfert en présence d'un observateur </w:t>
      </w:r>
      <w:r w:rsidR="007C6A48" w:rsidRPr="000F1F7F">
        <w:rPr>
          <w:rFonts w:asciiTheme="majorHAnsi" w:hAnsiTheme="majorHAnsi"/>
          <w:sz w:val="20"/>
          <w:szCs w:val="20"/>
          <w:u w:val="single"/>
        </w:rPr>
        <w:t xml:space="preserve">régional </w:t>
      </w:r>
      <w:r w:rsidRPr="000F1F7F">
        <w:rPr>
          <w:rFonts w:asciiTheme="majorHAnsi" w:hAnsiTheme="majorHAnsi"/>
          <w:sz w:val="20"/>
          <w:szCs w:val="20"/>
          <w:u w:val="single"/>
        </w:rPr>
        <w:t>de l’ICCAT/de la CPC à bord du navire de transformation pendant toutes les opérations de transformation</w:t>
      </w:r>
      <w:r w:rsidRPr="007C6A48">
        <w:rPr>
          <w:rFonts w:asciiTheme="majorHAnsi" w:hAnsiTheme="majorHAnsi"/>
          <w:sz w:val="20"/>
          <w:szCs w:val="20"/>
          <w:u w:val="single"/>
        </w:rPr>
        <w:t xml:space="preserve"> afin de garantir une couverture exhaustive de toutes ces opérations. Ces circonstances ne devront pas avoir d'incidence sur la couverture des observateurs lors de la mise à mort dans la ferme/madrague.</w:t>
      </w:r>
    </w:p>
    <w:p w14:paraId="71267F7C" w14:textId="77777777" w:rsidR="001955D5" w:rsidRPr="007C6A48" w:rsidRDefault="001955D5" w:rsidP="00A863DE">
      <w:pPr>
        <w:spacing w:after="0" w:line="240" w:lineRule="auto"/>
        <w:jc w:val="both"/>
        <w:rPr>
          <w:rFonts w:asciiTheme="majorHAnsi" w:hAnsiTheme="majorHAnsi"/>
          <w:sz w:val="20"/>
          <w:szCs w:val="20"/>
        </w:rPr>
      </w:pPr>
    </w:p>
    <w:p w14:paraId="66344DB3" w14:textId="7EBB8017" w:rsidR="003D792A" w:rsidRPr="007C6A48" w:rsidRDefault="003D792A" w:rsidP="00A863DE">
      <w:pPr>
        <w:spacing w:after="0" w:line="240" w:lineRule="auto"/>
        <w:jc w:val="both"/>
        <w:rPr>
          <w:rFonts w:asciiTheme="majorHAnsi" w:eastAsia="Cambria" w:hAnsiTheme="majorHAnsi" w:cs="Cambria"/>
          <w:sz w:val="20"/>
          <w:szCs w:val="20"/>
          <w:u w:val="single"/>
        </w:rPr>
      </w:pPr>
      <w:r w:rsidRPr="007C6A48">
        <w:rPr>
          <w:rFonts w:asciiTheme="majorHAnsi" w:hAnsiTheme="majorHAnsi"/>
          <w:sz w:val="20"/>
          <w:szCs w:val="20"/>
          <w:u w:val="single"/>
        </w:rPr>
        <w:t>Si l’EMS est utilisé, une période de préparation et d’essai d'un an est prévue à partir de l’entrée en vigueur de la présente Recommandation, au cours de laquelle la présence des autorités de la CPC de la ferme ou d’observateurs régionaux de l’ICCAT à bord du navire de transformation est requise pendant toutes les opérations de transformation.</w:t>
      </w:r>
    </w:p>
    <w:p w14:paraId="548101DD" w14:textId="77777777" w:rsidR="003D792A" w:rsidRPr="007C6A48" w:rsidRDefault="003D792A" w:rsidP="00A863DE">
      <w:pPr>
        <w:spacing w:after="0" w:line="240" w:lineRule="auto"/>
        <w:jc w:val="both"/>
        <w:rPr>
          <w:rFonts w:asciiTheme="majorHAnsi" w:hAnsiTheme="majorHAnsi" w:cs="Times New Roman"/>
          <w:sz w:val="20"/>
          <w:szCs w:val="20"/>
          <w:lang w:eastAsia="ja-JP"/>
        </w:rPr>
      </w:pPr>
    </w:p>
    <w:sectPr w:rsidR="003D792A" w:rsidRPr="007C6A48" w:rsidSect="00CE65F1">
      <w:headerReference w:type="default" r:id="rId22"/>
      <w:footerReference w:type="default" r:id="rId23"/>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F1BCA" w14:textId="77777777" w:rsidR="00150A60" w:rsidRDefault="00150A60" w:rsidP="006D076A">
      <w:pPr>
        <w:spacing w:after="0" w:line="240" w:lineRule="auto"/>
      </w:pPr>
      <w:r>
        <w:separator/>
      </w:r>
    </w:p>
  </w:endnote>
  <w:endnote w:type="continuationSeparator" w:id="0">
    <w:p w14:paraId="009889E7" w14:textId="77777777" w:rsidR="00150A60" w:rsidRDefault="00150A60" w:rsidP="006D0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2F565" w14:textId="53B890A4" w:rsidR="00B84401" w:rsidRPr="00B84401" w:rsidRDefault="00150A60" w:rsidP="00B84401">
    <w:pPr>
      <w:tabs>
        <w:tab w:val="center" w:pos="4535"/>
        <w:tab w:val="center" w:pos="4680"/>
        <w:tab w:val="left" w:pos="6150"/>
        <w:tab w:val="right" w:pos="9360"/>
      </w:tabs>
      <w:spacing w:after="0" w:line="240" w:lineRule="auto"/>
      <w:jc w:val="center"/>
      <w:rPr>
        <w:rFonts w:ascii="Cambria" w:eastAsia="Calibri" w:hAnsi="Cambria"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B84401" w:rsidRPr="00713AD4">
          <w:rPr>
            <w:rFonts w:ascii="Cambria" w:eastAsia="Calibri" w:hAnsi="Cambria" w:cs="Calibri"/>
            <w:sz w:val="20"/>
          </w:rPr>
          <w:fldChar w:fldCharType="begin"/>
        </w:r>
        <w:r w:rsidR="00B84401" w:rsidRPr="00713AD4">
          <w:rPr>
            <w:rFonts w:ascii="Cambria" w:eastAsia="Calibri" w:hAnsi="Cambria" w:cs="Calibri"/>
            <w:sz w:val="20"/>
          </w:rPr>
          <w:instrText xml:space="preserve"> PAGE </w:instrText>
        </w:r>
        <w:r w:rsidR="00B84401" w:rsidRPr="00713AD4">
          <w:rPr>
            <w:rFonts w:ascii="Cambria" w:eastAsia="Calibri" w:hAnsi="Cambria" w:cs="Calibri"/>
            <w:sz w:val="20"/>
          </w:rPr>
          <w:fldChar w:fldCharType="separate"/>
        </w:r>
        <w:r w:rsidR="00B84401">
          <w:rPr>
            <w:rFonts w:ascii="Cambria" w:eastAsia="Calibri" w:hAnsi="Cambria" w:cs="Calibri"/>
            <w:sz w:val="20"/>
          </w:rPr>
          <w:t>1</w:t>
        </w:r>
        <w:r w:rsidR="00B84401" w:rsidRPr="00713AD4">
          <w:rPr>
            <w:rFonts w:ascii="Cambria" w:eastAsia="Calibri" w:hAnsi="Cambria" w:cs="Calibri"/>
            <w:sz w:val="20"/>
          </w:rPr>
          <w:fldChar w:fldCharType="end"/>
        </w:r>
        <w:r w:rsidR="00DA74B9">
          <w:rPr>
            <w:rFonts w:ascii="Cambria" w:hAnsi="Cambria"/>
            <w:sz w:val="20"/>
          </w:rPr>
          <w:t xml:space="preserve"> / </w:t>
        </w:r>
        <w:r w:rsidR="00B84401" w:rsidRPr="00713AD4">
          <w:rPr>
            <w:rFonts w:ascii="Cambria" w:eastAsia="Calibri" w:hAnsi="Cambria" w:cs="Calibri"/>
            <w:sz w:val="20"/>
          </w:rPr>
          <w:fldChar w:fldCharType="begin"/>
        </w:r>
        <w:r w:rsidR="00B84401" w:rsidRPr="00713AD4">
          <w:rPr>
            <w:rFonts w:ascii="Cambria" w:eastAsia="Calibri" w:hAnsi="Cambria" w:cs="Calibri"/>
            <w:sz w:val="20"/>
          </w:rPr>
          <w:instrText xml:space="preserve"> NUMPAGES  </w:instrText>
        </w:r>
        <w:r w:rsidR="00B84401" w:rsidRPr="00713AD4">
          <w:rPr>
            <w:rFonts w:ascii="Cambria" w:eastAsia="Calibri" w:hAnsi="Cambria" w:cs="Calibri"/>
            <w:sz w:val="20"/>
          </w:rPr>
          <w:fldChar w:fldCharType="separate"/>
        </w:r>
        <w:r w:rsidR="00B84401">
          <w:rPr>
            <w:rFonts w:ascii="Cambria" w:eastAsia="Calibri" w:hAnsi="Cambria" w:cs="Calibri"/>
            <w:sz w:val="20"/>
          </w:rPr>
          <w:t>2</w:t>
        </w:r>
        <w:r w:rsidR="00B84401" w:rsidRPr="00713AD4">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6C25F" w14:textId="77777777" w:rsidR="00150A60" w:rsidRDefault="00150A60" w:rsidP="006D076A">
      <w:pPr>
        <w:spacing w:after="0" w:line="240" w:lineRule="auto"/>
      </w:pPr>
      <w:r>
        <w:separator/>
      </w:r>
    </w:p>
  </w:footnote>
  <w:footnote w:type="continuationSeparator" w:id="0">
    <w:p w14:paraId="131FE0C1" w14:textId="77777777" w:rsidR="00150A60" w:rsidRDefault="00150A60" w:rsidP="006D0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4F6AA" w14:textId="52678015" w:rsidR="006D0E67" w:rsidRPr="006D0E67" w:rsidRDefault="006D0E67" w:rsidP="006D0E67">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sz w:val="20"/>
      </w:rPr>
      <w:t>PWG_421/2026</w:t>
    </w:r>
  </w:p>
  <w:p w14:paraId="46C0D983" w14:textId="2D3B75ED" w:rsidR="006D076A" w:rsidRDefault="006D0E67" w:rsidP="00A51188">
    <w:pPr>
      <w:tabs>
        <w:tab w:val="left" w:pos="7320"/>
      </w:tabs>
      <w:spacing w:after="0" w:line="240" w:lineRule="exact"/>
      <w:jc w:val="right"/>
    </w:pPr>
    <w:r w:rsidRPr="006D0E67">
      <w:rPr>
        <w:rFonts w:ascii="Cambria" w:eastAsia="Times New Roman" w:hAnsi="Cambria" w:cs="Times New Roman"/>
        <w:b/>
        <w:sz w:val="16"/>
      </w:rPr>
      <w:fldChar w:fldCharType="begin"/>
    </w:r>
    <w:r w:rsidRPr="006D0E67">
      <w:rPr>
        <w:rFonts w:ascii="Cambria" w:eastAsia="Times New Roman" w:hAnsi="Cambria" w:cs="Times New Roman"/>
        <w:b/>
        <w:sz w:val="16"/>
      </w:rPr>
      <w:instrText xml:space="preserve"> TIME \@ "dd/MM/yyyy H:mm" </w:instrText>
    </w:r>
    <w:r w:rsidRPr="006D0E67">
      <w:rPr>
        <w:rFonts w:ascii="Cambria" w:eastAsia="Times New Roman" w:hAnsi="Cambria" w:cs="Times New Roman"/>
        <w:b/>
        <w:sz w:val="16"/>
      </w:rPr>
      <w:fldChar w:fldCharType="separate"/>
    </w:r>
    <w:r w:rsidR="000F1F7F">
      <w:rPr>
        <w:rFonts w:ascii="Cambria" w:eastAsia="Times New Roman" w:hAnsi="Cambria" w:cs="Times New Roman"/>
        <w:b/>
        <w:noProof/>
        <w:sz w:val="16"/>
      </w:rPr>
      <w:t>28/10/2026 11:11</w:t>
    </w:r>
    <w:r w:rsidRPr="006D0E67">
      <w:rPr>
        <w:rFonts w:ascii="Cambria" w:eastAsia="Times New Roman" w:hAnsi="Cambria" w:cs="Times New Roman"/>
        <w:b/>
        <w:bCs/>
        <w:kern w:val="0"/>
        <w:sz w:val="16"/>
        <w:szCs w:val="16"/>
        <w:lang w:val="es-ES_tradnl"/>
        <w14:ligatures w14:val="none"/>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61B6D"/>
    <w:multiLevelType w:val="multilevel"/>
    <w:tmpl w:val="A920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BF6A09"/>
    <w:multiLevelType w:val="hybridMultilevel"/>
    <w:tmpl w:val="7618F256"/>
    <w:lvl w:ilvl="0" w:tplc="2F94BCF8">
      <w:start w:val="1"/>
      <w:numFmt w:val="bullet"/>
      <w:lvlText w:val=""/>
      <w:lvlJc w:val="left"/>
      <w:pPr>
        <w:ind w:left="720" w:hanging="360"/>
      </w:pPr>
      <w:rPr>
        <w:rFonts w:ascii="Symbol" w:hAnsi="Symbol" w:hint="default"/>
      </w:rPr>
    </w:lvl>
    <w:lvl w:ilvl="1" w:tplc="8934354A" w:tentative="1">
      <w:start w:val="1"/>
      <w:numFmt w:val="bullet"/>
      <w:lvlText w:val="o"/>
      <w:lvlJc w:val="left"/>
      <w:pPr>
        <w:ind w:left="1440" w:hanging="360"/>
      </w:pPr>
      <w:rPr>
        <w:rFonts w:ascii="Courier New" w:hAnsi="Courier New" w:hint="default"/>
      </w:rPr>
    </w:lvl>
    <w:lvl w:ilvl="2" w:tplc="A9F0E51C" w:tentative="1">
      <w:start w:val="1"/>
      <w:numFmt w:val="bullet"/>
      <w:lvlText w:val=""/>
      <w:lvlJc w:val="left"/>
      <w:pPr>
        <w:ind w:left="2160" w:hanging="360"/>
      </w:pPr>
      <w:rPr>
        <w:rFonts w:ascii="Wingdings" w:hAnsi="Wingdings" w:hint="default"/>
      </w:rPr>
    </w:lvl>
    <w:lvl w:ilvl="3" w:tplc="2A264C9E" w:tentative="1">
      <w:start w:val="1"/>
      <w:numFmt w:val="bullet"/>
      <w:lvlText w:val=""/>
      <w:lvlJc w:val="left"/>
      <w:pPr>
        <w:ind w:left="2880" w:hanging="360"/>
      </w:pPr>
      <w:rPr>
        <w:rFonts w:ascii="Symbol" w:hAnsi="Symbol" w:hint="default"/>
      </w:rPr>
    </w:lvl>
    <w:lvl w:ilvl="4" w:tplc="A3F20CC0" w:tentative="1">
      <w:start w:val="1"/>
      <w:numFmt w:val="bullet"/>
      <w:lvlText w:val="o"/>
      <w:lvlJc w:val="left"/>
      <w:pPr>
        <w:ind w:left="3600" w:hanging="360"/>
      </w:pPr>
      <w:rPr>
        <w:rFonts w:ascii="Courier New" w:hAnsi="Courier New" w:hint="default"/>
      </w:rPr>
    </w:lvl>
    <w:lvl w:ilvl="5" w:tplc="7700BFBC" w:tentative="1">
      <w:start w:val="1"/>
      <w:numFmt w:val="bullet"/>
      <w:lvlText w:val=""/>
      <w:lvlJc w:val="left"/>
      <w:pPr>
        <w:ind w:left="4320" w:hanging="360"/>
      </w:pPr>
      <w:rPr>
        <w:rFonts w:ascii="Wingdings" w:hAnsi="Wingdings" w:hint="default"/>
      </w:rPr>
    </w:lvl>
    <w:lvl w:ilvl="6" w:tplc="45F09104" w:tentative="1">
      <w:start w:val="1"/>
      <w:numFmt w:val="bullet"/>
      <w:lvlText w:val=""/>
      <w:lvlJc w:val="left"/>
      <w:pPr>
        <w:ind w:left="5040" w:hanging="360"/>
      </w:pPr>
      <w:rPr>
        <w:rFonts w:ascii="Symbol" w:hAnsi="Symbol" w:hint="default"/>
      </w:rPr>
    </w:lvl>
    <w:lvl w:ilvl="7" w:tplc="CF1623B4" w:tentative="1">
      <w:start w:val="1"/>
      <w:numFmt w:val="bullet"/>
      <w:lvlText w:val="o"/>
      <w:lvlJc w:val="left"/>
      <w:pPr>
        <w:ind w:left="5760" w:hanging="360"/>
      </w:pPr>
      <w:rPr>
        <w:rFonts w:ascii="Courier New" w:hAnsi="Courier New" w:hint="default"/>
      </w:rPr>
    </w:lvl>
    <w:lvl w:ilvl="8" w:tplc="1360C9BA" w:tentative="1">
      <w:start w:val="1"/>
      <w:numFmt w:val="bullet"/>
      <w:lvlText w:val=""/>
      <w:lvlJc w:val="left"/>
      <w:pPr>
        <w:ind w:left="6480" w:hanging="360"/>
      </w:pPr>
      <w:rPr>
        <w:rFonts w:ascii="Wingdings" w:hAnsi="Wingdings" w:hint="default"/>
      </w:rPr>
    </w:lvl>
  </w:abstractNum>
  <w:abstractNum w:abstractNumId="2" w15:restartNumberingAfterBreak="0">
    <w:nsid w:val="090C4045"/>
    <w:multiLevelType w:val="hybridMultilevel"/>
    <w:tmpl w:val="4D262144"/>
    <w:lvl w:ilvl="0" w:tplc="A01E18A2">
      <w:start w:val="1"/>
      <w:numFmt w:val="bullet"/>
      <w:lvlText w:val="-"/>
      <w:lvlJc w:val="left"/>
      <w:pPr>
        <w:ind w:left="720" w:hanging="360"/>
      </w:pPr>
      <w:rPr>
        <w:rFonts w:ascii="Aptos" w:hAnsi="Aptos" w:hint="default"/>
      </w:rPr>
    </w:lvl>
    <w:lvl w:ilvl="1" w:tplc="7A92C784">
      <w:start w:val="1"/>
      <w:numFmt w:val="bullet"/>
      <w:lvlText w:val="o"/>
      <w:lvlJc w:val="left"/>
      <w:pPr>
        <w:ind w:left="1440" w:hanging="360"/>
      </w:pPr>
      <w:rPr>
        <w:rFonts w:ascii="Courier New" w:hAnsi="Courier New" w:hint="default"/>
      </w:rPr>
    </w:lvl>
    <w:lvl w:ilvl="2" w:tplc="B41C1D4C">
      <w:start w:val="1"/>
      <w:numFmt w:val="bullet"/>
      <w:lvlText w:val=""/>
      <w:lvlJc w:val="left"/>
      <w:pPr>
        <w:ind w:left="2160" w:hanging="360"/>
      </w:pPr>
      <w:rPr>
        <w:rFonts w:ascii="Wingdings" w:hAnsi="Wingdings" w:hint="default"/>
      </w:rPr>
    </w:lvl>
    <w:lvl w:ilvl="3" w:tplc="4740EE26">
      <w:start w:val="1"/>
      <w:numFmt w:val="bullet"/>
      <w:lvlText w:val=""/>
      <w:lvlJc w:val="left"/>
      <w:pPr>
        <w:ind w:left="2880" w:hanging="360"/>
      </w:pPr>
      <w:rPr>
        <w:rFonts w:ascii="Symbol" w:hAnsi="Symbol" w:hint="default"/>
      </w:rPr>
    </w:lvl>
    <w:lvl w:ilvl="4" w:tplc="A6FCB7E6">
      <w:start w:val="1"/>
      <w:numFmt w:val="bullet"/>
      <w:lvlText w:val="o"/>
      <w:lvlJc w:val="left"/>
      <w:pPr>
        <w:ind w:left="3600" w:hanging="360"/>
      </w:pPr>
      <w:rPr>
        <w:rFonts w:ascii="Courier New" w:hAnsi="Courier New" w:hint="default"/>
      </w:rPr>
    </w:lvl>
    <w:lvl w:ilvl="5" w:tplc="A588BE6E">
      <w:start w:val="1"/>
      <w:numFmt w:val="bullet"/>
      <w:lvlText w:val=""/>
      <w:lvlJc w:val="left"/>
      <w:pPr>
        <w:ind w:left="4320" w:hanging="360"/>
      </w:pPr>
      <w:rPr>
        <w:rFonts w:ascii="Wingdings" w:hAnsi="Wingdings" w:hint="default"/>
      </w:rPr>
    </w:lvl>
    <w:lvl w:ilvl="6" w:tplc="3BAEE4FC">
      <w:start w:val="1"/>
      <w:numFmt w:val="bullet"/>
      <w:lvlText w:val=""/>
      <w:lvlJc w:val="left"/>
      <w:pPr>
        <w:ind w:left="5040" w:hanging="360"/>
      </w:pPr>
      <w:rPr>
        <w:rFonts w:ascii="Symbol" w:hAnsi="Symbol" w:hint="default"/>
      </w:rPr>
    </w:lvl>
    <w:lvl w:ilvl="7" w:tplc="2516387E">
      <w:start w:val="1"/>
      <w:numFmt w:val="bullet"/>
      <w:lvlText w:val="o"/>
      <w:lvlJc w:val="left"/>
      <w:pPr>
        <w:ind w:left="5760" w:hanging="360"/>
      </w:pPr>
      <w:rPr>
        <w:rFonts w:ascii="Courier New" w:hAnsi="Courier New" w:hint="default"/>
      </w:rPr>
    </w:lvl>
    <w:lvl w:ilvl="8" w:tplc="B02296BE">
      <w:start w:val="1"/>
      <w:numFmt w:val="bullet"/>
      <w:lvlText w:val=""/>
      <w:lvlJc w:val="left"/>
      <w:pPr>
        <w:ind w:left="6480" w:hanging="360"/>
      </w:pPr>
      <w:rPr>
        <w:rFonts w:ascii="Wingdings" w:hAnsi="Wingdings" w:hint="default"/>
      </w:rPr>
    </w:lvl>
  </w:abstractNum>
  <w:abstractNum w:abstractNumId="3" w15:restartNumberingAfterBreak="0">
    <w:nsid w:val="0E8D697E"/>
    <w:multiLevelType w:val="hybridMultilevel"/>
    <w:tmpl w:val="2B548786"/>
    <w:lvl w:ilvl="0" w:tplc="D9843478">
      <w:start w:val="1"/>
      <w:numFmt w:val="decimal"/>
      <w:lvlText w:val="%1."/>
      <w:lvlJc w:val="left"/>
      <w:pPr>
        <w:ind w:left="720" w:hanging="360"/>
      </w:pPr>
    </w:lvl>
    <w:lvl w:ilvl="1" w:tplc="61427BB8" w:tentative="1">
      <w:start w:val="1"/>
      <w:numFmt w:val="lowerLetter"/>
      <w:lvlText w:val="%2."/>
      <w:lvlJc w:val="left"/>
      <w:pPr>
        <w:ind w:left="1440" w:hanging="360"/>
      </w:pPr>
    </w:lvl>
    <w:lvl w:ilvl="2" w:tplc="E8162D9A" w:tentative="1">
      <w:start w:val="1"/>
      <w:numFmt w:val="lowerRoman"/>
      <w:lvlText w:val="%3."/>
      <w:lvlJc w:val="right"/>
      <w:pPr>
        <w:ind w:left="2160" w:hanging="180"/>
      </w:pPr>
    </w:lvl>
    <w:lvl w:ilvl="3" w:tplc="D7CAFA22" w:tentative="1">
      <w:start w:val="1"/>
      <w:numFmt w:val="decimal"/>
      <w:lvlText w:val="%4."/>
      <w:lvlJc w:val="left"/>
      <w:pPr>
        <w:ind w:left="2880" w:hanging="360"/>
      </w:pPr>
    </w:lvl>
    <w:lvl w:ilvl="4" w:tplc="7ABABEEC" w:tentative="1">
      <w:start w:val="1"/>
      <w:numFmt w:val="lowerLetter"/>
      <w:lvlText w:val="%5."/>
      <w:lvlJc w:val="left"/>
      <w:pPr>
        <w:ind w:left="3600" w:hanging="360"/>
      </w:pPr>
    </w:lvl>
    <w:lvl w:ilvl="5" w:tplc="FB9AEBF2" w:tentative="1">
      <w:start w:val="1"/>
      <w:numFmt w:val="lowerRoman"/>
      <w:lvlText w:val="%6."/>
      <w:lvlJc w:val="right"/>
      <w:pPr>
        <w:ind w:left="4320" w:hanging="180"/>
      </w:pPr>
    </w:lvl>
    <w:lvl w:ilvl="6" w:tplc="4FC0D398" w:tentative="1">
      <w:start w:val="1"/>
      <w:numFmt w:val="decimal"/>
      <w:lvlText w:val="%7."/>
      <w:lvlJc w:val="left"/>
      <w:pPr>
        <w:ind w:left="5040" w:hanging="360"/>
      </w:pPr>
    </w:lvl>
    <w:lvl w:ilvl="7" w:tplc="0CA20B9C" w:tentative="1">
      <w:start w:val="1"/>
      <w:numFmt w:val="lowerLetter"/>
      <w:lvlText w:val="%8."/>
      <w:lvlJc w:val="left"/>
      <w:pPr>
        <w:ind w:left="5760" w:hanging="360"/>
      </w:pPr>
    </w:lvl>
    <w:lvl w:ilvl="8" w:tplc="B14C3E2A" w:tentative="1">
      <w:start w:val="1"/>
      <w:numFmt w:val="lowerRoman"/>
      <w:lvlText w:val="%9."/>
      <w:lvlJc w:val="right"/>
      <w:pPr>
        <w:ind w:left="6480" w:hanging="180"/>
      </w:pPr>
    </w:lvl>
  </w:abstractNum>
  <w:abstractNum w:abstractNumId="4" w15:restartNumberingAfterBreak="0">
    <w:nsid w:val="10AA7ACB"/>
    <w:multiLevelType w:val="multilevel"/>
    <w:tmpl w:val="3312C0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B9431B"/>
    <w:multiLevelType w:val="hybridMultilevel"/>
    <w:tmpl w:val="3E56B966"/>
    <w:lvl w:ilvl="0" w:tplc="2FC29828">
      <w:start w:val="174"/>
      <w:numFmt w:val="decimal"/>
      <w:lvlText w:val="%1."/>
      <w:lvlJc w:val="left"/>
      <w:pPr>
        <w:ind w:left="420" w:hanging="420"/>
      </w:pPr>
      <w:rPr>
        <w:rFonts w:ascii="Cambria" w:hAnsi="Cambria" w:hint="default"/>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F50FAC"/>
    <w:multiLevelType w:val="hybridMultilevel"/>
    <w:tmpl w:val="F32A2F74"/>
    <w:lvl w:ilvl="0" w:tplc="C32E4E94">
      <w:numFmt w:val="bullet"/>
      <w:lvlText w:val="-"/>
      <w:lvlJc w:val="left"/>
      <w:pPr>
        <w:ind w:left="720" w:hanging="360"/>
      </w:pPr>
      <w:rPr>
        <w:rFonts w:ascii="Times New Roman" w:hAnsi="Times New Roman" w:hint="default"/>
      </w:rPr>
    </w:lvl>
    <w:lvl w:ilvl="1" w:tplc="D468203C" w:tentative="1">
      <w:start w:val="1"/>
      <w:numFmt w:val="bullet"/>
      <w:lvlText w:val="o"/>
      <w:lvlJc w:val="left"/>
      <w:pPr>
        <w:ind w:left="1440" w:hanging="360"/>
      </w:pPr>
      <w:rPr>
        <w:rFonts w:ascii="Courier New" w:hAnsi="Courier New" w:hint="default"/>
      </w:rPr>
    </w:lvl>
    <w:lvl w:ilvl="2" w:tplc="0B74D0DE" w:tentative="1">
      <w:start w:val="1"/>
      <w:numFmt w:val="bullet"/>
      <w:lvlText w:val=""/>
      <w:lvlJc w:val="left"/>
      <w:pPr>
        <w:ind w:left="2160" w:hanging="360"/>
      </w:pPr>
      <w:rPr>
        <w:rFonts w:ascii="Wingdings" w:hAnsi="Wingdings" w:hint="default"/>
      </w:rPr>
    </w:lvl>
    <w:lvl w:ilvl="3" w:tplc="8878DA62" w:tentative="1">
      <w:start w:val="1"/>
      <w:numFmt w:val="bullet"/>
      <w:lvlText w:val=""/>
      <w:lvlJc w:val="left"/>
      <w:pPr>
        <w:ind w:left="2880" w:hanging="360"/>
      </w:pPr>
      <w:rPr>
        <w:rFonts w:ascii="Symbol" w:hAnsi="Symbol" w:hint="default"/>
      </w:rPr>
    </w:lvl>
    <w:lvl w:ilvl="4" w:tplc="697A05C6" w:tentative="1">
      <w:start w:val="1"/>
      <w:numFmt w:val="bullet"/>
      <w:lvlText w:val="o"/>
      <w:lvlJc w:val="left"/>
      <w:pPr>
        <w:ind w:left="3600" w:hanging="360"/>
      </w:pPr>
      <w:rPr>
        <w:rFonts w:ascii="Courier New" w:hAnsi="Courier New" w:hint="default"/>
      </w:rPr>
    </w:lvl>
    <w:lvl w:ilvl="5" w:tplc="EF0C321C" w:tentative="1">
      <w:start w:val="1"/>
      <w:numFmt w:val="bullet"/>
      <w:lvlText w:val=""/>
      <w:lvlJc w:val="left"/>
      <w:pPr>
        <w:ind w:left="4320" w:hanging="360"/>
      </w:pPr>
      <w:rPr>
        <w:rFonts w:ascii="Wingdings" w:hAnsi="Wingdings" w:hint="default"/>
      </w:rPr>
    </w:lvl>
    <w:lvl w:ilvl="6" w:tplc="BD0C17C8" w:tentative="1">
      <w:start w:val="1"/>
      <w:numFmt w:val="bullet"/>
      <w:lvlText w:val=""/>
      <w:lvlJc w:val="left"/>
      <w:pPr>
        <w:ind w:left="5040" w:hanging="360"/>
      </w:pPr>
      <w:rPr>
        <w:rFonts w:ascii="Symbol" w:hAnsi="Symbol" w:hint="default"/>
      </w:rPr>
    </w:lvl>
    <w:lvl w:ilvl="7" w:tplc="CB18F4D8" w:tentative="1">
      <w:start w:val="1"/>
      <w:numFmt w:val="bullet"/>
      <w:lvlText w:val="o"/>
      <w:lvlJc w:val="left"/>
      <w:pPr>
        <w:ind w:left="5760" w:hanging="360"/>
      </w:pPr>
      <w:rPr>
        <w:rFonts w:ascii="Courier New" w:hAnsi="Courier New" w:hint="default"/>
      </w:rPr>
    </w:lvl>
    <w:lvl w:ilvl="8" w:tplc="88D847E4" w:tentative="1">
      <w:start w:val="1"/>
      <w:numFmt w:val="bullet"/>
      <w:lvlText w:val=""/>
      <w:lvlJc w:val="left"/>
      <w:pPr>
        <w:ind w:left="6480" w:hanging="360"/>
      </w:pPr>
      <w:rPr>
        <w:rFonts w:ascii="Wingdings" w:hAnsi="Wingdings" w:hint="default"/>
      </w:rPr>
    </w:lvl>
  </w:abstractNum>
  <w:abstractNum w:abstractNumId="7" w15:restartNumberingAfterBreak="0">
    <w:nsid w:val="237404F8"/>
    <w:multiLevelType w:val="hybridMultilevel"/>
    <w:tmpl w:val="C290994A"/>
    <w:lvl w:ilvl="0" w:tplc="544090F6">
      <w:start w:val="1"/>
      <w:numFmt w:val="bullet"/>
      <w:lvlText w:val="-"/>
      <w:lvlJc w:val="left"/>
      <w:pPr>
        <w:ind w:left="720" w:hanging="360"/>
      </w:pPr>
      <w:rPr>
        <w:rFonts w:ascii="Aptos" w:hAnsi="Aptos" w:hint="default"/>
      </w:rPr>
    </w:lvl>
    <w:lvl w:ilvl="1" w:tplc="CED2C8F8">
      <w:start w:val="1"/>
      <w:numFmt w:val="bullet"/>
      <w:lvlText w:val="o"/>
      <w:lvlJc w:val="left"/>
      <w:pPr>
        <w:ind w:left="1440" w:hanging="360"/>
      </w:pPr>
      <w:rPr>
        <w:rFonts w:ascii="Courier New" w:hAnsi="Courier New" w:hint="default"/>
      </w:rPr>
    </w:lvl>
    <w:lvl w:ilvl="2" w:tplc="7E9A42DC">
      <w:start w:val="1"/>
      <w:numFmt w:val="bullet"/>
      <w:lvlText w:val=""/>
      <w:lvlJc w:val="left"/>
      <w:pPr>
        <w:ind w:left="2160" w:hanging="360"/>
      </w:pPr>
      <w:rPr>
        <w:rFonts w:ascii="Wingdings" w:hAnsi="Wingdings" w:hint="default"/>
      </w:rPr>
    </w:lvl>
    <w:lvl w:ilvl="3" w:tplc="4776C59A">
      <w:start w:val="1"/>
      <w:numFmt w:val="bullet"/>
      <w:lvlText w:val=""/>
      <w:lvlJc w:val="left"/>
      <w:pPr>
        <w:ind w:left="2880" w:hanging="360"/>
      </w:pPr>
      <w:rPr>
        <w:rFonts w:ascii="Symbol" w:hAnsi="Symbol" w:hint="default"/>
      </w:rPr>
    </w:lvl>
    <w:lvl w:ilvl="4" w:tplc="557CD872">
      <w:start w:val="1"/>
      <w:numFmt w:val="bullet"/>
      <w:lvlText w:val="o"/>
      <w:lvlJc w:val="left"/>
      <w:pPr>
        <w:ind w:left="3600" w:hanging="360"/>
      </w:pPr>
      <w:rPr>
        <w:rFonts w:ascii="Courier New" w:hAnsi="Courier New" w:hint="default"/>
      </w:rPr>
    </w:lvl>
    <w:lvl w:ilvl="5" w:tplc="3232030E">
      <w:start w:val="1"/>
      <w:numFmt w:val="bullet"/>
      <w:lvlText w:val=""/>
      <w:lvlJc w:val="left"/>
      <w:pPr>
        <w:ind w:left="4320" w:hanging="360"/>
      </w:pPr>
      <w:rPr>
        <w:rFonts w:ascii="Wingdings" w:hAnsi="Wingdings" w:hint="default"/>
      </w:rPr>
    </w:lvl>
    <w:lvl w:ilvl="6" w:tplc="B1B84BC8">
      <w:start w:val="1"/>
      <w:numFmt w:val="bullet"/>
      <w:lvlText w:val=""/>
      <w:lvlJc w:val="left"/>
      <w:pPr>
        <w:ind w:left="5040" w:hanging="360"/>
      </w:pPr>
      <w:rPr>
        <w:rFonts w:ascii="Symbol" w:hAnsi="Symbol" w:hint="default"/>
      </w:rPr>
    </w:lvl>
    <w:lvl w:ilvl="7" w:tplc="9C18C9F2">
      <w:start w:val="1"/>
      <w:numFmt w:val="bullet"/>
      <w:lvlText w:val="o"/>
      <w:lvlJc w:val="left"/>
      <w:pPr>
        <w:ind w:left="5760" w:hanging="360"/>
      </w:pPr>
      <w:rPr>
        <w:rFonts w:ascii="Courier New" w:hAnsi="Courier New" w:hint="default"/>
      </w:rPr>
    </w:lvl>
    <w:lvl w:ilvl="8" w:tplc="01CAE52C">
      <w:start w:val="1"/>
      <w:numFmt w:val="bullet"/>
      <w:lvlText w:val=""/>
      <w:lvlJc w:val="left"/>
      <w:pPr>
        <w:ind w:left="6480" w:hanging="360"/>
      </w:pPr>
      <w:rPr>
        <w:rFonts w:ascii="Wingdings" w:hAnsi="Wingdings" w:hint="default"/>
      </w:rPr>
    </w:lvl>
  </w:abstractNum>
  <w:abstractNum w:abstractNumId="8" w15:restartNumberingAfterBreak="0">
    <w:nsid w:val="25C806A5"/>
    <w:multiLevelType w:val="hybridMultilevel"/>
    <w:tmpl w:val="D0F03A6E"/>
    <w:lvl w:ilvl="0" w:tplc="EC7CD0D4">
      <w:start w:val="1"/>
      <w:numFmt w:val="bullet"/>
      <w:lvlText w:val="-"/>
      <w:lvlJc w:val="left"/>
      <w:pPr>
        <w:ind w:left="720" w:hanging="360"/>
      </w:pPr>
      <w:rPr>
        <w:rFonts w:ascii="Aptos" w:hAnsi="Aptos" w:hint="default"/>
      </w:rPr>
    </w:lvl>
    <w:lvl w:ilvl="1" w:tplc="008AECA8">
      <w:start w:val="1"/>
      <w:numFmt w:val="bullet"/>
      <w:lvlText w:val="o"/>
      <w:lvlJc w:val="left"/>
      <w:pPr>
        <w:ind w:left="1440" w:hanging="360"/>
      </w:pPr>
      <w:rPr>
        <w:rFonts w:ascii="Courier New" w:hAnsi="Courier New" w:hint="default"/>
      </w:rPr>
    </w:lvl>
    <w:lvl w:ilvl="2" w:tplc="7C3EDAE4">
      <w:start w:val="1"/>
      <w:numFmt w:val="bullet"/>
      <w:lvlText w:val=""/>
      <w:lvlJc w:val="left"/>
      <w:pPr>
        <w:ind w:left="2160" w:hanging="360"/>
      </w:pPr>
      <w:rPr>
        <w:rFonts w:ascii="Wingdings" w:hAnsi="Wingdings" w:hint="default"/>
      </w:rPr>
    </w:lvl>
    <w:lvl w:ilvl="3" w:tplc="18EA1840">
      <w:start w:val="1"/>
      <w:numFmt w:val="bullet"/>
      <w:lvlText w:val=""/>
      <w:lvlJc w:val="left"/>
      <w:pPr>
        <w:ind w:left="2880" w:hanging="360"/>
      </w:pPr>
      <w:rPr>
        <w:rFonts w:ascii="Symbol" w:hAnsi="Symbol" w:hint="default"/>
      </w:rPr>
    </w:lvl>
    <w:lvl w:ilvl="4" w:tplc="B394A9C4">
      <w:start w:val="1"/>
      <w:numFmt w:val="bullet"/>
      <w:lvlText w:val="o"/>
      <w:lvlJc w:val="left"/>
      <w:pPr>
        <w:ind w:left="3600" w:hanging="360"/>
      </w:pPr>
      <w:rPr>
        <w:rFonts w:ascii="Courier New" w:hAnsi="Courier New" w:hint="default"/>
      </w:rPr>
    </w:lvl>
    <w:lvl w:ilvl="5" w:tplc="75B404C6">
      <w:start w:val="1"/>
      <w:numFmt w:val="bullet"/>
      <w:lvlText w:val=""/>
      <w:lvlJc w:val="left"/>
      <w:pPr>
        <w:ind w:left="4320" w:hanging="360"/>
      </w:pPr>
      <w:rPr>
        <w:rFonts w:ascii="Wingdings" w:hAnsi="Wingdings" w:hint="default"/>
      </w:rPr>
    </w:lvl>
    <w:lvl w:ilvl="6" w:tplc="7C122BD8">
      <w:start w:val="1"/>
      <w:numFmt w:val="bullet"/>
      <w:lvlText w:val=""/>
      <w:lvlJc w:val="left"/>
      <w:pPr>
        <w:ind w:left="5040" w:hanging="360"/>
      </w:pPr>
      <w:rPr>
        <w:rFonts w:ascii="Symbol" w:hAnsi="Symbol" w:hint="default"/>
      </w:rPr>
    </w:lvl>
    <w:lvl w:ilvl="7" w:tplc="89DC2340">
      <w:start w:val="1"/>
      <w:numFmt w:val="bullet"/>
      <w:lvlText w:val="o"/>
      <w:lvlJc w:val="left"/>
      <w:pPr>
        <w:ind w:left="5760" w:hanging="360"/>
      </w:pPr>
      <w:rPr>
        <w:rFonts w:ascii="Courier New" w:hAnsi="Courier New" w:hint="default"/>
      </w:rPr>
    </w:lvl>
    <w:lvl w:ilvl="8" w:tplc="CA2204C2">
      <w:start w:val="1"/>
      <w:numFmt w:val="bullet"/>
      <w:lvlText w:val=""/>
      <w:lvlJc w:val="left"/>
      <w:pPr>
        <w:ind w:left="6480" w:hanging="360"/>
      </w:pPr>
      <w:rPr>
        <w:rFonts w:ascii="Wingdings" w:hAnsi="Wingdings" w:hint="default"/>
      </w:rPr>
    </w:lvl>
  </w:abstractNum>
  <w:abstractNum w:abstractNumId="9" w15:restartNumberingAfterBreak="0">
    <w:nsid w:val="33DC4B51"/>
    <w:multiLevelType w:val="multilevel"/>
    <w:tmpl w:val="57D60200"/>
    <w:lvl w:ilvl="0">
      <w:start w:val="1"/>
      <w:numFmt w:val="decimal"/>
      <w:lvlText w:val="%1."/>
      <w:lvlJc w:val="left"/>
      <w:pPr>
        <w:tabs>
          <w:tab w:val="num" w:pos="360"/>
        </w:tabs>
        <w:ind w:left="360" w:hanging="360"/>
      </w:pPr>
      <w:rPr>
        <w:color w:val="auto"/>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AF92E72"/>
    <w:multiLevelType w:val="multilevel"/>
    <w:tmpl w:val="1E121CC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4656927E"/>
    <w:multiLevelType w:val="hybridMultilevel"/>
    <w:tmpl w:val="169EFDE6"/>
    <w:lvl w:ilvl="0" w:tplc="FDF42BC0">
      <w:start w:val="1"/>
      <w:numFmt w:val="decimal"/>
      <w:lvlText w:val="%1."/>
      <w:lvlJc w:val="left"/>
      <w:pPr>
        <w:ind w:left="678" w:hanging="360"/>
      </w:pPr>
      <w:rPr>
        <w:rFonts w:ascii="Cambria" w:hAnsi="Cambria" w:hint="default"/>
        <w:color w:val="auto"/>
      </w:rPr>
    </w:lvl>
    <w:lvl w:ilvl="1" w:tplc="54F0D786">
      <w:start w:val="1"/>
      <w:numFmt w:val="lowerLetter"/>
      <w:lvlText w:val="%2."/>
      <w:lvlJc w:val="left"/>
      <w:pPr>
        <w:ind w:left="1440" w:hanging="360"/>
      </w:pPr>
    </w:lvl>
    <w:lvl w:ilvl="2" w:tplc="C1DC994C">
      <w:start w:val="1"/>
      <w:numFmt w:val="lowerRoman"/>
      <w:lvlText w:val="%3."/>
      <w:lvlJc w:val="right"/>
      <w:pPr>
        <w:ind w:left="2160" w:hanging="180"/>
      </w:pPr>
    </w:lvl>
    <w:lvl w:ilvl="3" w:tplc="99DC32AC">
      <w:start w:val="1"/>
      <w:numFmt w:val="decimal"/>
      <w:lvlText w:val="%4."/>
      <w:lvlJc w:val="left"/>
      <w:pPr>
        <w:ind w:left="2880" w:hanging="360"/>
      </w:pPr>
    </w:lvl>
    <w:lvl w:ilvl="4" w:tplc="5C523526">
      <w:start w:val="1"/>
      <w:numFmt w:val="lowerLetter"/>
      <w:lvlText w:val="%5."/>
      <w:lvlJc w:val="left"/>
      <w:pPr>
        <w:ind w:left="3600" w:hanging="360"/>
      </w:pPr>
    </w:lvl>
    <w:lvl w:ilvl="5" w:tplc="715418F4">
      <w:start w:val="1"/>
      <w:numFmt w:val="lowerRoman"/>
      <w:lvlText w:val="%6."/>
      <w:lvlJc w:val="right"/>
      <w:pPr>
        <w:ind w:left="4320" w:hanging="180"/>
      </w:pPr>
    </w:lvl>
    <w:lvl w:ilvl="6" w:tplc="988EE6A2">
      <w:start w:val="1"/>
      <w:numFmt w:val="decimal"/>
      <w:lvlText w:val="%7."/>
      <w:lvlJc w:val="left"/>
      <w:pPr>
        <w:ind w:left="5040" w:hanging="360"/>
      </w:pPr>
    </w:lvl>
    <w:lvl w:ilvl="7" w:tplc="8D3A858E">
      <w:start w:val="1"/>
      <w:numFmt w:val="lowerLetter"/>
      <w:lvlText w:val="%8."/>
      <w:lvlJc w:val="left"/>
      <w:pPr>
        <w:ind w:left="5760" w:hanging="360"/>
      </w:pPr>
    </w:lvl>
    <w:lvl w:ilvl="8" w:tplc="1A52FEF2">
      <w:start w:val="1"/>
      <w:numFmt w:val="lowerRoman"/>
      <w:lvlText w:val="%9."/>
      <w:lvlJc w:val="right"/>
      <w:pPr>
        <w:ind w:left="6480" w:hanging="180"/>
      </w:pPr>
    </w:lvl>
  </w:abstractNum>
  <w:abstractNum w:abstractNumId="12" w15:restartNumberingAfterBreak="0">
    <w:nsid w:val="46880BC3"/>
    <w:multiLevelType w:val="multilevel"/>
    <w:tmpl w:val="DA8CC9BC"/>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475B3C05"/>
    <w:multiLevelType w:val="multilevel"/>
    <w:tmpl w:val="8DA68B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AE50659"/>
    <w:multiLevelType w:val="hybridMultilevel"/>
    <w:tmpl w:val="B0E86A98"/>
    <w:lvl w:ilvl="0" w:tplc="2F94BCF8">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534B20D9"/>
    <w:multiLevelType w:val="hybridMultilevel"/>
    <w:tmpl w:val="9EDE4A1A"/>
    <w:lvl w:ilvl="0" w:tplc="F7A05B4A">
      <w:start w:val="1"/>
      <w:numFmt w:val="lowerLetter"/>
      <w:lvlText w:val="%1)"/>
      <w:lvlJc w:val="left"/>
      <w:pPr>
        <w:ind w:left="720" w:hanging="360"/>
      </w:pPr>
    </w:lvl>
    <w:lvl w:ilvl="1" w:tplc="A12CA1C2" w:tentative="1">
      <w:start w:val="1"/>
      <w:numFmt w:val="lowerLetter"/>
      <w:lvlText w:val="%2."/>
      <w:lvlJc w:val="left"/>
      <w:pPr>
        <w:ind w:left="1440" w:hanging="360"/>
      </w:pPr>
    </w:lvl>
    <w:lvl w:ilvl="2" w:tplc="388A72AC" w:tentative="1">
      <w:start w:val="1"/>
      <w:numFmt w:val="lowerRoman"/>
      <w:lvlText w:val="%3."/>
      <w:lvlJc w:val="right"/>
      <w:pPr>
        <w:ind w:left="2160" w:hanging="180"/>
      </w:pPr>
    </w:lvl>
    <w:lvl w:ilvl="3" w:tplc="CF766FAC" w:tentative="1">
      <w:start w:val="1"/>
      <w:numFmt w:val="decimal"/>
      <w:lvlText w:val="%4."/>
      <w:lvlJc w:val="left"/>
      <w:pPr>
        <w:ind w:left="2880" w:hanging="360"/>
      </w:pPr>
    </w:lvl>
    <w:lvl w:ilvl="4" w:tplc="7FD214DA" w:tentative="1">
      <w:start w:val="1"/>
      <w:numFmt w:val="lowerLetter"/>
      <w:lvlText w:val="%5."/>
      <w:lvlJc w:val="left"/>
      <w:pPr>
        <w:ind w:left="3600" w:hanging="360"/>
      </w:pPr>
    </w:lvl>
    <w:lvl w:ilvl="5" w:tplc="3C54ABCE" w:tentative="1">
      <w:start w:val="1"/>
      <w:numFmt w:val="lowerRoman"/>
      <w:lvlText w:val="%6."/>
      <w:lvlJc w:val="right"/>
      <w:pPr>
        <w:ind w:left="4320" w:hanging="180"/>
      </w:pPr>
    </w:lvl>
    <w:lvl w:ilvl="6" w:tplc="8FC2A544" w:tentative="1">
      <w:start w:val="1"/>
      <w:numFmt w:val="decimal"/>
      <w:lvlText w:val="%7."/>
      <w:lvlJc w:val="left"/>
      <w:pPr>
        <w:ind w:left="5040" w:hanging="360"/>
      </w:pPr>
    </w:lvl>
    <w:lvl w:ilvl="7" w:tplc="D37E1A3A" w:tentative="1">
      <w:start w:val="1"/>
      <w:numFmt w:val="lowerLetter"/>
      <w:lvlText w:val="%8."/>
      <w:lvlJc w:val="left"/>
      <w:pPr>
        <w:ind w:left="5760" w:hanging="360"/>
      </w:pPr>
    </w:lvl>
    <w:lvl w:ilvl="8" w:tplc="740458DE" w:tentative="1">
      <w:start w:val="1"/>
      <w:numFmt w:val="lowerRoman"/>
      <w:lvlText w:val="%9."/>
      <w:lvlJc w:val="right"/>
      <w:pPr>
        <w:ind w:left="6480" w:hanging="180"/>
      </w:pPr>
    </w:lvl>
  </w:abstractNum>
  <w:abstractNum w:abstractNumId="16" w15:restartNumberingAfterBreak="0">
    <w:nsid w:val="5D380990"/>
    <w:multiLevelType w:val="hybridMultilevel"/>
    <w:tmpl w:val="1FE054B0"/>
    <w:lvl w:ilvl="0" w:tplc="DEBA079C">
      <w:start w:val="1"/>
      <w:numFmt w:val="lowerLetter"/>
      <w:lvlText w:val="%1)"/>
      <w:lvlJc w:val="left"/>
      <w:pPr>
        <w:ind w:left="720" w:hanging="360"/>
      </w:pPr>
    </w:lvl>
    <w:lvl w:ilvl="1" w:tplc="46B275CC" w:tentative="1">
      <w:start w:val="1"/>
      <w:numFmt w:val="lowerLetter"/>
      <w:lvlText w:val="%2."/>
      <w:lvlJc w:val="left"/>
      <w:pPr>
        <w:ind w:left="1440" w:hanging="360"/>
      </w:pPr>
    </w:lvl>
    <w:lvl w:ilvl="2" w:tplc="A740E418" w:tentative="1">
      <w:start w:val="1"/>
      <w:numFmt w:val="lowerRoman"/>
      <w:lvlText w:val="%3."/>
      <w:lvlJc w:val="right"/>
      <w:pPr>
        <w:ind w:left="2160" w:hanging="180"/>
      </w:pPr>
    </w:lvl>
    <w:lvl w:ilvl="3" w:tplc="20221250" w:tentative="1">
      <w:start w:val="1"/>
      <w:numFmt w:val="decimal"/>
      <w:lvlText w:val="%4."/>
      <w:lvlJc w:val="left"/>
      <w:pPr>
        <w:ind w:left="2880" w:hanging="360"/>
      </w:pPr>
    </w:lvl>
    <w:lvl w:ilvl="4" w:tplc="FDB818E8" w:tentative="1">
      <w:start w:val="1"/>
      <w:numFmt w:val="lowerLetter"/>
      <w:lvlText w:val="%5."/>
      <w:lvlJc w:val="left"/>
      <w:pPr>
        <w:ind w:left="3600" w:hanging="360"/>
      </w:pPr>
    </w:lvl>
    <w:lvl w:ilvl="5" w:tplc="DA741C48" w:tentative="1">
      <w:start w:val="1"/>
      <w:numFmt w:val="lowerRoman"/>
      <w:lvlText w:val="%6."/>
      <w:lvlJc w:val="right"/>
      <w:pPr>
        <w:ind w:left="4320" w:hanging="180"/>
      </w:pPr>
    </w:lvl>
    <w:lvl w:ilvl="6" w:tplc="7054B86E" w:tentative="1">
      <w:start w:val="1"/>
      <w:numFmt w:val="decimal"/>
      <w:lvlText w:val="%7."/>
      <w:lvlJc w:val="left"/>
      <w:pPr>
        <w:ind w:left="5040" w:hanging="360"/>
      </w:pPr>
    </w:lvl>
    <w:lvl w:ilvl="7" w:tplc="E3D29858" w:tentative="1">
      <w:start w:val="1"/>
      <w:numFmt w:val="lowerLetter"/>
      <w:lvlText w:val="%8."/>
      <w:lvlJc w:val="left"/>
      <w:pPr>
        <w:ind w:left="5760" w:hanging="360"/>
      </w:pPr>
    </w:lvl>
    <w:lvl w:ilvl="8" w:tplc="031492FC" w:tentative="1">
      <w:start w:val="1"/>
      <w:numFmt w:val="lowerRoman"/>
      <w:lvlText w:val="%9."/>
      <w:lvlJc w:val="right"/>
      <w:pPr>
        <w:ind w:left="6480" w:hanging="180"/>
      </w:pPr>
    </w:lvl>
  </w:abstractNum>
  <w:abstractNum w:abstractNumId="17" w15:restartNumberingAfterBreak="0">
    <w:nsid w:val="7C866E66"/>
    <w:multiLevelType w:val="multilevel"/>
    <w:tmpl w:val="DE1C91AA"/>
    <w:lvl w:ilvl="0">
      <w:start w:val="4"/>
      <w:numFmt w:val="decimal"/>
      <w:lvlText w:val="%1."/>
      <w:lvlJc w:val="left"/>
      <w:pPr>
        <w:tabs>
          <w:tab w:val="num" w:pos="360"/>
        </w:tabs>
        <w:ind w:left="360" w:hanging="360"/>
      </w:pPr>
      <w:rPr>
        <w:color w:val="auto"/>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970471435">
    <w:abstractNumId w:val="7"/>
  </w:num>
  <w:num w:numId="2" w16cid:durableId="205141933">
    <w:abstractNumId w:val="8"/>
  </w:num>
  <w:num w:numId="3" w16cid:durableId="233709557">
    <w:abstractNumId w:val="2"/>
  </w:num>
  <w:num w:numId="4" w16cid:durableId="1757240530">
    <w:abstractNumId w:val="11"/>
  </w:num>
  <w:num w:numId="5" w16cid:durableId="1668363373">
    <w:abstractNumId w:val="1"/>
  </w:num>
  <w:num w:numId="6" w16cid:durableId="636842704">
    <w:abstractNumId w:val="6"/>
  </w:num>
  <w:num w:numId="7" w16cid:durableId="1095174951">
    <w:abstractNumId w:val="3"/>
  </w:num>
  <w:num w:numId="8" w16cid:durableId="1663314958">
    <w:abstractNumId w:val="16"/>
  </w:num>
  <w:num w:numId="9" w16cid:durableId="1382048586">
    <w:abstractNumId w:val="15"/>
  </w:num>
  <w:num w:numId="10" w16cid:durableId="869878243">
    <w:abstractNumId w:val="0"/>
  </w:num>
  <w:num w:numId="11" w16cid:durableId="1877156924">
    <w:abstractNumId w:val="14"/>
  </w:num>
  <w:num w:numId="12" w16cid:durableId="942687523">
    <w:abstractNumId w:val="5"/>
  </w:num>
  <w:num w:numId="13" w16cid:durableId="2126149317">
    <w:abstractNumId w:val="9"/>
  </w:num>
  <w:num w:numId="14" w16cid:durableId="844828207">
    <w:abstractNumId w:val="10"/>
  </w:num>
  <w:num w:numId="15" w16cid:durableId="1706176060">
    <w:abstractNumId w:val="12"/>
  </w:num>
  <w:num w:numId="16" w16cid:durableId="849833507">
    <w:abstractNumId w:val="17"/>
  </w:num>
  <w:num w:numId="17" w16cid:durableId="398596622">
    <w:abstractNumId w:val="4"/>
  </w:num>
  <w:num w:numId="18" w16cid:durableId="13139510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61464"/>
    <w:rsid w:val="00003EE0"/>
    <w:rsid w:val="000149A6"/>
    <w:rsid w:val="00043EF2"/>
    <w:rsid w:val="000450F1"/>
    <w:rsid w:val="00050B24"/>
    <w:rsid w:val="00052C5C"/>
    <w:rsid w:val="0006064E"/>
    <w:rsid w:val="00070752"/>
    <w:rsid w:val="00073D32"/>
    <w:rsid w:val="00074EC3"/>
    <w:rsid w:val="000802F8"/>
    <w:rsid w:val="000876B0"/>
    <w:rsid w:val="000907DC"/>
    <w:rsid w:val="00094890"/>
    <w:rsid w:val="00097FB9"/>
    <w:rsid w:val="000A479B"/>
    <w:rsid w:val="000A6018"/>
    <w:rsid w:val="000B1D97"/>
    <w:rsid w:val="000B1F3F"/>
    <w:rsid w:val="000B41F9"/>
    <w:rsid w:val="000C5A89"/>
    <w:rsid w:val="000C665E"/>
    <w:rsid w:val="000D30A3"/>
    <w:rsid w:val="000D4B8D"/>
    <w:rsid w:val="000D6CCD"/>
    <w:rsid w:val="000F1F7F"/>
    <w:rsid w:val="000F2030"/>
    <w:rsid w:val="000F2FD1"/>
    <w:rsid w:val="000F37A3"/>
    <w:rsid w:val="000F6D37"/>
    <w:rsid w:val="00100E68"/>
    <w:rsid w:val="00105338"/>
    <w:rsid w:val="001158FE"/>
    <w:rsid w:val="00115C40"/>
    <w:rsid w:val="0012078E"/>
    <w:rsid w:val="00123E1C"/>
    <w:rsid w:val="00127867"/>
    <w:rsid w:val="00131D3C"/>
    <w:rsid w:val="00133AF9"/>
    <w:rsid w:val="00137E92"/>
    <w:rsid w:val="00150A60"/>
    <w:rsid w:val="001519F2"/>
    <w:rsid w:val="00154E04"/>
    <w:rsid w:val="00161D9D"/>
    <w:rsid w:val="00161EB1"/>
    <w:rsid w:val="001649CD"/>
    <w:rsid w:val="00167DC1"/>
    <w:rsid w:val="00172223"/>
    <w:rsid w:val="0018110C"/>
    <w:rsid w:val="00182F9A"/>
    <w:rsid w:val="001875B2"/>
    <w:rsid w:val="001938C6"/>
    <w:rsid w:val="001955D5"/>
    <w:rsid w:val="001A5C04"/>
    <w:rsid w:val="001C5C81"/>
    <w:rsid w:val="001C7625"/>
    <w:rsid w:val="001D1F1A"/>
    <w:rsid w:val="001F17C3"/>
    <w:rsid w:val="001F4C81"/>
    <w:rsid w:val="001F6D31"/>
    <w:rsid w:val="001F74E4"/>
    <w:rsid w:val="00203100"/>
    <w:rsid w:val="00221C84"/>
    <w:rsid w:val="00222EB3"/>
    <w:rsid w:val="00234EBB"/>
    <w:rsid w:val="002375B7"/>
    <w:rsid w:val="00245FA8"/>
    <w:rsid w:val="00247A28"/>
    <w:rsid w:val="002549E0"/>
    <w:rsid w:val="002618CC"/>
    <w:rsid w:val="002669DF"/>
    <w:rsid w:val="002707E7"/>
    <w:rsid w:val="00271938"/>
    <w:rsid w:val="00272E4D"/>
    <w:rsid w:val="002751AB"/>
    <w:rsid w:val="002A0BD0"/>
    <w:rsid w:val="002A2D3C"/>
    <w:rsid w:val="002B7A5E"/>
    <w:rsid w:val="002C15E7"/>
    <w:rsid w:val="002C4846"/>
    <w:rsid w:val="002C5036"/>
    <w:rsid w:val="002C77AF"/>
    <w:rsid w:val="002D7A00"/>
    <w:rsid w:val="002E1FF7"/>
    <w:rsid w:val="002E5642"/>
    <w:rsid w:val="002E7731"/>
    <w:rsid w:val="002F2634"/>
    <w:rsid w:val="002F275F"/>
    <w:rsid w:val="002F327B"/>
    <w:rsid w:val="002F3547"/>
    <w:rsid w:val="002F7841"/>
    <w:rsid w:val="003006F0"/>
    <w:rsid w:val="00304B39"/>
    <w:rsid w:val="00310CDF"/>
    <w:rsid w:val="003157A1"/>
    <w:rsid w:val="00315DB1"/>
    <w:rsid w:val="003166C1"/>
    <w:rsid w:val="00316BA0"/>
    <w:rsid w:val="0032598F"/>
    <w:rsid w:val="00325E48"/>
    <w:rsid w:val="00325E98"/>
    <w:rsid w:val="0033303F"/>
    <w:rsid w:val="00334196"/>
    <w:rsid w:val="0034263C"/>
    <w:rsid w:val="003473A5"/>
    <w:rsid w:val="00350F12"/>
    <w:rsid w:val="00356834"/>
    <w:rsid w:val="0036791D"/>
    <w:rsid w:val="003835F2"/>
    <w:rsid w:val="00385513"/>
    <w:rsid w:val="00395981"/>
    <w:rsid w:val="00397E51"/>
    <w:rsid w:val="003A1C72"/>
    <w:rsid w:val="003A36F1"/>
    <w:rsid w:val="003A477C"/>
    <w:rsid w:val="003A69F8"/>
    <w:rsid w:val="003B3454"/>
    <w:rsid w:val="003B3E9D"/>
    <w:rsid w:val="003C00D4"/>
    <w:rsid w:val="003C1364"/>
    <w:rsid w:val="003C24D9"/>
    <w:rsid w:val="003D45F0"/>
    <w:rsid w:val="003D4A82"/>
    <w:rsid w:val="003D792A"/>
    <w:rsid w:val="003E39DA"/>
    <w:rsid w:val="003E4E31"/>
    <w:rsid w:val="003E7C1A"/>
    <w:rsid w:val="003F016A"/>
    <w:rsid w:val="003F1B1D"/>
    <w:rsid w:val="00405F51"/>
    <w:rsid w:val="00411E63"/>
    <w:rsid w:val="00412A4A"/>
    <w:rsid w:val="00414CC7"/>
    <w:rsid w:val="00417262"/>
    <w:rsid w:val="00442EDE"/>
    <w:rsid w:val="004438BC"/>
    <w:rsid w:val="0045659D"/>
    <w:rsid w:val="0046111F"/>
    <w:rsid w:val="004679B4"/>
    <w:rsid w:val="0048552E"/>
    <w:rsid w:val="00492216"/>
    <w:rsid w:val="004A4F41"/>
    <w:rsid w:val="004B43BF"/>
    <w:rsid w:val="004D0A93"/>
    <w:rsid w:val="004D3F20"/>
    <w:rsid w:val="004E09C4"/>
    <w:rsid w:val="004E5B59"/>
    <w:rsid w:val="004E7FA9"/>
    <w:rsid w:val="0050394B"/>
    <w:rsid w:val="00514486"/>
    <w:rsid w:val="00514F67"/>
    <w:rsid w:val="005242E8"/>
    <w:rsid w:val="00526BBF"/>
    <w:rsid w:val="00545DCD"/>
    <w:rsid w:val="0055212E"/>
    <w:rsid w:val="00552F0A"/>
    <w:rsid w:val="00562E94"/>
    <w:rsid w:val="00562F7C"/>
    <w:rsid w:val="00565099"/>
    <w:rsid w:val="00576CCB"/>
    <w:rsid w:val="0057736F"/>
    <w:rsid w:val="00577D4F"/>
    <w:rsid w:val="0058575C"/>
    <w:rsid w:val="005940CA"/>
    <w:rsid w:val="005A2AAF"/>
    <w:rsid w:val="005A54F8"/>
    <w:rsid w:val="005A7332"/>
    <w:rsid w:val="005C4469"/>
    <w:rsid w:val="005C5C15"/>
    <w:rsid w:val="005C64AF"/>
    <w:rsid w:val="005C75A2"/>
    <w:rsid w:val="005D1C1F"/>
    <w:rsid w:val="005D1F8F"/>
    <w:rsid w:val="005D3B17"/>
    <w:rsid w:val="005D4B13"/>
    <w:rsid w:val="005E1B49"/>
    <w:rsid w:val="00602999"/>
    <w:rsid w:val="006057C3"/>
    <w:rsid w:val="006174DD"/>
    <w:rsid w:val="00633DD8"/>
    <w:rsid w:val="00642D91"/>
    <w:rsid w:val="00652B52"/>
    <w:rsid w:val="006537CB"/>
    <w:rsid w:val="00665AFC"/>
    <w:rsid w:val="00683152"/>
    <w:rsid w:val="00683739"/>
    <w:rsid w:val="0069027D"/>
    <w:rsid w:val="0069557D"/>
    <w:rsid w:val="00697512"/>
    <w:rsid w:val="006A0BBE"/>
    <w:rsid w:val="006A1D0D"/>
    <w:rsid w:val="006A6F79"/>
    <w:rsid w:val="006B634C"/>
    <w:rsid w:val="006C4731"/>
    <w:rsid w:val="006D076A"/>
    <w:rsid w:val="006D0E67"/>
    <w:rsid w:val="006E47D4"/>
    <w:rsid w:val="006E55C1"/>
    <w:rsid w:val="006F5B2E"/>
    <w:rsid w:val="00707B9D"/>
    <w:rsid w:val="00710B5D"/>
    <w:rsid w:val="00715049"/>
    <w:rsid w:val="00724D7F"/>
    <w:rsid w:val="00731351"/>
    <w:rsid w:val="00742469"/>
    <w:rsid w:val="007430A2"/>
    <w:rsid w:val="007430FF"/>
    <w:rsid w:val="0075161A"/>
    <w:rsid w:val="00753FAB"/>
    <w:rsid w:val="00763021"/>
    <w:rsid w:val="00774983"/>
    <w:rsid w:val="007757A1"/>
    <w:rsid w:val="007865B9"/>
    <w:rsid w:val="00786A11"/>
    <w:rsid w:val="0079161E"/>
    <w:rsid w:val="007A2A5F"/>
    <w:rsid w:val="007A2C15"/>
    <w:rsid w:val="007B0F28"/>
    <w:rsid w:val="007B37C3"/>
    <w:rsid w:val="007B3809"/>
    <w:rsid w:val="007C633B"/>
    <w:rsid w:val="007C6A48"/>
    <w:rsid w:val="007D334E"/>
    <w:rsid w:val="007D3B7C"/>
    <w:rsid w:val="007D45FF"/>
    <w:rsid w:val="007E1979"/>
    <w:rsid w:val="007E496E"/>
    <w:rsid w:val="007F7A1A"/>
    <w:rsid w:val="00801052"/>
    <w:rsid w:val="00802AB2"/>
    <w:rsid w:val="008030BC"/>
    <w:rsid w:val="00810BC6"/>
    <w:rsid w:val="008119E6"/>
    <w:rsid w:val="00813D33"/>
    <w:rsid w:val="00816D03"/>
    <w:rsid w:val="00823025"/>
    <w:rsid w:val="00825156"/>
    <w:rsid w:val="00840B99"/>
    <w:rsid w:val="00840E80"/>
    <w:rsid w:val="008417ED"/>
    <w:rsid w:val="00842F62"/>
    <w:rsid w:val="00843A9A"/>
    <w:rsid w:val="00845601"/>
    <w:rsid w:val="00845BF7"/>
    <w:rsid w:val="0086394B"/>
    <w:rsid w:val="00890746"/>
    <w:rsid w:val="008A4362"/>
    <w:rsid w:val="008A6D35"/>
    <w:rsid w:val="008B1809"/>
    <w:rsid w:val="008B3526"/>
    <w:rsid w:val="008B3FE4"/>
    <w:rsid w:val="008C558C"/>
    <w:rsid w:val="008C6312"/>
    <w:rsid w:val="008C63A3"/>
    <w:rsid w:val="008D235D"/>
    <w:rsid w:val="008D314E"/>
    <w:rsid w:val="008D57CA"/>
    <w:rsid w:val="008E07C4"/>
    <w:rsid w:val="008E3765"/>
    <w:rsid w:val="008E4BD3"/>
    <w:rsid w:val="008E721A"/>
    <w:rsid w:val="008F68AC"/>
    <w:rsid w:val="009064EB"/>
    <w:rsid w:val="00912A08"/>
    <w:rsid w:val="00915D43"/>
    <w:rsid w:val="00920478"/>
    <w:rsid w:val="00925F73"/>
    <w:rsid w:val="0092777F"/>
    <w:rsid w:val="00935A6B"/>
    <w:rsid w:val="00936816"/>
    <w:rsid w:val="009372E9"/>
    <w:rsid w:val="0093773B"/>
    <w:rsid w:val="00944BB3"/>
    <w:rsid w:val="00950F4D"/>
    <w:rsid w:val="00952DF4"/>
    <w:rsid w:val="00953389"/>
    <w:rsid w:val="00960AE9"/>
    <w:rsid w:val="00963E48"/>
    <w:rsid w:val="00966E48"/>
    <w:rsid w:val="009678CF"/>
    <w:rsid w:val="00982230"/>
    <w:rsid w:val="00983183"/>
    <w:rsid w:val="00984DB1"/>
    <w:rsid w:val="00993904"/>
    <w:rsid w:val="00995647"/>
    <w:rsid w:val="009A6F0E"/>
    <w:rsid w:val="009C7771"/>
    <w:rsid w:val="009E0379"/>
    <w:rsid w:val="009E720A"/>
    <w:rsid w:val="009F1921"/>
    <w:rsid w:val="009F33CC"/>
    <w:rsid w:val="00A00744"/>
    <w:rsid w:val="00A025D0"/>
    <w:rsid w:val="00A1193C"/>
    <w:rsid w:val="00A153A8"/>
    <w:rsid w:val="00A16C6B"/>
    <w:rsid w:val="00A17757"/>
    <w:rsid w:val="00A223EF"/>
    <w:rsid w:val="00A30F29"/>
    <w:rsid w:val="00A32F2E"/>
    <w:rsid w:val="00A334C0"/>
    <w:rsid w:val="00A33DE7"/>
    <w:rsid w:val="00A37841"/>
    <w:rsid w:val="00A437C3"/>
    <w:rsid w:val="00A51188"/>
    <w:rsid w:val="00A52B82"/>
    <w:rsid w:val="00A5569C"/>
    <w:rsid w:val="00A64650"/>
    <w:rsid w:val="00A6680E"/>
    <w:rsid w:val="00A779E7"/>
    <w:rsid w:val="00A863DE"/>
    <w:rsid w:val="00A87F23"/>
    <w:rsid w:val="00A925A0"/>
    <w:rsid w:val="00A951C4"/>
    <w:rsid w:val="00A95F97"/>
    <w:rsid w:val="00AA0449"/>
    <w:rsid w:val="00AA2587"/>
    <w:rsid w:val="00AB7FB0"/>
    <w:rsid w:val="00AC148F"/>
    <w:rsid w:val="00AC7420"/>
    <w:rsid w:val="00AD6E03"/>
    <w:rsid w:val="00AE2F26"/>
    <w:rsid w:val="00AE733A"/>
    <w:rsid w:val="00AF58F3"/>
    <w:rsid w:val="00AF5D0B"/>
    <w:rsid w:val="00AF62A9"/>
    <w:rsid w:val="00B00CE0"/>
    <w:rsid w:val="00B0352C"/>
    <w:rsid w:val="00B11945"/>
    <w:rsid w:val="00B1316D"/>
    <w:rsid w:val="00B17FB7"/>
    <w:rsid w:val="00B21463"/>
    <w:rsid w:val="00B26961"/>
    <w:rsid w:val="00B305F7"/>
    <w:rsid w:val="00B310CF"/>
    <w:rsid w:val="00B36C44"/>
    <w:rsid w:val="00B436F7"/>
    <w:rsid w:val="00B51EEB"/>
    <w:rsid w:val="00B52C9B"/>
    <w:rsid w:val="00B56BD9"/>
    <w:rsid w:val="00B603FF"/>
    <w:rsid w:val="00B639C3"/>
    <w:rsid w:val="00B65631"/>
    <w:rsid w:val="00B721A9"/>
    <w:rsid w:val="00B73157"/>
    <w:rsid w:val="00B77A17"/>
    <w:rsid w:val="00B84401"/>
    <w:rsid w:val="00B8737C"/>
    <w:rsid w:val="00B8742E"/>
    <w:rsid w:val="00B876BE"/>
    <w:rsid w:val="00B904D4"/>
    <w:rsid w:val="00B92A03"/>
    <w:rsid w:val="00BA14BB"/>
    <w:rsid w:val="00BB1EDD"/>
    <w:rsid w:val="00BB29AA"/>
    <w:rsid w:val="00BB4916"/>
    <w:rsid w:val="00BC31C4"/>
    <w:rsid w:val="00BC33C0"/>
    <w:rsid w:val="00BC3968"/>
    <w:rsid w:val="00BC5209"/>
    <w:rsid w:val="00BE6E45"/>
    <w:rsid w:val="00BF37AE"/>
    <w:rsid w:val="00BF554E"/>
    <w:rsid w:val="00C030DD"/>
    <w:rsid w:val="00C06753"/>
    <w:rsid w:val="00C07FB3"/>
    <w:rsid w:val="00C1338A"/>
    <w:rsid w:val="00C14A8A"/>
    <w:rsid w:val="00C14C81"/>
    <w:rsid w:val="00C277E3"/>
    <w:rsid w:val="00C3578E"/>
    <w:rsid w:val="00C35971"/>
    <w:rsid w:val="00C3782E"/>
    <w:rsid w:val="00C40C14"/>
    <w:rsid w:val="00C427BF"/>
    <w:rsid w:val="00C44AEC"/>
    <w:rsid w:val="00C47287"/>
    <w:rsid w:val="00C47B46"/>
    <w:rsid w:val="00C5057B"/>
    <w:rsid w:val="00C553AA"/>
    <w:rsid w:val="00C56783"/>
    <w:rsid w:val="00C57519"/>
    <w:rsid w:val="00C57EE4"/>
    <w:rsid w:val="00C60B3B"/>
    <w:rsid w:val="00C6410F"/>
    <w:rsid w:val="00C64A63"/>
    <w:rsid w:val="00C70B0A"/>
    <w:rsid w:val="00C7492D"/>
    <w:rsid w:val="00C8259A"/>
    <w:rsid w:val="00C84EF0"/>
    <w:rsid w:val="00C94161"/>
    <w:rsid w:val="00C96C98"/>
    <w:rsid w:val="00CB31B2"/>
    <w:rsid w:val="00CB7A6B"/>
    <w:rsid w:val="00CC7733"/>
    <w:rsid w:val="00CD2E2C"/>
    <w:rsid w:val="00CD5B30"/>
    <w:rsid w:val="00CD69E1"/>
    <w:rsid w:val="00CE0F91"/>
    <w:rsid w:val="00CE1D27"/>
    <w:rsid w:val="00CE323C"/>
    <w:rsid w:val="00CE65F1"/>
    <w:rsid w:val="00D015C5"/>
    <w:rsid w:val="00D03E89"/>
    <w:rsid w:val="00D049C3"/>
    <w:rsid w:val="00D142B3"/>
    <w:rsid w:val="00D21FDC"/>
    <w:rsid w:val="00D25C65"/>
    <w:rsid w:val="00D30353"/>
    <w:rsid w:val="00D40B8B"/>
    <w:rsid w:val="00D61B7C"/>
    <w:rsid w:val="00D767B5"/>
    <w:rsid w:val="00D8396D"/>
    <w:rsid w:val="00D85908"/>
    <w:rsid w:val="00D93172"/>
    <w:rsid w:val="00D96E2C"/>
    <w:rsid w:val="00DA2D3B"/>
    <w:rsid w:val="00DA74B9"/>
    <w:rsid w:val="00DB3679"/>
    <w:rsid w:val="00DB3C29"/>
    <w:rsid w:val="00DC4B60"/>
    <w:rsid w:val="00DD3CCD"/>
    <w:rsid w:val="00DD5F06"/>
    <w:rsid w:val="00DE0118"/>
    <w:rsid w:val="00DF5D4B"/>
    <w:rsid w:val="00E071BA"/>
    <w:rsid w:val="00E07D7B"/>
    <w:rsid w:val="00E1A2FA"/>
    <w:rsid w:val="00E3358B"/>
    <w:rsid w:val="00E33F49"/>
    <w:rsid w:val="00E36A28"/>
    <w:rsid w:val="00E410BE"/>
    <w:rsid w:val="00E41795"/>
    <w:rsid w:val="00E46336"/>
    <w:rsid w:val="00E53720"/>
    <w:rsid w:val="00E53BAD"/>
    <w:rsid w:val="00E53EF8"/>
    <w:rsid w:val="00E55613"/>
    <w:rsid w:val="00E56765"/>
    <w:rsid w:val="00E612CF"/>
    <w:rsid w:val="00E62F3D"/>
    <w:rsid w:val="00E6434C"/>
    <w:rsid w:val="00E65215"/>
    <w:rsid w:val="00E87EF9"/>
    <w:rsid w:val="00EA546B"/>
    <w:rsid w:val="00EB26D6"/>
    <w:rsid w:val="00EB51A2"/>
    <w:rsid w:val="00EB7324"/>
    <w:rsid w:val="00EC78C4"/>
    <w:rsid w:val="00ED373E"/>
    <w:rsid w:val="00ED391F"/>
    <w:rsid w:val="00ED5CC1"/>
    <w:rsid w:val="00EE1557"/>
    <w:rsid w:val="00EE1A6E"/>
    <w:rsid w:val="00EF2E7E"/>
    <w:rsid w:val="00EF410E"/>
    <w:rsid w:val="00F00872"/>
    <w:rsid w:val="00F04F2D"/>
    <w:rsid w:val="00F14FFF"/>
    <w:rsid w:val="00F32458"/>
    <w:rsid w:val="00F33E60"/>
    <w:rsid w:val="00F415C0"/>
    <w:rsid w:val="00F4783D"/>
    <w:rsid w:val="00F61464"/>
    <w:rsid w:val="00F65AF0"/>
    <w:rsid w:val="00F677EB"/>
    <w:rsid w:val="00F73042"/>
    <w:rsid w:val="00F808CC"/>
    <w:rsid w:val="00F84998"/>
    <w:rsid w:val="00FA751E"/>
    <w:rsid w:val="00FB1DBA"/>
    <w:rsid w:val="00FB34FB"/>
    <w:rsid w:val="00FD06A5"/>
    <w:rsid w:val="00FD06FE"/>
    <w:rsid w:val="00FD68CA"/>
    <w:rsid w:val="03C8095B"/>
    <w:rsid w:val="046622F3"/>
    <w:rsid w:val="06F7A77E"/>
    <w:rsid w:val="07E2D9D8"/>
    <w:rsid w:val="08DE3C8C"/>
    <w:rsid w:val="094FC7AC"/>
    <w:rsid w:val="09576409"/>
    <w:rsid w:val="09625BCC"/>
    <w:rsid w:val="0DC0A67C"/>
    <w:rsid w:val="0E39F94B"/>
    <w:rsid w:val="1396E478"/>
    <w:rsid w:val="13E92CFF"/>
    <w:rsid w:val="1CCA3B5F"/>
    <w:rsid w:val="1CE91DA2"/>
    <w:rsid w:val="1D021014"/>
    <w:rsid w:val="1D8573E6"/>
    <w:rsid w:val="1F2C6745"/>
    <w:rsid w:val="1F5EB101"/>
    <w:rsid w:val="24D3065A"/>
    <w:rsid w:val="26E0075C"/>
    <w:rsid w:val="2742DF9E"/>
    <w:rsid w:val="279824DC"/>
    <w:rsid w:val="2C2DE88F"/>
    <w:rsid w:val="2E2A2C0C"/>
    <w:rsid w:val="32925AFD"/>
    <w:rsid w:val="3351F9F3"/>
    <w:rsid w:val="369CA84E"/>
    <w:rsid w:val="3948C0CC"/>
    <w:rsid w:val="3C62F0A9"/>
    <w:rsid w:val="3F5D5233"/>
    <w:rsid w:val="3F905FEF"/>
    <w:rsid w:val="44551002"/>
    <w:rsid w:val="4731680C"/>
    <w:rsid w:val="475ED1B1"/>
    <w:rsid w:val="47AD263E"/>
    <w:rsid w:val="4C8CB065"/>
    <w:rsid w:val="50668A4F"/>
    <w:rsid w:val="56F51FA8"/>
    <w:rsid w:val="56F95B0F"/>
    <w:rsid w:val="57E06AEB"/>
    <w:rsid w:val="59BBD6E5"/>
    <w:rsid w:val="5A29723E"/>
    <w:rsid w:val="5B7774DA"/>
    <w:rsid w:val="5BA7E29D"/>
    <w:rsid w:val="5D8DB13E"/>
    <w:rsid w:val="5DB8C59F"/>
    <w:rsid w:val="5FB1177A"/>
    <w:rsid w:val="60B20943"/>
    <w:rsid w:val="60B40CD7"/>
    <w:rsid w:val="62B2492A"/>
    <w:rsid w:val="63E9B721"/>
    <w:rsid w:val="64F319BF"/>
    <w:rsid w:val="65D11C74"/>
    <w:rsid w:val="67BBEC98"/>
    <w:rsid w:val="688E2162"/>
    <w:rsid w:val="69DFD198"/>
    <w:rsid w:val="6A29DCBF"/>
    <w:rsid w:val="6ADA1F02"/>
    <w:rsid w:val="6CA01C53"/>
    <w:rsid w:val="6EF6B0D8"/>
    <w:rsid w:val="7239C2BC"/>
    <w:rsid w:val="724FE288"/>
    <w:rsid w:val="74453345"/>
    <w:rsid w:val="750FA575"/>
    <w:rsid w:val="7715252E"/>
    <w:rsid w:val="773A2535"/>
    <w:rsid w:val="7952C01F"/>
    <w:rsid w:val="7A041C7F"/>
    <w:rsid w:val="7A6F04D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6F71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46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6146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6146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6146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6146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614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4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4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4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46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6146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6146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6146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6146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614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4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4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464"/>
    <w:rPr>
      <w:rFonts w:eastAsiaTheme="majorEastAsia" w:cstheme="majorBidi"/>
      <w:color w:val="272727" w:themeColor="text1" w:themeTint="D8"/>
    </w:rPr>
  </w:style>
  <w:style w:type="paragraph" w:styleId="Title">
    <w:name w:val="Title"/>
    <w:basedOn w:val="Normal"/>
    <w:next w:val="Normal"/>
    <w:link w:val="TitleChar"/>
    <w:uiPriority w:val="10"/>
    <w:qFormat/>
    <w:rsid w:val="00F614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4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46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4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46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1464"/>
    <w:rPr>
      <w:i/>
      <w:iCs/>
      <w:color w:val="404040" w:themeColor="text1" w:themeTint="BF"/>
    </w:rPr>
  </w:style>
  <w:style w:type="paragraph" w:styleId="ListParagraph">
    <w:name w:val="List Paragraph"/>
    <w:basedOn w:val="Normal"/>
    <w:uiPriority w:val="34"/>
    <w:qFormat/>
    <w:rsid w:val="00F61464"/>
    <w:pPr>
      <w:ind w:left="720"/>
      <w:contextualSpacing/>
    </w:pPr>
  </w:style>
  <w:style w:type="character" w:styleId="IntenseEmphasis">
    <w:name w:val="Intense Emphasis"/>
    <w:basedOn w:val="DefaultParagraphFont"/>
    <w:uiPriority w:val="21"/>
    <w:qFormat/>
    <w:rsid w:val="00F61464"/>
    <w:rPr>
      <w:i/>
      <w:iCs/>
      <w:color w:val="365F91" w:themeColor="accent1" w:themeShade="BF"/>
    </w:rPr>
  </w:style>
  <w:style w:type="paragraph" w:styleId="IntenseQuote">
    <w:name w:val="Intense Quote"/>
    <w:basedOn w:val="Normal"/>
    <w:next w:val="Normal"/>
    <w:link w:val="IntenseQuoteChar"/>
    <w:uiPriority w:val="30"/>
    <w:qFormat/>
    <w:rsid w:val="00F6146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61464"/>
    <w:rPr>
      <w:i/>
      <w:iCs/>
      <w:color w:val="365F91" w:themeColor="accent1" w:themeShade="BF"/>
    </w:rPr>
  </w:style>
  <w:style w:type="character" w:styleId="IntenseReference">
    <w:name w:val="Intense Reference"/>
    <w:basedOn w:val="DefaultParagraphFont"/>
    <w:uiPriority w:val="32"/>
    <w:qFormat/>
    <w:rsid w:val="00F61464"/>
    <w:rPr>
      <w:b/>
      <w:bCs/>
      <w:smallCaps/>
      <w:color w:val="365F91" w:themeColor="accent1" w:themeShade="BF"/>
      <w:spacing w:val="5"/>
    </w:rPr>
  </w:style>
  <w:style w:type="paragraph" w:styleId="NormalWeb">
    <w:name w:val="Normal (Web)"/>
    <w:basedOn w:val="Normal"/>
    <w:uiPriority w:val="99"/>
    <w:semiHidden/>
    <w:unhideWhenUsed/>
    <w:rsid w:val="00F61464"/>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 w:type="paragraph" w:styleId="Header">
    <w:name w:val="header"/>
    <w:basedOn w:val="Normal"/>
    <w:link w:val="HeaderChar"/>
    <w:uiPriority w:val="99"/>
    <w:unhideWhenUsed/>
    <w:rsid w:val="006D0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76A"/>
  </w:style>
  <w:style w:type="paragraph" w:styleId="Footer">
    <w:name w:val="footer"/>
    <w:basedOn w:val="Normal"/>
    <w:link w:val="FooterChar"/>
    <w:uiPriority w:val="99"/>
    <w:unhideWhenUsed/>
    <w:rsid w:val="006D0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76A"/>
  </w:style>
  <w:style w:type="character" w:styleId="Hyperlink">
    <w:name w:val="Hyperlink"/>
    <w:basedOn w:val="DefaultParagraphFont"/>
    <w:uiPriority w:val="99"/>
    <w:unhideWhenUsed/>
    <w:rsid w:val="00724D7F"/>
    <w:rPr>
      <w:color w:val="0000FF" w:themeColor="hyperlink"/>
      <w:u w:val="single"/>
    </w:rPr>
  </w:style>
  <w:style w:type="character" w:styleId="UnresolvedMention">
    <w:name w:val="Unresolved Mention"/>
    <w:basedOn w:val="DefaultParagraphFont"/>
    <w:uiPriority w:val="99"/>
    <w:semiHidden/>
    <w:unhideWhenUsed/>
    <w:rsid w:val="00724D7F"/>
    <w:rPr>
      <w:color w:val="605E5C"/>
      <w:shd w:val="clear" w:color="auto" w:fill="E1DFDD"/>
    </w:rPr>
  </w:style>
  <w:style w:type="character" w:styleId="CommentReference">
    <w:name w:val="annotation reference"/>
    <w:basedOn w:val="DefaultParagraphFont"/>
    <w:uiPriority w:val="99"/>
    <w:semiHidden/>
    <w:unhideWhenUsed/>
    <w:rsid w:val="0036791D"/>
    <w:rPr>
      <w:sz w:val="18"/>
      <w:szCs w:val="18"/>
    </w:rPr>
  </w:style>
  <w:style w:type="paragraph" w:styleId="CommentText">
    <w:name w:val="annotation text"/>
    <w:basedOn w:val="Normal"/>
    <w:link w:val="CommentTextChar"/>
    <w:uiPriority w:val="99"/>
    <w:unhideWhenUsed/>
    <w:rsid w:val="0036791D"/>
  </w:style>
  <w:style w:type="character" w:customStyle="1" w:styleId="CommentTextChar">
    <w:name w:val="Comment Text Char"/>
    <w:basedOn w:val="DefaultParagraphFont"/>
    <w:link w:val="CommentText"/>
    <w:uiPriority w:val="99"/>
    <w:rsid w:val="0036791D"/>
  </w:style>
  <w:style w:type="paragraph" w:styleId="CommentSubject">
    <w:name w:val="annotation subject"/>
    <w:basedOn w:val="CommentText"/>
    <w:next w:val="CommentText"/>
    <w:link w:val="CommentSubjectChar"/>
    <w:uiPriority w:val="99"/>
    <w:semiHidden/>
    <w:unhideWhenUsed/>
    <w:rsid w:val="0036791D"/>
    <w:rPr>
      <w:b/>
      <w:bCs/>
    </w:rPr>
  </w:style>
  <w:style w:type="character" w:customStyle="1" w:styleId="CommentSubjectChar">
    <w:name w:val="Comment Subject Char"/>
    <w:basedOn w:val="CommentTextChar"/>
    <w:link w:val="CommentSubject"/>
    <w:uiPriority w:val="99"/>
    <w:semiHidden/>
    <w:rsid w:val="0036791D"/>
    <w:rPr>
      <w:b/>
      <w:bCs/>
    </w:rPr>
  </w:style>
  <w:style w:type="paragraph" w:styleId="Revision">
    <w:name w:val="Revision"/>
    <w:hidden/>
    <w:uiPriority w:val="99"/>
    <w:semiHidden/>
    <w:rsid w:val="003A477C"/>
    <w:pPr>
      <w:spacing w:after="0" w:line="240" w:lineRule="auto"/>
    </w:pPr>
  </w:style>
  <w:style w:type="character" w:styleId="FollowedHyperlink">
    <w:name w:val="FollowedHyperlink"/>
    <w:basedOn w:val="DefaultParagraphFont"/>
    <w:uiPriority w:val="99"/>
    <w:semiHidden/>
    <w:unhideWhenUsed/>
    <w:rsid w:val="00BF37AE"/>
    <w:rPr>
      <w:color w:val="800080" w:themeColor="followedHyperlink"/>
      <w:u w:val="single"/>
    </w:rPr>
  </w:style>
  <w:style w:type="character" w:styleId="Mention">
    <w:name w:val="Mention"/>
    <w:basedOn w:val="DefaultParagraphFont"/>
    <w:uiPriority w:val="99"/>
    <w:unhideWhenUsed/>
    <w:rsid w:val="007757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077428">
      <w:bodyDiv w:val="1"/>
      <w:marLeft w:val="0"/>
      <w:marRight w:val="0"/>
      <w:marTop w:val="0"/>
      <w:marBottom w:val="0"/>
      <w:divBdr>
        <w:top w:val="none" w:sz="0" w:space="0" w:color="auto"/>
        <w:left w:val="none" w:sz="0" w:space="0" w:color="auto"/>
        <w:bottom w:val="none" w:sz="0" w:space="0" w:color="auto"/>
        <w:right w:val="none" w:sz="0" w:space="0" w:color="auto"/>
      </w:divBdr>
    </w:div>
    <w:div w:id="407388225">
      <w:bodyDiv w:val="1"/>
      <w:marLeft w:val="0"/>
      <w:marRight w:val="0"/>
      <w:marTop w:val="0"/>
      <w:marBottom w:val="0"/>
      <w:divBdr>
        <w:top w:val="none" w:sz="0" w:space="0" w:color="auto"/>
        <w:left w:val="none" w:sz="0" w:space="0" w:color="auto"/>
        <w:bottom w:val="none" w:sz="0" w:space="0" w:color="auto"/>
        <w:right w:val="none" w:sz="0" w:space="0" w:color="auto"/>
      </w:divBdr>
    </w:div>
    <w:div w:id="678508867">
      <w:bodyDiv w:val="1"/>
      <w:marLeft w:val="0"/>
      <w:marRight w:val="0"/>
      <w:marTop w:val="0"/>
      <w:marBottom w:val="0"/>
      <w:divBdr>
        <w:top w:val="none" w:sz="0" w:space="0" w:color="auto"/>
        <w:left w:val="none" w:sz="0" w:space="0" w:color="auto"/>
        <w:bottom w:val="none" w:sz="0" w:space="0" w:color="auto"/>
        <w:right w:val="none" w:sz="0" w:space="0" w:color="auto"/>
      </w:divBdr>
    </w:div>
    <w:div w:id="854031147">
      <w:bodyDiv w:val="1"/>
      <w:marLeft w:val="0"/>
      <w:marRight w:val="0"/>
      <w:marTop w:val="0"/>
      <w:marBottom w:val="0"/>
      <w:divBdr>
        <w:top w:val="none" w:sz="0" w:space="0" w:color="auto"/>
        <w:left w:val="none" w:sz="0" w:space="0" w:color="auto"/>
        <w:bottom w:val="none" w:sz="0" w:space="0" w:color="auto"/>
        <w:right w:val="none" w:sz="0" w:space="0" w:color="auto"/>
      </w:divBdr>
    </w:div>
    <w:div w:id="915896907">
      <w:bodyDiv w:val="1"/>
      <w:marLeft w:val="0"/>
      <w:marRight w:val="0"/>
      <w:marTop w:val="0"/>
      <w:marBottom w:val="0"/>
      <w:divBdr>
        <w:top w:val="none" w:sz="0" w:space="0" w:color="auto"/>
        <w:left w:val="none" w:sz="0" w:space="0" w:color="auto"/>
        <w:bottom w:val="none" w:sz="0" w:space="0" w:color="auto"/>
        <w:right w:val="none" w:sz="0" w:space="0" w:color="auto"/>
      </w:divBdr>
    </w:div>
    <w:div w:id="944387914">
      <w:bodyDiv w:val="1"/>
      <w:marLeft w:val="0"/>
      <w:marRight w:val="0"/>
      <w:marTop w:val="0"/>
      <w:marBottom w:val="0"/>
      <w:divBdr>
        <w:top w:val="none" w:sz="0" w:space="0" w:color="auto"/>
        <w:left w:val="none" w:sz="0" w:space="0" w:color="auto"/>
        <w:bottom w:val="none" w:sz="0" w:space="0" w:color="auto"/>
        <w:right w:val="none" w:sz="0" w:space="0" w:color="auto"/>
      </w:divBdr>
    </w:div>
    <w:div w:id="957376461">
      <w:bodyDiv w:val="1"/>
      <w:marLeft w:val="0"/>
      <w:marRight w:val="0"/>
      <w:marTop w:val="0"/>
      <w:marBottom w:val="0"/>
      <w:divBdr>
        <w:top w:val="none" w:sz="0" w:space="0" w:color="auto"/>
        <w:left w:val="none" w:sz="0" w:space="0" w:color="auto"/>
        <w:bottom w:val="none" w:sz="0" w:space="0" w:color="auto"/>
        <w:right w:val="none" w:sz="0" w:space="0" w:color="auto"/>
      </w:divBdr>
    </w:div>
    <w:div w:id="1046445174">
      <w:bodyDiv w:val="1"/>
      <w:marLeft w:val="0"/>
      <w:marRight w:val="0"/>
      <w:marTop w:val="0"/>
      <w:marBottom w:val="0"/>
      <w:divBdr>
        <w:top w:val="none" w:sz="0" w:space="0" w:color="auto"/>
        <w:left w:val="none" w:sz="0" w:space="0" w:color="auto"/>
        <w:bottom w:val="none" w:sz="0" w:space="0" w:color="auto"/>
        <w:right w:val="none" w:sz="0" w:space="0" w:color="auto"/>
      </w:divBdr>
    </w:div>
    <w:div w:id="116327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ccat.int/Documents/Recs/compendiopdf-f/2025-04-f.pdf" TargetMode="External"/><Relationship Id="rId18" Type="http://schemas.openxmlformats.org/officeDocument/2006/relationships/hyperlink" Target="https://www.iccat.int/Documents/Recs/compendiopdf-f/2023-18-f.pdf" TargetMode="External"/><Relationship Id="rId3" Type="http://schemas.openxmlformats.org/officeDocument/2006/relationships/customXml" Target="../customXml/item3.xml"/><Relationship Id="rId21" Type="http://schemas.openxmlformats.org/officeDocument/2006/relationships/hyperlink" Target="https://www.iccat.int/Documents/Recs/compendiopdf-f/2023-18-f.pdf" TargetMode="External"/><Relationship Id="rId7" Type="http://schemas.openxmlformats.org/officeDocument/2006/relationships/webSettings" Target="webSettings.xml"/><Relationship Id="rId12" Type="http://schemas.openxmlformats.org/officeDocument/2006/relationships/hyperlink" Target="https://www.iccat.int/Documents/Recs/compendiopdf-f/2023-18-f.pdf" TargetMode="External"/><Relationship Id="rId17" Type="http://schemas.openxmlformats.org/officeDocument/2006/relationships/hyperlink" Target="https://www.iccat.int/Documents/Recs/compendiopdf-f/2021-17-f.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ccat.int/Documents/Recs/compendiopdf-f/2021-17-f.pdf" TargetMode="External"/><Relationship Id="rId20" Type="http://schemas.openxmlformats.org/officeDocument/2006/relationships/hyperlink" Target="https://www.iccat.int/Documents/Recs/compendiopdf-f/2023-18-f.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ccat.int/Documents/Recs/compendiopdf-f/2025-04-f.pdf"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iccat.int/Documents/Recs/compendiopdf-f/2025-04-f.pdf" TargetMode="External"/><Relationship Id="rId23" Type="http://schemas.openxmlformats.org/officeDocument/2006/relationships/footer" Target="footer1.xml"/><Relationship Id="rId10" Type="http://schemas.openxmlformats.org/officeDocument/2006/relationships/hyperlink" Target="https://www.iccat.int/Documents/Recs/compendiopdf-f/2025-04-f.pdf" TargetMode="External"/><Relationship Id="rId19" Type="http://schemas.openxmlformats.org/officeDocument/2006/relationships/hyperlink" Target="https://www.iccat.int/Documents/Recs/compendiopdf-f/2023-18-f.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ccat.int/Documents/Recs/compendiopdf-f/2025-04-f.pdf"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c986aa-787d-4a14-b577-9f29a18a2836">
      <Terms xmlns="http://schemas.microsoft.com/office/infopath/2007/PartnerControls"/>
    </lcf76f155ced4ddcb4097134ff3c332f>
    <TaxCatchAll xmlns="7d73a274-b5d4-4934-af93-8b8c31f6f19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02B934-EB03-4E65-92AF-E4BE0AC5D3A5}">
  <ds:schemaRefs>
    <ds:schemaRef ds:uri="http://schemas.microsoft.com/office/2006/metadata/properties"/>
    <ds:schemaRef ds:uri="http://schemas.microsoft.com/office/infopath/2007/PartnerControls"/>
    <ds:schemaRef ds:uri="04c986aa-787d-4a14-b577-9f29a18a2836"/>
    <ds:schemaRef ds:uri="7d73a274-b5d4-4934-af93-8b8c31f6f19f"/>
  </ds:schemaRefs>
</ds:datastoreItem>
</file>

<file path=customXml/itemProps2.xml><?xml version="1.0" encoding="utf-8"?>
<ds:datastoreItem xmlns:ds="http://schemas.openxmlformats.org/officeDocument/2006/customXml" ds:itemID="{F3020235-4AB8-4B8B-BE95-FC158A980E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3AA325-7637-44BF-A69C-78F0A41718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3688</Words>
  <Characters>21024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24663</CharactersWithSpaces>
  <SharedDoc>false</SharedDoc>
  <HLinks>
    <vt:vector size="102" baseType="variant">
      <vt:variant>
        <vt:i4>4456449</vt:i4>
      </vt:variant>
      <vt:variant>
        <vt:i4>33</vt:i4>
      </vt:variant>
      <vt:variant>
        <vt:i4>0</vt:i4>
      </vt:variant>
      <vt:variant>
        <vt:i4>5</vt:i4>
      </vt:variant>
      <vt:variant>
        <vt:lpwstr>https://www.iccat.int/Documents/Recs/compendiopdf-e/2023-18-e.pdf</vt:lpwstr>
      </vt:variant>
      <vt:variant>
        <vt:lpwstr/>
      </vt:variant>
      <vt:variant>
        <vt:i4>4456449</vt:i4>
      </vt:variant>
      <vt:variant>
        <vt:i4>30</vt:i4>
      </vt:variant>
      <vt:variant>
        <vt:i4>0</vt:i4>
      </vt:variant>
      <vt:variant>
        <vt:i4>5</vt:i4>
      </vt:variant>
      <vt:variant>
        <vt:lpwstr>https://www.iccat.int/Documents/Recs/compendiopdf-e/2023-18-e.pdf</vt:lpwstr>
      </vt:variant>
      <vt:variant>
        <vt:lpwstr/>
      </vt:variant>
      <vt:variant>
        <vt:i4>4456449</vt:i4>
      </vt:variant>
      <vt:variant>
        <vt:i4>27</vt:i4>
      </vt:variant>
      <vt:variant>
        <vt:i4>0</vt:i4>
      </vt:variant>
      <vt:variant>
        <vt:i4>5</vt:i4>
      </vt:variant>
      <vt:variant>
        <vt:lpwstr>https://www.iccat.int/Documents/Recs/compendiopdf-e/2023-18-e.pdf</vt:lpwstr>
      </vt:variant>
      <vt:variant>
        <vt:lpwstr/>
      </vt:variant>
      <vt:variant>
        <vt:i4>4456449</vt:i4>
      </vt:variant>
      <vt:variant>
        <vt:i4>24</vt:i4>
      </vt:variant>
      <vt:variant>
        <vt:i4>0</vt:i4>
      </vt:variant>
      <vt:variant>
        <vt:i4>5</vt:i4>
      </vt:variant>
      <vt:variant>
        <vt:lpwstr>https://www.iccat.int/Documents/Recs/compendiopdf-e/2023-18-e.pdf</vt:lpwstr>
      </vt:variant>
      <vt:variant>
        <vt:lpwstr/>
      </vt:variant>
      <vt:variant>
        <vt:i4>4587534</vt:i4>
      </vt:variant>
      <vt:variant>
        <vt:i4>21</vt:i4>
      </vt:variant>
      <vt:variant>
        <vt:i4>0</vt:i4>
      </vt:variant>
      <vt:variant>
        <vt:i4>5</vt:i4>
      </vt:variant>
      <vt:variant>
        <vt:lpwstr>https://www.iccat.int/Documents/Recs/compendiopdf-e/2021-17-e.pdf</vt:lpwstr>
      </vt:variant>
      <vt:variant>
        <vt:lpwstr/>
      </vt:variant>
      <vt:variant>
        <vt:i4>4587534</vt:i4>
      </vt:variant>
      <vt:variant>
        <vt:i4>18</vt:i4>
      </vt:variant>
      <vt:variant>
        <vt:i4>0</vt:i4>
      </vt:variant>
      <vt:variant>
        <vt:i4>5</vt:i4>
      </vt:variant>
      <vt:variant>
        <vt:lpwstr>https://www.iccat.int/Documents/Recs/compendiopdf-e/2021-17-e.pdf</vt:lpwstr>
      </vt:variant>
      <vt:variant>
        <vt:lpwstr/>
      </vt:variant>
      <vt:variant>
        <vt:i4>4390925</vt:i4>
      </vt:variant>
      <vt:variant>
        <vt:i4>15</vt:i4>
      </vt:variant>
      <vt:variant>
        <vt:i4>0</vt:i4>
      </vt:variant>
      <vt:variant>
        <vt:i4>5</vt:i4>
      </vt:variant>
      <vt:variant>
        <vt:lpwstr>https://www.iccat.int/Documents/Recs/compendiopdf-e/2025-04-e.pdf</vt:lpwstr>
      </vt:variant>
      <vt:variant>
        <vt:lpwstr/>
      </vt:variant>
      <vt:variant>
        <vt:i4>4390925</vt:i4>
      </vt:variant>
      <vt:variant>
        <vt:i4>12</vt:i4>
      </vt:variant>
      <vt:variant>
        <vt:i4>0</vt:i4>
      </vt:variant>
      <vt:variant>
        <vt:i4>5</vt:i4>
      </vt:variant>
      <vt:variant>
        <vt:lpwstr>https://www.iccat.int/Documents/Recs/compendiopdf-e/2025-04-e.pdf</vt:lpwstr>
      </vt:variant>
      <vt:variant>
        <vt:lpwstr/>
      </vt:variant>
      <vt:variant>
        <vt:i4>4390925</vt:i4>
      </vt:variant>
      <vt:variant>
        <vt:i4>9</vt:i4>
      </vt:variant>
      <vt:variant>
        <vt:i4>0</vt:i4>
      </vt:variant>
      <vt:variant>
        <vt:i4>5</vt:i4>
      </vt:variant>
      <vt:variant>
        <vt:lpwstr>https://www.iccat.int/Documents/Recs/compendiopdf-e/2025-04-e.pdf</vt:lpwstr>
      </vt:variant>
      <vt:variant>
        <vt:lpwstr/>
      </vt:variant>
      <vt:variant>
        <vt:i4>4456449</vt:i4>
      </vt:variant>
      <vt:variant>
        <vt:i4>6</vt:i4>
      </vt:variant>
      <vt:variant>
        <vt:i4>0</vt:i4>
      </vt:variant>
      <vt:variant>
        <vt:i4>5</vt:i4>
      </vt:variant>
      <vt:variant>
        <vt:lpwstr>https://www.iccat.int/Documents/Recs/compendiopdf-e/2023-18-e.pdf</vt:lpwstr>
      </vt:variant>
      <vt:variant>
        <vt:lpwstr/>
      </vt:variant>
      <vt:variant>
        <vt:i4>4390925</vt:i4>
      </vt:variant>
      <vt:variant>
        <vt:i4>3</vt:i4>
      </vt:variant>
      <vt:variant>
        <vt:i4>0</vt:i4>
      </vt:variant>
      <vt:variant>
        <vt:i4>5</vt:i4>
      </vt:variant>
      <vt:variant>
        <vt:lpwstr>https://www.iccat.int/Documents/Recs/compendiopdf-e/2025-04-e.pdf</vt:lpwstr>
      </vt:variant>
      <vt:variant>
        <vt:lpwstr/>
      </vt:variant>
      <vt:variant>
        <vt:i4>4390925</vt:i4>
      </vt:variant>
      <vt:variant>
        <vt:i4>0</vt:i4>
      </vt:variant>
      <vt:variant>
        <vt:i4>0</vt:i4>
      </vt:variant>
      <vt:variant>
        <vt:i4>5</vt:i4>
      </vt:variant>
      <vt:variant>
        <vt:lpwstr>https://www.iccat.int/Documents/Recs/compendiopdf-e/2025-04-e.pdf</vt:lpwstr>
      </vt:variant>
      <vt:variant>
        <vt:lpwstr/>
      </vt:variant>
      <vt:variant>
        <vt:i4>5963892</vt:i4>
      </vt:variant>
      <vt:variant>
        <vt:i4>12</vt:i4>
      </vt:variant>
      <vt:variant>
        <vt:i4>0</vt:i4>
      </vt:variant>
      <vt:variant>
        <vt:i4>5</vt:i4>
      </vt:variant>
      <vt:variant>
        <vt:lpwstr>mailto:Laura.RULL-DEL-AGUILA@ec.europa.eu</vt:lpwstr>
      </vt:variant>
      <vt:variant>
        <vt:lpwstr/>
      </vt:variant>
      <vt:variant>
        <vt:i4>5963892</vt:i4>
      </vt:variant>
      <vt:variant>
        <vt:i4>9</vt:i4>
      </vt:variant>
      <vt:variant>
        <vt:i4>0</vt:i4>
      </vt:variant>
      <vt:variant>
        <vt:i4>5</vt:i4>
      </vt:variant>
      <vt:variant>
        <vt:lpwstr>mailto:Laura.RULL-DEL-AGUILA@ec.europa.eu</vt:lpwstr>
      </vt:variant>
      <vt:variant>
        <vt:lpwstr/>
      </vt:variant>
      <vt:variant>
        <vt:i4>2359315</vt:i4>
      </vt:variant>
      <vt:variant>
        <vt:i4>6</vt:i4>
      </vt:variant>
      <vt:variant>
        <vt:i4>0</vt:i4>
      </vt:variant>
      <vt:variant>
        <vt:i4>5</vt:i4>
      </vt:variant>
      <vt:variant>
        <vt:lpwstr>mailto:Laura.MAROT@ec.europa.eu</vt:lpwstr>
      </vt:variant>
      <vt:variant>
        <vt:lpwstr/>
      </vt:variant>
      <vt:variant>
        <vt:i4>6291544</vt:i4>
      </vt:variant>
      <vt:variant>
        <vt:i4>3</vt:i4>
      </vt:variant>
      <vt:variant>
        <vt:i4>0</vt:i4>
      </vt:variant>
      <vt:variant>
        <vt:i4>5</vt:i4>
      </vt:variant>
      <vt:variant>
        <vt:lpwstr>mailto:Yannick.BIJL@ec.europa.eu</vt:lpwstr>
      </vt:variant>
      <vt:variant>
        <vt:lpwstr/>
      </vt:variant>
      <vt:variant>
        <vt:i4>5963892</vt:i4>
      </vt:variant>
      <vt:variant>
        <vt:i4>0</vt:i4>
      </vt:variant>
      <vt:variant>
        <vt:i4>0</vt:i4>
      </vt:variant>
      <vt:variant>
        <vt:i4>5</vt:i4>
      </vt:variant>
      <vt:variant>
        <vt:lpwstr>mailto:Laura.RULL-DEL-AGUILA@ec.europa.eu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2026-10-28T09:31:00Z</dcterms:created>
  <dcterms:modified xsi:type="dcterms:W3CDTF">2026-10-28T10:13:00Z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2026-10-16T15:42:37Z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64b01b88-057f-4c3b-bfd6-b3c0391fdaf2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0x0101003E84DD1BACBE3641B802C49D00950036</vt:lpwstr>
  </property>
</Properties>
</file>