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EE894" w14:textId="77777777" w:rsidR="001577EF" w:rsidRPr="005D7A0B" w:rsidRDefault="001577EF" w:rsidP="001577EF">
      <w:pPr>
        <w:spacing w:after="0" w:line="240" w:lineRule="auto"/>
        <w:jc w:val="right"/>
        <w:rPr>
          <w:rFonts w:ascii="Cambria" w:hAnsi="Cambria"/>
          <w:b/>
          <w:bCs/>
          <w:sz w:val="20"/>
          <w:szCs w:val="20"/>
        </w:rPr>
      </w:pPr>
      <w:r w:rsidRPr="005D7A0B">
        <w:rPr>
          <w:rFonts w:ascii="Cambria" w:hAnsi="Cambria"/>
          <w:b/>
          <w:sz w:val="20"/>
          <w:szCs w:val="20"/>
        </w:rPr>
        <w:t xml:space="preserve">Original : </w:t>
      </w:r>
      <w:r w:rsidRPr="005D7A0B">
        <w:rPr>
          <w:rFonts w:ascii="Cambria" w:hAnsi="Cambria"/>
          <w:b/>
          <w:bCs/>
          <w:sz w:val="20"/>
          <w:szCs w:val="20"/>
        </w:rPr>
        <w:t>anglais</w:t>
      </w:r>
    </w:p>
    <w:p w14:paraId="5F1ADFF0" w14:textId="77777777" w:rsidR="001577EF" w:rsidRPr="005D7A0B" w:rsidRDefault="001577EF" w:rsidP="001577EF">
      <w:pPr>
        <w:spacing w:after="0" w:line="240" w:lineRule="auto"/>
        <w:jc w:val="center"/>
        <w:rPr>
          <w:rFonts w:ascii="Cambria" w:hAnsi="Cambria"/>
          <w:b/>
          <w:bCs/>
          <w:sz w:val="20"/>
          <w:szCs w:val="20"/>
        </w:rPr>
      </w:pPr>
    </w:p>
    <w:p w14:paraId="32FECEF8" w14:textId="438D71CB" w:rsidR="00893E64" w:rsidRPr="005D7A0B" w:rsidRDefault="006B6649" w:rsidP="001577EF">
      <w:pPr>
        <w:spacing w:after="0" w:line="240" w:lineRule="auto"/>
        <w:jc w:val="center"/>
        <w:rPr>
          <w:rFonts w:ascii="Cambria" w:hAnsi="Cambria"/>
          <w:b/>
          <w:bCs/>
          <w:sz w:val="20"/>
          <w:szCs w:val="20"/>
        </w:rPr>
      </w:pPr>
      <w:r w:rsidRPr="005D7A0B">
        <w:rPr>
          <w:rFonts w:ascii="Cambria" w:hAnsi="Cambria"/>
          <w:b/>
          <w:sz w:val="20"/>
          <w:szCs w:val="20"/>
        </w:rPr>
        <w:t>Atténuation des prises accessoires d'oiseaux de mer – questions de sécurité liées à l'utilisation d’avançons lestés – synthèse/analyse en vue de la réunion du</w:t>
      </w:r>
      <w:r w:rsidR="00D2250C" w:rsidRPr="005D7A0B">
        <w:rPr>
          <w:rFonts w:ascii="Cambria" w:hAnsi="Cambria" w:cs="Arial"/>
          <w:b/>
          <w:bCs/>
          <w:sz w:val="20"/>
          <w:szCs w:val="20"/>
        </w:rPr>
        <w:t xml:space="preserve"> </w:t>
      </w:r>
      <w:r w:rsidR="00D2250C" w:rsidRPr="005D7A0B">
        <w:rPr>
          <w:rFonts w:ascii="Cambria" w:hAnsi="Cambria"/>
          <w:b/>
          <w:bCs/>
          <w:sz w:val="20"/>
          <w:szCs w:val="20"/>
        </w:rPr>
        <w:t>Groupe de travail permanent sur l'amélioration des statistiques et des mesures de conservation</w:t>
      </w:r>
      <w:r w:rsidR="00D2250C" w:rsidRPr="005D7A0B">
        <w:rPr>
          <w:rFonts w:ascii="Cambria" w:hAnsi="Cambria"/>
          <w:b/>
          <w:sz w:val="20"/>
          <w:szCs w:val="20"/>
        </w:rPr>
        <w:t xml:space="preserve"> de l'ICCAT </w:t>
      </w:r>
      <w:r w:rsidR="00567B2B">
        <w:rPr>
          <w:rFonts w:ascii="Cambria" w:hAnsi="Cambria"/>
          <w:b/>
          <w:sz w:val="20"/>
          <w:szCs w:val="20"/>
        </w:rPr>
        <w:t xml:space="preserve">de </w:t>
      </w:r>
      <w:r w:rsidRPr="005D7A0B">
        <w:rPr>
          <w:rFonts w:ascii="Cambria" w:hAnsi="Cambria"/>
          <w:b/>
          <w:sz w:val="20"/>
          <w:szCs w:val="20"/>
        </w:rPr>
        <w:t>novembre 2026</w:t>
      </w:r>
    </w:p>
    <w:p w14:paraId="2346173C" w14:textId="77777777" w:rsidR="001577EF" w:rsidRDefault="001577EF" w:rsidP="001577EF">
      <w:pPr>
        <w:spacing w:after="0" w:line="240" w:lineRule="auto"/>
        <w:jc w:val="center"/>
        <w:rPr>
          <w:rFonts w:ascii="Cambria" w:hAnsi="Cambria"/>
          <w:b/>
          <w:bCs/>
          <w:sz w:val="20"/>
          <w:szCs w:val="20"/>
        </w:rPr>
      </w:pPr>
    </w:p>
    <w:p w14:paraId="0B1A392B" w14:textId="3699E3FE" w:rsidR="00686EA0" w:rsidRPr="00686EA0" w:rsidRDefault="00686EA0" w:rsidP="001577EF">
      <w:pPr>
        <w:spacing w:after="0" w:line="240" w:lineRule="auto"/>
        <w:jc w:val="center"/>
        <w:rPr>
          <w:rFonts w:ascii="Cambria" w:hAnsi="Cambria"/>
          <w:i/>
          <w:iCs/>
          <w:sz w:val="20"/>
          <w:szCs w:val="20"/>
        </w:rPr>
      </w:pPr>
      <w:r w:rsidRPr="00686EA0">
        <w:rPr>
          <w:rFonts w:ascii="Cambria" w:hAnsi="Cambria"/>
          <w:i/>
          <w:iCs/>
          <w:sz w:val="20"/>
          <w:szCs w:val="20"/>
        </w:rPr>
        <w:t>(document présenté par le Royaume-Uni)</w:t>
      </w:r>
    </w:p>
    <w:p w14:paraId="619974FD" w14:textId="77777777" w:rsidR="00686EA0" w:rsidRPr="005D7A0B" w:rsidRDefault="00686EA0" w:rsidP="001577EF">
      <w:pPr>
        <w:spacing w:after="0" w:line="240" w:lineRule="auto"/>
        <w:jc w:val="center"/>
        <w:rPr>
          <w:rFonts w:ascii="Cambria" w:hAnsi="Cambria"/>
          <w:b/>
          <w:bCs/>
          <w:sz w:val="20"/>
          <w:szCs w:val="20"/>
        </w:rPr>
      </w:pPr>
    </w:p>
    <w:p w14:paraId="7A542090" w14:textId="0517F565" w:rsidR="00FB230A" w:rsidRPr="005D7A0B" w:rsidRDefault="00FB230A" w:rsidP="001577EF">
      <w:pPr>
        <w:spacing w:after="0" w:line="240" w:lineRule="auto"/>
        <w:rPr>
          <w:rFonts w:ascii="Cambria" w:hAnsi="Cambria"/>
          <w:b/>
          <w:bCs/>
          <w:sz w:val="20"/>
          <w:szCs w:val="20"/>
        </w:rPr>
      </w:pPr>
      <w:r w:rsidRPr="005D7A0B">
        <w:rPr>
          <w:rFonts w:ascii="Cambria" w:hAnsi="Cambria"/>
          <w:b/>
          <w:sz w:val="20"/>
          <w:szCs w:val="20"/>
        </w:rPr>
        <w:t xml:space="preserve">Résumé </w:t>
      </w:r>
    </w:p>
    <w:p w14:paraId="0A5E299F" w14:textId="77777777" w:rsidR="001577EF" w:rsidRPr="005D7A0B" w:rsidRDefault="001577EF" w:rsidP="001577EF">
      <w:pPr>
        <w:spacing w:after="0" w:line="240" w:lineRule="auto"/>
        <w:rPr>
          <w:rFonts w:ascii="Cambria" w:hAnsi="Cambria"/>
          <w:b/>
          <w:bCs/>
          <w:sz w:val="20"/>
          <w:szCs w:val="20"/>
        </w:rPr>
      </w:pPr>
    </w:p>
    <w:p w14:paraId="2BC0EAF1" w14:textId="26648F03" w:rsidR="0021541F" w:rsidRPr="005D7A0B" w:rsidRDefault="00D279A6" w:rsidP="001577EF">
      <w:pPr>
        <w:pStyle w:val="ListParagraph"/>
        <w:numPr>
          <w:ilvl w:val="0"/>
          <w:numId w:val="5"/>
        </w:numPr>
        <w:spacing w:after="0" w:line="240" w:lineRule="auto"/>
        <w:ind w:left="426" w:hanging="426"/>
        <w:contextualSpacing w:val="0"/>
        <w:jc w:val="both"/>
        <w:rPr>
          <w:rFonts w:ascii="Cambria" w:hAnsi="Cambria"/>
          <w:b/>
          <w:bCs/>
          <w:sz w:val="20"/>
          <w:szCs w:val="20"/>
        </w:rPr>
      </w:pPr>
      <w:r w:rsidRPr="005D7A0B">
        <w:rPr>
          <w:rFonts w:ascii="Cambria" w:hAnsi="Cambria"/>
          <w:sz w:val="20"/>
          <w:szCs w:val="20"/>
        </w:rPr>
        <w:t>Le présent document résume les informations recueillies à ce jour concernant les risques potentiels pour la sécurité de l'équipage liés à l'utilisation d’avançons lestés pour réduire les prises accessoires d'oiseaux de mer dans la pêche à la palangre, ainsi que les moyens d'atténuer ces risques. Ces informations ont été fournies en réponse à une demande formulée dans le cadre d'un précédent document soumis par le Royaume-Uni (</w:t>
      </w:r>
      <w:hyperlink r:id="rId12" w:history="1">
        <w:r w:rsidRPr="005D7A0B">
          <w:rPr>
            <w:rStyle w:val="Hyperlink"/>
            <w:rFonts w:ascii="Cambria" w:hAnsi="Cambria"/>
            <w:sz w:val="20"/>
            <w:szCs w:val="20"/>
            <w:u w:val="none"/>
          </w:rPr>
          <w:t>IMM_06/i2026</w:t>
        </w:r>
      </w:hyperlink>
      <w:r w:rsidRPr="005D7A0B">
        <w:rPr>
          <w:rFonts w:ascii="Cambria" w:hAnsi="Cambria"/>
          <w:sz w:val="20"/>
          <w:szCs w:val="20"/>
        </w:rPr>
        <w:t>).</w:t>
      </w:r>
    </w:p>
    <w:p w14:paraId="2C975F57" w14:textId="77777777" w:rsidR="001577EF" w:rsidRPr="005D7A0B" w:rsidRDefault="001577EF" w:rsidP="001577EF">
      <w:pPr>
        <w:pStyle w:val="ListParagraph"/>
        <w:spacing w:after="0" w:line="240" w:lineRule="auto"/>
        <w:ind w:left="426" w:hanging="426"/>
        <w:contextualSpacing w:val="0"/>
        <w:jc w:val="both"/>
        <w:rPr>
          <w:rFonts w:ascii="Cambria" w:hAnsi="Cambria"/>
          <w:b/>
          <w:bCs/>
          <w:sz w:val="20"/>
          <w:szCs w:val="20"/>
        </w:rPr>
      </w:pPr>
    </w:p>
    <w:p w14:paraId="2D5ACC3C" w14:textId="76B32DFC" w:rsidR="008B54CD" w:rsidRPr="005D7A0B" w:rsidRDefault="008B54CD" w:rsidP="001577EF">
      <w:pPr>
        <w:pStyle w:val="ListParagraph"/>
        <w:numPr>
          <w:ilvl w:val="0"/>
          <w:numId w:val="5"/>
        </w:numPr>
        <w:spacing w:after="0" w:line="240" w:lineRule="auto"/>
        <w:ind w:left="426" w:hanging="426"/>
        <w:contextualSpacing w:val="0"/>
        <w:jc w:val="both"/>
        <w:rPr>
          <w:rFonts w:ascii="Cambria" w:hAnsi="Cambria"/>
          <w:b/>
          <w:bCs/>
          <w:sz w:val="20"/>
          <w:szCs w:val="20"/>
        </w:rPr>
      </w:pPr>
      <w:r w:rsidRPr="005D7A0B">
        <w:rPr>
          <w:rFonts w:ascii="Cambria" w:hAnsi="Cambria"/>
          <w:sz w:val="20"/>
          <w:szCs w:val="20"/>
        </w:rPr>
        <w:t xml:space="preserve">Ce nouveau document présente également quelques réflexions fondées sur notre analyse des informations reçues et d'autres éléments pertinents identifiés. L'objectif est de déterminer comment mettre en œuvre des mesures visant à réduire les prises accessoires d'oiseaux de mer tout en garantissant la sécurité de l'équipage.  </w:t>
      </w:r>
    </w:p>
    <w:p w14:paraId="6DE98F77" w14:textId="77777777" w:rsidR="001577EF" w:rsidRPr="005D7A0B" w:rsidRDefault="001577EF" w:rsidP="001577EF">
      <w:pPr>
        <w:spacing w:after="0" w:line="240" w:lineRule="auto"/>
        <w:ind w:left="426" w:hanging="426"/>
        <w:jc w:val="both"/>
        <w:rPr>
          <w:rFonts w:ascii="Cambria" w:hAnsi="Cambria"/>
          <w:b/>
          <w:bCs/>
          <w:sz w:val="20"/>
          <w:szCs w:val="20"/>
        </w:rPr>
      </w:pPr>
    </w:p>
    <w:p w14:paraId="517DEB13" w14:textId="175173B1" w:rsidR="0021541F" w:rsidRPr="005D7A0B" w:rsidRDefault="009C57BF"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 xml:space="preserve">À l'issue de la réunion du PWG, le Royaume-Uni invitera les CPC à fournir toute information complémentaire et à discuter de ces questions dans le cadre de discussions bilatérales. Nous rédigerons un nouveau document, destiné à la réunion du Groupe de travail IMM de 2027, dans le but de parvenir à un accord sur ce à quoi devrait ressembler une approche proportionnée et équilibrée de ces questions. Cela contribuera à l'élaboration d'une proposition de Recommandation visant à actualiser, en 2027, les mesures de l'ICCAT destinées à réduire les prises accessoires d'oiseaux marins. </w:t>
      </w:r>
    </w:p>
    <w:p w14:paraId="4952ED9B" w14:textId="77777777" w:rsidR="001577EF" w:rsidRPr="005D7A0B" w:rsidRDefault="001577EF" w:rsidP="001577EF">
      <w:pPr>
        <w:spacing w:after="0" w:line="240" w:lineRule="auto"/>
        <w:ind w:left="426" w:hanging="426"/>
        <w:jc w:val="both"/>
        <w:rPr>
          <w:rFonts w:ascii="Cambria" w:hAnsi="Cambria"/>
          <w:sz w:val="20"/>
          <w:szCs w:val="20"/>
        </w:rPr>
      </w:pPr>
    </w:p>
    <w:p w14:paraId="3FF0DA17" w14:textId="09E65074" w:rsidR="001516DA" w:rsidRPr="005D7A0B" w:rsidRDefault="00EF6FD9"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Nos conclusions préliminaires indiquent que des incidents liés à la sécurité des équipages ont été documentés dans le cadre des pêcheries de l’ICCAT et, plus largement, dans d'autres contextes. Des moyens efficaces permettant d'atténuer ces risques ont été mis au point et testés. Les activités de pêche étant très variées, même au sein de l’ICCAT, il est important d'offrir aux flottes un éventail de solutions visant à réduire les prises accessoires d'oiseaux de mer, ainsi qu'une certaine souplesse dans leur mise en œuvre. Les flottes peuvent alors choisir la solution qui leur convient le mieux, en tenant compte à la fois des aspects environnementaux, économiques, pratiques et de sécurité.</w:t>
      </w:r>
    </w:p>
    <w:p w14:paraId="6B14F011" w14:textId="77777777" w:rsidR="001577EF" w:rsidRPr="005D7A0B" w:rsidRDefault="001577EF" w:rsidP="001577EF">
      <w:pPr>
        <w:spacing w:after="0" w:line="240" w:lineRule="auto"/>
        <w:ind w:left="426" w:hanging="426"/>
        <w:jc w:val="both"/>
        <w:rPr>
          <w:rFonts w:ascii="Cambria" w:hAnsi="Cambria"/>
          <w:sz w:val="20"/>
          <w:szCs w:val="20"/>
        </w:rPr>
      </w:pPr>
    </w:p>
    <w:p w14:paraId="3F0E13E7" w14:textId="765699EA" w:rsidR="00C16751" w:rsidRPr="005D7A0B" w:rsidRDefault="00502A3D"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Les CPC ont également fourni des informations sur d'autres problèmes potentiels liés aux mesures visant à réduire les prises accessoires d'oiseaux de mer. Bien que le présent document soit principalement axé sur la sécurité des équipages, nous avons également apporté quelques premières réponses concernant ces autres questions.</w:t>
      </w:r>
    </w:p>
    <w:p w14:paraId="3A99CD58" w14:textId="77777777" w:rsidR="001577EF" w:rsidRPr="005D7A0B" w:rsidRDefault="001577EF" w:rsidP="001577EF">
      <w:pPr>
        <w:spacing w:after="0" w:line="240" w:lineRule="auto"/>
        <w:ind w:left="426" w:hanging="426"/>
        <w:jc w:val="both"/>
        <w:rPr>
          <w:rFonts w:ascii="Cambria" w:hAnsi="Cambria"/>
          <w:sz w:val="20"/>
          <w:szCs w:val="20"/>
        </w:rPr>
      </w:pPr>
    </w:p>
    <w:p w14:paraId="103F659D" w14:textId="77777777" w:rsidR="001577EF" w:rsidRPr="005D7A0B" w:rsidRDefault="001577EF" w:rsidP="001577EF">
      <w:pPr>
        <w:spacing w:after="0" w:line="240" w:lineRule="auto"/>
        <w:ind w:left="426" w:hanging="426"/>
        <w:jc w:val="both"/>
        <w:rPr>
          <w:rFonts w:ascii="Cambria" w:hAnsi="Cambria"/>
          <w:sz w:val="20"/>
          <w:szCs w:val="20"/>
        </w:rPr>
      </w:pPr>
    </w:p>
    <w:p w14:paraId="5B537A2B" w14:textId="2D71D305" w:rsidR="000E4A8A" w:rsidRPr="005D7A0B" w:rsidRDefault="000E4A8A" w:rsidP="001577EF">
      <w:pPr>
        <w:spacing w:after="0" w:line="240" w:lineRule="auto"/>
        <w:ind w:left="426" w:hanging="426"/>
        <w:jc w:val="both"/>
        <w:rPr>
          <w:rFonts w:ascii="Cambria" w:hAnsi="Cambria"/>
          <w:b/>
          <w:bCs/>
          <w:sz w:val="20"/>
          <w:szCs w:val="20"/>
        </w:rPr>
      </w:pPr>
      <w:r w:rsidRPr="005D7A0B">
        <w:rPr>
          <w:rFonts w:ascii="Cambria" w:hAnsi="Cambria"/>
          <w:b/>
          <w:sz w:val="20"/>
          <w:szCs w:val="20"/>
        </w:rPr>
        <w:t>Contexte</w:t>
      </w:r>
    </w:p>
    <w:p w14:paraId="6F3DDD6C" w14:textId="77777777" w:rsidR="001577EF" w:rsidRPr="005D7A0B" w:rsidRDefault="001577EF" w:rsidP="001577EF">
      <w:pPr>
        <w:spacing w:after="0" w:line="240" w:lineRule="auto"/>
        <w:ind w:left="426" w:hanging="426"/>
        <w:jc w:val="both"/>
        <w:rPr>
          <w:rFonts w:ascii="Cambria" w:hAnsi="Cambria"/>
          <w:b/>
          <w:bCs/>
          <w:sz w:val="20"/>
          <w:szCs w:val="20"/>
        </w:rPr>
      </w:pPr>
    </w:p>
    <w:p w14:paraId="7249B053" w14:textId="66A32BE9" w:rsidR="00CF1184" w:rsidRPr="005D7A0B" w:rsidRDefault="00476184"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Lors des discussions menées en novembre 2025 sur l'introduction éventuelle de dispositifs de protection des hameçons (HSD) en tant que mesure facultative visant à réduire les prises accessoires d'oiseaux de mer, certaines CPC ont fait part de leurs préoccupations concernant la sécurité des équipages face à d'éventuelles modifications des spécifications relatives au lestage des avançons des palangres. Conscient de la nécessité de mieux comprendre cette question, le Royaume-Uni a présenté un document lors de la 19e réunion du Groupe de travail chargé d’élaborer des mesures de contrôle intégré (IMM) (</w:t>
      </w:r>
      <w:hyperlink r:id="rId13" w:history="1">
        <w:r w:rsidRPr="005D7A0B">
          <w:rPr>
            <w:rStyle w:val="Hyperlink"/>
            <w:rFonts w:ascii="Cambria" w:hAnsi="Cambria"/>
            <w:sz w:val="20"/>
            <w:szCs w:val="20"/>
            <w:u w:val="none"/>
          </w:rPr>
          <w:t>IMM_06/i2026</w:t>
        </w:r>
      </w:hyperlink>
      <w:r w:rsidRPr="005D7A0B">
        <w:rPr>
          <w:rFonts w:ascii="Cambria" w:hAnsi="Cambria"/>
          <w:sz w:val="20"/>
          <w:szCs w:val="20"/>
        </w:rPr>
        <w:t xml:space="preserve">), dans lequel il demandait aux CPC de fournir des informations à ce sujet et de participer à de nouvelles discussions afin de parvenir à un accord sur la marche à suivre. </w:t>
      </w:r>
    </w:p>
    <w:p w14:paraId="43900300" w14:textId="77777777" w:rsidR="001577EF" w:rsidRPr="005D7A0B" w:rsidRDefault="001577EF" w:rsidP="001577EF">
      <w:pPr>
        <w:pStyle w:val="ListParagraph"/>
        <w:spacing w:after="0" w:line="240" w:lineRule="auto"/>
        <w:ind w:left="426" w:hanging="426"/>
        <w:contextualSpacing w:val="0"/>
        <w:jc w:val="both"/>
        <w:rPr>
          <w:rFonts w:ascii="Cambria" w:hAnsi="Cambria"/>
          <w:sz w:val="20"/>
          <w:szCs w:val="20"/>
        </w:rPr>
      </w:pPr>
    </w:p>
    <w:p w14:paraId="4DC9E396" w14:textId="32521171" w:rsidR="00FC6762" w:rsidRPr="005D7A0B" w:rsidRDefault="00FC6762"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Deux CPC ont transmis des informations – le Japon et l'UE – et nous les remercions pour leurs contributions. Ces informations ont été publiées dans un document du Secrétariat (</w:t>
      </w:r>
      <w:hyperlink r:id="rId14" w:history="1">
        <w:r w:rsidRPr="005D7A0B">
          <w:rPr>
            <w:rStyle w:val="Hyperlink"/>
            <w:rFonts w:ascii="Cambria" w:hAnsi="Cambria"/>
            <w:sz w:val="20"/>
            <w:szCs w:val="20"/>
            <w:u w:val="none"/>
          </w:rPr>
          <w:t>PWG_414/2026</w:t>
        </w:r>
      </w:hyperlink>
      <w:r w:rsidRPr="005D7A0B">
        <w:rPr>
          <w:rFonts w:ascii="Cambria" w:hAnsi="Cambria"/>
          <w:sz w:val="20"/>
          <w:szCs w:val="20"/>
        </w:rPr>
        <w:t>).</w:t>
      </w:r>
    </w:p>
    <w:p w14:paraId="73ACA644" w14:textId="77777777" w:rsidR="001577EF" w:rsidRPr="005D7A0B" w:rsidRDefault="001577EF" w:rsidP="001577EF">
      <w:pPr>
        <w:pStyle w:val="ListParagraph"/>
        <w:spacing w:after="0" w:line="240" w:lineRule="auto"/>
        <w:ind w:left="426" w:hanging="426"/>
        <w:contextualSpacing w:val="0"/>
        <w:jc w:val="both"/>
        <w:rPr>
          <w:rFonts w:ascii="Cambria" w:hAnsi="Cambria"/>
          <w:sz w:val="20"/>
          <w:szCs w:val="20"/>
        </w:rPr>
      </w:pPr>
    </w:p>
    <w:p w14:paraId="369E9C0B" w14:textId="77777777" w:rsidR="001577EF" w:rsidRPr="005D7A0B" w:rsidRDefault="001577EF" w:rsidP="001577EF">
      <w:pPr>
        <w:pStyle w:val="ListParagraph"/>
        <w:spacing w:after="0" w:line="240" w:lineRule="auto"/>
        <w:ind w:left="426" w:hanging="426"/>
        <w:contextualSpacing w:val="0"/>
        <w:jc w:val="both"/>
        <w:rPr>
          <w:rFonts w:ascii="Cambria" w:hAnsi="Cambria"/>
          <w:sz w:val="20"/>
          <w:szCs w:val="20"/>
        </w:rPr>
      </w:pPr>
    </w:p>
    <w:p w14:paraId="7A91306E" w14:textId="77777777" w:rsidR="00E9664B" w:rsidRPr="005D7A0B" w:rsidRDefault="00E9664B">
      <w:pPr>
        <w:rPr>
          <w:rFonts w:ascii="Cambria" w:hAnsi="Cambria"/>
          <w:b/>
          <w:sz w:val="20"/>
          <w:szCs w:val="20"/>
        </w:rPr>
      </w:pPr>
      <w:r w:rsidRPr="005D7A0B">
        <w:rPr>
          <w:rFonts w:ascii="Cambria" w:hAnsi="Cambria"/>
          <w:b/>
          <w:sz w:val="20"/>
          <w:szCs w:val="20"/>
        </w:rPr>
        <w:br w:type="page"/>
      </w:r>
    </w:p>
    <w:p w14:paraId="411DF7CD" w14:textId="0A7661C3" w:rsidR="00384BBA" w:rsidRPr="005D7A0B" w:rsidRDefault="00384BBA" w:rsidP="001577EF">
      <w:pPr>
        <w:spacing w:after="0" w:line="240" w:lineRule="auto"/>
        <w:ind w:left="426" w:hanging="426"/>
        <w:jc w:val="both"/>
        <w:rPr>
          <w:rFonts w:ascii="Cambria" w:hAnsi="Cambria"/>
          <w:b/>
          <w:bCs/>
          <w:sz w:val="20"/>
          <w:szCs w:val="20"/>
        </w:rPr>
      </w:pPr>
      <w:r w:rsidRPr="005D7A0B">
        <w:rPr>
          <w:rFonts w:ascii="Cambria" w:hAnsi="Cambria"/>
          <w:b/>
          <w:sz w:val="20"/>
          <w:szCs w:val="20"/>
        </w:rPr>
        <w:lastRenderedPageBreak/>
        <w:t xml:space="preserve">Informations fournies par les CPC concernant la sécurité des équipages </w:t>
      </w:r>
    </w:p>
    <w:p w14:paraId="2D95F33B" w14:textId="77777777" w:rsidR="001577EF" w:rsidRPr="005D7A0B" w:rsidRDefault="001577EF" w:rsidP="001577EF">
      <w:pPr>
        <w:spacing w:after="0" w:line="240" w:lineRule="auto"/>
        <w:ind w:left="426" w:hanging="426"/>
        <w:jc w:val="both"/>
        <w:rPr>
          <w:rFonts w:ascii="Cambria" w:hAnsi="Cambria"/>
          <w:b/>
          <w:bCs/>
          <w:sz w:val="20"/>
          <w:szCs w:val="20"/>
        </w:rPr>
      </w:pPr>
    </w:p>
    <w:p w14:paraId="6614034A" w14:textId="7DD52790" w:rsidR="0D2653D9" w:rsidRPr="005D7A0B" w:rsidRDefault="3FC22570" w:rsidP="001577EF">
      <w:pPr>
        <w:numPr>
          <w:ilvl w:val="0"/>
          <w:numId w:val="5"/>
        </w:numPr>
        <w:spacing w:after="0" w:line="240" w:lineRule="auto"/>
        <w:ind w:left="426" w:hanging="426"/>
        <w:jc w:val="both"/>
        <w:rPr>
          <w:rFonts w:ascii="Cambria" w:hAnsi="Cambria"/>
          <w:sz w:val="20"/>
          <w:szCs w:val="20"/>
        </w:rPr>
      </w:pPr>
      <w:r w:rsidRPr="005D7A0B">
        <w:rPr>
          <w:rFonts w:ascii="Cambria" w:hAnsi="Cambria"/>
          <w:sz w:val="20"/>
          <w:szCs w:val="20"/>
        </w:rPr>
        <w:t xml:space="preserve">Le document soumis par l’UE a mis en évidence le risque de « retour», qui se produit lorsque des avançons lestées rebondissent à grande vitesse lorsqu'ils sont soudainement relâchés alors qu'ils sont sous tension (par exemple, en cas de rupture des lignes ou lorsque les hameçons s'arrachent du poisson). Les auteurs ont indiqué que ces risques peuvent varier selon le type d’opération de pêche. Par exemple, entre les navires de grande et de petite taille, entre les systèmes de virage de la palangre mécanisés et non mécanisés, mais aussi en fonction du choix des engins, comme l'utilisation de lignes en nylon ou en monofilament. </w:t>
      </w:r>
    </w:p>
    <w:p w14:paraId="588D6234" w14:textId="77777777" w:rsidR="001577EF" w:rsidRPr="005D7A0B" w:rsidRDefault="001577EF" w:rsidP="001577EF">
      <w:pPr>
        <w:spacing w:after="0" w:line="240" w:lineRule="auto"/>
        <w:ind w:left="426" w:hanging="426"/>
        <w:jc w:val="both"/>
        <w:rPr>
          <w:rFonts w:ascii="Cambria" w:hAnsi="Cambria"/>
          <w:sz w:val="20"/>
          <w:szCs w:val="20"/>
        </w:rPr>
      </w:pPr>
    </w:p>
    <w:p w14:paraId="46688451" w14:textId="61E1DC49" w:rsidR="00F66084" w:rsidRDefault="346F2824"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Le document soumis par le Japon a également mis en évidence le risque de « retour », tant lors de la remontée d'hameçons vides que lorsque les hameçons s'arrachent du poisson. Le document détaillait 17 « cas graves », survenus sur une période de neuf ans, au cours desquels des retours d’avançons lestés avaient entraîné des blessures pour lesquelles les membres d'équipage avaient reçu une indemnisation. Les cas qui n'ont pas donné lieu à une indemnisation n'ont pas été pris en compte. On a insisté sur la nécessité de prendre soigneusement en compte la sécurité de l'équipage lors de l'examen d'éventuelles modifications des spécifications de lestage des avançons.</w:t>
      </w:r>
    </w:p>
    <w:p w14:paraId="3B59B81E" w14:textId="77777777" w:rsidR="00686EA0" w:rsidRPr="00686EA0" w:rsidRDefault="00686EA0" w:rsidP="00686EA0">
      <w:pPr>
        <w:spacing w:after="0" w:line="240" w:lineRule="auto"/>
        <w:jc w:val="both"/>
        <w:rPr>
          <w:rFonts w:ascii="Cambria" w:hAnsi="Cambria"/>
          <w:sz w:val="20"/>
          <w:szCs w:val="20"/>
        </w:rPr>
      </w:pPr>
    </w:p>
    <w:p w14:paraId="2F3FC71B" w14:textId="582CBC73" w:rsidR="00DA512F" w:rsidRPr="005D7A0B" w:rsidRDefault="00DA512F"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Ces informations indiquent que le risque de retour, pouvant entraîner des blessures chez les membres d'équipage, doit être pris au sérieux dans la gestion des pêcheries à la palangre. Cela vaut notamment lors de la conception et de la mise en œuvre de mesures visant à réduire les prises accessoires, notamment le lestage des avançons.</w:t>
      </w:r>
    </w:p>
    <w:p w14:paraId="0626240D" w14:textId="77777777" w:rsidR="001577EF" w:rsidRPr="005D7A0B" w:rsidRDefault="001577EF" w:rsidP="001577EF">
      <w:pPr>
        <w:pStyle w:val="ListParagraph"/>
        <w:spacing w:after="0" w:line="240" w:lineRule="auto"/>
        <w:ind w:left="426" w:hanging="426"/>
        <w:contextualSpacing w:val="0"/>
        <w:jc w:val="both"/>
        <w:rPr>
          <w:rFonts w:ascii="Cambria" w:hAnsi="Cambria"/>
          <w:sz w:val="20"/>
          <w:szCs w:val="20"/>
        </w:rPr>
      </w:pPr>
    </w:p>
    <w:p w14:paraId="0A398824" w14:textId="77777777" w:rsidR="001577EF" w:rsidRPr="005D7A0B" w:rsidRDefault="001577EF" w:rsidP="001577EF">
      <w:pPr>
        <w:pStyle w:val="ListParagraph"/>
        <w:spacing w:after="0" w:line="240" w:lineRule="auto"/>
        <w:ind w:left="426" w:hanging="426"/>
        <w:contextualSpacing w:val="0"/>
        <w:jc w:val="both"/>
        <w:rPr>
          <w:rFonts w:ascii="Cambria" w:hAnsi="Cambria"/>
          <w:sz w:val="20"/>
          <w:szCs w:val="20"/>
        </w:rPr>
      </w:pPr>
    </w:p>
    <w:p w14:paraId="6FB1337E" w14:textId="331DCA81" w:rsidR="0041117C" w:rsidRPr="005D7A0B" w:rsidRDefault="0041117C" w:rsidP="001577EF">
      <w:pPr>
        <w:spacing w:after="0" w:line="240" w:lineRule="auto"/>
        <w:ind w:left="426" w:hanging="426"/>
        <w:jc w:val="both"/>
        <w:rPr>
          <w:rFonts w:ascii="Cambria" w:hAnsi="Cambria"/>
          <w:b/>
          <w:bCs/>
          <w:sz w:val="20"/>
          <w:szCs w:val="20"/>
        </w:rPr>
      </w:pPr>
      <w:r w:rsidRPr="005D7A0B">
        <w:rPr>
          <w:rFonts w:ascii="Cambria" w:hAnsi="Cambria"/>
          <w:b/>
          <w:sz w:val="20"/>
          <w:szCs w:val="20"/>
        </w:rPr>
        <w:t>Autres informations pertinentes identifiées par le Royaume-Uni concernant la sécurité des équipages :</w:t>
      </w:r>
    </w:p>
    <w:p w14:paraId="7396F373" w14:textId="77777777" w:rsidR="001577EF" w:rsidRPr="005D7A0B" w:rsidRDefault="001577EF" w:rsidP="001577EF">
      <w:pPr>
        <w:spacing w:after="0" w:line="240" w:lineRule="auto"/>
        <w:ind w:left="426" w:hanging="426"/>
        <w:jc w:val="both"/>
        <w:rPr>
          <w:rFonts w:ascii="Cambria" w:hAnsi="Cambria"/>
          <w:b/>
          <w:bCs/>
          <w:sz w:val="20"/>
          <w:szCs w:val="20"/>
        </w:rPr>
      </w:pPr>
    </w:p>
    <w:p w14:paraId="28D52F9F" w14:textId="78460022" w:rsidR="192E6988" w:rsidRPr="005D7A0B" w:rsidRDefault="002063AA" w:rsidP="001577EF">
      <w:pPr>
        <w:pStyle w:val="ListParagraph"/>
        <w:numPr>
          <w:ilvl w:val="0"/>
          <w:numId w:val="5"/>
        </w:numPr>
        <w:spacing w:after="0" w:line="240" w:lineRule="auto"/>
        <w:ind w:left="426" w:hanging="426"/>
        <w:contextualSpacing w:val="0"/>
        <w:jc w:val="both"/>
        <w:rPr>
          <w:rFonts w:ascii="Cambria" w:eastAsia="Aptos" w:hAnsi="Cambria" w:cs="Aptos"/>
          <w:sz w:val="20"/>
          <w:szCs w:val="20"/>
        </w:rPr>
      </w:pPr>
      <w:r w:rsidRPr="005D7A0B">
        <w:rPr>
          <w:rFonts w:ascii="Cambria" w:hAnsi="Cambria"/>
          <w:color w:val="000000" w:themeColor="text1"/>
          <w:sz w:val="20"/>
          <w:szCs w:val="20"/>
        </w:rPr>
        <w:t xml:space="preserve">Des documents publiés par l'ACAP soulignent que le lestage des avançons constitue une mesure efficace d'atténuation des prises accessoires d'oiseaux marins dans les pêcheries pélagiques à la palangre (ACAP, 2026), mais mettent également en garde contre le risque potentiel pour la sécurité de l'équipage lié à l’effet de « retour » des avançons lestés (ACAP, 2021). </w:t>
      </w:r>
      <w:r w:rsidRPr="005D7A0B">
        <w:rPr>
          <w:rFonts w:ascii="Cambria" w:hAnsi="Cambria"/>
          <w:sz w:val="20"/>
          <w:szCs w:val="20"/>
        </w:rPr>
        <w:t xml:space="preserve"> </w:t>
      </w:r>
    </w:p>
    <w:p w14:paraId="19BE8EEA" w14:textId="77777777" w:rsidR="001577EF" w:rsidRPr="005D7A0B" w:rsidRDefault="001577EF" w:rsidP="001577EF">
      <w:pPr>
        <w:pStyle w:val="ListParagraph"/>
        <w:spacing w:after="0" w:line="240" w:lineRule="auto"/>
        <w:ind w:left="426" w:hanging="426"/>
        <w:contextualSpacing w:val="0"/>
        <w:jc w:val="both"/>
        <w:rPr>
          <w:rFonts w:ascii="Cambria" w:eastAsia="Aptos" w:hAnsi="Cambria" w:cs="Aptos"/>
          <w:sz w:val="20"/>
          <w:szCs w:val="20"/>
        </w:rPr>
      </w:pPr>
    </w:p>
    <w:p w14:paraId="7C5404DB" w14:textId="7FECED07" w:rsidR="00CA350B" w:rsidRPr="005D7A0B" w:rsidRDefault="007C3783" w:rsidP="001577EF">
      <w:pPr>
        <w:pStyle w:val="ListParagraph"/>
        <w:numPr>
          <w:ilvl w:val="0"/>
          <w:numId w:val="5"/>
        </w:numPr>
        <w:spacing w:after="0" w:line="240" w:lineRule="auto"/>
        <w:ind w:left="426" w:hanging="426"/>
        <w:contextualSpacing w:val="0"/>
        <w:jc w:val="both"/>
        <w:rPr>
          <w:rFonts w:ascii="Cambria" w:eastAsia="Aptos" w:hAnsi="Cambria" w:cs="Aptos"/>
          <w:color w:val="000000" w:themeColor="text1"/>
          <w:sz w:val="20"/>
          <w:szCs w:val="20"/>
        </w:rPr>
      </w:pPr>
      <w:r w:rsidRPr="005D7A0B">
        <w:rPr>
          <w:rFonts w:ascii="Cambria" w:hAnsi="Cambria"/>
          <w:sz w:val="20"/>
          <w:szCs w:val="20"/>
        </w:rPr>
        <w:t>D'autres études ont examiné plus en détail le risque de retour et les dangers pour la sécurité liés au lestage des avançons, ainsi que les moyens de réduire ou d'atténuer ces risques. Il est souligné que la fréquence des cas de retour des avançons lestés et les risques qui y sont associés peuvent être réduits grâce à des changements pratiques et opérationnels.</w:t>
      </w:r>
      <w:r w:rsidRPr="005D7A0B">
        <w:rPr>
          <w:rFonts w:ascii="Cambria" w:hAnsi="Cambria"/>
          <w:color w:val="000000" w:themeColor="text1"/>
          <w:sz w:val="20"/>
          <w:szCs w:val="20"/>
        </w:rPr>
        <w:t xml:space="preserve"> </w:t>
      </w:r>
    </w:p>
    <w:p w14:paraId="6C49BE98" w14:textId="77777777" w:rsidR="001577EF" w:rsidRPr="005D7A0B" w:rsidRDefault="001577EF" w:rsidP="001577EF">
      <w:pPr>
        <w:spacing w:after="0" w:line="240" w:lineRule="auto"/>
        <w:ind w:left="426" w:hanging="426"/>
        <w:jc w:val="both"/>
        <w:rPr>
          <w:rFonts w:ascii="Cambria" w:eastAsia="Aptos" w:hAnsi="Cambria" w:cs="Aptos"/>
          <w:color w:val="000000" w:themeColor="text1"/>
          <w:sz w:val="20"/>
          <w:szCs w:val="20"/>
        </w:rPr>
      </w:pPr>
    </w:p>
    <w:p w14:paraId="2B0CB678" w14:textId="21302F32" w:rsidR="09295A8D" w:rsidRPr="005D7A0B" w:rsidRDefault="007C7B8C"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color w:val="000000" w:themeColor="text1"/>
          <w:sz w:val="20"/>
          <w:szCs w:val="20"/>
        </w:rPr>
        <w:t xml:space="preserve">Les différents types de lests et les différentes configurations de lestage peuvent avoir des répercussions variables sur la gravité du retour (Rawlinson </w:t>
      </w:r>
      <w:r w:rsidRPr="005D7A0B">
        <w:rPr>
          <w:rFonts w:ascii="Cambria" w:hAnsi="Cambria"/>
          <w:i/>
          <w:color w:val="000000" w:themeColor="text1"/>
          <w:sz w:val="20"/>
          <w:szCs w:val="20"/>
        </w:rPr>
        <w:t>et al.,</w:t>
      </w:r>
      <w:r w:rsidRPr="005D7A0B">
        <w:rPr>
          <w:rFonts w:ascii="Cambria" w:hAnsi="Cambria"/>
          <w:color w:val="000000" w:themeColor="text1"/>
          <w:sz w:val="20"/>
          <w:szCs w:val="20"/>
        </w:rPr>
        <w:t xml:space="preserve"> 2019). Par exemple, des essais ont démontré que les lests qui glissent vers le bas ou sortent de la ligne en cas de rupture réduisaient l'énergie cinétique à l'impact de 80 % par rapport aux avançons traditionnels contenant du plomb (Sullivan </w:t>
      </w:r>
      <w:r w:rsidRPr="005D7A0B">
        <w:rPr>
          <w:rFonts w:ascii="Cambria" w:hAnsi="Cambria"/>
          <w:i/>
          <w:color w:val="000000" w:themeColor="text1"/>
          <w:sz w:val="20"/>
          <w:szCs w:val="20"/>
        </w:rPr>
        <w:t>et al</w:t>
      </w:r>
      <w:r w:rsidRPr="005D7A0B">
        <w:rPr>
          <w:rFonts w:ascii="Cambria" w:hAnsi="Cambria"/>
          <w:color w:val="000000" w:themeColor="text1"/>
          <w:sz w:val="20"/>
          <w:szCs w:val="20"/>
        </w:rPr>
        <w:t>, 2012).</w:t>
      </w:r>
    </w:p>
    <w:p w14:paraId="145BDFEF" w14:textId="77777777" w:rsidR="001577EF" w:rsidRPr="005D7A0B" w:rsidRDefault="001577EF" w:rsidP="001577EF">
      <w:pPr>
        <w:spacing w:after="0" w:line="240" w:lineRule="auto"/>
        <w:ind w:left="426" w:hanging="426"/>
        <w:jc w:val="both"/>
        <w:rPr>
          <w:rFonts w:ascii="Cambria" w:hAnsi="Cambria"/>
          <w:sz w:val="20"/>
          <w:szCs w:val="20"/>
        </w:rPr>
      </w:pPr>
    </w:p>
    <w:p w14:paraId="7C862276" w14:textId="3801B28F" w:rsidR="00BB173B" w:rsidRPr="005D7A0B" w:rsidRDefault="00CC0CB6"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 xml:space="preserve">L'ACAP a également recensé d'autres méthodes permettant de réduire le risque relatif de retour, notamment l'utilisation d'équipements de protection individuelle et la modification des pratiques de virage, comme le virage oblique, afin d'éloigner l'équipage de la trajectoire directe d'un avançon qui rebondit (ACAP, 2021). </w:t>
      </w:r>
    </w:p>
    <w:p w14:paraId="78430D22" w14:textId="77777777" w:rsidR="001577EF" w:rsidRPr="005D7A0B" w:rsidRDefault="001577EF" w:rsidP="001577EF">
      <w:pPr>
        <w:spacing w:after="0" w:line="240" w:lineRule="auto"/>
        <w:ind w:left="426" w:hanging="426"/>
        <w:jc w:val="both"/>
        <w:rPr>
          <w:rFonts w:ascii="Cambria" w:hAnsi="Cambria"/>
          <w:sz w:val="20"/>
          <w:szCs w:val="20"/>
        </w:rPr>
      </w:pPr>
    </w:p>
    <w:p w14:paraId="1ED247F1" w14:textId="5C632A15" w:rsidR="004742B8" w:rsidRPr="005D7A0B" w:rsidRDefault="004742B8"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 xml:space="preserve">Ces informations indiquent qu'il existe plusieurs moyens de réduire ou d'atténuer les risques potentiels pour la sécurité de l'équipage. Celles-ci vont des modifications apportées à la configuration des palangres et des avançons aux changements concernant les pratiques de virage et l'utilisation d'équipements de protection. Différentes options sont susceptibles de convenir à différentes opérations de pêche. </w:t>
      </w:r>
    </w:p>
    <w:p w14:paraId="6E078357" w14:textId="77777777" w:rsidR="001577EF" w:rsidRPr="005D7A0B" w:rsidRDefault="001577EF" w:rsidP="001577EF">
      <w:pPr>
        <w:pStyle w:val="ListParagraph"/>
        <w:spacing w:after="0" w:line="240" w:lineRule="auto"/>
        <w:ind w:left="426" w:hanging="426"/>
        <w:contextualSpacing w:val="0"/>
        <w:jc w:val="both"/>
        <w:rPr>
          <w:rFonts w:ascii="Cambria" w:hAnsi="Cambria"/>
          <w:sz w:val="20"/>
          <w:szCs w:val="20"/>
        </w:rPr>
      </w:pPr>
    </w:p>
    <w:p w14:paraId="4C822099" w14:textId="77777777" w:rsidR="001577EF" w:rsidRPr="005D7A0B" w:rsidRDefault="001577EF" w:rsidP="001577EF">
      <w:pPr>
        <w:pStyle w:val="ListParagraph"/>
        <w:spacing w:after="0" w:line="240" w:lineRule="auto"/>
        <w:ind w:left="426" w:hanging="426"/>
        <w:contextualSpacing w:val="0"/>
        <w:jc w:val="both"/>
        <w:rPr>
          <w:rFonts w:ascii="Cambria" w:hAnsi="Cambria"/>
          <w:sz w:val="20"/>
          <w:szCs w:val="20"/>
        </w:rPr>
      </w:pPr>
    </w:p>
    <w:p w14:paraId="07E59EA1" w14:textId="77777777" w:rsidR="00886A7A" w:rsidRDefault="00886A7A">
      <w:pPr>
        <w:rPr>
          <w:rFonts w:ascii="Cambria" w:hAnsi="Cambria"/>
          <w:b/>
          <w:sz w:val="20"/>
          <w:szCs w:val="20"/>
        </w:rPr>
      </w:pPr>
      <w:r>
        <w:rPr>
          <w:rFonts w:ascii="Cambria" w:hAnsi="Cambria"/>
          <w:b/>
          <w:sz w:val="20"/>
          <w:szCs w:val="20"/>
        </w:rPr>
        <w:br w:type="page"/>
      </w:r>
    </w:p>
    <w:p w14:paraId="39390315" w14:textId="2225316B" w:rsidR="00233150" w:rsidRPr="005D7A0B" w:rsidRDefault="00233150" w:rsidP="001577EF">
      <w:pPr>
        <w:spacing w:after="0" w:line="240" w:lineRule="auto"/>
        <w:ind w:left="426" w:hanging="426"/>
        <w:jc w:val="both"/>
        <w:rPr>
          <w:rFonts w:ascii="Cambria" w:hAnsi="Cambria"/>
          <w:b/>
          <w:bCs/>
          <w:sz w:val="20"/>
          <w:szCs w:val="20"/>
        </w:rPr>
      </w:pPr>
      <w:r w:rsidRPr="005D7A0B">
        <w:rPr>
          <w:rFonts w:ascii="Cambria" w:hAnsi="Cambria"/>
          <w:b/>
          <w:sz w:val="20"/>
          <w:szCs w:val="20"/>
        </w:rPr>
        <w:lastRenderedPageBreak/>
        <w:t>Premières conclusions concernant la sécurité de l'équipage</w:t>
      </w:r>
    </w:p>
    <w:p w14:paraId="7AAB83E7" w14:textId="77777777" w:rsidR="001577EF" w:rsidRPr="005D7A0B" w:rsidRDefault="001577EF" w:rsidP="001577EF">
      <w:pPr>
        <w:spacing w:after="0" w:line="240" w:lineRule="auto"/>
        <w:ind w:left="426" w:hanging="426"/>
        <w:jc w:val="both"/>
        <w:rPr>
          <w:rFonts w:ascii="Cambria" w:hAnsi="Cambria"/>
          <w:b/>
          <w:bCs/>
          <w:sz w:val="20"/>
          <w:szCs w:val="20"/>
        </w:rPr>
      </w:pPr>
    </w:p>
    <w:p w14:paraId="670CF6C5" w14:textId="0F034847" w:rsidR="00E9664B" w:rsidRDefault="005057EC" w:rsidP="00E9664B">
      <w:pPr>
        <w:numPr>
          <w:ilvl w:val="0"/>
          <w:numId w:val="5"/>
        </w:numPr>
        <w:tabs>
          <w:tab w:val="left" w:pos="426"/>
        </w:tabs>
        <w:spacing w:after="0" w:line="240" w:lineRule="auto"/>
        <w:ind w:left="426" w:hanging="426"/>
        <w:jc w:val="both"/>
        <w:rPr>
          <w:rFonts w:ascii="Cambria" w:hAnsi="Cambria"/>
          <w:color w:val="000000" w:themeColor="text1"/>
          <w:sz w:val="20"/>
          <w:szCs w:val="20"/>
        </w:rPr>
      </w:pPr>
      <w:r w:rsidRPr="005D7A0B">
        <w:rPr>
          <w:rFonts w:ascii="Cambria" w:hAnsi="Cambria"/>
          <w:color w:val="000000" w:themeColor="text1"/>
          <w:sz w:val="20"/>
          <w:szCs w:val="20"/>
        </w:rPr>
        <w:t>Les navires de pêche sont des sites industriels. Tout comme sur d'autres sites industriels, les armateurs, opérateurs et gestionnaires de navires doivent prendre les mesures appropriées pour réduire les risques potentiels à bord des navires de pêche.</w:t>
      </w:r>
    </w:p>
    <w:p w14:paraId="59FA6BEC" w14:textId="77777777" w:rsidR="00886A7A" w:rsidRPr="005D7A0B" w:rsidRDefault="00886A7A" w:rsidP="00886A7A">
      <w:pPr>
        <w:tabs>
          <w:tab w:val="left" w:pos="426"/>
        </w:tabs>
        <w:spacing w:after="0" w:line="240" w:lineRule="auto"/>
        <w:ind w:left="426"/>
        <w:jc w:val="both"/>
        <w:rPr>
          <w:rFonts w:ascii="Cambria" w:hAnsi="Cambria"/>
          <w:color w:val="000000" w:themeColor="text1"/>
          <w:sz w:val="20"/>
          <w:szCs w:val="20"/>
        </w:rPr>
      </w:pPr>
    </w:p>
    <w:p w14:paraId="20C5825C" w14:textId="3661F551" w:rsidR="005605D0" w:rsidRPr="005D7A0B" w:rsidRDefault="00D10174" w:rsidP="001577EF">
      <w:pPr>
        <w:numPr>
          <w:ilvl w:val="0"/>
          <w:numId w:val="5"/>
        </w:numPr>
        <w:tabs>
          <w:tab w:val="left" w:pos="426"/>
        </w:tabs>
        <w:spacing w:after="0" w:line="240" w:lineRule="auto"/>
        <w:ind w:left="426" w:hanging="426"/>
        <w:jc w:val="both"/>
        <w:rPr>
          <w:rFonts w:ascii="Cambria" w:eastAsia="Aptos" w:hAnsi="Cambria" w:cs="Aptos"/>
          <w:color w:val="000000" w:themeColor="text1"/>
          <w:sz w:val="20"/>
          <w:szCs w:val="20"/>
        </w:rPr>
      </w:pPr>
      <w:r w:rsidRPr="005D7A0B">
        <w:rPr>
          <w:rFonts w:ascii="Cambria" w:hAnsi="Cambria"/>
          <w:color w:val="000000" w:themeColor="text1"/>
          <w:sz w:val="20"/>
          <w:szCs w:val="20"/>
        </w:rPr>
        <w:t xml:space="preserve">L'ICCAT devrait prendre sérieusement en compte le risque de retour et les blessures qui pourraient en résulter pour l'équipage lorsqu'elle mettra à jour ses mesures actuelles d'atténuation des prises accessoires d'oiseaux de mer. </w:t>
      </w:r>
    </w:p>
    <w:p w14:paraId="212E0ECB" w14:textId="77777777" w:rsidR="001577EF" w:rsidRPr="005D7A0B" w:rsidRDefault="001577EF" w:rsidP="001577EF">
      <w:pPr>
        <w:tabs>
          <w:tab w:val="left" w:pos="426"/>
        </w:tabs>
        <w:spacing w:after="0" w:line="240" w:lineRule="auto"/>
        <w:ind w:left="426" w:hanging="426"/>
        <w:jc w:val="both"/>
        <w:rPr>
          <w:rFonts w:ascii="Cambria" w:eastAsia="Aptos" w:hAnsi="Cambria" w:cs="Aptos"/>
          <w:color w:val="000000" w:themeColor="text1"/>
          <w:sz w:val="20"/>
          <w:szCs w:val="20"/>
        </w:rPr>
      </w:pPr>
    </w:p>
    <w:p w14:paraId="07EC4FEC" w14:textId="6086D8E8" w:rsidR="00573F6E" w:rsidRPr="005D7A0B" w:rsidRDefault="002E0EA3" w:rsidP="001577EF">
      <w:pPr>
        <w:pStyle w:val="ListParagraph"/>
        <w:numPr>
          <w:ilvl w:val="0"/>
          <w:numId w:val="5"/>
        </w:numPr>
        <w:tabs>
          <w:tab w:val="left" w:pos="426"/>
        </w:tabs>
        <w:spacing w:after="0" w:line="240" w:lineRule="auto"/>
        <w:ind w:left="426" w:hanging="426"/>
        <w:contextualSpacing w:val="0"/>
        <w:jc w:val="both"/>
        <w:rPr>
          <w:rFonts w:ascii="Cambria" w:eastAsia="Aptos" w:hAnsi="Cambria" w:cs="Aptos"/>
          <w:color w:val="000000" w:themeColor="text1"/>
          <w:sz w:val="20"/>
          <w:szCs w:val="20"/>
        </w:rPr>
      </w:pPr>
      <w:r w:rsidRPr="005D7A0B">
        <w:rPr>
          <w:rFonts w:ascii="Cambria" w:hAnsi="Cambria"/>
          <w:color w:val="000000" w:themeColor="text1"/>
          <w:sz w:val="20"/>
          <w:szCs w:val="20"/>
        </w:rPr>
        <w:t xml:space="preserve">Il existe divers moyens de réduire le risque de blessure lié au retour de retour. Ce qui est adapté – c'est-à-dire pratique, efficace, sûr et abordable – variera probablement d'une flotte à l'autre, compte tenu des différences entre les navires et les pratiques de pêche.  </w:t>
      </w:r>
    </w:p>
    <w:p w14:paraId="4C9881BB" w14:textId="77777777" w:rsidR="001577EF" w:rsidRPr="005D7A0B" w:rsidRDefault="001577EF" w:rsidP="001577EF">
      <w:pPr>
        <w:tabs>
          <w:tab w:val="left" w:pos="426"/>
        </w:tabs>
        <w:spacing w:after="0" w:line="240" w:lineRule="auto"/>
        <w:ind w:left="426" w:hanging="426"/>
        <w:jc w:val="both"/>
        <w:rPr>
          <w:rFonts w:ascii="Cambria" w:eastAsia="Aptos" w:hAnsi="Cambria" w:cs="Aptos"/>
          <w:color w:val="000000" w:themeColor="text1"/>
          <w:sz w:val="20"/>
          <w:szCs w:val="20"/>
        </w:rPr>
      </w:pPr>
    </w:p>
    <w:p w14:paraId="5A371FF7" w14:textId="42A67CD7" w:rsidR="00581369" w:rsidRPr="005D7A0B" w:rsidRDefault="004638CE" w:rsidP="001577EF">
      <w:pPr>
        <w:pStyle w:val="ListParagraph"/>
        <w:numPr>
          <w:ilvl w:val="0"/>
          <w:numId w:val="5"/>
        </w:numPr>
        <w:tabs>
          <w:tab w:val="left" w:pos="426"/>
        </w:tabs>
        <w:spacing w:after="0" w:line="240" w:lineRule="auto"/>
        <w:ind w:left="426" w:hanging="426"/>
        <w:contextualSpacing w:val="0"/>
        <w:jc w:val="both"/>
        <w:rPr>
          <w:rFonts w:ascii="Cambria" w:eastAsia="Aptos" w:hAnsi="Cambria" w:cs="Aptos"/>
          <w:color w:val="000000" w:themeColor="text1"/>
          <w:sz w:val="20"/>
          <w:szCs w:val="20"/>
        </w:rPr>
      </w:pPr>
      <w:r w:rsidRPr="005D7A0B">
        <w:rPr>
          <w:rFonts w:ascii="Cambria" w:hAnsi="Cambria"/>
          <w:color w:val="000000" w:themeColor="text1"/>
          <w:sz w:val="20"/>
          <w:szCs w:val="20"/>
        </w:rPr>
        <w:t>Il serait donc sans doute plus judicieux d'accorder aux CPC et aux flottes une certaine souplesse afin qu'elles puissent choisir les options qui leur conviennent le mieux. Il existe deux façons d'y parvenir :</w:t>
      </w:r>
    </w:p>
    <w:p w14:paraId="38F3A64A" w14:textId="77777777" w:rsidR="001577EF" w:rsidRPr="005D7A0B" w:rsidRDefault="001577EF" w:rsidP="001577EF">
      <w:pPr>
        <w:pStyle w:val="ListParagraph"/>
        <w:spacing w:after="0" w:line="240" w:lineRule="auto"/>
        <w:ind w:left="360"/>
        <w:contextualSpacing w:val="0"/>
        <w:jc w:val="both"/>
        <w:rPr>
          <w:rFonts w:ascii="Cambria" w:eastAsia="Aptos" w:hAnsi="Cambria" w:cs="Aptos"/>
          <w:color w:val="000000" w:themeColor="text1"/>
          <w:sz w:val="20"/>
          <w:szCs w:val="20"/>
        </w:rPr>
      </w:pPr>
    </w:p>
    <w:p w14:paraId="35570E44" w14:textId="1B66098A" w:rsidR="004638CE" w:rsidRPr="005D7A0B" w:rsidRDefault="008A66F4" w:rsidP="001577EF">
      <w:pPr>
        <w:pStyle w:val="ListParagraph"/>
        <w:numPr>
          <w:ilvl w:val="1"/>
          <w:numId w:val="5"/>
        </w:numPr>
        <w:spacing w:after="0" w:line="240" w:lineRule="auto"/>
        <w:ind w:left="851" w:hanging="426"/>
        <w:contextualSpacing w:val="0"/>
        <w:jc w:val="both"/>
        <w:rPr>
          <w:rFonts w:ascii="Cambria" w:eastAsia="Aptos" w:hAnsi="Cambria" w:cs="Aptos"/>
          <w:color w:val="000000" w:themeColor="text1"/>
          <w:sz w:val="20"/>
          <w:szCs w:val="20"/>
        </w:rPr>
      </w:pPr>
      <w:r w:rsidRPr="005D7A0B">
        <w:rPr>
          <w:rFonts w:ascii="Cambria" w:hAnsi="Cambria"/>
          <w:color w:val="000000" w:themeColor="text1"/>
          <w:sz w:val="20"/>
          <w:szCs w:val="20"/>
        </w:rPr>
        <w:t xml:space="preserve">Continuer à proposer un éventail de mesures visant à réduire les prises accessoires d'oiseaux de mer. </w:t>
      </w:r>
      <w:r w:rsidRPr="005D7A0B">
        <w:rPr>
          <w:rFonts w:ascii="Cambria" w:hAnsi="Cambria"/>
          <w:sz w:val="20"/>
          <w:szCs w:val="20"/>
        </w:rPr>
        <w:t>L'ICCAT impose actuellement l'application d'une ou de deux mesures, choisies parmi trois, en fonction de la zone de pêche (les Recommandations</w:t>
      </w:r>
      <w:r w:rsidRPr="005D7A0B">
        <w:rPr>
          <w:rFonts w:ascii="Cambria" w:hAnsi="Cambria"/>
          <w:color w:val="000000" w:themeColor="text1"/>
          <w:sz w:val="20"/>
          <w:szCs w:val="20"/>
        </w:rPr>
        <w:t xml:space="preserve"> </w:t>
      </w:r>
      <w:hyperlink r:id="rId15" w:history="1">
        <w:r w:rsidRPr="005D7A0B">
          <w:rPr>
            <w:rStyle w:val="Hyperlink"/>
            <w:rFonts w:ascii="Cambria" w:hAnsi="Cambria"/>
            <w:sz w:val="20"/>
            <w:szCs w:val="20"/>
            <w:u w:val="none"/>
          </w:rPr>
          <w:t>07-07</w:t>
        </w:r>
      </w:hyperlink>
      <w:r w:rsidRPr="005D7A0B">
        <w:rPr>
          <w:rFonts w:ascii="Cambria" w:hAnsi="Cambria"/>
          <w:sz w:val="20"/>
          <w:szCs w:val="20"/>
        </w:rPr>
        <w:t xml:space="preserve"> et</w:t>
      </w:r>
      <w:hyperlink r:id="rId16" w:history="1">
        <w:r w:rsidRPr="005D7A0B">
          <w:rPr>
            <w:rStyle w:val="Hyperlink"/>
            <w:rFonts w:ascii="Cambria" w:hAnsi="Cambria"/>
            <w:sz w:val="20"/>
            <w:szCs w:val="20"/>
            <w:u w:val="none"/>
          </w:rPr>
          <w:t>11-09</w:t>
        </w:r>
      </w:hyperlink>
      <w:r w:rsidRPr="005D7A0B">
        <w:rPr>
          <w:rFonts w:ascii="Cambria" w:hAnsi="Cambria"/>
          <w:sz w:val="20"/>
          <w:szCs w:val="20"/>
        </w:rPr>
        <w:t xml:space="preserve"> de l'ICCAT s'appliquent respectivement au sud du 20e parallèle sud et au sud du 25e parallèle sud).</w:t>
      </w:r>
      <w:r w:rsidRPr="005D7A0B">
        <w:rPr>
          <w:rFonts w:ascii="Cambria" w:hAnsi="Cambria"/>
          <w:color w:val="000000" w:themeColor="text1"/>
          <w:sz w:val="20"/>
          <w:szCs w:val="20"/>
        </w:rPr>
        <w:t xml:space="preserve"> L'ajout des HSD en tant que mesure facultative supplémentaire et autonome permettrait aux CPC et aux flottes de mieux choisir la pratique d'atténuation qui leur convient le mieux. </w:t>
      </w:r>
    </w:p>
    <w:p w14:paraId="79F0BA64" w14:textId="77777777" w:rsidR="00E9664B" w:rsidRPr="005D7A0B" w:rsidRDefault="00E9664B" w:rsidP="00E9664B">
      <w:pPr>
        <w:pStyle w:val="ListParagraph"/>
        <w:spacing w:after="0" w:line="240" w:lineRule="auto"/>
        <w:ind w:left="851"/>
        <w:contextualSpacing w:val="0"/>
        <w:jc w:val="both"/>
        <w:rPr>
          <w:rFonts w:ascii="Cambria" w:eastAsia="Aptos" w:hAnsi="Cambria" w:cs="Aptos"/>
          <w:color w:val="000000" w:themeColor="text1"/>
          <w:sz w:val="20"/>
          <w:szCs w:val="20"/>
        </w:rPr>
      </w:pPr>
    </w:p>
    <w:p w14:paraId="4C6C9EE3" w14:textId="594CC60C" w:rsidR="00EB09CD" w:rsidRPr="005D7A0B" w:rsidRDefault="009E249C" w:rsidP="001577EF">
      <w:pPr>
        <w:pStyle w:val="ListParagraph"/>
        <w:numPr>
          <w:ilvl w:val="1"/>
          <w:numId w:val="5"/>
        </w:numPr>
        <w:spacing w:after="0" w:line="240" w:lineRule="auto"/>
        <w:ind w:left="851" w:hanging="426"/>
        <w:contextualSpacing w:val="0"/>
        <w:jc w:val="both"/>
        <w:rPr>
          <w:rFonts w:ascii="Cambria" w:eastAsia="Aptos" w:hAnsi="Cambria" w:cs="Aptos"/>
          <w:color w:val="000000" w:themeColor="text1"/>
          <w:sz w:val="20"/>
          <w:szCs w:val="20"/>
        </w:rPr>
      </w:pPr>
      <w:r w:rsidRPr="005D7A0B">
        <w:rPr>
          <w:rFonts w:ascii="Cambria" w:hAnsi="Cambria"/>
          <w:color w:val="000000" w:themeColor="text1"/>
          <w:sz w:val="20"/>
          <w:szCs w:val="20"/>
        </w:rPr>
        <w:t>Permettre une certaine souplesse dans la conception des configurations des avançons. Des études ont montré que différentes configurations peuvent améliorer la sécurité, mais elles ne permettent pas de dégager une seule et unique bonne pratique. L'ICCAT devrait envisager d'accorder aux flottes une certaine souplesse leur permettant de choisir des configurations d’avançons et de lestage qui réduisent la prédation des oiseaux de mer tout en atténuant le risque de retour. Cela pourrait éventuellement être réalisé en spécifiant des vitesses d’immersion plutôt que les configurations de lestage actuellement définies dans les Recommandations 07-07 et 11-09. Cela permettrait aux flottes qui choisissent d'utiliser la pondération des avançons de sélectionner également les configurations des avançons et des lests qui leur conviennent le mieux pour trouver un équilibre entre la réduction des prises accessoires et la sécurité de l'équipage.</w:t>
      </w:r>
    </w:p>
    <w:p w14:paraId="24E73304" w14:textId="77777777" w:rsidR="00E9664B" w:rsidRPr="005D7A0B" w:rsidRDefault="00E9664B" w:rsidP="00E9664B">
      <w:pPr>
        <w:spacing w:after="0" w:line="240" w:lineRule="auto"/>
        <w:jc w:val="both"/>
        <w:rPr>
          <w:rFonts w:ascii="Cambria" w:eastAsia="Aptos" w:hAnsi="Cambria" w:cs="Aptos"/>
          <w:color w:val="000000" w:themeColor="text1"/>
          <w:sz w:val="20"/>
          <w:szCs w:val="20"/>
        </w:rPr>
      </w:pPr>
    </w:p>
    <w:p w14:paraId="6065BFA7" w14:textId="556CE103" w:rsidR="00C539B1" w:rsidRPr="005D7A0B" w:rsidRDefault="004F397C" w:rsidP="001577EF">
      <w:pPr>
        <w:pStyle w:val="ListParagraph"/>
        <w:numPr>
          <w:ilvl w:val="0"/>
          <w:numId w:val="5"/>
        </w:numPr>
        <w:spacing w:after="0" w:line="240" w:lineRule="auto"/>
        <w:ind w:left="426" w:hanging="426"/>
        <w:contextualSpacing w:val="0"/>
        <w:jc w:val="both"/>
        <w:rPr>
          <w:rFonts w:ascii="Cambria" w:eastAsia="Aptos" w:hAnsi="Cambria" w:cs="Aptos"/>
          <w:color w:val="000000" w:themeColor="text1"/>
          <w:sz w:val="20"/>
          <w:szCs w:val="20"/>
        </w:rPr>
      </w:pPr>
      <w:r w:rsidRPr="005D7A0B">
        <w:rPr>
          <w:rFonts w:ascii="Cambria" w:hAnsi="Cambria"/>
          <w:color w:val="000000" w:themeColor="text1"/>
          <w:sz w:val="20"/>
          <w:szCs w:val="20"/>
        </w:rPr>
        <w:t xml:space="preserve">D'une manière générale, il convient également de veiller à ce que les CPC et les flottes puissent mettre en œuvre d'autres mesures de sécurité pour les équipages, le cas échéant, par exemple en modifiant leurs pratiques de virage ou en utilisant des équipements de sécurité, en fonction de leur situation spécifique.  </w:t>
      </w:r>
    </w:p>
    <w:p w14:paraId="40E5DB2A" w14:textId="77777777" w:rsidR="001577EF" w:rsidRPr="005D7A0B" w:rsidRDefault="001577EF" w:rsidP="001577EF">
      <w:pPr>
        <w:pStyle w:val="ListParagraph"/>
        <w:spacing w:after="0" w:line="240" w:lineRule="auto"/>
        <w:ind w:left="426" w:hanging="426"/>
        <w:contextualSpacing w:val="0"/>
        <w:jc w:val="both"/>
        <w:rPr>
          <w:rFonts w:ascii="Cambria" w:eastAsia="Aptos" w:hAnsi="Cambria" w:cs="Aptos"/>
          <w:color w:val="000000" w:themeColor="text1"/>
          <w:sz w:val="20"/>
          <w:szCs w:val="20"/>
        </w:rPr>
      </w:pPr>
    </w:p>
    <w:p w14:paraId="783D9E9D" w14:textId="1DE0DA46" w:rsidR="31A14D40" w:rsidRPr="005D7A0B" w:rsidRDefault="31A14D40" w:rsidP="001577EF">
      <w:pPr>
        <w:numPr>
          <w:ilvl w:val="0"/>
          <w:numId w:val="5"/>
        </w:numPr>
        <w:spacing w:after="0" w:line="240" w:lineRule="auto"/>
        <w:ind w:left="426" w:hanging="426"/>
        <w:jc w:val="both"/>
        <w:rPr>
          <w:rFonts w:ascii="Cambria" w:hAnsi="Cambria"/>
          <w:sz w:val="20"/>
          <w:szCs w:val="20"/>
        </w:rPr>
      </w:pPr>
      <w:r w:rsidRPr="005D7A0B">
        <w:rPr>
          <w:rFonts w:ascii="Cambria" w:hAnsi="Cambria"/>
          <w:sz w:val="20"/>
          <w:szCs w:val="20"/>
        </w:rPr>
        <w:t>Nous nous réjouissons à l'idée de poursuivre les discussions lors de la réunion du PWG en novembre, puis par la suite, dans le but de convenir d'une feuille de route en matière de sécurité des équipages et de l'adopter lors de la réunion du Groupe de travail IMM en 2027.</w:t>
      </w:r>
    </w:p>
    <w:p w14:paraId="7ACA7A1F" w14:textId="77777777" w:rsidR="001577EF" w:rsidRPr="005D7A0B" w:rsidRDefault="001577EF" w:rsidP="001577EF">
      <w:pPr>
        <w:spacing w:after="0" w:line="240" w:lineRule="auto"/>
        <w:jc w:val="both"/>
        <w:rPr>
          <w:rFonts w:ascii="Cambria" w:hAnsi="Cambria"/>
          <w:b/>
          <w:bCs/>
          <w:sz w:val="20"/>
          <w:szCs w:val="20"/>
        </w:rPr>
      </w:pPr>
    </w:p>
    <w:p w14:paraId="519D17EE" w14:textId="77777777" w:rsidR="001577EF" w:rsidRPr="005D7A0B" w:rsidRDefault="001577EF" w:rsidP="001577EF">
      <w:pPr>
        <w:spacing w:after="0" w:line="240" w:lineRule="auto"/>
        <w:jc w:val="both"/>
        <w:rPr>
          <w:rFonts w:ascii="Cambria" w:hAnsi="Cambria"/>
          <w:b/>
          <w:bCs/>
          <w:sz w:val="20"/>
          <w:szCs w:val="20"/>
        </w:rPr>
      </w:pPr>
    </w:p>
    <w:p w14:paraId="0A37AD54" w14:textId="19F22D8F" w:rsidR="005A335D" w:rsidRPr="005D7A0B" w:rsidRDefault="005A335D" w:rsidP="001577EF">
      <w:pPr>
        <w:spacing w:after="0" w:line="240" w:lineRule="auto"/>
        <w:jc w:val="both"/>
        <w:rPr>
          <w:rFonts w:ascii="Cambria" w:hAnsi="Cambria"/>
          <w:b/>
          <w:bCs/>
          <w:sz w:val="20"/>
          <w:szCs w:val="20"/>
        </w:rPr>
      </w:pPr>
      <w:r w:rsidRPr="005D7A0B">
        <w:rPr>
          <w:rFonts w:ascii="Cambria" w:hAnsi="Cambria"/>
          <w:b/>
          <w:sz w:val="20"/>
          <w:szCs w:val="20"/>
        </w:rPr>
        <w:t xml:space="preserve">Autres questions soulevées par les CPC </w:t>
      </w:r>
    </w:p>
    <w:p w14:paraId="7A6A7E0A" w14:textId="77777777" w:rsidR="001577EF" w:rsidRPr="005D7A0B" w:rsidRDefault="001577EF" w:rsidP="001577EF">
      <w:pPr>
        <w:spacing w:after="0" w:line="240" w:lineRule="auto"/>
        <w:ind w:left="360"/>
        <w:jc w:val="both"/>
        <w:rPr>
          <w:rFonts w:ascii="Cambria" w:hAnsi="Cambria"/>
          <w:sz w:val="20"/>
          <w:szCs w:val="20"/>
        </w:rPr>
      </w:pPr>
    </w:p>
    <w:p w14:paraId="2E3F4235" w14:textId="37B9AC6C" w:rsidR="00D411DF" w:rsidRPr="005D7A0B" w:rsidRDefault="00CE6A75" w:rsidP="001577EF">
      <w:pPr>
        <w:numPr>
          <w:ilvl w:val="0"/>
          <w:numId w:val="5"/>
        </w:numPr>
        <w:spacing w:after="0" w:line="240" w:lineRule="auto"/>
        <w:ind w:left="426" w:hanging="426"/>
        <w:jc w:val="both"/>
        <w:rPr>
          <w:rFonts w:ascii="Cambria" w:hAnsi="Cambria"/>
          <w:sz w:val="20"/>
          <w:szCs w:val="20"/>
        </w:rPr>
      </w:pPr>
      <w:r w:rsidRPr="005D7A0B">
        <w:rPr>
          <w:rFonts w:ascii="Cambria" w:hAnsi="Cambria"/>
          <w:sz w:val="20"/>
          <w:szCs w:val="20"/>
        </w:rPr>
        <w:t>Tout en considérant la sécurité de l'équipage comme la préoccupation principale, l'UE a également soulevé un certain nombre d'autres points concernant le lestage de la ligne et les HSD. Nous les avons résumées au paragraphe 24 ci-dessous et avons apporté quelques premières réponses.</w:t>
      </w:r>
    </w:p>
    <w:p w14:paraId="67D310EF" w14:textId="77777777" w:rsidR="001577EF" w:rsidRPr="005D7A0B" w:rsidRDefault="001577EF" w:rsidP="001577EF">
      <w:pPr>
        <w:spacing w:after="0" w:line="240" w:lineRule="auto"/>
        <w:ind w:left="426" w:hanging="426"/>
        <w:jc w:val="both"/>
        <w:rPr>
          <w:rFonts w:ascii="Cambria" w:hAnsi="Cambria"/>
          <w:sz w:val="20"/>
          <w:szCs w:val="20"/>
        </w:rPr>
      </w:pPr>
    </w:p>
    <w:p w14:paraId="58BC8E21" w14:textId="58400BA8" w:rsidR="00E9664B" w:rsidRPr="00886A7A" w:rsidRDefault="00B429DE" w:rsidP="00886A7A">
      <w:pPr>
        <w:numPr>
          <w:ilvl w:val="0"/>
          <w:numId w:val="5"/>
        </w:numPr>
        <w:spacing w:after="0" w:line="240" w:lineRule="auto"/>
        <w:ind w:left="426" w:hanging="426"/>
        <w:jc w:val="both"/>
        <w:rPr>
          <w:rFonts w:ascii="Cambria" w:hAnsi="Cambria"/>
          <w:sz w:val="20"/>
          <w:szCs w:val="20"/>
        </w:rPr>
      </w:pPr>
      <w:r w:rsidRPr="00886A7A">
        <w:rPr>
          <w:rFonts w:ascii="Cambria" w:hAnsi="Cambria"/>
          <w:sz w:val="20"/>
          <w:szCs w:val="20"/>
        </w:rPr>
        <w:t>Lorsqu'on examine ces points, il est essentiel de garder à l'esprit que, dans les recommandations actuelles de l’ICCAT relatives aux oiseaux de mer, le lestage des avançons est l'une des trois mesures parmi lesquelles les CPC peuvent choisir. Ainsi, toutes les CPC ont la possibilité de recourir à d'autres options s'elles ont des réserves concernant le lestage des avançons. De même, la proposition du Royaume-Uni de 2025 (</w:t>
      </w:r>
      <w:hyperlink r:id="rId17" w:history="1">
        <w:r w:rsidRPr="00886A7A">
          <w:rPr>
            <w:rStyle w:val="Hyperlink"/>
            <w:rFonts w:ascii="Cambria" w:hAnsi="Cambria"/>
            <w:sz w:val="20"/>
            <w:szCs w:val="20"/>
            <w:u w:val="none"/>
          </w:rPr>
          <w:t>PA4_811_SPONS_1/2025</w:t>
        </w:r>
      </w:hyperlink>
      <w:r w:rsidRPr="00886A7A">
        <w:rPr>
          <w:rFonts w:ascii="Cambria" w:hAnsi="Cambria"/>
          <w:sz w:val="20"/>
          <w:szCs w:val="20"/>
        </w:rPr>
        <w:t xml:space="preserve">) visait à autoriser l'utilisation des HSD en tant qu'alternative autonome aux autres mesures. Donc, encore une fois, si une CPC a des réserves concernant les HSD, elle peut choisir d'autres solutions. Cette approche s'inscrit dans la lignée de l’avis du SCRS, ainsi que de la CTOI et de la WCPFC, où les HSD sont déjà autorisés. </w:t>
      </w:r>
      <w:r w:rsidR="00E9664B" w:rsidRPr="00886A7A">
        <w:rPr>
          <w:rFonts w:ascii="Cambria" w:hAnsi="Cambria"/>
          <w:sz w:val="20"/>
          <w:szCs w:val="20"/>
        </w:rPr>
        <w:br w:type="page"/>
      </w:r>
    </w:p>
    <w:p w14:paraId="3689A7DD" w14:textId="1F13E172" w:rsidR="00681F32" w:rsidRPr="005D7A0B" w:rsidRDefault="00681F32" w:rsidP="001577EF">
      <w:pPr>
        <w:numPr>
          <w:ilvl w:val="0"/>
          <w:numId w:val="5"/>
        </w:numPr>
        <w:spacing w:after="0" w:line="240" w:lineRule="auto"/>
        <w:ind w:left="426" w:hanging="426"/>
        <w:jc w:val="both"/>
        <w:rPr>
          <w:rFonts w:ascii="Cambria" w:hAnsi="Cambria"/>
          <w:sz w:val="20"/>
          <w:szCs w:val="20"/>
        </w:rPr>
      </w:pPr>
      <w:r w:rsidRPr="005D7A0B">
        <w:rPr>
          <w:rFonts w:ascii="Cambria" w:hAnsi="Cambria"/>
          <w:sz w:val="20"/>
          <w:szCs w:val="20"/>
        </w:rPr>
        <w:lastRenderedPageBreak/>
        <w:t xml:space="preserve">Un résumé des arguments avancés ainsi que nos premières réponses sont présentés ci-après: </w:t>
      </w:r>
    </w:p>
    <w:p w14:paraId="79A304CA" w14:textId="77777777" w:rsidR="001577EF" w:rsidRPr="005D7A0B" w:rsidRDefault="001577EF" w:rsidP="001577EF">
      <w:pPr>
        <w:spacing w:after="0" w:line="240" w:lineRule="auto"/>
        <w:jc w:val="both"/>
        <w:rPr>
          <w:rFonts w:ascii="Cambria" w:hAnsi="Cambria"/>
          <w:sz w:val="20"/>
          <w:szCs w:val="20"/>
        </w:rPr>
      </w:pPr>
    </w:p>
    <w:p w14:paraId="48549A44" w14:textId="642663F5" w:rsidR="00BA27BD" w:rsidRPr="005D7A0B" w:rsidRDefault="005354DE" w:rsidP="001577EF">
      <w:pPr>
        <w:numPr>
          <w:ilvl w:val="1"/>
          <w:numId w:val="5"/>
        </w:numPr>
        <w:spacing w:after="0" w:line="240" w:lineRule="auto"/>
        <w:ind w:left="851" w:hanging="426"/>
        <w:jc w:val="both"/>
        <w:rPr>
          <w:rFonts w:ascii="Cambria" w:hAnsi="Cambria"/>
          <w:sz w:val="20"/>
          <w:szCs w:val="20"/>
        </w:rPr>
      </w:pPr>
      <w:r w:rsidRPr="005D7A0B">
        <w:rPr>
          <w:rFonts w:ascii="Cambria" w:hAnsi="Cambria"/>
          <w:sz w:val="20"/>
          <w:szCs w:val="20"/>
        </w:rPr>
        <w:t>Le fait que le lestage des lignes puisse accroître le risque d'enchevêtrement de celles-ci, ce qui alourdit la charge de travail et augmente les coûts pour l'équipage. Nous n'avons trouvé aucune information à ce sujet et serions ravis de recevoir toute information que les CPC pourraient nous fournir. Cependant, si le risque d'enchevêtrement pose problème, les CPC peuvent choisir de recourir à d'autres mesures.</w:t>
      </w:r>
    </w:p>
    <w:p w14:paraId="334F7B83" w14:textId="77777777" w:rsidR="00B22D81" w:rsidRPr="005D7A0B" w:rsidRDefault="00B22D81" w:rsidP="00B22D81">
      <w:pPr>
        <w:spacing w:after="0" w:line="240" w:lineRule="auto"/>
        <w:ind w:left="851"/>
        <w:jc w:val="both"/>
        <w:rPr>
          <w:rFonts w:ascii="Cambria" w:hAnsi="Cambria"/>
          <w:sz w:val="20"/>
          <w:szCs w:val="20"/>
        </w:rPr>
      </w:pPr>
    </w:p>
    <w:p w14:paraId="2B03F243" w14:textId="3AF3F9C3" w:rsidR="00B01B85" w:rsidRPr="005D7A0B" w:rsidRDefault="00C419CC" w:rsidP="001577EF">
      <w:pPr>
        <w:pStyle w:val="ListParagraph"/>
        <w:numPr>
          <w:ilvl w:val="1"/>
          <w:numId w:val="5"/>
        </w:numPr>
        <w:spacing w:after="0" w:line="240" w:lineRule="auto"/>
        <w:ind w:left="851" w:hanging="426"/>
        <w:jc w:val="both"/>
        <w:rPr>
          <w:rFonts w:ascii="Cambria" w:hAnsi="Cambria"/>
          <w:sz w:val="20"/>
          <w:szCs w:val="20"/>
        </w:rPr>
      </w:pPr>
      <w:r w:rsidRPr="005D7A0B">
        <w:rPr>
          <w:rFonts w:ascii="Cambria" w:hAnsi="Cambria"/>
          <w:sz w:val="20"/>
          <w:szCs w:val="20"/>
        </w:rPr>
        <w:t>Risque que les HSD perdus contribuent à la pollution marine par les plastiques. Nous n'avons trouvé aucune preuve indiquant que l'utilisation des HSD comporte un risque d'augmentation significative de la pollution marine par les plastiques. Il pourrait être souhaitable de surveiller les pertes de HSD subies par les flottes, mais toute CPC préoccupé par cette question pourrait opter pour d’autres solutions.</w:t>
      </w:r>
    </w:p>
    <w:p w14:paraId="052BC695" w14:textId="77777777" w:rsidR="00B22D81" w:rsidRPr="005D7A0B" w:rsidRDefault="00B22D81" w:rsidP="00B22D81">
      <w:pPr>
        <w:spacing w:after="0" w:line="240" w:lineRule="auto"/>
        <w:jc w:val="both"/>
        <w:rPr>
          <w:rFonts w:ascii="Cambria" w:hAnsi="Cambria"/>
          <w:sz w:val="20"/>
          <w:szCs w:val="20"/>
        </w:rPr>
      </w:pPr>
    </w:p>
    <w:p w14:paraId="561EA4C3" w14:textId="0A762EE7" w:rsidR="004B3E96" w:rsidRPr="005D7A0B" w:rsidRDefault="001545DA" w:rsidP="001577EF">
      <w:pPr>
        <w:numPr>
          <w:ilvl w:val="1"/>
          <w:numId w:val="5"/>
        </w:numPr>
        <w:spacing w:after="0" w:line="240" w:lineRule="auto"/>
        <w:ind w:left="851" w:hanging="426"/>
        <w:jc w:val="both"/>
        <w:rPr>
          <w:rFonts w:ascii="Cambria" w:hAnsi="Cambria"/>
          <w:sz w:val="20"/>
          <w:szCs w:val="20"/>
        </w:rPr>
      </w:pPr>
      <w:r w:rsidRPr="005D7A0B">
        <w:rPr>
          <w:rFonts w:ascii="Cambria" w:hAnsi="Cambria"/>
          <w:sz w:val="20"/>
          <w:szCs w:val="20"/>
        </w:rPr>
        <w:t>L'utilisation des HSD pourrait entraîner des changements dans les opérations de pêche et les modes de pêche. Nous n'avons trouvé aucune preuve à cet égard et serions ravis de recevoir tout élément de preuve que les CPC pourraient nous fournir. Toutefois, en 2025, le SC-ECO a constaté que l'utilisation des HSD n'avait aucune incidence sur les taux de capture des espèces.  Encore une fois, si cela reste un sujet de préoccupation, les CPC peuvent recourir à d'autres mesures : il n'y aurait aucune obligation d'utiliser les HSD.</w:t>
      </w:r>
    </w:p>
    <w:p w14:paraId="4CC74032" w14:textId="77777777" w:rsidR="00B22D81" w:rsidRPr="005D7A0B" w:rsidRDefault="00B22D81" w:rsidP="00B22D81">
      <w:pPr>
        <w:spacing w:after="0" w:line="240" w:lineRule="auto"/>
        <w:jc w:val="both"/>
        <w:rPr>
          <w:rFonts w:ascii="Cambria" w:hAnsi="Cambria"/>
          <w:sz w:val="20"/>
          <w:szCs w:val="20"/>
        </w:rPr>
      </w:pPr>
    </w:p>
    <w:p w14:paraId="6BD253A2" w14:textId="5C12462A" w:rsidR="00F275FC" w:rsidRPr="005D7A0B" w:rsidRDefault="00EE5614" w:rsidP="001577EF">
      <w:pPr>
        <w:numPr>
          <w:ilvl w:val="1"/>
          <w:numId w:val="5"/>
        </w:numPr>
        <w:spacing w:after="0" w:line="240" w:lineRule="auto"/>
        <w:ind w:left="851" w:hanging="426"/>
        <w:jc w:val="both"/>
        <w:rPr>
          <w:rFonts w:ascii="Cambria" w:hAnsi="Cambria"/>
          <w:sz w:val="20"/>
          <w:szCs w:val="20"/>
        </w:rPr>
      </w:pPr>
      <w:r w:rsidRPr="005D7A0B">
        <w:rPr>
          <w:rFonts w:ascii="Cambria" w:hAnsi="Cambria"/>
          <w:sz w:val="20"/>
          <w:szCs w:val="20"/>
        </w:rPr>
        <w:t>Un lest supplémentaire entraîne un enfoncement plus profond des hameçons dans la colonne d'eau, ce qui peut avoir des conséquences sur la composition des prises, notamment en termes de prises accessoires d'élasmobranches non ciblés. Nous n'avons pas pu trouver d'informations à ce sujet et serions ravis de recevoir des précisions de la part des CPC. Nous comprenons que les palangriers pélagiques peuvent adapter la profondeur de pêche afin d’optimiser la capturabilité des espèces cibles, et nous nous attendons à ce qu’ils soient en mesure d’ajuster cette profondeur pour compenser le lestage des avançons et éviter toute interaction avec les espèces non ciblées. Là encore, les CPC pourraient opter pour d'autres solutions si cela leur posait problème.</w:t>
      </w:r>
    </w:p>
    <w:p w14:paraId="49BB0111" w14:textId="77777777" w:rsidR="00B22D81" w:rsidRPr="005D7A0B" w:rsidRDefault="00B22D81" w:rsidP="00B22D81">
      <w:pPr>
        <w:spacing w:after="0" w:line="240" w:lineRule="auto"/>
        <w:jc w:val="both"/>
        <w:rPr>
          <w:rFonts w:ascii="Cambria" w:hAnsi="Cambria"/>
          <w:sz w:val="20"/>
          <w:szCs w:val="20"/>
        </w:rPr>
      </w:pPr>
    </w:p>
    <w:p w14:paraId="24B22849" w14:textId="7F6EBDB3" w:rsidR="006448E5" w:rsidRPr="005D7A0B" w:rsidRDefault="00CC27E8" w:rsidP="001577EF">
      <w:pPr>
        <w:numPr>
          <w:ilvl w:val="1"/>
          <w:numId w:val="5"/>
        </w:numPr>
        <w:spacing w:after="0" w:line="240" w:lineRule="auto"/>
        <w:ind w:left="851" w:hanging="426"/>
        <w:jc w:val="both"/>
        <w:rPr>
          <w:rFonts w:ascii="Cambria" w:hAnsi="Cambria"/>
          <w:sz w:val="20"/>
          <w:szCs w:val="20"/>
        </w:rPr>
      </w:pPr>
      <w:r w:rsidRPr="005D7A0B">
        <w:rPr>
          <w:rFonts w:ascii="Cambria" w:hAnsi="Cambria"/>
          <w:sz w:val="20"/>
          <w:szCs w:val="20"/>
        </w:rPr>
        <w:t>Les avantages attendus des HSD en matière de conservation devraient être quantifiés et comparés aux mesures déjà mises en œuvre. En 2025, le SC-ECO a recommandé que les HSD soient considérés comme une mesure autonome alternative aux mesures actuellement acceptées – en d’autres termes, qu’ils offrent un bénéfice similaire, voire supérieur, dans la lutte contre les prises accessoires d’oiseaux marins.</w:t>
      </w:r>
    </w:p>
    <w:p w14:paraId="349152CD" w14:textId="77777777" w:rsidR="00B22D81" w:rsidRPr="005D7A0B" w:rsidRDefault="00B22D81" w:rsidP="00B22D81">
      <w:pPr>
        <w:spacing w:after="0" w:line="240" w:lineRule="auto"/>
        <w:jc w:val="both"/>
        <w:rPr>
          <w:rFonts w:ascii="Cambria" w:hAnsi="Cambria"/>
          <w:sz w:val="20"/>
          <w:szCs w:val="20"/>
        </w:rPr>
      </w:pPr>
    </w:p>
    <w:p w14:paraId="0F5507AD" w14:textId="4C135CED" w:rsidR="00A24D40" w:rsidRPr="005D7A0B" w:rsidRDefault="00542144" w:rsidP="001577EF">
      <w:pPr>
        <w:numPr>
          <w:ilvl w:val="1"/>
          <w:numId w:val="5"/>
        </w:numPr>
        <w:spacing w:after="0" w:line="240" w:lineRule="auto"/>
        <w:ind w:left="851" w:hanging="426"/>
        <w:jc w:val="both"/>
        <w:rPr>
          <w:rFonts w:ascii="Cambria" w:hAnsi="Cambria"/>
          <w:sz w:val="20"/>
          <w:szCs w:val="20"/>
        </w:rPr>
      </w:pPr>
      <w:r w:rsidRPr="005D7A0B">
        <w:rPr>
          <w:rFonts w:ascii="Cambria" w:hAnsi="Cambria"/>
          <w:sz w:val="20"/>
          <w:szCs w:val="20"/>
        </w:rPr>
        <w:t xml:space="preserve">Les mesures d'atténuation ne devraient pas être appliquées automatiquement dans l’ensemble de l'Atlantique. La proposition du Royaume-Uni visait à autoriser l'utilisation des HSD comme alternative aux mesures actuellement requises par les Recommandations 07-07 et 11-09 (qui s'appliquent respectivement au sud du 20e parallèle sud et au sud du 25e parallèle sud). Nous n'avons pas proposé que des mesures soient mises en place pour d'autres zones maritimes et nous reconnaissons qu'une analyse scientifique plus approfondie serait nécessaire pour étayer une telle proposition.  </w:t>
      </w:r>
    </w:p>
    <w:p w14:paraId="4658E4E2" w14:textId="77777777" w:rsidR="001577EF" w:rsidRPr="005D7A0B" w:rsidRDefault="001577EF" w:rsidP="001577EF">
      <w:pPr>
        <w:spacing w:after="0" w:line="240" w:lineRule="auto"/>
        <w:jc w:val="both"/>
        <w:rPr>
          <w:rFonts w:ascii="Cambria" w:hAnsi="Cambria"/>
          <w:sz w:val="20"/>
          <w:szCs w:val="20"/>
        </w:rPr>
      </w:pPr>
    </w:p>
    <w:p w14:paraId="75F7F9F3" w14:textId="6F969EC9" w:rsidR="000525E2" w:rsidRPr="005D7A0B" w:rsidRDefault="000525E2" w:rsidP="001577EF">
      <w:pPr>
        <w:numPr>
          <w:ilvl w:val="1"/>
          <w:numId w:val="5"/>
        </w:numPr>
        <w:spacing w:after="0" w:line="240" w:lineRule="auto"/>
        <w:ind w:left="851" w:hanging="426"/>
        <w:jc w:val="both"/>
        <w:rPr>
          <w:rFonts w:ascii="Cambria" w:hAnsi="Cambria"/>
          <w:sz w:val="20"/>
          <w:szCs w:val="20"/>
        </w:rPr>
      </w:pPr>
      <w:r w:rsidRPr="005D7A0B">
        <w:rPr>
          <w:rFonts w:ascii="Cambria" w:hAnsi="Cambria"/>
          <w:sz w:val="20"/>
          <w:szCs w:val="20"/>
        </w:rPr>
        <w:t xml:space="preserve">Une analyse ou un avis du SCRS serait nécessaire pour comprendre les implications potentielles, découlant des modifications apportées aux mesures, sur les données scientifiques utilisées pour les évaluations des stocks. Même s'il peut être utile que le SCRS surveille cet aspect, nous n'avons pas connaissance d'une règle générale selon laquelle de nouvelles mesures ne pourraient être adoptées tant qu'on n'est pas certain qu'elles n'ont pas de telles implications. Toute modification des pratiques de pêche, qu'elle résulte ou non des mesures de l’ICCAT, pourrait avoir des répercussions sur les données scientifiques. Il serait irréaliste de limiter ou d'interdire aux flottes la possibilité de modifier leurs pratiques de pêche tant que ces implications potentielles n'auront pas été correctement comprises. Une approche plus concrète consisterait à suivre l'évolution des comportements de la flotte et des pratiques de pêche afin d'identifier leurs éventuelles répercussions sur les données scientifiques. </w:t>
      </w:r>
    </w:p>
    <w:p w14:paraId="6D624F74" w14:textId="77777777" w:rsidR="001577EF" w:rsidRPr="005D7A0B" w:rsidRDefault="001577EF" w:rsidP="001577EF">
      <w:pPr>
        <w:spacing w:after="0" w:line="240" w:lineRule="auto"/>
        <w:ind w:left="851"/>
        <w:jc w:val="both"/>
        <w:rPr>
          <w:rFonts w:ascii="Cambria" w:hAnsi="Cambria"/>
          <w:sz w:val="20"/>
          <w:szCs w:val="20"/>
        </w:rPr>
      </w:pPr>
    </w:p>
    <w:p w14:paraId="10D913FF" w14:textId="77777777" w:rsidR="00B22D81" w:rsidRPr="005D7A0B" w:rsidRDefault="00B22D81">
      <w:pPr>
        <w:rPr>
          <w:rFonts w:ascii="Cambria" w:hAnsi="Cambria"/>
          <w:sz w:val="20"/>
          <w:szCs w:val="20"/>
        </w:rPr>
      </w:pPr>
      <w:r w:rsidRPr="005D7A0B">
        <w:rPr>
          <w:rFonts w:ascii="Cambria" w:hAnsi="Cambria"/>
          <w:sz w:val="20"/>
          <w:szCs w:val="20"/>
        </w:rPr>
        <w:br w:type="page"/>
      </w:r>
    </w:p>
    <w:p w14:paraId="780D5729" w14:textId="3B06D9AA" w:rsidR="00681F32" w:rsidRPr="005D7A0B" w:rsidRDefault="00F008CB" w:rsidP="001577EF">
      <w:pPr>
        <w:numPr>
          <w:ilvl w:val="0"/>
          <w:numId w:val="5"/>
        </w:numPr>
        <w:spacing w:after="0" w:line="240" w:lineRule="auto"/>
        <w:ind w:left="426" w:hanging="426"/>
        <w:jc w:val="both"/>
        <w:rPr>
          <w:rFonts w:ascii="Cambria" w:hAnsi="Cambria"/>
          <w:sz w:val="20"/>
          <w:szCs w:val="20"/>
        </w:rPr>
      </w:pPr>
      <w:r w:rsidRPr="005D7A0B">
        <w:rPr>
          <w:rFonts w:ascii="Cambria" w:hAnsi="Cambria"/>
          <w:sz w:val="20"/>
          <w:szCs w:val="20"/>
        </w:rPr>
        <w:lastRenderedPageBreak/>
        <w:t xml:space="preserve">Nous sommes conscients que toute modification des mesures peut avoir des répercussions financières. Il est donc important d'adopter une approche équilibrée et proportionnée. Il pourrait être opportun d'envisager, par exemple, un report de l'entrée en vigueur, afin de laisser aux flottes le temps de s'adapter (notamment pour apporter des modifications à leurs engins de pêche à des moments où elles devraient de toute façon les remplacer ou les remettre à neuf). </w:t>
      </w:r>
    </w:p>
    <w:p w14:paraId="5B27D146" w14:textId="77777777" w:rsidR="001577EF" w:rsidRPr="005D7A0B" w:rsidRDefault="001577EF" w:rsidP="001577EF">
      <w:pPr>
        <w:spacing w:after="0" w:line="240" w:lineRule="auto"/>
        <w:jc w:val="both"/>
        <w:rPr>
          <w:rFonts w:ascii="Cambria" w:hAnsi="Cambria"/>
          <w:b/>
          <w:bCs/>
          <w:sz w:val="20"/>
          <w:szCs w:val="20"/>
        </w:rPr>
      </w:pPr>
    </w:p>
    <w:p w14:paraId="4F25E715" w14:textId="77777777" w:rsidR="001577EF" w:rsidRPr="005D7A0B" w:rsidRDefault="001577EF" w:rsidP="001577EF">
      <w:pPr>
        <w:spacing w:after="0" w:line="240" w:lineRule="auto"/>
        <w:jc w:val="both"/>
        <w:rPr>
          <w:rFonts w:ascii="Cambria" w:hAnsi="Cambria"/>
          <w:b/>
          <w:bCs/>
          <w:sz w:val="20"/>
          <w:szCs w:val="20"/>
        </w:rPr>
      </w:pPr>
    </w:p>
    <w:p w14:paraId="7219D390" w14:textId="21943E47" w:rsidR="007E7D2F" w:rsidRPr="005D7A0B" w:rsidRDefault="007E7D2F" w:rsidP="001577EF">
      <w:pPr>
        <w:spacing w:after="0" w:line="240" w:lineRule="auto"/>
        <w:jc w:val="both"/>
        <w:rPr>
          <w:rFonts w:ascii="Cambria" w:hAnsi="Cambria"/>
          <w:b/>
          <w:bCs/>
          <w:sz w:val="20"/>
          <w:szCs w:val="20"/>
        </w:rPr>
      </w:pPr>
      <w:r w:rsidRPr="005D7A0B">
        <w:rPr>
          <w:rFonts w:ascii="Cambria" w:hAnsi="Cambria"/>
          <w:b/>
          <w:sz w:val="20"/>
          <w:szCs w:val="20"/>
        </w:rPr>
        <w:t>Prochaines étapes</w:t>
      </w:r>
    </w:p>
    <w:p w14:paraId="4C6E68BA" w14:textId="77777777" w:rsidR="001577EF" w:rsidRPr="005D7A0B" w:rsidRDefault="001577EF" w:rsidP="001577EF">
      <w:pPr>
        <w:spacing w:after="0" w:line="240" w:lineRule="auto"/>
        <w:jc w:val="both"/>
        <w:rPr>
          <w:rFonts w:ascii="Cambria" w:hAnsi="Cambria"/>
          <w:sz w:val="20"/>
          <w:szCs w:val="20"/>
        </w:rPr>
      </w:pPr>
    </w:p>
    <w:p w14:paraId="764769BE" w14:textId="4B3EC3F9" w:rsidR="007E7D2F" w:rsidRPr="005D7A0B" w:rsidRDefault="0075150C" w:rsidP="001577EF">
      <w:pPr>
        <w:pStyle w:val="ListParagraph"/>
        <w:numPr>
          <w:ilvl w:val="0"/>
          <w:numId w:val="5"/>
        </w:numPr>
        <w:spacing w:after="0" w:line="240" w:lineRule="auto"/>
        <w:ind w:left="426" w:hanging="426"/>
        <w:contextualSpacing w:val="0"/>
        <w:jc w:val="both"/>
        <w:rPr>
          <w:rFonts w:ascii="Cambria" w:hAnsi="Cambria"/>
          <w:sz w:val="20"/>
          <w:szCs w:val="20"/>
        </w:rPr>
      </w:pPr>
      <w:r w:rsidRPr="005D7A0B">
        <w:rPr>
          <w:rFonts w:ascii="Cambria" w:hAnsi="Cambria"/>
          <w:sz w:val="20"/>
          <w:szCs w:val="20"/>
        </w:rPr>
        <w:t xml:space="preserve">Nous sommes ouverts à toute nouvelle discussion avec les CPC. Les prochaines étapes seront les suivantes :  </w:t>
      </w:r>
    </w:p>
    <w:p w14:paraId="21B2EC5F" w14:textId="77777777" w:rsidR="001577EF" w:rsidRPr="005D7A0B" w:rsidRDefault="001577EF" w:rsidP="001577EF">
      <w:pPr>
        <w:pStyle w:val="ListParagraph"/>
        <w:spacing w:after="0" w:line="240" w:lineRule="auto"/>
        <w:ind w:left="360"/>
        <w:contextualSpacing w:val="0"/>
        <w:jc w:val="both"/>
        <w:rPr>
          <w:rFonts w:ascii="Cambria" w:hAnsi="Cambria"/>
          <w:sz w:val="20"/>
          <w:szCs w:val="20"/>
        </w:rPr>
      </w:pPr>
    </w:p>
    <w:p w14:paraId="4AD1E154" w14:textId="6E26AAA6" w:rsidR="00A25B25" w:rsidRPr="005D7A0B" w:rsidRDefault="00A25B25" w:rsidP="001577EF">
      <w:pPr>
        <w:pStyle w:val="ListParagraph"/>
        <w:numPr>
          <w:ilvl w:val="1"/>
          <w:numId w:val="5"/>
        </w:numPr>
        <w:spacing w:after="0" w:line="240" w:lineRule="auto"/>
        <w:ind w:left="851" w:hanging="425"/>
        <w:contextualSpacing w:val="0"/>
        <w:jc w:val="both"/>
        <w:rPr>
          <w:rFonts w:ascii="Cambria" w:hAnsi="Cambria"/>
          <w:sz w:val="20"/>
          <w:szCs w:val="20"/>
        </w:rPr>
      </w:pPr>
      <w:r w:rsidRPr="005D7A0B">
        <w:rPr>
          <w:rFonts w:ascii="Cambria" w:hAnsi="Cambria"/>
          <w:sz w:val="20"/>
          <w:szCs w:val="20"/>
        </w:rPr>
        <w:t>Discussion fondée sur ce document et sur les informations fournies par les CPC (</w:t>
      </w:r>
      <w:hyperlink r:id="rId18" w:history="1">
        <w:r w:rsidRPr="005D7A0B">
          <w:rPr>
            <w:rStyle w:val="Hyperlink"/>
            <w:rFonts w:ascii="Cambria" w:hAnsi="Cambria"/>
            <w:sz w:val="20"/>
            <w:szCs w:val="20"/>
            <w:u w:val="none"/>
          </w:rPr>
          <w:t>PWG_414/2026</w:t>
        </w:r>
      </w:hyperlink>
      <w:r w:rsidRPr="005D7A0B">
        <w:rPr>
          <w:rFonts w:ascii="Cambria" w:hAnsi="Cambria"/>
          <w:sz w:val="20"/>
          <w:szCs w:val="20"/>
        </w:rPr>
        <w:t>) lors de la réunion du PWG de novembre 2026.</w:t>
      </w:r>
    </w:p>
    <w:p w14:paraId="2CB09131" w14:textId="59B689D0" w:rsidR="007E7D2F" w:rsidRPr="005D7A0B" w:rsidRDefault="00630276" w:rsidP="001577EF">
      <w:pPr>
        <w:pStyle w:val="ListParagraph"/>
        <w:numPr>
          <w:ilvl w:val="1"/>
          <w:numId w:val="5"/>
        </w:numPr>
        <w:spacing w:after="0" w:line="240" w:lineRule="auto"/>
        <w:ind w:left="851" w:hanging="425"/>
        <w:contextualSpacing w:val="0"/>
        <w:jc w:val="both"/>
        <w:rPr>
          <w:rFonts w:ascii="Cambria" w:hAnsi="Cambria"/>
          <w:sz w:val="20"/>
          <w:szCs w:val="20"/>
        </w:rPr>
      </w:pPr>
      <w:r w:rsidRPr="005D7A0B">
        <w:rPr>
          <w:rFonts w:ascii="Cambria" w:hAnsi="Cambria"/>
          <w:sz w:val="20"/>
          <w:szCs w:val="20"/>
        </w:rPr>
        <w:t xml:space="preserve">Possibilité pour les CPC de fournir des informations complémentaires, avant le 2 avril 2027. Le Royaume-Uni sera également ouvert à des discussions bilatérales avec les CPC intéressées au cours de cette période. </w:t>
      </w:r>
    </w:p>
    <w:p w14:paraId="0CBEBF53" w14:textId="1613C6AB" w:rsidR="007E7D2F" w:rsidRPr="005D7A0B" w:rsidRDefault="00FE72AD" w:rsidP="001577EF">
      <w:pPr>
        <w:pStyle w:val="ListParagraph"/>
        <w:numPr>
          <w:ilvl w:val="1"/>
          <w:numId w:val="5"/>
        </w:numPr>
        <w:spacing w:after="0" w:line="240" w:lineRule="auto"/>
        <w:ind w:left="851" w:hanging="425"/>
        <w:contextualSpacing w:val="0"/>
        <w:jc w:val="both"/>
        <w:rPr>
          <w:rFonts w:ascii="Cambria" w:hAnsi="Cambria"/>
          <w:sz w:val="20"/>
          <w:szCs w:val="20"/>
        </w:rPr>
      </w:pPr>
      <w:r w:rsidRPr="005D7A0B">
        <w:rPr>
          <w:rFonts w:ascii="Cambria" w:hAnsi="Cambria"/>
          <w:sz w:val="20"/>
          <w:szCs w:val="20"/>
        </w:rPr>
        <w:t xml:space="preserve">Soumission d'un nouveau document du Royaume-Uni au Groupe de travail IMM en 2027, s'appuyant sur l'ensemble des discussions qui ont eu lieu et sur toutes les informations pertinentes que nous avons recueillies. L'objectif sera de convenir, lors de la réunion du Groupe de travail IMM, de la marche à suivre sur cette question, ce qui aidera le Royaume-Uni à rédiger une proposition qui reflète les besoins et les points de vue de toutes les CPC concernées.  </w:t>
      </w:r>
    </w:p>
    <w:p w14:paraId="7EA1A30E" w14:textId="77777777" w:rsidR="007E7D2F" w:rsidRPr="005D7A0B" w:rsidRDefault="007E7D2F" w:rsidP="001577EF">
      <w:pPr>
        <w:spacing w:after="0" w:line="240" w:lineRule="auto"/>
        <w:jc w:val="both"/>
        <w:rPr>
          <w:rFonts w:ascii="Cambria" w:hAnsi="Cambria"/>
          <w:b/>
          <w:bCs/>
          <w:sz w:val="20"/>
          <w:szCs w:val="20"/>
        </w:rPr>
      </w:pPr>
    </w:p>
    <w:p w14:paraId="57F667B5" w14:textId="4DD78110" w:rsidR="008F0B64" w:rsidRPr="005D7A0B" w:rsidRDefault="008F0B64" w:rsidP="001577EF">
      <w:pPr>
        <w:spacing w:after="0" w:line="240" w:lineRule="auto"/>
        <w:jc w:val="both"/>
        <w:rPr>
          <w:rFonts w:ascii="Cambria" w:hAnsi="Cambria"/>
          <w:b/>
          <w:bCs/>
          <w:sz w:val="20"/>
          <w:szCs w:val="20"/>
        </w:rPr>
      </w:pPr>
    </w:p>
    <w:p w14:paraId="3FCD1D51" w14:textId="41F10FC2" w:rsidR="32E37302" w:rsidRPr="005D7A0B" w:rsidRDefault="72B1967D" w:rsidP="001577EF">
      <w:pPr>
        <w:spacing w:after="0" w:line="240" w:lineRule="auto"/>
        <w:jc w:val="both"/>
        <w:rPr>
          <w:rFonts w:ascii="Cambria" w:hAnsi="Cambria"/>
          <w:b/>
          <w:bCs/>
          <w:sz w:val="20"/>
          <w:szCs w:val="20"/>
        </w:rPr>
      </w:pPr>
      <w:r w:rsidRPr="005D7A0B">
        <w:rPr>
          <w:rFonts w:ascii="Cambria" w:hAnsi="Cambria"/>
          <w:b/>
          <w:sz w:val="20"/>
          <w:szCs w:val="20"/>
        </w:rPr>
        <w:t>Référence</w:t>
      </w:r>
    </w:p>
    <w:p w14:paraId="4219147E" w14:textId="77777777" w:rsidR="001577EF" w:rsidRPr="005D7A0B" w:rsidRDefault="001577EF" w:rsidP="001577EF">
      <w:pPr>
        <w:spacing w:after="0" w:line="240" w:lineRule="auto"/>
        <w:jc w:val="both"/>
        <w:rPr>
          <w:rFonts w:ascii="Cambria" w:hAnsi="Cambria"/>
          <w:b/>
          <w:bCs/>
          <w:sz w:val="20"/>
          <w:szCs w:val="20"/>
        </w:rPr>
      </w:pPr>
    </w:p>
    <w:p w14:paraId="58DD0F89" w14:textId="2D9A3C39" w:rsidR="0055055F" w:rsidRPr="005D7A0B" w:rsidRDefault="001577EF" w:rsidP="0055055F">
      <w:pPr>
        <w:spacing w:after="0" w:line="240" w:lineRule="auto"/>
        <w:ind w:left="567" w:hanging="567"/>
        <w:jc w:val="both"/>
        <w:rPr>
          <w:rFonts w:ascii="Cambria" w:hAnsi="Cambria"/>
          <w:sz w:val="20"/>
          <w:szCs w:val="20"/>
        </w:rPr>
      </w:pPr>
      <w:r w:rsidRPr="005D7A0B">
        <w:rPr>
          <w:rFonts w:ascii="Cambria" w:hAnsi="Cambria"/>
          <w:sz w:val="20"/>
          <w:szCs w:val="20"/>
        </w:rPr>
        <w:t xml:space="preserve">Accord sur la conservation des albatros et des pétrels (ACAP). </w:t>
      </w:r>
      <w:r w:rsidRPr="005D7A0B">
        <w:rPr>
          <w:rFonts w:ascii="Cambria" w:hAnsi="Cambria"/>
          <w:sz w:val="20"/>
          <w:szCs w:val="20"/>
          <w:lang w:val="en-US"/>
        </w:rPr>
        <w:t>2021.</w:t>
      </w:r>
      <w:r w:rsidR="0055055F" w:rsidRPr="005D7A0B">
        <w:rPr>
          <w:rFonts w:ascii="Cambria" w:hAnsi="Cambria"/>
          <w:sz w:val="20"/>
          <w:szCs w:val="20"/>
          <w:lang w:val="en-US"/>
        </w:rPr>
        <w:t xml:space="preserve"> ACAP Advice on Improving Safety when Hauling Branch Lines during Pelagic Longline Fishing Operations. Reviewed at the Twelfth Meeting of the Advisory Committee, Virtual Meeting, 31 August to 2 September 2021. </w:t>
      </w:r>
      <w:r w:rsidR="0055055F" w:rsidRPr="005D7A0B">
        <w:rPr>
          <w:rFonts w:ascii="Cambria" w:hAnsi="Cambria"/>
          <w:sz w:val="20"/>
          <w:szCs w:val="20"/>
        </w:rPr>
        <w:t>Hobart, Australia: ACAP.</w:t>
      </w:r>
    </w:p>
    <w:p w14:paraId="218DD390" w14:textId="33A9D67C" w:rsidR="001577EF" w:rsidRPr="00567B2B" w:rsidRDefault="001577EF" w:rsidP="001577EF">
      <w:pPr>
        <w:spacing w:after="0" w:line="240" w:lineRule="auto"/>
        <w:ind w:left="567" w:hanging="567"/>
        <w:jc w:val="both"/>
        <w:rPr>
          <w:rFonts w:ascii="Cambria" w:hAnsi="Cambria"/>
          <w:sz w:val="20"/>
          <w:szCs w:val="20"/>
        </w:rPr>
      </w:pPr>
      <w:r w:rsidRPr="00567B2B">
        <w:rPr>
          <w:rFonts w:ascii="Cambria" w:hAnsi="Cambria"/>
          <w:sz w:val="20"/>
          <w:szCs w:val="20"/>
        </w:rPr>
        <w:t>.</w:t>
      </w:r>
    </w:p>
    <w:p w14:paraId="4F7A4AA1" w14:textId="77777777" w:rsidR="001577EF" w:rsidRPr="00567B2B" w:rsidRDefault="001577EF" w:rsidP="001577EF">
      <w:pPr>
        <w:spacing w:after="0" w:line="240" w:lineRule="auto"/>
        <w:ind w:left="567" w:hanging="567"/>
        <w:jc w:val="both"/>
        <w:rPr>
          <w:rFonts w:ascii="Cambria" w:hAnsi="Cambria"/>
          <w:sz w:val="20"/>
          <w:szCs w:val="20"/>
        </w:rPr>
      </w:pPr>
    </w:p>
    <w:p w14:paraId="53B1E6D0" w14:textId="39F21BC3" w:rsidR="008712F8" w:rsidRPr="005D7A0B" w:rsidRDefault="00C45622" w:rsidP="008712F8">
      <w:pPr>
        <w:spacing w:after="0" w:line="240" w:lineRule="auto"/>
        <w:ind w:left="567" w:hanging="567"/>
        <w:jc w:val="both"/>
        <w:rPr>
          <w:rFonts w:ascii="Cambria" w:hAnsi="Cambria"/>
          <w:sz w:val="20"/>
          <w:szCs w:val="20"/>
          <w:lang w:val="en-US"/>
        </w:rPr>
      </w:pPr>
      <w:r w:rsidRPr="005D7A0B">
        <w:rPr>
          <w:rFonts w:ascii="Cambria" w:hAnsi="Cambria"/>
          <w:sz w:val="20"/>
          <w:szCs w:val="20"/>
        </w:rPr>
        <w:t>Accord sur la conservation des albatros et des pétrels (</w:t>
      </w:r>
      <w:r w:rsidR="00E36837" w:rsidRPr="005D7A0B">
        <w:rPr>
          <w:rFonts w:ascii="Cambria" w:hAnsi="Cambria"/>
          <w:sz w:val="20"/>
          <w:szCs w:val="20"/>
        </w:rPr>
        <w:t xml:space="preserve">ACAP). </w:t>
      </w:r>
      <w:r w:rsidR="008712F8" w:rsidRPr="005D7A0B">
        <w:rPr>
          <w:rFonts w:ascii="Cambria" w:hAnsi="Cambria"/>
          <w:sz w:val="20"/>
          <w:szCs w:val="20"/>
          <w:lang w:val="en-US"/>
        </w:rPr>
        <w:t>2026. ACAP 2026 Summary Best Practice Advice for Reducing the Impact of Pelagic Longline Fisheries on Seabirds. Reviewed at the Fifteenth Meeting of the Advisory Committee, Swakopmund, Namibia, 1 to 5 June 2026. Hobart, Australia: ACAP.</w:t>
      </w:r>
    </w:p>
    <w:p w14:paraId="6AF088D6" w14:textId="77777777" w:rsidR="008712F8" w:rsidRPr="005D7A0B" w:rsidRDefault="008712F8" w:rsidP="008712F8">
      <w:pPr>
        <w:spacing w:after="0" w:line="240" w:lineRule="auto"/>
        <w:jc w:val="both"/>
        <w:rPr>
          <w:rFonts w:ascii="Cambria" w:hAnsi="Cambria"/>
          <w:sz w:val="20"/>
          <w:szCs w:val="20"/>
          <w:lang w:val="en-US"/>
        </w:rPr>
      </w:pPr>
    </w:p>
    <w:p w14:paraId="28BE5A54" w14:textId="77777777" w:rsidR="008712F8" w:rsidRPr="005D7A0B" w:rsidRDefault="008712F8" w:rsidP="008712F8">
      <w:pPr>
        <w:spacing w:after="0" w:line="240" w:lineRule="auto"/>
        <w:ind w:left="567" w:hanging="567"/>
        <w:jc w:val="both"/>
        <w:rPr>
          <w:rFonts w:ascii="Cambria" w:hAnsi="Cambria"/>
          <w:sz w:val="20"/>
          <w:szCs w:val="20"/>
          <w:lang w:val="en-US"/>
        </w:rPr>
      </w:pPr>
      <w:r w:rsidRPr="005D7A0B">
        <w:rPr>
          <w:rFonts w:ascii="Cambria" w:hAnsi="Cambria"/>
          <w:sz w:val="20"/>
          <w:szCs w:val="20"/>
          <w:lang w:val="en-US"/>
        </w:rPr>
        <w:t>Rawlinson, N., Haddy, J., Williams, M., Milne, D., Ngwenya, E., &amp; Filleul, M. 2019. The Relative Safety of Weighted Branchlines during Simulated Fly-backs (Cut-offs and Tear-outs). Institute for Marine and Antarctic Studies/AMC Search, University of Tasmania, Hobart, Australia.</w:t>
      </w:r>
    </w:p>
    <w:p w14:paraId="299C013D" w14:textId="77777777" w:rsidR="008712F8" w:rsidRPr="005D7A0B" w:rsidRDefault="008712F8" w:rsidP="008712F8">
      <w:pPr>
        <w:spacing w:after="0" w:line="240" w:lineRule="auto"/>
        <w:ind w:left="567" w:hanging="567"/>
        <w:jc w:val="both"/>
        <w:rPr>
          <w:rFonts w:ascii="Cambria" w:hAnsi="Cambria"/>
          <w:sz w:val="20"/>
          <w:szCs w:val="20"/>
          <w:lang w:val="en-US"/>
        </w:rPr>
      </w:pPr>
    </w:p>
    <w:p w14:paraId="60E847E4" w14:textId="77777777" w:rsidR="008712F8" w:rsidRPr="001577EF" w:rsidRDefault="008712F8" w:rsidP="008712F8">
      <w:pPr>
        <w:spacing w:after="0" w:line="240" w:lineRule="auto"/>
        <w:ind w:left="567" w:hanging="567"/>
        <w:jc w:val="both"/>
        <w:rPr>
          <w:rFonts w:ascii="Cambria" w:hAnsi="Cambria"/>
          <w:sz w:val="20"/>
          <w:szCs w:val="20"/>
        </w:rPr>
      </w:pPr>
      <w:r w:rsidRPr="005D7A0B">
        <w:rPr>
          <w:rFonts w:ascii="Cambria" w:hAnsi="Cambria"/>
          <w:sz w:val="20"/>
          <w:szCs w:val="20"/>
          <w:lang w:val="en-US"/>
        </w:rPr>
        <w:t xml:space="preserve">Sullivan, B.J., Kibel, P., Robertson, G., Kibel, B., Goren, M., Candy, S.G. and Wienecke, B. 2012 Safe Leads for safe heads: safer line weights for pelagic longline fisheries. </w:t>
      </w:r>
      <w:r w:rsidRPr="005D7A0B">
        <w:rPr>
          <w:rFonts w:ascii="Cambria" w:hAnsi="Cambria"/>
          <w:sz w:val="20"/>
          <w:szCs w:val="20"/>
        </w:rPr>
        <w:t>Fisheries Research, 134-136, pp.125 132. https://doi.org/10.1016/j.fishres.2012.07.024.</w:t>
      </w:r>
    </w:p>
    <w:p w14:paraId="63089A73" w14:textId="4A1AE1A6" w:rsidR="32E37302" w:rsidRPr="00833B90" w:rsidRDefault="32E37302" w:rsidP="008712F8">
      <w:pPr>
        <w:spacing w:after="0" w:line="240" w:lineRule="auto"/>
        <w:ind w:left="567" w:hanging="567"/>
        <w:jc w:val="both"/>
        <w:rPr>
          <w:rFonts w:ascii="Cambria" w:hAnsi="Cambria"/>
          <w:sz w:val="20"/>
          <w:szCs w:val="20"/>
        </w:rPr>
      </w:pPr>
    </w:p>
    <w:sectPr w:rsidR="32E37302" w:rsidRPr="00833B90" w:rsidSect="00833B90">
      <w:headerReference w:type="default" r:id="rId19"/>
      <w:footerReference w:type="default" r:id="rId20"/>
      <w:pgSz w:w="11906" w:h="16838"/>
      <w:pgMar w:top="1440" w:right="1440" w:bottom="1440" w:left="1440"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AD948" w14:textId="77777777" w:rsidR="00B9185B" w:rsidRDefault="00B9185B" w:rsidP="00011227">
      <w:pPr>
        <w:spacing w:after="0" w:line="240" w:lineRule="auto"/>
      </w:pPr>
      <w:r>
        <w:separator/>
      </w:r>
    </w:p>
  </w:endnote>
  <w:endnote w:type="continuationSeparator" w:id="0">
    <w:p w14:paraId="58A4BF84" w14:textId="77777777" w:rsidR="00B9185B" w:rsidRDefault="00B9185B" w:rsidP="00011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D49E" w14:textId="77777777" w:rsidR="001577EF" w:rsidRPr="00B75508" w:rsidRDefault="00B9185B" w:rsidP="001577EF">
    <w:pPr>
      <w:pStyle w:val="Footer"/>
      <w:jc w:val="center"/>
      <w:rPr>
        <w:rFonts w:ascii="Cambria" w:hAnsi="Cambria"/>
        <w:sz w:val="20"/>
        <w:szCs w:val="20"/>
      </w:rPr>
    </w:pPr>
    <w:sdt>
      <w:sdtPr>
        <w:id w:val="-266694234"/>
        <w:docPartObj>
          <w:docPartGallery w:val="Page Numbers (Bottom of Page)"/>
          <w:docPartUnique/>
        </w:docPartObj>
      </w:sdtPr>
      <w:sdtEndPr>
        <w:rPr>
          <w:rFonts w:ascii="Cambria" w:hAnsi="Cambria"/>
          <w:noProof/>
          <w:sz w:val="20"/>
          <w:szCs w:val="20"/>
        </w:rPr>
      </w:sdtEndPr>
      <w:sdtContent>
        <w:r w:rsidR="001577EF" w:rsidRPr="00B75508">
          <w:rPr>
            <w:rFonts w:ascii="Cambria" w:hAnsi="Cambria"/>
            <w:sz w:val="20"/>
          </w:rPr>
          <w:fldChar w:fldCharType="begin"/>
        </w:r>
        <w:r w:rsidR="001577EF" w:rsidRPr="00B75508">
          <w:rPr>
            <w:rFonts w:ascii="Cambria" w:hAnsi="Cambria"/>
            <w:sz w:val="20"/>
          </w:rPr>
          <w:instrText xml:space="preserve"> PAGE   \* MERGEFORMAT </w:instrText>
        </w:r>
        <w:r w:rsidR="001577EF" w:rsidRPr="00B75508">
          <w:rPr>
            <w:rFonts w:ascii="Cambria" w:hAnsi="Cambria"/>
            <w:sz w:val="20"/>
          </w:rPr>
          <w:fldChar w:fldCharType="separate"/>
        </w:r>
        <w:r w:rsidR="001577EF">
          <w:rPr>
            <w:rFonts w:ascii="Cambria" w:hAnsi="Cambria"/>
            <w:sz w:val="20"/>
          </w:rPr>
          <w:t>1</w:t>
        </w:r>
        <w:r w:rsidR="001577EF" w:rsidRPr="00B75508">
          <w:rPr>
            <w:rFonts w:ascii="Cambria" w:hAnsi="Cambria"/>
            <w:sz w:val="20"/>
          </w:rPr>
          <w:fldChar w:fldCharType="end"/>
        </w:r>
        <w:r w:rsidR="001577EF">
          <w:rPr>
            <w:rFonts w:ascii="Cambria" w:hAnsi="Cambria"/>
            <w:sz w:val="20"/>
          </w:rPr>
          <w:t xml:space="preserve"> </w:t>
        </w:r>
      </w:sdtContent>
    </w:sdt>
    <w:r w:rsidR="001577EF">
      <w:rPr>
        <w:rFonts w:ascii="Cambria" w:hAnsi="Cambria"/>
        <w:sz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A2C5E" w14:textId="77777777" w:rsidR="00B9185B" w:rsidRDefault="00B9185B" w:rsidP="00011227">
      <w:pPr>
        <w:spacing w:after="0" w:line="240" w:lineRule="auto"/>
      </w:pPr>
      <w:r>
        <w:separator/>
      </w:r>
    </w:p>
  </w:footnote>
  <w:footnote w:type="continuationSeparator" w:id="0">
    <w:p w14:paraId="27147C23" w14:textId="77777777" w:rsidR="00B9185B" w:rsidRDefault="00B9185B" w:rsidP="00011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6A3C" w14:textId="4F41ACBF" w:rsidR="001577EF" w:rsidRPr="001577EF" w:rsidRDefault="001577EF" w:rsidP="001577EF">
    <w:pPr>
      <w:pStyle w:val="Header"/>
      <w:jc w:val="right"/>
      <w:rPr>
        <w:rFonts w:ascii="Cambria" w:eastAsia="Calibri" w:hAnsi="Cambria"/>
        <w:b/>
        <w:bCs/>
        <w:sz w:val="20"/>
        <w:szCs w:val="20"/>
      </w:rPr>
    </w:pPr>
    <w:r>
      <w:rPr>
        <w:rFonts w:ascii="Cambria" w:hAnsi="Cambria"/>
        <w:b/>
        <w:sz w:val="20"/>
      </w:rPr>
      <w:t>PWG_419/2026</w:t>
    </w:r>
  </w:p>
  <w:p w14:paraId="55946579" w14:textId="77777777" w:rsidR="001577EF" w:rsidRPr="001577EF" w:rsidRDefault="001577EF" w:rsidP="001577EF">
    <w:pPr>
      <w:pStyle w:val="Header"/>
      <w:jc w:val="right"/>
      <w:rPr>
        <w:rFonts w:ascii="Cambria" w:hAnsi="Cambria"/>
      </w:rPr>
    </w:pPr>
    <w:r>
      <w:rPr>
        <w:rFonts w:ascii="Cambria" w:hAnsi="Cambria"/>
        <w:b/>
        <w:sz w:val="20"/>
      </w:rPr>
      <w:t>01/10/2026 23:01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26A21"/>
    <w:multiLevelType w:val="hybridMultilevel"/>
    <w:tmpl w:val="DC4A818A"/>
    <w:lvl w:ilvl="0" w:tplc="43A2F162">
      <w:start w:val="1"/>
      <w:numFmt w:val="decimal"/>
      <w:lvlText w:val="%1)"/>
      <w:lvlJc w:val="left"/>
      <w:pPr>
        <w:ind w:left="360" w:hanging="360"/>
      </w:pPr>
      <w:rPr>
        <w:rFonts w:hint="default"/>
        <w:b w:val="0"/>
        <w:bCs w:val="0"/>
      </w:rPr>
    </w:lvl>
    <w:lvl w:ilvl="1" w:tplc="0809001B">
      <w:start w:val="1"/>
      <w:numFmt w:val="lowerRoman"/>
      <w:lvlText w:val="%2."/>
      <w:lvlJc w:val="right"/>
      <w:pPr>
        <w:ind w:left="785"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1BE9F27"/>
    <w:multiLevelType w:val="hybridMultilevel"/>
    <w:tmpl w:val="FFFFFFFF"/>
    <w:lvl w:ilvl="0" w:tplc="696CD842">
      <w:start w:val="1"/>
      <w:numFmt w:val="lowerRoman"/>
      <w:lvlText w:val="%1)"/>
      <w:lvlJc w:val="left"/>
      <w:pPr>
        <w:ind w:left="720" w:hanging="360"/>
      </w:pPr>
    </w:lvl>
    <w:lvl w:ilvl="1" w:tplc="EAD0D02A">
      <w:start w:val="1"/>
      <w:numFmt w:val="lowerLetter"/>
      <w:lvlText w:val="%2."/>
      <w:lvlJc w:val="left"/>
      <w:pPr>
        <w:ind w:left="1440" w:hanging="360"/>
      </w:pPr>
    </w:lvl>
    <w:lvl w:ilvl="2" w:tplc="766EED62">
      <w:start w:val="1"/>
      <w:numFmt w:val="lowerRoman"/>
      <w:lvlText w:val="%3."/>
      <w:lvlJc w:val="right"/>
      <w:pPr>
        <w:ind w:left="2160" w:hanging="180"/>
      </w:pPr>
    </w:lvl>
    <w:lvl w:ilvl="3" w:tplc="635C4020">
      <w:start w:val="1"/>
      <w:numFmt w:val="decimal"/>
      <w:lvlText w:val="%4."/>
      <w:lvlJc w:val="left"/>
      <w:pPr>
        <w:ind w:left="2880" w:hanging="360"/>
      </w:pPr>
    </w:lvl>
    <w:lvl w:ilvl="4" w:tplc="8D32187A">
      <w:start w:val="1"/>
      <w:numFmt w:val="lowerLetter"/>
      <w:lvlText w:val="%5."/>
      <w:lvlJc w:val="left"/>
      <w:pPr>
        <w:ind w:left="3600" w:hanging="360"/>
      </w:pPr>
    </w:lvl>
    <w:lvl w:ilvl="5" w:tplc="55306A58">
      <w:start w:val="1"/>
      <w:numFmt w:val="lowerRoman"/>
      <w:lvlText w:val="%6."/>
      <w:lvlJc w:val="right"/>
      <w:pPr>
        <w:ind w:left="4320" w:hanging="180"/>
      </w:pPr>
    </w:lvl>
    <w:lvl w:ilvl="6" w:tplc="0F08E408">
      <w:start w:val="1"/>
      <w:numFmt w:val="decimal"/>
      <w:lvlText w:val="%7."/>
      <w:lvlJc w:val="left"/>
      <w:pPr>
        <w:ind w:left="5040" w:hanging="360"/>
      </w:pPr>
    </w:lvl>
    <w:lvl w:ilvl="7" w:tplc="9E54985E">
      <w:start w:val="1"/>
      <w:numFmt w:val="lowerLetter"/>
      <w:lvlText w:val="%8."/>
      <w:lvlJc w:val="left"/>
      <w:pPr>
        <w:ind w:left="5760" w:hanging="360"/>
      </w:pPr>
    </w:lvl>
    <w:lvl w:ilvl="8" w:tplc="BBEE1C12">
      <w:start w:val="1"/>
      <w:numFmt w:val="lowerRoman"/>
      <w:lvlText w:val="%9."/>
      <w:lvlJc w:val="right"/>
      <w:pPr>
        <w:ind w:left="6480" w:hanging="180"/>
      </w:pPr>
    </w:lvl>
  </w:abstractNum>
  <w:abstractNum w:abstractNumId="2" w15:restartNumberingAfterBreak="0">
    <w:nsid w:val="702539FB"/>
    <w:multiLevelType w:val="hybridMultilevel"/>
    <w:tmpl w:val="FFFFFFFF"/>
    <w:lvl w:ilvl="0" w:tplc="5CA2426E">
      <w:start w:val="1"/>
      <w:numFmt w:val="bullet"/>
      <w:lvlText w:val="-"/>
      <w:lvlJc w:val="left"/>
      <w:pPr>
        <w:ind w:left="720" w:hanging="360"/>
      </w:pPr>
      <w:rPr>
        <w:rFonts w:ascii="Aptos" w:hAnsi="Aptos" w:hint="default"/>
      </w:rPr>
    </w:lvl>
    <w:lvl w:ilvl="1" w:tplc="CF602B6A">
      <w:start w:val="1"/>
      <w:numFmt w:val="bullet"/>
      <w:lvlText w:val="o"/>
      <w:lvlJc w:val="left"/>
      <w:pPr>
        <w:ind w:left="1440" w:hanging="360"/>
      </w:pPr>
      <w:rPr>
        <w:rFonts w:ascii="Courier New" w:hAnsi="Courier New" w:hint="default"/>
      </w:rPr>
    </w:lvl>
    <w:lvl w:ilvl="2" w:tplc="F8348476">
      <w:start w:val="1"/>
      <w:numFmt w:val="bullet"/>
      <w:lvlText w:val=""/>
      <w:lvlJc w:val="left"/>
      <w:pPr>
        <w:ind w:left="2160" w:hanging="360"/>
      </w:pPr>
      <w:rPr>
        <w:rFonts w:ascii="Wingdings" w:hAnsi="Wingdings" w:hint="default"/>
      </w:rPr>
    </w:lvl>
    <w:lvl w:ilvl="3" w:tplc="3C026930">
      <w:start w:val="1"/>
      <w:numFmt w:val="bullet"/>
      <w:lvlText w:val=""/>
      <w:lvlJc w:val="left"/>
      <w:pPr>
        <w:ind w:left="2880" w:hanging="360"/>
      </w:pPr>
      <w:rPr>
        <w:rFonts w:ascii="Symbol" w:hAnsi="Symbol" w:hint="default"/>
      </w:rPr>
    </w:lvl>
    <w:lvl w:ilvl="4" w:tplc="CBFE7C72">
      <w:start w:val="1"/>
      <w:numFmt w:val="bullet"/>
      <w:lvlText w:val="o"/>
      <w:lvlJc w:val="left"/>
      <w:pPr>
        <w:ind w:left="3600" w:hanging="360"/>
      </w:pPr>
      <w:rPr>
        <w:rFonts w:ascii="Courier New" w:hAnsi="Courier New" w:hint="default"/>
      </w:rPr>
    </w:lvl>
    <w:lvl w:ilvl="5" w:tplc="C2F0EE60">
      <w:start w:val="1"/>
      <w:numFmt w:val="bullet"/>
      <w:lvlText w:val=""/>
      <w:lvlJc w:val="left"/>
      <w:pPr>
        <w:ind w:left="4320" w:hanging="360"/>
      </w:pPr>
      <w:rPr>
        <w:rFonts w:ascii="Wingdings" w:hAnsi="Wingdings" w:hint="default"/>
      </w:rPr>
    </w:lvl>
    <w:lvl w:ilvl="6" w:tplc="74DC9458">
      <w:start w:val="1"/>
      <w:numFmt w:val="bullet"/>
      <w:lvlText w:val=""/>
      <w:lvlJc w:val="left"/>
      <w:pPr>
        <w:ind w:left="5040" w:hanging="360"/>
      </w:pPr>
      <w:rPr>
        <w:rFonts w:ascii="Symbol" w:hAnsi="Symbol" w:hint="default"/>
      </w:rPr>
    </w:lvl>
    <w:lvl w:ilvl="7" w:tplc="705C00A4">
      <w:start w:val="1"/>
      <w:numFmt w:val="bullet"/>
      <w:lvlText w:val="o"/>
      <w:lvlJc w:val="left"/>
      <w:pPr>
        <w:ind w:left="5760" w:hanging="360"/>
      </w:pPr>
      <w:rPr>
        <w:rFonts w:ascii="Courier New" w:hAnsi="Courier New" w:hint="default"/>
      </w:rPr>
    </w:lvl>
    <w:lvl w:ilvl="8" w:tplc="FA400014">
      <w:start w:val="1"/>
      <w:numFmt w:val="bullet"/>
      <w:lvlText w:val=""/>
      <w:lvlJc w:val="left"/>
      <w:pPr>
        <w:ind w:left="6480" w:hanging="360"/>
      </w:pPr>
      <w:rPr>
        <w:rFonts w:ascii="Wingdings" w:hAnsi="Wingdings" w:hint="default"/>
      </w:rPr>
    </w:lvl>
  </w:abstractNum>
  <w:abstractNum w:abstractNumId="3" w15:restartNumberingAfterBreak="0">
    <w:nsid w:val="71085F9E"/>
    <w:multiLevelType w:val="hybridMultilevel"/>
    <w:tmpl w:val="FFFFFFFF"/>
    <w:lvl w:ilvl="0" w:tplc="5CF0E7B2">
      <w:start w:val="1"/>
      <w:numFmt w:val="bullet"/>
      <w:lvlText w:val="-"/>
      <w:lvlJc w:val="left"/>
      <w:pPr>
        <w:ind w:left="720" w:hanging="360"/>
      </w:pPr>
      <w:rPr>
        <w:rFonts w:ascii="Aptos" w:hAnsi="Aptos" w:hint="default"/>
      </w:rPr>
    </w:lvl>
    <w:lvl w:ilvl="1" w:tplc="2C900ACA">
      <w:start w:val="1"/>
      <w:numFmt w:val="bullet"/>
      <w:lvlText w:val="o"/>
      <w:lvlJc w:val="left"/>
      <w:pPr>
        <w:ind w:left="1440" w:hanging="360"/>
      </w:pPr>
      <w:rPr>
        <w:rFonts w:ascii="Courier New" w:hAnsi="Courier New" w:hint="default"/>
      </w:rPr>
    </w:lvl>
    <w:lvl w:ilvl="2" w:tplc="682264E6">
      <w:start w:val="1"/>
      <w:numFmt w:val="bullet"/>
      <w:lvlText w:val=""/>
      <w:lvlJc w:val="left"/>
      <w:pPr>
        <w:ind w:left="2160" w:hanging="360"/>
      </w:pPr>
      <w:rPr>
        <w:rFonts w:ascii="Wingdings" w:hAnsi="Wingdings" w:hint="default"/>
      </w:rPr>
    </w:lvl>
    <w:lvl w:ilvl="3" w:tplc="2EC22EDA">
      <w:start w:val="1"/>
      <w:numFmt w:val="bullet"/>
      <w:lvlText w:val=""/>
      <w:lvlJc w:val="left"/>
      <w:pPr>
        <w:ind w:left="2880" w:hanging="360"/>
      </w:pPr>
      <w:rPr>
        <w:rFonts w:ascii="Symbol" w:hAnsi="Symbol" w:hint="default"/>
      </w:rPr>
    </w:lvl>
    <w:lvl w:ilvl="4" w:tplc="CF5EC650">
      <w:start w:val="1"/>
      <w:numFmt w:val="bullet"/>
      <w:lvlText w:val="o"/>
      <w:lvlJc w:val="left"/>
      <w:pPr>
        <w:ind w:left="3600" w:hanging="360"/>
      </w:pPr>
      <w:rPr>
        <w:rFonts w:ascii="Courier New" w:hAnsi="Courier New" w:hint="default"/>
      </w:rPr>
    </w:lvl>
    <w:lvl w:ilvl="5" w:tplc="A156FC12">
      <w:start w:val="1"/>
      <w:numFmt w:val="bullet"/>
      <w:lvlText w:val=""/>
      <w:lvlJc w:val="left"/>
      <w:pPr>
        <w:ind w:left="4320" w:hanging="360"/>
      </w:pPr>
      <w:rPr>
        <w:rFonts w:ascii="Wingdings" w:hAnsi="Wingdings" w:hint="default"/>
      </w:rPr>
    </w:lvl>
    <w:lvl w:ilvl="6" w:tplc="E9424980">
      <w:start w:val="1"/>
      <w:numFmt w:val="bullet"/>
      <w:lvlText w:val=""/>
      <w:lvlJc w:val="left"/>
      <w:pPr>
        <w:ind w:left="5040" w:hanging="360"/>
      </w:pPr>
      <w:rPr>
        <w:rFonts w:ascii="Symbol" w:hAnsi="Symbol" w:hint="default"/>
      </w:rPr>
    </w:lvl>
    <w:lvl w:ilvl="7" w:tplc="45148920">
      <w:start w:val="1"/>
      <w:numFmt w:val="bullet"/>
      <w:lvlText w:val="o"/>
      <w:lvlJc w:val="left"/>
      <w:pPr>
        <w:ind w:left="5760" w:hanging="360"/>
      </w:pPr>
      <w:rPr>
        <w:rFonts w:ascii="Courier New" w:hAnsi="Courier New" w:hint="default"/>
      </w:rPr>
    </w:lvl>
    <w:lvl w:ilvl="8" w:tplc="3492525A">
      <w:start w:val="1"/>
      <w:numFmt w:val="bullet"/>
      <w:lvlText w:val=""/>
      <w:lvlJc w:val="left"/>
      <w:pPr>
        <w:ind w:left="6480" w:hanging="360"/>
      </w:pPr>
      <w:rPr>
        <w:rFonts w:ascii="Wingdings" w:hAnsi="Wingdings" w:hint="default"/>
      </w:rPr>
    </w:lvl>
  </w:abstractNum>
  <w:abstractNum w:abstractNumId="4" w15:restartNumberingAfterBreak="0">
    <w:nsid w:val="7764EF9D"/>
    <w:multiLevelType w:val="hybridMultilevel"/>
    <w:tmpl w:val="FFFFFFFF"/>
    <w:lvl w:ilvl="0" w:tplc="3C0E3B02">
      <w:start w:val="1"/>
      <w:numFmt w:val="upperRoman"/>
      <w:lvlText w:val="%1)"/>
      <w:lvlJc w:val="left"/>
      <w:pPr>
        <w:ind w:left="720" w:hanging="360"/>
      </w:pPr>
    </w:lvl>
    <w:lvl w:ilvl="1" w:tplc="327C3C72">
      <w:start w:val="1"/>
      <w:numFmt w:val="lowerLetter"/>
      <w:lvlText w:val="%2."/>
      <w:lvlJc w:val="left"/>
      <w:pPr>
        <w:ind w:left="1440" w:hanging="360"/>
      </w:pPr>
    </w:lvl>
    <w:lvl w:ilvl="2" w:tplc="67D00FA8">
      <w:start w:val="1"/>
      <w:numFmt w:val="lowerRoman"/>
      <w:lvlText w:val="%3."/>
      <w:lvlJc w:val="right"/>
      <w:pPr>
        <w:ind w:left="2160" w:hanging="180"/>
      </w:pPr>
    </w:lvl>
    <w:lvl w:ilvl="3" w:tplc="F8B86170">
      <w:start w:val="1"/>
      <w:numFmt w:val="decimal"/>
      <w:lvlText w:val="%4."/>
      <w:lvlJc w:val="left"/>
      <w:pPr>
        <w:ind w:left="2880" w:hanging="360"/>
      </w:pPr>
    </w:lvl>
    <w:lvl w:ilvl="4" w:tplc="6B0C363C">
      <w:start w:val="1"/>
      <w:numFmt w:val="lowerLetter"/>
      <w:lvlText w:val="%5."/>
      <w:lvlJc w:val="left"/>
      <w:pPr>
        <w:ind w:left="3600" w:hanging="360"/>
      </w:pPr>
    </w:lvl>
    <w:lvl w:ilvl="5" w:tplc="048A9766">
      <w:start w:val="1"/>
      <w:numFmt w:val="lowerRoman"/>
      <w:lvlText w:val="%6."/>
      <w:lvlJc w:val="right"/>
      <w:pPr>
        <w:ind w:left="4320" w:hanging="180"/>
      </w:pPr>
    </w:lvl>
    <w:lvl w:ilvl="6" w:tplc="D0501BFA">
      <w:start w:val="1"/>
      <w:numFmt w:val="decimal"/>
      <w:lvlText w:val="%7."/>
      <w:lvlJc w:val="left"/>
      <w:pPr>
        <w:ind w:left="5040" w:hanging="360"/>
      </w:pPr>
    </w:lvl>
    <w:lvl w:ilvl="7" w:tplc="B594942E">
      <w:start w:val="1"/>
      <w:numFmt w:val="lowerLetter"/>
      <w:lvlText w:val="%8."/>
      <w:lvlJc w:val="left"/>
      <w:pPr>
        <w:ind w:left="5760" w:hanging="360"/>
      </w:pPr>
    </w:lvl>
    <w:lvl w:ilvl="8" w:tplc="36246C5A">
      <w:start w:val="1"/>
      <w:numFmt w:val="lowerRoman"/>
      <w:lvlText w:val="%9."/>
      <w:lvlJc w:val="right"/>
      <w:pPr>
        <w:ind w:left="6480" w:hanging="180"/>
      </w:pPr>
    </w:lvl>
  </w:abstractNum>
  <w:num w:numId="1" w16cid:durableId="1585185785">
    <w:abstractNumId w:val="3"/>
  </w:num>
  <w:num w:numId="2" w16cid:durableId="1890266226">
    <w:abstractNumId w:val="1"/>
  </w:num>
  <w:num w:numId="3" w16cid:durableId="1914854626">
    <w:abstractNumId w:val="4"/>
  </w:num>
  <w:num w:numId="4" w16cid:durableId="389230731">
    <w:abstractNumId w:val="2"/>
  </w:num>
  <w:num w:numId="5" w16cid:durableId="94916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0F"/>
    <w:rsid w:val="00000005"/>
    <w:rsid w:val="000008F5"/>
    <w:rsid w:val="00000FF5"/>
    <w:rsid w:val="000013BC"/>
    <w:rsid w:val="000013ED"/>
    <w:rsid w:val="00002204"/>
    <w:rsid w:val="0000234E"/>
    <w:rsid w:val="000023CC"/>
    <w:rsid w:val="000034FC"/>
    <w:rsid w:val="0000367C"/>
    <w:rsid w:val="000043A4"/>
    <w:rsid w:val="00004B29"/>
    <w:rsid w:val="0000522A"/>
    <w:rsid w:val="00005F89"/>
    <w:rsid w:val="000068C9"/>
    <w:rsid w:val="00007902"/>
    <w:rsid w:val="00010208"/>
    <w:rsid w:val="00010A61"/>
    <w:rsid w:val="00010FFE"/>
    <w:rsid w:val="00011227"/>
    <w:rsid w:val="00012EDD"/>
    <w:rsid w:val="000143BB"/>
    <w:rsid w:val="00014421"/>
    <w:rsid w:val="00014D50"/>
    <w:rsid w:val="00016F43"/>
    <w:rsid w:val="000172F9"/>
    <w:rsid w:val="000203AF"/>
    <w:rsid w:val="00020D67"/>
    <w:rsid w:val="000213E3"/>
    <w:rsid w:val="00022798"/>
    <w:rsid w:val="00022A1F"/>
    <w:rsid w:val="00023968"/>
    <w:rsid w:val="0002413E"/>
    <w:rsid w:val="00024375"/>
    <w:rsid w:val="00024379"/>
    <w:rsid w:val="00024C10"/>
    <w:rsid w:val="00025B11"/>
    <w:rsid w:val="000302AD"/>
    <w:rsid w:val="00030410"/>
    <w:rsid w:val="00030830"/>
    <w:rsid w:val="00031813"/>
    <w:rsid w:val="00031E1A"/>
    <w:rsid w:val="00032C0E"/>
    <w:rsid w:val="000330C2"/>
    <w:rsid w:val="00034507"/>
    <w:rsid w:val="000356DE"/>
    <w:rsid w:val="00035E3E"/>
    <w:rsid w:val="00035EC6"/>
    <w:rsid w:val="00035F9C"/>
    <w:rsid w:val="00037593"/>
    <w:rsid w:val="00037B59"/>
    <w:rsid w:val="000413C8"/>
    <w:rsid w:val="00041AD9"/>
    <w:rsid w:val="00042B2F"/>
    <w:rsid w:val="00043E74"/>
    <w:rsid w:val="0004574E"/>
    <w:rsid w:val="00045CD6"/>
    <w:rsid w:val="00046C99"/>
    <w:rsid w:val="000505A8"/>
    <w:rsid w:val="00050821"/>
    <w:rsid w:val="00051D95"/>
    <w:rsid w:val="0005258E"/>
    <w:rsid w:val="000525E2"/>
    <w:rsid w:val="00052B70"/>
    <w:rsid w:val="0005376E"/>
    <w:rsid w:val="00053AA1"/>
    <w:rsid w:val="00053BD2"/>
    <w:rsid w:val="0005478F"/>
    <w:rsid w:val="00054FA9"/>
    <w:rsid w:val="0005606A"/>
    <w:rsid w:val="00056BE7"/>
    <w:rsid w:val="00057944"/>
    <w:rsid w:val="000600CC"/>
    <w:rsid w:val="000606DF"/>
    <w:rsid w:val="000606F8"/>
    <w:rsid w:val="000611BC"/>
    <w:rsid w:val="00061F45"/>
    <w:rsid w:val="00062A08"/>
    <w:rsid w:val="00062C89"/>
    <w:rsid w:val="000632C5"/>
    <w:rsid w:val="000637AE"/>
    <w:rsid w:val="00064C04"/>
    <w:rsid w:val="00064C51"/>
    <w:rsid w:val="00064DB5"/>
    <w:rsid w:val="00065014"/>
    <w:rsid w:val="00065A79"/>
    <w:rsid w:val="00065B10"/>
    <w:rsid w:val="0006647B"/>
    <w:rsid w:val="00070B40"/>
    <w:rsid w:val="000710E5"/>
    <w:rsid w:val="000713F1"/>
    <w:rsid w:val="00072103"/>
    <w:rsid w:val="0007443B"/>
    <w:rsid w:val="000753CB"/>
    <w:rsid w:val="000754C4"/>
    <w:rsid w:val="0007689A"/>
    <w:rsid w:val="00076FB0"/>
    <w:rsid w:val="00077A8C"/>
    <w:rsid w:val="00081E43"/>
    <w:rsid w:val="000832E7"/>
    <w:rsid w:val="0008376E"/>
    <w:rsid w:val="00084035"/>
    <w:rsid w:val="00084713"/>
    <w:rsid w:val="00084D99"/>
    <w:rsid w:val="000905EA"/>
    <w:rsid w:val="000921B5"/>
    <w:rsid w:val="00092B3D"/>
    <w:rsid w:val="00093181"/>
    <w:rsid w:val="00093A53"/>
    <w:rsid w:val="00095382"/>
    <w:rsid w:val="000A0DDF"/>
    <w:rsid w:val="000A0E0C"/>
    <w:rsid w:val="000A1E8A"/>
    <w:rsid w:val="000A236A"/>
    <w:rsid w:val="000A2672"/>
    <w:rsid w:val="000A3D42"/>
    <w:rsid w:val="000A3ED4"/>
    <w:rsid w:val="000A407D"/>
    <w:rsid w:val="000A4EF4"/>
    <w:rsid w:val="000A5740"/>
    <w:rsid w:val="000A7469"/>
    <w:rsid w:val="000B0C4F"/>
    <w:rsid w:val="000B2749"/>
    <w:rsid w:val="000B524A"/>
    <w:rsid w:val="000B5A38"/>
    <w:rsid w:val="000B5E27"/>
    <w:rsid w:val="000B614A"/>
    <w:rsid w:val="000B6529"/>
    <w:rsid w:val="000B71EB"/>
    <w:rsid w:val="000C175D"/>
    <w:rsid w:val="000C18A1"/>
    <w:rsid w:val="000C2C06"/>
    <w:rsid w:val="000C3EC6"/>
    <w:rsid w:val="000C3F9E"/>
    <w:rsid w:val="000C3FDD"/>
    <w:rsid w:val="000C41C4"/>
    <w:rsid w:val="000C5225"/>
    <w:rsid w:val="000C5502"/>
    <w:rsid w:val="000C5A03"/>
    <w:rsid w:val="000C6957"/>
    <w:rsid w:val="000C7982"/>
    <w:rsid w:val="000D05BD"/>
    <w:rsid w:val="000D13E2"/>
    <w:rsid w:val="000D2105"/>
    <w:rsid w:val="000D2A5C"/>
    <w:rsid w:val="000D400B"/>
    <w:rsid w:val="000E08FC"/>
    <w:rsid w:val="000E0B25"/>
    <w:rsid w:val="000E1A8B"/>
    <w:rsid w:val="000E1B76"/>
    <w:rsid w:val="000E38B6"/>
    <w:rsid w:val="000E3EC9"/>
    <w:rsid w:val="000E4A8A"/>
    <w:rsid w:val="000E69BB"/>
    <w:rsid w:val="000E703D"/>
    <w:rsid w:val="000E722D"/>
    <w:rsid w:val="000F06FB"/>
    <w:rsid w:val="000F08B0"/>
    <w:rsid w:val="000F110C"/>
    <w:rsid w:val="000F1125"/>
    <w:rsid w:val="000F119D"/>
    <w:rsid w:val="000F16C0"/>
    <w:rsid w:val="000F1A69"/>
    <w:rsid w:val="000F2150"/>
    <w:rsid w:val="000F279A"/>
    <w:rsid w:val="000F40AB"/>
    <w:rsid w:val="000F5640"/>
    <w:rsid w:val="000F581E"/>
    <w:rsid w:val="000F5E28"/>
    <w:rsid w:val="000F5F26"/>
    <w:rsid w:val="000F6D69"/>
    <w:rsid w:val="00101012"/>
    <w:rsid w:val="00102369"/>
    <w:rsid w:val="001028D2"/>
    <w:rsid w:val="00102F67"/>
    <w:rsid w:val="001034C4"/>
    <w:rsid w:val="00103875"/>
    <w:rsid w:val="00103A8F"/>
    <w:rsid w:val="00103CF8"/>
    <w:rsid w:val="0010477C"/>
    <w:rsid w:val="00104BB6"/>
    <w:rsid w:val="0010519F"/>
    <w:rsid w:val="001051D0"/>
    <w:rsid w:val="00105BA8"/>
    <w:rsid w:val="00105F03"/>
    <w:rsid w:val="00106ADD"/>
    <w:rsid w:val="00106C3F"/>
    <w:rsid w:val="00107152"/>
    <w:rsid w:val="001105EA"/>
    <w:rsid w:val="001128F9"/>
    <w:rsid w:val="00112EAB"/>
    <w:rsid w:val="00113879"/>
    <w:rsid w:val="00114B4B"/>
    <w:rsid w:val="00115C2B"/>
    <w:rsid w:val="0011625E"/>
    <w:rsid w:val="00120AF4"/>
    <w:rsid w:val="0012155D"/>
    <w:rsid w:val="00121CE2"/>
    <w:rsid w:val="00122403"/>
    <w:rsid w:val="0012301C"/>
    <w:rsid w:val="001230D2"/>
    <w:rsid w:val="001236AD"/>
    <w:rsid w:val="00123F2A"/>
    <w:rsid w:val="00124C07"/>
    <w:rsid w:val="001251F1"/>
    <w:rsid w:val="00125B41"/>
    <w:rsid w:val="0012625F"/>
    <w:rsid w:val="001262AB"/>
    <w:rsid w:val="001267BE"/>
    <w:rsid w:val="00133343"/>
    <w:rsid w:val="00134094"/>
    <w:rsid w:val="00134A73"/>
    <w:rsid w:val="00134AE4"/>
    <w:rsid w:val="001357EF"/>
    <w:rsid w:val="001358F6"/>
    <w:rsid w:val="001403BD"/>
    <w:rsid w:val="0014055E"/>
    <w:rsid w:val="001411F9"/>
    <w:rsid w:val="00141A3E"/>
    <w:rsid w:val="00142BBC"/>
    <w:rsid w:val="00142DEA"/>
    <w:rsid w:val="0014303E"/>
    <w:rsid w:val="00143718"/>
    <w:rsid w:val="00144CB5"/>
    <w:rsid w:val="00146296"/>
    <w:rsid w:val="00147F36"/>
    <w:rsid w:val="00150722"/>
    <w:rsid w:val="0015142E"/>
    <w:rsid w:val="001516DA"/>
    <w:rsid w:val="00151E66"/>
    <w:rsid w:val="001533B1"/>
    <w:rsid w:val="001534AE"/>
    <w:rsid w:val="001535EF"/>
    <w:rsid w:val="001545DA"/>
    <w:rsid w:val="00154A51"/>
    <w:rsid w:val="00155589"/>
    <w:rsid w:val="001562E0"/>
    <w:rsid w:val="00156662"/>
    <w:rsid w:val="00156B27"/>
    <w:rsid w:val="001577EF"/>
    <w:rsid w:val="00157D0E"/>
    <w:rsid w:val="0016047D"/>
    <w:rsid w:val="00162326"/>
    <w:rsid w:val="00163ACF"/>
    <w:rsid w:val="00163BDD"/>
    <w:rsid w:val="00164BD7"/>
    <w:rsid w:val="001651A0"/>
    <w:rsid w:val="001664BF"/>
    <w:rsid w:val="00166DA0"/>
    <w:rsid w:val="001674EB"/>
    <w:rsid w:val="00170762"/>
    <w:rsid w:val="00170EB6"/>
    <w:rsid w:val="001718CB"/>
    <w:rsid w:val="001718D5"/>
    <w:rsid w:val="00171A88"/>
    <w:rsid w:val="00171BF4"/>
    <w:rsid w:val="00171FCB"/>
    <w:rsid w:val="00173440"/>
    <w:rsid w:val="00173FB5"/>
    <w:rsid w:val="0017524A"/>
    <w:rsid w:val="0017568B"/>
    <w:rsid w:val="0017569C"/>
    <w:rsid w:val="001774CF"/>
    <w:rsid w:val="001778B0"/>
    <w:rsid w:val="00177980"/>
    <w:rsid w:val="00177BDC"/>
    <w:rsid w:val="00177E76"/>
    <w:rsid w:val="0018018F"/>
    <w:rsid w:val="0018078E"/>
    <w:rsid w:val="00180F66"/>
    <w:rsid w:val="00181001"/>
    <w:rsid w:val="00181178"/>
    <w:rsid w:val="001815AD"/>
    <w:rsid w:val="00184444"/>
    <w:rsid w:val="00184B4F"/>
    <w:rsid w:val="00184D6F"/>
    <w:rsid w:val="00185BCB"/>
    <w:rsid w:val="001869A4"/>
    <w:rsid w:val="00186C98"/>
    <w:rsid w:val="001870CD"/>
    <w:rsid w:val="001878ED"/>
    <w:rsid w:val="00187E95"/>
    <w:rsid w:val="0019161E"/>
    <w:rsid w:val="00191709"/>
    <w:rsid w:val="00191AAA"/>
    <w:rsid w:val="00194363"/>
    <w:rsid w:val="001950C3"/>
    <w:rsid w:val="00195F69"/>
    <w:rsid w:val="00196200"/>
    <w:rsid w:val="00196DF2"/>
    <w:rsid w:val="00197564"/>
    <w:rsid w:val="00197EE0"/>
    <w:rsid w:val="001A0397"/>
    <w:rsid w:val="001A03C7"/>
    <w:rsid w:val="001A05D6"/>
    <w:rsid w:val="001A16F0"/>
    <w:rsid w:val="001A182D"/>
    <w:rsid w:val="001A38C2"/>
    <w:rsid w:val="001A3A94"/>
    <w:rsid w:val="001A5650"/>
    <w:rsid w:val="001A5952"/>
    <w:rsid w:val="001A59DF"/>
    <w:rsid w:val="001A5E9A"/>
    <w:rsid w:val="001A60A1"/>
    <w:rsid w:val="001A668A"/>
    <w:rsid w:val="001A7691"/>
    <w:rsid w:val="001A7B21"/>
    <w:rsid w:val="001A7FC4"/>
    <w:rsid w:val="001B1059"/>
    <w:rsid w:val="001B18B2"/>
    <w:rsid w:val="001B1A8E"/>
    <w:rsid w:val="001B2DB6"/>
    <w:rsid w:val="001B31F4"/>
    <w:rsid w:val="001B3463"/>
    <w:rsid w:val="001B4F2C"/>
    <w:rsid w:val="001B5C57"/>
    <w:rsid w:val="001C07EE"/>
    <w:rsid w:val="001C154C"/>
    <w:rsid w:val="001C2002"/>
    <w:rsid w:val="001C24E7"/>
    <w:rsid w:val="001C2915"/>
    <w:rsid w:val="001C4639"/>
    <w:rsid w:val="001C4DD6"/>
    <w:rsid w:val="001C5144"/>
    <w:rsid w:val="001C52DA"/>
    <w:rsid w:val="001C5C1A"/>
    <w:rsid w:val="001C60E1"/>
    <w:rsid w:val="001C7E5A"/>
    <w:rsid w:val="001D07DA"/>
    <w:rsid w:val="001D0CFA"/>
    <w:rsid w:val="001D1526"/>
    <w:rsid w:val="001D1A5E"/>
    <w:rsid w:val="001D3145"/>
    <w:rsid w:val="001D599D"/>
    <w:rsid w:val="001D6C4D"/>
    <w:rsid w:val="001D7B0B"/>
    <w:rsid w:val="001E0176"/>
    <w:rsid w:val="001E018B"/>
    <w:rsid w:val="001E1946"/>
    <w:rsid w:val="001E19CD"/>
    <w:rsid w:val="001E19CF"/>
    <w:rsid w:val="001E2048"/>
    <w:rsid w:val="001E2556"/>
    <w:rsid w:val="001E2FE2"/>
    <w:rsid w:val="001E439B"/>
    <w:rsid w:val="001E5260"/>
    <w:rsid w:val="001E5A45"/>
    <w:rsid w:val="001E6386"/>
    <w:rsid w:val="001E65B0"/>
    <w:rsid w:val="001E7E0D"/>
    <w:rsid w:val="001F17A0"/>
    <w:rsid w:val="001F1A37"/>
    <w:rsid w:val="001F2046"/>
    <w:rsid w:val="001F2166"/>
    <w:rsid w:val="001F33D1"/>
    <w:rsid w:val="001F38AB"/>
    <w:rsid w:val="001F44ED"/>
    <w:rsid w:val="001F54C8"/>
    <w:rsid w:val="001F59FC"/>
    <w:rsid w:val="001F5C1F"/>
    <w:rsid w:val="001F60DE"/>
    <w:rsid w:val="001F717C"/>
    <w:rsid w:val="00200202"/>
    <w:rsid w:val="00200D6D"/>
    <w:rsid w:val="00201D6A"/>
    <w:rsid w:val="002023DF"/>
    <w:rsid w:val="00203394"/>
    <w:rsid w:val="0020341F"/>
    <w:rsid w:val="0020485F"/>
    <w:rsid w:val="00205106"/>
    <w:rsid w:val="002056CC"/>
    <w:rsid w:val="002063AA"/>
    <w:rsid w:val="0020709B"/>
    <w:rsid w:val="00207AD7"/>
    <w:rsid w:val="00207B78"/>
    <w:rsid w:val="00207DFF"/>
    <w:rsid w:val="00210951"/>
    <w:rsid w:val="00212055"/>
    <w:rsid w:val="00212438"/>
    <w:rsid w:val="00212576"/>
    <w:rsid w:val="00212C42"/>
    <w:rsid w:val="00212CB2"/>
    <w:rsid w:val="0021330B"/>
    <w:rsid w:val="0021418A"/>
    <w:rsid w:val="0021541F"/>
    <w:rsid w:val="00215553"/>
    <w:rsid w:val="00216F63"/>
    <w:rsid w:val="00217D77"/>
    <w:rsid w:val="0022278F"/>
    <w:rsid w:val="00222EBB"/>
    <w:rsid w:val="00222EC3"/>
    <w:rsid w:val="00224135"/>
    <w:rsid w:val="002253C1"/>
    <w:rsid w:val="00225D4A"/>
    <w:rsid w:val="00226403"/>
    <w:rsid w:val="00227E68"/>
    <w:rsid w:val="00232EED"/>
    <w:rsid w:val="00233150"/>
    <w:rsid w:val="0023399D"/>
    <w:rsid w:val="00233AB0"/>
    <w:rsid w:val="002351C1"/>
    <w:rsid w:val="00235DE1"/>
    <w:rsid w:val="00236143"/>
    <w:rsid w:val="0023649C"/>
    <w:rsid w:val="0023655A"/>
    <w:rsid w:val="002367C8"/>
    <w:rsid w:val="002374CE"/>
    <w:rsid w:val="002374E7"/>
    <w:rsid w:val="0023797F"/>
    <w:rsid w:val="00240288"/>
    <w:rsid w:val="00240E41"/>
    <w:rsid w:val="002418E3"/>
    <w:rsid w:val="0024200D"/>
    <w:rsid w:val="002421BA"/>
    <w:rsid w:val="002424D3"/>
    <w:rsid w:val="002438F3"/>
    <w:rsid w:val="00243D80"/>
    <w:rsid w:val="002442B1"/>
    <w:rsid w:val="00244EBC"/>
    <w:rsid w:val="002458E7"/>
    <w:rsid w:val="00245DD9"/>
    <w:rsid w:val="00246A84"/>
    <w:rsid w:val="00251B06"/>
    <w:rsid w:val="002521AD"/>
    <w:rsid w:val="0025243B"/>
    <w:rsid w:val="00252881"/>
    <w:rsid w:val="002529B9"/>
    <w:rsid w:val="002539D7"/>
    <w:rsid w:val="002548EA"/>
    <w:rsid w:val="002561B6"/>
    <w:rsid w:val="00256324"/>
    <w:rsid w:val="00256784"/>
    <w:rsid w:val="002574E4"/>
    <w:rsid w:val="002604CA"/>
    <w:rsid w:val="00261277"/>
    <w:rsid w:val="00261778"/>
    <w:rsid w:val="00261F58"/>
    <w:rsid w:val="00262D76"/>
    <w:rsid w:val="00262F69"/>
    <w:rsid w:val="002639CC"/>
    <w:rsid w:val="00264204"/>
    <w:rsid w:val="0026435A"/>
    <w:rsid w:val="002643F3"/>
    <w:rsid w:val="00264FE3"/>
    <w:rsid w:val="00265C3D"/>
    <w:rsid w:val="00265EA2"/>
    <w:rsid w:val="00266EA4"/>
    <w:rsid w:val="00267344"/>
    <w:rsid w:val="00267591"/>
    <w:rsid w:val="002706D6"/>
    <w:rsid w:val="00270828"/>
    <w:rsid w:val="002708EF"/>
    <w:rsid w:val="002709C9"/>
    <w:rsid w:val="002712C2"/>
    <w:rsid w:val="00271471"/>
    <w:rsid w:val="00271B97"/>
    <w:rsid w:val="002726E3"/>
    <w:rsid w:val="002732E2"/>
    <w:rsid w:val="00274E87"/>
    <w:rsid w:val="00275750"/>
    <w:rsid w:val="00275810"/>
    <w:rsid w:val="00275846"/>
    <w:rsid w:val="00276F0B"/>
    <w:rsid w:val="0028052D"/>
    <w:rsid w:val="00280876"/>
    <w:rsid w:val="00282573"/>
    <w:rsid w:val="002827E1"/>
    <w:rsid w:val="002839B3"/>
    <w:rsid w:val="0028484B"/>
    <w:rsid w:val="002865D5"/>
    <w:rsid w:val="00287A0B"/>
    <w:rsid w:val="00287B2C"/>
    <w:rsid w:val="00287C5A"/>
    <w:rsid w:val="00287F06"/>
    <w:rsid w:val="00291E8D"/>
    <w:rsid w:val="002926E2"/>
    <w:rsid w:val="00292C70"/>
    <w:rsid w:val="00292EC3"/>
    <w:rsid w:val="00292EFE"/>
    <w:rsid w:val="00292FF4"/>
    <w:rsid w:val="00293C54"/>
    <w:rsid w:val="002974C3"/>
    <w:rsid w:val="002A015B"/>
    <w:rsid w:val="002A1803"/>
    <w:rsid w:val="002A2D27"/>
    <w:rsid w:val="002A39DD"/>
    <w:rsid w:val="002A3C42"/>
    <w:rsid w:val="002A3EE3"/>
    <w:rsid w:val="002A3F91"/>
    <w:rsid w:val="002A3FA9"/>
    <w:rsid w:val="002A42BD"/>
    <w:rsid w:val="002A4A31"/>
    <w:rsid w:val="002A559A"/>
    <w:rsid w:val="002A5871"/>
    <w:rsid w:val="002A5980"/>
    <w:rsid w:val="002A68DC"/>
    <w:rsid w:val="002A7505"/>
    <w:rsid w:val="002A7B6D"/>
    <w:rsid w:val="002B142A"/>
    <w:rsid w:val="002B49F0"/>
    <w:rsid w:val="002B50E5"/>
    <w:rsid w:val="002B5879"/>
    <w:rsid w:val="002B669A"/>
    <w:rsid w:val="002C0154"/>
    <w:rsid w:val="002C08A2"/>
    <w:rsid w:val="002C15E3"/>
    <w:rsid w:val="002C2248"/>
    <w:rsid w:val="002C26B4"/>
    <w:rsid w:val="002C3733"/>
    <w:rsid w:val="002C37B6"/>
    <w:rsid w:val="002C4046"/>
    <w:rsid w:val="002C4DF5"/>
    <w:rsid w:val="002C4FB3"/>
    <w:rsid w:val="002C51A0"/>
    <w:rsid w:val="002C6463"/>
    <w:rsid w:val="002C7F91"/>
    <w:rsid w:val="002D0087"/>
    <w:rsid w:val="002D00B7"/>
    <w:rsid w:val="002D0168"/>
    <w:rsid w:val="002D02BF"/>
    <w:rsid w:val="002D0F66"/>
    <w:rsid w:val="002D1269"/>
    <w:rsid w:val="002D1DBD"/>
    <w:rsid w:val="002D2C7A"/>
    <w:rsid w:val="002D323A"/>
    <w:rsid w:val="002D340E"/>
    <w:rsid w:val="002D4806"/>
    <w:rsid w:val="002D4F04"/>
    <w:rsid w:val="002D5594"/>
    <w:rsid w:val="002D5653"/>
    <w:rsid w:val="002D56A4"/>
    <w:rsid w:val="002D739D"/>
    <w:rsid w:val="002E0290"/>
    <w:rsid w:val="002E03F9"/>
    <w:rsid w:val="002E0EA3"/>
    <w:rsid w:val="002E13F6"/>
    <w:rsid w:val="002E2034"/>
    <w:rsid w:val="002E237D"/>
    <w:rsid w:val="002E2696"/>
    <w:rsid w:val="002E3537"/>
    <w:rsid w:val="002E4379"/>
    <w:rsid w:val="002E44A3"/>
    <w:rsid w:val="002E4C8A"/>
    <w:rsid w:val="002E4C9C"/>
    <w:rsid w:val="002E5469"/>
    <w:rsid w:val="002E55BB"/>
    <w:rsid w:val="002E5BC0"/>
    <w:rsid w:val="002E6A1C"/>
    <w:rsid w:val="002E6F53"/>
    <w:rsid w:val="002E7B97"/>
    <w:rsid w:val="002F0C82"/>
    <w:rsid w:val="002F0D29"/>
    <w:rsid w:val="002F38B3"/>
    <w:rsid w:val="002F422D"/>
    <w:rsid w:val="002F5570"/>
    <w:rsid w:val="002F5ED3"/>
    <w:rsid w:val="002F6D50"/>
    <w:rsid w:val="002F7CBB"/>
    <w:rsid w:val="00300F22"/>
    <w:rsid w:val="00301044"/>
    <w:rsid w:val="0030181E"/>
    <w:rsid w:val="00301B36"/>
    <w:rsid w:val="003028B3"/>
    <w:rsid w:val="00302EAA"/>
    <w:rsid w:val="003030A7"/>
    <w:rsid w:val="00304188"/>
    <w:rsid w:val="00304993"/>
    <w:rsid w:val="00304A65"/>
    <w:rsid w:val="003063B7"/>
    <w:rsid w:val="00306E54"/>
    <w:rsid w:val="00307043"/>
    <w:rsid w:val="0031037B"/>
    <w:rsid w:val="00311385"/>
    <w:rsid w:val="003138F0"/>
    <w:rsid w:val="00315002"/>
    <w:rsid w:val="00315B8D"/>
    <w:rsid w:val="003172DF"/>
    <w:rsid w:val="00317B10"/>
    <w:rsid w:val="003207A6"/>
    <w:rsid w:val="0032147F"/>
    <w:rsid w:val="00321C1F"/>
    <w:rsid w:val="00322137"/>
    <w:rsid w:val="00322411"/>
    <w:rsid w:val="003231D4"/>
    <w:rsid w:val="00323D58"/>
    <w:rsid w:val="0032483C"/>
    <w:rsid w:val="003255D3"/>
    <w:rsid w:val="00325614"/>
    <w:rsid w:val="00326830"/>
    <w:rsid w:val="00326CAA"/>
    <w:rsid w:val="003272AF"/>
    <w:rsid w:val="0033051F"/>
    <w:rsid w:val="003318F9"/>
    <w:rsid w:val="0033288D"/>
    <w:rsid w:val="0033394F"/>
    <w:rsid w:val="00334AC2"/>
    <w:rsid w:val="00335726"/>
    <w:rsid w:val="00337544"/>
    <w:rsid w:val="0033778E"/>
    <w:rsid w:val="00337988"/>
    <w:rsid w:val="00337B33"/>
    <w:rsid w:val="0034019B"/>
    <w:rsid w:val="003405B4"/>
    <w:rsid w:val="003407C5"/>
    <w:rsid w:val="00340ACB"/>
    <w:rsid w:val="00340F22"/>
    <w:rsid w:val="00341183"/>
    <w:rsid w:val="003415DB"/>
    <w:rsid w:val="00341AD1"/>
    <w:rsid w:val="003423E2"/>
    <w:rsid w:val="00342980"/>
    <w:rsid w:val="00345124"/>
    <w:rsid w:val="00345392"/>
    <w:rsid w:val="00345D6D"/>
    <w:rsid w:val="00345FC1"/>
    <w:rsid w:val="003469A3"/>
    <w:rsid w:val="00347307"/>
    <w:rsid w:val="00347A09"/>
    <w:rsid w:val="00347D51"/>
    <w:rsid w:val="00350263"/>
    <w:rsid w:val="00350EB3"/>
    <w:rsid w:val="00350F97"/>
    <w:rsid w:val="00351447"/>
    <w:rsid w:val="003516AA"/>
    <w:rsid w:val="00351898"/>
    <w:rsid w:val="003524DD"/>
    <w:rsid w:val="003531C0"/>
    <w:rsid w:val="00355296"/>
    <w:rsid w:val="00355E9F"/>
    <w:rsid w:val="0035631B"/>
    <w:rsid w:val="003570CD"/>
    <w:rsid w:val="0035795A"/>
    <w:rsid w:val="0036045D"/>
    <w:rsid w:val="003608EA"/>
    <w:rsid w:val="00360CF8"/>
    <w:rsid w:val="00361B95"/>
    <w:rsid w:val="00362298"/>
    <w:rsid w:val="003622F4"/>
    <w:rsid w:val="00362ADB"/>
    <w:rsid w:val="0036398C"/>
    <w:rsid w:val="003653BE"/>
    <w:rsid w:val="00365584"/>
    <w:rsid w:val="0036574C"/>
    <w:rsid w:val="00366723"/>
    <w:rsid w:val="003668D6"/>
    <w:rsid w:val="00366FC8"/>
    <w:rsid w:val="00370A21"/>
    <w:rsid w:val="00370A9F"/>
    <w:rsid w:val="00370B4A"/>
    <w:rsid w:val="003716D9"/>
    <w:rsid w:val="00371AEF"/>
    <w:rsid w:val="0037435A"/>
    <w:rsid w:val="00374B44"/>
    <w:rsid w:val="00374C87"/>
    <w:rsid w:val="00375754"/>
    <w:rsid w:val="0037609F"/>
    <w:rsid w:val="00376A4F"/>
    <w:rsid w:val="00376B1D"/>
    <w:rsid w:val="003771C9"/>
    <w:rsid w:val="00377AF4"/>
    <w:rsid w:val="00380A48"/>
    <w:rsid w:val="00380E2F"/>
    <w:rsid w:val="00381765"/>
    <w:rsid w:val="003826DC"/>
    <w:rsid w:val="00382E1D"/>
    <w:rsid w:val="00384BBA"/>
    <w:rsid w:val="00385899"/>
    <w:rsid w:val="00386CEB"/>
    <w:rsid w:val="003902BA"/>
    <w:rsid w:val="0039045B"/>
    <w:rsid w:val="003912B0"/>
    <w:rsid w:val="00391347"/>
    <w:rsid w:val="00392B2A"/>
    <w:rsid w:val="0039343F"/>
    <w:rsid w:val="003934AE"/>
    <w:rsid w:val="00393536"/>
    <w:rsid w:val="003942DC"/>
    <w:rsid w:val="00394694"/>
    <w:rsid w:val="0039513A"/>
    <w:rsid w:val="003977B6"/>
    <w:rsid w:val="00397B20"/>
    <w:rsid w:val="003A0027"/>
    <w:rsid w:val="003A0669"/>
    <w:rsid w:val="003A0FDC"/>
    <w:rsid w:val="003A1008"/>
    <w:rsid w:val="003A1D62"/>
    <w:rsid w:val="003A1E92"/>
    <w:rsid w:val="003A27FF"/>
    <w:rsid w:val="003A2821"/>
    <w:rsid w:val="003A36BE"/>
    <w:rsid w:val="003A3866"/>
    <w:rsid w:val="003A4A22"/>
    <w:rsid w:val="003A5A4B"/>
    <w:rsid w:val="003A5B38"/>
    <w:rsid w:val="003A5F0C"/>
    <w:rsid w:val="003A5F83"/>
    <w:rsid w:val="003A700D"/>
    <w:rsid w:val="003A7220"/>
    <w:rsid w:val="003A7A20"/>
    <w:rsid w:val="003A7CDF"/>
    <w:rsid w:val="003B02B4"/>
    <w:rsid w:val="003B0678"/>
    <w:rsid w:val="003B06D3"/>
    <w:rsid w:val="003B073C"/>
    <w:rsid w:val="003B0DAC"/>
    <w:rsid w:val="003B23C2"/>
    <w:rsid w:val="003B2CB3"/>
    <w:rsid w:val="003B31DD"/>
    <w:rsid w:val="003B3508"/>
    <w:rsid w:val="003B4051"/>
    <w:rsid w:val="003B4289"/>
    <w:rsid w:val="003B45A7"/>
    <w:rsid w:val="003B5C26"/>
    <w:rsid w:val="003B5DE8"/>
    <w:rsid w:val="003B67E5"/>
    <w:rsid w:val="003B704C"/>
    <w:rsid w:val="003B72BB"/>
    <w:rsid w:val="003B7FB4"/>
    <w:rsid w:val="003C1309"/>
    <w:rsid w:val="003C1864"/>
    <w:rsid w:val="003C1EDA"/>
    <w:rsid w:val="003C249A"/>
    <w:rsid w:val="003C25E8"/>
    <w:rsid w:val="003C341E"/>
    <w:rsid w:val="003C3C1C"/>
    <w:rsid w:val="003C4265"/>
    <w:rsid w:val="003C4D5E"/>
    <w:rsid w:val="003C5C4F"/>
    <w:rsid w:val="003C64F4"/>
    <w:rsid w:val="003C74E9"/>
    <w:rsid w:val="003C7E44"/>
    <w:rsid w:val="003D0C0B"/>
    <w:rsid w:val="003D0DBA"/>
    <w:rsid w:val="003D173A"/>
    <w:rsid w:val="003D1EFA"/>
    <w:rsid w:val="003D1F85"/>
    <w:rsid w:val="003D212E"/>
    <w:rsid w:val="003D2762"/>
    <w:rsid w:val="003D32C6"/>
    <w:rsid w:val="003D34AE"/>
    <w:rsid w:val="003D3B87"/>
    <w:rsid w:val="003D5B36"/>
    <w:rsid w:val="003D61AA"/>
    <w:rsid w:val="003D751A"/>
    <w:rsid w:val="003E0F6D"/>
    <w:rsid w:val="003E1056"/>
    <w:rsid w:val="003E115D"/>
    <w:rsid w:val="003E117E"/>
    <w:rsid w:val="003E11F0"/>
    <w:rsid w:val="003E14DD"/>
    <w:rsid w:val="003E253E"/>
    <w:rsid w:val="003E39FE"/>
    <w:rsid w:val="003E3B1D"/>
    <w:rsid w:val="003E402F"/>
    <w:rsid w:val="003E51E8"/>
    <w:rsid w:val="003E5258"/>
    <w:rsid w:val="003E547C"/>
    <w:rsid w:val="003E55F6"/>
    <w:rsid w:val="003E5B3F"/>
    <w:rsid w:val="003E69BF"/>
    <w:rsid w:val="003E758D"/>
    <w:rsid w:val="003F062B"/>
    <w:rsid w:val="003F08B7"/>
    <w:rsid w:val="003F0B81"/>
    <w:rsid w:val="003F1663"/>
    <w:rsid w:val="003F1954"/>
    <w:rsid w:val="003F22FF"/>
    <w:rsid w:val="003F2349"/>
    <w:rsid w:val="003F316E"/>
    <w:rsid w:val="003F36D9"/>
    <w:rsid w:val="003F5247"/>
    <w:rsid w:val="003F5844"/>
    <w:rsid w:val="003F5C6E"/>
    <w:rsid w:val="003F5C7A"/>
    <w:rsid w:val="0040036D"/>
    <w:rsid w:val="00400B49"/>
    <w:rsid w:val="0040185F"/>
    <w:rsid w:val="00402E3C"/>
    <w:rsid w:val="00404329"/>
    <w:rsid w:val="004043B3"/>
    <w:rsid w:val="00404DE1"/>
    <w:rsid w:val="00405686"/>
    <w:rsid w:val="00406415"/>
    <w:rsid w:val="00406C44"/>
    <w:rsid w:val="00407283"/>
    <w:rsid w:val="00407C4A"/>
    <w:rsid w:val="004100DB"/>
    <w:rsid w:val="00410103"/>
    <w:rsid w:val="004101C8"/>
    <w:rsid w:val="00410B19"/>
    <w:rsid w:val="0041117C"/>
    <w:rsid w:val="004113F5"/>
    <w:rsid w:val="00411CDC"/>
    <w:rsid w:val="00412301"/>
    <w:rsid w:val="00412C58"/>
    <w:rsid w:val="00413B7D"/>
    <w:rsid w:val="00413BB0"/>
    <w:rsid w:val="00413CAA"/>
    <w:rsid w:val="00413F09"/>
    <w:rsid w:val="0041451C"/>
    <w:rsid w:val="00414685"/>
    <w:rsid w:val="0041683D"/>
    <w:rsid w:val="00420D8B"/>
    <w:rsid w:val="00421FD4"/>
    <w:rsid w:val="004222D1"/>
    <w:rsid w:val="00422C83"/>
    <w:rsid w:val="00422D05"/>
    <w:rsid w:val="00423978"/>
    <w:rsid w:val="0042431B"/>
    <w:rsid w:val="00430448"/>
    <w:rsid w:val="00430CC0"/>
    <w:rsid w:val="00431392"/>
    <w:rsid w:val="00431FF8"/>
    <w:rsid w:val="0043451D"/>
    <w:rsid w:val="004356D6"/>
    <w:rsid w:val="004366E5"/>
    <w:rsid w:val="00436774"/>
    <w:rsid w:val="00437202"/>
    <w:rsid w:val="0044196C"/>
    <w:rsid w:val="00441BA6"/>
    <w:rsid w:val="004428FB"/>
    <w:rsid w:val="00443A27"/>
    <w:rsid w:val="00446A37"/>
    <w:rsid w:val="00450EA4"/>
    <w:rsid w:val="00452827"/>
    <w:rsid w:val="00453E56"/>
    <w:rsid w:val="00454798"/>
    <w:rsid w:val="0045564B"/>
    <w:rsid w:val="004561BF"/>
    <w:rsid w:val="00456590"/>
    <w:rsid w:val="00457EBD"/>
    <w:rsid w:val="00457EDC"/>
    <w:rsid w:val="00460D1E"/>
    <w:rsid w:val="00461713"/>
    <w:rsid w:val="0046241B"/>
    <w:rsid w:val="004638CE"/>
    <w:rsid w:val="004640F4"/>
    <w:rsid w:val="004656B6"/>
    <w:rsid w:val="00467CF3"/>
    <w:rsid w:val="00470790"/>
    <w:rsid w:val="00471AFB"/>
    <w:rsid w:val="00471F9D"/>
    <w:rsid w:val="00472A7C"/>
    <w:rsid w:val="004730B8"/>
    <w:rsid w:val="0047313A"/>
    <w:rsid w:val="004742B8"/>
    <w:rsid w:val="00474830"/>
    <w:rsid w:val="00476184"/>
    <w:rsid w:val="00476AF6"/>
    <w:rsid w:val="004804D7"/>
    <w:rsid w:val="00483356"/>
    <w:rsid w:val="004846CA"/>
    <w:rsid w:val="00485565"/>
    <w:rsid w:val="0048582B"/>
    <w:rsid w:val="00485CEB"/>
    <w:rsid w:val="00486A7F"/>
    <w:rsid w:val="00490979"/>
    <w:rsid w:val="00491787"/>
    <w:rsid w:val="004919B9"/>
    <w:rsid w:val="00491C3C"/>
    <w:rsid w:val="00492B85"/>
    <w:rsid w:val="0049318F"/>
    <w:rsid w:val="00493BB6"/>
    <w:rsid w:val="004948E7"/>
    <w:rsid w:val="00494A5B"/>
    <w:rsid w:val="0049600A"/>
    <w:rsid w:val="00496E3D"/>
    <w:rsid w:val="00496ED7"/>
    <w:rsid w:val="004975A6"/>
    <w:rsid w:val="00497BEF"/>
    <w:rsid w:val="004A0A0F"/>
    <w:rsid w:val="004A2340"/>
    <w:rsid w:val="004A3590"/>
    <w:rsid w:val="004A3D3D"/>
    <w:rsid w:val="004A4068"/>
    <w:rsid w:val="004A429D"/>
    <w:rsid w:val="004A5266"/>
    <w:rsid w:val="004A55E8"/>
    <w:rsid w:val="004A5745"/>
    <w:rsid w:val="004A6F78"/>
    <w:rsid w:val="004A73DF"/>
    <w:rsid w:val="004A770B"/>
    <w:rsid w:val="004B01A6"/>
    <w:rsid w:val="004B04E9"/>
    <w:rsid w:val="004B21F5"/>
    <w:rsid w:val="004B2425"/>
    <w:rsid w:val="004B2773"/>
    <w:rsid w:val="004B2C08"/>
    <w:rsid w:val="004B3A2A"/>
    <w:rsid w:val="004B3E96"/>
    <w:rsid w:val="004B4D12"/>
    <w:rsid w:val="004B5A3F"/>
    <w:rsid w:val="004B5D4F"/>
    <w:rsid w:val="004B6442"/>
    <w:rsid w:val="004B680E"/>
    <w:rsid w:val="004B6992"/>
    <w:rsid w:val="004B6D07"/>
    <w:rsid w:val="004B73DC"/>
    <w:rsid w:val="004C01CE"/>
    <w:rsid w:val="004C0F1E"/>
    <w:rsid w:val="004C16B9"/>
    <w:rsid w:val="004C18DE"/>
    <w:rsid w:val="004C1F87"/>
    <w:rsid w:val="004C21C6"/>
    <w:rsid w:val="004C25EF"/>
    <w:rsid w:val="004C4BF7"/>
    <w:rsid w:val="004C4EC0"/>
    <w:rsid w:val="004C51F2"/>
    <w:rsid w:val="004C5747"/>
    <w:rsid w:val="004C6210"/>
    <w:rsid w:val="004C71AD"/>
    <w:rsid w:val="004D0669"/>
    <w:rsid w:val="004D0BDB"/>
    <w:rsid w:val="004D1061"/>
    <w:rsid w:val="004D24DC"/>
    <w:rsid w:val="004D2B19"/>
    <w:rsid w:val="004D467D"/>
    <w:rsid w:val="004D469E"/>
    <w:rsid w:val="004D4990"/>
    <w:rsid w:val="004D4DAB"/>
    <w:rsid w:val="004D4DAD"/>
    <w:rsid w:val="004D6C19"/>
    <w:rsid w:val="004D6D4A"/>
    <w:rsid w:val="004E10E7"/>
    <w:rsid w:val="004E1B3E"/>
    <w:rsid w:val="004E24A7"/>
    <w:rsid w:val="004E2BA7"/>
    <w:rsid w:val="004E3171"/>
    <w:rsid w:val="004E3587"/>
    <w:rsid w:val="004E3797"/>
    <w:rsid w:val="004E3CF7"/>
    <w:rsid w:val="004E4D59"/>
    <w:rsid w:val="004E5906"/>
    <w:rsid w:val="004E6C85"/>
    <w:rsid w:val="004E78DA"/>
    <w:rsid w:val="004F0AA1"/>
    <w:rsid w:val="004F0C87"/>
    <w:rsid w:val="004F0F88"/>
    <w:rsid w:val="004F397C"/>
    <w:rsid w:val="004F3DDC"/>
    <w:rsid w:val="004F3EE5"/>
    <w:rsid w:val="004F46AF"/>
    <w:rsid w:val="004F47BB"/>
    <w:rsid w:val="004F4B12"/>
    <w:rsid w:val="004F4B44"/>
    <w:rsid w:val="004F5C51"/>
    <w:rsid w:val="004F6005"/>
    <w:rsid w:val="004F66A6"/>
    <w:rsid w:val="004F7430"/>
    <w:rsid w:val="005003BB"/>
    <w:rsid w:val="00500D76"/>
    <w:rsid w:val="00500FF3"/>
    <w:rsid w:val="005013AA"/>
    <w:rsid w:val="00501E92"/>
    <w:rsid w:val="0050287A"/>
    <w:rsid w:val="00502A3D"/>
    <w:rsid w:val="00502B78"/>
    <w:rsid w:val="0050336A"/>
    <w:rsid w:val="00503AE3"/>
    <w:rsid w:val="00503C4B"/>
    <w:rsid w:val="0050484C"/>
    <w:rsid w:val="005057EC"/>
    <w:rsid w:val="00506BEF"/>
    <w:rsid w:val="00506D0F"/>
    <w:rsid w:val="00506FDE"/>
    <w:rsid w:val="00507C2D"/>
    <w:rsid w:val="005109CD"/>
    <w:rsid w:val="00513C43"/>
    <w:rsid w:val="00514539"/>
    <w:rsid w:val="00514960"/>
    <w:rsid w:val="00514CFE"/>
    <w:rsid w:val="00514F0B"/>
    <w:rsid w:val="00514FFB"/>
    <w:rsid w:val="0051553F"/>
    <w:rsid w:val="00516D71"/>
    <w:rsid w:val="0051724F"/>
    <w:rsid w:val="0051733A"/>
    <w:rsid w:val="0052093F"/>
    <w:rsid w:val="00521223"/>
    <w:rsid w:val="005216E0"/>
    <w:rsid w:val="0052274D"/>
    <w:rsid w:val="00522757"/>
    <w:rsid w:val="00522936"/>
    <w:rsid w:val="00523483"/>
    <w:rsid w:val="00524F19"/>
    <w:rsid w:val="0052590E"/>
    <w:rsid w:val="00525E26"/>
    <w:rsid w:val="00526382"/>
    <w:rsid w:val="00527B15"/>
    <w:rsid w:val="00532DDC"/>
    <w:rsid w:val="00533EAF"/>
    <w:rsid w:val="00534609"/>
    <w:rsid w:val="0053541A"/>
    <w:rsid w:val="005354DE"/>
    <w:rsid w:val="00535875"/>
    <w:rsid w:val="00535913"/>
    <w:rsid w:val="00535F16"/>
    <w:rsid w:val="005376F4"/>
    <w:rsid w:val="00537CAD"/>
    <w:rsid w:val="00540067"/>
    <w:rsid w:val="005407D2"/>
    <w:rsid w:val="00540C8E"/>
    <w:rsid w:val="00542144"/>
    <w:rsid w:val="005428EF"/>
    <w:rsid w:val="00544311"/>
    <w:rsid w:val="00544BA3"/>
    <w:rsid w:val="005459F5"/>
    <w:rsid w:val="0054639C"/>
    <w:rsid w:val="0055055F"/>
    <w:rsid w:val="00550C88"/>
    <w:rsid w:val="0055429F"/>
    <w:rsid w:val="0055504D"/>
    <w:rsid w:val="00555362"/>
    <w:rsid w:val="005562A8"/>
    <w:rsid w:val="005572BA"/>
    <w:rsid w:val="00557595"/>
    <w:rsid w:val="00557E0E"/>
    <w:rsid w:val="00560148"/>
    <w:rsid w:val="005605D0"/>
    <w:rsid w:val="005605E1"/>
    <w:rsid w:val="00560B6E"/>
    <w:rsid w:val="005610D5"/>
    <w:rsid w:val="00561E69"/>
    <w:rsid w:val="00563C15"/>
    <w:rsid w:val="00564428"/>
    <w:rsid w:val="00564607"/>
    <w:rsid w:val="00565098"/>
    <w:rsid w:val="005651CA"/>
    <w:rsid w:val="005654DE"/>
    <w:rsid w:val="00565BC5"/>
    <w:rsid w:val="00566125"/>
    <w:rsid w:val="005662F1"/>
    <w:rsid w:val="00567B2B"/>
    <w:rsid w:val="00570710"/>
    <w:rsid w:val="005721AD"/>
    <w:rsid w:val="00573562"/>
    <w:rsid w:val="00573DA8"/>
    <w:rsid w:val="00573F6E"/>
    <w:rsid w:val="00575653"/>
    <w:rsid w:val="00576083"/>
    <w:rsid w:val="005760BA"/>
    <w:rsid w:val="00576903"/>
    <w:rsid w:val="00577FDA"/>
    <w:rsid w:val="00580FBA"/>
    <w:rsid w:val="00581369"/>
    <w:rsid w:val="00581AA7"/>
    <w:rsid w:val="0058401E"/>
    <w:rsid w:val="00585869"/>
    <w:rsid w:val="0058634C"/>
    <w:rsid w:val="00586431"/>
    <w:rsid w:val="005877C6"/>
    <w:rsid w:val="00587ADD"/>
    <w:rsid w:val="00590663"/>
    <w:rsid w:val="00590728"/>
    <w:rsid w:val="005908FA"/>
    <w:rsid w:val="00590BBB"/>
    <w:rsid w:val="00592D03"/>
    <w:rsid w:val="005957CA"/>
    <w:rsid w:val="00595887"/>
    <w:rsid w:val="00595997"/>
    <w:rsid w:val="00595CE5"/>
    <w:rsid w:val="005963E8"/>
    <w:rsid w:val="005A070E"/>
    <w:rsid w:val="005A10FE"/>
    <w:rsid w:val="005A2337"/>
    <w:rsid w:val="005A257D"/>
    <w:rsid w:val="005A335D"/>
    <w:rsid w:val="005A37F9"/>
    <w:rsid w:val="005A3DCE"/>
    <w:rsid w:val="005A42BE"/>
    <w:rsid w:val="005A4B04"/>
    <w:rsid w:val="005A536B"/>
    <w:rsid w:val="005A5EE4"/>
    <w:rsid w:val="005A7022"/>
    <w:rsid w:val="005A7DF6"/>
    <w:rsid w:val="005B07DF"/>
    <w:rsid w:val="005B1158"/>
    <w:rsid w:val="005B1F61"/>
    <w:rsid w:val="005B23D6"/>
    <w:rsid w:val="005B2862"/>
    <w:rsid w:val="005B40FA"/>
    <w:rsid w:val="005B4CBB"/>
    <w:rsid w:val="005B5953"/>
    <w:rsid w:val="005B7149"/>
    <w:rsid w:val="005B74F5"/>
    <w:rsid w:val="005C025B"/>
    <w:rsid w:val="005C0A65"/>
    <w:rsid w:val="005C0CD0"/>
    <w:rsid w:val="005C106B"/>
    <w:rsid w:val="005C17D3"/>
    <w:rsid w:val="005C18BC"/>
    <w:rsid w:val="005C1A5A"/>
    <w:rsid w:val="005C2C1F"/>
    <w:rsid w:val="005C2C9C"/>
    <w:rsid w:val="005C335B"/>
    <w:rsid w:val="005C3B7C"/>
    <w:rsid w:val="005C3EC1"/>
    <w:rsid w:val="005C46AF"/>
    <w:rsid w:val="005C4733"/>
    <w:rsid w:val="005C5B51"/>
    <w:rsid w:val="005C6746"/>
    <w:rsid w:val="005C7198"/>
    <w:rsid w:val="005C720B"/>
    <w:rsid w:val="005C7ED4"/>
    <w:rsid w:val="005D0EA2"/>
    <w:rsid w:val="005D110F"/>
    <w:rsid w:val="005D1B2B"/>
    <w:rsid w:val="005D1EA7"/>
    <w:rsid w:val="005D1ED5"/>
    <w:rsid w:val="005D2A55"/>
    <w:rsid w:val="005D3909"/>
    <w:rsid w:val="005D39AA"/>
    <w:rsid w:val="005D42D5"/>
    <w:rsid w:val="005D46B7"/>
    <w:rsid w:val="005D5029"/>
    <w:rsid w:val="005D52DB"/>
    <w:rsid w:val="005D6A0F"/>
    <w:rsid w:val="005D7A0B"/>
    <w:rsid w:val="005D7BA3"/>
    <w:rsid w:val="005D7BB9"/>
    <w:rsid w:val="005D7E1F"/>
    <w:rsid w:val="005E0E67"/>
    <w:rsid w:val="005E0FCC"/>
    <w:rsid w:val="005E1758"/>
    <w:rsid w:val="005E1BC3"/>
    <w:rsid w:val="005E21DA"/>
    <w:rsid w:val="005E2298"/>
    <w:rsid w:val="005E26FB"/>
    <w:rsid w:val="005E2BAC"/>
    <w:rsid w:val="005E3D97"/>
    <w:rsid w:val="005E4F99"/>
    <w:rsid w:val="005E666F"/>
    <w:rsid w:val="005E6BB0"/>
    <w:rsid w:val="005E6DC9"/>
    <w:rsid w:val="005E7D16"/>
    <w:rsid w:val="005F0382"/>
    <w:rsid w:val="005F069A"/>
    <w:rsid w:val="005F0E2F"/>
    <w:rsid w:val="005F20F9"/>
    <w:rsid w:val="005F3274"/>
    <w:rsid w:val="005F39A7"/>
    <w:rsid w:val="005F3EC6"/>
    <w:rsid w:val="005F5D8F"/>
    <w:rsid w:val="005F6528"/>
    <w:rsid w:val="0060078A"/>
    <w:rsid w:val="00600A2B"/>
    <w:rsid w:val="006016E0"/>
    <w:rsid w:val="00602E50"/>
    <w:rsid w:val="00603B49"/>
    <w:rsid w:val="0060407B"/>
    <w:rsid w:val="00606BE3"/>
    <w:rsid w:val="006072FD"/>
    <w:rsid w:val="006073D7"/>
    <w:rsid w:val="0060794F"/>
    <w:rsid w:val="00610158"/>
    <w:rsid w:val="00610A2B"/>
    <w:rsid w:val="00610B51"/>
    <w:rsid w:val="0061182A"/>
    <w:rsid w:val="006118F1"/>
    <w:rsid w:val="00612FEB"/>
    <w:rsid w:val="00614122"/>
    <w:rsid w:val="006164F5"/>
    <w:rsid w:val="0061676D"/>
    <w:rsid w:val="006171AE"/>
    <w:rsid w:val="00617978"/>
    <w:rsid w:val="00620520"/>
    <w:rsid w:val="00620CA9"/>
    <w:rsid w:val="0062136C"/>
    <w:rsid w:val="006214F3"/>
    <w:rsid w:val="00623D24"/>
    <w:rsid w:val="00623F52"/>
    <w:rsid w:val="00624B78"/>
    <w:rsid w:val="00625A4E"/>
    <w:rsid w:val="00625AE5"/>
    <w:rsid w:val="00626A29"/>
    <w:rsid w:val="00627B42"/>
    <w:rsid w:val="00627FE9"/>
    <w:rsid w:val="00630276"/>
    <w:rsid w:val="006306AF"/>
    <w:rsid w:val="006315DA"/>
    <w:rsid w:val="00631A1A"/>
    <w:rsid w:val="006327AC"/>
    <w:rsid w:val="00632B92"/>
    <w:rsid w:val="0063339C"/>
    <w:rsid w:val="0063367E"/>
    <w:rsid w:val="00635CDD"/>
    <w:rsid w:val="0064053A"/>
    <w:rsid w:val="00640A85"/>
    <w:rsid w:val="0064151E"/>
    <w:rsid w:val="00641738"/>
    <w:rsid w:val="00641C9B"/>
    <w:rsid w:val="006420B3"/>
    <w:rsid w:val="00642456"/>
    <w:rsid w:val="006439B4"/>
    <w:rsid w:val="00643A40"/>
    <w:rsid w:val="0064410F"/>
    <w:rsid w:val="006448B8"/>
    <w:rsid w:val="006448E5"/>
    <w:rsid w:val="00644A9A"/>
    <w:rsid w:val="00644AF8"/>
    <w:rsid w:val="00644E04"/>
    <w:rsid w:val="00645AB2"/>
    <w:rsid w:val="00650D93"/>
    <w:rsid w:val="00650F1F"/>
    <w:rsid w:val="00652112"/>
    <w:rsid w:val="00652140"/>
    <w:rsid w:val="00652F18"/>
    <w:rsid w:val="0065305D"/>
    <w:rsid w:val="00653D44"/>
    <w:rsid w:val="006551AC"/>
    <w:rsid w:val="0065545F"/>
    <w:rsid w:val="0065596A"/>
    <w:rsid w:val="00656517"/>
    <w:rsid w:val="00656A5E"/>
    <w:rsid w:val="00657CE6"/>
    <w:rsid w:val="00660470"/>
    <w:rsid w:val="00660B9C"/>
    <w:rsid w:val="006612F3"/>
    <w:rsid w:val="00661405"/>
    <w:rsid w:val="00662112"/>
    <w:rsid w:val="00662541"/>
    <w:rsid w:val="0066309B"/>
    <w:rsid w:val="00663387"/>
    <w:rsid w:val="00663795"/>
    <w:rsid w:val="00663D9C"/>
    <w:rsid w:val="00664ADC"/>
    <w:rsid w:val="00665BE4"/>
    <w:rsid w:val="00665F43"/>
    <w:rsid w:val="0066631F"/>
    <w:rsid w:val="00666AD8"/>
    <w:rsid w:val="00667D96"/>
    <w:rsid w:val="00670544"/>
    <w:rsid w:val="0067071D"/>
    <w:rsid w:val="00671CE0"/>
    <w:rsid w:val="00671D9B"/>
    <w:rsid w:val="00672D26"/>
    <w:rsid w:val="006730FC"/>
    <w:rsid w:val="00673621"/>
    <w:rsid w:val="006737EA"/>
    <w:rsid w:val="00674F5B"/>
    <w:rsid w:val="00675FA7"/>
    <w:rsid w:val="006775A8"/>
    <w:rsid w:val="006777DC"/>
    <w:rsid w:val="0068032A"/>
    <w:rsid w:val="00681A95"/>
    <w:rsid w:val="00681BC8"/>
    <w:rsid w:val="00681C76"/>
    <w:rsid w:val="00681F32"/>
    <w:rsid w:val="0068213C"/>
    <w:rsid w:val="00682E0B"/>
    <w:rsid w:val="006836FF"/>
    <w:rsid w:val="00683EF2"/>
    <w:rsid w:val="00684463"/>
    <w:rsid w:val="00684B84"/>
    <w:rsid w:val="00685114"/>
    <w:rsid w:val="00685D36"/>
    <w:rsid w:val="00686952"/>
    <w:rsid w:val="00686D5F"/>
    <w:rsid w:val="00686EA0"/>
    <w:rsid w:val="0069050F"/>
    <w:rsid w:val="006911F0"/>
    <w:rsid w:val="006920F0"/>
    <w:rsid w:val="0069282C"/>
    <w:rsid w:val="00692F18"/>
    <w:rsid w:val="00693DBB"/>
    <w:rsid w:val="00694233"/>
    <w:rsid w:val="00695121"/>
    <w:rsid w:val="006959B6"/>
    <w:rsid w:val="00696247"/>
    <w:rsid w:val="00696603"/>
    <w:rsid w:val="006A0BCC"/>
    <w:rsid w:val="006A0E6A"/>
    <w:rsid w:val="006A1143"/>
    <w:rsid w:val="006A4EEC"/>
    <w:rsid w:val="006A68CA"/>
    <w:rsid w:val="006A74A2"/>
    <w:rsid w:val="006B00E2"/>
    <w:rsid w:val="006B0C51"/>
    <w:rsid w:val="006B14A5"/>
    <w:rsid w:val="006B1C2B"/>
    <w:rsid w:val="006B3A53"/>
    <w:rsid w:val="006B3C8B"/>
    <w:rsid w:val="006B4941"/>
    <w:rsid w:val="006B5D5E"/>
    <w:rsid w:val="006B61D7"/>
    <w:rsid w:val="006B64A2"/>
    <w:rsid w:val="006B6649"/>
    <w:rsid w:val="006B665B"/>
    <w:rsid w:val="006B6729"/>
    <w:rsid w:val="006B6EED"/>
    <w:rsid w:val="006B7A46"/>
    <w:rsid w:val="006C08E2"/>
    <w:rsid w:val="006C10A0"/>
    <w:rsid w:val="006C161D"/>
    <w:rsid w:val="006C17A7"/>
    <w:rsid w:val="006C1CF8"/>
    <w:rsid w:val="006C21A6"/>
    <w:rsid w:val="006C26D6"/>
    <w:rsid w:val="006C3841"/>
    <w:rsid w:val="006C3A6B"/>
    <w:rsid w:val="006C5513"/>
    <w:rsid w:val="006C7D04"/>
    <w:rsid w:val="006C7D39"/>
    <w:rsid w:val="006C7D5B"/>
    <w:rsid w:val="006C7DAA"/>
    <w:rsid w:val="006D0176"/>
    <w:rsid w:val="006D02C9"/>
    <w:rsid w:val="006D0B89"/>
    <w:rsid w:val="006D0E69"/>
    <w:rsid w:val="006D2046"/>
    <w:rsid w:val="006D241C"/>
    <w:rsid w:val="006D250E"/>
    <w:rsid w:val="006D2B9D"/>
    <w:rsid w:val="006D35D1"/>
    <w:rsid w:val="006D3E65"/>
    <w:rsid w:val="006E0B41"/>
    <w:rsid w:val="006E27A2"/>
    <w:rsid w:val="006E2ADA"/>
    <w:rsid w:val="006E3254"/>
    <w:rsid w:val="006E32A1"/>
    <w:rsid w:val="006E3AB3"/>
    <w:rsid w:val="006E5392"/>
    <w:rsid w:val="006E53EF"/>
    <w:rsid w:val="006E56B8"/>
    <w:rsid w:val="006E56DC"/>
    <w:rsid w:val="006E6627"/>
    <w:rsid w:val="006E69ED"/>
    <w:rsid w:val="006E7B89"/>
    <w:rsid w:val="006F079B"/>
    <w:rsid w:val="006F08CF"/>
    <w:rsid w:val="006F290C"/>
    <w:rsid w:val="006F2B50"/>
    <w:rsid w:val="006F33D0"/>
    <w:rsid w:val="006F3AE1"/>
    <w:rsid w:val="006F3C70"/>
    <w:rsid w:val="006F404A"/>
    <w:rsid w:val="006F42B2"/>
    <w:rsid w:val="006F4475"/>
    <w:rsid w:val="006F4FF9"/>
    <w:rsid w:val="006F5548"/>
    <w:rsid w:val="006F5C56"/>
    <w:rsid w:val="006F6B55"/>
    <w:rsid w:val="006F7F26"/>
    <w:rsid w:val="007007B9"/>
    <w:rsid w:val="00702E5C"/>
    <w:rsid w:val="00702ED5"/>
    <w:rsid w:val="00703281"/>
    <w:rsid w:val="00703405"/>
    <w:rsid w:val="00703D73"/>
    <w:rsid w:val="007056EE"/>
    <w:rsid w:val="007062DA"/>
    <w:rsid w:val="007066E3"/>
    <w:rsid w:val="0070783F"/>
    <w:rsid w:val="00707D2A"/>
    <w:rsid w:val="0071057F"/>
    <w:rsid w:val="007139DC"/>
    <w:rsid w:val="00713AF7"/>
    <w:rsid w:val="00713CA4"/>
    <w:rsid w:val="0071490C"/>
    <w:rsid w:val="00714946"/>
    <w:rsid w:val="00714E16"/>
    <w:rsid w:val="0071662E"/>
    <w:rsid w:val="00721303"/>
    <w:rsid w:val="00721CFD"/>
    <w:rsid w:val="007228DA"/>
    <w:rsid w:val="00722A7B"/>
    <w:rsid w:val="00722B3A"/>
    <w:rsid w:val="00723588"/>
    <w:rsid w:val="007235F2"/>
    <w:rsid w:val="0072463E"/>
    <w:rsid w:val="0072495F"/>
    <w:rsid w:val="00724AC7"/>
    <w:rsid w:val="00724E87"/>
    <w:rsid w:val="00724EBB"/>
    <w:rsid w:val="00725836"/>
    <w:rsid w:val="00727FAB"/>
    <w:rsid w:val="007303DF"/>
    <w:rsid w:val="00734267"/>
    <w:rsid w:val="00735480"/>
    <w:rsid w:val="00735BA6"/>
    <w:rsid w:val="00736010"/>
    <w:rsid w:val="00736F18"/>
    <w:rsid w:val="007372A9"/>
    <w:rsid w:val="00737309"/>
    <w:rsid w:val="007401D7"/>
    <w:rsid w:val="007402BB"/>
    <w:rsid w:val="00741364"/>
    <w:rsid w:val="007424DB"/>
    <w:rsid w:val="00742E36"/>
    <w:rsid w:val="00743E56"/>
    <w:rsid w:val="00744AB8"/>
    <w:rsid w:val="00744EC5"/>
    <w:rsid w:val="00746228"/>
    <w:rsid w:val="00746F07"/>
    <w:rsid w:val="007508FD"/>
    <w:rsid w:val="0075150C"/>
    <w:rsid w:val="00751C55"/>
    <w:rsid w:val="00751CA2"/>
    <w:rsid w:val="0075233F"/>
    <w:rsid w:val="00752AAF"/>
    <w:rsid w:val="00752AD2"/>
    <w:rsid w:val="00752C59"/>
    <w:rsid w:val="00752FDD"/>
    <w:rsid w:val="00753301"/>
    <w:rsid w:val="00754C5A"/>
    <w:rsid w:val="0075639F"/>
    <w:rsid w:val="0075776A"/>
    <w:rsid w:val="00757C45"/>
    <w:rsid w:val="007619D7"/>
    <w:rsid w:val="007625A9"/>
    <w:rsid w:val="0076396E"/>
    <w:rsid w:val="00763B0C"/>
    <w:rsid w:val="00763E70"/>
    <w:rsid w:val="00763ED9"/>
    <w:rsid w:val="0076413B"/>
    <w:rsid w:val="0076469D"/>
    <w:rsid w:val="0076492D"/>
    <w:rsid w:val="0076498B"/>
    <w:rsid w:val="00764A4C"/>
    <w:rsid w:val="00764ED7"/>
    <w:rsid w:val="007668F7"/>
    <w:rsid w:val="00766B02"/>
    <w:rsid w:val="00770489"/>
    <w:rsid w:val="00770BB7"/>
    <w:rsid w:val="00771AA8"/>
    <w:rsid w:val="00772BE7"/>
    <w:rsid w:val="00773089"/>
    <w:rsid w:val="00773D5D"/>
    <w:rsid w:val="00775434"/>
    <w:rsid w:val="00775DD4"/>
    <w:rsid w:val="00776206"/>
    <w:rsid w:val="00776BCB"/>
    <w:rsid w:val="0078164B"/>
    <w:rsid w:val="0078199C"/>
    <w:rsid w:val="00781CFA"/>
    <w:rsid w:val="00782A02"/>
    <w:rsid w:val="00784435"/>
    <w:rsid w:val="00786376"/>
    <w:rsid w:val="007863D3"/>
    <w:rsid w:val="00786410"/>
    <w:rsid w:val="007869A8"/>
    <w:rsid w:val="00787571"/>
    <w:rsid w:val="00787CBF"/>
    <w:rsid w:val="00790A6F"/>
    <w:rsid w:val="007921C6"/>
    <w:rsid w:val="00792243"/>
    <w:rsid w:val="00795AE3"/>
    <w:rsid w:val="007966F1"/>
    <w:rsid w:val="00796843"/>
    <w:rsid w:val="00796A0D"/>
    <w:rsid w:val="00797A5E"/>
    <w:rsid w:val="00797B44"/>
    <w:rsid w:val="007A05ED"/>
    <w:rsid w:val="007A091C"/>
    <w:rsid w:val="007A3872"/>
    <w:rsid w:val="007A457B"/>
    <w:rsid w:val="007A514E"/>
    <w:rsid w:val="007A53F2"/>
    <w:rsid w:val="007A5A73"/>
    <w:rsid w:val="007A5E21"/>
    <w:rsid w:val="007A61D3"/>
    <w:rsid w:val="007A7ECA"/>
    <w:rsid w:val="007B03AD"/>
    <w:rsid w:val="007B1A96"/>
    <w:rsid w:val="007B278C"/>
    <w:rsid w:val="007B2945"/>
    <w:rsid w:val="007B30B7"/>
    <w:rsid w:val="007B49A8"/>
    <w:rsid w:val="007B709C"/>
    <w:rsid w:val="007B778B"/>
    <w:rsid w:val="007C0192"/>
    <w:rsid w:val="007C0E6A"/>
    <w:rsid w:val="007C15D8"/>
    <w:rsid w:val="007C2E58"/>
    <w:rsid w:val="007C36A6"/>
    <w:rsid w:val="007C3783"/>
    <w:rsid w:val="007C3A31"/>
    <w:rsid w:val="007C3E7B"/>
    <w:rsid w:val="007C3ED5"/>
    <w:rsid w:val="007C3F5F"/>
    <w:rsid w:val="007C46CC"/>
    <w:rsid w:val="007C5332"/>
    <w:rsid w:val="007C65D2"/>
    <w:rsid w:val="007C7B8C"/>
    <w:rsid w:val="007D0792"/>
    <w:rsid w:val="007D0849"/>
    <w:rsid w:val="007D285A"/>
    <w:rsid w:val="007D3458"/>
    <w:rsid w:val="007D4C92"/>
    <w:rsid w:val="007D500E"/>
    <w:rsid w:val="007D693C"/>
    <w:rsid w:val="007D7416"/>
    <w:rsid w:val="007E0648"/>
    <w:rsid w:val="007E0D1C"/>
    <w:rsid w:val="007E0D92"/>
    <w:rsid w:val="007E1AF1"/>
    <w:rsid w:val="007E2254"/>
    <w:rsid w:val="007E2943"/>
    <w:rsid w:val="007E3062"/>
    <w:rsid w:val="007E3AF3"/>
    <w:rsid w:val="007E4742"/>
    <w:rsid w:val="007E5013"/>
    <w:rsid w:val="007E6092"/>
    <w:rsid w:val="007E7C28"/>
    <w:rsid w:val="007E7D2F"/>
    <w:rsid w:val="007E7D9C"/>
    <w:rsid w:val="007F2CBA"/>
    <w:rsid w:val="007F34FF"/>
    <w:rsid w:val="007F546A"/>
    <w:rsid w:val="007F5794"/>
    <w:rsid w:val="007F593E"/>
    <w:rsid w:val="007F5CAF"/>
    <w:rsid w:val="007F6BFB"/>
    <w:rsid w:val="007F6F04"/>
    <w:rsid w:val="007F7C8F"/>
    <w:rsid w:val="00800330"/>
    <w:rsid w:val="008005F6"/>
    <w:rsid w:val="00802C53"/>
    <w:rsid w:val="00803012"/>
    <w:rsid w:val="00805CA2"/>
    <w:rsid w:val="008072D1"/>
    <w:rsid w:val="00812E30"/>
    <w:rsid w:val="008135CC"/>
    <w:rsid w:val="008143D4"/>
    <w:rsid w:val="00814AD8"/>
    <w:rsid w:val="00814B60"/>
    <w:rsid w:val="00814C9A"/>
    <w:rsid w:val="00814E83"/>
    <w:rsid w:val="00815249"/>
    <w:rsid w:val="008154B7"/>
    <w:rsid w:val="00815C19"/>
    <w:rsid w:val="008161BC"/>
    <w:rsid w:val="0082071B"/>
    <w:rsid w:val="00821145"/>
    <w:rsid w:val="008213E5"/>
    <w:rsid w:val="0082271A"/>
    <w:rsid w:val="0082283D"/>
    <w:rsid w:val="008238FC"/>
    <w:rsid w:val="008245C1"/>
    <w:rsid w:val="00825A3A"/>
    <w:rsid w:val="00825A68"/>
    <w:rsid w:val="0082693A"/>
    <w:rsid w:val="00826D97"/>
    <w:rsid w:val="00827BF5"/>
    <w:rsid w:val="00830950"/>
    <w:rsid w:val="00830E5C"/>
    <w:rsid w:val="008315AF"/>
    <w:rsid w:val="00831630"/>
    <w:rsid w:val="00832A8C"/>
    <w:rsid w:val="00833971"/>
    <w:rsid w:val="00833B90"/>
    <w:rsid w:val="00834358"/>
    <w:rsid w:val="00834F2E"/>
    <w:rsid w:val="00835206"/>
    <w:rsid w:val="0083549B"/>
    <w:rsid w:val="00835815"/>
    <w:rsid w:val="00835FA7"/>
    <w:rsid w:val="008365DE"/>
    <w:rsid w:val="00837C9D"/>
    <w:rsid w:val="00841734"/>
    <w:rsid w:val="00841DBE"/>
    <w:rsid w:val="008424BB"/>
    <w:rsid w:val="00842B3F"/>
    <w:rsid w:val="00844580"/>
    <w:rsid w:val="0084520E"/>
    <w:rsid w:val="008457D8"/>
    <w:rsid w:val="00845F19"/>
    <w:rsid w:val="00847268"/>
    <w:rsid w:val="00847E34"/>
    <w:rsid w:val="008509E0"/>
    <w:rsid w:val="00850BC5"/>
    <w:rsid w:val="00851E85"/>
    <w:rsid w:val="008535CC"/>
    <w:rsid w:val="008537BC"/>
    <w:rsid w:val="00854557"/>
    <w:rsid w:val="0085478C"/>
    <w:rsid w:val="00854F64"/>
    <w:rsid w:val="008551DA"/>
    <w:rsid w:val="0085590B"/>
    <w:rsid w:val="00855D41"/>
    <w:rsid w:val="00856849"/>
    <w:rsid w:val="0085685C"/>
    <w:rsid w:val="0085751A"/>
    <w:rsid w:val="00857668"/>
    <w:rsid w:val="008601A1"/>
    <w:rsid w:val="008606E1"/>
    <w:rsid w:val="00860A02"/>
    <w:rsid w:val="00861035"/>
    <w:rsid w:val="008610C3"/>
    <w:rsid w:val="0086376B"/>
    <w:rsid w:val="008637AC"/>
    <w:rsid w:val="00863F02"/>
    <w:rsid w:val="008640CA"/>
    <w:rsid w:val="00864E22"/>
    <w:rsid w:val="00864E3A"/>
    <w:rsid w:val="008657F9"/>
    <w:rsid w:val="008659D1"/>
    <w:rsid w:val="00865A22"/>
    <w:rsid w:val="00865ABE"/>
    <w:rsid w:val="0086650B"/>
    <w:rsid w:val="00867610"/>
    <w:rsid w:val="0087024F"/>
    <w:rsid w:val="008705E3"/>
    <w:rsid w:val="008712F8"/>
    <w:rsid w:val="008721F0"/>
    <w:rsid w:val="00872233"/>
    <w:rsid w:val="008723A1"/>
    <w:rsid w:val="008724FF"/>
    <w:rsid w:val="00874AD3"/>
    <w:rsid w:val="0087562A"/>
    <w:rsid w:val="00875BC7"/>
    <w:rsid w:val="0087651C"/>
    <w:rsid w:val="00877A76"/>
    <w:rsid w:val="00877C71"/>
    <w:rsid w:val="00881A0C"/>
    <w:rsid w:val="00881D27"/>
    <w:rsid w:val="0088259E"/>
    <w:rsid w:val="00882C07"/>
    <w:rsid w:val="0088303A"/>
    <w:rsid w:val="0088386A"/>
    <w:rsid w:val="00883F08"/>
    <w:rsid w:val="00884035"/>
    <w:rsid w:val="0088444C"/>
    <w:rsid w:val="0088507A"/>
    <w:rsid w:val="008857EC"/>
    <w:rsid w:val="00886070"/>
    <w:rsid w:val="00886A7A"/>
    <w:rsid w:val="00886E7D"/>
    <w:rsid w:val="00887A26"/>
    <w:rsid w:val="00887CC5"/>
    <w:rsid w:val="00887D0C"/>
    <w:rsid w:val="00887E1F"/>
    <w:rsid w:val="00887EEE"/>
    <w:rsid w:val="00890C02"/>
    <w:rsid w:val="00891826"/>
    <w:rsid w:val="0089223A"/>
    <w:rsid w:val="008923D4"/>
    <w:rsid w:val="00893E64"/>
    <w:rsid w:val="00895EAA"/>
    <w:rsid w:val="00896972"/>
    <w:rsid w:val="008A03E1"/>
    <w:rsid w:val="008A0E06"/>
    <w:rsid w:val="008A143E"/>
    <w:rsid w:val="008A229B"/>
    <w:rsid w:val="008A237E"/>
    <w:rsid w:val="008A2460"/>
    <w:rsid w:val="008A250C"/>
    <w:rsid w:val="008A2CBE"/>
    <w:rsid w:val="008A2CE3"/>
    <w:rsid w:val="008A336F"/>
    <w:rsid w:val="008A339F"/>
    <w:rsid w:val="008A3AE5"/>
    <w:rsid w:val="008A4AF0"/>
    <w:rsid w:val="008A4C7A"/>
    <w:rsid w:val="008A520D"/>
    <w:rsid w:val="008A5450"/>
    <w:rsid w:val="008A62DE"/>
    <w:rsid w:val="008A66F4"/>
    <w:rsid w:val="008A6C2F"/>
    <w:rsid w:val="008A6F1A"/>
    <w:rsid w:val="008A7884"/>
    <w:rsid w:val="008A7FA2"/>
    <w:rsid w:val="008B08AA"/>
    <w:rsid w:val="008B0CBF"/>
    <w:rsid w:val="008B11FB"/>
    <w:rsid w:val="008B14BB"/>
    <w:rsid w:val="008B2201"/>
    <w:rsid w:val="008B2263"/>
    <w:rsid w:val="008B2F19"/>
    <w:rsid w:val="008B38A0"/>
    <w:rsid w:val="008B4436"/>
    <w:rsid w:val="008B48E8"/>
    <w:rsid w:val="008B5097"/>
    <w:rsid w:val="008B5241"/>
    <w:rsid w:val="008B536B"/>
    <w:rsid w:val="008B54B4"/>
    <w:rsid w:val="008B54CD"/>
    <w:rsid w:val="008B5809"/>
    <w:rsid w:val="008B7140"/>
    <w:rsid w:val="008B7C73"/>
    <w:rsid w:val="008C054E"/>
    <w:rsid w:val="008C06DC"/>
    <w:rsid w:val="008C1453"/>
    <w:rsid w:val="008C5941"/>
    <w:rsid w:val="008C5E36"/>
    <w:rsid w:val="008C64F8"/>
    <w:rsid w:val="008C6DA6"/>
    <w:rsid w:val="008C7044"/>
    <w:rsid w:val="008C7BDB"/>
    <w:rsid w:val="008D224E"/>
    <w:rsid w:val="008D4508"/>
    <w:rsid w:val="008D5356"/>
    <w:rsid w:val="008D5FAF"/>
    <w:rsid w:val="008D68DB"/>
    <w:rsid w:val="008D7037"/>
    <w:rsid w:val="008D713C"/>
    <w:rsid w:val="008E0A6F"/>
    <w:rsid w:val="008E1EA5"/>
    <w:rsid w:val="008E1ED5"/>
    <w:rsid w:val="008E2125"/>
    <w:rsid w:val="008E22AC"/>
    <w:rsid w:val="008E2EE9"/>
    <w:rsid w:val="008E4465"/>
    <w:rsid w:val="008E4A2C"/>
    <w:rsid w:val="008E4C1C"/>
    <w:rsid w:val="008E5381"/>
    <w:rsid w:val="008E55BC"/>
    <w:rsid w:val="008E5BD9"/>
    <w:rsid w:val="008E653A"/>
    <w:rsid w:val="008E6CFB"/>
    <w:rsid w:val="008E6FB1"/>
    <w:rsid w:val="008E728E"/>
    <w:rsid w:val="008E77F6"/>
    <w:rsid w:val="008E7D03"/>
    <w:rsid w:val="008F0B64"/>
    <w:rsid w:val="008F154B"/>
    <w:rsid w:val="008F177C"/>
    <w:rsid w:val="008F43A3"/>
    <w:rsid w:val="008F4C1D"/>
    <w:rsid w:val="008F4E67"/>
    <w:rsid w:val="008F5821"/>
    <w:rsid w:val="008F5850"/>
    <w:rsid w:val="008F5E29"/>
    <w:rsid w:val="008F5EC0"/>
    <w:rsid w:val="008F7691"/>
    <w:rsid w:val="009015ED"/>
    <w:rsid w:val="0090271A"/>
    <w:rsid w:val="00902EB1"/>
    <w:rsid w:val="0090355F"/>
    <w:rsid w:val="00904155"/>
    <w:rsid w:val="00904920"/>
    <w:rsid w:val="00904A81"/>
    <w:rsid w:val="00904E80"/>
    <w:rsid w:val="00904EBD"/>
    <w:rsid w:val="00905D6A"/>
    <w:rsid w:val="00905FD4"/>
    <w:rsid w:val="00906078"/>
    <w:rsid w:val="0090623C"/>
    <w:rsid w:val="00906428"/>
    <w:rsid w:val="009072B7"/>
    <w:rsid w:val="009101A7"/>
    <w:rsid w:val="00911225"/>
    <w:rsid w:val="0091241D"/>
    <w:rsid w:val="009130F6"/>
    <w:rsid w:val="00913B0B"/>
    <w:rsid w:val="00913B0C"/>
    <w:rsid w:val="00913FC3"/>
    <w:rsid w:val="00914170"/>
    <w:rsid w:val="00916A3C"/>
    <w:rsid w:val="00916E61"/>
    <w:rsid w:val="00920A58"/>
    <w:rsid w:val="00921206"/>
    <w:rsid w:val="009212C9"/>
    <w:rsid w:val="00921444"/>
    <w:rsid w:val="0092202D"/>
    <w:rsid w:val="0092240D"/>
    <w:rsid w:val="00922691"/>
    <w:rsid w:val="009227B4"/>
    <w:rsid w:val="009231B5"/>
    <w:rsid w:val="00923580"/>
    <w:rsid w:val="00923F7A"/>
    <w:rsid w:val="00923FC0"/>
    <w:rsid w:val="0092582D"/>
    <w:rsid w:val="009266B9"/>
    <w:rsid w:val="00927D65"/>
    <w:rsid w:val="00931192"/>
    <w:rsid w:val="00931EAC"/>
    <w:rsid w:val="00932F88"/>
    <w:rsid w:val="0093346D"/>
    <w:rsid w:val="00934665"/>
    <w:rsid w:val="00934961"/>
    <w:rsid w:val="00935621"/>
    <w:rsid w:val="00935973"/>
    <w:rsid w:val="00935D76"/>
    <w:rsid w:val="00936AFB"/>
    <w:rsid w:val="00936F90"/>
    <w:rsid w:val="00937512"/>
    <w:rsid w:val="009378CE"/>
    <w:rsid w:val="00937E44"/>
    <w:rsid w:val="00940FD7"/>
    <w:rsid w:val="0094196D"/>
    <w:rsid w:val="0094253C"/>
    <w:rsid w:val="00943003"/>
    <w:rsid w:val="009435C7"/>
    <w:rsid w:val="00943AD3"/>
    <w:rsid w:val="00943D5E"/>
    <w:rsid w:val="00944942"/>
    <w:rsid w:val="00944C0A"/>
    <w:rsid w:val="00946108"/>
    <w:rsid w:val="0094BF79"/>
    <w:rsid w:val="00950B6B"/>
    <w:rsid w:val="00950EED"/>
    <w:rsid w:val="00951CE3"/>
    <w:rsid w:val="00953B68"/>
    <w:rsid w:val="009554E1"/>
    <w:rsid w:val="009569E0"/>
    <w:rsid w:val="0095722D"/>
    <w:rsid w:val="009579EC"/>
    <w:rsid w:val="009609ED"/>
    <w:rsid w:val="009619C6"/>
    <w:rsid w:val="009631B4"/>
    <w:rsid w:val="00963C00"/>
    <w:rsid w:val="009649D4"/>
    <w:rsid w:val="00966548"/>
    <w:rsid w:val="0096734E"/>
    <w:rsid w:val="00967A32"/>
    <w:rsid w:val="009704B9"/>
    <w:rsid w:val="009711CC"/>
    <w:rsid w:val="0097302E"/>
    <w:rsid w:val="00973AFB"/>
    <w:rsid w:val="00975C2B"/>
    <w:rsid w:val="00976437"/>
    <w:rsid w:val="00976EAB"/>
    <w:rsid w:val="00977251"/>
    <w:rsid w:val="009772FA"/>
    <w:rsid w:val="009776DD"/>
    <w:rsid w:val="009802EB"/>
    <w:rsid w:val="00980600"/>
    <w:rsid w:val="00980680"/>
    <w:rsid w:val="009810B3"/>
    <w:rsid w:val="0098132F"/>
    <w:rsid w:val="009819B0"/>
    <w:rsid w:val="00981C61"/>
    <w:rsid w:val="009827AD"/>
    <w:rsid w:val="0098345C"/>
    <w:rsid w:val="009835DB"/>
    <w:rsid w:val="00983ADF"/>
    <w:rsid w:val="009848D0"/>
    <w:rsid w:val="009850AB"/>
    <w:rsid w:val="0098632A"/>
    <w:rsid w:val="009905BB"/>
    <w:rsid w:val="00990A4E"/>
    <w:rsid w:val="00991402"/>
    <w:rsid w:val="00991D9D"/>
    <w:rsid w:val="00992777"/>
    <w:rsid w:val="00992AA0"/>
    <w:rsid w:val="00993530"/>
    <w:rsid w:val="00993A51"/>
    <w:rsid w:val="0099414D"/>
    <w:rsid w:val="009959F9"/>
    <w:rsid w:val="00995AA3"/>
    <w:rsid w:val="00995DA5"/>
    <w:rsid w:val="009970B8"/>
    <w:rsid w:val="00997A00"/>
    <w:rsid w:val="00997A1D"/>
    <w:rsid w:val="009A0AAC"/>
    <w:rsid w:val="009A1777"/>
    <w:rsid w:val="009A1A8A"/>
    <w:rsid w:val="009A1DA8"/>
    <w:rsid w:val="009A34F0"/>
    <w:rsid w:val="009A4134"/>
    <w:rsid w:val="009A459D"/>
    <w:rsid w:val="009A46F8"/>
    <w:rsid w:val="009A6075"/>
    <w:rsid w:val="009A6E21"/>
    <w:rsid w:val="009A7B37"/>
    <w:rsid w:val="009A7D62"/>
    <w:rsid w:val="009A7F0C"/>
    <w:rsid w:val="009B0D3E"/>
    <w:rsid w:val="009B0D51"/>
    <w:rsid w:val="009B0EF2"/>
    <w:rsid w:val="009B1744"/>
    <w:rsid w:val="009B435D"/>
    <w:rsid w:val="009B483B"/>
    <w:rsid w:val="009B4E1B"/>
    <w:rsid w:val="009B563F"/>
    <w:rsid w:val="009B5C50"/>
    <w:rsid w:val="009B5E73"/>
    <w:rsid w:val="009B65D4"/>
    <w:rsid w:val="009B6D4C"/>
    <w:rsid w:val="009C1A3D"/>
    <w:rsid w:val="009C23FB"/>
    <w:rsid w:val="009C3909"/>
    <w:rsid w:val="009C3C0A"/>
    <w:rsid w:val="009C48F2"/>
    <w:rsid w:val="009C57BF"/>
    <w:rsid w:val="009C5AB5"/>
    <w:rsid w:val="009C5F01"/>
    <w:rsid w:val="009C617C"/>
    <w:rsid w:val="009C6892"/>
    <w:rsid w:val="009C6F87"/>
    <w:rsid w:val="009C7EA4"/>
    <w:rsid w:val="009D07A2"/>
    <w:rsid w:val="009D287E"/>
    <w:rsid w:val="009D31EF"/>
    <w:rsid w:val="009D4B02"/>
    <w:rsid w:val="009D504E"/>
    <w:rsid w:val="009D6A19"/>
    <w:rsid w:val="009D72A1"/>
    <w:rsid w:val="009E02B8"/>
    <w:rsid w:val="009E0632"/>
    <w:rsid w:val="009E144A"/>
    <w:rsid w:val="009E249C"/>
    <w:rsid w:val="009E2631"/>
    <w:rsid w:val="009E3601"/>
    <w:rsid w:val="009E373C"/>
    <w:rsid w:val="009E3943"/>
    <w:rsid w:val="009E3B52"/>
    <w:rsid w:val="009E4C79"/>
    <w:rsid w:val="009E4E69"/>
    <w:rsid w:val="009E4E90"/>
    <w:rsid w:val="009E5BA4"/>
    <w:rsid w:val="009E6C39"/>
    <w:rsid w:val="009E7015"/>
    <w:rsid w:val="009F0A2C"/>
    <w:rsid w:val="009F1B31"/>
    <w:rsid w:val="009F2A17"/>
    <w:rsid w:val="009F398F"/>
    <w:rsid w:val="009F4C00"/>
    <w:rsid w:val="009F54F9"/>
    <w:rsid w:val="009F5943"/>
    <w:rsid w:val="00A00AA7"/>
    <w:rsid w:val="00A016AC"/>
    <w:rsid w:val="00A01EE9"/>
    <w:rsid w:val="00A0275E"/>
    <w:rsid w:val="00A0301D"/>
    <w:rsid w:val="00A0403E"/>
    <w:rsid w:val="00A04203"/>
    <w:rsid w:val="00A04459"/>
    <w:rsid w:val="00A04815"/>
    <w:rsid w:val="00A065CB"/>
    <w:rsid w:val="00A06D36"/>
    <w:rsid w:val="00A06E70"/>
    <w:rsid w:val="00A07297"/>
    <w:rsid w:val="00A074E1"/>
    <w:rsid w:val="00A07CE6"/>
    <w:rsid w:val="00A109C0"/>
    <w:rsid w:val="00A11146"/>
    <w:rsid w:val="00A11493"/>
    <w:rsid w:val="00A1157A"/>
    <w:rsid w:val="00A1180C"/>
    <w:rsid w:val="00A11D2E"/>
    <w:rsid w:val="00A12CD9"/>
    <w:rsid w:val="00A13BD8"/>
    <w:rsid w:val="00A14153"/>
    <w:rsid w:val="00A1781F"/>
    <w:rsid w:val="00A21387"/>
    <w:rsid w:val="00A21A7F"/>
    <w:rsid w:val="00A220FE"/>
    <w:rsid w:val="00A2285A"/>
    <w:rsid w:val="00A2384D"/>
    <w:rsid w:val="00A2442A"/>
    <w:rsid w:val="00A24989"/>
    <w:rsid w:val="00A24CCE"/>
    <w:rsid w:val="00A24D40"/>
    <w:rsid w:val="00A25B25"/>
    <w:rsid w:val="00A25B31"/>
    <w:rsid w:val="00A26346"/>
    <w:rsid w:val="00A26BB0"/>
    <w:rsid w:val="00A26EA0"/>
    <w:rsid w:val="00A2728F"/>
    <w:rsid w:val="00A311EF"/>
    <w:rsid w:val="00A3124D"/>
    <w:rsid w:val="00A3154E"/>
    <w:rsid w:val="00A31AA8"/>
    <w:rsid w:val="00A32A4A"/>
    <w:rsid w:val="00A32DFF"/>
    <w:rsid w:val="00A33DAC"/>
    <w:rsid w:val="00A3464F"/>
    <w:rsid w:val="00A358F3"/>
    <w:rsid w:val="00A35A06"/>
    <w:rsid w:val="00A35B1B"/>
    <w:rsid w:val="00A36119"/>
    <w:rsid w:val="00A364D5"/>
    <w:rsid w:val="00A36C23"/>
    <w:rsid w:val="00A36DC5"/>
    <w:rsid w:val="00A371FA"/>
    <w:rsid w:val="00A37426"/>
    <w:rsid w:val="00A413D5"/>
    <w:rsid w:val="00A41760"/>
    <w:rsid w:val="00A43235"/>
    <w:rsid w:val="00A43E9A"/>
    <w:rsid w:val="00A449CC"/>
    <w:rsid w:val="00A449E6"/>
    <w:rsid w:val="00A45728"/>
    <w:rsid w:val="00A45AE5"/>
    <w:rsid w:val="00A4705E"/>
    <w:rsid w:val="00A5022A"/>
    <w:rsid w:val="00A50CD0"/>
    <w:rsid w:val="00A5187B"/>
    <w:rsid w:val="00A5231C"/>
    <w:rsid w:val="00A542A5"/>
    <w:rsid w:val="00A55803"/>
    <w:rsid w:val="00A55D59"/>
    <w:rsid w:val="00A562C4"/>
    <w:rsid w:val="00A5687D"/>
    <w:rsid w:val="00A56F30"/>
    <w:rsid w:val="00A574DE"/>
    <w:rsid w:val="00A60103"/>
    <w:rsid w:val="00A61308"/>
    <w:rsid w:val="00A61687"/>
    <w:rsid w:val="00A61EA3"/>
    <w:rsid w:val="00A627D9"/>
    <w:rsid w:val="00A62C66"/>
    <w:rsid w:val="00A63A16"/>
    <w:rsid w:val="00A646CB"/>
    <w:rsid w:val="00A65244"/>
    <w:rsid w:val="00A65B89"/>
    <w:rsid w:val="00A70084"/>
    <w:rsid w:val="00A70CD0"/>
    <w:rsid w:val="00A71014"/>
    <w:rsid w:val="00A71490"/>
    <w:rsid w:val="00A71827"/>
    <w:rsid w:val="00A728F6"/>
    <w:rsid w:val="00A72D2C"/>
    <w:rsid w:val="00A73989"/>
    <w:rsid w:val="00A73A7F"/>
    <w:rsid w:val="00A776A4"/>
    <w:rsid w:val="00A809D6"/>
    <w:rsid w:val="00A80EFE"/>
    <w:rsid w:val="00A814DE"/>
    <w:rsid w:val="00A816B1"/>
    <w:rsid w:val="00A8328E"/>
    <w:rsid w:val="00A833F3"/>
    <w:rsid w:val="00A837E5"/>
    <w:rsid w:val="00A83C87"/>
    <w:rsid w:val="00A84BBE"/>
    <w:rsid w:val="00A86811"/>
    <w:rsid w:val="00A87669"/>
    <w:rsid w:val="00A879D4"/>
    <w:rsid w:val="00A901AD"/>
    <w:rsid w:val="00A9065E"/>
    <w:rsid w:val="00A91E35"/>
    <w:rsid w:val="00A931C6"/>
    <w:rsid w:val="00A94D2A"/>
    <w:rsid w:val="00A94ED2"/>
    <w:rsid w:val="00A95062"/>
    <w:rsid w:val="00A95192"/>
    <w:rsid w:val="00A96464"/>
    <w:rsid w:val="00A97777"/>
    <w:rsid w:val="00A978B8"/>
    <w:rsid w:val="00A97DBC"/>
    <w:rsid w:val="00AA24B3"/>
    <w:rsid w:val="00AA4C18"/>
    <w:rsid w:val="00AA52C5"/>
    <w:rsid w:val="00AA569A"/>
    <w:rsid w:val="00AA61DC"/>
    <w:rsid w:val="00AA642D"/>
    <w:rsid w:val="00AB05D8"/>
    <w:rsid w:val="00AB1A77"/>
    <w:rsid w:val="00AB21F1"/>
    <w:rsid w:val="00AB287F"/>
    <w:rsid w:val="00AB2DD3"/>
    <w:rsid w:val="00AB30A9"/>
    <w:rsid w:val="00AB320B"/>
    <w:rsid w:val="00AB429C"/>
    <w:rsid w:val="00AB445F"/>
    <w:rsid w:val="00AB4493"/>
    <w:rsid w:val="00AB4A60"/>
    <w:rsid w:val="00AB4ADE"/>
    <w:rsid w:val="00AB5383"/>
    <w:rsid w:val="00AB64F4"/>
    <w:rsid w:val="00AB715B"/>
    <w:rsid w:val="00AC071E"/>
    <w:rsid w:val="00AC07B7"/>
    <w:rsid w:val="00AC1FC1"/>
    <w:rsid w:val="00AC2A42"/>
    <w:rsid w:val="00AC3310"/>
    <w:rsid w:val="00AC46BC"/>
    <w:rsid w:val="00AC5015"/>
    <w:rsid w:val="00AC5A93"/>
    <w:rsid w:val="00AC5F9E"/>
    <w:rsid w:val="00AC64FF"/>
    <w:rsid w:val="00AD1CAC"/>
    <w:rsid w:val="00AD1FD4"/>
    <w:rsid w:val="00AD23A3"/>
    <w:rsid w:val="00AD2E2C"/>
    <w:rsid w:val="00AD33AF"/>
    <w:rsid w:val="00AD3762"/>
    <w:rsid w:val="00AD3CA5"/>
    <w:rsid w:val="00AD4590"/>
    <w:rsid w:val="00AD4DEF"/>
    <w:rsid w:val="00AD7933"/>
    <w:rsid w:val="00AD7C01"/>
    <w:rsid w:val="00AD7C8A"/>
    <w:rsid w:val="00AE08D5"/>
    <w:rsid w:val="00AE0D32"/>
    <w:rsid w:val="00AE0E59"/>
    <w:rsid w:val="00AE105A"/>
    <w:rsid w:val="00AE17E3"/>
    <w:rsid w:val="00AE2368"/>
    <w:rsid w:val="00AE27B8"/>
    <w:rsid w:val="00AE2997"/>
    <w:rsid w:val="00AE2C6B"/>
    <w:rsid w:val="00AE2F80"/>
    <w:rsid w:val="00AE36BF"/>
    <w:rsid w:val="00AE38A6"/>
    <w:rsid w:val="00AE4BC3"/>
    <w:rsid w:val="00AE4BD4"/>
    <w:rsid w:val="00AE5890"/>
    <w:rsid w:val="00AE65F0"/>
    <w:rsid w:val="00AE74EA"/>
    <w:rsid w:val="00AE787D"/>
    <w:rsid w:val="00AF0B8D"/>
    <w:rsid w:val="00AF2336"/>
    <w:rsid w:val="00AF2D38"/>
    <w:rsid w:val="00AF3168"/>
    <w:rsid w:val="00AF3B36"/>
    <w:rsid w:val="00AF56F8"/>
    <w:rsid w:val="00AF6E75"/>
    <w:rsid w:val="00AF7BEA"/>
    <w:rsid w:val="00AF7CEA"/>
    <w:rsid w:val="00AF7D7A"/>
    <w:rsid w:val="00B00455"/>
    <w:rsid w:val="00B0082C"/>
    <w:rsid w:val="00B01B85"/>
    <w:rsid w:val="00B02E44"/>
    <w:rsid w:val="00B03CFB"/>
    <w:rsid w:val="00B04108"/>
    <w:rsid w:val="00B051CF"/>
    <w:rsid w:val="00B05A7C"/>
    <w:rsid w:val="00B078BA"/>
    <w:rsid w:val="00B07A62"/>
    <w:rsid w:val="00B10EB0"/>
    <w:rsid w:val="00B11434"/>
    <w:rsid w:val="00B11AE3"/>
    <w:rsid w:val="00B11E21"/>
    <w:rsid w:val="00B11E94"/>
    <w:rsid w:val="00B13CDD"/>
    <w:rsid w:val="00B13ED8"/>
    <w:rsid w:val="00B14A10"/>
    <w:rsid w:val="00B14FBF"/>
    <w:rsid w:val="00B16608"/>
    <w:rsid w:val="00B17236"/>
    <w:rsid w:val="00B20270"/>
    <w:rsid w:val="00B2145E"/>
    <w:rsid w:val="00B21DDF"/>
    <w:rsid w:val="00B22107"/>
    <w:rsid w:val="00B22D81"/>
    <w:rsid w:val="00B22DD8"/>
    <w:rsid w:val="00B231FA"/>
    <w:rsid w:val="00B243CF"/>
    <w:rsid w:val="00B25E67"/>
    <w:rsid w:val="00B2708F"/>
    <w:rsid w:val="00B27487"/>
    <w:rsid w:val="00B27B8C"/>
    <w:rsid w:val="00B305F0"/>
    <w:rsid w:val="00B3341B"/>
    <w:rsid w:val="00B33685"/>
    <w:rsid w:val="00B337F5"/>
    <w:rsid w:val="00B34EB5"/>
    <w:rsid w:val="00B3533D"/>
    <w:rsid w:val="00B36C3B"/>
    <w:rsid w:val="00B36EF4"/>
    <w:rsid w:val="00B37642"/>
    <w:rsid w:val="00B377C9"/>
    <w:rsid w:val="00B4084B"/>
    <w:rsid w:val="00B429DE"/>
    <w:rsid w:val="00B43513"/>
    <w:rsid w:val="00B4381D"/>
    <w:rsid w:val="00B43A4E"/>
    <w:rsid w:val="00B43ED3"/>
    <w:rsid w:val="00B43F88"/>
    <w:rsid w:val="00B44442"/>
    <w:rsid w:val="00B4486E"/>
    <w:rsid w:val="00B455BD"/>
    <w:rsid w:val="00B460A6"/>
    <w:rsid w:val="00B469F5"/>
    <w:rsid w:val="00B46EEF"/>
    <w:rsid w:val="00B47036"/>
    <w:rsid w:val="00B47975"/>
    <w:rsid w:val="00B479CD"/>
    <w:rsid w:val="00B50644"/>
    <w:rsid w:val="00B50BFF"/>
    <w:rsid w:val="00B5220A"/>
    <w:rsid w:val="00B524B9"/>
    <w:rsid w:val="00B53C93"/>
    <w:rsid w:val="00B546BE"/>
    <w:rsid w:val="00B561C1"/>
    <w:rsid w:val="00B56978"/>
    <w:rsid w:val="00B573DC"/>
    <w:rsid w:val="00B6086D"/>
    <w:rsid w:val="00B6122C"/>
    <w:rsid w:val="00B62001"/>
    <w:rsid w:val="00B62821"/>
    <w:rsid w:val="00B642C8"/>
    <w:rsid w:val="00B6444E"/>
    <w:rsid w:val="00B6493F"/>
    <w:rsid w:val="00B64959"/>
    <w:rsid w:val="00B6678E"/>
    <w:rsid w:val="00B703BB"/>
    <w:rsid w:val="00B70572"/>
    <w:rsid w:val="00B710D8"/>
    <w:rsid w:val="00B71452"/>
    <w:rsid w:val="00B717E1"/>
    <w:rsid w:val="00B71D8C"/>
    <w:rsid w:val="00B71E60"/>
    <w:rsid w:val="00B7204D"/>
    <w:rsid w:val="00B720B2"/>
    <w:rsid w:val="00B73842"/>
    <w:rsid w:val="00B73E39"/>
    <w:rsid w:val="00B749D5"/>
    <w:rsid w:val="00B755DD"/>
    <w:rsid w:val="00B75F95"/>
    <w:rsid w:val="00B75FA9"/>
    <w:rsid w:val="00B772E3"/>
    <w:rsid w:val="00B77515"/>
    <w:rsid w:val="00B77608"/>
    <w:rsid w:val="00B77BAB"/>
    <w:rsid w:val="00B81890"/>
    <w:rsid w:val="00B81DD6"/>
    <w:rsid w:val="00B8320B"/>
    <w:rsid w:val="00B847C4"/>
    <w:rsid w:val="00B84A12"/>
    <w:rsid w:val="00B9185B"/>
    <w:rsid w:val="00B9278A"/>
    <w:rsid w:val="00B92A3B"/>
    <w:rsid w:val="00B92C7E"/>
    <w:rsid w:val="00B93147"/>
    <w:rsid w:val="00B93788"/>
    <w:rsid w:val="00B93AF6"/>
    <w:rsid w:val="00B93C58"/>
    <w:rsid w:val="00B93D88"/>
    <w:rsid w:val="00B9421E"/>
    <w:rsid w:val="00B947B5"/>
    <w:rsid w:val="00B94C67"/>
    <w:rsid w:val="00B957F1"/>
    <w:rsid w:val="00B96187"/>
    <w:rsid w:val="00B96DCE"/>
    <w:rsid w:val="00BA0F80"/>
    <w:rsid w:val="00BA1F26"/>
    <w:rsid w:val="00BA27BD"/>
    <w:rsid w:val="00BA2F09"/>
    <w:rsid w:val="00BA3253"/>
    <w:rsid w:val="00BA3384"/>
    <w:rsid w:val="00BA41C5"/>
    <w:rsid w:val="00BA4744"/>
    <w:rsid w:val="00BA4F3D"/>
    <w:rsid w:val="00BA7156"/>
    <w:rsid w:val="00BB1159"/>
    <w:rsid w:val="00BB173B"/>
    <w:rsid w:val="00BB2EEF"/>
    <w:rsid w:val="00BB2FA8"/>
    <w:rsid w:val="00BB530F"/>
    <w:rsid w:val="00BB5E66"/>
    <w:rsid w:val="00BB6EF6"/>
    <w:rsid w:val="00BB756C"/>
    <w:rsid w:val="00BB7E17"/>
    <w:rsid w:val="00BC00AD"/>
    <w:rsid w:val="00BC1C08"/>
    <w:rsid w:val="00BC2425"/>
    <w:rsid w:val="00BC2522"/>
    <w:rsid w:val="00BC2A28"/>
    <w:rsid w:val="00BC47DB"/>
    <w:rsid w:val="00BC4808"/>
    <w:rsid w:val="00BC5431"/>
    <w:rsid w:val="00BC562A"/>
    <w:rsid w:val="00BC6957"/>
    <w:rsid w:val="00BC79B7"/>
    <w:rsid w:val="00BC7A55"/>
    <w:rsid w:val="00BC7BE0"/>
    <w:rsid w:val="00BD1247"/>
    <w:rsid w:val="00BD3601"/>
    <w:rsid w:val="00BD3ADE"/>
    <w:rsid w:val="00BD4921"/>
    <w:rsid w:val="00BD4BD0"/>
    <w:rsid w:val="00BD572A"/>
    <w:rsid w:val="00BD59AA"/>
    <w:rsid w:val="00BD65A2"/>
    <w:rsid w:val="00BD67EB"/>
    <w:rsid w:val="00BD6896"/>
    <w:rsid w:val="00BD7E24"/>
    <w:rsid w:val="00BE03A6"/>
    <w:rsid w:val="00BE157A"/>
    <w:rsid w:val="00BE1CAB"/>
    <w:rsid w:val="00BE2784"/>
    <w:rsid w:val="00BE2978"/>
    <w:rsid w:val="00BE362E"/>
    <w:rsid w:val="00BE4D20"/>
    <w:rsid w:val="00BE4F64"/>
    <w:rsid w:val="00BE5E17"/>
    <w:rsid w:val="00BE600F"/>
    <w:rsid w:val="00BE6C83"/>
    <w:rsid w:val="00BF0CF4"/>
    <w:rsid w:val="00BF11A5"/>
    <w:rsid w:val="00BF12D5"/>
    <w:rsid w:val="00BF1662"/>
    <w:rsid w:val="00BF169B"/>
    <w:rsid w:val="00BF1C35"/>
    <w:rsid w:val="00BF42D7"/>
    <w:rsid w:val="00BF434D"/>
    <w:rsid w:val="00BF48A8"/>
    <w:rsid w:val="00BF4B54"/>
    <w:rsid w:val="00BF698A"/>
    <w:rsid w:val="00BF706B"/>
    <w:rsid w:val="00BF716C"/>
    <w:rsid w:val="00C001DC"/>
    <w:rsid w:val="00C00E18"/>
    <w:rsid w:val="00C0265B"/>
    <w:rsid w:val="00C02757"/>
    <w:rsid w:val="00C027D4"/>
    <w:rsid w:val="00C036DB"/>
    <w:rsid w:val="00C04294"/>
    <w:rsid w:val="00C04B42"/>
    <w:rsid w:val="00C12078"/>
    <w:rsid w:val="00C121A9"/>
    <w:rsid w:val="00C1281B"/>
    <w:rsid w:val="00C1358A"/>
    <w:rsid w:val="00C135D2"/>
    <w:rsid w:val="00C142BC"/>
    <w:rsid w:val="00C159FC"/>
    <w:rsid w:val="00C15BFF"/>
    <w:rsid w:val="00C16751"/>
    <w:rsid w:val="00C1708D"/>
    <w:rsid w:val="00C20356"/>
    <w:rsid w:val="00C2057E"/>
    <w:rsid w:val="00C2206C"/>
    <w:rsid w:val="00C2259D"/>
    <w:rsid w:val="00C22CA0"/>
    <w:rsid w:val="00C243C0"/>
    <w:rsid w:val="00C245C4"/>
    <w:rsid w:val="00C24D4A"/>
    <w:rsid w:val="00C255B1"/>
    <w:rsid w:val="00C255CB"/>
    <w:rsid w:val="00C265E4"/>
    <w:rsid w:val="00C26D1E"/>
    <w:rsid w:val="00C275DD"/>
    <w:rsid w:val="00C27E9C"/>
    <w:rsid w:val="00C32130"/>
    <w:rsid w:val="00C32878"/>
    <w:rsid w:val="00C33D71"/>
    <w:rsid w:val="00C37E1E"/>
    <w:rsid w:val="00C40908"/>
    <w:rsid w:val="00C41704"/>
    <w:rsid w:val="00C419CC"/>
    <w:rsid w:val="00C424F7"/>
    <w:rsid w:val="00C4327A"/>
    <w:rsid w:val="00C43450"/>
    <w:rsid w:val="00C446AF"/>
    <w:rsid w:val="00C4523E"/>
    <w:rsid w:val="00C45622"/>
    <w:rsid w:val="00C45B24"/>
    <w:rsid w:val="00C47900"/>
    <w:rsid w:val="00C50A4F"/>
    <w:rsid w:val="00C50AE2"/>
    <w:rsid w:val="00C51D9F"/>
    <w:rsid w:val="00C52CF4"/>
    <w:rsid w:val="00C52D33"/>
    <w:rsid w:val="00C52E9D"/>
    <w:rsid w:val="00C539B1"/>
    <w:rsid w:val="00C547DA"/>
    <w:rsid w:val="00C54A5C"/>
    <w:rsid w:val="00C54A6C"/>
    <w:rsid w:val="00C54B62"/>
    <w:rsid w:val="00C54F1F"/>
    <w:rsid w:val="00C559F9"/>
    <w:rsid w:val="00C55B6F"/>
    <w:rsid w:val="00C6067B"/>
    <w:rsid w:val="00C61309"/>
    <w:rsid w:val="00C6152B"/>
    <w:rsid w:val="00C61EDF"/>
    <w:rsid w:val="00C637BB"/>
    <w:rsid w:val="00C649C1"/>
    <w:rsid w:val="00C65594"/>
    <w:rsid w:val="00C67FE0"/>
    <w:rsid w:val="00C706BA"/>
    <w:rsid w:val="00C7082A"/>
    <w:rsid w:val="00C710F1"/>
    <w:rsid w:val="00C7182B"/>
    <w:rsid w:val="00C72D22"/>
    <w:rsid w:val="00C7365E"/>
    <w:rsid w:val="00C744CC"/>
    <w:rsid w:val="00C74951"/>
    <w:rsid w:val="00C752BB"/>
    <w:rsid w:val="00C752CE"/>
    <w:rsid w:val="00C75442"/>
    <w:rsid w:val="00C758CF"/>
    <w:rsid w:val="00C75B7C"/>
    <w:rsid w:val="00C7696D"/>
    <w:rsid w:val="00C80073"/>
    <w:rsid w:val="00C81DA8"/>
    <w:rsid w:val="00C82072"/>
    <w:rsid w:val="00C830EE"/>
    <w:rsid w:val="00C83475"/>
    <w:rsid w:val="00C83F7A"/>
    <w:rsid w:val="00C8551A"/>
    <w:rsid w:val="00C85A60"/>
    <w:rsid w:val="00C85EF4"/>
    <w:rsid w:val="00C86570"/>
    <w:rsid w:val="00C86700"/>
    <w:rsid w:val="00C86710"/>
    <w:rsid w:val="00C86856"/>
    <w:rsid w:val="00C86D5B"/>
    <w:rsid w:val="00C902EB"/>
    <w:rsid w:val="00C91A90"/>
    <w:rsid w:val="00C91FAA"/>
    <w:rsid w:val="00C92548"/>
    <w:rsid w:val="00C92647"/>
    <w:rsid w:val="00C92699"/>
    <w:rsid w:val="00C92C98"/>
    <w:rsid w:val="00C93020"/>
    <w:rsid w:val="00C93F11"/>
    <w:rsid w:val="00C93F7A"/>
    <w:rsid w:val="00C94AC9"/>
    <w:rsid w:val="00C94B7C"/>
    <w:rsid w:val="00C94F97"/>
    <w:rsid w:val="00C9746C"/>
    <w:rsid w:val="00CA0B26"/>
    <w:rsid w:val="00CA350B"/>
    <w:rsid w:val="00CA4DC0"/>
    <w:rsid w:val="00CA4FCF"/>
    <w:rsid w:val="00CA56C3"/>
    <w:rsid w:val="00CA5B78"/>
    <w:rsid w:val="00CA5E19"/>
    <w:rsid w:val="00CA7E1C"/>
    <w:rsid w:val="00CB16A2"/>
    <w:rsid w:val="00CB211B"/>
    <w:rsid w:val="00CB5152"/>
    <w:rsid w:val="00CB57F8"/>
    <w:rsid w:val="00CC065B"/>
    <w:rsid w:val="00CC0CB6"/>
    <w:rsid w:val="00CC1BCC"/>
    <w:rsid w:val="00CC2065"/>
    <w:rsid w:val="00CC27E8"/>
    <w:rsid w:val="00CC3767"/>
    <w:rsid w:val="00CC41DB"/>
    <w:rsid w:val="00CC4B6E"/>
    <w:rsid w:val="00CC52ED"/>
    <w:rsid w:val="00CC57A7"/>
    <w:rsid w:val="00CC5E3B"/>
    <w:rsid w:val="00CC6300"/>
    <w:rsid w:val="00CC702A"/>
    <w:rsid w:val="00CC70D2"/>
    <w:rsid w:val="00CC7641"/>
    <w:rsid w:val="00CC7990"/>
    <w:rsid w:val="00CD09FA"/>
    <w:rsid w:val="00CD267C"/>
    <w:rsid w:val="00CD2DB8"/>
    <w:rsid w:val="00CD3010"/>
    <w:rsid w:val="00CD48CF"/>
    <w:rsid w:val="00CD5052"/>
    <w:rsid w:val="00CD64AE"/>
    <w:rsid w:val="00CD68AE"/>
    <w:rsid w:val="00CD7140"/>
    <w:rsid w:val="00CE00D0"/>
    <w:rsid w:val="00CE0E60"/>
    <w:rsid w:val="00CE1E80"/>
    <w:rsid w:val="00CE4A71"/>
    <w:rsid w:val="00CE4E90"/>
    <w:rsid w:val="00CE4F68"/>
    <w:rsid w:val="00CE6A75"/>
    <w:rsid w:val="00CE705B"/>
    <w:rsid w:val="00CE7785"/>
    <w:rsid w:val="00CE79BA"/>
    <w:rsid w:val="00CE7FED"/>
    <w:rsid w:val="00CF1184"/>
    <w:rsid w:val="00CF2C52"/>
    <w:rsid w:val="00CF2D66"/>
    <w:rsid w:val="00CF3068"/>
    <w:rsid w:val="00CF432D"/>
    <w:rsid w:val="00CF54AD"/>
    <w:rsid w:val="00CF65EE"/>
    <w:rsid w:val="00D00AE3"/>
    <w:rsid w:val="00D00E2F"/>
    <w:rsid w:val="00D01533"/>
    <w:rsid w:val="00D01A44"/>
    <w:rsid w:val="00D05156"/>
    <w:rsid w:val="00D06084"/>
    <w:rsid w:val="00D06581"/>
    <w:rsid w:val="00D06867"/>
    <w:rsid w:val="00D07041"/>
    <w:rsid w:val="00D10174"/>
    <w:rsid w:val="00D1118A"/>
    <w:rsid w:val="00D13897"/>
    <w:rsid w:val="00D13ACE"/>
    <w:rsid w:val="00D15009"/>
    <w:rsid w:val="00D15777"/>
    <w:rsid w:val="00D15C28"/>
    <w:rsid w:val="00D15E3E"/>
    <w:rsid w:val="00D160FE"/>
    <w:rsid w:val="00D16278"/>
    <w:rsid w:val="00D162C8"/>
    <w:rsid w:val="00D1769F"/>
    <w:rsid w:val="00D17AA9"/>
    <w:rsid w:val="00D17B71"/>
    <w:rsid w:val="00D17BA7"/>
    <w:rsid w:val="00D20A1B"/>
    <w:rsid w:val="00D21EF8"/>
    <w:rsid w:val="00D223C2"/>
    <w:rsid w:val="00D2250C"/>
    <w:rsid w:val="00D22DF7"/>
    <w:rsid w:val="00D2304B"/>
    <w:rsid w:val="00D236E1"/>
    <w:rsid w:val="00D24921"/>
    <w:rsid w:val="00D24C13"/>
    <w:rsid w:val="00D26037"/>
    <w:rsid w:val="00D26038"/>
    <w:rsid w:val="00D26102"/>
    <w:rsid w:val="00D26E2A"/>
    <w:rsid w:val="00D279A6"/>
    <w:rsid w:val="00D3048A"/>
    <w:rsid w:val="00D306C7"/>
    <w:rsid w:val="00D3176A"/>
    <w:rsid w:val="00D32BC8"/>
    <w:rsid w:val="00D338EE"/>
    <w:rsid w:val="00D33F39"/>
    <w:rsid w:val="00D353AE"/>
    <w:rsid w:val="00D36640"/>
    <w:rsid w:val="00D37446"/>
    <w:rsid w:val="00D4023B"/>
    <w:rsid w:val="00D411DF"/>
    <w:rsid w:val="00D41B09"/>
    <w:rsid w:val="00D41E1E"/>
    <w:rsid w:val="00D436BB"/>
    <w:rsid w:val="00D44479"/>
    <w:rsid w:val="00D44BA3"/>
    <w:rsid w:val="00D44F64"/>
    <w:rsid w:val="00D457AF"/>
    <w:rsid w:val="00D45921"/>
    <w:rsid w:val="00D46D34"/>
    <w:rsid w:val="00D46E43"/>
    <w:rsid w:val="00D470AE"/>
    <w:rsid w:val="00D50149"/>
    <w:rsid w:val="00D50344"/>
    <w:rsid w:val="00D50A3E"/>
    <w:rsid w:val="00D51A13"/>
    <w:rsid w:val="00D5217C"/>
    <w:rsid w:val="00D52426"/>
    <w:rsid w:val="00D5359F"/>
    <w:rsid w:val="00D54187"/>
    <w:rsid w:val="00D549FE"/>
    <w:rsid w:val="00D56099"/>
    <w:rsid w:val="00D60046"/>
    <w:rsid w:val="00D605F6"/>
    <w:rsid w:val="00D61401"/>
    <w:rsid w:val="00D616C5"/>
    <w:rsid w:val="00D6218D"/>
    <w:rsid w:val="00D62221"/>
    <w:rsid w:val="00D62B29"/>
    <w:rsid w:val="00D62E7B"/>
    <w:rsid w:val="00D6318B"/>
    <w:rsid w:val="00D631A0"/>
    <w:rsid w:val="00D63C81"/>
    <w:rsid w:val="00D64F2F"/>
    <w:rsid w:val="00D675A8"/>
    <w:rsid w:val="00D67C9B"/>
    <w:rsid w:val="00D67E82"/>
    <w:rsid w:val="00D70643"/>
    <w:rsid w:val="00D719C9"/>
    <w:rsid w:val="00D71D4F"/>
    <w:rsid w:val="00D7327E"/>
    <w:rsid w:val="00D74EDC"/>
    <w:rsid w:val="00D75254"/>
    <w:rsid w:val="00D757A7"/>
    <w:rsid w:val="00D757BE"/>
    <w:rsid w:val="00D7665A"/>
    <w:rsid w:val="00D76E33"/>
    <w:rsid w:val="00D801E5"/>
    <w:rsid w:val="00D80F55"/>
    <w:rsid w:val="00D826CE"/>
    <w:rsid w:val="00D8401C"/>
    <w:rsid w:val="00D84947"/>
    <w:rsid w:val="00D858C5"/>
    <w:rsid w:val="00D8591C"/>
    <w:rsid w:val="00D867CA"/>
    <w:rsid w:val="00D902AB"/>
    <w:rsid w:val="00D92050"/>
    <w:rsid w:val="00D92B42"/>
    <w:rsid w:val="00D9375E"/>
    <w:rsid w:val="00D97887"/>
    <w:rsid w:val="00DA0183"/>
    <w:rsid w:val="00DA07FA"/>
    <w:rsid w:val="00DA0B30"/>
    <w:rsid w:val="00DA0BAD"/>
    <w:rsid w:val="00DA132E"/>
    <w:rsid w:val="00DA292A"/>
    <w:rsid w:val="00DA32BC"/>
    <w:rsid w:val="00DA3688"/>
    <w:rsid w:val="00DA3DEF"/>
    <w:rsid w:val="00DA4348"/>
    <w:rsid w:val="00DA512F"/>
    <w:rsid w:val="00DA535A"/>
    <w:rsid w:val="00DA53EF"/>
    <w:rsid w:val="00DA5419"/>
    <w:rsid w:val="00DA5784"/>
    <w:rsid w:val="00DA6067"/>
    <w:rsid w:val="00DA6A1B"/>
    <w:rsid w:val="00DA7558"/>
    <w:rsid w:val="00DA7737"/>
    <w:rsid w:val="00DA7BF6"/>
    <w:rsid w:val="00DB0110"/>
    <w:rsid w:val="00DB12A6"/>
    <w:rsid w:val="00DB20EF"/>
    <w:rsid w:val="00DB3844"/>
    <w:rsid w:val="00DB3E77"/>
    <w:rsid w:val="00DB4D6C"/>
    <w:rsid w:val="00DB514C"/>
    <w:rsid w:val="00DB69F6"/>
    <w:rsid w:val="00DB6B45"/>
    <w:rsid w:val="00DB6C34"/>
    <w:rsid w:val="00DB7480"/>
    <w:rsid w:val="00DB7D55"/>
    <w:rsid w:val="00DB7D63"/>
    <w:rsid w:val="00DC0285"/>
    <w:rsid w:val="00DC0C39"/>
    <w:rsid w:val="00DC1A94"/>
    <w:rsid w:val="00DC2170"/>
    <w:rsid w:val="00DC25C6"/>
    <w:rsid w:val="00DC2B1B"/>
    <w:rsid w:val="00DC4D5F"/>
    <w:rsid w:val="00DC69C2"/>
    <w:rsid w:val="00DC6EA5"/>
    <w:rsid w:val="00DC7054"/>
    <w:rsid w:val="00DC7138"/>
    <w:rsid w:val="00DC7140"/>
    <w:rsid w:val="00DC78D0"/>
    <w:rsid w:val="00DC7BDE"/>
    <w:rsid w:val="00DD1141"/>
    <w:rsid w:val="00DD1A19"/>
    <w:rsid w:val="00DD1AC2"/>
    <w:rsid w:val="00DD3996"/>
    <w:rsid w:val="00DD3A70"/>
    <w:rsid w:val="00DD3BD7"/>
    <w:rsid w:val="00DD4FD2"/>
    <w:rsid w:val="00DD500C"/>
    <w:rsid w:val="00DD5494"/>
    <w:rsid w:val="00DD6411"/>
    <w:rsid w:val="00DD7A3C"/>
    <w:rsid w:val="00DD7F3D"/>
    <w:rsid w:val="00DE029A"/>
    <w:rsid w:val="00DE05DF"/>
    <w:rsid w:val="00DE0C8A"/>
    <w:rsid w:val="00DE14B9"/>
    <w:rsid w:val="00DE1A8D"/>
    <w:rsid w:val="00DE1C20"/>
    <w:rsid w:val="00DE1CE2"/>
    <w:rsid w:val="00DE2F1C"/>
    <w:rsid w:val="00DE3E51"/>
    <w:rsid w:val="00DE4D7A"/>
    <w:rsid w:val="00DE5117"/>
    <w:rsid w:val="00DE554F"/>
    <w:rsid w:val="00DE6B99"/>
    <w:rsid w:val="00DF0033"/>
    <w:rsid w:val="00DF0127"/>
    <w:rsid w:val="00DF1240"/>
    <w:rsid w:val="00DF14CB"/>
    <w:rsid w:val="00DF1630"/>
    <w:rsid w:val="00DF342E"/>
    <w:rsid w:val="00DF4EDF"/>
    <w:rsid w:val="00DF4F94"/>
    <w:rsid w:val="00DF5D4D"/>
    <w:rsid w:val="00DF6B9F"/>
    <w:rsid w:val="00E01357"/>
    <w:rsid w:val="00E02D38"/>
    <w:rsid w:val="00E02EE1"/>
    <w:rsid w:val="00E03CBB"/>
    <w:rsid w:val="00E04309"/>
    <w:rsid w:val="00E0441B"/>
    <w:rsid w:val="00E04FC1"/>
    <w:rsid w:val="00E04FD5"/>
    <w:rsid w:val="00E0530B"/>
    <w:rsid w:val="00E0568B"/>
    <w:rsid w:val="00E05721"/>
    <w:rsid w:val="00E05960"/>
    <w:rsid w:val="00E06255"/>
    <w:rsid w:val="00E0659D"/>
    <w:rsid w:val="00E0660B"/>
    <w:rsid w:val="00E06DC8"/>
    <w:rsid w:val="00E076A6"/>
    <w:rsid w:val="00E10032"/>
    <w:rsid w:val="00E1039F"/>
    <w:rsid w:val="00E10504"/>
    <w:rsid w:val="00E119FA"/>
    <w:rsid w:val="00E11AE1"/>
    <w:rsid w:val="00E1277C"/>
    <w:rsid w:val="00E13AA8"/>
    <w:rsid w:val="00E14791"/>
    <w:rsid w:val="00E1673F"/>
    <w:rsid w:val="00E1778D"/>
    <w:rsid w:val="00E19D00"/>
    <w:rsid w:val="00E204D5"/>
    <w:rsid w:val="00E2170A"/>
    <w:rsid w:val="00E218C0"/>
    <w:rsid w:val="00E218C2"/>
    <w:rsid w:val="00E21EFC"/>
    <w:rsid w:val="00E22331"/>
    <w:rsid w:val="00E23087"/>
    <w:rsid w:val="00E2433D"/>
    <w:rsid w:val="00E25E8E"/>
    <w:rsid w:val="00E265F0"/>
    <w:rsid w:val="00E2695D"/>
    <w:rsid w:val="00E26C17"/>
    <w:rsid w:val="00E27A8A"/>
    <w:rsid w:val="00E3115F"/>
    <w:rsid w:val="00E31BBC"/>
    <w:rsid w:val="00E31C4D"/>
    <w:rsid w:val="00E34420"/>
    <w:rsid w:val="00E34E4D"/>
    <w:rsid w:val="00E34EB2"/>
    <w:rsid w:val="00E36837"/>
    <w:rsid w:val="00E3759B"/>
    <w:rsid w:val="00E37604"/>
    <w:rsid w:val="00E4234E"/>
    <w:rsid w:val="00E43F8A"/>
    <w:rsid w:val="00E45030"/>
    <w:rsid w:val="00E455B6"/>
    <w:rsid w:val="00E47820"/>
    <w:rsid w:val="00E500CF"/>
    <w:rsid w:val="00E508D1"/>
    <w:rsid w:val="00E5131D"/>
    <w:rsid w:val="00E52E7C"/>
    <w:rsid w:val="00E53BDE"/>
    <w:rsid w:val="00E53E29"/>
    <w:rsid w:val="00E5470F"/>
    <w:rsid w:val="00E55AF7"/>
    <w:rsid w:val="00E56775"/>
    <w:rsid w:val="00E56A22"/>
    <w:rsid w:val="00E57933"/>
    <w:rsid w:val="00E6194F"/>
    <w:rsid w:val="00E61B77"/>
    <w:rsid w:val="00E624E1"/>
    <w:rsid w:val="00E629EC"/>
    <w:rsid w:val="00E62BD0"/>
    <w:rsid w:val="00E632BC"/>
    <w:rsid w:val="00E64032"/>
    <w:rsid w:val="00E640CA"/>
    <w:rsid w:val="00E64831"/>
    <w:rsid w:val="00E651CF"/>
    <w:rsid w:val="00E65D5A"/>
    <w:rsid w:val="00E662EB"/>
    <w:rsid w:val="00E674FC"/>
    <w:rsid w:val="00E67BDC"/>
    <w:rsid w:val="00E70233"/>
    <w:rsid w:val="00E702FE"/>
    <w:rsid w:val="00E70902"/>
    <w:rsid w:val="00E70C43"/>
    <w:rsid w:val="00E712DC"/>
    <w:rsid w:val="00E71FB7"/>
    <w:rsid w:val="00E72E6F"/>
    <w:rsid w:val="00E74A50"/>
    <w:rsid w:val="00E766A1"/>
    <w:rsid w:val="00E80312"/>
    <w:rsid w:val="00E8094D"/>
    <w:rsid w:val="00E81A05"/>
    <w:rsid w:val="00E81B06"/>
    <w:rsid w:val="00E81D69"/>
    <w:rsid w:val="00E81FA5"/>
    <w:rsid w:val="00E82568"/>
    <w:rsid w:val="00E828FD"/>
    <w:rsid w:val="00E82DE4"/>
    <w:rsid w:val="00E832C6"/>
    <w:rsid w:val="00E83C76"/>
    <w:rsid w:val="00E845A2"/>
    <w:rsid w:val="00E855A2"/>
    <w:rsid w:val="00E859C6"/>
    <w:rsid w:val="00E8697E"/>
    <w:rsid w:val="00E86AB2"/>
    <w:rsid w:val="00E872D4"/>
    <w:rsid w:val="00E87428"/>
    <w:rsid w:val="00E90828"/>
    <w:rsid w:val="00E91511"/>
    <w:rsid w:val="00E9343D"/>
    <w:rsid w:val="00E938CC"/>
    <w:rsid w:val="00E93999"/>
    <w:rsid w:val="00E93C6D"/>
    <w:rsid w:val="00E93DA7"/>
    <w:rsid w:val="00E94A2F"/>
    <w:rsid w:val="00E95CDD"/>
    <w:rsid w:val="00E962CB"/>
    <w:rsid w:val="00E96421"/>
    <w:rsid w:val="00E9664B"/>
    <w:rsid w:val="00EA0D55"/>
    <w:rsid w:val="00EA1241"/>
    <w:rsid w:val="00EA23CD"/>
    <w:rsid w:val="00EA4B07"/>
    <w:rsid w:val="00EA50C1"/>
    <w:rsid w:val="00EA53D1"/>
    <w:rsid w:val="00EA5EDD"/>
    <w:rsid w:val="00EA621E"/>
    <w:rsid w:val="00EA688D"/>
    <w:rsid w:val="00EA7E48"/>
    <w:rsid w:val="00EB09CD"/>
    <w:rsid w:val="00EB0CB5"/>
    <w:rsid w:val="00EB3D76"/>
    <w:rsid w:val="00EB4081"/>
    <w:rsid w:val="00EB46C8"/>
    <w:rsid w:val="00EB4ACD"/>
    <w:rsid w:val="00EB5229"/>
    <w:rsid w:val="00EB7B24"/>
    <w:rsid w:val="00EC010C"/>
    <w:rsid w:val="00EC05F7"/>
    <w:rsid w:val="00EC0A10"/>
    <w:rsid w:val="00EC1C16"/>
    <w:rsid w:val="00EC226E"/>
    <w:rsid w:val="00EC576B"/>
    <w:rsid w:val="00EC6269"/>
    <w:rsid w:val="00EC63B4"/>
    <w:rsid w:val="00EC784E"/>
    <w:rsid w:val="00EC7CAF"/>
    <w:rsid w:val="00ED0698"/>
    <w:rsid w:val="00ED0E6F"/>
    <w:rsid w:val="00ED1B48"/>
    <w:rsid w:val="00ED25EC"/>
    <w:rsid w:val="00ED27A5"/>
    <w:rsid w:val="00ED40A7"/>
    <w:rsid w:val="00ED43B5"/>
    <w:rsid w:val="00ED53FC"/>
    <w:rsid w:val="00ED56A1"/>
    <w:rsid w:val="00ED5BF8"/>
    <w:rsid w:val="00ED64B3"/>
    <w:rsid w:val="00ED673F"/>
    <w:rsid w:val="00ED67BC"/>
    <w:rsid w:val="00EE0159"/>
    <w:rsid w:val="00EE0590"/>
    <w:rsid w:val="00EE2167"/>
    <w:rsid w:val="00EE23C5"/>
    <w:rsid w:val="00EE2438"/>
    <w:rsid w:val="00EE40F7"/>
    <w:rsid w:val="00EE4D7D"/>
    <w:rsid w:val="00EE53E0"/>
    <w:rsid w:val="00EE5408"/>
    <w:rsid w:val="00EE5614"/>
    <w:rsid w:val="00EE5FF1"/>
    <w:rsid w:val="00EE6C1E"/>
    <w:rsid w:val="00EE6E96"/>
    <w:rsid w:val="00EF0F13"/>
    <w:rsid w:val="00EF2E27"/>
    <w:rsid w:val="00EF5EDF"/>
    <w:rsid w:val="00EF612C"/>
    <w:rsid w:val="00EF64F4"/>
    <w:rsid w:val="00EF6A65"/>
    <w:rsid w:val="00EF6FD9"/>
    <w:rsid w:val="00F008CB"/>
    <w:rsid w:val="00F00B9A"/>
    <w:rsid w:val="00F016AE"/>
    <w:rsid w:val="00F0299B"/>
    <w:rsid w:val="00F02D0C"/>
    <w:rsid w:val="00F030EF"/>
    <w:rsid w:val="00F0346A"/>
    <w:rsid w:val="00F04811"/>
    <w:rsid w:val="00F0548F"/>
    <w:rsid w:val="00F05AAE"/>
    <w:rsid w:val="00F06F68"/>
    <w:rsid w:val="00F077BB"/>
    <w:rsid w:val="00F07917"/>
    <w:rsid w:val="00F128CF"/>
    <w:rsid w:val="00F15217"/>
    <w:rsid w:val="00F167BF"/>
    <w:rsid w:val="00F16830"/>
    <w:rsid w:val="00F172F1"/>
    <w:rsid w:val="00F17F52"/>
    <w:rsid w:val="00F20189"/>
    <w:rsid w:val="00F20BA8"/>
    <w:rsid w:val="00F21292"/>
    <w:rsid w:val="00F2150D"/>
    <w:rsid w:val="00F21C40"/>
    <w:rsid w:val="00F22784"/>
    <w:rsid w:val="00F22D03"/>
    <w:rsid w:val="00F22F05"/>
    <w:rsid w:val="00F23E06"/>
    <w:rsid w:val="00F249C5"/>
    <w:rsid w:val="00F2568E"/>
    <w:rsid w:val="00F267EC"/>
    <w:rsid w:val="00F26AC3"/>
    <w:rsid w:val="00F2713A"/>
    <w:rsid w:val="00F2713E"/>
    <w:rsid w:val="00F275FC"/>
    <w:rsid w:val="00F30401"/>
    <w:rsid w:val="00F30D33"/>
    <w:rsid w:val="00F324F6"/>
    <w:rsid w:val="00F32BDB"/>
    <w:rsid w:val="00F34AD4"/>
    <w:rsid w:val="00F34B5D"/>
    <w:rsid w:val="00F351C2"/>
    <w:rsid w:val="00F35860"/>
    <w:rsid w:val="00F3593D"/>
    <w:rsid w:val="00F36E61"/>
    <w:rsid w:val="00F37164"/>
    <w:rsid w:val="00F40A85"/>
    <w:rsid w:val="00F41103"/>
    <w:rsid w:val="00F411F2"/>
    <w:rsid w:val="00F411F6"/>
    <w:rsid w:val="00F41EA8"/>
    <w:rsid w:val="00F42AAC"/>
    <w:rsid w:val="00F42EFA"/>
    <w:rsid w:val="00F43881"/>
    <w:rsid w:val="00F43C72"/>
    <w:rsid w:val="00F44F9C"/>
    <w:rsid w:val="00F47E70"/>
    <w:rsid w:val="00F50152"/>
    <w:rsid w:val="00F5088B"/>
    <w:rsid w:val="00F50A20"/>
    <w:rsid w:val="00F50B2E"/>
    <w:rsid w:val="00F51023"/>
    <w:rsid w:val="00F511E7"/>
    <w:rsid w:val="00F52D8C"/>
    <w:rsid w:val="00F52FF7"/>
    <w:rsid w:val="00F53259"/>
    <w:rsid w:val="00F5401F"/>
    <w:rsid w:val="00F546C2"/>
    <w:rsid w:val="00F548C3"/>
    <w:rsid w:val="00F54A2C"/>
    <w:rsid w:val="00F55401"/>
    <w:rsid w:val="00F55CFB"/>
    <w:rsid w:val="00F57B5F"/>
    <w:rsid w:val="00F57C54"/>
    <w:rsid w:val="00F60B65"/>
    <w:rsid w:val="00F60F67"/>
    <w:rsid w:val="00F61526"/>
    <w:rsid w:val="00F61ACB"/>
    <w:rsid w:val="00F62E22"/>
    <w:rsid w:val="00F63293"/>
    <w:rsid w:val="00F65AF6"/>
    <w:rsid w:val="00F66084"/>
    <w:rsid w:val="00F668CA"/>
    <w:rsid w:val="00F66EE8"/>
    <w:rsid w:val="00F675C4"/>
    <w:rsid w:val="00F679C8"/>
    <w:rsid w:val="00F709C0"/>
    <w:rsid w:val="00F70EE7"/>
    <w:rsid w:val="00F713A7"/>
    <w:rsid w:val="00F72713"/>
    <w:rsid w:val="00F73492"/>
    <w:rsid w:val="00F744BD"/>
    <w:rsid w:val="00F74770"/>
    <w:rsid w:val="00F751F6"/>
    <w:rsid w:val="00F77210"/>
    <w:rsid w:val="00F77F58"/>
    <w:rsid w:val="00F80474"/>
    <w:rsid w:val="00F80605"/>
    <w:rsid w:val="00F80E8E"/>
    <w:rsid w:val="00F80F60"/>
    <w:rsid w:val="00F811F3"/>
    <w:rsid w:val="00F816E4"/>
    <w:rsid w:val="00F81850"/>
    <w:rsid w:val="00F81E95"/>
    <w:rsid w:val="00F8235C"/>
    <w:rsid w:val="00F825E0"/>
    <w:rsid w:val="00F82667"/>
    <w:rsid w:val="00F83636"/>
    <w:rsid w:val="00F83B98"/>
    <w:rsid w:val="00F856DE"/>
    <w:rsid w:val="00F85ECA"/>
    <w:rsid w:val="00F86F05"/>
    <w:rsid w:val="00F86F28"/>
    <w:rsid w:val="00F90D0A"/>
    <w:rsid w:val="00F9136B"/>
    <w:rsid w:val="00F91532"/>
    <w:rsid w:val="00F91CF7"/>
    <w:rsid w:val="00F9323A"/>
    <w:rsid w:val="00F95F2B"/>
    <w:rsid w:val="00F96843"/>
    <w:rsid w:val="00F977B7"/>
    <w:rsid w:val="00F97BE0"/>
    <w:rsid w:val="00F97E37"/>
    <w:rsid w:val="00F97E5D"/>
    <w:rsid w:val="00F97F5D"/>
    <w:rsid w:val="00FA0141"/>
    <w:rsid w:val="00FA0347"/>
    <w:rsid w:val="00FA1B8D"/>
    <w:rsid w:val="00FA2328"/>
    <w:rsid w:val="00FA2DEC"/>
    <w:rsid w:val="00FA2E05"/>
    <w:rsid w:val="00FA4365"/>
    <w:rsid w:val="00FA517A"/>
    <w:rsid w:val="00FA571C"/>
    <w:rsid w:val="00FA576D"/>
    <w:rsid w:val="00FA7425"/>
    <w:rsid w:val="00FA7A5C"/>
    <w:rsid w:val="00FB0A4B"/>
    <w:rsid w:val="00FB134C"/>
    <w:rsid w:val="00FB1479"/>
    <w:rsid w:val="00FB1756"/>
    <w:rsid w:val="00FB1AEC"/>
    <w:rsid w:val="00FB1FEC"/>
    <w:rsid w:val="00FB230A"/>
    <w:rsid w:val="00FB2E1B"/>
    <w:rsid w:val="00FB2E5B"/>
    <w:rsid w:val="00FB2E69"/>
    <w:rsid w:val="00FB3169"/>
    <w:rsid w:val="00FB3EAE"/>
    <w:rsid w:val="00FB48B0"/>
    <w:rsid w:val="00FB5056"/>
    <w:rsid w:val="00FB5344"/>
    <w:rsid w:val="00FC0081"/>
    <w:rsid w:val="00FC1A96"/>
    <w:rsid w:val="00FC2C97"/>
    <w:rsid w:val="00FC2CFB"/>
    <w:rsid w:val="00FC342D"/>
    <w:rsid w:val="00FC359D"/>
    <w:rsid w:val="00FC578A"/>
    <w:rsid w:val="00FC6762"/>
    <w:rsid w:val="00FC683E"/>
    <w:rsid w:val="00FD17C4"/>
    <w:rsid w:val="00FD1AA3"/>
    <w:rsid w:val="00FD236F"/>
    <w:rsid w:val="00FD2E34"/>
    <w:rsid w:val="00FD3249"/>
    <w:rsid w:val="00FD3D49"/>
    <w:rsid w:val="00FD452A"/>
    <w:rsid w:val="00FD46EA"/>
    <w:rsid w:val="00FD4D59"/>
    <w:rsid w:val="00FD586F"/>
    <w:rsid w:val="00FD675F"/>
    <w:rsid w:val="00FD6ED5"/>
    <w:rsid w:val="00FD71C4"/>
    <w:rsid w:val="00FD7D36"/>
    <w:rsid w:val="00FE08CA"/>
    <w:rsid w:val="00FE0F89"/>
    <w:rsid w:val="00FE177D"/>
    <w:rsid w:val="00FE1BD6"/>
    <w:rsid w:val="00FE2609"/>
    <w:rsid w:val="00FE2682"/>
    <w:rsid w:val="00FE2BEC"/>
    <w:rsid w:val="00FE3BE0"/>
    <w:rsid w:val="00FE46AB"/>
    <w:rsid w:val="00FE4FFA"/>
    <w:rsid w:val="00FE72AD"/>
    <w:rsid w:val="00FE7CE4"/>
    <w:rsid w:val="00FF08D5"/>
    <w:rsid w:val="00FF0BC8"/>
    <w:rsid w:val="00FF0E24"/>
    <w:rsid w:val="00FF13D2"/>
    <w:rsid w:val="00FF1806"/>
    <w:rsid w:val="00FF3CAA"/>
    <w:rsid w:val="00FF4BD4"/>
    <w:rsid w:val="00FF55C6"/>
    <w:rsid w:val="00FF5C4C"/>
    <w:rsid w:val="00FF6795"/>
    <w:rsid w:val="00FF72E1"/>
    <w:rsid w:val="015EEEE0"/>
    <w:rsid w:val="01815DEF"/>
    <w:rsid w:val="01BF0857"/>
    <w:rsid w:val="0251DF38"/>
    <w:rsid w:val="02A27765"/>
    <w:rsid w:val="030EF728"/>
    <w:rsid w:val="0311310E"/>
    <w:rsid w:val="03552196"/>
    <w:rsid w:val="03647AB2"/>
    <w:rsid w:val="03CE53BE"/>
    <w:rsid w:val="0432DE94"/>
    <w:rsid w:val="04FF41D1"/>
    <w:rsid w:val="05FFBF44"/>
    <w:rsid w:val="0651F078"/>
    <w:rsid w:val="06661702"/>
    <w:rsid w:val="0670B997"/>
    <w:rsid w:val="06E1F0A7"/>
    <w:rsid w:val="06EDB689"/>
    <w:rsid w:val="072769B7"/>
    <w:rsid w:val="0779EC0E"/>
    <w:rsid w:val="0781ACDE"/>
    <w:rsid w:val="07ED5CCE"/>
    <w:rsid w:val="0802E17F"/>
    <w:rsid w:val="081977E5"/>
    <w:rsid w:val="08A65D56"/>
    <w:rsid w:val="08F8FC4E"/>
    <w:rsid w:val="09295A8D"/>
    <w:rsid w:val="092EC807"/>
    <w:rsid w:val="0AA20239"/>
    <w:rsid w:val="0AF9F2DF"/>
    <w:rsid w:val="0C735BB7"/>
    <w:rsid w:val="0D2653D9"/>
    <w:rsid w:val="0D5B7FA6"/>
    <w:rsid w:val="0DA16786"/>
    <w:rsid w:val="0DD88DE4"/>
    <w:rsid w:val="0DE0E2F5"/>
    <w:rsid w:val="0E085E69"/>
    <w:rsid w:val="0E40495E"/>
    <w:rsid w:val="0E706A1F"/>
    <w:rsid w:val="0E9211A8"/>
    <w:rsid w:val="0EF1F618"/>
    <w:rsid w:val="0F2C8808"/>
    <w:rsid w:val="0FAE77AA"/>
    <w:rsid w:val="0FCC380D"/>
    <w:rsid w:val="1065E109"/>
    <w:rsid w:val="10D16069"/>
    <w:rsid w:val="117A808D"/>
    <w:rsid w:val="11924593"/>
    <w:rsid w:val="11E7278B"/>
    <w:rsid w:val="12C47BEC"/>
    <w:rsid w:val="12C6CB13"/>
    <w:rsid w:val="1314E88A"/>
    <w:rsid w:val="13406499"/>
    <w:rsid w:val="13B47269"/>
    <w:rsid w:val="14038D39"/>
    <w:rsid w:val="14117CB7"/>
    <w:rsid w:val="14868D72"/>
    <w:rsid w:val="148B6665"/>
    <w:rsid w:val="157CD0FB"/>
    <w:rsid w:val="1580B35F"/>
    <w:rsid w:val="15EFFAA1"/>
    <w:rsid w:val="16073717"/>
    <w:rsid w:val="167C7570"/>
    <w:rsid w:val="172E788C"/>
    <w:rsid w:val="174D7DBE"/>
    <w:rsid w:val="17560C4E"/>
    <w:rsid w:val="18420074"/>
    <w:rsid w:val="192E6988"/>
    <w:rsid w:val="19AEB6D8"/>
    <w:rsid w:val="1B2030AD"/>
    <w:rsid w:val="1B3DBCAF"/>
    <w:rsid w:val="1BD0BBAE"/>
    <w:rsid w:val="1BDC5BAB"/>
    <w:rsid w:val="1BEB844A"/>
    <w:rsid w:val="1C0EFB38"/>
    <w:rsid w:val="1C62DB63"/>
    <w:rsid w:val="1CE06F8D"/>
    <w:rsid w:val="1D266590"/>
    <w:rsid w:val="1D418CAD"/>
    <w:rsid w:val="1E40CF24"/>
    <w:rsid w:val="1E819B6A"/>
    <w:rsid w:val="1ECF4401"/>
    <w:rsid w:val="1EE59C54"/>
    <w:rsid w:val="1EF6BA90"/>
    <w:rsid w:val="1F5F21F1"/>
    <w:rsid w:val="1F9E64D0"/>
    <w:rsid w:val="1F9EFE33"/>
    <w:rsid w:val="1FB34888"/>
    <w:rsid w:val="1FE24749"/>
    <w:rsid w:val="20BE01A1"/>
    <w:rsid w:val="2132AA82"/>
    <w:rsid w:val="214EC75E"/>
    <w:rsid w:val="2168A4DB"/>
    <w:rsid w:val="21E48FEF"/>
    <w:rsid w:val="224B432E"/>
    <w:rsid w:val="227A20CF"/>
    <w:rsid w:val="237C237B"/>
    <w:rsid w:val="23C59CFE"/>
    <w:rsid w:val="24A5EC67"/>
    <w:rsid w:val="26253656"/>
    <w:rsid w:val="269FA630"/>
    <w:rsid w:val="26F9D228"/>
    <w:rsid w:val="276EF373"/>
    <w:rsid w:val="2785EBBC"/>
    <w:rsid w:val="27BB663F"/>
    <w:rsid w:val="27C73C71"/>
    <w:rsid w:val="285E6D08"/>
    <w:rsid w:val="28605B73"/>
    <w:rsid w:val="288351B4"/>
    <w:rsid w:val="28E9D058"/>
    <w:rsid w:val="2A48101D"/>
    <w:rsid w:val="2A5A54EE"/>
    <w:rsid w:val="2A73696F"/>
    <w:rsid w:val="2B3FCAD2"/>
    <w:rsid w:val="2B7A84A5"/>
    <w:rsid w:val="2BD6B077"/>
    <w:rsid w:val="2BE026FE"/>
    <w:rsid w:val="2C9EB4B8"/>
    <w:rsid w:val="2CEB493D"/>
    <w:rsid w:val="2D08F3F9"/>
    <w:rsid w:val="2DE6228D"/>
    <w:rsid w:val="2EBB5EC1"/>
    <w:rsid w:val="2EFB656C"/>
    <w:rsid w:val="2F0A9363"/>
    <w:rsid w:val="2F71856C"/>
    <w:rsid w:val="2F9C45E0"/>
    <w:rsid w:val="2FB051FA"/>
    <w:rsid w:val="2FB29D67"/>
    <w:rsid w:val="2FC7E150"/>
    <w:rsid w:val="2FCDAE0A"/>
    <w:rsid w:val="3015568A"/>
    <w:rsid w:val="301B6E2F"/>
    <w:rsid w:val="30238E88"/>
    <w:rsid w:val="30EF14B8"/>
    <w:rsid w:val="31A14D40"/>
    <w:rsid w:val="31A9F424"/>
    <w:rsid w:val="3221EB45"/>
    <w:rsid w:val="32A2EA95"/>
    <w:rsid w:val="32B1D797"/>
    <w:rsid w:val="32C41050"/>
    <w:rsid w:val="32E37302"/>
    <w:rsid w:val="33A00692"/>
    <w:rsid w:val="33E65558"/>
    <w:rsid w:val="346F2824"/>
    <w:rsid w:val="34F63A6F"/>
    <w:rsid w:val="356CCCD6"/>
    <w:rsid w:val="35B75C69"/>
    <w:rsid w:val="36B351F6"/>
    <w:rsid w:val="36BCD459"/>
    <w:rsid w:val="36F52F21"/>
    <w:rsid w:val="370AA691"/>
    <w:rsid w:val="37160459"/>
    <w:rsid w:val="37907125"/>
    <w:rsid w:val="37BCE992"/>
    <w:rsid w:val="38342CC3"/>
    <w:rsid w:val="389E5849"/>
    <w:rsid w:val="3923FE27"/>
    <w:rsid w:val="3924C612"/>
    <w:rsid w:val="393D38F9"/>
    <w:rsid w:val="394B5F22"/>
    <w:rsid w:val="39684FC0"/>
    <w:rsid w:val="3A038C37"/>
    <w:rsid w:val="3A902999"/>
    <w:rsid w:val="3AB83ABB"/>
    <w:rsid w:val="3B97AE22"/>
    <w:rsid w:val="3BD650DE"/>
    <w:rsid w:val="3BED086E"/>
    <w:rsid w:val="3C14AC0A"/>
    <w:rsid w:val="3C4D080D"/>
    <w:rsid w:val="3C82E50E"/>
    <w:rsid w:val="3CC07A98"/>
    <w:rsid w:val="3CDF2EF8"/>
    <w:rsid w:val="3CEE872E"/>
    <w:rsid w:val="3CFAB23D"/>
    <w:rsid w:val="3D14312E"/>
    <w:rsid w:val="3D44D408"/>
    <w:rsid w:val="3D68D752"/>
    <w:rsid w:val="3DD00114"/>
    <w:rsid w:val="3E75D3BE"/>
    <w:rsid w:val="3E7DF817"/>
    <w:rsid w:val="3E82A0BD"/>
    <w:rsid w:val="3EA186B9"/>
    <w:rsid w:val="3EC79DDB"/>
    <w:rsid w:val="3F18B729"/>
    <w:rsid w:val="3F8F2859"/>
    <w:rsid w:val="3FC22570"/>
    <w:rsid w:val="40130A96"/>
    <w:rsid w:val="407272F4"/>
    <w:rsid w:val="41075E19"/>
    <w:rsid w:val="415F7A8C"/>
    <w:rsid w:val="41D02C23"/>
    <w:rsid w:val="42362C6E"/>
    <w:rsid w:val="423E80E3"/>
    <w:rsid w:val="42A323CA"/>
    <w:rsid w:val="42D2E70C"/>
    <w:rsid w:val="42D82F0E"/>
    <w:rsid w:val="435F9602"/>
    <w:rsid w:val="436C9A5F"/>
    <w:rsid w:val="4380EC45"/>
    <w:rsid w:val="43888EC2"/>
    <w:rsid w:val="43CC416D"/>
    <w:rsid w:val="44BE7115"/>
    <w:rsid w:val="44C75D64"/>
    <w:rsid w:val="44CFA693"/>
    <w:rsid w:val="4513899D"/>
    <w:rsid w:val="4586DB38"/>
    <w:rsid w:val="4629162A"/>
    <w:rsid w:val="469ABB58"/>
    <w:rsid w:val="47272C5C"/>
    <w:rsid w:val="47829148"/>
    <w:rsid w:val="47D03253"/>
    <w:rsid w:val="47D103F9"/>
    <w:rsid w:val="47E7D5CB"/>
    <w:rsid w:val="47EE0109"/>
    <w:rsid w:val="48362982"/>
    <w:rsid w:val="4884B4FE"/>
    <w:rsid w:val="48A9EE2D"/>
    <w:rsid w:val="48E927CB"/>
    <w:rsid w:val="4939B174"/>
    <w:rsid w:val="496D700B"/>
    <w:rsid w:val="4987B75A"/>
    <w:rsid w:val="49A7F606"/>
    <w:rsid w:val="4A3E3385"/>
    <w:rsid w:val="4A55A6AB"/>
    <w:rsid w:val="4A5B9296"/>
    <w:rsid w:val="4B34AA46"/>
    <w:rsid w:val="4B446E30"/>
    <w:rsid w:val="4BBFEDCF"/>
    <w:rsid w:val="4BEF398B"/>
    <w:rsid w:val="4C0B03CF"/>
    <w:rsid w:val="4C8C09F5"/>
    <w:rsid w:val="4CC6A2C3"/>
    <w:rsid w:val="4D61AB17"/>
    <w:rsid w:val="4E1CF00A"/>
    <w:rsid w:val="4E5EAF9A"/>
    <w:rsid w:val="4E71151C"/>
    <w:rsid w:val="4E93DD92"/>
    <w:rsid w:val="4EFC30A4"/>
    <w:rsid w:val="4F603167"/>
    <w:rsid w:val="4F7A636E"/>
    <w:rsid w:val="4F7B34BC"/>
    <w:rsid w:val="4F997080"/>
    <w:rsid w:val="4F9DA377"/>
    <w:rsid w:val="4FA2E40A"/>
    <w:rsid w:val="4FD96E95"/>
    <w:rsid w:val="50053F3A"/>
    <w:rsid w:val="50250F74"/>
    <w:rsid w:val="502531F0"/>
    <w:rsid w:val="50604EAF"/>
    <w:rsid w:val="50FAE6A8"/>
    <w:rsid w:val="5133471E"/>
    <w:rsid w:val="51ECC7A0"/>
    <w:rsid w:val="533731DD"/>
    <w:rsid w:val="5381B18D"/>
    <w:rsid w:val="53DFDF29"/>
    <w:rsid w:val="543D6138"/>
    <w:rsid w:val="5454BCD1"/>
    <w:rsid w:val="5475008C"/>
    <w:rsid w:val="5501AEF2"/>
    <w:rsid w:val="55D1F9E2"/>
    <w:rsid w:val="55F10622"/>
    <w:rsid w:val="560A79B5"/>
    <w:rsid w:val="562E175C"/>
    <w:rsid w:val="5655E6F1"/>
    <w:rsid w:val="571608FE"/>
    <w:rsid w:val="57268426"/>
    <w:rsid w:val="573A442C"/>
    <w:rsid w:val="57FB818D"/>
    <w:rsid w:val="582DE021"/>
    <w:rsid w:val="583EBDA7"/>
    <w:rsid w:val="586A9137"/>
    <w:rsid w:val="59123F7B"/>
    <w:rsid w:val="591AB240"/>
    <w:rsid w:val="5ADFC2BB"/>
    <w:rsid w:val="5B11B596"/>
    <w:rsid w:val="5B419CB0"/>
    <w:rsid w:val="5C053BE4"/>
    <w:rsid w:val="5C21B24B"/>
    <w:rsid w:val="5E1F96D0"/>
    <w:rsid w:val="5F186807"/>
    <w:rsid w:val="5F68868B"/>
    <w:rsid w:val="5F8E4C5E"/>
    <w:rsid w:val="60292FCF"/>
    <w:rsid w:val="605AAE8C"/>
    <w:rsid w:val="60C585FE"/>
    <w:rsid w:val="60DAA80E"/>
    <w:rsid w:val="611E3855"/>
    <w:rsid w:val="613AFB27"/>
    <w:rsid w:val="615789CE"/>
    <w:rsid w:val="61DC9620"/>
    <w:rsid w:val="61FFE6F9"/>
    <w:rsid w:val="62813C69"/>
    <w:rsid w:val="629213F1"/>
    <w:rsid w:val="62C7FB19"/>
    <w:rsid w:val="634D23C0"/>
    <w:rsid w:val="63EADCD8"/>
    <w:rsid w:val="643E8B20"/>
    <w:rsid w:val="64603AFD"/>
    <w:rsid w:val="64799CEE"/>
    <w:rsid w:val="64D71005"/>
    <w:rsid w:val="6526F704"/>
    <w:rsid w:val="6536B8A6"/>
    <w:rsid w:val="6592F82F"/>
    <w:rsid w:val="66309F0C"/>
    <w:rsid w:val="66C21E2F"/>
    <w:rsid w:val="66D2656D"/>
    <w:rsid w:val="678B6CCD"/>
    <w:rsid w:val="691FE23B"/>
    <w:rsid w:val="692A9174"/>
    <w:rsid w:val="694F57CD"/>
    <w:rsid w:val="69835689"/>
    <w:rsid w:val="69935353"/>
    <w:rsid w:val="69F48A86"/>
    <w:rsid w:val="6A59208A"/>
    <w:rsid w:val="6A6F18BA"/>
    <w:rsid w:val="6A9E6BF8"/>
    <w:rsid w:val="6B52DDF8"/>
    <w:rsid w:val="6B75BEC2"/>
    <w:rsid w:val="6B873A09"/>
    <w:rsid w:val="6BD146D6"/>
    <w:rsid w:val="6CA80C3B"/>
    <w:rsid w:val="6CF24C30"/>
    <w:rsid w:val="6D099C70"/>
    <w:rsid w:val="6D229CF2"/>
    <w:rsid w:val="6D4A367C"/>
    <w:rsid w:val="6D759A9A"/>
    <w:rsid w:val="6E371238"/>
    <w:rsid w:val="6FA18FFD"/>
    <w:rsid w:val="6FF6ABE3"/>
    <w:rsid w:val="70050804"/>
    <w:rsid w:val="70226DFC"/>
    <w:rsid w:val="704FF355"/>
    <w:rsid w:val="705F03B5"/>
    <w:rsid w:val="70ADE94D"/>
    <w:rsid w:val="71464D73"/>
    <w:rsid w:val="71B01B30"/>
    <w:rsid w:val="71C323A7"/>
    <w:rsid w:val="71E8644A"/>
    <w:rsid w:val="720305C1"/>
    <w:rsid w:val="721A8A80"/>
    <w:rsid w:val="729F9466"/>
    <w:rsid w:val="72ACD199"/>
    <w:rsid w:val="72B1967D"/>
    <w:rsid w:val="7474C73A"/>
    <w:rsid w:val="74D93C22"/>
    <w:rsid w:val="750BBD0D"/>
    <w:rsid w:val="754421A0"/>
    <w:rsid w:val="756BC422"/>
    <w:rsid w:val="75B33965"/>
    <w:rsid w:val="75D8A025"/>
    <w:rsid w:val="7634CF51"/>
    <w:rsid w:val="76E3A7A3"/>
    <w:rsid w:val="772D63BB"/>
    <w:rsid w:val="776825DA"/>
    <w:rsid w:val="77989BBE"/>
    <w:rsid w:val="779DE8A1"/>
    <w:rsid w:val="77A9EEC0"/>
    <w:rsid w:val="78C88FCE"/>
    <w:rsid w:val="78ECED75"/>
    <w:rsid w:val="79A611D7"/>
    <w:rsid w:val="79AC43C6"/>
    <w:rsid w:val="7A200B32"/>
    <w:rsid w:val="7A43588F"/>
    <w:rsid w:val="7A683159"/>
    <w:rsid w:val="7A876107"/>
    <w:rsid w:val="7A8FC310"/>
    <w:rsid w:val="7AF440A7"/>
    <w:rsid w:val="7B134D78"/>
    <w:rsid w:val="7B35DE6A"/>
    <w:rsid w:val="7B369159"/>
    <w:rsid w:val="7B86C47D"/>
    <w:rsid w:val="7BBAC1E8"/>
    <w:rsid w:val="7BD8F5F5"/>
    <w:rsid w:val="7C20F1C7"/>
    <w:rsid w:val="7D7F7D7E"/>
    <w:rsid w:val="7E722568"/>
    <w:rsid w:val="7F9A90CB"/>
    <w:rsid w:val="7FA22292"/>
    <w:rsid w:val="7FA2589C"/>
    <w:rsid w:val="7FF4D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F71EE"/>
  <w15:chartTrackingRefBased/>
  <w15:docId w15:val="{E3DA3660-2E27-4E3A-8000-E61BDFDE1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D0F"/>
    <w:rPr>
      <w:rFonts w:eastAsiaTheme="majorEastAsia" w:cstheme="majorBidi"/>
      <w:color w:val="272727" w:themeColor="text1" w:themeTint="D8"/>
    </w:rPr>
  </w:style>
  <w:style w:type="paragraph" w:styleId="Title">
    <w:name w:val="Title"/>
    <w:basedOn w:val="Normal"/>
    <w:next w:val="Normal"/>
    <w:link w:val="TitleChar"/>
    <w:uiPriority w:val="10"/>
    <w:qFormat/>
    <w:rsid w:val="0050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06D0F"/>
    <w:rPr>
      <w:i/>
      <w:iCs/>
      <w:color w:val="404040" w:themeColor="text1" w:themeTint="BF"/>
    </w:rPr>
  </w:style>
  <w:style w:type="paragraph" w:styleId="ListParagraph">
    <w:name w:val="List Paragraph"/>
    <w:basedOn w:val="Normal"/>
    <w:uiPriority w:val="34"/>
    <w:qFormat/>
    <w:rsid w:val="00506D0F"/>
    <w:pPr>
      <w:ind w:left="720"/>
      <w:contextualSpacing/>
    </w:pPr>
  </w:style>
  <w:style w:type="character" w:styleId="IntenseEmphasis">
    <w:name w:val="Intense Emphasis"/>
    <w:basedOn w:val="DefaultParagraphFont"/>
    <w:uiPriority w:val="21"/>
    <w:qFormat/>
    <w:rsid w:val="00506D0F"/>
    <w:rPr>
      <w:i/>
      <w:iCs/>
      <w:color w:val="0F4761" w:themeColor="accent1" w:themeShade="BF"/>
    </w:rPr>
  </w:style>
  <w:style w:type="paragraph" w:styleId="IntenseQuote">
    <w:name w:val="Intense Quote"/>
    <w:basedOn w:val="Normal"/>
    <w:next w:val="Normal"/>
    <w:link w:val="IntenseQuoteChar"/>
    <w:uiPriority w:val="30"/>
    <w:qFormat/>
    <w:rsid w:val="00506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D0F"/>
    <w:rPr>
      <w:i/>
      <w:iCs/>
      <w:color w:val="0F4761" w:themeColor="accent1" w:themeShade="BF"/>
    </w:rPr>
  </w:style>
  <w:style w:type="character" w:styleId="IntenseReference">
    <w:name w:val="Intense Reference"/>
    <w:basedOn w:val="DefaultParagraphFont"/>
    <w:uiPriority w:val="32"/>
    <w:qFormat/>
    <w:rsid w:val="00506D0F"/>
    <w:rPr>
      <w:b/>
      <w:bCs/>
      <w:smallCaps/>
      <w:color w:val="0F4761" w:themeColor="accent1" w:themeShade="BF"/>
      <w:spacing w:val="5"/>
    </w:rPr>
  </w:style>
  <w:style w:type="character" w:styleId="CommentReference">
    <w:name w:val="annotation reference"/>
    <w:basedOn w:val="DefaultParagraphFont"/>
    <w:uiPriority w:val="99"/>
    <w:semiHidden/>
    <w:unhideWhenUsed/>
    <w:rsid w:val="00F66084"/>
    <w:rPr>
      <w:sz w:val="16"/>
      <w:szCs w:val="16"/>
    </w:rPr>
  </w:style>
  <w:style w:type="paragraph" w:styleId="CommentText">
    <w:name w:val="annotation text"/>
    <w:basedOn w:val="Normal"/>
    <w:link w:val="CommentTextChar"/>
    <w:uiPriority w:val="99"/>
    <w:unhideWhenUsed/>
    <w:rsid w:val="00F66084"/>
    <w:pPr>
      <w:spacing w:line="240" w:lineRule="auto"/>
    </w:pPr>
    <w:rPr>
      <w:sz w:val="20"/>
      <w:szCs w:val="20"/>
    </w:rPr>
  </w:style>
  <w:style w:type="character" w:customStyle="1" w:styleId="CommentTextChar">
    <w:name w:val="Comment Text Char"/>
    <w:basedOn w:val="DefaultParagraphFont"/>
    <w:link w:val="CommentText"/>
    <w:uiPriority w:val="99"/>
    <w:rsid w:val="00F66084"/>
    <w:rPr>
      <w:sz w:val="20"/>
      <w:szCs w:val="20"/>
    </w:rPr>
  </w:style>
  <w:style w:type="paragraph" w:styleId="CommentSubject">
    <w:name w:val="annotation subject"/>
    <w:basedOn w:val="CommentText"/>
    <w:next w:val="CommentText"/>
    <w:link w:val="CommentSubjectChar"/>
    <w:uiPriority w:val="99"/>
    <w:semiHidden/>
    <w:unhideWhenUsed/>
    <w:rsid w:val="00F66084"/>
    <w:rPr>
      <w:b/>
      <w:bCs/>
    </w:rPr>
  </w:style>
  <w:style w:type="character" w:customStyle="1" w:styleId="CommentSubjectChar">
    <w:name w:val="Comment Subject Char"/>
    <w:basedOn w:val="CommentTextChar"/>
    <w:link w:val="CommentSubject"/>
    <w:uiPriority w:val="99"/>
    <w:semiHidden/>
    <w:rsid w:val="00F66084"/>
    <w:rPr>
      <w:b/>
      <w:bCs/>
      <w:sz w:val="20"/>
      <w:szCs w:val="20"/>
    </w:rPr>
  </w:style>
  <w:style w:type="character" w:styleId="Hyperlink">
    <w:name w:val="Hyperlink"/>
    <w:basedOn w:val="DefaultParagraphFont"/>
    <w:uiPriority w:val="99"/>
    <w:unhideWhenUsed/>
    <w:rsid w:val="00E36837"/>
    <w:rPr>
      <w:color w:val="467886" w:themeColor="hyperlink"/>
      <w:u w:val="single"/>
    </w:rPr>
  </w:style>
  <w:style w:type="character" w:styleId="UnresolvedMention">
    <w:name w:val="Unresolved Mention"/>
    <w:basedOn w:val="DefaultParagraphFont"/>
    <w:uiPriority w:val="99"/>
    <w:semiHidden/>
    <w:unhideWhenUsed/>
    <w:rsid w:val="00E36837"/>
    <w:rPr>
      <w:color w:val="605E5C"/>
      <w:shd w:val="clear" w:color="auto" w:fill="E1DFDD"/>
    </w:rPr>
  </w:style>
  <w:style w:type="paragraph" w:styleId="Header">
    <w:name w:val="header"/>
    <w:basedOn w:val="Normal"/>
    <w:link w:val="HeaderChar"/>
    <w:uiPriority w:val="99"/>
    <w:unhideWhenUsed/>
    <w:rsid w:val="000112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227"/>
  </w:style>
  <w:style w:type="paragraph" w:styleId="Footer">
    <w:name w:val="footer"/>
    <w:basedOn w:val="Normal"/>
    <w:link w:val="FooterChar"/>
    <w:uiPriority w:val="99"/>
    <w:unhideWhenUsed/>
    <w:rsid w:val="00011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227"/>
  </w:style>
  <w:style w:type="paragraph" w:styleId="Revision">
    <w:name w:val="Revision"/>
    <w:hidden/>
    <w:uiPriority w:val="99"/>
    <w:semiHidden/>
    <w:rsid w:val="00011227"/>
    <w:pPr>
      <w:spacing w:after="0" w:line="240" w:lineRule="auto"/>
    </w:pPr>
  </w:style>
  <w:style w:type="character" w:styleId="Mention">
    <w:name w:val="Mention"/>
    <w:basedOn w:val="DefaultParagraphFont"/>
    <w:uiPriority w:val="99"/>
    <w:unhideWhenUsed/>
    <w:rsid w:val="00E34EB2"/>
    <w:rPr>
      <w:color w:val="2B579A"/>
      <w:shd w:val="clear" w:color="auto" w:fill="E1DFDD"/>
    </w:rPr>
  </w:style>
  <w:style w:type="character" w:styleId="FollowedHyperlink">
    <w:name w:val="FollowedHyperlink"/>
    <w:basedOn w:val="DefaultParagraphFont"/>
    <w:uiPriority w:val="99"/>
    <w:semiHidden/>
    <w:unhideWhenUsed/>
    <w:rsid w:val="008D535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ecretariat.iccat.online/index.php/s/5WwQztA9erkKP7e?dir=/June/FRA&amp;editing=false&amp;openfile=true" TargetMode="External"/><Relationship Id="rId18" Type="http://schemas.openxmlformats.org/officeDocument/2006/relationships/hyperlink" Target="https://view.officeapps.live.com/op/view.aspx?src=https%3A%2F%2Fwww.iccat.int%2FDocsComm%2Fuploads%2F2026%2FPWG_414_FRA_20261009102350.docx&amp;wdOrigin=BROWSELIN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secretariat.iccat.online/index.php/s/5WwQztA9erkKP7e?dir=/June/FRA&amp;editing=false&amp;openfile=true" TargetMode="External"/><Relationship Id="rId17" Type="http://schemas.openxmlformats.org/officeDocument/2006/relationships/hyperlink" Target="https://view.officeapps.live.com/op/view.aspx?src=https%3A%2F%2Fwww.iccat.int%2FDocsComm%2Fuploads%2F2025%2FPA4_811_FRA_SPONS_1_20251120143936.doc&amp;wdOrigin=BROWSELINK" TargetMode="External"/><Relationship Id="rId2" Type="http://schemas.openxmlformats.org/officeDocument/2006/relationships/customXml" Target="../customXml/item2.xml"/><Relationship Id="rId16" Type="http://schemas.openxmlformats.org/officeDocument/2006/relationships/hyperlink" Target="https://www.iccat.int/Documents/Recs/compendiopdf-f/2011-09-f.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iccat.int/Documents/Recs/compendiopdf-f/2007-07-f.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w.officeapps.live.com/op/view.aspx?src=https%3A%2F%2Fwww.iccat.int%2FDocsComm%2Fuploads%2F2026%2FPWG_414_FRA_20261009102350.docx&amp;wdOrigin=BROWSELIN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e33b42574f17e324c76338712191be5">
  <xsd:schema xmlns:xsd="http://www.w3.org/2001/XMLSchema" xmlns:xs="http://www.w3.org/2001/XMLSchema" xmlns:p="http://schemas.microsoft.com/office/2006/metadata/properties" xmlns:ns2="662745e8-e224-48e8-a2e3-254862b8c2f5" xmlns:ns3="01f5ea41-7e48-4e68-91b3-675ca7359689" xmlns:ns4="c1484481-a663-41ff-ae1f-a8f48ff0cf2e" targetNamespace="http://schemas.microsoft.com/office/2006/metadata/properties" ma:root="true" ma:fieldsID="0d77f885b370711da2669a1c7e36c7ce" ns2:_="" ns3:_="" ns4:_="">
    <xsd:import namespace="662745e8-e224-48e8-a2e3-254862b8c2f5"/>
    <xsd:import namespace="01f5ea41-7e48-4e68-91b3-675ca7359689"/>
    <xsd:import namespace="c1484481-a663-41ff-ae1f-a8f48ff0cf2e"/>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dlc_EmailSubject" minOccurs="0"/>
                <xsd:element ref="ns3:dlc_EmailCC" minOccurs="0"/>
                <xsd:element ref="ns4:MediaServiceMetadata" minOccurs="0"/>
                <xsd:element ref="ns4:MediaServiceFastMetadata" minOccurs="0"/>
                <xsd:element ref="ns4:MediaServiceAutoKeyPoints" minOccurs="0"/>
                <xsd:element ref="ns4:MediaServiceKeyPoints" minOccurs="0"/>
                <xsd:element ref="ns3:dlc_EmailSentUTC" minOccurs="0"/>
                <xsd:element ref="ns3:dlc_EmailTo" minOccurs="0"/>
                <xsd:element ref="ns3:dlc_EmailFrom" minOccurs="0"/>
                <xsd:element ref="ns3:peb8f3fab875401ca34a9f28cac46400" minOccurs="0"/>
                <xsd:element ref="ns3:bcb1675984d34ae3a1ed6b6e433c98de" minOccurs="0"/>
                <xsd:element ref="ns3:dlc_EmailReceivedUT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isheries and Conservation" ma:internalName="Team" ma:readOnly="false">
      <xsd:simpleType>
        <xsd:restriction base="dms:Text"/>
      </xsd:simpleType>
    </xsd:element>
    <xsd:element name="Topic" ma:index="20" nillable="true" ma:displayName="Topic" ma:default="International"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5" nillable="true" ma:displayName="Subject" ma:internalName="dlc_EmailSubject" ma:readOnly="false">
      <xsd:simpleType>
        <xsd:restriction base="dms:Note"/>
      </xsd:simpleType>
    </xsd:element>
    <xsd:element name="dlc_EmailCC" ma:index="26" nillable="true" ma:displayName="CC" ma:internalName="dlc_EmailCC" ma:readOnly="false">
      <xsd:simpleType>
        <xsd:restriction base="dms:Note">
          <xsd:maxLength value="255"/>
        </xsd:restriction>
      </xsd:simpleType>
    </xsd:element>
    <xsd:element name="dlc_EmailSentUTC" ma:index="31" nillable="true" ma:displayName="Date Sent" ma:format="DateTime" ma:internalName="dlc_EmailSentUTC" ma:readOnly="false">
      <xsd:simpleType>
        <xsd:restriction base="dms:DateTime"/>
      </xsd:simpleType>
    </xsd:element>
    <xsd:element name="dlc_EmailTo" ma:index="32" nillable="true" ma:displayName="To" ma:internalName="dlc_EmailTo" ma:readOnly="false">
      <xsd:simpleType>
        <xsd:restriction base="dms:Note"/>
      </xsd:simpleType>
    </xsd:element>
    <xsd:element name="dlc_EmailFrom" ma:index="33" nillable="true" ma:displayName="From" ma:internalName="dlc_EmailFrom" ma:readOnly="false">
      <xsd:simpleType>
        <xsd:restriction base="dms:Text">
          <xsd:maxLength value="255"/>
        </xsd:restriction>
      </xsd:simpleType>
    </xsd:element>
    <xsd:element name="peb8f3fab875401ca34a9f28cac46400" ma:index="34"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6"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dlc_EmailReceivedUTC" ma:index="38" nillable="true" ma:displayName="Date Received" ma:format="DateTime" ma:internalName="dlc_EmailReceivedUTC"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d1117845-93f6-4da3-abaa-fcb4fa669c78" ContentTypeId="0x010100A5BF1C78D9F64B679A5EBDE1C6598EBC01" PreviousValue="false"/>
</file>

<file path=customXml/item4.xml><?xml version="1.0" encoding="utf-8"?>
<p:properties xmlns:p="http://schemas.microsoft.com/office/2006/metadata/properties" xmlns:xsi="http://www.w3.org/2001/XMLSchema-instance" xmlns:pc="http://schemas.microsoft.com/office/infopath/2007/PartnerControls">
  <documentManagement>
    <bcb1675984d34ae3a1ed6b6e433c98de xmlns="01f5ea41-7e48-4e68-91b3-675ca7359689">
      <Terms xmlns="http://schemas.microsoft.com/office/infopath/2007/PartnerControls"/>
    </bcb1675984d34ae3a1ed6b6e433c98d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dlc_EmailSubject xmlns="01f5ea41-7e48-4e68-91b3-675ca7359689" xsi:nil="true"/>
    <k85d23755b3a46b5a51451cf336b2e9b xmlns="662745e8-e224-48e8-a2e3-254862b8c2f5">
      <Terms xmlns="http://schemas.microsoft.com/office/infopath/2007/PartnerControls"/>
    </k85d23755b3a46b5a51451cf336b2e9b>
    <dlc_EmailFrom xmlns="01f5ea41-7e48-4e68-91b3-675ca7359689" xsi:nil="true"/>
    <dlc_EmailReceivedUTC xmlns="01f5ea41-7e48-4e68-91b3-675ca7359689" xsi:nil="true"/>
    <dlc_EmailSentUTC xmlns="01f5ea41-7e48-4e68-91b3-675ca7359689" xsi:nil="true"/>
    <Topic xmlns="662745e8-e224-48e8-a2e3-254862b8c2f5">International</Topic>
    <dlc_EmailTo xmlns="01f5ea41-7e48-4e68-91b3-675ca7359689" xsi:nil="true"/>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CC xmlns="01f5ea41-7e48-4e68-91b3-675ca7359689"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peb8f3fab875401ca34a9f28cac46400 xmlns="01f5ea41-7e48-4e68-91b3-675ca7359689">
      <Terms xmlns="http://schemas.microsoft.com/office/infopath/2007/PartnerControls"/>
    </peb8f3fab875401ca34a9f28cac46400>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574AF557-6660-4F4B-9250-E6C889FA4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01f5ea41-7e48-4e68-91b3-675ca7359689"/>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AF45A8-CD3B-4A25-B491-D48B19D44437}">
  <ds:schemaRefs>
    <ds:schemaRef ds:uri="http://schemas.openxmlformats.org/officeDocument/2006/bibliography"/>
  </ds:schemaRefs>
</ds:datastoreItem>
</file>

<file path=customXml/itemProps3.xml><?xml version="1.0" encoding="utf-8"?>
<ds:datastoreItem xmlns:ds="http://schemas.openxmlformats.org/officeDocument/2006/customXml" ds:itemID="{5C2C5DB5-E2DD-4B44-AA62-4946D46881CE}">
  <ds:schemaRefs>
    <ds:schemaRef ds:uri="Microsoft.SharePoint.Taxonomy.ContentTypeSync"/>
  </ds:schemaRefs>
</ds:datastoreItem>
</file>

<file path=customXml/itemProps4.xml><?xml version="1.0" encoding="utf-8"?>
<ds:datastoreItem xmlns:ds="http://schemas.openxmlformats.org/officeDocument/2006/customXml" ds:itemID="{6775A7F4-7237-4A22-84D6-55D91C032C33}">
  <ds:schemaRefs>
    <ds:schemaRef ds:uri="http://schemas.microsoft.com/office/2006/metadata/properties"/>
    <ds:schemaRef ds:uri="http://schemas.microsoft.com/office/infopath/2007/PartnerControls"/>
    <ds:schemaRef ds:uri="01f5ea41-7e48-4e68-91b3-675ca7359689"/>
    <ds:schemaRef ds:uri="662745e8-e224-48e8-a2e3-254862b8c2f5"/>
  </ds:schemaRefs>
</ds:datastoreItem>
</file>

<file path=customXml/itemProps5.xml><?xml version="1.0" encoding="utf-8"?>
<ds:datastoreItem xmlns:ds="http://schemas.openxmlformats.org/officeDocument/2006/customXml" ds:itemID="{32262C30-384E-4C1A-8E86-D98C9DC083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2889</Words>
  <Characters>16473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19324</CharactersWithSpaces>
  <SharedDoc>false</SharedDoc>
  <HLinks>
    <vt:vector size="60" baseType="variant">
      <vt:variant>
        <vt:i4>5308475</vt:i4>
      </vt:variant>
      <vt:variant>
        <vt:i4>27</vt:i4>
      </vt:variant>
      <vt:variant>
        <vt:i4>0</vt:i4>
      </vt:variant>
      <vt:variant>
        <vt:i4>5</vt:i4>
      </vt:variant>
      <vt:variant>
        <vt:lpwstr>https://view.officeapps.live.com/op/view.aspx?src=https%3A%2F%2Fwww.iccat.int%2FDocsComm%2Fuploads%2F2026%2FPWG_414_ENG_20261009102350.docx&amp;wdOrigin=BROWSELINK</vt:lpwstr>
      </vt:variant>
      <vt:variant>
        <vt:lpwstr/>
      </vt:variant>
      <vt:variant>
        <vt:i4>5767208</vt:i4>
      </vt:variant>
      <vt:variant>
        <vt:i4>24</vt:i4>
      </vt:variant>
      <vt:variant>
        <vt:i4>0</vt:i4>
      </vt:variant>
      <vt:variant>
        <vt:i4>5</vt:i4>
      </vt:variant>
      <vt:variant>
        <vt:lpwstr>https://view.officeapps.live.com/op/view.aspx?src=https%3A%2F%2Fwww.iccat.int%2FDocsComm%2Fuploads%2F2025%2FPA4_811_ENG_SPONS_1_20251120143936.doc&amp;wdOrigin=BROWSELINK</vt:lpwstr>
      </vt:variant>
      <vt:variant>
        <vt:lpwstr/>
      </vt:variant>
      <vt:variant>
        <vt:i4>5767208</vt:i4>
      </vt:variant>
      <vt:variant>
        <vt:i4>15</vt:i4>
      </vt:variant>
      <vt:variant>
        <vt:i4>0</vt:i4>
      </vt:variant>
      <vt:variant>
        <vt:i4>5</vt:i4>
      </vt:variant>
      <vt:variant>
        <vt:lpwstr>https://view.officeapps.live.com/op/view.aspx?src=https%3A%2F%2Fwww.iccat.int%2FDocsComm%2Fuploads%2F2025%2FPA4_811_ENG_SPONS_1_20251120143936.doc&amp;wdOrigin=BROWSELINK</vt:lpwstr>
      </vt:variant>
      <vt:variant>
        <vt:lpwstr/>
      </vt:variant>
      <vt:variant>
        <vt:i4>4653059</vt:i4>
      </vt:variant>
      <vt:variant>
        <vt:i4>12</vt:i4>
      </vt:variant>
      <vt:variant>
        <vt:i4>0</vt:i4>
      </vt:variant>
      <vt:variant>
        <vt:i4>5</vt:i4>
      </vt:variant>
      <vt:variant>
        <vt:lpwstr>https://www.iccat.int/Documents/Recs/compendiopdf-e/2011-09-e.pdf</vt:lpwstr>
      </vt:variant>
      <vt:variant>
        <vt:lpwstr/>
      </vt:variant>
      <vt:variant>
        <vt:i4>4259852</vt:i4>
      </vt:variant>
      <vt:variant>
        <vt:i4>9</vt:i4>
      </vt:variant>
      <vt:variant>
        <vt:i4>0</vt:i4>
      </vt:variant>
      <vt:variant>
        <vt:i4>5</vt:i4>
      </vt:variant>
      <vt:variant>
        <vt:lpwstr>https://www.iccat.int/Documents/Recs/compendiopdf-e/2007-07-e.pdf</vt:lpwstr>
      </vt:variant>
      <vt:variant>
        <vt:lpwstr/>
      </vt:variant>
      <vt:variant>
        <vt:i4>5308475</vt:i4>
      </vt:variant>
      <vt:variant>
        <vt:i4>6</vt:i4>
      </vt:variant>
      <vt:variant>
        <vt:i4>0</vt:i4>
      </vt:variant>
      <vt:variant>
        <vt:i4>5</vt:i4>
      </vt:variant>
      <vt:variant>
        <vt:lpwstr>https://view.officeapps.live.com/op/view.aspx?src=https%3A%2F%2Fwww.iccat.int%2FDocsComm%2Fuploads%2F2026%2FPWG_414_ENG_20261009102350.docx&amp;wdOrigin=BROWSELINK</vt:lpwstr>
      </vt:variant>
      <vt:variant>
        <vt:lpwstr/>
      </vt:variant>
      <vt:variant>
        <vt:i4>2687025</vt:i4>
      </vt:variant>
      <vt:variant>
        <vt:i4>3</vt:i4>
      </vt:variant>
      <vt:variant>
        <vt:i4>0</vt:i4>
      </vt:variant>
      <vt:variant>
        <vt:i4>5</vt:i4>
      </vt:variant>
      <vt:variant>
        <vt:lpwstr>https://secretariat.iccat.online/index.php/s/5WwQztA9erkKP7e?dir=/June/ENG&amp;editing=false&amp;openfile=true</vt:lpwstr>
      </vt:variant>
      <vt:variant>
        <vt:lpwstr/>
      </vt:variant>
      <vt:variant>
        <vt:i4>2687025</vt:i4>
      </vt:variant>
      <vt:variant>
        <vt:i4>0</vt:i4>
      </vt:variant>
      <vt:variant>
        <vt:i4>0</vt:i4>
      </vt:variant>
      <vt:variant>
        <vt:i4>5</vt:i4>
      </vt:variant>
      <vt:variant>
        <vt:lpwstr>https://secretariat.iccat.online/index.php/s/5WwQztA9erkKP7e?dir=/June/ENG&amp;editing=false&amp;openfile=true</vt:lpwstr>
      </vt:variant>
      <vt:variant>
        <vt:lpwstr/>
      </vt:variant>
      <vt:variant>
        <vt:i4>4390912</vt:i4>
      </vt:variant>
      <vt:variant>
        <vt:i4>3</vt:i4>
      </vt:variant>
      <vt:variant>
        <vt:i4>0</vt:i4>
      </vt:variant>
      <vt:variant>
        <vt:i4>5</vt:i4>
      </vt:variant>
      <vt:variant>
        <vt:lpwstr>https://www.iccat.int/Documents/Recs/compendiopdf-e/2025-09-e.pdf</vt:lpwstr>
      </vt:variant>
      <vt:variant>
        <vt:lpwstr/>
      </vt:variant>
      <vt:variant>
        <vt:i4>7602264</vt:i4>
      </vt:variant>
      <vt:variant>
        <vt:i4>0</vt:i4>
      </vt:variant>
      <vt:variant>
        <vt:i4>0</vt:i4>
      </vt:variant>
      <vt:variant>
        <vt:i4>5</vt:i4>
      </vt:variant>
      <vt:variant>
        <vt:lpwstr>mailto:Carlo.Bella@defra.gov.uk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Cunningham</dc:creator>
  <cp:keywords/>
  <dc:description/>
  <cp:lastModifiedBy>Dorothee Pinet</cp:lastModifiedBy>
  <cp:revision>16</cp:revision>
  <dcterms:created xsi:type="dcterms:W3CDTF">2026-10-16T14:00:00Z</dcterms:created>
  <dcterms:modified xsi:type="dcterms:W3CDTF">2026-10-27T14:20:00Z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InformationType">
    <vt:lpwstr/>
  </property>
  <property fmtid="{D5CDD505-2E9C-101B-9397-08002B2CF9AE}" pid="4" name="HOSiteType">
    <vt:lpwstr>10;#Team|ff0485df-0575-416f-802f-e999165821b7</vt:lpwstr>
  </property>
  <property fmtid="{D5CDD505-2E9C-101B-9397-08002B2CF9AE}" pid="5" name="Distribution">
    <vt:lpwstr>9;#Internal Core Defra|836ac8df-3ab9-4c95-a1f0-07f825804935</vt:lpwstr>
  </property>
  <property fmtid="{D5CDD505-2E9C-101B-9397-08002B2CF9AE}" pid="6" name="OrganisationalUnit">
    <vt:lpwstr>8;#Core Defra|026223dd-2e56-4615-868d-7c5bfd566810</vt:lpwstr>
  </property>
  <property fmtid="{D5CDD505-2E9C-101B-9397-08002B2CF9AE}" pid="7" name="Directorate">
    <vt:lpwstr/>
  </property>
  <property fmtid="{D5CDD505-2E9C-101B-9397-08002B2CF9AE}" pid="8" name="HOCopyrightLevel">
    <vt:lpwstr>7;#Crown|69589897-2828-4761-976e-717fd8e631c9</vt:lpwstr>
  </property>
  <property fmtid="{D5CDD505-2E9C-101B-9397-08002B2CF9AE}" pid="9" name="SecurityClassification">
    <vt:lpwstr/>
  </property>
  <property fmtid="{D5CDD505-2E9C-101B-9397-08002B2CF9AE}" pid="10" name="HOGovernmentSecurityClassification">
    <vt:lpwstr>6;#Official|14c80daa-741b-422c-9722-f71693c9ede4</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docLang">
    <vt:lpwstr>en</vt:lpwstr>
  </property>
</Properties>
</file>