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1B2B6" w14:textId="583CF4A1" w:rsidR="00695BE5" w:rsidRPr="00EB712F" w:rsidRDefault="00220DEE" w:rsidP="00220DEE">
      <w:pPr>
        <w:spacing w:after="0" w:line="240" w:lineRule="auto"/>
        <w:jc w:val="right"/>
        <w:rPr>
          <w:rFonts w:ascii="Cambria" w:hAnsi="Cambria"/>
          <w:b/>
          <w:bCs/>
          <w:sz w:val="20"/>
          <w:szCs w:val="20"/>
        </w:rPr>
      </w:pPr>
      <w:r w:rsidRPr="00EB712F">
        <w:rPr>
          <w:rFonts w:ascii="Cambria" w:hAnsi="Cambria"/>
          <w:b/>
          <w:sz w:val="20"/>
          <w:szCs w:val="20"/>
        </w:rPr>
        <w:t xml:space="preserve">Original : </w:t>
      </w:r>
      <w:r w:rsidRPr="00EB712F">
        <w:rPr>
          <w:rFonts w:ascii="Cambria" w:hAnsi="Cambria"/>
          <w:b/>
          <w:bCs/>
          <w:sz w:val="20"/>
          <w:szCs w:val="20"/>
        </w:rPr>
        <w:t>anglais</w:t>
      </w:r>
    </w:p>
    <w:p w14:paraId="1A50EC94" w14:textId="77777777" w:rsidR="00F52312" w:rsidRPr="00EB712F" w:rsidRDefault="00F52312" w:rsidP="00220DEE">
      <w:pPr>
        <w:spacing w:after="0" w:line="240" w:lineRule="auto"/>
        <w:jc w:val="right"/>
        <w:rPr>
          <w:rFonts w:ascii="Cambria" w:hAnsi="Cambria"/>
          <w:b/>
          <w:bCs/>
          <w:sz w:val="20"/>
          <w:szCs w:val="20"/>
        </w:rPr>
      </w:pPr>
    </w:p>
    <w:p w14:paraId="71C50E0A" w14:textId="4E195399" w:rsidR="00E67B6A" w:rsidRPr="00EB712F" w:rsidRDefault="00E67B6A" w:rsidP="00E67B6A">
      <w:pPr>
        <w:spacing w:after="0" w:line="240" w:lineRule="auto"/>
        <w:jc w:val="center"/>
        <w:rPr>
          <w:rFonts w:ascii="Cambria" w:hAnsi="Cambria"/>
          <w:b/>
          <w:bCs/>
          <w:sz w:val="20"/>
          <w:szCs w:val="20"/>
        </w:rPr>
      </w:pPr>
      <w:r w:rsidRPr="00EB712F">
        <w:rPr>
          <w:rFonts w:ascii="Cambria" w:hAnsi="Cambria"/>
          <w:b/>
          <w:sz w:val="20"/>
          <w:szCs w:val="20"/>
        </w:rPr>
        <w:t xml:space="preserve">Document de réflexion sur les prochaines étapes du développement d'un système électronique d'échange d'informations sur les mesures du ressort de l'État du port pour les pêcheries de l’ICCAT </w:t>
      </w:r>
    </w:p>
    <w:p w14:paraId="2FB881AE" w14:textId="3F9693EE" w:rsidR="00E67B6A" w:rsidRPr="00EB712F" w:rsidRDefault="00E67B6A" w:rsidP="00E67B6A">
      <w:pPr>
        <w:spacing w:after="0" w:line="240" w:lineRule="auto"/>
        <w:jc w:val="center"/>
        <w:rPr>
          <w:rFonts w:ascii="Cambria" w:hAnsi="Cambria"/>
          <w:i/>
          <w:iCs/>
          <w:sz w:val="20"/>
          <w:szCs w:val="20"/>
        </w:rPr>
      </w:pPr>
      <w:r w:rsidRPr="00EB712F">
        <w:rPr>
          <w:rFonts w:ascii="Cambria" w:hAnsi="Cambria"/>
          <w:i/>
          <w:sz w:val="20"/>
          <w:szCs w:val="20"/>
        </w:rPr>
        <w:t>(</w:t>
      </w:r>
      <w:proofErr w:type="gramStart"/>
      <w:r w:rsidRPr="00EB712F">
        <w:rPr>
          <w:rFonts w:ascii="Cambria" w:hAnsi="Cambria"/>
          <w:i/>
          <w:sz w:val="20"/>
          <w:szCs w:val="20"/>
        </w:rPr>
        <w:t>document</w:t>
      </w:r>
      <w:proofErr w:type="gramEnd"/>
      <w:r w:rsidRPr="00EB712F">
        <w:rPr>
          <w:rFonts w:ascii="Cambria" w:hAnsi="Cambria"/>
          <w:i/>
          <w:sz w:val="20"/>
          <w:szCs w:val="20"/>
        </w:rPr>
        <w:t xml:space="preserve"> de </w:t>
      </w:r>
      <w:r w:rsidR="003E7540">
        <w:rPr>
          <w:rFonts w:ascii="Cambria" w:hAnsi="Cambria"/>
          <w:i/>
          <w:sz w:val="20"/>
          <w:szCs w:val="20"/>
        </w:rPr>
        <w:t>réflexion</w:t>
      </w:r>
      <w:r w:rsidRPr="00EB712F">
        <w:rPr>
          <w:rFonts w:ascii="Cambria" w:hAnsi="Cambria"/>
          <w:i/>
          <w:sz w:val="20"/>
          <w:szCs w:val="20"/>
        </w:rPr>
        <w:t xml:space="preserve"> soumis par le Royaume-Uni)</w:t>
      </w:r>
    </w:p>
    <w:p w14:paraId="20ECF9B0" w14:textId="77777777" w:rsidR="00F52312" w:rsidRPr="00EB712F" w:rsidRDefault="00F52312" w:rsidP="00E67B6A">
      <w:pPr>
        <w:spacing w:after="0" w:line="240" w:lineRule="auto"/>
        <w:jc w:val="center"/>
        <w:rPr>
          <w:rFonts w:ascii="Cambria" w:hAnsi="Cambria"/>
          <w:i/>
          <w:iCs/>
          <w:sz w:val="20"/>
          <w:szCs w:val="20"/>
        </w:rPr>
      </w:pPr>
    </w:p>
    <w:p w14:paraId="5453C75A" w14:textId="77777777" w:rsidR="00E67B6A" w:rsidRPr="00EB712F" w:rsidRDefault="00E67B6A" w:rsidP="00E67B6A">
      <w:pPr>
        <w:spacing w:after="0" w:line="240" w:lineRule="auto"/>
        <w:rPr>
          <w:rFonts w:ascii="Cambria" w:hAnsi="Cambria"/>
          <w:b/>
          <w:bCs/>
          <w:sz w:val="20"/>
          <w:szCs w:val="20"/>
        </w:rPr>
      </w:pPr>
      <w:r w:rsidRPr="00EB712F">
        <w:rPr>
          <w:rFonts w:ascii="Cambria" w:hAnsi="Cambria"/>
          <w:b/>
          <w:sz w:val="20"/>
          <w:szCs w:val="20"/>
        </w:rPr>
        <w:t>Résumé</w:t>
      </w:r>
    </w:p>
    <w:p w14:paraId="2D13AB0D" w14:textId="77777777" w:rsidR="00E67B6A" w:rsidRPr="00EB712F" w:rsidRDefault="00E67B6A" w:rsidP="00E67B6A">
      <w:pPr>
        <w:spacing w:after="0" w:line="240" w:lineRule="auto"/>
        <w:rPr>
          <w:rFonts w:ascii="Cambria" w:hAnsi="Cambria"/>
          <w:sz w:val="20"/>
          <w:szCs w:val="20"/>
        </w:rPr>
      </w:pPr>
    </w:p>
    <w:p w14:paraId="5789CC57" w14:textId="5CDAA798" w:rsidR="00622EDE" w:rsidRPr="00EB712F" w:rsidRDefault="00835C85" w:rsidP="00D6466E">
      <w:pPr>
        <w:spacing w:after="0" w:line="240" w:lineRule="auto"/>
        <w:jc w:val="both"/>
        <w:rPr>
          <w:rFonts w:ascii="Cambria" w:hAnsi="Cambria"/>
          <w:sz w:val="20"/>
          <w:szCs w:val="20"/>
        </w:rPr>
      </w:pPr>
      <w:r w:rsidRPr="00EB712F">
        <w:rPr>
          <w:rFonts w:ascii="Cambria" w:hAnsi="Cambria"/>
          <w:sz w:val="20"/>
          <w:szCs w:val="20"/>
        </w:rPr>
        <w:t xml:space="preserve">Le présent document s'appuie sur les discussions qui ont eu lieu lors de la 19e réunion du Groupe de travail chargé d’élaborer des mesures de contrôle intégré (IMM) concernant la mise en place d'un système électronique de l'ICCAT pour l'échange d'informations sur les mesures du ressort de l'État du port. Ces discussions ont principalement porté sur le document de réflexion du </w:t>
      </w:r>
      <w:r w:rsidR="003E7540">
        <w:rPr>
          <w:rFonts w:ascii="Cambria" w:hAnsi="Cambria"/>
          <w:sz w:val="20"/>
          <w:szCs w:val="20"/>
        </w:rPr>
        <w:t>Royaume-Uni,</w:t>
      </w:r>
      <w:r w:rsidRPr="00EB712F">
        <w:rPr>
          <w:rFonts w:ascii="Cambria" w:hAnsi="Cambria"/>
          <w:sz w:val="20"/>
          <w:szCs w:val="20"/>
        </w:rPr>
        <w:t xml:space="preserve"> IMM_07/i2026</w:t>
      </w:r>
      <w:r w:rsidR="003E7540">
        <w:rPr>
          <w:rFonts w:ascii="Cambria" w:hAnsi="Cambria"/>
          <w:sz w:val="20"/>
          <w:szCs w:val="20"/>
        </w:rPr>
        <w:t>,</w:t>
      </w:r>
      <w:r w:rsidRPr="00EB712F">
        <w:rPr>
          <w:rFonts w:ascii="Cambria" w:hAnsi="Cambria"/>
          <w:sz w:val="20"/>
          <w:szCs w:val="20"/>
        </w:rPr>
        <w:t xml:space="preserve"> et le document d'information du Secrétariat</w:t>
      </w:r>
      <w:r w:rsidR="003E7540">
        <w:rPr>
          <w:rFonts w:ascii="Cambria" w:hAnsi="Cambria"/>
          <w:sz w:val="20"/>
          <w:szCs w:val="20"/>
        </w:rPr>
        <w:t>,</w:t>
      </w:r>
      <w:r w:rsidRPr="00EB712F">
        <w:rPr>
          <w:rFonts w:ascii="Cambria" w:hAnsi="Cambria"/>
          <w:sz w:val="20"/>
          <w:szCs w:val="20"/>
        </w:rPr>
        <w:t xml:space="preserve"> IMM_18/i2026. Ces discussions ont mis en évidence un soutien en faveur d'une évolution de l'ICCAT vers une approche plus moderne, plus efficace et plus interopérable en matière d'échange d'informations sur les mesures du ressort de l'État du port. </w:t>
      </w:r>
    </w:p>
    <w:p w14:paraId="7615C94F" w14:textId="77777777" w:rsidR="00622EDE" w:rsidRPr="00EB712F" w:rsidRDefault="00622EDE" w:rsidP="00D6466E">
      <w:pPr>
        <w:spacing w:after="0" w:line="240" w:lineRule="auto"/>
        <w:jc w:val="both"/>
        <w:rPr>
          <w:rFonts w:ascii="Cambria" w:hAnsi="Cambria"/>
          <w:sz w:val="20"/>
          <w:szCs w:val="20"/>
        </w:rPr>
      </w:pPr>
    </w:p>
    <w:p w14:paraId="1E32B92F" w14:textId="40DC83ED" w:rsidR="005E1618" w:rsidRPr="00EB712F" w:rsidRDefault="00256B7E" w:rsidP="00D6466E">
      <w:pPr>
        <w:spacing w:after="0" w:line="240" w:lineRule="auto"/>
        <w:jc w:val="both"/>
        <w:rPr>
          <w:rFonts w:ascii="Cambria" w:hAnsi="Cambria"/>
          <w:sz w:val="20"/>
          <w:szCs w:val="20"/>
        </w:rPr>
      </w:pPr>
      <w:r w:rsidRPr="00EB712F">
        <w:rPr>
          <w:rFonts w:ascii="Cambria" w:hAnsi="Cambria"/>
          <w:sz w:val="20"/>
          <w:szCs w:val="20"/>
        </w:rPr>
        <w:t>Deux options concernant les fondements d'un système</w:t>
      </w:r>
      <w:r w:rsidR="003E7540" w:rsidRPr="003E7540">
        <w:rPr>
          <w:rFonts w:ascii="Cambria" w:hAnsi="Cambria"/>
          <w:sz w:val="20"/>
          <w:szCs w:val="20"/>
        </w:rPr>
        <w:t xml:space="preserve"> </w:t>
      </w:r>
      <w:r w:rsidR="003E7540" w:rsidRPr="00EB712F">
        <w:rPr>
          <w:rFonts w:ascii="Cambria" w:hAnsi="Cambria"/>
          <w:sz w:val="20"/>
          <w:szCs w:val="20"/>
        </w:rPr>
        <w:t>électronique</w:t>
      </w:r>
      <w:r w:rsidRPr="00EB712F">
        <w:rPr>
          <w:rFonts w:ascii="Cambria" w:hAnsi="Cambria"/>
          <w:sz w:val="20"/>
          <w:szCs w:val="20"/>
        </w:rPr>
        <w:t xml:space="preserve"> d'échange d'informations ont recueilli le plus large soutien de la part des CPC lors de la réunion du Groupe de travail </w:t>
      </w:r>
      <w:proofErr w:type="gramStart"/>
      <w:r w:rsidRPr="00EB712F">
        <w:rPr>
          <w:rFonts w:ascii="Cambria" w:hAnsi="Cambria"/>
          <w:sz w:val="20"/>
          <w:szCs w:val="20"/>
        </w:rPr>
        <w:t>IMM:</w:t>
      </w:r>
      <w:proofErr w:type="gramEnd"/>
      <w:r w:rsidRPr="00EB712F">
        <w:rPr>
          <w:rFonts w:ascii="Cambria" w:hAnsi="Cambria"/>
          <w:sz w:val="20"/>
          <w:szCs w:val="20"/>
        </w:rPr>
        <w:t xml:space="preserve"> </w:t>
      </w:r>
    </w:p>
    <w:p w14:paraId="7F2FEB9A" w14:textId="77777777" w:rsidR="00F70BCF" w:rsidRPr="00EB712F" w:rsidRDefault="00F70BCF" w:rsidP="00D6466E">
      <w:pPr>
        <w:spacing w:after="0" w:line="240" w:lineRule="auto"/>
        <w:jc w:val="both"/>
        <w:rPr>
          <w:rFonts w:ascii="Cambria" w:hAnsi="Cambria"/>
          <w:sz w:val="20"/>
          <w:szCs w:val="20"/>
        </w:rPr>
      </w:pPr>
    </w:p>
    <w:p w14:paraId="16A2ED7B" w14:textId="77777777" w:rsidR="005E1618" w:rsidRPr="00EB712F" w:rsidRDefault="0000422C" w:rsidP="00F70BCF">
      <w:pPr>
        <w:pStyle w:val="ListParagraph"/>
        <w:numPr>
          <w:ilvl w:val="0"/>
          <w:numId w:val="3"/>
        </w:numPr>
        <w:spacing w:after="0" w:line="240" w:lineRule="auto"/>
        <w:ind w:left="851" w:hanging="425"/>
        <w:jc w:val="both"/>
        <w:rPr>
          <w:rFonts w:ascii="Cambria" w:hAnsi="Cambria"/>
          <w:sz w:val="20"/>
          <w:szCs w:val="20"/>
        </w:rPr>
      </w:pPr>
      <w:r w:rsidRPr="00EB712F">
        <w:rPr>
          <w:rFonts w:ascii="Cambria" w:hAnsi="Cambria"/>
          <w:sz w:val="20"/>
          <w:szCs w:val="20"/>
        </w:rPr>
        <w:t xml:space="preserve">Adaptation du système e-PSM existant de la CTOI, ou </w:t>
      </w:r>
    </w:p>
    <w:p w14:paraId="099E23AD" w14:textId="29D16A73" w:rsidR="006C577D" w:rsidRPr="00EB712F" w:rsidRDefault="00FF0005" w:rsidP="00F70BCF">
      <w:pPr>
        <w:pStyle w:val="ListParagraph"/>
        <w:numPr>
          <w:ilvl w:val="0"/>
          <w:numId w:val="3"/>
        </w:numPr>
        <w:spacing w:after="0" w:line="240" w:lineRule="auto"/>
        <w:ind w:left="851" w:hanging="425"/>
        <w:jc w:val="both"/>
        <w:rPr>
          <w:rFonts w:ascii="Cambria" w:hAnsi="Cambria"/>
          <w:sz w:val="20"/>
          <w:szCs w:val="20"/>
        </w:rPr>
      </w:pPr>
      <w:r w:rsidRPr="00EB712F">
        <w:rPr>
          <w:rFonts w:ascii="Cambria" w:hAnsi="Cambria"/>
          <w:sz w:val="20"/>
          <w:szCs w:val="20"/>
        </w:rPr>
        <w:t xml:space="preserve">en utilisant directement ou en adaptant une copie du Système mondial d'échange d'informations (GIES) prévu par l'Accord de la FAO sur les mesures de l'État du port (PSMA). </w:t>
      </w:r>
    </w:p>
    <w:p w14:paraId="36CBABED" w14:textId="77777777" w:rsidR="006C577D" w:rsidRPr="00EB712F" w:rsidRDefault="006C577D" w:rsidP="00D6466E">
      <w:pPr>
        <w:spacing w:after="0" w:line="240" w:lineRule="auto"/>
        <w:jc w:val="both"/>
        <w:rPr>
          <w:rFonts w:ascii="Cambria" w:hAnsi="Cambria"/>
          <w:sz w:val="20"/>
          <w:szCs w:val="20"/>
        </w:rPr>
      </w:pPr>
    </w:p>
    <w:p w14:paraId="22F92F5A" w14:textId="253EB807" w:rsidR="00A66B70" w:rsidRPr="00EB712F" w:rsidRDefault="0000422C" w:rsidP="00D6466E">
      <w:pPr>
        <w:spacing w:after="0" w:line="240" w:lineRule="auto"/>
        <w:jc w:val="both"/>
        <w:rPr>
          <w:rFonts w:ascii="Cambria" w:hAnsi="Cambria"/>
          <w:b/>
          <w:bCs/>
          <w:sz w:val="20"/>
          <w:szCs w:val="20"/>
        </w:rPr>
      </w:pPr>
      <w:r w:rsidRPr="00EB712F">
        <w:rPr>
          <w:rFonts w:ascii="Cambria" w:hAnsi="Cambria"/>
          <w:b/>
          <w:sz w:val="20"/>
          <w:szCs w:val="20"/>
        </w:rPr>
        <w:t>Le document invite le PWG à se prononcer sur les points suivants :</w:t>
      </w:r>
    </w:p>
    <w:p w14:paraId="49999446" w14:textId="77777777" w:rsidR="00BA4278" w:rsidRPr="00EB712F" w:rsidRDefault="00BA4278" w:rsidP="00D6466E">
      <w:pPr>
        <w:spacing w:after="0" w:line="240" w:lineRule="auto"/>
        <w:jc w:val="both"/>
        <w:rPr>
          <w:rFonts w:ascii="Cambria" w:hAnsi="Cambria"/>
          <w:sz w:val="20"/>
          <w:szCs w:val="20"/>
        </w:rPr>
      </w:pPr>
    </w:p>
    <w:p w14:paraId="7182A24C" w14:textId="7A5AF8FD" w:rsidR="00A66B70" w:rsidRPr="00EB712F" w:rsidRDefault="00835C85" w:rsidP="00D6466E">
      <w:pPr>
        <w:pStyle w:val="ListParagraph"/>
        <w:numPr>
          <w:ilvl w:val="0"/>
          <w:numId w:val="34"/>
        </w:numPr>
        <w:spacing w:after="0" w:line="240" w:lineRule="auto"/>
        <w:jc w:val="both"/>
        <w:rPr>
          <w:rFonts w:ascii="Cambria" w:hAnsi="Cambria"/>
          <w:b/>
          <w:bCs/>
          <w:sz w:val="20"/>
          <w:szCs w:val="20"/>
        </w:rPr>
      </w:pPr>
      <w:r w:rsidRPr="00EB712F">
        <w:rPr>
          <w:rFonts w:ascii="Cambria" w:hAnsi="Cambria"/>
          <w:b/>
          <w:sz w:val="20"/>
          <w:szCs w:val="20"/>
        </w:rPr>
        <w:t xml:space="preserve">l’option à retenir pour la suite du développement, et </w:t>
      </w:r>
    </w:p>
    <w:p w14:paraId="6591BA19" w14:textId="6CCBF550" w:rsidR="00835C85" w:rsidRPr="00EB712F" w:rsidRDefault="00E56A8F" w:rsidP="00D6466E">
      <w:pPr>
        <w:pStyle w:val="ListParagraph"/>
        <w:numPr>
          <w:ilvl w:val="0"/>
          <w:numId w:val="34"/>
        </w:numPr>
        <w:spacing w:after="0" w:line="240" w:lineRule="auto"/>
        <w:jc w:val="both"/>
        <w:rPr>
          <w:rFonts w:ascii="Cambria" w:hAnsi="Cambria"/>
          <w:b/>
          <w:bCs/>
          <w:sz w:val="20"/>
          <w:szCs w:val="20"/>
        </w:rPr>
      </w:pPr>
      <w:r w:rsidRPr="00EB712F">
        <w:rPr>
          <w:rFonts w:ascii="Cambria" w:hAnsi="Cambria"/>
          <w:b/>
          <w:sz w:val="20"/>
          <w:szCs w:val="20"/>
        </w:rPr>
        <w:t>les principes fondamentaux qui devraient guider le Secrétariat et le Groupe de travail IMM/PWG dans la prochaine phase des travaux.</w:t>
      </w:r>
    </w:p>
    <w:p w14:paraId="67D14133" w14:textId="77777777" w:rsidR="00447663" w:rsidRPr="00EB712F" w:rsidRDefault="00447663" w:rsidP="00D6466E">
      <w:pPr>
        <w:spacing w:after="0" w:line="240" w:lineRule="auto"/>
        <w:jc w:val="both"/>
        <w:rPr>
          <w:rFonts w:ascii="Cambria" w:hAnsi="Cambria"/>
          <w:b/>
          <w:bCs/>
          <w:sz w:val="20"/>
          <w:szCs w:val="20"/>
        </w:rPr>
      </w:pPr>
    </w:p>
    <w:p w14:paraId="3E9DAD18" w14:textId="45B205AD" w:rsidR="00A216B5" w:rsidRPr="00EB712F" w:rsidRDefault="00800249" w:rsidP="00D6466E">
      <w:pPr>
        <w:spacing w:after="0" w:line="240" w:lineRule="auto"/>
        <w:jc w:val="both"/>
        <w:rPr>
          <w:rFonts w:ascii="Cambria" w:hAnsi="Cambria"/>
          <w:sz w:val="20"/>
          <w:szCs w:val="20"/>
        </w:rPr>
      </w:pPr>
      <w:r w:rsidRPr="00EB712F">
        <w:rPr>
          <w:rFonts w:ascii="Cambria" w:hAnsi="Cambria"/>
          <w:sz w:val="20"/>
          <w:szCs w:val="20"/>
        </w:rPr>
        <w:t xml:space="preserve">Une décision sur ces questions à ce stade permettra au Secrétariat et au Groupe de travail IMM/PWG de disposer d’un mandat clair pour la prochaine phase des travaux, conformément aux objectifs de la </w:t>
      </w:r>
      <w:hyperlink r:id="rId10">
        <w:r w:rsidR="00D32956" w:rsidRPr="00EB712F">
          <w:rPr>
            <w:rStyle w:val="Hyperlink"/>
            <w:rFonts w:ascii="Cambria" w:hAnsi="Cambria"/>
            <w:sz w:val="20"/>
            <w:szCs w:val="20"/>
            <w:u w:val="none"/>
          </w:rPr>
          <w:t>Recommandation</w:t>
        </w:r>
        <w:r w:rsidRPr="00EB712F">
          <w:rPr>
            <w:rStyle w:val="Hyperlink"/>
            <w:rFonts w:ascii="Cambria" w:hAnsi="Cambria"/>
            <w:sz w:val="20"/>
            <w:szCs w:val="20"/>
            <w:u w:val="none"/>
          </w:rPr>
          <w:t xml:space="preserve"> 25‑11</w:t>
        </w:r>
      </w:hyperlink>
      <w:r w:rsidRPr="00EB712F">
        <w:rPr>
          <w:rFonts w:ascii="Cambria" w:hAnsi="Cambria"/>
          <w:sz w:val="20"/>
          <w:szCs w:val="20"/>
        </w:rPr>
        <w:t xml:space="preserve">.  </w:t>
      </w:r>
    </w:p>
    <w:p w14:paraId="3F2E7EA5" w14:textId="77777777" w:rsidR="00A216B5" w:rsidRPr="00EB712F" w:rsidRDefault="00A216B5" w:rsidP="00D6466E">
      <w:pPr>
        <w:spacing w:after="0" w:line="240" w:lineRule="auto"/>
        <w:jc w:val="both"/>
        <w:rPr>
          <w:rFonts w:ascii="Cambria" w:hAnsi="Cambria"/>
          <w:sz w:val="20"/>
          <w:szCs w:val="20"/>
        </w:rPr>
      </w:pPr>
    </w:p>
    <w:p w14:paraId="3D10305E" w14:textId="08E35CA7" w:rsidR="00447663" w:rsidRPr="00EB712F" w:rsidRDefault="00A216B5" w:rsidP="00D6466E">
      <w:pPr>
        <w:spacing w:after="0" w:line="240" w:lineRule="auto"/>
        <w:jc w:val="both"/>
        <w:rPr>
          <w:rFonts w:ascii="Cambria" w:hAnsi="Cambria"/>
          <w:sz w:val="20"/>
          <w:szCs w:val="20"/>
        </w:rPr>
      </w:pPr>
      <w:r w:rsidRPr="00EB712F">
        <w:rPr>
          <w:rFonts w:ascii="Cambria" w:hAnsi="Cambria"/>
          <w:sz w:val="20"/>
          <w:szCs w:val="20"/>
        </w:rPr>
        <w:t xml:space="preserve">Il convient de noter que le présent document doit être lu conjointement avec l'analyse des </w:t>
      </w:r>
      <w:proofErr w:type="gramStart"/>
      <w:r w:rsidRPr="00EB712F">
        <w:rPr>
          <w:rFonts w:ascii="Cambria" w:hAnsi="Cambria"/>
          <w:sz w:val="20"/>
          <w:szCs w:val="20"/>
        </w:rPr>
        <w:t>deux options réalisée</w:t>
      </w:r>
      <w:proofErr w:type="gramEnd"/>
      <w:r w:rsidRPr="00EB712F">
        <w:rPr>
          <w:rFonts w:ascii="Cambria" w:hAnsi="Cambria"/>
          <w:sz w:val="20"/>
          <w:szCs w:val="20"/>
        </w:rPr>
        <w:t xml:space="preserve"> par le Secrétariat et figurant dans le document</w:t>
      </w:r>
      <w:hyperlink r:id="rId11" w:history="1">
        <w:r w:rsidRPr="00F74860">
          <w:rPr>
            <w:rStyle w:val="Hyperlink"/>
            <w:rFonts w:ascii="Cambria" w:hAnsi="Cambria"/>
            <w:sz w:val="20"/>
            <w:szCs w:val="20"/>
            <w:u w:val="none"/>
          </w:rPr>
          <w:t xml:space="preserve"> PWG_411</w:t>
        </w:r>
        <w:r w:rsidR="003E7540" w:rsidRPr="00F74860">
          <w:rPr>
            <w:rStyle w:val="Hyperlink"/>
            <w:rFonts w:ascii="Cambria" w:hAnsi="Cambria"/>
            <w:sz w:val="20"/>
            <w:szCs w:val="20"/>
            <w:u w:val="none"/>
          </w:rPr>
          <w:t>/2026</w:t>
        </w:r>
      </w:hyperlink>
      <w:r w:rsidRPr="00F74860">
        <w:rPr>
          <w:rFonts w:ascii="Cambria" w:hAnsi="Cambria"/>
          <w:sz w:val="20"/>
          <w:szCs w:val="20"/>
        </w:rPr>
        <w:t>. P</w:t>
      </w:r>
      <w:r w:rsidRPr="00EB712F">
        <w:rPr>
          <w:rFonts w:ascii="Cambria" w:hAnsi="Cambria"/>
          <w:sz w:val="20"/>
          <w:szCs w:val="20"/>
        </w:rPr>
        <w:t>ar ailleurs, le présent document n'a pas pour objectif de régler les modalités détaillées d'ordre technique, opérationnel, de gouvernance, de confidentialité, de partage des données ou de conception du système liées à la mise en œuvre d'un système d'échange électronique d'informations. Ces questions feront l'objet d'un examen plus approfondi, sous la forme d'analyses techniques et de discussions, lors de la réunion du Groupe de travail IMM de 2027, et des recommandations seront, le cas échéant, transmises au PWG en novembre 2027.</w:t>
      </w:r>
    </w:p>
    <w:p w14:paraId="327A7820" w14:textId="77777777" w:rsidR="00525FA5" w:rsidRPr="00EB712F" w:rsidRDefault="00525FA5" w:rsidP="00D6466E">
      <w:pPr>
        <w:spacing w:after="0" w:line="240" w:lineRule="auto"/>
        <w:jc w:val="both"/>
        <w:rPr>
          <w:rFonts w:ascii="Cambria" w:hAnsi="Cambria"/>
          <w:sz w:val="20"/>
          <w:szCs w:val="20"/>
        </w:rPr>
      </w:pPr>
    </w:p>
    <w:p w14:paraId="0DAF5DC1" w14:textId="45C1B0F0" w:rsidR="00E67B6A" w:rsidRPr="00EB712F" w:rsidRDefault="00E67B6A" w:rsidP="00D6466E">
      <w:pPr>
        <w:spacing w:after="0" w:line="240" w:lineRule="auto"/>
        <w:jc w:val="both"/>
        <w:rPr>
          <w:rFonts w:ascii="Cambria" w:hAnsi="Cambria"/>
          <w:b/>
          <w:bCs/>
          <w:sz w:val="20"/>
          <w:szCs w:val="20"/>
        </w:rPr>
      </w:pPr>
      <w:r w:rsidRPr="00EB712F">
        <w:rPr>
          <w:rFonts w:ascii="Cambria" w:hAnsi="Cambria"/>
          <w:b/>
          <w:sz w:val="20"/>
          <w:szCs w:val="20"/>
        </w:rPr>
        <w:t>Contexte</w:t>
      </w:r>
    </w:p>
    <w:p w14:paraId="1BAC74CE" w14:textId="77777777" w:rsidR="00E67B6A" w:rsidRPr="00EB712F" w:rsidRDefault="00E67B6A" w:rsidP="00D6466E">
      <w:pPr>
        <w:spacing w:after="0" w:line="240" w:lineRule="auto"/>
        <w:jc w:val="both"/>
        <w:rPr>
          <w:rFonts w:ascii="Cambria" w:hAnsi="Cambria"/>
          <w:sz w:val="20"/>
          <w:szCs w:val="20"/>
        </w:rPr>
      </w:pPr>
    </w:p>
    <w:p w14:paraId="778804A5" w14:textId="1B9F2689" w:rsidR="001327E6" w:rsidRPr="00EB712F" w:rsidRDefault="00BD5944" w:rsidP="00D6466E">
      <w:pPr>
        <w:spacing w:after="0" w:line="240" w:lineRule="auto"/>
        <w:jc w:val="both"/>
        <w:rPr>
          <w:rFonts w:ascii="Cambria" w:hAnsi="Cambria"/>
          <w:sz w:val="20"/>
          <w:szCs w:val="20"/>
        </w:rPr>
      </w:pPr>
      <w:r w:rsidRPr="00EB712F">
        <w:rPr>
          <w:rFonts w:ascii="Cambria" w:hAnsi="Cambria"/>
          <w:sz w:val="20"/>
          <w:szCs w:val="20"/>
        </w:rPr>
        <w:t xml:space="preserve">La </w:t>
      </w:r>
      <w:hyperlink r:id="rId12" w:history="1">
        <w:r w:rsidR="00D32956" w:rsidRPr="00EB712F">
          <w:rPr>
            <w:rStyle w:val="Hyperlink"/>
            <w:rFonts w:ascii="Cambria" w:hAnsi="Cambria"/>
            <w:sz w:val="20"/>
            <w:szCs w:val="20"/>
            <w:u w:val="none"/>
          </w:rPr>
          <w:t>Recommandation</w:t>
        </w:r>
        <w:r w:rsidRPr="00EB712F">
          <w:rPr>
            <w:rStyle w:val="Hyperlink"/>
            <w:rFonts w:ascii="Cambria" w:hAnsi="Cambria"/>
            <w:sz w:val="20"/>
            <w:szCs w:val="20"/>
            <w:u w:val="none"/>
          </w:rPr>
          <w:t xml:space="preserve"> 25‑11</w:t>
        </w:r>
      </w:hyperlink>
      <w:r w:rsidRPr="00EB712F">
        <w:rPr>
          <w:rFonts w:ascii="Cambria" w:hAnsi="Cambria"/>
          <w:sz w:val="20"/>
          <w:szCs w:val="20"/>
        </w:rPr>
        <w:t xml:space="preserve"> a renforcé le cadre de l'ICCAT relatif aux mesures de l'État du port en exigeant des CPC qu'elles coopèrent et échangent des informations dans le but de réduire le risque que des poissons capturés de manière IUU ne pénètrent sur les marchés via les ports des CPC. La Recommandation reconnaît également le rôle des mécanismes de communication électroniques, y compris le GIES le cas échéant, et charge le Secrétariat d'étudier les possibilités d'accéder aux informations pertinentes et/ou de les partager par voie électronique afin d'améliorer l'échange d'informations et d'éviter la duplication des obligations de déclaration.</w:t>
      </w:r>
    </w:p>
    <w:p w14:paraId="382724C7" w14:textId="77777777" w:rsidR="001327E6" w:rsidRPr="00EB712F" w:rsidRDefault="001327E6" w:rsidP="00D6466E">
      <w:pPr>
        <w:spacing w:after="0" w:line="240" w:lineRule="auto"/>
        <w:jc w:val="both"/>
        <w:rPr>
          <w:rFonts w:ascii="Cambria" w:hAnsi="Cambria"/>
          <w:sz w:val="20"/>
          <w:szCs w:val="20"/>
        </w:rPr>
      </w:pPr>
    </w:p>
    <w:p w14:paraId="0C03EBB3" w14:textId="3C13E4E8" w:rsidR="00D32956" w:rsidRDefault="5D03C569" w:rsidP="00D32956">
      <w:pPr>
        <w:spacing w:after="0" w:line="240" w:lineRule="auto"/>
        <w:jc w:val="both"/>
        <w:rPr>
          <w:rFonts w:ascii="Cambria" w:hAnsi="Cambria"/>
          <w:sz w:val="20"/>
          <w:szCs w:val="20"/>
        </w:rPr>
      </w:pPr>
      <w:r w:rsidRPr="00EB712F">
        <w:rPr>
          <w:rFonts w:ascii="Cambria" w:hAnsi="Cambria"/>
          <w:sz w:val="20"/>
          <w:szCs w:val="20"/>
        </w:rPr>
        <w:t xml:space="preserve">La mise en place d'un système électronique d'échange d'informations de l’ICCAT offre l'occasion de moderniser l'échange d'informations actuellement soumis en vertu de la Recommandation 25-11, en facilitant la transition d'un échange manuel vers un processus électronique plus efficace et standardisé. La mise en place d'un système électronique d'échange d'informations de l’ICCAT aurait pour objectif de permettre l'échange en temps utile d'informations entre les autorités compétentes, d'améliorer la disponibilité des informations nécessaires à la prise de décision par l'État du port et de faciliter l'interopérabilité avec le GIES, le cas échéant, en particulier pour les CPC qui sont parties au PSMA et qui souhaitent partager les informations pertinentes par voie électronique et éviter les doublons. </w:t>
      </w:r>
      <w:r w:rsidR="00D32956">
        <w:rPr>
          <w:rFonts w:ascii="Cambria" w:hAnsi="Cambria"/>
          <w:sz w:val="20"/>
          <w:szCs w:val="20"/>
        </w:rPr>
        <w:br w:type="page"/>
      </w:r>
    </w:p>
    <w:p w14:paraId="4E6E2110" w14:textId="71EF7FBA" w:rsidR="004045D3" w:rsidRPr="00EB712F" w:rsidRDefault="00034B29" w:rsidP="00B948FB">
      <w:pPr>
        <w:spacing w:after="0" w:line="240" w:lineRule="auto"/>
        <w:jc w:val="both"/>
        <w:rPr>
          <w:rFonts w:ascii="Cambria" w:hAnsi="Cambria"/>
          <w:sz w:val="20"/>
          <w:szCs w:val="20"/>
        </w:rPr>
      </w:pPr>
      <w:r w:rsidRPr="00EB712F">
        <w:rPr>
          <w:rFonts w:ascii="Cambria" w:hAnsi="Cambria"/>
          <w:sz w:val="20"/>
          <w:szCs w:val="20"/>
        </w:rPr>
        <w:lastRenderedPageBreak/>
        <w:t xml:space="preserve">Les informations échangées dans le cadre du </w:t>
      </w:r>
      <w:hyperlink r:id="rId13" w:history="1">
        <w:r w:rsidRPr="00EB712F">
          <w:rPr>
            <w:rStyle w:val="Hyperlink"/>
            <w:rFonts w:ascii="Cambria" w:hAnsi="Cambria"/>
            <w:sz w:val="20"/>
            <w:szCs w:val="20"/>
            <w:u w:val="none"/>
          </w:rPr>
          <w:t>Programme d'inspe</w:t>
        </w:r>
        <w:r w:rsidRPr="00EB712F">
          <w:rPr>
            <w:rStyle w:val="Hyperlink"/>
            <w:rFonts w:ascii="Cambria" w:hAnsi="Cambria"/>
            <w:sz w:val="20"/>
            <w:szCs w:val="20"/>
            <w:u w:val="none"/>
          </w:rPr>
          <w:t>c</w:t>
        </w:r>
        <w:r w:rsidRPr="00EB712F">
          <w:rPr>
            <w:rStyle w:val="Hyperlink"/>
            <w:rFonts w:ascii="Cambria" w:hAnsi="Cambria"/>
            <w:sz w:val="20"/>
            <w:szCs w:val="20"/>
            <w:u w:val="none"/>
          </w:rPr>
          <w:t>tion au port de l’ICCAT</w:t>
        </w:r>
      </w:hyperlink>
      <w:r w:rsidRPr="00EB712F">
        <w:rPr>
          <w:rFonts w:ascii="Cambria" w:hAnsi="Cambria"/>
          <w:sz w:val="20"/>
          <w:szCs w:val="20"/>
        </w:rPr>
        <w:t xml:space="preserve"> seraient également mises à disposition par voie électronique, notamment :</w:t>
      </w:r>
    </w:p>
    <w:p w14:paraId="6D23DF39" w14:textId="77777777" w:rsidR="004045D3" w:rsidRPr="00EB712F" w:rsidRDefault="004045D3" w:rsidP="001327E6">
      <w:pPr>
        <w:spacing w:after="0" w:line="240" w:lineRule="auto"/>
        <w:rPr>
          <w:rFonts w:ascii="Cambria" w:hAnsi="Cambria"/>
          <w:sz w:val="20"/>
          <w:szCs w:val="20"/>
        </w:rPr>
      </w:pPr>
    </w:p>
    <w:p w14:paraId="384B1390" w14:textId="77777777" w:rsidR="004045D3" w:rsidRPr="00EB712F" w:rsidRDefault="000872F2" w:rsidP="00B948FB">
      <w:pPr>
        <w:pStyle w:val="ListParagraph"/>
        <w:numPr>
          <w:ilvl w:val="0"/>
          <w:numId w:val="26"/>
        </w:numPr>
        <w:spacing w:after="0" w:line="240" w:lineRule="auto"/>
        <w:ind w:left="851" w:hanging="425"/>
        <w:rPr>
          <w:rFonts w:ascii="Cambria" w:hAnsi="Cambria"/>
          <w:sz w:val="20"/>
          <w:szCs w:val="20"/>
        </w:rPr>
      </w:pPr>
      <w:r w:rsidRPr="00EB712F">
        <w:rPr>
          <w:rFonts w:ascii="Cambria" w:hAnsi="Cambria"/>
          <w:sz w:val="20"/>
          <w:szCs w:val="20"/>
        </w:rPr>
        <w:t xml:space="preserve">accès aux points de contact concernés, confirmation des ports désignés </w:t>
      </w:r>
    </w:p>
    <w:p w14:paraId="0F2E9871" w14:textId="77777777" w:rsidR="004045D3" w:rsidRPr="00EB712F" w:rsidRDefault="002647D7" w:rsidP="00B948FB">
      <w:pPr>
        <w:pStyle w:val="ListParagraph"/>
        <w:numPr>
          <w:ilvl w:val="0"/>
          <w:numId w:val="26"/>
        </w:numPr>
        <w:spacing w:after="0" w:line="240" w:lineRule="auto"/>
        <w:ind w:left="851" w:hanging="425"/>
        <w:rPr>
          <w:rFonts w:ascii="Cambria" w:hAnsi="Cambria"/>
          <w:sz w:val="20"/>
          <w:szCs w:val="20"/>
        </w:rPr>
      </w:pPr>
      <w:r w:rsidRPr="00EB712F">
        <w:rPr>
          <w:rFonts w:ascii="Cambria" w:hAnsi="Cambria"/>
          <w:sz w:val="20"/>
          <w:szCs w:val="20"/>
        </w:rPr>
        <w:t>la soumission et le partage des demandes préalables d'entrée au port (ARPE)</w:t>
      </w:r>
    </w:p>
    <w:p w14:paraId="5CD135E0" w14:textId="7B4318C1" w:rsidR="004045D3" w:rsidRPr="00EB712F" w:rsidRDefault="00115CA0" w:rsidP="00B948FB">
      <w:pPr>
        <w:pStyle w:val="ListParagraph"/>
        <w:numPr>
          <w:ilvl w:val="0"/>
          <w:numId w:val="26"/>
        </w:numPr>
        <w:spacing w:after="0" w:line="240" w:lineRule="auto"/>
        <w:ind w:left="851" w:hanging="425"/>
        <w:rPr>
          <w:rFonts w:ascii="Cambria" w:hAnsi="Cambria"/>
          <w:sz w:val="20"/>
          <w:szCs w:val="20"/>
        </w:rPr>
      </w:pPr>
      <w:r w:rsidRPr="00EB712F">
        <w:rPr>
          <w:rFonts w:ascii="Cambria" w:hAnsi="Cambria"/>
          <w:sz w:val="20"/>
          <w:szCs w:val="20"/>
        </w:rPr>
        <w:t xml:space="preserve">refus d'accès au port ou d'utilisation du port, et rapports d'inspection portuaire </w:t>
      </w:r>
    </w:p>
    <w:p w14:paraId="1701AB53" w14:textId="77777777" w:rsidR="004045D3" w:rsidRPr="00EB712F" w:rsidRDefault="004045D3" w:rsidP="004045D3">
      <w:pPr>
        <w:pStyle w:val="ListParagraph"/>
        <w:spacing w:after="0" w:line="240" w:lineRule="auto"/>
        <w:rPr>
          <w:rFonts w:ascii="Cambria" w:hAnsi="Cambria"/>
          <w:sz w:val="20"/>
          <w:szCs w:val="20"/>
        </w:rPr>
      </w:pPr>
    </w:p>
    <w:p w14:paraId="4AF9A81E" w14:textId="3E97D34C" w:rsidR="00346C8D" w:rsidRPr="00EB712F" w:rsidRDefault="000872F2" w:rsidP="002A1040">
      <w:pPr>
        <w:spacing w:after="0" w:line="240" w:lineRule="auto"/>
        <w:jc w:val="both"/>
        <w:rPr>
          <w:rFonts w:ascii="Cambria" w:hAnsi="Cambria"/>
          <w:sz w:val="20"/>
          <w:szCs w:val="20"/>
        </w:rPr>
      </w:pPr>
      <w:r w:rsidRPr="00EB712F">
        <w:rPr>
          <w:rFonts w:ascii="Cambria" w:hAnsi="Cambria"/>
          <w:sz w:val="20"/>
          <w:szCs w:val="20"/>
        </w:rPr>
        <w:t>Pour les CPC qui sont parties au PSMA, les informations pertinentes seraient automatiquement transmises au moyen du GIES, ce qui leur permettrait de respecter leurs obligations en matière de partage d'informations au titre du PSMA tout en réduisant les doublons dans les obligations de déclaration. L'</w:t>
      </w:r>
      <w:r w:rsidRPr="00EB712F">
        <w:rPr>
          <w:rFonts w:ascii="Cambria" w:hAnsi="Cambria"/>
          <w:b/>
          <w:bCs/>
          <w:sz w:val="20"/>
          <w:szCs w:val="20"/>
        </w:rPr>
        <w:t>annexe</w:t>
      </w:r>
      <w:r w:rsidR="00F74860">
        <w:rPr>
          <w:rFonts w:ascii="Cambria" w:hAnsi="Cambria"/>
          <w:b/>
          <w:bCs/>
          <w:sz w:val="20"/>
          <w:szCs w:val="20"/>
        </w:rPr>
        <w:t> </w:t>
      </w:r>
      <w:r w:rsidRPr="00EB712F">
        <w:rPr>
          <w:rFonts w:ascii="Cambria" w:hAnsi="Cambria"/>
          <w:b/>
          <w:bCs/>
          <w:sz w:val="20"/>
          <w:szCs w:val="20"/>
        </w:rPr>
        <w:t>1</w:t>
      </w:r>
      <w:r w:rsidRPr="00EB712F">
        <w:rPr>
          <w:rFonts w:ascii="Cambria" w:hAnsi="Cambria"/>
          <w:sz w:val="20"/>
          <w:szCs w:val="20"/>
        </w:rPr>
        <w:t xml:space="preserve"> présente un exemple illustratif du flux d'informations au sein d'une application de l’ICCAT.</w:t>
      </w:r>
    </w:p>
    <w:p w14:paraId="0A974173" w14:textId="77777777" w:rsidR="000872F2" w:rsidRPr="00EB712F" w:rsidRDefault="000872F2" w:rsidP="001327E6">
      <w:pPr>
        <w:spacing w:after="0" w:line="240" w:lineRule="auto"/>
        <w:rPr>
          <w:rFonts w:ascii="Cambria" w:hAnsi="Cambria"/>
          <w:sz w:val="20"/>
          <w:szCs w:val="20"/>
        </w:rPr>
      </w:pPr>
    </w:p>
    <w:p w14:paraId="4C0953B9" w14:textId="0C63B2F0" w:rsidR="009E019E" w:rsidRPr="00EB712F" w:rsidRDefault="001327E6" w:rsidP="007C3716">
      <w:pPr>
        <w:spacing w:after="0" w:line="240" w:lineRule="auto"/>
        <w:jc w:val="both"/>
        <w:rPr>
          <w:rFonts w:ascii="Cambria" w:hAnsi="Cambria"/>
          <w:sz w:val="20"/>
          <w:szCs w:val="20"/>
        </w:rPr>
      </w:pPr>
      <w:r w:rsidRPr="00EB712F">
        <w:rPr>
          <w:rFonts w:ascii="Cambria" w:hAnsi="Cambria"/>
          <w:sz w:val="20"/>
          <w:szCs w:val="20"/>
        </w:rPr>
        <w:t>Lors de la réunion du Groupe de travail IMM en juin 2026, les CPC ont exprimé leur large soutien à une approche qui s'appuie, dans la mesure du possible, sur les solutions existantes, évite les doublons inutiles, minimise les coûts et favorise l'interopérabilité avec les systèmes existants. Les CPC ont également souligné la nécessité pour l'ICCAT d'être l'unique propriétaire du futur système</w:t>
      </w:r>
      <w:r w:rsidR="00F74860" w:rsidRPr="00F74860">
        <w:rPr>
          <w:rFonts w:ascii="Cambria" w:hAnsi="Cambria"/>
          <w:sz w:val="20"/>
          <w:szCs w:val="20"/>
        </w:rPr>
        <w:t xml:space="preserve"> </w:t>
      </w:r>
      <w:r w:rsidR="00F74860" w:rsidRPr="00EB712F">
        <w:rPr>
          <w:rFonts w:ascii="Cambria" w:hAnsi="Cambria"/>
          <w:sz w:val="20"/>
          <w:szCs w:val="20"/>
        </w:rPr>
        <w:t>électronique</w:t>
      </w:r>
      <w:r w:rsidRPr="00EB712F">
        <w:rPr>
          <w:rFonts w:ascii="Cambria" w:hAnsi="Cambria"/>
          <w:sz w:val="20"/>
          <w:szCs w:val="20"/>
        </w:rPr>
        <w:t xml:space="preserve"> d'échange d'informations. Les discussions qui ont suivi avec les secrétariats de la FAO et de la CTOI ont permis d'affiner les approches existantes et d'identifier les deux options présentées dans le présent document, qui sont soumises à l'examen du PWG.</w:t>
      </w:r>
    </w:p>
    <w:p w14:paraId="75634909" w14:textId="199009E3" w:rsidR="00E67B6A" w:rsidRPr="00EB712F" w:rsidRDefault="00E67B6A" w:rsidP="00E67B6A">
      <w:pPr>
        <w:spacing w:after="0" w:line="240" w:lineRule="auto"/>
        <w:rPr>
          <w:rFonts w:ascii="Cambria" w:hAnsi="Cambria"/>
          <w:b/>
          <w:bCs/>
          <w:sz w:val="20"/>
          <w:szCs w:val="20"/>
        </w:rPr>
      </w:pPr>
    </w:p>
    <w:p w14:paraId="274E1028" w14:textId="2BC894EC" w:rsidR="00EC24B0" w:rsidRPr="00EB712F" w:rsidRDefault="00EC24B0" w:rsidP="00E67B6A">
      <w:pPr>
        <w:spacing w:after="0" w:line="240" w:lineRule="auto"/>
        <w:rPr>
          <w:rFonts w:ascii="Cambria" w:hAnsi="Cambria"/>
          <w:b/>
          <w:bCs/>
          <w:sz w:val="20"/>
          <w:szCs w:val="20"/>
        </w:rPr>
      </w:pPr>
      <w:r w:rsidRPr="00EB712F">
        <w:rPr>
          <w:rFonts w:ascii="Cambria" w:hAnsi="Cambria"/>
          <w:b/>
          <w:sz w:val="20"/>
          <w:szCs w:val="20"/>
        </w:rPr>
        <w:t>Options et principes</w:t>
      </w:r>
    </w:p>
    <w:p w14:paraId="1E4E4F45" w14:textId="77777777" w:rsidR="00EB712F" w:rsidRDefault="00EB712F" w:rsidP="00E67B6A">
      <w:pPr>
        <w:spacing w:after="0" w:line="240" w:lineRule="auto"/>
        <w:rPr>
          <w:rFonts w:ascii="Cambria" w:hAnsi="Cambria"/>
          <w:sz w:val="20"/>
          <w:szCs w:val="20"/>
        </w:rPr>
      </w:pPr>
    </w:p>
    <w:p w14:paraId="09C24E97" w14:textId="193195D8" w:rsidR="00E67B6A" w:rsidRPr="00EB712F" w:rsidRDefault="00E67B6A" w:rsidP="00E67B6A">
      <w:pPr>
        <w:spacing w:after="0" w:line="240" w:lineRule="auto"/>
        <w:rPr>
          <w:rFonts w:ascii="Cambria" w:hAnsi="Cambria"/>
          <w:sz w:val="20"/>
          <w:szCs w:val="20"/>
        </w:rPr>
      </w:pPr>
      <w:r w:rsidRPr="00EB712F">
        <w:rPr>
          <w:rFonts w:ascii="Cambria" w:hAnsi="Cambria"/>
          <w:sz w:val="20"/>
          <w:szCs w:val="20"/>
        </w:rPr>
        <w:t xml:space="preserve">Le </w:t>
      </w:r>
      <w:r w:rsidRPr="00EB712F">
        <w:rPr>
          <w:rFonts w:ascii="Cambria" w:hAnsi="Cambria"/>
          <w:b/>
          <w:bCs/>
          <w:sz w:val="20"/>
          <w:szCs w:val="20"/>
        </w:rPr>
        <w:t>tableau 1</w:t>
      </w:r>
      <w:r w:rsidRPr="00EB712F">
        <w:rPr>
          <w:rFonts w:ascii="Cambria" w:hAnsi="Cambria"/>
          <w:sz w:val="20"/>
          <w:szCs w:val="20"/>
        </w:rPr>
        <w:t xml:space="preserve"> présente les deux options retenues à l'issue des discussions menées dans le cadre du Groupe de travail IMM et des échanges avec les secrétariats de la FAO et de la CTOI.</w:t>
      </w:r>
    </w:p>
    <w:p w14:paraId="1A05C3BE" w14:textId="77777777" w:rsidR="00F72BF4" w:rsidRPr="00EB712F" w:rsidRDefault="00F72BF4" w:rsidP="00E67B6A">
      <w:pPr>
        <w:spacing w:after="0" w:line="240" w:lineRule="auto"/>
        <w:rPr>
          <w:rFonts w:ascii="Cambria" w:hAnsi="Cambria"/>
          <w:sz w:val="20"/>
          <w:szCs w:val="20"/>
        </w:rPr>
      </w:pPr>
    </w:p>
    <w:p w14:paraId="662C32C0" w14:textId="67D44ED1" w:rsidR="00F72BF4" w:rsidRPr="00EB712F" w:rsidRDefault="00F72BF4" w:rsidP="00F72BF4">
      <w:pPr>
        <w:spacing w:after="0" w:line="240" w:lineRule="auto"/>
        <w:rPr>
          <w:rFonts w:ascii="Cambria" w:hAnsi="Cambria"/>
          <w:bCs/>
          <w:sz w:val="20"/>
          <w:szCs w:val="20"/>
        </w:rPr>
      </w:pPr>
      <w:r w:rsidRPr="00EB712F">
        <w:rPr>
          <w:rFonts w:ascii="Cambria" w:hAnsi="Cambria"/>
          <w:b/>
          <w:sz w:val="20"/>
          <w:szCs w:val="20"/>
        </w:rPr>
        <w:t>Tableau 1</w:t>
      </w:r>
      <w:r w:rsidR="00F74860">
        <w:rPr>
          <w:rFonts w:ascii="Cambria" w:hAnsi="Cambria"/>
          <w:b/>
          <w:sz w:val="20"/>
          <w:szCs w:val="20"/>
        </w:rPr>
        <w:t xml:space="preserve"> </w:t>
      </w:r>
      <w:r w:rsidRPr="00EB712F">
        <w:rPr>
          <w:rFonts w:ascii="Cambria" w:hAnsi="Cambria"/>
          <w:b/>
          <w:sz w:val="20"/>
          <w:szCs w:val="20"/>
        </w:rPr>
        <w:t xml:space="preserve">: </w:t>
      </w:r>
      <w:r w:rsidRPr="00EB712F">
        <w:rPr>
          <w:rFonts w:ascii="Cambria" w:hAnsi="Cambria"/>
          <w:sz w:val="20"/>
          <w:szCs w:val="20"/>
        </w:rPr>
        <w:t>Comparaison des deux options à soumettre à l'examen du PWG.</w:t>
      </w:r>
    </w:p>
    <w:p w14:paraId="58DB2E79" w14:textId="77777777" w:rsidR="0085619E" w:rsidRPr="00EB712F" w:rsidRDefault="0085619E" w:rsidP="00E67B6A">
      <w:pPr>
        <w:spacing w:after="0" w:line="240" w:lineRule="auto"/>
        <w:rPr>
          <w:rFonts w:ascii="Cambria" w:hAnsi="Cambria"/>
          <w:sz w:val="20"/>
          <w:szCs w:val="20"/>
        </w:rPr>
      </w:pPr>
    </w:p>
    <w:tbl>
      <w:tblPr>
        <w:tblW w:w="923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2"/>
        <w:gridCol w:w="173"/>
        <w:gridCol w:w="3112"/>
        <w:gridCol w:w="173"/>
        <w:gridCol w:w="3827"/>
      </w:tblGrid>
      <w:tr w:rsidR="0085619E" w:rsidRPr="00EB712F" w14:paraId="1D81C0FD" w14:textId="77777777" w:rsidTr="00F74860">
        <w:trPr>
          <w:trHeight w:val="301"/>
        </w:trPr>
        <w:tc>
          <w:tcPr>
            <w:tcW w:w="1952" w:type="dxa"/>
            <w:tcBorders>
              <w:top w:val="single" w:sz="6" w:space="0" w:color="auto"/>
              <w:left w:val="single" w:sz="6" w:space="0" w:color="auto"/>
              <w:bottom w:val="single" w:sz="6" w:space="0" w:color="auto"/>
              <w:right w:val="single" w:sz="6" w:space="0" w:color="auto"/>
            </w:tcBorders>
            <w:shd w:val="clear" w:color="auto" w:fill="1F4E79"/>
            <w:vAlign w:val="center"/>
            <w:hideMark/>
          </w:tcPr>
          <w:p w14:paraId="3820794D" w14:textId="77777777" w:rsidR="0085619E" w:rsidRPr="00EB712F" w:rsidRDefault="0085619E" w:rsidP="0085619E">
            <w:pPr>
              <w:spacing w:after="0" w:line="240" w:lineRule="auto"/>
              <w:rPr>
                <w:rFonts w:ascii="Cambria" w:hAnsi="Cambria" w:cs="Arial"/>
                <w:color w:val="FFFFFF" w:themeColor="background1"/>
                <w:sz w:val="20"/>
                <w:szCs w:val="20"/>
              </w:rPr>
            </w:pPr>
            <w:r w:rsidRPr="00EB712F">
              <w:rPr>
                <w:rFonts w:ascii="Cambria" w:hAnsi="Cambria"/>
                <w:b/>
                <w:color w:val="FFFFFF" w:themeColor="background1"/>
                <w:sz w:val="20"/>
                <w:szCs w:val="20"/>
              </w:rPr>
              <w:t>Option</w:t>
            </w:r>
            <w:r w:rsidRPr="00EB712F">
              <w:rPr>
                <w:rFonts w:ascii="Cambria" w:hAnsi="Cambria"/>
                <w:color w:val="FFFFFF" w:themeColor="background1"/>
                <w:sz w:val="20"/>
                <w:szCs w:val="20"/>
              </w:rPr>
              <w:t> </w:t>
            </w:r>
          </w:p>
        </w:tc>
        <w:tc>
          <w:tcPr>
            <w:tcW w:w="3285" w:type="dxa"/>
            <w:gridSpan w:val="2"/>
            <w:tcBorders>
              <w:top w:val="single" w:sz="6" w:space="0" w:color="auto"/>
              <w:left w:val="single" w:sz="6" w:space="0" w:color="auto"/>
              <w:bottom w:val="single" w:sz="6" w:space="0" w:color="auto"/>
              <w:right w:val="single" w:sz="6" w:space="0" w:color="auto"/>
            </w:tcBorders>
            <w:shd w:val="clear" w:color="auto" w:fill="1F4E79"/>
            <w:vAlign w:val="center"/>
            <w:hideMark/>
          </w:tcPr>
          <w:p w14:paraId="50DA4255" w14:textId="77777777" w:rsidR="0085619E" w:rsidRPr="00EB712F" w:rsidRDefault="0085619E" w:rsidP="00F74860">
            <w:pPr>
              <w:spacing w:after="0" w:line="240" w:lineRule="auto"/>
              <w:ind w:left="308"/>
              <w:rPr>
                <w:rFonts w:ascii="Cambria" w:hAnsi="Cambria" w:cs="Arial"/>
                <w:color w:val="FFFFFF" w:themeColor="background1"/>
                <w:sz w:val="20"/>
                <w:szCs w:val="20"/>
              </w:rPr>
            </w:pPr>
            <w:r w:rsidRPr="00EB712F">
              <w:rPr>
                <w:rFonts w:ascii="Cambria" w:hAnsi="Cambria"/>
                <w:b/>
                <w:color w:val="FFFFFF" w:themeColor="background1"/>
                <w:sz w:val="20"/>
                <w:szCs w:val="20"/>
              </w:rPr>
              <w:t>À quoi cela ressemblerait-il ?</w:t>
            </w:r>
            <w:r w:rsidRPr="00EB712F">
              <w:rPr>
                <w:rFonts w:ascii="Cambria" w:hAnsi="Cambria"/>
                <w:color w:val="FFFFFF" w:themeColor="background1"/>
                <w:sz w:val="20"/>
                <w:szCs w:val="20"/>
              </w:rPr>
              <w:t> </w:t>
            </w:r>
          </w:p>
        </w:tc>
        <w:tc>
          <w:tcPr>
            <w:tcW w:w="4000" w:type="dxa"/>
            <w:gridSpan w:val="2"/>
            <w:tcBorders>
              <w:top w:val="single" w:sz="6" w:space="0" w:color="auto"/>
              <w:left w:val="single" w:sz="6" w:space="0" w:color="auto"/>
              <w:bottom w:val="single" w:sz="6" w:space="0" w:color="auto"/>
              <w:right w:val="single" w:sz="6" w:space="0" w:color="auto"/>
            </w:tcBorders>
            <w:shd w:val="clear" w:color="auto" w:fill="1F4E79"/>
            <w:vAlign w:val="center"/>
            <w:hideMark/>
          </w:tcPr>
          <w:p w14:paraId="602F9C08" w14:textId="77777777" w:rsidR="0085619E" w:rsidRPr="00EB712F" w:rsidRDefault="0085619E" w:rsidP="00F74860">
            <w:pPr>
              <w:spacing w:after="0" w:line="240" w:lineRule="auto"/>
              <w:ind w:left="289"/>
              <w:rPr>
                <w:rFonts w:ascii="Cambria" w:hAnsi="Cambria" w:cs="Arial"/>
                <w:color w:val="FFFFFF" w:themeColor="background1"/>
                <w:sz w:val="20"/>
                <w:szCs w:val="20"/>
              </w:rPr>
            </w:pPr>
            <w:r w:rsidRPr="00EB712F">
              <w:rPr>
                <w:rFonts w:ascii="Cambria" w:hAnsi="Cambria"/>
                <w:b/>
                <w:color w:val="FFFFFF" w:themeColor="background1"/>
                <w:sz w:val="20"/>
                <w:szCs w:val="20"/>
              </w:rPr>
              <w:t>Principaux points à prendre en considération</w:t>
            </w:r>
            <w:r w:rsidRPr="00EB712F">
              <w:rPr>
                <w:rFonts w:ascii="Cambria" w:hAnsi="Cambria"/>
                <w:color w:val="FFFFFF" w:themeColor="background1"/>
                <w:sz w:val="20"/>
                <w:szCs w:val="20"/>
              </w:rPr>
              <w:t> </w:t>
            </w:r>
          </w:p>
        </w:tc>
      </w:tr>
      <w:tr w:rsidR="0085619E" w:rsidRPr="00EB712F" w14:paraId="210D8639" w14:textId="77777777" w:rsidTr="00F74860">
        <w:trPr>
          <w:trHeight w:val="301"/>
        </w:trPr>
        <w:tc>
          <w:tcPr>
            <w:tcW w:w="2125" w:type="dxa"/>
            <w:gridSpan w:val="2"/>
            <w:tcBorders>
              <w:top w:val="single" w:sz="6" w:space="0" w:color="auto"/>
              <w:left w:val="single" w:sz="6" w:space="0" w:color="auto"/>
              <w:bottom w:val="single" w:sz="6" w:space="0" w:color="auto"/>
              <w:right w:val="single" w:sz="6" w:space="0" w:color="auto"/>
            </w:tcBorders>
            <w:shd w:val="clear" w:color="auto" w:fill="EAF2F8"/>
            <w:vAlign w:val="center"/>
            <w:hideMark/>
          </w:tcPr>
          <w:p w14:paraId="15D57AD6" w14:textId="77777777" w:rsidR="0085619E" w:rsidRPr="00EB712F" w:rsidRDefault="0085619E" w:rsidP="00F74860">
            <w:pPr>
              <w:spacing w:after="0" w:line="240" w:lineRule="auto"/>
              <w:ind w:left="130"/>
              <w:rPr>
                <w:rFonts w:ascii="Cambria" w:hAnsi="Cambria" w:cs="Arial"/>
                <w:sz w:val="20"/>
                <w:szCs w:val="20"/>
              </w:rPr>
            </w:pPr>
            <w:r w:rsidRPr="00EB712F">
              <w:rPr>
                <w:rFonts w:ascii="Cambria" w:hAnsi="Cambria"/>
                <w:b/>
                <w:sz w:val="20"/>
                <w:szCs w:val="20"/>
              </w:rPr>
              <w:t xml:space="preserve">Option </w:t>
            </w:r>
            <w:proofErr w:type="gramStart"/>
            <w:r w:rsidRPr="00EB712F">
              <w:rPr>
                <w:rFonts w:ascii="Cambria" w:hAnsi="Cambria"/>
                <w:b/>
                <w:sz w:val="20"/>
                <w:szCs w:val="20"/>
              </w:rPr>
              <w:t>1:</w:t>
            </w:r>
            <w:proofErr w:type="gramEnd"/>
            <w:r w:rsidRPr="00EB712F">
              <w:rPr>
                <w:rFonts w:ascii="Cambria" w:hAnsi="Cambria"/>
                <w:b/>
                <w:sz w:val="20"/>
                <w:szCs w:val="20"/>
              </w:rPr>
              <w:t xml:space="preserve"> Adapter l'application e-PSM de la CTOI</w:t>
            </w:r>
            <w:r w:rsidRPr="00EB712F">
              <w:rPr>
                <w:rFonts w:ascii="Cambria" w:hAnsi="Cambria"/>
                <w:sz w:val="20"/>
                <w:szCs w:val="20"/>
              </w:rPr>
              <w:t> </w:t>
            </w:r>
          </w:p>
        </w:tc>
        <w:tc>
          <w:tcPr>
            <w:tcW w:w="3285"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9D61DD0" w14:textId="758C7F2E" w:rsidR="0085619E" w:rsidRPr="00EB712F" w:rsidRDefault="0085619E" w:rsidP="009E49B2">
            <w:pPr>
              <w:spacing w:after="0" w:line="240" w:lineRule="auto"/>
              <w:ind w:firstLine="20"/>
              <w:rPr>
                <w:rFonts w:ascii="Cambria" w:hAnsi="Cambria" w:cs="Arial"/>
                <w:sz w:val="20"/>
                <w:szCs w:val="20"/>
              </w:rPr>
            </w:pPr>
            <w:r w:rsidRPr="00EB712F">
              <w:rPr>
                <w:rFonts w:ascii="Cambria" w:hAnsi="Cambria"/>
                <w:sz w:val="20"/>
                <w:szCs w:val="20"/>
              </w:rPr>
              <w:t xml:space="preserve">L'ICCAT utiliserait le code source de l'application e-PSM existante de la CTOI comme base pour la mise en place d'un système propre à l'ICCAT. Le système </w:t>
            </w:r>
            <w:r w:rsidR="00F74860" w:rsidRPr="00EB712F">
              <w:rPr>
                <w:rFonts w:ascii="Cambria" w:hAnsi="Cambria"/>
                <w:sz w:val="20"/>
                <w:szCs w:val="20"/>
              </w:rPr>
              <w:t xml:space="preserve">électronique </w:t>
            </w:r>
            <w:r w:rsidRPr="00EB712F">
              <w:rPr>
                <w:rFonts w:ascii="Cambria" w:hAnsi="Cambria"/>
                <w:sz w:val="20"/>
                <w:szCs w:val="20"/>
              </w:rPr>
              <w:t>d'échange d'informations devrait être adapté aux exigences et aux processus de l'ICCAT. </w:t>
            </w:r>
          </w:p>
        </w:tc>
        <w:tc>
          <w:tcPr>
            <w:tcW w:w="38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574B4E0" w14:textId="353D0D03" w:rsidR="007C7274" w:rsidRPr="00EB712F" w:rsidRDefault="0085619E" w:rsidP="009E49B2">
            <w:pPr>
              <w:pStyle w:val="ListParagraph"/>
              <w:numPr>
                <w:ilvl w:val="0"/>
                <w:numId w:val="8"/>
              </w:numPr>
              <w:spacing w:after="0" w:line="240" w:lineRule="auto"/>
              <w:ind w:firstLine="20"/>
              <w:rPr>
                <w:rFonts w:ascii="Cambria" w:hAnsi="Cambria" w:cs="Arial"/>
                <w:sz w:val="20"/>
                <w:szCs w:val="20"/>
              </w:rPr>
            </w:pPr>
            <w:r w:rsidRPr="00EB712F">
              <w:rPr>
                <w:rFonts w:ascii="Cambria" w:hAnsi="Cambria"/>
                <w:sz w:val="20"/>
                <w:szCs w:val="20"/>
              </w:rPr>
              <w:t>Cela s'appuierait sur le système actuel des ORGP et offrirait une voie concrète vers sa mise en œuvre.</w:t>
            </w:r>
          </w:p>
          <w:p w14:paraId="664285A2" w14:textId="5BB78C28" w:rsidR="0085619E" w:rsidRPr="00EB712F" w:rsidRDefault="0085619E" w:rsidP="009E49B2">
            <w:pPr>
              <w:pStyle w:val="ListParagraph"/>
              <w:numPr>
                <w:ilvl w:val="0"/>
                <w:numId w:val="8"/>
              </w:numPr>
              <w:spacing w:after="0" w:line="240" w:lineRule="auto"/>
              <w:ind w:firstLine="20"/>
              <w:rPr>
                <w:rFonts w:ascii="Cambria" w:hAnsi="Cambria" w:cs="Arial"/>
                <w:sz w:val="20"/>
                <w:szCs w:val="20"/>
              </w:rPr>
            </w:pPr>
            <w:r w:rsidRPr="00EB712F">
              <w:rPr>
                <w:rFonts w:ascii="Cambria" w:hAnsi="Cambria"/>
                <w:sz w:val="20"/>
                <w:szCs w:val="20"/>
              </w:rPr>
              <w:t>Il faudrait approfondir les travaux concernant l'adaptation, les coûts de maintenance, l'hébergement et l'interopérabilité avec le GIES. </w:t>
            </w:r>
          </w:p>
        </w:tc>
      </w:tr>
      <w:tr w:rsidR="008951B0" w:rsidRPr="00EB712F" w14:paraId="43D2DA4E" w14:textId="77777777" w:rsidTr="00F74860">
        <w:trPr>
          <w:trHeight w:val="1931"/>
        </w:trPr>
        <w:tc>
          <w:tcPr>
            <w:tcW w:w="2125" w:type="dxa"/>
            <w:gridSpan w:val="2"/>
            <w:tcBorders>
              <w:top w:val="single" w:sz="6" w:space="0" w:color="auto"/>
              <w:left w:val="single" w:sz="6" w:space="0" w:color="auto"/>
              <w:right w:val="single" w:sz="6" w:space="0" w:color="auto"/>
            </w:tcBorders>
            <w:shd w:val="clear" w:color="auto" w:fill="EAF2F8"/>
            <w:vAlign w:val="center"/>
            <w:hideMark/>
          </w:tcPr>
          <w:p w14:paraId="1EE3018A" w14:textId="2F5B652D" w:rsidR="008951B0" w:rsidRPr="00EB712F" w:rsidRDefault="008951B0" w:rsidP="00F74860">
            <w:pPr>
              <w:spacing w:after="0" w:line="240" w:lineRule="auto"/>
              <w:ind w:left="130"/>
              <w:rPr>
                <w:rFonts w:ascii="Cambria" w:hAnsi="Cambria" w:cs="Arial"/>
                <w:sz w:val="20"/>
                <w:szCs w:val="20"/>
              </w:rPr>
            </w:pPr>
            <w:r w:rsidRPr="00EB712F">
              <w:rPr>
                <w:rFonts w:ascii="Cambria" w:hAnsi="Cambria"/>
                <w:b/>
                <w:sz w:val="20"/>
                <w:szCs w:val="20"/>
              </w:rPr>
              <w:t>Option nº</w:t>
            </w:r>
            <w:proofErr w:type="gramStart"/>
            <w:r w:rsidRPr="00EB712F">
              <w:rPr>
                <w:rFonts w:ascii="Cambria" w:hAnsi="Cambria"/>
                <w:b/>
                <w:sz w:val="20"/>
                <w:szCs w:val="20"/>
              </w:rPr>
              <w:t>2:</w:t>
            </w:r>
            <w:proofErr w:type="gramEnd"/>
            <w:r w:rsidRPr="00EB712F">
              <w:rPr>
                <w:rFonts w:ascii="Cambria" w:hAnsi="Cambria"/>
                <w:b/>
                <w:sz w:val="20"/>
                <w:szCs w:val="20"/>
              </w:rPr>
              <w:t xml:space="preserve"> Adapter ou utiliser directement l'application GIES de la FAO</w:t>
            </w:r>
            <w:r w:rsidRPr="00EB712F">
              <w:rPr>
                <w:rFonts w:ascii="Cambria" w:hAnsi="Cambria"/>
                <w:sz w:val="20"/>
                <w:szCs w:val="20"/>
              </w:rPr>
              <w:t> </w:t>
            </w:r>
          </w:p>
        </w:tc>
        <w:tc>
          <w:tcPr>
            <w:tcW w:w="3285" w:type="dxa"/>
            <w:gridSpan w:val="2"/>
            <w:tcBorders>
              <w:top w:val="single" w:sz="6" w:space="0" w:color="auto"/>
              <w:left w:val="single" w:sz="6" w:space="0" w:color="auto"/>
              <w:right w:val="single" w:sz="6" w:space="0" w:color="auto"/>
            </w:tcBorders>
            <w:shd w:val="clear" w:color="auto" w:fill="FFFFFF" w:themeFill="background1"/>
            <w:vAlign w:val="center"/>
            <w:hideMark/>
          </w:tcPr>
          <w:p w14:paraId="05BED3E4" w14:textId="34D788B9" w:rsidR="008951B0" w:rsidRPr="00EB712F" w:rsidRDefault="008951B0" w:rsidP="009E49B2">
            <w:pPr>
              <w:spacing w:after="0" w:line="240" w:lineRule="auto"/>
              <w:ind w:firstLine="20"/>
              <w:rPr>
                <w:rFonts w:ascii="Cambria" w:hAnsi="Cambria" w:cs="Arial"/>
                <w:sz w:val="20"/>
                <w:szCs w:val="20"/>
              </w:rPr>
            </w:pPr>
            <w:r w:rsidRPr="00EB712F">
              <w:rPr>
                <w:rFonts w:ascii="Cambria" w:hAnsi="Cambria"/>
                <w:sz w:val="20"/>
                <w:szCs w:val="20"/>
              </w:rPr>
              <w:t xml:space="preserve">L'ICCAT étudierait la possibilité d'utiliser directement le GIES </w:t>
            </w:r>
            <w:r w:rsidRPr="00EB712F">
              <w:rPr>
                <w:rFonts w:ascii="Cambria" w:hAnsi="Cambria"/>
                <w:b/>
                <w:bCs/>
                <w:sz w:val="20"/>
                <w:szCs w:val="20"/>
              </w:rPr>
              <w:t>OU</w:t>
            </w:r>
            <w:r w:rsidRPr="00EB712F">
              <w:rPr>
                <w:rFonts w:ascii="Cambria" w:hAnsi="Cambria"/>
                <w:sz w:val="20"/>
                <w:szCs w:val="20"/>
              </w:rPr>
              <w:t xml:space="preserve"> d'adapter une version du GIES de la FAO afin de mettre au point son propre système électronique d'échange d'informations.</w:t>
            </w:r>
          </w:p>
        </w:tc>
        <w:tc>
          <w:tcPr>
            <w:tcW w:w="3827" w:type="dxa"/>
            <w:tcBorders>
              <w:top w:val="single" w:sz="6" w:space="0" w:color="auto"/>
              <w:left w:val="single" w:sz="6" w:space="0" w:color="auto"/>
              <w:right w:val="single" w:sz="6" w:space="0" w:color="auto"/>
            </w:tcBorders>
            <w:shd w:val="clear" w:color="auto" w:fill="FFFFFF" w:themeFill="background1"/>
            <w:vAlign w:val="center"/>
            <w:hideMark/>
          </w:tcPr>
          <w:p w14:paraId="41791076" w14:textId="63EEF9F9" w:rsidR="008951B0" w:rsidRPr="00EB712F" w:rsidRDefault="008951B0" w:rsidP="009E49B2">
            <w:pPr>
              <w:pStyle w:val="ListParagraph"/>
              <w:numPr>
                <w:ilvl w:val="0"/>
                <w:numId w:val="8"/>
              </w:numPr>
              <w:spacing w:after="0" w:line="240" w:lineRule="auto"/>
              <w:ind w:firstLine="20"/>
              <w:rPr>
                <w:rFonts w:ascii="Cambria" w:hAnsi="Cambria" w:cs="Arial"/>
                <w:sz w:val="20"/>
                <w:szCs w:val="20"/>
              </w:rPr>
            </w:pPr>
            <w:r w:rsidRPr="00EB712F">
              <w:rPr>
                <w:rFonts w:ascii="Cambria" w:hAnsi="Cambria"/>
                <w:sz w:val="20"/>
                <w:szCs w:val="20"/>
              </w:rPr>
              <w:t xml:space="preserve">Cela permettrait d'assurer une harmonisation étroite avec les processus PSMA/GIES. </w:t>
            </w:r>
          </w:p>
          <w:p w14:paraId="04D3939E" w14:textId="2BAA5B30" w:rsidR="008951B0" w:rsidRPr="00EB712F" w:rsidRDefault="008951B0" w:rsidP="009E49B2">
            <w:pPr>
              <w:pStyle w:val="ListParagraph"/>
              <w:numPr>
                <w:ilvl w:val="0"/>
                <w:numId w:val="8"/>
              </w:numPr>
              <w:spacing w:after="0" w:line="240" w:lineRule="auto"/>
              <w:ind w:firstLine="20"/>
              <w:rPr>
                <w:rFonts w:ascii="Cambria" w:hAnsi="Cambria" w:cs="Arial"/>
                <w:sz w:val="20"/>
                <w:szCs w:val="20"/>
              </w:rPr>
            </w:pPr>
            <w:r w:rsidRPr="00EB712F">
              <w:rPr>
                <w:rFonts w:ascii="Cambria" w:hAnsi="Cambria"/>
                <w:sz w:val="20"/>
                <w:szCs w:val="20"/>
              </w:rPr>
              <w:t>Des travaux supplémentaires seraient nécessaires pour mieux comprendre les aspects liés à la personnalisation, à la gouvernance et à l'utilisation par les CPC de l’ICCAT, ainsi que l'étendue du contrôle dont disposerait l’ICCAT sur les modifications futures. </w:t>
            </w:r>
          </w:p>
        </w:tc>
      </w:tr>
    </w:tbl>
    <w:p w14:paraId="44E7AE39" w14:textId="77777777" w:rsidR="00455299" w:rsidRPr="00EB712F" w:rsidRDefault="00455299" w:rsidP="00E67B6A">
      <w:pPr>
        <w:spacing w:after="0" w:line="240" w:lineRule="auto"/>
        <w:rPr>
          <w:rFonts w:ascii="Cambria" w:hAnsi="Cambria"/>
          <w:sz w:val="20"/>
          <w:szCs w:val="20"/>
        </w:rPr>
      </w:pPr>
    </w:p>
    <w:p w14:paraId="2846B1D8" w14:textId="4BEE8588" w:rsidR="00E56B98" w:rsidRPr="00EB712F" w:rsidRDefault="001A3C5C" w:rsidP="00A25965">
      <w:pPr>
        <w:spacing w:after="0" w:line="240" w:lineRule="auto"/>
        <w:jc w:val="both"/>
        <w:rPr>
          <w:rFonts w:ascii="Cambria" w:hAnsi="Cambria"/>
          <w:sz w:val="20"/>
          <w:szCs w:val="20"/>
        </w:rPr>
      </w:pPr>
      <w:r w:rsidRPr="00EB712F">
        <w:rPr>
          <w:rFonts w:ascii="Cambria" w:hAnsi="Cambria"/>
          <w:sz w:val="20"/>
          <w:szCs w:val="20"/>
        </w:rPr>
        <w:t xml:space="preserve">Une analyse et une comparaison plus approfondies de chacune de ces options figurent dans un document élaboré par le Secrétariat et soumis à cette réunion du PWG </w:t>
      </w:r>
      <w:r w:rsidRPr="00F74860">
        <w:rPr>
          <w:rFonts w:ascii="Cambria" w:hAnsi="Cambria"/>
          <w:sz w:val="20"/>
          <w:szCs w:val="20"/>
        </w:rPr>
        <w:t>(</w:t>
      </w:r>
      <w:hyperlink r:id="rId14" w:history="1">
        <w:r w:rsidRPr="00F74860">
          <w:rPr>
            <w:rStyle w:val="Hyperlink"/>
            <w:rFonts w:ascii="Cambria" w:hAnsi="Cambria"/>
            <w:sz w:val="20"/>
            <w:szCs w:val="20"/>
            <w:u w:val="none"/>
          </w:rPr>
          <w:t>PWG_411/2026</w:t>
        </w:r>
      </w:hyperlink>
      <w:r w:rsidRPr="00F74860">
        <w:rPr>
          <w:rFonts w:ascii="Cambria" w:hAnsi="Cambria"/>
          <w:sz w:val="20"/>
          <w:szCs w:val="20"/>
        </w:rPr>
        <w:t>). Lors</w:t>
      </w:r>
      <w:r w:rsidRPr="00EB712F">
        <w:rPr>
          <w:rFonts w:ascii="Cambria" w:hAnsi="Cambria"/>
          <w:sz w:val="20"/>
          <w:szCs w:val="20"/>
        </w:rPr>
        <w:t xml:space="preserve"> du choix de l’une des deux options pour la suite des travaux, les principes suivants devraient guider les travaux du Secrétariat et du Groupe de travail IMM/PWG : </w:t>
      </w:r>
    </w:p>
    <w:p w14:paraId="46841DFE" w14:textId="3D43CEB4" w:rsidR="0071202E" w:rsidRPr="00EB712F" w:rsidRDefault="0071202E" w:rsidP="00E67B6A">
      <w:pPr>
        <w:spacing w:after="0" w:line="240" w:lineRule="auto"/>
        <w:rPr>
          <w:rFonts w:ascii="Cambria" w:hAnsi="Cambria"/>
          <w:sz w:val="20"/>
          <w:szCs w:val="20"/>
        </w:rPr>
      </w:pPr>
    </w:p>
    <w:p w14:paraId="6CC5CB6B" w14:textId="09F8E6C2" w:rsidR="00AB166E" w:rsidRPr="00EB712F" w:rsidRDefault="00AB166E" w:rsidP="00A25965">
      <w:pPr>
        <w:pStyle w:val="ListParagraph"/>
        <w:numPr>
          <w:ilvl w:val="0"/>
          <w:numId w:val="17"/>
        </w:numPr>
        <w:spacing w:after="0" w:line="240" w:lineRule="auto"/>
        <w:ind w:left="851" w:hanging="425"/>
        <w:jc w:val="both"/>
        <w:rPr>
          <w:rFonts w:ascii="Cambria" w:hAnsi="Cambria"/>
          <w:sz w:val="20"/>
          <w:szCs w:val="20"/>
        </w:rPr>
      </w:pPr>
      <w:r w:rsidRPr="00EB712F">
        <w:rPr>
          <w:rFonts w:ascii="Cambria" w:hAnsi="Cambria"/>
          <w:sz w:val="20"/>
          <w:szCs w:val="20"/>
        </w:rPr>
        <w:t>Ce système devrait favoriser la mise en œuvre effective de la Recommandation 25-11, soutenir la mise en œuvre effective des exigences pertinentes du PSMA en matière de partage d'informations, et contribuer aux efforts visant à prévenir, dissuader et éliminer la pêche IUU.</w:t>
      </w:r>
    </w:p>
    <w:p w14:paraId="42B8E6E7" w14:textId="047ECE39" w:rsidR="00714C4C" w:rsidRPr="00EB712F" w:rsidRDefault="00714C4C" w:rsidP="00A25965">
      <w:pPr>
        <w:pStyle w:val="ListParagraph"/>
        <w:numPr>
          <w:ilvl w:val="0"/>
          <w:numId w:val="17"/>
        </w:numPr>
        <w:spacing w:after="0" w:line="240" w:lineRule="auto"/>
        <w:ind w:left="851" w:hanging="425"/>
        <w:jc w:val="both"/>
        <w:rPr>
          <w:rFonts w:ascii="Cambria" w:hAnsi="Cambria"/>
          <w:sz w:val="20"/>
          <w:szCs w:val="20"/>
        </w:rPr>
      </w:pPr>
      <w:r w:rsidRPr="00EB712F">
        <w:rPr>
          <w:rFonts w:ascii="Cambria" w:hAnsi="Cambria"/>
          <w:sz w:val="20"/>
          <w:szCs w:val="20"/>
        </w:rPr>
        <w:lastRenderedPageBreak/>
        <w:t>Le système devrait éviter les doublons dans les obligations de déclaration imposées aux CPC, notamment grâce à l'interopérabilité et à l'échange d'informations avec le GIES de la FAO concernant le PSMA.</w:t>
      </w:r>
    </w:p>
    <w:p w14:paraId="7B19B0EB" w14:textId="77777777" w:rsidR="00AB166E" w:rsidRPr="00EB712F" w:rsidRDefault="00AB166E" w:rsidP="00A25965">
      <w:pPr>
        <w:pStyle w:val="ListParagraph"/>
        <w:numPr>
          <w:ilvl w:val="0"/>
          <w:numId w:val="17"/>
        </w:numPr>
        <w:spacing w:after="0" w:line="240" w:lineRule="auto"/>
        <w:ind w:left="851" w:hanging="425"/>
        <w:jc w:val="both"/>
        <w:rPr>
          <w:rFonts w:ascii="Cambria" w:hAnsi="Cambria"/>
          <w:sz w:val="20"/>
          <w:szCs w:val="20"/>
        </w:rPr>
      </w:pPr>
      <w:r w:rsidRPr="00EB712F">
        <w:rPr>
          <w:rFonts w:ascii="Cambria" w:hAnsi="Cambria"/>
          <w:sz w:val="20"/>
          <w:szCs w:val="20"/>
        </w:rPr>
        <w:t>Les informations pertinentes devraient être mises à la disposition de l'État du port, de l'État du pavillon et du Secrétariat de l’ICCAT; les modalités détaillées d'accès à ces informations devront être examinées dans le cadre de travaux futurs.</w:t>
      </w:r>
    </w:p>
    <w:p w14:paraId="23A51AB0" w14:textId="4AE52D6F" w:rsidR="00AB166E" w:rsidRPr="00EB712F" w:rsidRDefault="6928D777" w:rsidP="00A25965">
      <w:pPr>
        <w:pStyle w:val="ListParagraph"/>
        <w:numPr>
          <w:ilvl w:val="0"/>
          <w:numId w:val="17"/>
        </w:numPr>
        <w:spacing w:after="0" w:line="240" w:lineRule="auto"/>
        <w:ind w:left="851" w:hanging="425"/>
        <w:jc w:val="both"/>
        <w:rPr>
          <w:rFonts w:ascii="Cambria" w:hAnsi="Cambria"/>
          <w:sz w:val="20"/>
          <w:szCs w:val="20"/>
        </w:rPr>
      </w:pPr>
      <w:r w:rsidRPr="00EB712F">
        <w:rPr>
          <w:rFonts w:ascii="Cambria" w:hAnsi="Cambria"/>
          <w:sz w:val="20"/>
          <w:szCs w:val="20"/>
        </w:rPr>
        <w:t>Le système devrait permettre l'enregistrement et l'échange d'informations essentielles relatives aux mesures du ressort de l'État du port notamment les ARPE, les résultats des inspections et les décisions portuaires.</w:t>
      </w:r>
    </w:p>
    <w:p w14:paraId="0887A895" w14:textId="7450F44E" w:rsidR="009714B8" w:rsidRPr="00EB712F" w:rsidRDefault="00AB166E" w:rsidP="00A25965">
      <w:pPr>
        <w:pStyle w:val="ListParagraph"/>
        <w:numPr>
          <w:ilvl w:val="0"/>
          <w:numId w:val="17"/>
        </w:numPr>
        <w:spacing w:after="0" w:line="240" w:lineRule="auto"/>
        <w:ind w:left="851" w:hanging="425"/>
        <w:jc w:val="both"/>
        <w:rPr>
          <w:rFonts w:ascii="Cambria" w:hAnsi="Cambria"/>
          <w:sz w:val="20"/>
          <w:szCs w:val="20"/>
        </w:rPr>
      </w:pPr>
      <w:r w:rsidRPr="00EB712F">
        <w:rPr>
          <w:rFonts w:ascii="Cambria" w:hAnsi="Cambria"/>
          <w:sz w:val="20"/>
          <w:szCs w:val="20"/>
        </w:rPr>
        <w:t>Le système devrait permettre un échange d'informations en temps utile afin de faciliter la prise de décision de l'État du port et les mesures de suivi prises par les autorités compétentes.</w:t>
      </w:r>
    </w:p>
    <w:p w14:paraId="14EF730B" w14:textId="5AFF1E85" w:rsidR="00A86C6F" w:rsidRPr="00EB712F" w:rsidRDefault="00A86C6F" w:rsidP="00A25965">
      <w:pPr>
        <w:pStyle w:val="ListParagraph"/>
        <w:numPr>
          <w:ilvl w:val="0"/>
          <w:numId w:val="17"/>
        </w:numPr>
        <w:spacing w:after="0" w:line="240" w:lineRule="auto"/>
        <w:ind w:left="851" w:hanging="425"/>
        <w:jc w:val="both"/>
        <w:rPr>
          <w:rFonts w:ascii="Cambria" w:hAnsi="Cambria"/>
          <w:sz w:val="20"/>
          <w:szCs w:val="20"/>
        </w:rPr>
      </w:pPr>
      <w:r w:rsidRPr="00EB712F">
        <w:rPr>
          <w:rFonts w:ascii="Cambria" w:hAnsi="Cambria"/>
          <w:sz w:val="20"/>
          <w:szCs w:val="20"/>
        </w:rPr>
        <w:t>Le code source du système devra être intégralement transféré à l’ICCAT, qui en deviendra l'unique propriétaire. Cela permettrait à l’ICCAT de modifier le système sans l'intervention d'un tiers (à savoir la CTOI ou la FAO).</w:t>
      </w:r>
    </w:p>
    <w:p w14:paraId="108717AB" w14:textId="77777777" w:rsidR="009714B8" w:rsidRPr="00EB712F" w:rsidRDefault="009714B8" w:rsidP="00A25965">
      <w:pPr>
        <w:spacing w:after="0" w:line="240" w:lineRule="auto"/>
        <w:jc w:val="both"/>
        <w:rPr>
          <w:rFonts w:ascii="Cambria" w:hAnsi="Cambria"/>
          <w:b/>
          <w:bCs/>
          <w:sz w:val="20"/>
          <w:szCs w:val="20"/>
        </w:rPr>
      </w:pPr>
    </w:p>
    <w:p w14:paraId="0BAB3BEB" w14:textId="68B68496" w:rsidR="005311E9" w:rsidRPr="00EB712F" w:rsidRDefault="00D31B39" w:rsidP="00E67B6A">
      <w:pPr>
        <w:spacing w:after="0" w:line="240" w:lineRule="auto"/>
        <w:rPr>
          <w:rFonts w:ascii="Cambria" w:hAnsi="Cambria"/>
          <w:b/>
          <w:bCs/>
          <w:sz w:val="20"/>
          <w:szCs w:val="20"/>
        </w:rPr>
      </w:pPr>
      <w:r w:rsidRPr="00EB712F">
        <w:rPr>
          <w:rFonts w:ascii="Cambria" w:hAnsi="Cambria"/>
          <w:b/>
          <w:sz w:val="20"/>
          <w:szCs w:val="20"/>
        </w:rPr>
        <w:t>Demande de décision à prendre par le PWG</w:t>
      </w:r>
    </w:p>
    <w:p w14:paraId="7C7B07B4" w14:textId="77777777" w:rsidR="009714B8" w:rsidRPr="00EB712F" w:rsidRDefault="009714B8" w:rsidP="001B4B13">
      <w:pPr>
        <w:spacing w:after="0" w:line="240" w:lineRule="auto"/>
        <w:rPr>
          <w:rFonts w:ascii="Cambria" w:hAnsi="Cambria"/>
          <w:sz w:val="20"/>
          <w:szCs w:val="20"/>
        </w:rPr>
      </w:pPr>
    </w:p>
    <w:p w14:paraId="51FB0219" w14:textId="0CDBCF34" w:rsidR="001B4B13" w:rsidRPr="00EB712F" w:rsidRDefault="001B4B13" w:rsidP="00E62407">
      <w:pPr>
        <w:spacing w:after="0" w:line="240" w:lineRule="auto"/>
        <w:jc w:val="both"/>
        <w:rPr>
          <w:rFonts w:ascii="Cambria" w:hAnsi="Cambria"/>
          <w:sz w:val="20"/>
          <w:szCs w:val="20"/>
        </w:rPr>
      </w:pPr>
      <w:r w:rsidRPr="00EB712F">
        <w:rPr>
          <w:rFonts w:ascii="Cambria" w:hAnsi="Cambria"/>
          <w:sz w:val="20"/>
          <w:szCs w:val="20"/>
        </w:rPr>
        <w:t xml:space="preserve">Il est demandé au PWG de se mettre d'accord sur la voie de mise en œuvre privilégiée pour un système </w:t>
      </w:r>
      <w:r w:rsidR="00F74860" w:rsidRPr="00EB712F">
        <w:rPr>
          <w:rFonts w:ascii="Cambria" w:hAnsi="Cambria"/>
          <w:sz w:val="20"/>
          <w:szCs w:val="20"/>
        </w:rPr>
        <w:t xml:space="preserve">électronique </w:t>
      </w:r>
      <w:r w:rsidRPr="00EB712F">
        <w:rPr>
          <w:rFonts w:ascii="Cambria" w:hAnsi="Cambria"/>
          <w:sz w:val="20"/>
          <w:szCs w:val="20"/>
        </w:rPr>
        <w:t>d'échange d'informations de l’ICCAT en choisissant l'une des options suivantes :</w:t>
      </w:r>
    </w:p>
    <w:p w14:paraId="258C4A02" w14:textId="77777777" w:rsidR="001B4B13" w:rsidRPr="00EB712F" w:rsidRDefault="001B4B13" w:rsidP="00E62407">
      <w:pPr>
        <w:spacing w:after="0" w:line="240" w:lineRule="auto"/>
        <w:jc w:val="both"/>
        <w:rPr>
          <w:rFonts w:ascii="Cambria" w:hAnsi="Cambria"/>
          <w:sz w:val="20"/>
          <w:szCs w:val="20"/>
        </w:rPr>
      </w:pPr>
    </w:p>
    <w:p w14:paraId="11FFE8CD" w14:textId="77777777" w:rsidR="001B4B13" w:rsidRPr="00EB712F" w:rsidRDefault="001B4B13" w:rsidP="00E62407">
      <w:pPr>
        <w:pStyle w:val="ListParagraph"/>
        <w:numPr>
          <w:ilvl w:val="0"/>
          <w:numId w:val="27"/>
        </w:numPr>
        <w:spacing w:after="0" w:line="240" w:lineRule="auto"/>
        <w:ind w:left="851" w:hanging="425"/>
        <w:jc w:val="both"/>
        <w:rPr>
          <w:rFonts w:ascii="Cambria" w:hAnsi="Cambria"/>
          <w:sz w:val="20"/>
          <w:szCs w:val="20"/>
        </w:rPr>
      </w:pPr>
      <w:r w:rsidRPr="00EB712F">
        <w:rPr>
          <w:rFonts w:ascii="Cambria" w:hAnsi="Cambria"/>
          <w:sz w:val="20"/>
          <w:szCs w:val="20"/>
        </w:rPr>
        <w:t>Option 1: Adaptation de l'application e-PSM existante de la CTOI ; ou</w:t>
      </w:r>
    </w:p>
    <w:p w14:paraId="2192AB2F" w14:textId="3237BBAB" w:rsidR="001B4B13" w:rsidRPr="00EB712F" w:rsidRDefault="001B4B13" w:rsidP="00E62407">
      <w:pPr>
        <w:pStyle w:val="ListParagraph"/>
        <w:numPr>
          <w:ilvl w:val="0"/>
          <w:numId w:val="27"/>
        </w:numPr>
        <w:spacing w:after="0" w:line="240" w:lineRule="auto"/>
        <w:ind w:left="851" w:hanging="425"/>
        <w:jc w:val="both"/>
        <w:rPr>
          <w:rFonts w:ascii="Cambria" w:hAnsi="Cambria"/>
          <w:sz w:val="20"/>
          <w:szCs w:val="20"/>
        </w:rPr>
      </w:pPr>
      <w:r w:rsidRPr="00EB712F">
        <w:rPr>
          <w:rFonts w:ascii="Cambria" w:hAnsi="Cambria"/>
          <w:sz w:val="20"/>
          <w:szCs w:val="20"/>
        </w:rPr>
        <w:t>Option nº2: Utilisation directe ou adaptation d'une application GIES de la FAO.</w:t>
      </w:r>
    </w:p>
    <w:p w14:paraId="12BDF215" w14:textId="77777777" w:rsidR="001B4B13" w:rsidRPr="00EB712F" w:rsidRDefault="001B4B13" w:rsidP="00E62407">
      <w:pPr>
        <w:spacing w:after="0" w:line="240" w:lineRule="auto"/>
        <w:jc w:val="both"/>
        <w:rPr>
          <w:rFonts w:ascii="Cambria" w:hAnsi="Cambria"/>
          <w:sz w:val="20"/>
          <w:szCs w:val="20"/>
        </w:rPr>
      </w:pPr>
    </w:p>
    <w:p w14:paraId="4C362E0E" w14:textId="7A8112F9" w:rsidR="00E67B6A" w:rsidRPr="00EB712F" w:rsidRDefault="00EC6DCC" w:rsidP="00E62407">
      <w:pPr>
        <w:spacing w:after="0" w:line="240" w:lineRule="auto"/>
        <w:jc w:val="both"/>
        <w:rPr>
          <w:rFonts w:ascii="Cambria" w:hAnsi="Cambria"/>
          <w:sz w:val="20"/>
          <w:szCs w:val="20"/>
        </w:rPr>
      </w:pPr>
      <w:r w:rsidRPr="00EB712F">
        <w:rPr>
          <w:rFonts w:ascii="Cambria" w:hAnsi="Cambria"/>
          <w:sz w:val="20"/>
          <w:szCs w:val="20"/>
        </w:rPr>
        <w:t>Outre le choix de l’une de ces options, le PWG est également invité à approuver les six principes généraux susmentionnés, qui serviront de lignes directrices pour les travaux futurs du Secrétariat et du Groupe de travail IMM/PWG. L'option retenue, ainsi que les principes convenus, serviront de base aux travaux détaillés sur les aspects techniques, la gouvernance et la mise en œuvre qui seront menés au cours de l'année 2027.</w:t>
      </w:r>
    </w:p>
    <w:p w14:paraId="6E0A1821" w14:textId="77777777" w:rsidR="001B4B13" w:rsidRPr="00EB712F" w:rsidRDefault="001B4B13" w:rsidP="00E62407">
      <w:pPr>
        <w:spacing w:after="0" w:line="240" w:lineRule="auto"/>
        <w:jc w:val="both"/>
        <w:rPr>
          <w:rFonts w:ascii="Cambria" w:hAnsi="Cambria"/>
          <w:sz w:val="20"/>
          <w:szCs w:val="20"/>
        </w:rPr>
      </w:pPr>
    </w:p>
    <w:p w14:paraId="55919F42" w14:textId="119B5367" w:rsidR="00E67B6A" w:rsidRPr="00EB712F" w:rsidRDefault="00E67B6A" w:rsidP="00E62407">
      <w:pPr>
        <w:spacing w:after="0" w:line="240" w:lineRule="auto"/>
        <w:jc w:val="both"/>
        <w:rPr>
          <w:rFonts w:ascii="Cambria" w:hAnsi="Cambria"/>
          <w:b/>
          <w:bCs/>
          <w:sz w:val="20"/>
          <w:szCs w:val="20"/>
        </w:rPr>
      </w:pPr>
      <w:r w:rsidRPr="00EB712F">
        <w:rPr>
          <w:rFonts w:ascii="Cambria" w:hAnsi="Cambria"/>
          <w:b/>
          <w:sz w:val="20"/>
          <w:szCs w:val="20"/>
        </w:rPr>
        <w:t>Prochaines étapes</w:t>
      </w:r>
    </w:p>
    <w:p w14:paraId="4E978E74" w14:textId="77777777" w:rsidR="00E67B6A" w:rsidRPr="00EB712F" w:rsidRDefault="00E67B6A" w:rsidP="00E62407">
      <w:pPr>
        <w:spacing w:after="0" w:line="240" w:lineRule="auto"/>
        <w:jc w:val="both"/>
        <w:rPr>
          <w:rFonts w:ascii="Cambria" w:hAnsi="Cambria"/>
          <w:b/>
          <w:bCs/>
          <w:sz w:val="20"/>
          <w:szCs w:val="20"/>
        </w:rPr>
      </w:pPr>
    </w:p>
    <w:p w14:paraId="53B89997" w14:textId="3065764E" w:rsidR="005E6512" w:rsidRPr="00EB712F" w:rsidRDefault="005E6512" w:rsidP="00E62407">
      <w:pPr>
        <w:spacing w:after="0"/>
        <w:jc w:val="both"/>
        <w:rPr>
          <w:rFonts w:ascii="Cambria" w:hAnsi="Cambria"/>
          <w:sz w:val="20"/>
          <w:szCs w:val="20"/>
        </w:rPr>
      </w:pPr>
      <w:r w:rsidRPr="00EB712F">
        <w:rPr>
          <w:rFonts w:ascii="Cambria" w:hAnsi="Cambria"/>
          <w:sz w:val="20"/>
          <w:szCs w:val="20"/>
        </w:rPr>
        <w:t>À la suite d'une décision du PWG concernant la voie de mise en œuvre privilégiée, les mesures suivantes sont proposées :</w:t>
      </w:r>
    </w:p>
    <w:p w14:paraId="43A5C943" w14:textId="77777777" w:rsidR="002A2201" w:rsidRPr="00EB712F" w:rsidRDefault="002A2201" w:rsidP="00E62407">
      <w:pPr>
        <w:spacing w:after="0"/>
        <w:jc w:val="both"/>
        <w:rPr>
          <w:rFonts w:ascii="Cambria" w:hAnsi="Cambria"/>
          <w:sz w:val="20"/>
          <w:szCs w:val="20"/>
        </w:rPr>
      </w:pPr>
    </w:p>
    <w:p w14:paraId="55C0E340" w14:textId="63DAF6FF" w:rsidR="0026018D" w:rsidRPr="00EB712F" w:rsidRDefault="00972D26" w:rsidP="002A2201">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sidRPr="00EB712F">
        <w:rPr>
          <w:rFonts w:ascii="Cambria" w:hAnsi="Cambria"/>
          <w:sz w:val="20"/>
          <w:szCs w:val="20"/>
        </w:rPr>
        <w:t>Il est demandé au Secrétariat de poursuivre sa collaboration avec les organisations concernées (la FAO et la CTOI).</w:t>
      </w:r>
    </w:p>
    <w:p w14:paraId="07F82C32" w14:textId="392B8603" w:rsidR="00972D26" w:rsidRPr="00EB712F" w:rsidRDefault="00972D26" w:rsidP="002A2201">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sidRPr="00EB712F">
        <w:rPr>
          <w:rFonts w:ascii="Cambria" w:hAnsi="Cambria"/>
          <w:sz w:val="20"/>
          <w:szCs w:val="20"/>
        </w:rPr>
        <w:t>Il est demandé au Secrétariat d'élaborer une description plus précise des éléments nécessaires à l'adaptation de l'option retenue aux besoins de l'ICCAT, notamment en ce qui concerne l'appui technique probable, les coûts et les aspects liés à la maintenance. </w:t>
      </w:r>
    </w:p>
    <w:p w14:paraId="56C4215A" w14:textId="387D033A" w:rsidR="00972D26" w:rsidRPr="00EB712F" w:rsidRDefault="00972D26" w:rsidP="002A2201">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sidRPr="00EB712F">
        <w:rPr>
          <w:rFonts w:ascii="Cambria" w:hAnsi="Cambria"/>
          <w:sz w:val="20"/>
          <w:szCs w:val="20"/>
        </w:rPr>
        <w:t>Les CPC aborderont les questions relatives à la conception détaillée lors du Groupe de travail IMM en 2027, notamment les informations qui seraient collectées, celles qui seraient transmises au moyen du GIES, les personnes qui y auraient accès et les modalités de gestion de la confidentialité. </w:t>
      </w:r>
    </w:p>
    <w:p w14:paraId="7DD016AE" w14:textId="39A5B6F9" w:rsidR="00194ECD" w:rsidRDefault="00972D26" w:rsidP="002A2201">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sidRPr="00EB712F">
        <w:rPr>
          <w:rFonts w:ascii="Cambria" w:hAnsi="Cambria"/>
          <w:sz w:val="20"/>
          <w:szCs w:val="20"/>
        </w:rPr>
        <w:t>Un nouveau document sera présenté au Groupe de travail IMM en 2027, exposant la conception proposée du système, les exigences de mise en œuvre ainsi que toute recommandation ou décision nécessaire pour faire avancer le projet.</w:t>
      </w:r>
    </w:p>
    <w:p w14:paraId="52AB616B" w14:textId="77777777" w:rsidR="00EB712F" w:rsidRPr="00EB712F" w:rsidRDefault="00EB712F" w:rsidP="00EB712F">
      <w:pPr>
        <w:pStyle w:val="ListParagraph"/>
        <w:tabs>
          <w:tab w:val="num" w:pos="851"/>
        </w:tabs>
        <w:spacing w:after="0" w:line="240" w:lineRule="auto"/>
        <w:ind w:left="851"/>
        <w:jc w:val="both"/>
        <w:rPr>
          <w:rFonts w:ascii="Cambria" w:hAnsi="Cambria"/>
          <w:sz w:val="20"/>
          <w:szCs w:val="20"/>
        </w:rPr>
      </w:pPr>
    </w:p>
    <w:p w14:paraId="63EB8AD6" w14:textId="10F40E2A" w:rsidR="00E67B6A" w:rsidRPr="00EB712F" w:rsidRDefault="009B2D7C" w:rsidP="00E62407">
      <w:pPr>
        <w:jc w:val="both"/>
        <w:rPr>
          <w:rFonts w:ascii="Cambria" w:hAnsi="Cambria"/>
          <w:b/>
          <w:bCs/>
          <w:sz w:val="20"/>
          <w:szCs w:val="20"/>
        </w:rPr>
      </w:pPr>
      <w:r w:rsidRPr="00EB712F">
        <w:rPr>
          <w:rFonts w:ascii="Cambria" w:hAnsi="Cambria"/>
          <w:b/>
          <w:sz w:val="20"/>
          <w:szCs w:val="20"/>
        </w:rPr>
        <w:t>Questions à aborder lors de la réunion du Groupe de travail IMM en 2027</w:t>
      </w:r>
    </w:p>
    <w:p w14:paraId="535323CB" w14:textId="3ED84132" w:rsidR="009B2D7C" w:rsidRPr="00EB712F" w:rsidRDefault="009B2D7C" w:rsidP="00E62407">
      <w:pPr>
        <w:jc w:val="both"/>
        <w:rPr>
          <w:rFonts w:ascii="Cambria" w:hAnsi="Cambria"/>
          <w:sz w:val="20"/>
          <w:szCs w:val="20"/>
        </w:rPr>
      </w:pPr>
      <w:r w:rsidRPr="00EB712F">
        <w:rPr>
          <w:rFonts w:ascii="Cambria" w:hAnsi="Cambria"/>
          <w:sz w:val="20"/>
          <w:szCs w:val="20"/>
        </w:rPr>
        <w:t>La discussion approfondie qui aura lieu lors de la réunion du Groupe de travail IMM en 2027 sur ce sujet pourrait porter sur les points suivants : </w:t>
      </w:r>
    </w:p>
    <w:p w14:paraId="379106C7" w14:textId="00D590FC" w:rsidR="009B2D7C" w:rsidRPr="00EB712F" w:rsidRDefault="009B2D7C" w:rsidP="009777EF">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sidRPr="00EB712F">
        <w:rPr>
          <w:rFonts w:ascii="Cambria" w:hAnsi="Cambria"/>
          <w:sz w:val="20"/>
          <w:szCs w:val="20"/>
        </w:rPr>
        <w:t>les catégories d'informations à inclure dans une demande adressée à l’ICCAT; </w:t>
      </w:r>
    </w:p>
    <w:p w14:paraId="51BDC693" w14:textId="77777777" w:rsidR="009B2D7C" w:rsidRPr="00EB712F" w:rsidRDefault="009B2D7C" w:rsidP="009777EF">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sidRPr="00EB712F">
        <w:rPr>
          <w:rFonts w:ascii="Cambria" w:hAnsi="Cambria"/>
          <w:sz w:val="20"/>
          <w:szCs w:val="20"/>
        </w:rPr>
        <w:t>la façon dont le système permettrait d'éviter les doublons dans la déclaration des CPC ; </w:t>
      </w:r>
    </w:p>
    <w:p w14:paraId="7877DDC6" w14:textId="77777777" w:rsidR="009B2D7C" w:rsidRPr="00EB712F" w:rsidRDefault="009B2D7C" w:rsidP="009777EF">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sidRPr="00EB712F">
        <w:rPr>
          <w:rFonts w:ascii="Cambria" w:hAnsi="Cambria"/>
          <w:sz w:val="20"/>
          <w:szCs w:val="20"/>
        </w:rPr>
        <w:t>la façon dont informations seraient échangées avec le GIES ; </w:t>
      </w:r>
    </w:p>
    <w:p w14:paraId="2983F61C" w14:textId="77777777" w:rsidR="009B2D7C" w:rsidRPr="00EB712F" w:rsidRDefault="009B2D7C" w:rsidP="009777EF">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sidRPr="00EB712F">
        <w:rPr>
          <w:rFonts w:ascii="Cambria" w:hAnsi="Cambria"/>
          <w:sz w:val="20"/>
          <w:szCs w:val="20"/>
        </w:rPr>
        <w:t>les droits d'accès des États du pavillon, des États du port et des autres autorités compétentes ; </w:t>
      </w:r>
    </w:p>
    <w:p w14:paraId="46854958" w14:textId="7C5C9871" w:rsidR="009B2D7C" w:rsidRPr="00EB712F" w:rsidRDefault="0082789C" w:rsidP="009777EF">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sidRPr="00EB712F">
        <w:rPr>
          <w:rFonts w:ascii="Cambria" w:hAnsi="Cambria"/>
          <w:sz w:val="20"/>
          <w:szCs w:val="20"/>
        </w:rPr>
        <w:t>les règles relatives à la confidentialité des données et au partage des données ; </w:t>
      </w:r>
    </w:p>
    <w:p w14:paraId="025B7F27" w14:textId="77777777" w:rsidR="009B2D7C" w:rsidRPr="00EB712F" w:rsidRDefault="009B2D7C" w:rsidP="009777EF">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sidRPr="00EB712F">
        <w:rPr>
          <w:rFonts w:ascii="Cambria" w:hAnsi="Cambria"/>
          <w:sz w:val="20"/>
          <w:szCs w:val="20"/>
        </w:rPr>
        <w:t>le support technique, les coûts, les modalités d'hébergement et de maintenance ; et </w:t>
      </w:r>
    </w:p>
    <w:p w14:paraId="650241C2" w14:textId="0842C563" w:rsidR="009B2D7C" w:rsidRPr="00EB712F" w:rsidRDefault="009B2D7C" w:rsidP="009777EF">
      <w:pPr>
        <w:pStyle w:val="ListParagraph"/>
        <w:numPr>
          <w:ilvl w:val="0"/>
          <w:numId w:val="25"/>
        </w:numPr>
        <w:tabs>
          <w:tab w:val="clear" w:pos="720"/>
          <w:tab w:val="num" w:pos="851"/>
        </w:tabs>
        <w:spacing w:after="0" w:line="240" w:lineRule="auto"/>
        <w:ind w:left="851" w:hanging="425"/>
        <w:jc w:val="both"/>
        <w:rPr>
          <w:rFonts w:ascii="Cambria" w:hAnsi="Cambria"/>
          <w:sz w:val="20"/>
          <w:szCs w:val="20"/>
        </w:rPr>
      </w:pPr>
      <w:r w:rsidRPr="00EB712F">
        <w:rPr>
          <w:rFonts w:ascii="Cambria" w:hAnsi="Cambria"/>
          <w:sz w:val="20"/>
          <w:szCs w:val="20"/>
        </w:rPr>
        <w:t>s'il convient d'apporter des modifications aux recommandations ou aux procédures de l’ICCAT. </w:t>
      </w:r>
    </w:p>
    <w:p w14:paraId="082E6837" w14:textId="1C02BFA5" w:rsidR="006F64E3" w:rsidRPr="00EB712F" w:rsidRDefault="006F64E3" w:rsidP="006F64E3">
      <w:pPr>
        <w:tabs>
          <w:tab w:val="center" w:pos="4535"/>
        </w:tabs>
        <w:rPr>
          <w:rFonts w:ascii="Cambria" w:hAnsi="Cambria"/>
          <w:sz w:val="20"/>
          <w:szCs w:val="20"/>
        </w:rPr>
        <w:sectPr w:rsidR="006F64E3" w:rsidRPr="00EB712F" w:rsidSect="007D35F1">
          <w:headerReference w:type="even" r:id="rId15"/>
          <w:headerReference w:type="default" r:id="rId16"/>
          <w:footerReference w:type="default" r:id="rId17"/>
          <w:headerReference w:type="first" r:id="rId18"/>
          <w:pgSz w:w="11906" w:h="16838" w:code="9"/>
          <w:pgMar w:top="1418" w:right="1418" w:bottom="1418" w:left="1418" w:header="851" w:footer="1134" w:gutter="0"/>
          <w:cols w:space="708"/>
          <w:docGrid w:linePitch="360"/>
        </w:sectPr>
      </w:pPr>
      <w:r w:rsidRPr="00EB712F">
        <w:rPr>
          <w:rFonts w:ascii="Cambria" w:hAnsi="Cambria"/>
          <w:sz w:val="20"/>
          <w:szCs w:val="20"/>
        </w:rPr>
        <w:tab/>
      </w:r>
    </w:p>
    <w:p w14:paraId="36F4B3C7" w14:textId="0FF64E54" w:rsidR="003833B0" w:rsidRPr="00EB712F" w:rsidRDefault="00EF7533" w:rsidP="009777EF">
      <w:pPr>
        <w:jc w:val="right"/>
        <w:rPr>
          <w:rFonts w:ascii="Cambria" w:hAnsi="Cambria"/>
          <w:b/>
          <w:bCs/>
          <w:sz w:val="20"/>
          <w:szCs w:val="20"/>
        </w:rPr>
      </w:pPr>
      <w:r w:rsidRPr="00EB712F">
        <w:rPr>
          <w:rFonts w:ascii="Cambria" w:hAnsi="Cambria"/>
          <w:b/>
          <w:noProof/>
          <w:sz w:val="20"/>
          <w:szCs w:val="20"/>
        </w:rPr>
        <w:lastRenderedPageBreak/>
        <mc:AlternateContent>
          <mc:Choice Requires="wps">
            <w:drawing>
              <wp:anchor distT="45720" distB="45720" distL="114300" distR="114300" simplePos="0" relativeHeight="251658240" behindDoc="0" locked="0" layoutInCell="1" allowOverlap="1" wp14:anchorId="611630D4" wp14:editId="5FD33687">
                <wp:simplePos x="0" y="0"/>
                <wp:positionH relativeFrom="column">
                  <wp:posOffset>4352925</wp:posOffset>
                </wp:positionH>
                <wp:positionV relativeFrom="paragraph">
                  <wp:posOffset>2876550</wp:posOffset>
                </wp:positionV>
                <wp:extent cx="990600" cy="238125"/>
                <wp:effectExtent l="0" t="0" r="0" b="9525"/>
                <wp:wrapNone/>
                <wp:docPr id="30143553" name="Text Box 2">
                  <a:extLst xmlns:a="http://schemas.openxmlformats.org/drawingml/2006/main">
                    <a:ext uri="{FF2B5EF4-FFF2-40B4-BE49-F238E27FC236}">
                      <a16:creationId xmlns:a16="http://schemas.microsoft.com/office/drawing/2014/main" id="{CD1A8EC2-F95F-4D2A-819B-9D9FE957D44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38125"/>
                        </a:xfrm>
                        <a:prstGeom prst="rect">
                          <a:avLst/>
                        </a:prstGeom>
                        <a:noFill/>
                        <a:ln>
                          <a:noFill/>
                        </a:ln>
                      </wps:spPr>
                      <wps:style>
                        <a:lnRef idx="0">
                          <a:scrgbClr r="0" g="0" b="0"/>
                        </a:lnRef>
                        <a:fillRef idx="0">
                          <a:scrgbClr r="0" g="0" b="0"/>
                        </a:fillRef>
                        <a:effectRef idx="0">
                          <a:scrgbClr r="0" g="0" b="0"/>
                        </a:effectRef>
                        <a:fontRef idx="minor">
                          <a:schemeClr val="accent1"/>
                        </a:fontRef>
                      </wps:style>
                      <wps:txbx>
                        <w:txbxContent>
                          <w:p w14:paraId="64638D8B" w14:textId="0856E269" w:rsidR="00EF7533" w:rsidRPr="00BF70F3" w:rsidRDefault="00EF7533" w:rsidP="00EF7533">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1630D4" id="_x0000_t202" coordsize="21600,21600" o:spt="202" path="m,l,21600r21600,l21600,xe">
                <v:stroke joinstyle="miter"/>
                <v:path gradientshapeok="t" o:connecttype="rect"/>
              </v:shapetype>
              <v:shape id="Text Box 2" o:spid="_x0000_s1026" type="#_x0000_t202" style="position:absolute;left:0;text-align:left;margin-left:342.75pt;margin-top:226.5pt;width:78pt;height:18.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" filled="f" stroked="f">
                <v:textbox>
                  <w:txbxContent>
                    <w:p w14:paraId="64638D8B" w14:textId="0856E269" w:rsidR="00EF7533" w:rsidRPr="00BF70F3" w:rsidRDefault="00EF7533" w:rsidP="00EF7533">
                      <w:pPr>
                        <w:rPr>
                          <w:sz w:val="16"/>
                          <w:szCs w:val="16"/>
                        </w:rPr>
                      </w:pPr>
                    </w:p>
                  </w:txbxContent>
                </v:textbox>
              </v:shape>
            </w:pict>
          </mc:Fallback>
        </mc:AlternateContent>
      </w:r>
      <w:r w:rsidRPr="00EB712F">
        <w:rPr>
          <w:rFonts w:ascii="Cambria" w:hAnsi="Cambria"/>
          <w:b/>
          <w:sz w:val="20"/>
          <w:szCs w:val="20"/>
        </w:rPr>
        <w:t xml:space="preserve">Annexe 1 </w:t>
      </w:r>
    </w:p>
    <w:p w14:paraId="1B6A6B2B" w14:textId="5DD7D387" w:rsidR="005237CA" w:rsidRPr="00EB712F" w:rsidRDefault="00EF3804" w:rsidP="00BE7624">
      <w:pPr>
        <w:spacing w:after="0" w:line="240" w:lineRule="auto"/>
        <w:rPr>
          <w:rFonts w:ascii="Cambria" w:hAnsi="Cambria"/>
          <w:b/>
          <w:bCs/>
          <w:sz w:val="20"/>
          <w:szCs w:val="20"/>
        </w:rPr>
      </w:pPr>
      <w:r w:rsidRPr="00EB712F">
        <w:rPr>
          <w:rFonts w:ascii="Cambria" w:hAnsi="Cambria"/>
          <w:noProof/>
          <w:sz w:val="20"/>
          <w:szCs w:val="20"/>
        </w:rPr>
        <w:drawing>
          <wp:inline distT="0" distB="0" distL="0" distR="0" wp14:anchorId="0D6271CD" wp14:editId="45974D9E">
            <wp:extent cx="9777019" cy="4158343"/>
            <wp:effectExtent l="0" t="0" r="0" b="0"/>
            <wp:docPr id="14660241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024139" name="Picture 3"/>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804295" cy="4169944"/>
                    </a:xfrm>
                    <a:prstGeom prst="rect">
                      <a:avLst/>
                    </a:prstGeom>
                    <a:noFill/>
                    <a:ln>
                      <a:noFill/>
                    </a:ln>
                  </pic:spPr>
                </pic:pic>
              </a:graphicData>
            </a:graphic>
          </wp:inline>
        </w:drawing>
      </w:r>
      <w:r w:rsidRPr="00EB712F">
        <w:rPr>
          <w:rFonts w:ascii="Cambria" w:hAnsi="Cambria"/>
          <w:b/>
          <w:bCs/>
          <w:sz w:val="20"/>
          <w:szCs w:val="20"/>
        </w:rPr>
        <w:t>Formulaires relatifs au programme d'inspection portuaire, qui ser</w:t>
      </w:r>
      <w:r w:rsidR="00CF5D90">
        <w:rPr>
          <w:rFonts w:ascii="Cambria" w:hAnsi="Cambria"/>
          <w:b/>
          <w:bCs/>
          <w:sz w:val="20"/>
          <w:szCs w:val="20"/>
        </w:rPr>
        <w:t>aient</w:t>
      </w:r>
      <w:r w:rsidRPr="00EB712F">
        <w:rPr>
          <w:rFonts w:ascii="Cambria" w:hAnsi="Cambria"/>
          <w:b/>
          <w:bCs/>
          <w:sz w:val="20"/>
          <w:szCs w:val="20"/>
        </w:rPr>
        <w:t xml:space="preserve"> disponibles sous forme électronique</w:t>
      </w:r>
    </w:p>
    <w:p w14:paraId="1A3236C6" w14:textId="5F9D62F4" w:rsidR="00AE320A" w:rsidRPr="00D32956" w:rsidRDefault="002C64F5" w:rsidP="00BE7624">
      <w:pPr>
        <w:numPr>
          <w:ilvl w:val="0"/>
          <w:numId w:val="35"/>
        </w:numPr>
        <w:spacing w:after="0" w:line="240" w:lineRule="auto"/>
        <w:rPr>
          <w:rFonts w:ascii="Cambria" w:hAnsi="Cambria"/>
          <w:sz w:val="20"/>
          <w:szCs w:val="20"/>
        </w:rPr>
      </w:pPr>
      <w:hyperlink r:id="rId20" w:history="1">
        <w:r w:rsidRPr="00D32956">
          <w:rPr>
            <w:rStyle w:val="Hyperlink"/>
            <w:rFonts w:ascii="Cambria" w:hAnsi="Cambria"/>
            <w:sz w:val="20"/>
            <w:szCs w:val="20"/>
            <w:u w:val="none"/>
          </w:rPr>
          <w:t>Formulaire de déclaration des ports autorisés</w:t>
        </w:r>
      </w:hyperlink>
      <w:r w:rsidRPr="00D32956">
        <w:rPr>
          <w:rFonts w:ascii="Cambria" w:hAnsi="Cambria"/>
          <w:sz w:val="20"/>
          <w:szCs w:val="20"/>
        </w:rPr>
        <w:t>,</w:t>
      </w:r>
      <w:hyperlink r:id="rId21" w:history="1">
        <w:r w:rsidRPr="00D32956">
          <w:rPr>
            <w:rStyle w:val="Hyperlink"/>
            <w:rFonts w:ascii="Cambria" w:hAnsi="Cambria"/>
            <w:sz w:val="20"/>
            <w:szCs w:val="20"/>
            <w:u w:val="none"/>
          </w:rPr>
          <w:t xml:space="preserve"> des points de contact et des périodes de notification</w:t>
        </w:r>
      </w:hyperlink>
    </w:p>
    <w:p w14:paraId="6C007022" w14:textId="288A0F35" w:rsidR="000E5A5E" w:rsidRPr="00EB712F" w:rsidRDefault="00AE320A" w:rsidP="00BE7624">
      <w:pPr>
        <w:numPr>
          <w:ilvl w:val="0"/>
          <w:numId w:val="35"/>
        </w:numPr>
        <w:spacing w:after="0" w:line="240" w:lineRule="auto"/>
        <w:rPr>
          <w:rFonts w:ascii="Cambria" w:hAnsi="Cambria"/>
          <w:sz w:val="20"/>
          <w:szCs w:val="20"/>
        </w:rPr>
      </w:pPr>
      <w:hyperlink r:id="rId22" w:tgtFrame="_blank" w:history="1">
        <w:r w:rsidRPr="00EB712F">
          <w:rPr>
            <w:rStyle w:val="Hyperlink"/>
            <w:rFonts w:ascii="Cambria" w:hAnsi="Cambria"/>
            <w:sz w:val="20"/>
            <w:szCs w:val="20"/>
            <w:u w:val="none"/>
          </w:rPr>
          <w:t>Demande préal</w:t>
        </w:r>
        <w:r w:rsidRPr="00EB712F">
          <w:rPr>
            <w:rStyle w:val="Hyperlink"/>
            <w:rFonts w:ascii="Cambria" w:hAnsi="Cambria"/>
            <w:sz w:val="20"/>
            <w:szCs w:val="20"/>
            <w:u w:val="none"/>
          </w:rPr>
          <w:t>a</w:t>
        </w:r>
        <w:r w:rsidRPr="00EB712F">
          <w:rPr>
            <w:rStyle w:val="Hyperlink"/>
            <w:rFonts w:ascii="Cambria" w:hAnsi="Cambria"/>
            <w:sz w:val="20"/>
            <w:szCs w:val="20"/>
            <w:u w:val="none"/>
          </w:rPr>
          <w:t>ble d’en</w:t>
        </w:r>
        <w:r w:rsidRPr="00EB712F">
          <w:rPr>
            <w:rStyle w:val="Hyperlink"/>
            <w:rFonts w:ascii="Cambria" w:hAnsi="Cambria"/>
            <w:sz w:val="20"/>
            <w:szCs w:val="20"/>
            <w:u w:val="none"/>
          </w:rPr>
          <w:t>t</w:t>
        </w:r>
        <w:r w:rsidRPr="00EB712F">
          <w:rPr>
            <w:rStyle w:val="Hyperlink"/>
            <w:rFonts w:ascii="Cambria" w:hAnsi="Cambria"/>
            <w:sz w:val="20"/>
            <w:szCs w:val="20"/>
            <w:u w:val="none"/>
          </w:rPr>
          <w:t>rée au p</w:t>
        </w:r>
        <w:r w:rsidRPr="00EB712F">
          <w:rPr>
            <w:rStyle w:val="Hyperlink"/>
            <w:rFonts w:ascii="Cambria" w:hAnsi="Cambria"/>
            <w:sz w:val="20"/>
            <w:szCs w:val="20"/>
            <w:u w:val="none"/>
          </w:rPr>
          <w:t>o</w:t>
        </w:r>
        <w:r w:rsidRPr="00EB712F">
          <w:rPr>
            <w:rStyle w:val="Hyperlink"/>
            <w:rFonts w:ascii="Cambria" w:hAnsi="Cambria"/>
            <w:sz w:val="20"/>
            <w:szCs w:val="20"/>
            <w:u w:val="none"/>
          </w:rPr>
          <w:t>rt (ARPE)</w:t>
        </w:r>
      </w:hyperlink>
    </w:p>
    <w:p w14:paraId="4811CB62" w14:textId="492371BA" w:rsidR="00D53CFC" w:rsidRPr="00EB712F" w:rsidRDefault="000E5A5E" w:rsidP="00BE7624">
      <w:pPr>
        <w:numPr>
          <w:ilvl w:val="0"/>
          <w:numId w:val="35"/>
        </w:numPr>
        <w:spacing w:after="0" w:line="240" w:lineRule="auto"/>
        <w:rPr>
          <w:rFonts w:ascii="Cambria" w:hAnsi="Cambria"/>
          <w:sz w:val="20"/>
          <w:szCs w:val="20"/>
        </w:rPr>
      </w:pPr>
      <w:hyperlink r:id="rId23" w:tgtFrame="_blank" w:history="1">
        <w:r w:rsidRPr="00EB712F">
          <w:rPr>
            <w:rStyle w:val="Hyperlink"/>
            <w:rFonts w:ascii="Cambria" w:hAnsi="Cambria"/>
            <w:sz w:val="20"/>
            <w:szCs w:val="20"/>
            <w:u w:val="none"/>
          </w:rPr>
          <w:t>Rapport d'inspection au port de l’ICCAT</w:t>
        </w:r>
      </w:hyperlink>
    </w:p>
    <w:p w14:paraId="008F5C13" w14:textId="5DBD73D6" w:rsidR="00DF5786" w:rsidRPr="00EB712F" w:rsidRDefault="000D6593" w:rsidP="00BE7624">
      <w:pPr>
        <w:numPr>
          <w:ilvl w:val="0"/>
          <w:numId w:val="35"/>
        </w:numPr>
        <w:spacing w:after="0" w:line="240" w:lineRule="auto"/>
        <w:rPr>
          <w:rFonts w:ascii="Cambria" w:hAnsi="Cambria"/>
          <w:sz w:val="20"/>
          <w:szCs w:val="20"/>
        </w:rPr>
      </w:pPr>
      <w:r w:rsidRPr="00EB712F">
        <w:rPr>
          <w:rFonts w:ascii="Cambria" w:hAnsi="Cambria"/>
          <w:sz w:val="20"/>
          <w:szCs w:val="20"/>
        </w:rPr>
        <w:t>Autorisation/Refus d'entrée dans le port</w:t>
      </w:r>
    </w:p>
    <w:p w14:paraId="6BA87491" w14:textId="77777777" w:rsidR="00EF3804" w:rsidRPr="00EB712F" w:rsidRDefault="000D6593" w:rsidP="00BE7624">
      <w:pPr>
        <w:numPr>
          <w:ilvl w:val="0"/>
          <w:numId w:val="35"/>
        </w:numPr>
        <w:spacing w:after="0" w:line="240" w:lineRule="auto"/>
        <w:rPr>
          <w:rFonts w:ascii="Cambria" w:hAnsi="Cambria"/>
          <w:sz w:val="20"/>
          <w:szCs w:val="20"/>
        </w:rPr>
      </w:pPr>
      <w:r w:rsidRPr="00EB712F">
        <w:rPr>
          <w:rFonts w:ascii="Cambria" w:hAnsi="Cambria"/>
          <w:sz w:val="20"/>
          <w:szCs w:val="20"/>
        </w:rPr>
        <w:t>Demande d'informations complémentaires</w:t>
      </w:r>
    </w:p>
    <w:p w14:paraId="5C3126FA" w14:textId="0B0576BA" w:rsidR="000D6593" w:rsidRPr="00EB712F" w:rsidRDefault="000D6593" w:rsidP="00BE7624">
      <w:pPr>
        <w:numPr>
          <w:ilvl w:val="0"/>
          <w:numId w:val="35"/>
        </w:numPr>
        <w:spacing w:after="0" w:line="240" w:lineRule="auto"/>
        <w:rPr>
          <w:rFonts w:ascii="Cambria" w:hAnsi="Cambria"/>
          <w:sz w:val="20"/>
          <w:szCs w:val="20"/>
        </w:rPr>
      </w:pPr>
      <w:r w:rsidRPr="00EB712F">
        <w:rPr>
          <w:rFonts w:ascii="Cambria" w:hAnsi="Cambria"/>
          <w:sz w:val="20"/>
          <w:szCs w:val="20"/>
        </w:rPr>
        <w:t>Refus d'utilisation du port</w:t>
      </w:r>
    </w:p>
    <w:sectPr w:rsidR="000D6593" w:rsidRPr="00EB712F" w:rsidSect="00F41C8A">
      <w:pgSz w:w="16838" w:h="11906" w:orient="landscape"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11491" w14:textId="77777777" w:rsidR="00A61205" w:rsidRDefault="00A61205" w:rsidP="006C60F4">
      <w:pPr>
        <w:spacing w:after="0" w:line="240" w:lineRule="auto"/>
      </w:pPr>
      <w:r>
        <w:separator/>
      </w:r>
    </w:p>
  </w:endnote>
  <w:endnote w:type="continuationSeparator" w:id="0">
    <w:p w14:paraId="257C8292" w14:textId="77777777" w:rsidR="00A61205" w:rsidRDefault="00A61205" w:rsidP="006C6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366719"/>
      <w:docPartObj>
        <w:docPartGallery w:val="Page Numbers (Bottom of Page)"/>
        <w:docPartUnique/>
      </w:docPartObj>
    </w:sdtPr>
    <w:sdtEndPr>
      <w:rPr>
        <w:rFonts w:ascii="Cambria" w:hAnsi="Cambria"/>
        <w:noProof/>
      </w:rPr>
    </w:sdtEndPr>
    <w:sdtContent>
      <w:p w14:paraId="207D6698" w14:textId="16808059" w:rsidR="00F059E1" w:rsidRPr="008517F3" w:rsidRDefault="00A61205" w:rsidP="008517F3">
        <w:pPr>
          <w:tabs>
            <w:tab w:val="center" w:pos="4535"/>
            <w:tab w:val="center" w:pos="4680"/>
            <w:tab w:val="left" w:pos="6150"/>
            <w:tab w:val="right" w:pos="9360"/>
          </w:tabs>
          <w:jc w:val="center"/>
          <w:rPr>
            <w:rFonts w:ascii="Cambria" w:eastAsia="Calibri" w:hAnsi="Cambria" w:cs="Calibri"/>
            <w:kern w:val="0"/>
            <w:sz w:val="20"/>
            <w:szCs w:val="22"/>
            <w14:ligatures w14:val="none"/>
          </w:rPr>
        </w:pPr>
        <w:sdt>
          <w:sdtPr>
            <w:rPr>
              <w:rFonts w:ascii="Calibri" w:eastAsia="Calibri" w:hAnsi="Calibri" w:cs="Calibri"/>
              <w:kern w:val="0"/>
              <w:sz w:val="20"/>
              <w:szCs w:val="20"/>
              <w14:ligatures w14:val="none"/>
            </w:rPr>
            <w:id w:val="1907024537"/>
            <w:docPartObj>
              <w:docPartGallery w:val="Page Numbers (Top of Page)"/>
              <w:docPartUnique/>
            </w:docPartObj>
          </w:sdtPr>
          <w:sdtEndPr/>
          <w:sdtContent>
            <w:r w:rsidR="008517F3" w:rsidRPr="008517F3">
              <w:rPr>
                <w:rFonts w:ascii="Cambria" w:eastAsia="Calibri" w:hAnsi="Cambria" w:cs="Calibri"/>
                <w:sz w:val="20"/>
              </w:rPr>
              <w:fldChar w:fldCharType="begin"/>
            </w:r>
            <w:r w:rsidR="008517F3" w:rsidRPr="008517F3">
              <w:rPr>
                <w:rFonts w:ascii="Cambria" w:eastAsia="Calibri" w:hAnsi="Cambria" w:cs="Calibri"/>
                <w:sz w:val="20"/>
              </w:rPr>
              <w:instrText xml:space="preserve"> PAGE </w:instrText>
            </w:r>
            <w:r w:rsidR="008517F3" w:rsidRPr="008517F3">
              <w:rPr>
                <w:rFonts w:ascii="Cambria" w:eastAsia="Calibri" w:hAnsi="Cambria" w:cs="Calibri"/>
                <w:sz w:val="20"/>
              </w:rPr>
              <w:fldChar w:fldCharType="separate"/>
            </w:r>
            <w:r w:rsidR="008517F3" w:rsidRPr="008517F3">
              <w:rPr>
                <w:rFonts w:ascii="Cambria" w:eastAsia="Calibri" w:hAnsi="Cambria" w:cs="Calibri"/>
                <w:sz w:val="20"/>
              </w:rPr>
              <w:t>1</w:t>
            </w:r>
            <w:r w:rsidR="008517F3" w:rsidRPr="008517F3">
              <w:rPr>
                <w:rFonts w:ascii="Cambria" w:eastAsia="Calibri" w:hAnsi="Cambria" w:cs="Calibri"/>
                <w:sz w:val="20"/>
              </w:rPr>
              <w:fldChar w:fldCharType="end"/>
            </w:r>
            <w:r w:rsidR="00ED766F">
              <w:rPr>
                <w:rFonts w:ascii="Cambria" w:hAnsi="Cambria"/>
                <w:sz w:val="20"/>
              </w:rPr>
              <w:t xml:space="preserve"> / </w:t>
            </w:r>
            <w:r w:rsidR="008517F3" w:rsidRPr="008517F3">
              <w:rPr>
                <w:rFonts w:ascii="Cambria" w:eastAsia="Calibri" w:hAnsi="Cambria" w:cs="Calibri"/>
                <w:sz w:val="20"/>
              </w:rPr>
              <w:fldChar w:fldCharType="begin"/>
            </w:r>
            <w:r w:rsidR="008517F3" w:rsidRPr="008517F3">
              <w:rPr>
                <w:rFonts w:ascii="Cambria" w:eastAsia="Calibri" w:hAnsi="Cambria" w:cs="Calibri"/>
                <w:sz w:val="20"/>
              </w:rPr>
              <w:instrText xml:space="preserve"> NUMPAGES  </w:instrText>
            </w:r>
            <w:r w:rsidR="008517F3" w:rsidRPr="008517F3">
              <w:rPr>
                <w:rFonts w:ascii="Cambria" w:eastAsia="Calibri" w:hAnsi="Cambria" w:cs="Calibri"/>
                <w:sz w:val="20"/>
              </w:rPr>
              <w:fldChar w:fldCharType="separate"/>
            </w:r>
            <w:r w:rsidR="008517F3" w:rsidRPr="008517F3">
              <w:rPr>
                <w:rFonts w:ascii="Cambria" w:eastAsia="Calibri" w:hAnsi="Cambria" w:cs="Calibri"/>
                <w:sz w:val="20"/>
              </w:rPr>
              <w:t>6</w:t>
            </w:r>
            <w:r w:rsidR="008517F3" w:rsidRPr="008517F3">
              <w:rPr>
                <w:rFonts w:ascii="Cambria" w:eastAsia="Calibri" w:hAnsi="Cambria" w:cs="Calibri"/>
                <w:sz w:val="20"/>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2770F" w14:textId="77777777" w:rsidR="00A61205" w:rsidRDefault="00A61205" w:rsidP="006C60F4">
      <w:pPr>
        <w:spacing w:after="0" w:line="240" w:lineRule="auto"/>
      </w:pPr>
      <w:r>
        <w:separator/>
      </w:r>
    </w:p>
  </w:footnote>
  <w:footnote w:type="continuationSeparator" w:id="0">
    <w:p w14:paraId="3B2291BF" w14:textId="77777777" w:rsidR="00A61205" w:rsidRDefault="00A61205" w:rsidP="006C6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A12FB" w14:textId="7B5B8EA2" w:rsidR="006C60F4" w:rsidRDefault="006C60F4">
    <w:pPr>
      <w:pStyle w:val="Header"/>
    </w:pPr>
    <w:r>
      <w:rPr>
        <w:noProof/>
      </w:rPr>
      <mc:AlternateContent>
        <mc:Choice Requires="wps">
          <w:drawing>
            <wp:anchor distT="0" distB="0" distL="0" distR="0" simplePos="0" relativeHeight="251658241" behindDoc="0" locked="0" layoutInCell="1" allowOverlap="1" wp14:anchorId="027BCA8D" wp14:editId="67D6BE74">
              <wp:simplePos x="635" y="635"/>
              <wp:positionH relativeFrom="page">
                <wp:align>right</wp:align>
              </wp:positionH>
              <wp:positionV relativeFrom="page">
                <wp:align>top</wp:align>
              </wp:positionV>
              <wp:extent cx="2085340" cy="405765"/>
              <wp:effectExtent l="0" t="0" r="0" b="13335"/>
              <wp:wrapNone/>
              <wp:docPr id="1157677115" name="Zone de texte 3"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85340" cy="405765"/>
                      </a:xfrm>
                      <a:prstGeom prst="rect">
                        <a:avLst/>
                      </a:prstGeom>
                      <a:noFill/>
                      <a:ln>
                        <a:noFill/>
                      </a:ln>
                    </wps:spPr>
                    <wps:txbx>
                      <w:txbxContent>
                        <w:p w14:paraId="533431CB" w14:textId="14671549" w:rsidR="006C60F4" w:rsidRPr="006C60F4" w:rsidRDefault="006C60F4" w:rsidP="006C60F4">
                          <w:pPr>
                            <w:spacing w:after="0"/>
                            <w:rPr>
                              <w:rFonts w:ascii="Aptos" w:eastAsia="Aptos" w:hAnsi="Aptos" w:cs="Aptos"/>
                              <w:noProof/>
                              <w:color w:val="000000"/>
                            </w:rPr>
                          </w:pPr>
                          <w:r>
                            <w:rPr>
                              <w:rFonts w:ascii="Aptos" w:hAnsi="Aptos"/>
                              <w:color w:val="00000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27BCA8D" id="_x0000_t202" coordsize="21600,21600" o:spt="202" path="m,l,21600r21600,l21600,xe">
              <v:stroke joinstyle="miter"/>
              <v:path gradientshapeok="t" o:connecttype="rect"/>
            </v:shapetype>
            <v:shape id="Zone de texte 3" o:spid="_x0000_s1027" type="#_x0000_t202" alt="Unclassified - Non-Classifié" style="position:absolute;margin-left:113pt;margin-top:0;width:164.2pt;height:31.9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" filled="f" stroked="f">
              <v:textbox style="mso-fit-shape-to-text:t" inset="0,15pt,20pt,0">
                <w:txbxContent>
                  <w:p w14:paraId="533431CB" w14:textId="14671549" w:rsidR="006C60F4" w:rsidRPr="006C60F4" w:rsidRDefault="006C60F4" w:rsidP="006C60F4">
                    <w:pPr>
                      <w:spacing w:after="0"/>
                      <w:rPr>
                        <w:rFonts w:ascii="Aptos" w:eastAsia="Aptos" w:hAnsi="Aptos" w:cs="Aptos"/>
                        <w:noProof/>
                        <w:color w:val="000000"/>
                      </w:rPr>
                    </w:pPr>
                    <w:r>
                      <w:rPr>
                        <w:rFonts w:ascii="Aptos" w:hAnsi="Aptos"/>
                        <w:color w:val="000000"/>
                      </w:rPr>
                      <w:t>Unclassified - Non-Classifié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EAC4" w14:textId="0A03F293" w:rsidR="00F059E1" w:rsidRPr="00F059E1" w:rsidRDefault="00F059E1" w:rsidP="00F059E1">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kern w:val="0"/>
        <w:sz w:val="20"/>
        <w:szCs w:val="20"/>
        <w14:ligatures w14:val="none"/>
      </w:rPr>
    </w:pPr>
    <w:r>
      <w:rPr>
        <w:rFonts w:ascii="Cambria" w:hAnsi="Cambria"/>
        <w:b/>
        <w:sz w:val="20"/>
      </w:rPr>
      <w:t>PWG_418/2026</w:t>
    </w:r>
  </w:p>
  <w:p w14:paraId="284C0979" w14:textId="5E92B000" w:rsidR="006C60F4" w:rsidRPr="00F059E1" w:rsidRDefault="00F059E1" w:rsidP="00F059E1">
    <w:pPr>
      <w:widowControl w:val="0"/>
      <w:tabs>
        <w:tab w:val="left" w:pos="7320"/>
      </w:tabs>
      <w:autoSpaceDE w:val="0"/>
      <w:autoSpaceDN w:val="0"/>
      <w:spacing w:after="0" w:line="240" w:lineRule="exact"/>
      <w:jc w:val="right"/>
      <w:rPr>
        <w:rFonts w:ascii="Aptos" w:eastAsia="MS Mincho" w:hAnsi="Aptos" w:cs="Arial"/>
        <w:kern w:val="0"/>
        <w14:ligatures w14:val="none"/>
      </w:rPr>
    </w:pPr>
    <w:r w:rsidRPr="00F059E1">
      <w:rPr>
        <w:rFonts w:ascii="Cambria" w:eastAsia="Cambria" w:hAnsi="Cambria" w:cs="Cambria"/>
        <w:b/>
        <w:sz w:val="16"/>
      </w:rPr>
      <w:fldChar w:fldCharType="begin"/>
    </w:r>
    <w:r w:rsidRPr="00F059E1">
      <w:rPr>
        <w:rFonts w:ascii="Cambria" w:eastAsia="Cambria" w:hAnsi="Cambria" w:cs="Cambria"/>
        <w:b/>
        <w:sz w:val="16"/>
      </w:rPr>
      <w:instrText xml:space="preserve"> TIME \@ "dd/MM/yyyy H:mm" </w:instrText>
    </w:r>
    <w:r w:rsidRPr="00F059E1">
      <w:rPr>
        <w:rFonts w:ascii="Cambria" w:eastAsia="Cambria" w:hAnsi="Cambria" w:cs="Cambria"/>
        <w:b/>
        <w:sz w:val="16"/>
      </w:rPr>
      <w:fldChar w:fldCharType="separate"/>
    </w:r>
    <w:r w:rsidR="003E7540">
      <w:rPr>
        <w:rFonts w:ascii="Cambria" w:eastAsia="Cambria" w:hAnsi="Cambria" w:cs="Cambria"/>
        <w:b/>
        <w:noProof/>
        <w:sz w:val="16"/>
      </w:rPr>
      <w:t>26/10/2026 15:28</w:t>
    </w:r>
    <w:r w:rsidRPr="00F059E1">
      <w:rPr>
        <w:rFonts w:ascii="Cambria" w:eastAsia="Cambria" w:hAnsi="Cambria" w:cs="Cambria"/>
        <w:b/>
        <w:bCs/>
        <w:kern w:val="0"/>
        <w:sz w:val="16"/>
        <w:szCs w:val="16"/>
        <w:lang w:val="es-ES_tradnl"/>
        <w14:ligatures w14:val="none"/>
      </w:rPr>
      <w:fldChar w:fldCharType="end"/>
    </w:r>
    <w:r>
      <w:rPr>
        <w:noProof/>
      </w:rPr>
      <mc:AlternateContent>
        <mc:Choice Requires="wps">
          <w:drawing>
            <wp:anchor distT="0" distB="0" distL="0" distR="0" simplePos="0" relativeHeight="251658242" behindDoc="0" locked="0" layoutInCell="1" allowOverlap="1" wp14:anchorId="05563909" wp14:editId="0B4602E3">
              <wp:simplePos x="914400" y="451262"/>
              <wp:positionH relativeFrom="page">
                <wp:align>right</wp:align>
              </wp:positionH>
              <wp:positionV relativeFrom="page">
                <wp:align>top</wp:align>
              </wp:positionV>
              <wp:extent cx="2085340" cy="405765"/>
              <wp:effectExtent l="0" t="0" r="0" b="13335"/>
              <wp:wrapNone/>
              <wp:docPr id="591044509" name="Zone de texte 4"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85340" cy="405765"/>
                      </a:xfrm>
                      <a:prstGeom prst="rect">
                        <a:avLst/>
                      </a:prstGeom>
                      <a:noFill/>
                      <a:ln>
                        <a:noFill/>
                      </a:ln>
                    </wps:spPr>
                    <wps:txbx>
                      <w:txbxContent>
                        <w:p w14:paraId="6D739530" w14:textId="03EDE210" w:rsidR="006C60F4" w:rsidRPr="006C60F4" w:rsidRDefault="006C60F4" w:rsidP="006C60F4">
                          <w:pPr>
                            <w:spacing w:after="0"/>
                            <w:rPr>
                              <w:rFonts w:ascii="Aptos" w:eastAsia="Aptos" w:hAnsi="Aptos" w:cs="Aptos"/>
                              <w:noProof/>
                              <w:color w:val="000000"/>
                            </w:rPr>
                          </w:pP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5563909" id="_x0000_t202" coordsize="21600,21600" o:spt="202" path="m,l,21600r21600,l21600,xe">
              <v:stroke joinstyle="miter"/>
              <v:path gradientshapeok="t" o:connecttype="rect"/>
            </v:shapetype>
            <v:shape id="Zone de texte 4" o:spid="_x0000_s1028" type="#_x0000_t202" alt="Unclassified - Non-Classifié" style="position:absolute;left:0;text-align:left;margin-left:113pt;margin-top:0;width:164.2pt;height:31.95pt;z-index:25165824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" filled="f" stroked="f">
              <v:textbox style="mso-fit-shape-to-text:t" inset="0,15pt,20pt,0">
                <w:txbxContent>
                  <w:p w14:paraId="6D739530" w14:textId="03EDE210" w:rsidR="006C60F4" w:rsidRPr="006C60F4" w:rsidRDefault="006C60F4" w:rsidP="006C60F4">
                    <w:pPr>
                      <w:spacing w:after="0"/>
                      <w:rPr>
                        <w:rFonts w:ascii="Aptos" w:eastAsia="Aptos" w:hAnsi="Aptos" w:cs="Aptos"/>
                        <w:noProof/>
                        <w:color w:val="00000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A8DFE" w14:textId="704F9711" w:rsidR="006C60F4" w:rsidRDefault="006C60F4">
    <w:pPr>
      <w:pStyle w:val="Header"/>
    </w:pPr>
    <w:r>
      <w:rPr>
        <w:noProof/>
      </w:rPr>
      <mc:AlternateContent>
        <mc:Choice Requires="wps">
          <w:drawing>
            <wp:anchor distT="0" distB="0" distL="0" distR="0" simplePos="0" relativeHeight="251658240" behindDoc="0" locked="0" layoutInCell="1" allowOverlap="1" wp14:anchorId="38634F54" wp14:editId="3176C2AD">
              <wp:simplePos x="635" y="635"/>
              <wp:positionH relativeFrom="page">
                <wp:align>right</wp:align>
              </wp:positionH>
              <wp:positionV relativeFrom="page">
                <wp:align>top</wp:align>
              </wp:positionV>
              <wp:extent cx="2085340" cy="405765"/>
              <wp:effectExtent l="0" t="0" r="0" b="13335"/>
              <wp:wrapNone/>
              <wp:docPr id="1698405673" name="Zone de texte 2"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85340" cy="405765"/>
                      </a:xfrm>
                      <a:prstGeom prst="rect">
                        <a:avLst/>
                      </a:prstGeom>
                      <a:noFill/>
                      <a:ln>
                        <a:noFill/>
                      </a:ln>
                    </wps:spPr>
                    <wps:txbx>
                      <w:txbxContent>
                        <w:p w14:paraId="13B14B31" w14:textId="139E4EDA" w:rsidR="006C60F4" w:rsidRPr="006C60F4" w:rsidRDefault="006C60F4" w:rsidP="006C60F4">
                          <w:pPr>
                            <w:spacing w:after="0"/>
                            <w:rPr>
                              <w:rFonts w:ascii="Aptos" w:eastAsia="Aptos" w:hAnsi="Aptos" w:cs="Aptos"/>
                              <w:noProof/>
                              <w:color w:val="000000"/>
                            </w:rPr>
                          </w:pPr>
                          <w:r>
                            <w:rPr>
                              <w:rFonts w:ascii="Aptos" w:hAnsi="Aptos"/>
                              <w:color w:val="000000"/>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8634F54" id="_x0000_t202" coordsize="21600,21600" o:spt="202" path="m,l,21600r21600,l21600,xe">
              <v:stroke joinstyle="miter"/>
              <v:path gradientshapeok="t" o:connecttype="rect"/>
            </v:shapetype>
            <v:shape id="Zone de texte 2" o:spid="_x0000_s1029" type="#_x0000_t202" alt="Unclassified - Non-Classifié" style="position:absolute;margin-left:113pt;margin-top:0;width:164.2pt;height:31.9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" filled="f" stroked="f">
              <v:textbox style="mso-fit-shape-to-text:t" inset="0,15pt,20pt,0">
                <w:txbxContent>
                  <w:p w14:paraId="13B14B31" w14:textId="139E4EDA" w:rsidR="006C60F4" w:rsidRPr="006C60F4" w:rsidRDefault="006C60F4" w:rsidP="006C60F4">
                    <w:pPr>
                      <w:spacing w:after="0"/>
                      <w:rPr>
                        <w:rFonts w:ascii="Aptos" w:eastAsia="Aptos" w:hAnsi="Aptos" w:cs="Aptos"/>
                        <w:noProof/>
                        <w:color w:val="000000"/>
                      </w:rPr>
                    </w:pPr>
                    <w:r>
                      <w:rPr>
                        <w:rFonts w:ascii="Aptos" w:hAnsi="Aptos"/>
                        <w:color w:val="000000"/>
                      </w:rPr>
                      <w:t>Unclassified - Non-Classifié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627FE"/>
    <w:multiLevelType w:val="hybridMultilevel"/>
    <w:tmpl w:val="E91EC8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5435F1"/>
    <w:multiLevelType w:val="hybridMultilevel"/>
    <w:tmpl w:val="3F725B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CE7863"/>
    <w:multiLevelType w:val="multilevel"/>
    <w:tmpl w:val="799AA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C1CD4"/>
    <w:multiLevelType w:val="hybridMultilevel"/>
    <w:tmpl w:val="4A32C382"/>
    <w:lvl w:ilvl="0" w:tplc="F636071E">
      <w:numFmt w:val="bullet"/>
      <w:lvlText w:val="•"/>
      <w:lvlJc w:val="left"/>
      <w:pPr>
        <w:ind w:left="1080" w:hanging="72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D3529"/>
    <w:multiLevelType w:val="hybridMultilevel"/>
    <w:tmpl w:val="4E66298E"/>
    <w:lvl w:ilvl="0" w:tplc="6260673E">
      <w:start w:val="1"/>
      <w:numFmt w:val="bullet"/>
      <w:lvlText w:val="‑"/>
      <w:lvlJc w:val="left"/>
      <w:pPr>
        <w:ind w:left="720" w:hanging="360"/>
      </w:pPr>
      <w:rPr>
        <w:rFonts w:ascii="Cambria" w:hAnsi="Camb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3E426B"/>
    <w:multiLevelType w:val="hybridMultilevel"/>
    <w:tmpl w:val="504018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22546A"/>
    <w:multiLevelType w:val="hybridMultilevel"/>
    <w:tmpl w:val="973AFACE"/>
    <w:lvl w:ilvl="0" w:tplc="6260673E">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C883653"/>
    <w:multiLevelType w:val="multilevel"/>
    <w:tmpl w:val="82A67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E92EAC"/>
    <w:multiLevelType w:val="multilevel"/>
    <w:tmpl w:val="93DA7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CA5418"/>
    <w:multiLevelType w:val="multilevel"/>
    <w:tmpl w:val="E2B28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CE701A"/>
    <w:multiLevelType w:val="multilevel"/>
    <w:tmpl w:val="C6787318"/>
    <w:lvl w:ilvl="0">
      <w:start w:val="1"/>
      <w:numFmt w:val="bullet"/>
      <w:lvlText w:val="‑"/>
      <w:lvlJc w:val="left"/>
      <w:pPr>
        <w:tabs>
          <w:tab w:val="num" w:pos="720"/>
        </w:tabs>
        <w:ind w:left="720" w:hanging="360"/>
      </w:pPr>
      <w:rPr>
        <w:rFonts w:ascii="Cambria" w:hAnsi="Cambria"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1E013B"/>
    <w:multiLevelType w:val="hybridMultilevel"/>
    <w:tmpl w:val="DA70AC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6A5A22"/>
    <w:multiLevelType w:val="hybridMultilevel"/>
    <w:tmpl w:val="11183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E932DA"/>
    <w:multiLevelType w:val="multilevel"/>
    <w:tmpl w:val="31829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8444565"/>
    <w:multiLevelType w:val="multilevel"/>
    <w:tmpl w:val="E39EC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DC6AAA"/>
    <w:multiLevelType w:val="multilevel"/>
    <w:tmpl w:val="9596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9407D1"/>
    <w:multiLevelType w:val="multilevel"/>
    <w:tmpl w:val="00C84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7A7406"/>
    <w:multiLevelType w:val="multilevel"/>
    <w:tmpl w:val="ABFEB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1552582"/>
    <w:multiLevelType w:val="hybridMultilevel"/>
    <w:tmpl w:val="BF6C3666"/>
    <w:lvl w:ilvl="0" w:tplc="6260673E">
      <w:start w:val="1"/>
      <w:numFmt w:val="bullet"/>
      <w:lvlText w:val="‑"/>
      <w:lvlJc w:val="left"/>
      <w:pPr>
        <w:ind w:left="720" w:hanging="360"/>
      </w:pPr>
      <w:rPr>
        <w:rFonts w:ascii="Cambria" w:hAnsi="Cambria"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4021C9"/>
    <w:multiLevelType w:val="multilevel"/>
    <w:tmpl w:val="A2AA0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82C76C0"/>
    <w:multiLevelType w:val="multilevel"/>
    <w:tmpl w:val="8406499C"/>
    <w:lvl w:ilvl="0">
      <w:start w:val="1"/>
      <w:numFmt w:val="bullet"/>
      <w:lvlText w:val="‑"/>
      <w:lvlJc w:val="left"/>
      <w:pPr>
        <w:tabs>
          <w:tab w:val="num" w:pos="720"/>
        </w:tabs>
        <w:ind w:left="720" w:hanging="360"/>
      </w:pPr>
      <w:rPr>
        <w:rFonts w:ascii="Cambria" w:hAnsi="Cambri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BE4950"/>
    <w:multiLevelType w:val="multilevel"/>
    <w:tmpl w:val="737CD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54C176A"/>
    <w:multiLevelType w:val="multilevel"/>
    <w:tmpl w:val="06FC6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C57D4A"/>
    <w:multiLevelType w:val="hybridMultilevel"/>
    <w:tmpl w:val="A94C5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CD2535"/>
    <w:multiLevelType w:val="hybridMultilevel"/>
    <w:tmpl w:val="35AC6C78"/>
    <w:lvl w:ilvl="0" w:tplc="BCFC7FAA">
      <w:start w:val="1"/>
      <w:numFmt w:val="bullet"/>
      <w:lvlText w:val=""/>
      <w:lvlJc w:val="left"/>
      <w:pPr>
        <w:ind w:left="720" w:hanging="360"/>
      </w:pPr>
      <w:rPr>
        <w:rFonts w:ascii="Symbol" w:hAnsi="Symbol"/>
      </w:rPr>
    </w:lvl>
    <w:lvl w:ilvl="1" w:tplc="1A4E6322">
      <w:start w:val="1"/>
      <w:numFmt w:val="bullet"/>
      <w:lvlText w:val=""/>
      <w:lvlJc w:val="left"/>
      <w:pPr>
        <w:ind w:left="720" w:hanging="360"/>
      </w:pPr>
      <w:rPr>
        <w:rFonts w:ascii="Symbol" w:hAnsi="Symbol"/>
      </w:rPr>
    </w:lvl>
    <w:lvl w:ilvl="2" w:tplc="76F043D4">
      <w:start w:val="1"/>
      <w:numFmt w:val="bullet"/>
      <w:lvlText w:val=""/>
      <w:lvlJc w:val="left"/>
      <w:pPr>
        <w:ind w:left="720" w:hanging="360"/>
      </w:pPr>
      <w:rPr>
        <w:rFonts w:ascii="Symbol" w:hAnsi="Symbol"/>
      </w:rPr>
    </w:lvl>
    <w:lvl w:ilvl="3" w:tplc="A94EBE62">
      <w:start w:val="1"/>
      <w:numFmt w:val="bullet"/>
      <w:lvlText w:val=""/>
      <w:lvlJc w:val="left"/>
      <w:pPr>
        <w:ind w:left="720" w:hanging="360"/>
      </w:pPr>
      <w:rPr>
        <w:rFonts w:ascii="Symbol" w:hAnsi="Symbol"/>
      </w:rPr>
    </w:lvl>
    <w:lvl w:ilvl="4" w:tplc="323A6432">
      <w:start w:val="1"/>
      <w:numFmt w:val="bullet"/>
      <w:lvlText w:val=""/>
      <w:lvlJc w:val="left"/>
      <w:pPr>
        <w:ind w:left="720" w:hanging="360"/>
      </w:pPr>
      <w:rPr>
        <w:rFonts w:ascii="Symbol" w:hAnsi="Symbol"/>
      </w:rPr>
    </w:lvl>
    <w:lvl w:ilvl="5" w:tplc="500689FA">
      <w:start w:val="1"/>
      <w:numFmt w:val="bullet"/>
      <w:lvlText w:val=""/>
      <w:lvlJc w:val="left"/>
      <w:pPr>
        <w:ind w:left="720" w:hanging="360"/>
      </w:pPr>
      <w:rPr>
        <w:rFonts w:ascii="Symbol" w:hAnsi="Symbol"/>
      </w:rPr>
    </w:lvl>
    <w:lvl w:ilvl="6" w:tplc="AA8A2128">
      <w:start w:val="1"/>
      <w:numFmt w:val="bullet"/>
      <w:lvlText w:val=""/>
      <w:lvlJc w:val="left"/>
      <w:pPr>
        <w:ind w:left="720" w:hanging="360"/>
      </w:pPr>
      <w:rPr>
        <w:rFonts w:ascii="Symbol" w:hAnsi="Symbol"/>
      </w:rPr>
    </w:lvl>
    <w:lvl w:ilvl="7" w:tplc="6FBC17A2">
      <w:start w:val="1"/>
      <w:numFmt w:val="bullet"/>
      <w:lvlText w:val=""/>
      <w:lvlJc w:val="left"/>
      <w:pPr>
        <w:ind w:left="720" w:hanging="360"/>
      </w:pPr>
      <w:rPr>
        <w:rFonts w:ascii="Symbol" w:hAnsi="Symbol"/>
      </w:rPr>
    </w:lvl>
    <w:lvl w:ilvl="8" w:tplc="FBB632E0">
      <w:start w:val="1"/>
      <w:numFmt w:val="bullet"/>
      <w:lvlText w:val=""/>
      <w:lvlJc w:val="left"/>
      <w:pPr>
        <w:ind w:left="720" w:hanging="360"/>
      </w:pPr>
      <w:rPr>
        <w:rFonts w:ascii="Symbol" w:hAnsi="Symbol"/>
      </w:rPr>
    </w:lvl>
  </w:abstractNum>
  <w:abstractNum w:abstractNumId="25" w15:restartNumberingAfterBreak="0">
    <w:nsid w:val="5E786D37"/>
    <w:multiLevelType w:val="multilevel"/>
    <w:tmpl w:val="6368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54311A"/>
    <w:multiLevelType w:val="hybridMultilevel"/>
    <w:tmpl w:val="C6148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8C2AE9"/>
    <w:multiLevelType w:val="hybridMultilevel"/>
    <w:tmpl w:val="C4DA6CD6"/>
    <w:lvl w:ilvl="0" w:tplc="DCA64C40">
      <w:start w:val="1"/>
      <w:numFmt w:val="bullet"/>
      <w:lvlText w:val=""/>
      <w:lvlJc w:val="left"/>
      <w:pPr>
        <w:ind w:left="1080" w:hanging="360"/>
      </w:pPr>
      <w:rPr>
        <w:rFonts w:ascii="Symbol" w:hAnsi="Symbol"/>
      </w:rPr>
    </w:lvl>
    <w:lvl w:ilvl="1" w:tplc="A7B67230">
      <w:start w:val="1"/>
      <w:numFmt w:val="bullet"/>
      <w:lvlText w:val=""/>
      <w:lvlJc w:val="left"/>
      <w:pPr>
        <w:ind w:left="1080" w:hanging="360"/>
      </w:pPr>
      <w:rPr>
        <w:rFonts w:ascii="Symbol" w:hAnsi="Symbol"/>
      </w:rPr>
    </w:lvl>
    <w:lvl w:ilvl="2" w:tplc="20B073E4">
      <w:start w:val="1"/>
      <w:numFmt w:val="bullet"/>
      <w:lvlText w:val=""/>
      <w:lvlJc w:val="left"/>
      <w:pPr>
        <w:ind w:left="1080" w:hanging="360"/>
      </w:pPr>
      <w:rPr>
        <w:rFonts w:ascii="Symbol" w:hAnsi="Symbol"/>
      </w:rPr>
    </w:lvl>
    <w:lvl w:ilvl="3" w:tplc="6DF6E2BE">
      <w:start w:val="1"/>
      <w:numFmt w:val="bullet"/>
      <w:lvlText w:val=""/>
      <w:lvlJc w:val="left"/>
      <w:pPr>
        <w:ind w:left="1080" w:hanging="360"/>
      </w:pPr>
      <w:rPr>
        <w:rFonts w:ascii="Symbol" w:hAnsi="Symbol"/>
      </w:rPr>
    </w:lvl>
    <w:lvl w:ilvl="4" w:tplc="1B34EED2">
      <w:start w:val="1"/>
      <w:numFmt w:val="bullet"/>
      <w:lvlText w:val=""/>
      <w:lvlJc w:val="left"/>
      <w:pPr>
        <w:ind w:left="1080" w:hanging="360"/>
      </w:pPr>
      <w:rPr>
        <w:rFonts w:ascii="Symbol" w:hAnsi="Symbol"/>
      </w:rPr>
    </w:lvl>
    <w:lvl w:ilvl="5" w:tplc="B34ABD22">
      <w:start w:val="1"/>
      <w:numFmt w:val="bullet"/>
      <w:lvlText w:val=""/>
      <w:lvlJc w:val="left"/>
      <w:pPr>
        <w:ind w:left="1080" w:hanging="360"/>
      </w:pPr>
      <w:rPr>
        <w:rFonts w:ascii="Symbol" w:hAnsi="Symbol"/>
      </w:rPr>
    </w:lvl>
    <w:lvl w:ilvl="6" w:tplc="6616B2DA">
      <w:start w:val="1"/>
      <w:numFmt w:val="bullet"/>
      <w:lvlText w:val=""/>
      <w:lvlJc w:val="left"/>
      <w:pPr>
        <w:ind w:left="1080" w:hanging="360"/>
      </w:pPr>
      <w:rPr>
        <w:rFonts w:ascii="Symbol" w:hAnsi="Symbol"/>
      </w:rPr>
    </w:lvl>
    <w:lvl w:ilvl="7" w:tplc="E27647C2">
      <w:start w:val="1"/>
      <w:numFmt w:val="bullet"/>
      <w:lvlText w:val=""/>
      <w:lvlJc w:val="left"/>
      <w:pPr>
        <w:ind w:left="1080" w:hanging="360"/>
      </w:pPr>
      <w:rPr>
        <w:rFonts w:ascii="Symbol" w:hAnsi="Symbol"/>
      </w:rPr>
    </w:lvl>
    <w:lvl w:ilvl="8" w:tplc="5A34FA06">
      <w:start w:val="1"/>
      <w:numFmt w:val="bullet"/>
      <w:lvlText w:val=""/>
      <w:lvlJc w:val="left"/>
      <w:pPr>
        <w:ind w:left="1080" w:hanging="360"/>
      </w:pPr>
      <w:rPr>
        <w:rFonts w:ascii="Symbol" w:hAnsi="Symbol"/>
      </w:rPr>
    </w:lvl>
  </w:abstractNum>
  <w:abstractNum w:abstractNumId="28" w15:restartNumberingAfterBreak="0">
    <w:nsid w:val="67667922"/>
    <w:multiLevelType w:val="multilevel"/>
    <w:tmpl w:val="9B64B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8EA1DC5"/>
    <w:multiLevelType w:val="multilevel"/>
    <w:tmpl w:val="9BCA1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EF333B6"/>
    <w:multiLevelType w:val="hybridMultilevel"/>
    <w:tmpl w:val="2124A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291CAF"/>
    <w:multiLevelType w:val="multilevel"/>
    <w:tmpl w:val="5B7E4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5825D7"/>
    <w:multiLevelType w:val="multilevel"/>
    <w:tmpl w:val="B9A6B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4F3334"/>
    <w:multiLevelType w:val="hybridMultilevel"/>
    <w:tmpl w:val="D3D2A362"/>
    <w:lvl w:ilvl="0" w:tplc="5EA4210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6852555"/>
    <w:multiLevelType w:val="hybridMultilevel"/>
    <w:tmpl w:val="899238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664456">
    <w:abstractNumId w:val="13"/>
  </w:num>
  <w:num w:numId="2" w16cid:durableId="1070495339">
    <w:abstractNumId w:val="12"/>
  </w:num>
  <w:num w:numId="3" w16cid:durableId="1070813119">
    <w:abstractNumId w:val="5"/>
  </w:num>
  <w:num w:numId="4" w16cid:durableId="1172599897">
    <w:abstractNumId w:val="29"/>
  </w:num>
  <w:num w:numId="5" w16cid:durableId="1191794638">
    <w:abstractNumId w:val="31"/>
  </w:num>
  <w:num w:numId="6" w16cid:durableId="1264731401">
    <w:abstractNumId w:val="14"/>
  </w:num>
  <w:num w:numId="7" w16cid:durableId="1303729624">
    <w:abstractNumId w:val="8"/>
  </w:num>
  <w:num w:numId="8" w16cid:durableId="135806750">
    <w:abstractNumId w:val="6"/>
  </w:num>
  <w:num w:numId="9" w16cid:durableId="1366177383">
    <w:abstractNumId w:val="21"/>
  </w:num>
  <w:num w:numId="10" w16cid:durableId="1496913717">
    <w:abstractNumId w:val="30"/>
  </w:num>
  <w:num w:numId="11" w16cid:durableId="1499037021">
    <w:abstractNumId w:val="16"/>
  </w:num>
  <w:num w:numId="12" w16cid:durableId="1521384722">
    <w:abstractNumId w:val="27"/>
  </w:num>
  <w:num w:numId="13" w16cid:durableId="155272807">
    <w:abstractNumId w:val="24"/>
  </w:num>
  <w:num w:numId="14" w16cid:durableId="164325357">
    <w:abstractNumId w:val="34"/>
  </w:num>
  <w:num w:numId="15" w16cid:durableId="17051987">
    <w:abstractNumId w:val="1"/>
  </w:num>
  <w:num w:numId="16" w16cid:durableId="1725983356">
    <w:abstractNumId w:val="23"/>
  </w:num>
  <w:num w:numId="17" w16cid:durableId="1801025064">
    <w:abstractNumId w:val="11"/>
  </w:num>
  <w:num w:numId="18" w16cid:durableId="18091206">
    <w:abstractNumId w:val="19"/>
  </w:num>
  <w:num w:numId="19" w16cid:durableId="1876578254">
    <w:abstractNumId w:val="26"/>
  </w:num>
  <w:num w:numId="20" w16cid:durableId="1917737671">
    <w:abstractNumId w:val="28"/>
  </w:num>
  <w:num w:numId="21" w16cid:durableId="20254617">
    <w:abstractNumId w:val="22"/>
  </w:num>
  <w:num w:numId="22" w16cid:durableId="2091076272">
    <w:abstractNumId w:val="3"/>
  </w:num>
  <w:num w:numId="23" w16cid:durableId="238758038">
    <w:abstractNumId w:val="9"/>
  </w:num>
  <w:num w:numId="24" w16cid:durableId="433551171">
    <w:abstractNumId w:val="17"/>
  </w:num>
  <w:num w:numId="25" w16cid:durableId="508570298">
    <w:abstractNumId w:val="10"/>
  </w:num>
  <w:num w:numId="26" w16cid:durableId="537395701">
    <w:abstractNumId w:val="18"/>
  </w:num>
  <w:num w:numId="27" w16cid:durableId="546721847">
    <w:abstractNumId w:val="4"/>
  </w:num>
  <w:num w:numId="28" w16cid:durableId="664938739">
    <w:abstractNumId w:val="32"/>
  </w:num>
  <w:num w:numId="29" w16cid:durableId="702748033">
    <w:abstractNumId w:val="15"/>
  </w:num>
  <w:num w:numId="30" w16cid:durableId="818419152">
    <w:abstractNumId w:val="0"/>
  </w:num>
  <w:num w:numId="31" w16cid:durableId="863985534">
    <w:abstractNumId w:val="2"/>
  </w:num>
  <w:num w:numId="32" w16cid:durableId="886405887">
    <w:abstractNumId w:val="25"/>
  </w:num>
  <w:num w:numId="33" w16cid:durableId="904951436">
    <w:abstractNumId w:val="7"/>
  </w:num>
  <w:num w:numId="34" w16cid:durableId="986125781">
    <w:abstractNumId w:val="33"/>
  </w:num>
  <w:num w:numId="35" w16cid:durableId="200790325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B6A"/>
    <w:rsid w:val="00001A39"/>
    <w:rsid w:val="00001CB3"/>
    <w:rsid w:val="00001EA6"/>
    <w:rsid w:val="00002A8C"/>
    <w:rsid w:val="00003C21"/>
    <w:rsid w:val="0000422C"/>
    <w:rsid w:val="00006288"/>
    <w:rsid w:val="000072E0"/>
    <w:rsid w:val="00010A7B"/>
    <w:rsid w:val="000112E5"/>
    <w:rsid w:val="0001226D"/>
    <w:rsid w:val="00013922"/>
    <w:rsid w:val="00014475"/>
    <w:rsid w:val="00014A05"/>
    <w:rsid w:val="00014A84"/>
    <w:rsid w:val="00016523"/>
    <w:rsid w:val="0001729C"/>
    <w:rsid w:val="00023162"/>
    <w:rsid w:val="0002426A"/>
    <w:rsid w:val="00024868"/>
    <w:rsid w:val="00024890"/>
    <w:rsid w:val="00024AD5"/>
    <w:rsid w:val="00024F75"/>
    <w:rsid w:val="000254D7"/>
    <w:rsid w:val="0002671F"/>
    <w:rsid w:val="00026AB1"/>
    <w:rsid w:val="000273F3"/>
    <w:rsid w:val="00031333"/>
    <w:rsid w:val="00031A95"/>
    <w:rsid w:val="00031AC5"/>
    <w:rsid w:val="000330A5"/>
    <w:rsid w:val="000347CD"/>
    <w:rsid w:val="00034B29"/>
    <w:rsid w:val="00037036"/>
    <w:rsid w:val="000404BA"/>
    <w:rsid w:val="000426A1"/>
    <w:rsid w:val="00042A0C"/>
    <w:rsid w:val="00043182"/>
    <w:rsid w:val="00043581"/>
    <w:rsid w:val="000463F5"/>
    <w:rsid w:val="00047CD9"/>
    <w:rsid w:val="00047F61"/>
    <w:rsid w:val="00050706"/>
    <w:rsid w:val="0005238D"/>
    <w:rsid w:val="000541BA"/>
    <w:rsid w:val="00054B9D"/>
    <w:rsid w:val="00054E07"/>
    <w:rsid w:val="00055595"/>
    <w:rsid w:val="00055C33"/>
    <w:rsid w:val="000614FD"/>
    <w:rsid w:val="00061879"/>
    <w:rsid w:val="00063695"/>
    <w:rsid w:val="00064683"/>
    <w:rsid w:val="000656E0"/>
    <w:rsid w:val="0006592B"/>
    <w:rsid w:val="0006788F"/>
    <w:rsid w:val="000713C0"/>
    <w:rsid w:val="00072EED"/>
    <w:rsid w:val="00073CD3"/>
    <w:rsid w:val="0007429C"/>
    <w:rsid w:val="00074A2F"/>
    <w:rsid w:val="00074F5C"/>
    <w:rsid w:val="000750AA"/>
    <w:rsid w:val="0007756E"/>
    <w:rsid w:val="00077737"/>
    <w:rsid w:val="0008097C"/>
    <w:rsid w:val="00081073"/>
    <w:rsid w:val="000811D4"/>
    <w:rsid w:val="00083565"/>
    <w:rsid w:val="00084ED0"/>
    <w:rsid w:val="000853E5"/>
    <w:rsid w:val="0008560B"/>
    <w:rsid w:val="000872E2"/>
    <w:rsid w:val="000872F2"/>
    <w:rsid w:val="000915ED"/>
    <w:rsid w:val="000916ED"/>
    <w:rsid w:val="0009182F"/>
    <w:rsid w:val="00095164"/>
    <w:rsid w:val="0009555B"/>
    <w:rsid w:val="00096FE4"/>
    <w:rsid w:val="000974A2"/>
    <w:rsid w:val="000A0C79"/>
    <w:rsid w:val="000A3AE1"/>
    <w:rsid w:val="000A3F34"/>
    <w:rsid w:val="000A4D94"/>
    <w:rsid w:val="000A56C4"/>
    <w:rsid w:val="000A5BB8"/>
    <w:rsid w:val="000A6D8B"/>
    <w:rsid w:val="000B0A6B"/>
    <w:rsid w:val="000B14E1"/>
    <w:rsid w:val="000B311A"/>
    <w:rsid w:val="000B36AF"/>
    <w:rsid w:val="000B3FE8"/>
    <w:rsid w:val="000B4417"/>
    <w:rsid w:val="000B5263"/>
    <w:rsid w:val="000C14CB"/>
    <w:rsid w:val="000C3EF5"/>
    <w:rsid w:val="000C4B49"/>
    <w:rsid w:val="000C599E"/>
    <w:rsid w:val="000C65A5"/>
    <w:rsid w:val="000C67B0"/>
    <w:rsid w:val="000D05CB"/>
    <w:rsid w:val="000D066A"/>
    <w:rsid w:val="000D158D"/>
    <w:rsid w:val="000D36A5"/>
    <w:rsid w:val="000D5BD3"/>
    <w:rsid w:val="000D5E29"/>
    <w:rsid w:val="000D6593"/>
    <w:rsid w:val="000D6FAA"/>
    <w:rsid w:val="000D711A"/>
    <w:rsid w:val="000D7699"/>
    <w:rsid w:val="000E0236"/>
    <w:rsid w:val="000E0D77"/>
    <w:rsid w:val="000E1EE7"/>
    <w:rsid w:val="000E202E"/>
    <w:rsid w:val="000E2840"/>
    <w:rsid w:val="000E3C4E"/>
    <w:rsid w:val="000E3EB1"/>
    <w:rsid w:val="000E5857"/>
    <w:rsid w:val="000E5A5E"/>
    <w:rsid w:val="000E68F6"/>
    <w:rsid w:val="000F1624"/>
    <w:rsid w:val="000F2312"/>
    <w:rsid w:val="000F2643"/>
    <w:rsid w:val="000F3187"/>
    <w:rsid w:val="000F5CF1"/>
    <w:rsid w:val="000F625D"/>
    <w:rsid w:val="000F6FF5"/>
    <w:rsid w:val="000F708F"/>
    <w:rsid w:val="000F7B80"/>
    <w:rsid w:val="00101241"/>
    <w:rsid w:val="00101DA6"/>
    <w:rsid w:val="0010448E"/>
    <w:rsid w:val="00106F41"/>
    <w:rsid w:val="00110093"/>
    <w:rsid w:val="0011118B"/>
    <w:rsid w:val="00111880"/>
    <w:rsid w:val="001130EC"/>
    <w:rsid w:val="00113813"/>
    <w:rsid w:val="00114F1B"/>
    <w:rsid w:val="00115CA0"/>
    <w:rsid w:val="00116788"/>
    <w:rsid w:val="0012140A"/>
    <w:rsid w:val="001235C0"/>
    <w:rsid w:val="00125152"/>
    <w:rsid w:val="00126AA4"/>
    <w:rsid w:val="00127682"/>
    <w:rsid w:val="00130AD6"/>
    <w:rsid w:val="00131364"/>
    <w:rsid w:val="001327E6"/>
    <w:rsid w:val="0013422B"/>
    <w:rsid w:val="00134C66"/>
    <w:rsid w:val="00134DC6"/>
    <w:rsid w:val="00135887"/>
    <w:rsid w:val="00135C22"/>
    <w:rsid w:val="0013681B"/>
    <w:rsid w:val="001369F7"/>
    <w:rsid w:val="00137F86"/>
    <w:rsid w:val="00141A20"/>
    <w:rsid w:val="00141E3E"/>
    <w:rsid w:val="001426A8"/>
    <w:rsid w:val="00143452"/>
    <w:rsid w:val="00143D00"/>
    <w:rsid w:val="00143DEC"/>
    <w:rsid w:val="00144263"/>
    <w:rsid w:val="00144CEA"/>
    <w:rsid w:val="00145513"/>
    <w:rsid w:val="0014598F"/>
    <w:rsid w:val="001463AA"/>
    <w:rsid w:val="001466D8"/>
    <w:rsid w:val="0015108B"/>
    <w:rsid w:val="00151C05"/>
    <w:rsid w:val="0015228C"/>
    <w:rsid w:val="00153AE8"/>
    <w:rsid w:val="00155789"/>
    <w:rsid w:val="00156E1A"/>
    <w:rsid w:val="00157529"/>
    <w:rsid w:val="00157A5F"/>
    <w:rsid w:val="0016005A"/>
    <w:rsid w:val="001604C4"/>
    <w:rsid w:val="00162D6C"/>
    <w:rsid w:val="00163150"/>
    <w:rsid w:val="00163467"/>
    <w:rsid w:val="00163A4C"/>
    <w:rsid w:val="00163EAD"/>
    <w:rsid w:val="00164C95"/>
    <w:rsid w:val="00165452"/>
    <w:rsid w:val="00165627"/>
    <w:rsid w:val="00166D6A"/>
    <w:rsid w:val="00166F1B"/>
    <w:rsid w:val="00167540"/>
    <w:rsid w:val="00167D4B"/>
    <w:rsid w:val="00171171"/>
    <w:rsid w:val="00172B8E"/>
    <w:rsid w:val="00176098"/>
    <w:rsid w:val="00176DCB"/>
    <w:rsid w:val="00177678"/>
    <w:rsid w:val="00177C06"/>
    <w:rsid w:val="00177FF1"/>
    <w:rsid w:val="00181264"/>
    <w:rsid w:val="00181532"/>
    <w:rsid w:val="001840FC"/>
    <w:rsid w:val="00185604"/>
    <w:rsid w:val="001912C7"/>
    <w:rsid w:val="00191C99"/>
    <w:rsid w:val="00191F24"/>
    <w:rsid w:val="0019253F"/>
    <w:rsid w:val="00193CB0"/>
    <w:rsid w:val="00193EED"/>
    <w:rsid w:val="00193F4C"/>
    <w:rsid w:val="00194ECD"/>
    <w:rsid w:val="00194FA4"/>
    <w:rsid w:val="0019707B"/>
    <w:rsid w:val="00197B5E"/>
    <w:rsid w:val="00197DB2"/>
    <w:rsid w:val="001A23FB"/>
    <w:rsid w:val="001A2C50"/>
    <w:rsid w:val="001A3C5C"/>
    <w:rsid w:val="001A494F"/>
    <w:rsid w:val="001A64D7"/>
    <w:rsid w:val="001A730A"/>
    <w:rsid w:val="001A7690"/>
    <w:rsid w:val="001B00BF"/>
    <w:rsid w:val="001B1407"/>
    <w:rsid w:val="001B4B13"/>
    <w:rsid w:val="001B5069"/>
    <w:rsid w:val="001B55C5"/>
    <w:rsid w:val="001B6819"/>
    <w:rsid w:val="001B775D"/>
    <w:rsid w:val="001C1156"/>
    <w:rsid w:val="001C19D0"/>
    <w:rsid w:val="001C1AAF"/>
    <w:rsid w:val="001C2089"/>
    <w:rsid w:val="001C3197"/>
    <w:rsid w:val="001C593D"/>
    <w:rsid w:val="001C60EB"/>
    <w:rsid w:val="001C75B7"/>
    <w:rsid w:val="001C76CB"/>
    <w:rsid w:val="001D1481"/>
    <w:rsid w:val="001D1FDC"/>
    <w:rsid w:val="001D3A9F"/>
    <w:rsid w:val="001D50D6"/>
    <w:rsid w:val="001D5507"/>
    <w:rsid w:val="001E0273"/>
    <w:rsid w:val="001E0C04"/>
    <w:rsid w:val="001E2502"/>
    <w:rsid w:val="001E2763"/>
    <w:rsid w:val="001E30BB"/>
    <w:rsid w:val="001E343B"/>
    <w:rsid w:val="001E6220"/>
    <w:rsid w:val="001E624B"/>
    <w:rsid w:val="001E6573"/>
    <w:rsid w:val="001E705B"/>
    <w:rsid w:val="001F2185"/>
    <w:rsid w:val="001F305A"/>
    <w:rsid w:val="001F4CF1"/>
    <w:rsid w:val="001F5E73"/>
    <w:rsid w:val="001F77B1"/>
    <w:rsid w:val="001F7B63"/>
    <w:rsid w:val="002008FA"/>
    <w:rsid w:val="00201DA5"/>
    <w:rsid w:val="002035DA"/>
    <w:rsid w:val="00204324"/>
    <w:rsid w:val="002067DF"/>
    <w:rsid w:val="002107A1"/>
    <w:rsid w:val="0021248D"/>
    <w:rsid w:val="00213734"/>
    <w:rsid w:val="00215CAE"/>
    <w:rsid w:val="00216EE4"/>
    <w:rsid w:val="00216F39"/>
    <w:rsid w:val="002173F5"/>
    <w:rsid w:val="00220DEE"/>
    <w:rsid w:val="00220FD4"/>
    <w:rsid w:val="0022106D"/>
    <w:rsid w:val="0022164F"/>
    <w:rsid w:val="00221E46"/>
    <w:rsid w:val="00222BFC"/>
    <w:rsid w:val="00223A11"/>
    <w:rsid w:val="00224138"/>
    <w:rsid w:val="0022628D"/>
    <w:rsid w:val="0022646F"/>
    <w:rsid w:val="00226735"/>
    <w:rsid w:val="00227259"/>
    <w:rsid w:val="0023018A"/>
    <w:rsid w:val="00230CC0"/>
    <w:rsid w:val="0023260C"/>
    <w:rsid w:val="00237D7F"/>
    <w:rsid w:val="0024086B"/>
    <w:rsid w:val="00240E5B"/>
    <w:rsid w:val="0024406F"/>
    <w:rsid w:val="00244DCD"/>
    <w:rsid w:val="00245707"/>
    <w:rsid w:val="0024575F"/>
    <w:rsid w:val="002476D2"/>
    <w:rsid w:val="00247F06"/>
    <w:rsid w:val="002504AE"/>
    <w:rsid w:val="002506FC"/>
    <w:rsid w:val="002512AC"/>
    <w:rsid w:val="002525FB"/>
    <w:rsid w:val="00252D2D"/>
    <w:rsid w:val="00252DBF"/>
    <w:rsid w:val="00254F56"/>
    <w:rsid w:val="00256B7E"/>
    <w:rsid w:val="00256FA0"/>
    <w:rsid w:val="00257215"/>
    <w:rsid w:val="0026018D"/>
    <w:rsid w:val="0026189D"/>
    <w:rsid w:val="00261F96"/>
    <w:rsid w:val="00263DAE"/>
    <w:rsid w:val="002647D7"/>
    <w:rsid w:val="00267219"/>
    <w:rsid w:val="00267D76"/>
    <w:rsid w:val="00273984"/>
    <w:rsid w:val="00273ED5"/>
    <w:rsid w:val="00275AD6"/>
    <w:rsid w:val="00276785"/>
    <w:rsid w:val="00276D91"/>
    <w:rsid w:val="002809FD"/>
    <w:rsid w:val="00280F10"/>
    <w:rsid w:val="00284021"/>
    <w:rsid w:val="00284CB9"/>
    <w:rsid w:val="00291F53"/>
    <w:rsid w:val="002927D8"/>
    <w:rsid w:val="00292B49"/>
    <w:rsid w:val="00293C94"/>
    <w:rsid w:val="002947A5"/>
    <w:rsid w:val="00294AB9"/>
    <w:rsid w:val="00295403"/>
    <w:rsid w:val="00297EE5"/>
    <w:rsid w:val="002A0592"/>
    <w:rsid w:val="002A1040"/>
    <w:rsid w:val="002A13B7"/>
    <w:rsid w:val="002A2201"/>
    <w:rsid w:val="002A4083"/>
    <w:rsid w:val="002A53BC"/>
    <w:rsid w:val="002A579F"/>
    <w:rsid w:val="002A7642"/>
    <w:rsid w:val="002A783D"/>
    <w:rsid w:val="002B044D"/>
    <w:rsid w:val="002B06A0"/>
    <w:rsid w:val="002B275F"/>
    <w:rsid w:val="002B29C7"/>
    <w:rsid w:val="002B2F1C"/>
    <w:rsid w:val="002B4987"/>
    <w:rsid w:val="002B4FDA"/>
    <w:rsid w:val="002B5161"/>
    <w:rsid w:val="002B644C"/>
    <w:rsid w:val="002B6946"/>
    <w:rsid w:val="002B6BAA"/>
    <w:rsid w:val="002B78DE"/>
    <w:rsid w:val="002C0128"/>
    <w:rsid w:val="002C30EF"/>
    <w:rsid w:val="002C39B2"/>
    <w:rsid w:val="002C5106"/>
    <w:rsid w:val="002C5F35"/>
    <w:rsid w:val="002C64F5"/>
    <w:rsid w:val="002C6793"/>
    <w:rsid w:val="002C712C"/>
    <w:rsid w:val="002C7B64"/>
    <w:rsid w:val="002C7FB0"/>
    <w:rsid w:val="002D1A63"/>
    <w:rsid w:val="002D1B1F"/>
    <w:rsid w:val="002D2E36"/>
    <w:rsid w:val="002D3FD2"/>
    <w:rsid w:val="002D4E33"/>
    <w:rsid w:val="002D7EC6"/>
    <w:rsid w:val="002E019C"/>
    <w:rsid w:val="002E07E5"/>
    <w:rsid w:val="002E1C1B"/>
    <w:rsid w:val="002E78CB"/>
    <w:rsid w:val="002F082B"/>
    <w:rsid w:val="002F0FDB"/>
    <w:rsid w:val="002F1A1F"/>
    <w:rsid w:val="002F2FF3"/>
    <w:rsid w:val="002F4266"/>
    <w:rsid w:val="002F43D7"/>
    <w:rsid w:val="002F4E1A"/>
    <w:rsid w:val="002F60C2"/>
    <w:rsid w:val="002F6843"/>
    <w:rsid w:val="003017D1"/>
    <w:rsid w:val="00302224"/>
    <w:rsid w:val="00302275"/>
    <w:rsid w:val="003042A7"/>
    <w:rsid w:val="003046D3"/>
    <w:rsid w:val="003049FE"/>
    <w:rsid w:val="00304AA2"/>
    <w:rsid w:val="00304F10"/>
    <w:rsid w:val="00305359"/>
    <w:rsid w:val="00305B9E"/>
    <w:rsid w:val="00310D7A"/>
    <w:rsid w:val="0031450B"/>
    <w:rsid w:val="00314E93"/>
    <w:rsid w:val="00315154"/>
    <w:rsid w:val="0031672A"/>
    <w:rsid w:val="00316AE5"/>
    <w:rsid w:val="003208A2"/>
    <w:rsid w:val="003213B1"/>
    <w:rsid w:val="003213C3"/>
    <w:rsid w:val="00322896"/>
    <w:rsid w:val="00323536"/>
    <w:rsid w:val="0032563C"/>
    <w:rsid w:val="0032629B"/>
    <w:rsid w:val="003302DE"/>
    <w:rsid w:val="00331DBA"/>
    <w:rsid w:val="0033246C"/>
    <w:rsid w:val="00332F13"/>
    <w:rsid w:val="0033591B"/>
    <w:rsid w:val="00341059"/>
    <w:rsid w:val="003419D2"/>
    <w:rsid w:val="00341CD6"/>
    <w:rsid w:val="00342623"/>
    <w:rsid w:val="0034268E"/>
    <w:rsid w:val="00343090"/>
    <w:rsid w:val="003438DA"/>
    <w:rsid w:val="00343B8D"/>
    <w:rsid w:val="00346C8D"/>
    <w:rsid w:val="00347F80"/>
    <w:rsid w:val="003512E3"/>
    <w:rsid w:val="003516E2"/>
    <w:rsid w:val="00353601"/>
    <w:rsid w:val="00355CB2"/>
    <w:rsid w:val="00355FCB"/>
    <w:rsid w:val="00357B53"/>
    <w:rsid w:val="00360E2D"/>
    <w:rsid w:val="003628DB"/>
    <w:rsid w:val="00364304"/>
    <w:rsid w:val="00364989"/>
    <w:rsid w:val="0036668A"/>
    <w:rsid w:val="00371249"/>
    <w:rsid w:val="00372CE7"/>
    <w:rsid w:val="00373C41"/>
    <w:rsid w:val="00373EE2"/>
    <w:rsid w:val="00373F3E"/>
    <w:rsid w:val="0037430D"/>
    <w:rsid w:val="00374B78"/>
    <w:rsid w:val="0037542E"/>
    <w:rsid w:val="00375EDB"/>
    <w:rsid w:val="0037737A"/>
    <w:rsid w:val="00382BF4"/>
    <w:rsid w:val="003830A2"/>
    <w:rsid w:val="003833B0"/>
    <w:rsid w:val="00384A08"/>
    <w:rsid w:val="003854B9"/>
    <w:rsid w:val="003856E6"/>
    <w:rsid w:val="00385B3C"/>
    <w:rsid w:val="0038766F"/>
    <w:rsid w:val="00387B79"/>
    <w:rsid w:val="00391C2B"/>
    <w:rsid w:val="003968DC"/>
    <w:rsid w:val="00397516"/>
    <w:rsid w:val="003A19A0"/>
    <w:rsid w:val="003A2BD2"/>
    <w:rsid w:val="003A389E"/>
    <w:rsid w:val="003A3A59"/>
    <w:rsid w:val="003A422A"/>
    <w:rsid w:val="003B5E7F"/>
    <w:rsid w:val="003C0403"/>
    <w:rsid w:val="003C060E"/>
    <w:rsid w:val="003C321F"/>
    <w:rsid w:val="003C5BD9"/>
    <w:rsid w:val="003D0405"/>
    <w:rsid w:val="003D179D"/>
    <w:rsid w:val="003D1B45"/>
    <w:rsid w:val="003D34D0"/>
    <w:rsid w:val="003D6398"/>
    <w:rsid w:val="003D6589"/>
    <w:rsid w:val="003E003D"/>
    <w:rsid w:val="003E09B9"/>
    <w:rsid w:val="003E2D99"/>
    <w:rsid w:val="003E37A4"/>
    <w:rsid w:val="003E3A76"/>
    <w:rsid w:val="003E3B22"/>
    <w:rsid w:val="003E6528"/>
    <w:rsid w:val="003E726F"/>
    <w:rsid w:val="003E7540"/>
    <w:rsid w:val="003F1D2D"/>
    <w:rsid w:val="003F22F5"/>
    <w:rsid w:val="003F3D05"/>
    <w:rsid w:val="0040191F"/>
    <w:rsid w:val="00403BF6"/>
    <w:rsid w:val="00404465"/>
    <w:rsid w:val="004045D3"/>
    <w:rsid w:val="00405EED"/>
    <w:rsid w:val="0040703E"/>
    <w:rsid w:val="0041129B"/>
    <w:rsid w:val="00413367"/>
    <w:rsid w:val="00413DE2"/>
    <w:rsid w:val="00416440"/>
    <w:rsid w:val="00420133"/>
    <w:rsid w:val="004225C2"/>
    <w:rsid w:val="004226B8"/>
    <w:rsid w:val="00422793"/>
    <w:rsid w:val="004248BA"/>
    <w:rsid w:val="0042727D"/>
    <w:rsid w:val="004301AE"/>
    <w:rsid w:val="004306F6"/>
    <w:rsid w:val="00430D21"/>
    <w:rsid w:val="00431029"/>
    <w:rsid w:val="0043128F"/>
    <w:rsid w:val="00431D9A"/>
    <w:rsid w:val="00432F35"/>
    <w:rsid w:val="00434289"/>
    <w:rsid w:val="00434E2C"/>
    <w:rsid w:val="00435A2E"/>
    <w:rsid w:val="00435AF6"/>
    <w:rsid w:val="0043647F"/>
    <w:rsid w:val="00436583"/>
    <w:rsid w:val="00437713"/>
    <w:rsid w:val="00437F5F"/>
    <w:rsid w:val="00441A90"/>
    <w:rsid w:val="00442A60"/>
    <w:rsid w:val="00443CC5"/>
    <w:rsid w:val="004440D3"/>
    <w:rsid w:val="00445098"/>
    <w:rsid w:val="0044689D"/>
    <w:rsid w:val="00446FA5"/>
    <w:rsid w:val="00447020"/>
    <w:rsid w:val="00447663"/>
    <w:rsid w:val="004477A7"/>
    <w:rsid w:val="004508EE"/>
    <w:rsid w:val="004520BC"/>
    <w:rsid w:val="004521F1"/>
    <w:rsid w:val="00452702"/>
    <w:rsid w:val="00452A47"/>
    <w:rsid w:val="00453A94"/>
    <w:rsid w:val="00454A12"/>
    <w:rsid w:val="00455299"/>
    <w:rsid w:val="00455DE6"/>
    <w:rsid w:val="004568F5"/>
    <w:rsid w:val="0046073A"/>
    <w:rsid w:val="00460ED6"/>
    <w:rsid w:val="00461F0D"/>
    <w:rsid w:val="00462DD1"/>
    <w:rsid w:val="004640EA"/>
    <w:rsid w:val="004652F6"/>
    <w:rsid w:val="0046624A"/>
    <w:rsid w:val="0047054C"/>
    <w:rsid w:val="004705F1"/>
    <w:rsid w:val="004710E2"/>
    <w:rsid w:val="00472F39"/>
    <w:rsid w:val="00473118"/>
    <w:rsid w:val="00474418"/>
    <w:rsid w:val="0047480A"/>
    <w:rsid w:val="00475197"/>
    <w:rsid w:val="00475C1A"/>
    <w:rsid w:val="00475E26"/>
    <w:rsid w:val="00477224"/>
    <w:rsid w:val="004814D0"/>
    <w:rsid w:val="00482E5D"/>
    <w:rsid w:val="004877AA"/>
    <w:rsid w:val="004921C3"/>
    <w:rsid w:val="00493BA4"/>
    <w:rsid w:val="00494B2A"/>
    <w:rsid w:val="004972AF"/>
    <w:rsid w:val="004A139A"/>
    <w:rsid w:val="004A16B7"/>
    <w:rsid w:val="004A43A3"/>
    <w:rsid w:val="004A6BB8"/>
    <w:rsid w:val="004A728B"/>
    <w:rsid w:val="004B2B58"/>
    <w:rsid w:val="004B5AC2"/>
    <w:rsid w:val="004B6535"/>
    <w:rsid w:val="004B6EB4"/>
    <w:rsid w:val="004B754B"/>
    <w:rsid w:val="004B7DE5"/>
    <w:rsid w:val="004C17C8"/>
    <w:rsid w:val="004C221F"/>
    <w:rsid w:val="004C2798"/>
    <w:rsid w:val="004C5873"/>
    <w:rsid w:val="004C5E6F"/>
    <w:rsid w:val="004C610F"/>
    <w:rsid w:val="004C750A"/>
    <w:rsid w:val="004C7D1B"/>
    <w:rsid w:val="004D084E"/>
    <w:rsid w:val="004D1086"/>
    <w:rsid w:val="004D29F1"/>
    <w:rsid w:val="004D5289"/>
    <w:rsid w:val="004D6A13"/>
    <w:rsid w:val="004D753F"/>
    <w:rsid w:val="004E14AA"/>
    <w:rsid w:val="004E2FF2"/>
    <w:rsid w:val="004E47C5"/>
    <w:rsid w:val="004E6A06"/>
    <w:rsid w:val="004F01FD"/>
    <w:rsid w:val="004F2D63"/>
    <w:rsid w:val="004F332E"/>
    <w:rsid w:val="004F4182"/>
    <w:rsid w:val="004F46E4"/>
    <w:rsid w:val="004F582E"/>
    <w:rsid w:val="004F5F17"/>
    <w:rsid w:val="004F707E"/>
    <w:rsid w:val="00504057"/>
    <w:rsid w:val="005041F6"/>
    <w:rsid w:val="005056C4"/>
    <w:rsid w:val="00506110"/>
    <w:rsid w:val="005064BE"/>
    <w:rsid w:val="00506B25"/>
    <w:rsid w:val="005071D9"/>
    <w:rsid w:val="00511062"/>
    <w:rsid w:val="00511448"/>
    <w:rsid w:val="00511654"/>
    <w:rsid w:val="00511EAD"/>
    <w:rsid w:val="00513A27"/>
    <w:rsid w:val="00513E29"/>
    <w:rsid w:val="00514BC4"/>
    <w:rsid w:val="005154C6"/>
    <w:rsid w:val="0052173C"/>
    <w:rsid w:val="00522B49"/>
    <w:rsid w:val="00523352"/>
    <w:rsid w:val="005237CA"/>
    <w:rsid w:val="00523D58"/>
    <w:rsid w:val="00524B09"/>
    <w:rsid w:val="0052563D"/>
    <w:rsid w:val="00525FA5"/>
    <w:rsid w:val="00526C6C"/>
    <w:rsid w:val="00530118"/>
    <w:rsid w:val="00530323"/>
    <w:rsid w:val="005311E9"/>
    <w:rsid w:val="0053148D"/>
    <w:rsid w:val="00534D2C"/>
    <w:rsid w:val="0053765C"/>
    <w:rsid w:val="00537F3D"/>
    <w:rsid w:val="00540A01"/>
    <w:rsid w:val="005416BB"/>
    <w:rsid w:val="00541AFE"/>
    <w:rsid w:val="005434D7"/>
    <w:rsid w:val="00544B98"/>
    <w:rsid w:val="005461EA"/>
    <w:rsid w:val="00552E95"/>
    <w:rsid w:val="00553D47"/>
    <w:rsid w:val="0055445A"/>
    <w:rsid w:val="00555F1E"/>
    <w:rsid w:val="00560B34"/>
    <w:rsid w:val="005623C1"/>
    <w:rsid w:val="00562A58"/>
    <w:rsid w:val="005658F4"/>
    <w:rsid w:val="00565B9E"/>
    <w:rsid w:val="00566CBA"/>
    <w:rsid w:val="00567A51"/>
    <w:rsid w:val="00572638"/>
    <w:rsid w:val="00572BBA"/>
    <w:rsid w:val="00573726"/>
    <w:rsid w:val="005743CD"/>
    <w:rsid w:val="00574E51"/>
    <w:rsid w:val="005842C8"/>
    <w:rsid w:val="00584479"/>
    <w:rsid w:val="005857D9"/>
    <w:rsid w:val="005861A2"/>
    <w:rsid w:val="0058662C"/>
    <w:rsid w:val="00590190"/>
    <w:rsid w:val="00590C2B"/>
    <w:rsid w:val="00592E14"/>
    <w:rsid w:val="0059373F"/>
    <w:rsid w:val="0059388C"/>
    <w:rsid w:val="005946D4"/>
    <w:rsid w:val="00594BFC"/>
    <w:rsid w:val="005953E7"/>
    <w:rsid w:val="0059588E"/>
    <w:rsid w:val="005964F2"/>
    <w:rsid w:val="0059682B"/>
    <w:rsid w:val="005968E8"/>
    <w:rsid w:val="00597863"/>
    <w:rsid w:val="00597B94"/>
    <w:rsid w:val="005A0C26"/>
    <w:rsid w:val="005A110E"/>
    <w:rsid w:val="005A33EA"/>
    <w:rsid w:val="005A392C"/>
    <w:rsid w:val="005A39E0"/>
    <w:rsid w:val="005A43AC"/>
    <w:rsid w:val="005A6113"/>
    <w:rsid w:val="005A7615"/>
    <w:rsid w:val="005B0DBF"/>
    <w:rsid w:val="005B0E47"/>
    <w:rsid w:val="005B2762"/>
    <w:rsid w:val="005B3BD1"/>
    <w:rsid w:val="005B3FA8"/>
    <w:rsid w:val="005B560B"/>
    <w:rsid w:val="005B5935"/>
    <w:rsid w:val="005B659E"/>
    <w:rsid w:val="005C217B"/>
    <w:rsid w:val="005C26A6"/>
    <w:rsid w:val="005C2B83"/>
    <w:rsid w:val="005C5BCC"/>
    <w:rsid w:val="005C6DEC"/>
    <w:rsid w:val="005C7817"/>
    <w:rsid w:val="005C791E"/>
    <w:rsid w:val="005D03D3"/>
    <w:rsid w:val="005D283C"/>
    <w:rsid w:val="005D3CCC"/>
    <w:rsid w:val="005D4815"/>
    <w:rsid w:val="005D60F9"/>
    <w:rsid w:val="005D63AD"/>
    <w:rsid w:val="005D7CC8"/>
    <w:rsid w:val="005E1618"/>
    <w:rsid w:val="005E200B"/>
    <w:rsid w:val="005E2010"/>
    <w:rsid w:val="005E27BF"/>
    <w:rsid w:val="005E4027"/>
    <w:rsid w:val="005E4B86"/>
    <w:rsid w:val="005E515E"/>
    <w:rsid w:val="005E53F3"/>
    <w:rsid w:val="005E63CE"/>
    <w:rsid w:val="005E6512"/>
    <w:rsid w:val="005F0C78"/>
    <w:rsid w:val="005F1FCE"/>
    <w:rsid w:val="005F2F8A"/>
    <w:rsid w:val="005F519B"/>
    <w:rsid w:val="005F666D"/>
    <w:rsid w:val="005F6A07"/>
    <w:rsid w:val="006016D9"/>
    <w:rsid w:val="00603023"/>
    <w:rsid w:val="006030BF"/>
    <w:rsid w:val="00603BC6"/>
    <w:rsid w:val="006041DE"/>
    <w:rsid w:val="0060646E"/>
    <w:rsid w:val="0060724B"/>
    <w:rsid w:val="0060748F"/>
    <w:rsid w:val="0060755D"/>
    <w:rsid w:val="00610998"/>
    <w:rsid w:val="00610DF8"/>
    <w:rsid w:val="00611E60"/>
    <w:rsid w:val="0061334E"/>
    <w:rsid w:val="0061778F"/>
    <w:rsid w:val="0061785A"/>
    <w:rsid w:val="00622127"/>
    <w:rsid w:val="00622DE3"/>
    <w:rsid w:val="00622EDE"/>
    <w:rsid w:val="00623C22"/>
    <w:rsid w:val="0062448F"/>
    <w:rsid w:val="00624B00"/>
    <w:rsid w:val="0062559C"/>
    <w:rsid w:val="00625600"/>
    <w:rsid w:val="00626B74"/>
    <w:rsid w:val="00626D6D"/>
    <w:rsid w:val="006274F7"/>
    <w:rsid w:val="0062770C"/>
    <w:rsid w:val="0063026B"/>
    <w:rsid w:val="00630F84"/>
    <w:rsid w:val="006312EA"/>
    <w:rsid w:val="00631FB7"/>
    <w:rsid w:val="006325CB"/>
    <w:rsid w:val="00632BB5"/>
    <w:rsid w:val="0063648D"/>
    <w:rsid w:val="006365D4"/>
    <w:rsid w:val="006373A1"/>
    <w:rsid w:val="0063795C"/>
    <w:rsid w:val="00640947"/>
    <w:rsid w:val="006409D8"/>
    <w:rsid w:val="00642204"/>
    <w:rsid w:val="0064440E"/>
    <w:rsid w:val="006463A8"/>
    <w:rsid w:val="00646770"/>
    <w:rsid w:val="006468BE"/>
    <w:rsid w:val="00647D75"/>
    <w:rsid w:val="006507AF"/>
    <w:rsid w:val="00652E8D"/>
    <w:rsid w:val="006535F9"/>
    <w:rsid w:val="00654864"/>
    <w:rsid w:val="00654E78"/>
    <w:rsid w:val="00660787"/>
    <w:rsid w:val="00661867"/>
    <w:rsid w:val="00661B96"/>
    <w:rsid w:val="006630EA"/>
    <w:rsid w:val="00663285"/>
    <w:rsid w:val="00664387"/>
    <w:rsid w:val="0066499A"/>
    <w:rsid w:val="00664E99"/>
    <w:rsid w:val="00667CB6"/>
    <w:rsid w:val="00671DD9"/>
    <w:rsid w:val="00672468"/>
    <w:rsid w:val="00672BC5"/>
    <w:rsid w:val="00674B30"/>
    <w:rsid w:val="00674BF2"/>
    <w:rsid w:val="0067558D"/>
    <w:rsid w:val="00675621"/>
    <w:rsid w:val="00677AD8"/>
    <w:rsid w:val="00677B69"/>
    <w:rsid w:val="00680D14"/>
    <w:rsid w:val="0068106C"/>
    <w:rsid w:val="006838AD"/>
    <w:rsid w:val="00684B9C"/>
    <w:rsid w:val="00684BEC"/>
    <w:rsid w:val="006866C6"/>
    <w:rsid w:val="0068687A"/>
    <w:rsid w:val="00691133"/>
    <w:rsid w:val="00691A22"/>
    <w:rsid w:val="00692FBB"/>
    <w:rsid w:val="006931F2"/>
    <w:rsid w:val="006945EE"/>
    <w:rsid w:val="00694E2C"/>
    <w:rsid w:val="0069553E"/>
    <w:rsid w:val="00695BE5"/>
    <w:rsid w:val="00697991"/>
    <w:rsid w:val="00697F88"/>
    <w:rsid w:val="006A1047"/>
    <w:rsid w:val="006A2F51"/>
    <w:rsid w:val="006A4682"/>
    <w:rsid w:val="006A4C12"/>
    <w:rsid w:val="006A4F16"/>
    <w:rsid w:val="006A4F43"/>
    <w:rsid w:val="006A767F"/>
    <w:rsid w:val="006B313E"/>
    <w:rsid w:val="006B4860"/>
    <w:rsid w:val="006B4AA4"/>
    <w:rsid w:val="006B56F7"/>
    <w:rsid w:val="006C164B"/>
    <w:rsid w:val="006C49B5"/>
    <w:rsid w:val="006C577D"/>
    <w:rsid w:val="006C5A0B"/>
    <w:rsid w:val="006C60F4"/>
    <w:rsid w:val="006D0E2F"/>
    <w:rsid w:val="006D110E"/>
    <w:rsid w:val="006D1F2D"/>
    <w:rsid w:val="006D2D56"/>
    <w:rsid w:val="006D384F"/>
    <w:rsid w:val="006D41FD"/>
    <w:rsid w:val="006D4597"/>
    <w:rsid w:val="006D634A"/>
    <w:rsid w:val="006D73E9"/>
    <w:rsid w:val="006D754C"/>
    <w:rsid w:val="006D7AF7"/>
    <w:rsid w:val="006D7B7B"/>
    <w:rsid w:val="006D7F6A"/>
    <w:rsid w:val="006E2059"/>
    <w:rsid w:val="006E213F"/>
    <w:rsid w:val="006E53F2"/>
    <w:rsid w:val="006E6CBA"/>
    <w:rsid w:val="006E7DFE"/>
    <w:rsid w:val="006F2F15"/>
    <w:rsid w:val="006F2FFA"/>
    <w:rsid w:val="006F3343"/>
    <w:rsid w:val="006F5A81"/>
    <w:rsid w:val="006F5DE4"/>
    <w:rsid w:val="006F5E7F"/>
    <w:rsid w:val="006F5E8D"/>
    <w:rsid w:val="006F64E3"/>
    <w:rsid w:val="0070026A"/>
    <w:rsid w:val="00700CE1"/>
    <w:rsid w:val="00701596"/>
    <w:rsid w:val="0070273B"/>
    <w:rsid w:val="00702F3F"/>
    <w:rsid w:val="00703776"/>
    <w:rsid w:val="00703E42"/>
    <w:rsid w:val="00704676"/>
    <w:rsid w:val="00704979"/>
    <w:rsid w:val="0070562F"/>
    <w:rsid w:val="0070606C"/>
    <w:rsid w:val="007070CB"/>
    <w:rsid w:val="00707A48"/>
    <w:rsid w:val="0071080C"/>
    <w:rsid w:val="00711639"/>
    <w:rsid w:val="0071202E"/>
    <w:rsid w:val="00712552"/>
    <w:rsid w:val="0071258B"/>
    <w:rsid w:val="00714B79"/>
    <w:rsid w:val="00714C4C"/>
    <w:rsid w:val="007204D2"/>
    <w:rsid w:val="00722B6B"/>
    <w:rsid w:val="007237E0"/>
    <w:rsid w:val="00723B86"/>
    <w:rsid w:val="00724EA1"/>
    <w:rsid w:val="00725060"/>
    <w:rsid w:val="00727DA7"/>
    <w:rsid w:val="00731878"/>
    <w:rsid w:val="00731C32"/>
    <w:rsid w:val="007322D0"/>
    <w:rsid w:val="007350F0"/>
    <w:rsid w:val="00735ADF"/>
    <w:rsid w:val="00735BF9"/>
    <w:rsid w:val="007434A1"/>
    <w:rsid w:val="00743874"/>
    <w:rsid w:val="00743C55"/>
    <w:rsid w:val="00743D94"/>
    <w:rsid w:val="00743F02"/>
    <w:rsid w:val="00744E00"/>
    <w:rsid w:val="0074545E"/>
    <w:rsid w:val="00745740"/>
    <w:rsid w:val="0074599E"/>
    <w:rsid w:val="00750325"/>
    <w:rsid w:val="00752DC1"/>
    <w:rsid w:val="007533CE"/>
    <w:rsid w:val="0075348B"/>
    <w:rsid w:val="00754804"/>
    <w:rsid w:val="00754BE9"/>
    <w:rsid w:val="007562A6"/>
    <w:rsid w:val="00756CE2"/>
    <w:rsid w:val="00757224"/>
    <w:rsid w:val="00762245"/>
    <w:rsid w:val="0076576D"/>
    <w:rsid w:val="00767B3A"/>
    <w:rsid w:val="007712DB"/>
    <w:rsid w:val="00771FE2"/>
    <w:rsid w:val="007741A9"/>
    <w:rsid w:val="00776FED"/>
    <w:rsid w:val="00777056"/>
    <w:rsid w:val="00777164"/>
    <w:rsid w:val="00780C24"/>
    <w:rsid w:val="00780EB2"/>
    <w:rsid w:val="00780FC2"/>
    <w:rsid w:val="0078141D"/>
    <w:rsid w:val="007818CC"/>
    <w:rsid w:val="00781979"/>
    <w:rsid w:val="00781EF4"/>
    <w:rsid w:val="007824EE"/>
    <w:rsid w:val="00783235"/>
    <w:rsid w:val="00787ABB"/>
    <w:rsid w:val="00791C2A"/>
    <w:rsid w:val="00791DC0"/>
    <w:rsid w:val="00792583"/>
    <w:rsid w:val="007930FD"/>
    <w:rsid w:val="00793C85"/>
    <w:rsid w:val="007943AD"/>
    <w:rsid w:val="00794DD6"/>
    <w:rsid w:val="00795C5B"/>
    <w:rsid w:val="00796A6A"/>
    <w:rsid w:val="007A2E41"/>
    <w:rsid w:val="007A2EDA"/>
    <w:rsid w:val="007A423F"/>
    <w:rsid w:val="007B2854"/>
    <w:rsid w:val="007B471D"/>
    <w:rsid w:val="007B4B74"/>
    <w:rsid w:val="007B6AED"/>
    <w:rsid w:val="007B7B72"/>
    <w:rsid w:val="007C18BA"/>
    <w:rsid w:val="007C1C44"/>
    <w:rsid w:val="007C2106"/>
    <w:rsid w:val="007C2E6F"/>
    <w:rsid w:val="007C2F6F"/>
    <w:rsid w:val="007C36EE"/>
    <w:rsid w:val="007C3716"/>
    <w:rsid w:val="007C7274"/>
    <w:rsid w:val="007C7482"/>
    <w:rsid w:val="007C7BFB"/>
    <w:rsid w:val="007D0429"/>
    <w:rsid w:val="007D153A"/>
    <w:rsid w:val="007D1DAE"/>
    <w:rsid w:val="007D2238"/>
    <w:rsid w:val="007D2C29"/>
    <w:rsid w:val="007D35F1"/>
    <w:rsid w:val="007D3CCD"/>
    <w:rsid w:val="007D3D7C"/>
    <w:rsid w:val="007D426B"/>
    <w:rsid w:val="007D4FF2"/>
    <w:rsid w:val="007D58AD"/>
    <w:rsid w:val="007E053D"/>
    <w:rsid w:val="007E0A3D"/>
    <w:rsid w:val="007E0C4E"/>
    <w:rsid w:val="007E105B"/>
    <w:rsid w:val="007E125E"/>
    <w:rsid w:val="007E162A"/>
    <w:rsid w:val="007E5232"/>
    <w:rsid w:val="007E72B8"/>
    <w:rsid w:val="007F0DBB"/>
    <w:rsid w:val="007F1825"/>
    <w:rsid w:val="007F2902"/>
    <w:rsid w:val="007F3498"/>
    <w:rsid w:val="007F3B8C"/>
    <w:rsid w:val="007F4257"/>
    <w:rsid w:val="007F4AE6"/>
    <w:rsid w:val="007F5361"/>
    <w:rsid w:val="007F7C30"/>
    <w:rsid w:val="00800249"/>
    <w:rsid w:val="00802536"/>
    <w:rsid w:val="008034CA"/>
    <w:rsid w:val="008037A5"/>
    <w:rsid w:val="00805B5F"/>
    <w:rsid w:val="008066A6"/>
    <w:rsid w:val="00806701"/>
    <w:rsid w:val="00806C63"/>
    <w:rsid w:val="00806DB4"/>
    <w:rsid w:val="0080703A"/>
    <w:rsid w:val="00807C47"/>
    <w:rsid w:val="00807D61"/>
    <w:rsid w:val="00810D36"/>
    <w:rsid w:val="00810EBE"/>
    <w:rsid w:val="0081130B"/>
    <w:rsid w:val="0081177C"/>
    <w:rsid w:val="008126CC"/>
    <w:rsid w:val="00812EC8"/>
    <w:rsid w:val="0081337C"/>
    <w:rsid w:val="00814A1A"/>
    <w:rsid w:val="0081515A"/>
    <w:rsid w:val="00822F0F"/>
    <w:rsid w:val="00823C60"/>
    <w:rsid w:val="00824302"/>
    <w:rsid w:val="008244CB"/>
    <w:rsid w:val="008244D4"/>
    <w:rsid w:val="00825354"/>
    <w:rsid w:val="0082730E"/>
    <w:rsid w:val="008273DB"/>
    <w:rsid w:val="0082789C"/>
    <w:rsid w:val="00827C6E"/>
    <w:rsid w:val="008304C5"/>
    <w:rsid w:val="0083320D"/>
    <w:rsid w:val="00833E2A"/>
    <w:rsid w:val="00834D37"/>
    <w:rsid w:val="00835C85"/>
    <w:rsid w:val="00835F53"/>
    <w:rsid w:val="008363F1"/>
    <w:rsid w:val="008365B9"/>
    <w:rsid w:val="0083762B"/>
    <w:rsid w:val="00841308"/>
    <w:rsid w:val="0084302B"/>
    <w:rsid w:val="00844696"/>
    <w:rsid w:val="00844F3B"/>
    <w:rsid w:val="00845A00"/>
    <w:rsid w:val="008472CF"/>
    <w:rsid w:val="00850C31"/>
    <w:rsid w:val="008517F3"/>
    <w:rsid w:val="00852122"/>
    <w:rsid w:val="008522CD"/>
    <w:rsid w:val="008530E2"/>
    <w:rsid w:val="008546F4"/>
    <w:rsid w:val="00854925"/>
    <w:rsid w:val="008558E1"/>
    <w:rsid w:val="0085619E"/>
    <w:rsid w:val="00856765"/>
    <w:rsid w:val="008568A1"/>
    <w:rsid w:val="00856BB3"/>
    <w:rsid w:val="00857529"/>
    <w:rsid w:val="00860AE8"/>
    <w:rsid w:val="0086124E"/>
    <w:rsid w:val="00861712"/>
    <w:rsid w:val="0086780F"/>
    <w:rsid w:val="008718ED"/>
    <w:rsid w:val="00871D54"/>
    <w:rsid w:val="00872E0C"/>
    <w:rsid w:val="0087347C"/>
    <w:rsid w:val="00873F76"/>
    <w:rsid w:val="0087646E"/>
    <w:rsid w:val="008764B7"/>
    <w:rsid w:val="00877340"/>
    <w:rsid w:val="00880488"/>
    <w:rsid w:val="008818BF"/>
    <w:rsid w:val="00883AB7"/>
    <w:rsid w:val="00883B8A"/>
    <w:rsid w:val="008862F4"/>
    <w:rsid w:val="008905CC"/>
    <w:rsid w:val="00891207"/>
    <w:rsid w:val="00891480"/>
    <w:rsid w:val="00892E43"/>
    <w:rsid w:val="0089381D"/>
    <w:rsid w:val="008951B0"/>
    <w:rsid w:val="0089687D"/>
    <w:rsid w:val="008968C2"/>
    <w:rsid w:val="00897282"/>
    <w:rsid w:val="0089791F"/>
    <w:rsid w:val="0089792E"/>
    <w:rsid w:val="00897AFC"/>
    <w:rsid w:val="008A0ADD"/>
    <w:rsid w:val="008A22ED"/>
    <w:rsid w:val="008A3D12"/>
    <w:rsid w:val="008A4920"/>
    <w:rsid w:val="008A524C"/>
    <w:rsid w:val="008B0F7B"/>
    <w:rsid w:val="008B2BC0"/>
    <w:rsid w:val="008B5498"/>
    <w:rsid w:val="008B5CAC"/>
    <w:rsid w:val="008B6414"/>
    <w:rsid w:val="008B7F27"/>
    <w:rsid w:val="008C000A"/>
    <w:rsid w:val="008C10CC"/>
    <w:rsid w:val="008C1E64"/>
    <w:rsid w:val="008C3E4E"/>
    <w:rsid w:val="008C4060"/>
    <w:rsid w:val="008C5270"/>
    <w:rsid w:val="008C60AE"/>
    <w:rsid w:val="008C61BD"/>
    <w:rsid w:val="008C6E6E"/>
    <w:rsid w:val="008D0616"/>
    <w:rsid w:val="008D0D5F"/>
    <w:rsid w:val="008D0FB0"/>
    <w:rsid w:val="008D19EE"/>
    <w:rsid w:val="008D2BFF"/>
    <w:rsid w:val="008D37F6"/>
    <w:rsid w:val="008D4B5A"/>
    <w:rsid w:val="008D509C"/>
    <w:rsid w:val="008D5159"/>
    <w:rsid w:val="008D59B1"/>
    <w:rsid w:val="008D6793"/>
    <w:rsid w:val="008D7082"/>
    <w:rsid w:val="008D797F"/>
    <w:rsid w:val="008E1CD8"/>
    <w:rsid w:val="008E22B0"/>
    <w:rsid w:val="008E2440"/>
    <w:rsid w:val="008E24F4"/>
    <w:rsid w:val="008E276E"/>
    <w:rsid w:val="008E2D5C"/>
    <w:rsid w:val="008E5179"/>
    <w:rsid w:val="008E64D7"/>
    <w:rsid w:val="008E6DE9"/>
    <w:rsid w:val="008E70E8"/>
    <w:rsid w:val="008E7F68"/>
    <w:rsid w:val="008F0FD1"/>
    <w:rsid w:val="008F1350"/>
    <w:rsid w:val="008F1DEE"/>
    <w:rsid w:val="008F20B5"/>
    <w:rsid w:val="008F3FD7"/>
    <w:rsid w:val="008F6ACC"/>
    <w:rsid w:val="00900E34"/>
    <w:rsid w:val="00900FBE"/>
    <w:rsid w:val="009027A0"/>
    <w:rsid w:val="00902B68"/>
    <w:rsid w:val="0090307F"/>
    <w:rsid w:val="00903732"/>
    <w:rsid w:val="0090507F"/>
    <w:rsid w:val="00906346"/>
    <w:rsid w:val="009073C8"/>
    <w:rsid w:val="00910235"/>
    <w:rsid w:val="009102F2"/>
    <w:rsid w:val="00913D23"/>
    <w:rsid w:val="009142B1"/>
    <w:rsid w:val="00914A7A"/>
    <w:rsid w:val="00917D3E"/>
    <w:rsid w:val="009202A0"/>
    <w:rsid w:val="009208E8"/>
    <w:rsid w:val="009212C9"/>
    <w:rsid w:val="00921C91"/>
    <w:rsid w:val="009227D0"/>
    <w:rsid w:val="00922E70"/>
    <w:rsid w:val="009249B1"/>
    <w:rsid w:val="009251B0"/>
    <w:rsid w:val="00925787"/>
    <w:rsid w:val="00925F1B"/>
    <w:rsid w:val="0092744F"/>
    <w:rsid w:val="009277C2"/>
    <w:rsid w:val="009324E8"/>
    <w:rsid w:val="00932B87"/>
    <w:rsid w:val="00933E83"/>
    <w:rsid w:val="009341FB"/>
    <w:rsid w:val="009344BD"/>
    <w:rsid w:val="00936104"/>
    <w:rsid w:val="009378B5"/>
    <w:rsid w:val="00940458"/>
    <w:rsid w:val="009419ED"/>
    <w:rsid w:val="009422A1"/>
    <w:rsid w:val="009432F4"/>
    <w:rsid w:val="00944BFB"/>
    <w:rsid w:val="00945E7E"/>
    <w:rsid w:val="00945EB6"/>
    <w:rsid w:val="00945EEE"/>
    <w:rsid w:val="00946D4A"/>
    <w:rsid w:val="00946E5B"/>
    <w:rsid w:val="00947D90"/>
    <w:rsid w:val="00950750"/>
    <w:rsid w:val="00953233"/>
    <w:rsid w:val="00953C20"/>
    <w:rsid w:val="0095433C"/>
    <w:rsid w:val="00955E12"/>
    <w:rsid w:val="00955E7E"/>
    <w:rsid w:val="0095681A"/>
    <w:rsid w:val="00957068"/>
    <w:rsid w:val="00960402"/>
    <w:rsid w:val="009623AC"/>
    <w:rsid w:val="00962C0E"/>
    <w:rsid w:val="00962E02"/>
    <w:rsid w:val="00965028"/>
    <w:rsid w:val="00966D5A"/>
    <w:rsid w:val="00970CCA"/>
    <w:rsid w:val="009714B8"/>
    <w:rsid w:val="00972039"/>
    <w:rsid w:val="00972D26"/>
    <w:rsid w:val="00973FCF"/>
    <w:rsid w:val="0097477E"/>
    <w:rsid w:val="00976D54"/>
    <w:rsid w:val="00977220"/>
    <w:rsid w:val="0097726E"/>
    <w:rsid w:val="009777EF"/>
    <w:rsid w:val="00980024"/>
    <w:rsid w:val="009821DF"/>
    <w:rsid w:val="00982D2C"/>
    <w:rsid w:val="00983095"/>
    <w:rsid w:val="009833E5"/>
    <w:rsid w:val="00983655"/>
    <w:rsid w:val="00984985"/>
    <w:rsid w:val="00987B76"/>
    <w:rsid w:val="00987C8B"/>
    <w:rsid w:val="009906FA"/>
    <w:rsid w:val="00990907"/>
    <w:rsid w:val="00990917"/>
    <w:rsid w:val="0099093D"/>
    <w:rsid w:val="00991D28"/>
    <w:rsid w:val="00991DBA"/>
    <w:rsid w:val="00993124"/>
    <w:rsid w:val="00993308"/>
    <w:rsid w:val="00994960"/>
    <w:rsid w:val="00995DF3"/>
    <w:rsid w:val="009966EC"/>
    <w:rsid w:val="009970ED"/>
    <w:rsid w:val="009A031C"/>
    <w:rsid w:val="009A0BB7"/>
    <w:rsid w:val="009A20F0"/>
    <w:rsid w:val="009A2637"/>
    <w:rsid w:val="009A3237"/>
    <w:rsid w:val="009A6191"/>
    <w:rsid w:val="009A6856"/>
    <w:rsid w:val="009A78F8"/>
    <w:rsid w:val="009B0F22"/>
    <w:rsid w:val="009B1A46"/>
    <w:rsid w:val="009B1E26"/>
    <w:rsid w:val="009B2D7C"/>
    <w:rsid w:val="009B337D"/>
    <w:rsid w:val="009B4109"/>
    <w:rsid w:val="009B46F1"/>
    <w:rsid w:val="009B758C"/>
    <w:rsid w:val="009C0F1B"/>
    <w:rsid w:val="009C1611"/>
    <w:rsid w:val="009C1FE2"/>
    <w:rsid w:val="009C2109"/>
    <w:rsid w:val="009C250B"/>
    <w:rsid w:val="009C33FC"/>
    <w:rsid w:val="009C3860"/>
    <w:rsid w:val="009C4391"/>
    <w:rsid w:val="009C5147"/>
    <w:rsid w:val="009C57A4"/>
    <w:rsid w:val="009C63D4"/>
    <w:rsid w:val="009D034C"/>
    <w:rsid w:val="009D2053"/>
    <w:rsid w:val="009D2E59"/>
    <w:rsid w:val="009D323A"/>
    <w:rsid w:val="009D4DDE"/>
    <w:rsid w:val="009D533D"/>
    <w:rsid w:val="009D6660"/>
    <w:rsid w:val="009D6F07"/>
    <w:rsid w:val="009E019E"/>
    <w:rsid w:val="009E375A"/>
    <w:rsid w:val="009E49B2"/>
    <w:rsid w:val="009E6785"/>
    <w:rsid w:val="009E7913"/>
    <w:rsid w:val="009F193C"/>
    <w:rsid w:val="009F20CE"/>
    <w:rsid w:val="009F2B29"/>
    <w:rsid w:val="009F3214"/>
    <w:rsid w:val="009F3432"/>
    <w:rsid w:val="009F48D7"/>
    <w:rsid w:val="009F4928"/>
    <w:rsid w:val="009F5855"/>
    <w:rsid w:val="00A0289B"/>
    <w:rsid w:val="00A038EE"/>
    <w:rsid w:val="00A03E23"/>
    <w:rsid w:val="00A046EF"/>
    <w:rsid w:val="00A04734"/>
    <w:rsid w:val="00A06284"/>
    <w:rsid w:val="00A06AC7"/>
    <w:rsid w:val="00A0748E"/>
    <w:rsid w:val="00A075A1"/>
    <w:rsid w:val="00A07B96"/>
    <w:rsid w:val="00A1073A"/>
    <w:rsid w:val="00A12191"/>
    <w:rsid w:val="00A13B0A"/>
    <w:rsid w:val="00A13F4F"/>
    <w:rsid w:val="00A1414C"/>
    <w:rsid w:val="00A145E6"/>
    <w:rsid w:val="00A16AA8"/>
    <w:rsid w:val="00A21387"/>
    <w:rsid w:val="00A216B5"/>
    <w:rsid w:val="00A2193A"/>
    <w:rsid w:val="00A22C1E"/>
    <w:rsid w:val="00A233F4"/>
    <w:rsid w:val="00A238BB"/>
    <w:rsid w:val="00A23D36"/>
    <w:rsid w:val="00A24FAE"/>
    <w:rsid w:val="00A25965"/>
    <w:rsid w:val="00A25BA2"/>
    <w:rsid w:val="00A26261"/>
    <w:rsid w:val="00A27422"/>
    <w:rsid w:val="00A301A1"/>
    <w:rsid w:val="00A330F0"/>
    <w:rsid w:val="00A349E2"/>
    <w:rsid w:val="00A36AC6"/>
    <w:rsid w:val="00A37675"/>
    <w:rsid w:val="00A40D25"/>
    <w:rsid w:val="00A41B9D"/>
    <w:rsid w:val="00A42326"/>
    <w:rsid w:val="00A42388"/>
    <w:rsid w:val="00A42AD4"/>
    <w:rsid w:val="00A431E0"/>
    <w:rsid w:val="00A43EF5"/>
    <w:rsid w:val="00A46912"/>
    <w:rsid w:val="00A47801"/>
    <w:rsid w:val="00A479F4"/>
    <w:rsid w:val="00A50EE6"/>
    <w:rsid w:val="00A50FCB"/>
    <w:rsid w:val="00A52577"/>
    <w:rsid w:val="00A53912"/>
    <w:rsid w:val="00A54505"/>
    <w:rsid w:val="00A54F48"/>
    <w:rsid w:val="00A5503E"/>
    <w:rsid w:val="00A55040"/>
    <w:rsid w:val="00A57973"/>
    <w:rsid w:val="00A61205"/>
    <w:rsid w:val="00A66B70"/>
    <w:rsid w:val="00A66E8C"/>
    <w:rsid w:val="00A67990"/>
    <w:rsid w:val="00A67C25"/>
    <w:rsid w:val="00A7042B"/>
    <w:rsid w:val="00A71117"/>
    <w:rsid w:val="00A74DA7"/>
    <w:rsid w:val="00A74F1B"/>
    <w:rsid w:val="00A75BF9"/>
    <w:rsid w:val="00A7601A"/>
    <w:rsid w:val="00A760CF"/>
    <w:rsid w:val="00A8149C"/>
    <w:rsid w:val="00A81524"/>
    <w:rsid w:val="00A81AE4"/>
    <w:rsid w:val="00A82035"/>
    <w:rsid w:val="00A830DA"/>
    <w:rsid w:val="00A8312D"/>
    <w:rsid w:val="00A85BB9"/>
    <w:rsid w:val="00A86C6F"/>
    <w:rsid w:val="00A91E1D"/>
    <w:rsid w:val="00A972D9"/>
    <w:rsid w:val="00AA179F"/>
    <w:rsid w:val="00AA49B8"/>
    <w:rsid w:val="00AA53BE"/>
    <w:rsid w:val="00AA619C"/>
    <w:rsid w:val="00AA6B1E"/>
    <w:rsid w:val="00AB166E"/>
    <w:rsid w:val="00AB2A12"/>
    <w:rsid w:val="00AB3256"/>
    <w:rsid w:val="00AB56C2"/>
    <w:rsid w:val="00AB699A"/>
    <w:rsid w:val="00AB7045"/>
    <w:rsid w:val="00AC3129"/>
    <w:rsid w:val="00AC35CF"/>
    <w:rsid w:val="00AC3875"/>
    <w:rsid w:val="00AC521B"/>
    <w:rsid w:val="00AC639E"/>
    <w:rsid w:val="00AC6AEC"/>
    <w:rsid w:val="00AD0D63"/>
    <w:rsid w:val="00AD1874"/>
    <w:rsid w:val="00AD3131"/>
    <w:rsid w:val="00AD3FBD"/>
    <w:rsid w:val="00AD4968"/>
    <w:rsid w:val="00AD4FD8"/>
    <w:rsid w:val="00AD63AC"/>
    <w:rsid w:val="00AE1197"/>
    <w:rsid w:val="00AE124C"/>
    <w:rsid w:val="00AE320A"/>
    <w:rsid w:val="00AE5319"/>
    <w:rsid w:val="00AE5744"/>
    <w:rsid w:val="00AE5F0B"/>
    <w:rsid w:val="00AE6780"/>
    <w:rsid w:val="00AE6D39"/>
    <w:rsid w:val="00AE6DD8"/>
    <w:rsid w:val="00AF2ECE"/>
    <w:rsid w:val="00AF4675"/>
    <w:rsid w:val="00AF4D72"/>
    <w:rsid w:val="00AF7E3E"/>
    <w:rsid w:val="00B046ED"/>
    <w:rsid w:val="00B05409"/>
    <w:rsid w:val="00B06F48"/>
    <w:rsid w:val="00B10B55"/>
    <w:rsid w:val="00B1105F"/>
    <w:rsid w:val="00B11BE8"/>
    <w:rsid w:val="00B13044"/>
    <w:rsid w:val="00B146BA"/>
    <w:rsid w:val="00B17B00"/>
    <w:rsid w:val="00B17B0B"/>
    <w:rsid w:val="00B20A83"/>
    <w:rsid w:val="00B22107"/>
    <w:rsid w:val="00B25164"/>
    <w:rsid w:val="00B270EA"/>
    <w:rsid w:val="00B27250"/>
    <w:rsid w:val="00B3341B"/>
    <w:rsid w:val="00B33E90"/>
    <w:rsid w:val="00B3423C"/>
    <w:rsid w:val="00B358C6"/>
    <w:rsid w:val="00B37442"/>
    <w:rsid w:val="00B40520"/>
    <w:rsid w:val="00B427DD"/>
    <w:rsid w:val="00B43F7A"/>
    <w:rsid w:val="00B448B8"/>
    <w:rsid w:val="00B44EB1"/>
    <w:rsid w:val="00B45EA1"/>
    <w:rsid w:val="00B47D18"/>
    <w:rsid w:val="00B502DC"/>
    <w:rsid w:val="00B52EBF"/>
    <w:rsid w:val="00B52ECE"/>
    <w:rsid w:val="00B534F3"/>
    <w:rsid w:val="00B53C6D"/>
    <w:rsid w:val="00B541B1"/>
    <w:rsid w:val="00B544F4"/>
    <w:rsid w:val="00B5661D"/>
    <w:rsid w:val="00B56984"/>
    <w:rsid w:val="00B6082F"/>
    <w:rsid w:val="00B612B3"/>
    <w:rsid w:val="00B63A8D"/>
    <w:rsid w:val="00B6522D"/>
    <w:rsid w:val="00B67906"/>
    <w:rsid w:val="00B67FA2"/>
    <w:rsid w:val="00B74313"/>
    <w:rsid w:val="00B746C8"/>
    <w:rsid w:val="00B75AA2"/>
    <w:rsid w:val="00B764FB"/>
    <w:rsid w:val="00B76F72"/>
    <w:rsid w:val="00B773DD"/>
    <w:rsid w:val="00B800C3"/>
    <w:rsid w:val="00B80879"/>
    <w:rsid w:val="00B81C83"/>
    <w:rsid w:val="00B83D5E"/>
    <w:rsid w:val="00B86E56"/>
    <w:rsid w:val="00B86FAA"/>
    <w:rsid w:val="00B87B20"/>
    <w:rsid w:val="00B948FB"/>
    <w:rsid w:val="00BA0C9F"/>
    <w:rsid w:val="00BA18A1"/>
    <w:rsid w:val="00BA1939"/>
    <w:rsid w:val="00BA27AC"/>
    <w:rsid w:val="00BA4278"/>
    <w:rsid w:val="00BA5553"/>
    <w:rsid w:val="00BA632F"/>
    <w:rsid w:val="00BA7059"/>
    <w:rsid w:val="00BA7B8A"/>
    <w:rsid w:val="00BB4093"/>
    <w:rsid w:val="00BB50DB"/>
    <w:rsid w:val="00BB57E3"/>
    <w:rsid w:val="00BB6866"/>
    <w:rsid w:val="00BB6C42"/>
    <w:rsid w:val="00BB6CFE"/>
    <w:rsid w:val="00BB6E72"/>
    <w:rsid w:val="00BC0D2F"/>
    <w:rsid w:val="00BC110C"/>
    <w:rsid w:val="00BC1122"/>
    <w:rsid w:val="00BC16DB"/>
    <w:rsid w:val="00BC2005"/>
    <w:rsid w:val="00BC2A63"/>
    <w:rsid w:val="00BC4D89"/>
    <w:rsid w:val="00BC563A"/>
    <w:rsid w:val="00BC5B16"/>
    <w:rsid w:val="00BC5DA9"/>
    <w:rsid w:val="00BC62B0"/>
    <w:rsid w:val="00BC64F7"/>
    <w:rsid w:val="00BC699B"/>
    <w:rsid w:val="00BC74F6"/>
    <w:rsid w:val="00BD1636"/>
    <w:rsid w:val="00BD18E6"/>
    <w:rsid w:val="00BD19AC"/>
    <w:rsid w:val="00BD19E6"/>
    <w:rsid w:val="00BD537C"/>
    <w:rsid w:val="00BD5944"/>
    <w:rsid w:val="00BD5BF9"/>
    <w:rsid w:val="00BD70E2"/>
    <w:rsid w:val="00BD7BD5"/>
    <w:rsid w:val="00BE206D"/>
    <w:rsid w:val="00BE20F2"/>
    <w:rsid w:val="00BE2422"/>
    <w:rsid w:val="00BE2666"/>
    <w:rsid w:val="00BE3039"/>
    <w:rsid w:val="00BE34F6"/>
    <w:rsid w:val="00BE3EB2"/>
    <w:rsid w:val="00BE6402"/>
    <w:rsid w:val="00BE6B76"/>
    <w:rsid w:val="00BE7624"/>
    <w:rsid w:val="00BE7A2A"/>
    <w:rsid w:val="00BF13D9"/>
    <w:rsid w:val="00BF1F0A"/>
    <w:rsid w:val="00BF26B3"/>
    <w:rsid w:val="00BF380C"/>
    <w:rsid w:val="00BF4CC7"/>
    <w:rsid w:val="00BF69CA"/>
    <w:rsid w:val="00BF6A85"/>
    <w:rsid w:val="00BF70F3"/>
    <w:rsid w:val="00BF7775"/>
    <w:rsid w:val="00C06C7F"/>
    <w:rsid w:val="00C0775E"/>
    <w:rsid w:val="00C11810"/>
    <w:rsid w:val="00C125CE"/>
    <w:rsid w:val="00C129E4"/>
    <w:rsid w:val="00C13530"/>
    <w:rsid w:val="00C1393F"/>
    <w:rsid w:val="00C146D6"/>
    <w:rsid w:val="00C15C5C"/>
    <w:rsid w:val="00C160FB"/>
    <w:rsid w:val="00C17687"/>
    <w:rsid w:val="00C177C4"/>
    <w:rsid w:val="00C17EB9"/>
    <w:rsid w:val="00C212D6"/>
    <w:rsid w:val="00C21E63"/>
    <w:rsid w:val="00C22394"/>
    <w:rsid w:val="00C25046"/>
    <w:rsid w:val="00C264A5"/>
    <w:rsid w:val="00C272FF"/>
    <w:rsid w:val="00C278A6"/>
    <w:rsid w:val="00C314BC"/>
    <w:rsid w:val="00C32939"/>
    <w:rsid w:val="00C32A5C"/>
    <w:rsid w:val="00C3320C"/>
    <w:rsid w:val="00C3347B"/>
    <w:rsid w:val="00C3369A"/>
    <w:rsid w:val="00C356BF"/>
    <w:rsid w:val="00C36C28"/>
    <w:rsid w:val="00C40855"/>
    <w:rsid w:val="00C41BB2"/>
    <w:rsid w:val="00C43633"/>
    <w:rsid w:val="00C43A20"/>
    <w:rsid w:val="00C478AA"/>
    <w:rsid w:val="00C512A1"/>
    <w:rsid w:val="00C546CE"/>
    <w:rsid w:val="00C54B81"/>
    <w:rsid w:val="00C56321"/>
    <w:rsid w:val="00C60B0E"/>
    <w:rsid w:val="00C6378C"/>
    <w:rsid w:val="00C648DC"/>
    <w:rsid w:val="00C65735"/>
    <w:rsid w:val="00C67EBD"/>
    <w:rsid w:val="00C7296E"/>
    <w:rsid w:val="00C7332C"/>
    <w:rsid w:val="00C73DFE"/>
    <w:rsid w:val="00C751AF"/>
    <w:rsid w:val="00C76FFB"/>
    <w:rsid w:val="00C81007"/>
    <w:rsid w:val="00C814C4"/>
    <w:rsid w:val="00C83694"/>
    <w:rsid w:val="00C84CF1"/>
    <w:rsid w:val="00C84D7C"/>
    <w:rsid w:val="00C9281B"/>
    <w:rsid w:val="00C93200"/>
    <w:rsid w:val="00C941C3"/>
    <w:rsid w:val="00C95AF5"/>
    <w:rsid w:val="00C95C37"/>
    <w:rsid w:val="00C97C45"/>
    <w:rsid w:val="00C97FBD"/>
    <w:rsid w:val="00CA100A"/>
    <w:rsid w:val="00CA152F"/>
    <w:rsid w:val="00CA1BCA"/>
    <w:rsid w:val="00CA5580"/>
    <w:rsid w:val="00CA69B4"/>
    <w:rsid w:val="00CB1480"/>
    <w:rsid w:val="00CB1E00"/>
    <w:rsid w:val="00CB1EF1"/>
    <w:rsid w:val="00CB28F1"/>
    <w:rsid w:val="00CB33F8"/>
    <w:rsid w:val="00CB3699"/>
    <w:rsid w:val="00CB43CC"/>
    <w:rsid w:val="00CB6EF2"/>
    <w:rsid w:val="00CB7174"/>
    <w:rsid w:val="00CC0542"/>
    <w:rsid w:val="00CC10BD"/>
    <w:rsid w:val="00CC2AC0"/>
    <w:rsid w:val="00CC505B"/>
    <w:rsid w:val="00CC517A"/>
    <w:rsid w:val="00CC62BE"/>
    <w:rsid w:val="00CD01B4"/>
    <w:rsid w:val="00CD15BB"/>
    <w:rsid w:val="00CD23E5"/>
    <w:rsid w:val="00CD2A28"/>
    <w:rsid w:val="00CD4F29"/>
    <w:rsid w:val="00CD567F"/>
    <w:rsid w:val="00CD6DDD"/>
    <w:rsid w:val="00CD7E2A"/>
    <w:rsid w:val="00CE0EE9"/>
    <w:rsid w:val="00CE350B"/>
    <w:rsid w:val="00CE4797"/>
    <w:rsid w:val="00CE48DF"/>
    <w:rsid w:val="00CE6B79"/>
    <w:rsid w:val="00CE6E96"/>
    <w:rsid w:val="00CF0EE0"/>
    <w:rsid w:val="00CF2A04"/>
    <w:rsid w:val="00CF400F"/>
    <w:rsid w:val="00CF4515"/>
    <w:rsid w:val="00CF5260"/>
    <w:rsid w:val="00CF5CA5"/>
    <w:rsid w:val="00CF5D90"/>
    <w:rsid w:val="00CF7D86"/>
    <w:rsid w:val="00CF7DC8"/>
    <w:rsid w:val="00D008EF"/>
    <w:rsid w:val="00D01800"/>
    <w:rsid w:val="00D01D23"/>
    <w:rsid w:val="00D03067"/>
    <w:rsid w:val="00D03170"/>
    <w:rsid w:val="00D06DC2"/>
    <w:rsid w:val="00D1040F"/>
    <w:rsid w:val="00D10D5C"/>
    <w:rsid w:val="00D16314"/>
    <w:rsid w:val="00D20605"/>
    <w:rsid w:val="00D208A8"/>
    <w:rsid w:val="00D222A8"/>
    <w:rsid w:val="00D26144"/>
    <w:rsid w:val="00D26AF6"/>
    <w:rsid w:val="00D27A76"/>
    <w:rsid w:val="00D30315"/>
    <w:rsid w:val="00D31B39"/>
    <w:rsid w:val="00D32956"/>
    <w:rsid w:val="00D3349D"/>
    <w:rsid w:val="00D351DE"/>
    <w:rsid w:val="00D3544C"/>
    <w:rsid w:val="00D378EC"/>
    <w:rsid w:val="00D424B7"/>
    <w:rsid w:val="00D42579"/>
    <w:rsid w:val="00D43F83"/>
    <w:rsid w:val="00D44F4D"/>
    <w:rsid w:val="00D464D3"/>
    <w:rsid w:val="00D53CFC"/>
    <w:rsid w:val="00D55AEF"/>
    <w:rsid w:val="00D55EAE"/>
    <w:rsid w:val="00D56A20"/>
    <w:rsid w:val="00D601E7"/>
    <w:rsid w:val="00D60ED0"/>
    <w:rsid w:val="00D619A8"/>
    <w:rsid w:val="00D62283"/>
    <w:rsid w:val="00D643ED"/>
    <w:rsid w:val="00D6450A"/>
    <w:rsid w:val="00D6466E"/>
    <w:rsid w:val="00D648B1"/>
    <w:rsid w:val="00D648C7"/>
    <w:rsid w:val="00D64BA4"/>
    <w:rsid w:val="00D650B9"/>
    <w:rsid w:val="00D650E4"/>
    <w:rsid w:val="00D6679C"/>
    <w:rsid w:val="00D66D38"/>
    <w:rsid w:val="00D73BEE"/>
    <w:rsid w:val="00D74D3D"/>
    <w:rsid w:val="00D75E10"/>
    <w:rsid w:val="00D807AA"/>
    <w:rsid w:val="00D81997"/>
    <w:rsid w:val="00D837FC"/>
    <w:rsid w:val="00D83AEB"/>
    <w:rsid w:val="00D84FF2"/>
    <w:rsid w:val="00D862B2"/>
    <w:rsid w:val="00D86BA8"/>
    <w:rsid w:val="00D90BB8"/>
    <w:rsid w:val="00D9130F"/>
    <w:rsid w:val="00D92FF2"/>
    <w:rsid w:val="00D93A34"/>
    <w:rsid w:val="00D94614"/>
    <w:rsid w:val="00D95C29"/>
    <w:rsid w:val="00D978B4"/>
    <w:rsid w:val="00D97EBE"/>
    <w:rsid w:val="00DA008A"/>
    <w:rsid w:val="00DA0622"/>
    <w:rsid w:val="00DA0AEA"/>
    <w:rsid w:val="00DA4FF5"/>
    <w:rsid w:val="00DA5139"/>
    <w:rsid w:val="00DA6933"/>
    <w:rsid w:val="00DA6DF9"/>
    <w:rsid w:val="00DB016E"/>
    <w:rsid w:val="00DB0AF3"/>
    <w:rsid w:val="00DB133A"/>
    <w:rsid w:val="00DB178C"/>
    <w:rsid w:val="00DB189B"/>
    <w:rsid w:val="00DB2DAE"/>
    <w:rsid w:val="00DB51B6"/>
    <w:rsid w:val="00DB54BE"/>
    <w:rsid w:val="00DB5723"/>
    <w:rsid w:val="00DB6807"/>
    <w:rsid w:val="00DC0CE6"/>
    <w:rsid w:val="00DC20E9"/>
    <w:rsid w:val="00DC3EB5"/>
    <w:rsid w:val="00DC4813"/>
    <w:rsid w:val="00DC5CDC"/>
    <w:rsid w:val="00DD03D2"/>
    <w:rsid w:val="00DD061E"/>
    <w:rsid w:val="00DD0B71"/>
    <w:rsid w:val="00DD41FC"/>
    <w:rsid w:val="00DD47D4"/>
    <w:rsid w:val="00DD4C03"/>
    <w:rsid w:val="00DD60A7"/>
    <w:rsid w:val="00DD6346"/>
    <w:rsid w:val="00DE02D4"/>
    <w:rsid w:val="00DE12D4"/>
    <w:rsid w:val="00DE3520"/>
    <w:rsid w:val="00DE48A7"/>
    <w:rsid w:val="00DE5209"/>
    <w:rsid w:val="00DE64E0"/>
    <w:rsid w:val="00DE66B1"/>
    <w:rsid w:val="00DF2191"/>
    <w:rsid w:val="00DF3A15"/>
    <w:rsid w:val="00DF3CD2"/>
    <w:rsid w:val="00DF5786"/>
    <w:rsid w:val="00DF5FFF"/>
    <w:rsid w:val="00DF6164"/>
    <w:rsid w:val="00DF748E"/>
    <w:rsid w:val="00E00C3B"/>
    <w:rsid w:val="00E00F8B"/>
    <w:rsid w:val="00E01061"/>
    <w:rsid w:val="00E039A1"/>
    <w:rsid w:val="00E04A46"/>
    <w:rsid w:val="00E05392"/>
    <w:rsid w:val="00E0772E"/>
    <w:rsid w:val="00E106A9"/>
    <w:rsid w:val="00E11B16"/>
    <w:rsid w:val="00E14774"/>
    <w:rsid w:val="00E158FE"/>
    <w:rsid w:val="00E1755E"/>
    <w:rsid w:val="00E20796"/>
    <w:rsid w:val="00E20E6D"/>
    <w:rsid w:val="00E214E2"/>
    <w:rsid w:val="00E23E56"/>
    <w:rsid w:val="00E24B22"/>
    <w:rsid w:val="00E25F0E"/>
    <w:rsid w:val="00E26BCB"/>
    <w:rsid w:val="00E32107"/>
    <w:rsid w:val="00E32825"/>
    <w:rsid w:val="00E330DA"/>
    <w:rsid w:val="00E3372A"/>
    <w:rsid w:val="00E34041"/>
    <w:rsid w:val="00E347ED"/>
    <w:rsid w:val="00E35AA0"/>
    <w:rsid w:val="00E3661E"/>
    <w:rsid w:val="00E406CD"/>
    <w:rsid w:val="00E4157E"/>
    <w:rsid w:val="00E41AE1"/>
    <w:rsid w:val="00E4313D"/>
    <w:rsid w:val="00E43240"/>
    <w:rsid w:val="00E452C0"/>
    <w:rsid w:val="00E45E18"/>
    <w:rsid w:val="00E45F58"/>
    <w:rsid w:val="00E46664"/>
    <w:rsid w:val="00E50385"/>
    <w:rsid w:val="00E516C6"/>
    <w:rsid w:val="00E52039"/>
    <w:rsid w:val="00E52075"/>
    <w:rsid w:val="00E52683"/>
    <w:rsid w:val="00E52EE2"/>
    <w:rsid w:val="00E55841"/>
    <w:rsid w:val="00E5672D"/>
    <w:rsid w:val="00E56A8F"/>
    <w:rsid w:val="00E56B98"/>
    <w:rsid w:val="00E56CCB"/>
    <w:rsid w:val="00E603AC"/>
    <w:rsid w:val="00E60ECA"/>
    <w:rsid w:val="00E613D7"/>
    <w:rsid w:val="00E62244"/>
    <w:rsid w:val="00E62407"/>
    <w:rsid w:val="00E625E8"/>
    <w:rsid w:val="00E62EC1"/>
    <w:rsid w:val="00E63A95"/>
    <w:rsid w:val="00E63B85"/>
    <w:rsid w:val="00E67B6A"/>
    <w:rsid w:val="00E70529"/>
    <w:rsid w:val="00E72442"/>
    <w:rsid w:val="00E72C5B"/>
    <w:rsid w:val="00E74C25"/>
    <w:rsid w:val="00E7521A"/>
    <w:rsid w:val="00E8134E"/>
    <w:rsid w:val="00E81F72"/>
    <w:rsid w:val="00E83EFA"/>
    <w:rsid w:val="00E84730"/>
    <w:rsid w:val="00E85FC2"/>
    <w:rsid w:val="00E9243B"/>
    <w:rsid w:val="00E9301F"/>
    <w:rsid w:val="00E9334F"/>
    <w:rsid w:val="00E943CC"/>
    <w:rsid w:val="00E94F2F"/>
    <w:rsid w:val="00E950D2"/>
    <w:rsid w:val="00EA0D35"/>
    <w:rsid w:val="00EA0FD4"/>
    <w:rsid w:val="00EA5480"/>
    <w:rsid w:val="00EA5A2F"/>
    <w:rsid w:val="00EA676C"/>
    <w:rsid w:val="00EA6FEC"/>
    <w:rsid w:val="00EA731E"/>
    <w:rsid w:val="00EB07CB"/>
    <w:rsid w:val="00EB0989"/>
    <w:rsid w:val="00EB12B3"/>
    <w:rsid w:val="00EB139D"/>
    <w:rsid w:val="00EB16C2"/>
    <w:rsid w:val="00EB22F9"/>
    <w:rsid w:val="00EB25C3"/>
    <w:rsid w:val="00EB4345"/>
    <w:rsid w:val="00EB49B2"/>
    <w:rsid w:val="00EB6BF0"/>
    <w:rsid w:val="00EB6EEB"/>
    <w:rsid w:val="00EB712F"/>
    <w:rsid w:val="00EB7C90"/>
    <w:rsid w:val="00EC0B34"/>
    <w:rsid w:val="00EC0F10"/>
    <w:rsid w:val="00EC1391"/>
    <w:rsid w:val="00EC1C86"/>
    <w:rsid w:val="00EC24B0"/>
    <w:rsid w:val="00EC253A"/>
    <w:rsid w:val="00EC49E1"/>
    <w:rsid w:val="00EC6DC9"/>
    <w:rsid w:val="00EC6DCC"/>
    <w:rsid w:val="00ED10DC"/>
    <w:rsid w:val="00ED348F"/>
    <w:rsid w:val="00ED3E2B"/>
    <w:rsid w:val="00ED6973"/>
    <w:rsid w:val="00ED766F"/>
    <w:rsid w:val="00EE2915"/>
    <w:rsid w:val="00EE63D0"/>
    <w:rsid w:val="00EE70D6"/>
    <w:rsid w:val="00EE758E"/>
    <w:rsid w:val="00EE7C84"/>
    <w:rsid w:val="00EF12F7"/>
    <w:rsid w:val="00EF1416"/>
    <w:rsid w:val="00EF1A70"/>
    <w:rsid w:val="00EF30DC"/>
    <w:rsid w:val="00EF3804"/>
    <w:rsid w:val="00EF397C"/>
    <w:rsid w:val="00EF4599"/>
    <w:rsid w:val="00EF4974"/>
    <w:rsid w:val="00EF7533"/>
    <w:rsid w:val="00EF7B47"/>
    <w:rsid w:val="00F013E7"/>
    <w:rsid w:val="00F02AC6"/>
    <w:rsid w:val="00F0554A"/>
    <w:rsid w:val="00F059E1"/>
    <w:rsid w:val="00F103AC"/>
    <w:rsid w:val="00F1231D"/>
    <w:rsid w:val="00F130D9"/>
    <w:rsid w:val="00F15338"/>
    <w:rsid w:val="00F15D4F"/>
    <w:rsid w:val="00F20925"/>
    <w:rsid w:val="00F20F69"/>
    <w:rsid w:val="00F243FD"/>
    <w:rsid w:val="00F25162"/>
    <w:rsid w:val="00F2661E"/>
    <w:rsid w:val="00F26914"/>
    <w:rsid w:val="00F27270"/>
    <w:rsid w:val="00F312A5"/>
    <w:rsid w:val="00F3211F"/>
    <w:rsid w:val="00F332DD"/>
    <w:rsid w:val="00F34FE3"/>
    <w:rsid w:val="00F35C27"/>
    <w:rsid w:val="00F40F92"/>
    <w:rsid w:val="00F41C8A"/>
    <w:rsid w:val="00F42E48"/>
    <w:rsid w:val="00F47820"/>
    <w:rsid w:val="00F47AB5"/>
    <w:rsid w:val="00F5009A"/>
    <w:rsid w:val="00F5014A"/>
    <w:rsid w:val="00F5166D"/>
    <w:rsid w:val="00F51FF9"/>
    <w:rsid w:val="00F52312"/>
    <w:rsid w:val="00F52845"/>
    <w:rsid w:val="00F52A11"/>
    <w:rsid w:val="00F5343C"/>
    <w:rsid w:val="00F54699"/>
    <w:rsid w:val="00F55C5E"/>
    <w:rsid w:val="00F575CF"/>
    <w:rsid w:val="00F57A21"/>
    <w:rsid w:val="00F57BC3"/>
    <w:rsid w:val="00F60AC5"/>
    <w:rsid w:val="00F6107F"/>
    <w:rsid w:val="00F61A67"/>
    <w:rsid w:val="00F61EA5"/>
    <w:rsid w:val="00F631E2"/>
    <w:rsid w:val="00F631F6"/>
    <w:rsid w:val="00F636AA"/>
    <w:rsid w:val="00F63B9F"/>
    <w:rsid w:val="00F65608"/>
    <w:rsid w:val="00F65AC8"/>
    <w:rsid w:val="00F65B0C"/>
    <w:rsid w:val="00F67C9A"/>
    <w:rsid w:val="00F70BCF"/>
    <w:rsid w:val="00F71697"/>
    <w:rsid w:val="00F71A67"/>
    <w:rsid w:val="00F72BF4"/>
    <w:rsid w:val="00F72C28"/>
    <w:rsid w:val="00F72C4B"/>
    <w:rsid w:val="00F737FC"/>
    <w:rsid w:val="00F73828"/>
    <w:rsid w:val="00F73AAE"/>
    <w:rsid w:val="00F74860"/>
    <w:rsid w:val="00F76194"/>
    <w:rsid w:val="00F76780"/>
    <w:rsid w:val="00F80FB1"/>
    <w:rsid w:val="00F83018"/>
    <w:rsid w:val="00F836B3"/>
    <w:rsid w:val="00F85A33"/>
    <w:rsid w:val="00F862E5"/>
    <w:rsid w:val="00F870AC"/>
    <w:rsid w:val="00F879D9"/>
    <w:rsid w:val="00F87C01"/>
    <w:rsid w:val="00F87C4B"/>
    <w:rsid w:val="00F930C8"/>
    <w:rsid w:val="00F9366D"/>
    <w:rsid w:val="00F948DF"/>
    <w:rsid w:val="00F967B0"/>
    <w:rsid w:val="00F96D0E"/>
    <w:rsid w:val="00F9736B"/>
    <w:rsid w:val="00FA10C8"/>
    <w:rsid w:val="00FA2171"/>
    <w:rsid w:val="00FA27F8"/>
    <w:rsid w:val="00FA3CFE"/>
    <w:rsid w:val="00FA5202"/>
    <w:rsid w:val="00FA585E"/>
    <w:rsid w:val="00FA71FB"/>
    <w:rsid w:val="00FB1C80"/>
    <w:rsid w:val="00FB67E6"/>
    <w:rsid w:val="00FC1D3C"/>
    <w:rsid w:val="00FC279D"/>
    <w:rsid w:val="00FC2CD7"/>
    <w:rsid w:val="00FC302C"/>
    <w:rsid w:val="00FC31DA"/>
    <w:rsid w:val="00FC55FA"/>
    <w:rsid w:val="00FC6410"/>
    <w:rsid w:val="00FC6826"/>
    <w:rsid w:val="00FC7425"/>
    <w:rsid w:val="00FC7CF3"/>
    <w:rsid w:val="00FD1FE9"/>
    <w:rsid w:val="00FD3C7F"/>
    <w:rsid w:val="00FD4620"/>
    <w:rsid w:val="00FD6A5A"/>
    <w:rsid w:val="00FD74C0"/>
    <w:rsid w:val="00FE4F90"/>
    <w:rsid w:val="00FE53F2"/>
    <w:rsid w:val="00FE60EF"/>
    <w:rsid w:val="00FE66C7"/>
    <w:rsid w:val="00FE6A08"/>
    <w:rsid w:val="00FE6FEF"/>
    <w:rsid w:val="00FF0005"/>
    <w:rsid w:val="00FF2911"/>
    <w:rsid w:val="00FF2B6F"/>
    <w:rsid w:val="00FF4F74"/>
    <w:rsid w:val="00FF4FC4"/>
    <w:rsid w:val="00FF52FC"/>
    <w:rsid w:val="014AB625"/>
    <w:rsid w:val="02CA7E6F"/>
    <w:rsid w:val="0849B7C2"/>
    <w:rsid w:val="0E39A5C5"/>
    <w:rsid w:val="0E5A8976"/>
    <w:rsid w:val="0F5E1F26"/>
    <w:rsid w:val="0F68A638"/>
    <w:rsid w:val="133161CA"/>
    <w:rsid w:val="13374E25"/>
    <w:rsid w:val="13A69AAC"/>
    <w:rsid w:val="169082C4"/>
    <w:rsid w:val="1721B3D9"/>
    <w:rsid w:val="193E3452"/>
    <w:rsid w:val="270CC11C"/>
    <w:rsid w:val="27F44443"/>
    <w:rsid w:val="2ECFE4CD"/>
    <w:rsid w:val="2F5BBBE6"/>
    <w:rsid w:val="2F97BC78"/>
    <w:rsid w:val="31F045E0"/>
    <w:rsid w:val="339BC297"/>
    <w:rsid w:val="33C30F99"/>
    <w:rsid w:val="3476BE22"/>
    <w:rsid w:val="3490926D"/>
    <w:rsid w:val="391BCE7B"/>
    <w:rsid w:val="39D5C8CB"/>
    <w:rsid w:val="3BA29696"/>
    <w:rsid w:val="3CADE427"/>
    <w:rsid w:val="3D95A13A"/>
    <w:rsid w:val="42F1F79A"/>
    <w:rsid w:val="436A6D48"/>
    <w:rsid w:val="479ED658"/>
    <w:rsid w:val="4911C3B2"/>
    <w:rsid w:val="4BB65500"/>
    <w:rsid w:val="4D6A86DD"/>
    <w:rsid w:val="4D6AA7A6"/>
    <w:rsid w:val="4E9102E2"/>
    <w:rsid w:val="4ED38DD5"/>
    <w:rsid w:val="4FB3AC7B"/>
    <w:rsid w:val="527E1196"/>
    <w:rsid w:val="52CF3A9C"/>
    <w:rsid w:val="5774D1B5"/>
    <w:rsid w:val="5978D9D9"/>
    <w:rsid w:val="59BA30B2"/>
    <w:rsid w:val="5AEC2666"/>
    <w:rsid w:val="5D03C569"/>
    <w:rsid w:val="5D7D959C"/>
    <w:rsid w:val="5F074946"/>
    <w:rsid w:val="61320019"/>
    <w:rsid w:val="61527BA2"/>
    <w:rsid w:val="6173F961"/>
    <w:rsid w:val="63521F50"/>
    <w:rsid w:val="667E9BD7"/>
    <w:rsid w:val="66E311FF"/>
    <w:rsid w:val="6762A88B"/>
    <w:rsid w:val="681433E1"/>
    <w:rsid w:val="6928D777"/>
    <w:rsid w:val="70367DE4"/>
    <w:rsid w:val="70E1BFC1"/>
    <w:rsid w:val="73BED639"/>
    <w:rsid w:val="78B4EB84"/>
    <w:rsid w:val="7BA796B8"/>
    <w:rsid w:val="7F7F55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FF3B4"/>
  <w15:chartTrackingRefBased/>
  <w15:docId w15:val="{70462E13-B664-4EAA-A19E-EBB5E3533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B6A"/>
  </w:style>
  <w:style w:type="paragraph" w:styleId="Heading1">
    <w:name w:val="heading 1"/>
    <w:basedOn w:val="Normal"/>
    <w:next w:val="Normal"/>
    <w:link w:val="Heading1Char"/>
    <w:uiPriority w:val="9"/>
    <w:qFormat/>
    <w:rsid w:val="00E67B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7B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7B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7B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7B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7B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7B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7B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7B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B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7B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7B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7B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7B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7B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7B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7B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7B6A"/>
    <w:rPr>
      <w:rFonts w:eastAsiaTheme="majorEastAsia" w:cstheme="majorBidi"/>
      <w:color w:val="272727" w:themeColor="text1" w:themeTint="D8"/>
    </w:rPr>
  </w:style>
  <w:style w:type="paragraph" w:styleId="Title">
    <w:name w:val="Title"/>
    <w:basedOn w:val="Normal"/>
    <w:next w:val="Normal"/>
    <w:link w:val="TitleChar"/>
    <w:uiPriority w:val="10"/>
    <w:qFormat/>
    <w:rsid w:val="00E67B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B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7B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7B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7B6A"/>
    <w:pPr>
      <w:spacing w:before="160"/>
      <w:jc w:val="center"/>
    </w:pPr>
    <w:rPr>
      <w:i/>
      <w:iCs/>
      <w:color w:val="404040" w:themeColor="text1" w:themeTint="BF"/>
    </w:rPr>
  </w:style>
  <w:style w:type="character" w:customStyle="1" w:styleId="QuoteChar">
    <w:name w:val="Quote Char"/>
    <w:basedOn w:val="DefaultParagraphFont"/>
    <w:link w:val="Quote"/>
    <w:uiPriority w:val="29"/>
    <w:rsid w:val="00E67B6A"/>
    <w:rPr>
      <w:i/>
      <w:iCs/>
      <w:color w:val="404040" w:themeColor="text1" w:themeTint="BF"/>
    </w:rPr>
  </w:style>
  <w:style w:type="paragraph" w:styleId="ListParagraph">
    <w:name w:val="List Paragraph"/>
    <w:basedOn w:val="Normal"/>
    <w:uiPriority w:val="34"/>
    <w:qFormat/>
    <w:rsid w:val="00E67B6A"/>
    <w:pPr>
      <w:ind w:left="720"/>
      <w:contextualSpacing/>
    </w:pPr>
  </w:style>
  <w:style w:type="character" w:styleId="IntenseEmphasis">
    <w:name w:val="Intense Emphasis"/>
    <w:basedOn w:val="DefaultParagraphFont"/>
    <w:uiPriority w:val="21"/>
    <w:qFormat/>
    <w:rsid w:val="00E67B6A"/>
    <w:rPr>
      <w:i/>
      <w:iCs/>
      <w:color w:val="0F4761" w:themeColor="accent1" w:themeShade="BF"/>
    </w:rPr>
  </w:style>
  <w:style w:type="paragraph" w:styleId="IntenseQuote">
    <w:name w:val="Intense Quote"/>
    <w:basedOn w:val="Normal"/>
    <w:next w:val="Normal"/>
    <w:link w:val="IntenseQuoteChar"/>
    <w:uiPriority w:val="30"/>
    <w:qFormat/>
    <w:rsid w:val="00E67B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7B6A"/>
    <w:rPr>
      <w:i/>
      <w:iCs/>
      <w:color w:val="0F4761" w:themeColor="accent1" w:themeShade="BF"/>
    </w:rPr>
  </w:style>
  <w:style w:type="character" w:styleId="IntenseReference">
    <w:name w:val="Intense Reference"/>
    <w:basedOn w:val="DefaultParagraphFont"/>
    <w:uiPriority w:val="32"/>
    <w:qFormat/>
    <w:rsid w:val="00E67B6A"/>
    <w:rPr>
      <w:b/>
      <w:bCs/>
      <w:smallCaps/>
      <w:color w:val="0F4761" w:themeColor="accent1" w:themeShade="BF"/>
      <w:spacing w:val="5"/>
    </w:rPr>
  </w:style>
  <w:style w:type="character" w:styleId="Hyperlink">
    <w:name w:val="Hyperlink"/>
    <w:basedOn w:val="DefaultParagraphFont"/>
    <w:uiPriority w:val="99"/>
    <w:unhideWhenUsed/>
    <w:rsid w:val="00E67B6A"/>
    <w:rPr>
      <w:color w:val="467886" w:themeColor="hyperlink"/>
      <w:u w:val="single"/>
    </w:rPr>
  </w:style>
  <w:style w:type="table" w:styleId="TableGrid">
    <w:name w:val="Table Grid"/>
    <w:basedOn w:val="TableNormal"/>
    <w:uiPriority w:val="59"/>
    <w:rsid w:val="005311E9"/>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D3D7C"/>
    <w:pPr>
      <w:spacing w:after="0" w:line="240" w:lineRule="auto"/>
    </w:pPr>
  </w:style>
  <w:style w:type="character" w:styleId="BookTitle">
    <w:name w:val="Book Title"/>
    <w:basedOn w:val="DefaultParagraphFont"/>
    <w:uiPriority w:val="33"/>
    <w:qFormat/>
    <w:rsid w:val="00EE70D6"/>
    <w:rPr>
      <w:b/>
      <w:bCs/>
      <w:i/>
      <w:iCs/>
      <w:spacing w:val="5"/>
    </w:rPr>
  </w:style>
  <w:style w:type="paragraph" w:styleId="Caption">
    <w:name w:val="caption"/>
    <w:basedOn w:val="Normal"/>
    <w:next w:val="Normal"/>
    <w:uiPriority w:val="35"/>
    <w:semiHidden/>
    <w:unhideWhenUsed/>
    <w:qFormat/>
    <w:rsid w:val="00EE70D6"/>
    <w:pPr>
      <w:spacing w:after="200" w:line="240" w:lineRule="auto"/>
    </w:pPr>
    <w:rPr>
      <w:i/>
      <w:iCs/>
      <w:color w:val="0E2841" w:themeColor="text2"/>
      <w:sz w:val="18"/>
      <w:szCs w:val="18"/>
    </w:rPr>
  </w:style>
  <w:style w:type="character" w:styleId="Emphasis">
    <w:name w:val="Emphasis"/>
    <w:basedOn w:val="DefaultParagraphFont"/>
    <w:uiPriority w:val="20"/>
    <w:qFormat/>
    <w:rsid w:val="00EE70D6"/>
    <w:rPr>
      <w:i/>
      <w:iCs/>
    </w:rPr>
  </w:style>
  <w:style w:type="paragraph" w:styleId="NoSpacing">
    <w:name w:val="No Spacing"/>
    <w:uiPriority w:val="1"/>
    <w:qFormat/>
    <w:rsid w:val="00EE70D6"/>
    <w:pPr>
      <w:spacing w:after="0" w:line="240" w:lineRule="auto"/>
    </w:pPr>
  </w:style>
  <w:style w:type="character" w:styleId="Strong">
    <w:name w:val="Strong"/>
    <w:basedOn w:val="DefaultParagraphFont"/>
    <w:uiPriority w:val="22"/>
    <w:qFormat/>
    <w:rsid w:val="00EE70D6"/>
    <w:rPr>
      <w:b/>
      <w:bCs/>
    </w:rPr>
  </w:style>
  <w:style w:type="character" w:styleId="SubtleEmphasis">
    <w:name w:val="Subtle Emphasis"/>
    <w:basedOn w:val="DefaultParagraphFont"/>
    <w:uiPriority w:val="19"/>
    <w:qFormat/>
    <w:rsid w:val="00EE70D6"/>
    <w:rPr>
      <w:i/>
      <w:iCs/>
      <w:color w:val="404040" w:themeColor="text1" w:themeTint="BF"/>
    </w:rPr>
  </w:style>
  <w:style w:type="character" w:styleId="SubtleReference">
    <w:name w:val="Subtle Reference"/>
    <w:basedOn w:val="DefaultParagraphFont"/>
    <w:uiPriority w:val="31"/>
    <w:qFormat/>
    <w:rsid w:val="00EE70D6"/>
    <w:rPr>
      <w:smallCaps/>
      <w:color w:val="5A5A5A" w:themeColor="text1" w:themeTint="A5"/>
    </w:rPr>
  </w:style>
  <w:style w:type="paragraph" w:styleId="TOCHeading">
    <w:name w:val="TOC Heading"/>
    <w:basedOn w:val="Heading1"/>
    <w:next w:val="Normal"/>
    <w:uiPriority w:val="39"/>
    <w:semiHidden/>
    <w:unhideWhenUsed/>
    <w:qFormat/>
    <w:rsid w:val="00EE70D6"/>
    <w:pPr>
      <w:spacing w:before="240" w:after="0"/>
      <w:outlineLvl w:val="9"/>
    </w:pPr>
    <w:rPr>
      <w:sz w:val="32"/>
      <w:szCs w:val="32"/>
    </w:rPr>
  </w:style>
  <w:style w:type="character" w:styleId="CommentReference">
    <w:name w:val="annotation reference"/>
    <w:basedOn w:val="DefaultParagraphFont"/>
    <w:uiPriority w:val="99"/>
    <w:semiHidden/>
    <w:unhideWhenUsed/>
    <w:rsid w:val="00945E7E"/>
    <w:rPr>
      <w:sz w:val="16"/>
      <w:szCs w:val="16"/>
    </w:rPr>
  </w:style>
  <w:style w:type="paragraph" w:styleId="CommentText">
    <w:name w:val="annotation text"/>
    <w:basedOn w:val="Normal"/>
    <w:link w:val="CommentTextChar"/>
    <w:uiPriority w:val="99"/>
    <w:unhideWhenUsed/>
    <w:rsid w:val="00945E7E"/>
    <w:pPr>
      <w:spacing w:line="240" w:lineRule="auto"/>
    </w:pPr>
    <w:rPr>
      <w:sz w:val="20"/>
      <w:szCs w:val="20"/>
    </w:rPr>
  </w:style>
  <w:style w:type="character" w:customStyle="1" w:styleId="CommentTextChar">
    <w:name w:val="Comment Text Char"/>
    <w:basedOn w:val="DefaultParagraphFont"/>
    <w:link w:val="CommentText"/>
    <w:uiPriority w:val="99"/>
    <w:rsid w:val="00945E7E"/>
    <w:rPr>
      <w:sz w:val="20"/>
      <w:szCs w:val="20"/>
    </w:rPr>
  </w:style>
  <w:style w:type="paragraph" w:styleId="CommentSubject">
    <w:name w:val="annotation subject"/>
    <w:basedOn w:val="CommentText"/>
    <w:next w:val="CommentText"/>
    <w:link w:val="CommentSubjectChar"/>
    <w:uiPriority w:val="99"/>
    <w:semiHidden/>
    <w:unhideWhenUsed/>
    <w:rsid w:val="00945E7E"/>
    <w:rPr>
      <w:b/>
      <w:bCs/>
    </w:rPr>
  </w:style>
  <w:style w:type="character" w:customStyle="1" w:styleId="CommentSubjectChar">
    <w:name w:val="Comment Subject Char"/>
    <w:basedOn w:val="CommentTextChar"/>
    <w:link w:val="CommentSubject"/>
    <w:uiPriority w:val="99"/>
    <w:semiHidden/>
    <w:rsid w:val="00945E7E"/>
    <w:rPr>
      <w:b/>
      <w:bCs/>
      <w:sz w:val="20"/>
      <w:szCs w:val="20"/>
    </w:rPr>
  </w:style>
  <w:style w:type="character" w:styleId="UnresolvedMention">
    <w:name w:val="Unresolved Mention"/>
    <w:basedOn w:val="DefaultParagraphFont"/>
    <w:uiPriority w:val="99"/>
    <w:semiHidden/>
    <w:unhideWhenUsed/>
    <w:rsid w:val="00BB6866"/>
    <w:rPr>
      <w:color w:val="605E5C"/>
      <w:shd w:val="clear" w:color="auto" w:fill="E1DFDD"/>
    </w:rPr>
  </w:style>
  <w:style w:type="character" w:styleId="FollowedHyperlink">
    <w:name w:val="FollowedHyperlink"/>
    <w:basedOn w:val="DefaultParagraphFont"/>
    <w:uiPriority w:val="99"/>
    <w:semiHidden/>
    <w:unhideWhenUsed/>
    <w:rsid w:val="004972AF"/>
    <w:rPr>
      <w:color w:val="96607D" w:themeColor="followedHyperlink"/>
      <w:u w:val="single"/>
    </w:rPr>
  </w:style>
  <w:style w:type="paragraph" w:styleId="NormalWeb">
    <w:name w:val="Normal (Web)"/>
    <w:basedOn w:val="Normal"/>
    <w:uiPriority w:val="99"/>
    <w:semiHidden/>
    <w:unhideWhenUsed/>
    <w:rsid w:val="00EF753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Mention">
    <w:name w:val="Mention"/>
    <w:basedOn w:val="DefaultParagraphFont"/>
    <w:uiPriority w:val="99"/>
    <w:unhideWhenUsed/>
    <w:rsid w:val="00965028"/>
    <w:rPr>
      <w:color w:val="2B579A"/>
      <w:shd w:val="clear" w:color="auto" w:fill="E1DFDD"/>
    </w:rPr>
  </w:style>
  <w:style w:type="paragraph" w:styleId="Header">
    <w:name w:val="header"/>
    <w:basedOn w:val="Normal"/>
    <w:link w:val="HeaderChar"/>
    <w:uiPriority w:val="99"/>
    <w:unhideWhenUsed/>
    <w:rsid w:val="006C6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0F4"/>
  </w:style>
  <w:style w:type="paragraph" w:styleId="Footer">
    <w:name w:val="footer"/>
    <w:basedOn w:val="Normal"/>
    <w:link w:val="FooterChar"/>
    <w:uiPriority w:val="99"/>
    <w:unhideWhenUsed/>
    <w:rsid w:val="00EF38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3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ccat.int/fr/portinspection.htm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iccat.int/Forms/CP24-AuthPorts_TRI.xlsx" TargetMode="External"/><Relationship Id="rId7" Type="http://schemas.openxmlformats.org/officeDocument/2006/relationships/webSettings" Target="webSettings.xml"/><Relationship Id="rId12" Type="http://schemas.openxmlformats.org/officeDocument/2006/relationships/hyperlink" Target="https://www.iccat.int/Documents/Recs/compendiopdf-f/2025-11-f.pdf" TargetMode="External"/><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iccat.int/wfra/Forms/CP24-AuthPorts_TRI.xlsx"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ccat.int/DocsComm/uploads/2026/PWG_411_ENG_20261020161632.docx"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www.iccat.int/wfra/Forms/CP28-InspectRp.doc" TargetMode="External"/><Relationship Id="rId10" Type="http://schemas.openxmlformats.org/officeDocument/2006/relationships/hyperlink" Target="https://www.iccat.int/Documents/Recs/compendiopdf-f/2025-11-f.pdf" TargetMode="External"/><Relationship Id="rId19"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ccat.int/DocsComm/uploads/2026/PWG_411_FRA_20261020161632.docx" TargetMode="External"/><Relationship Id="rId22" Type="http://schemas.openxmlformats.org/officeDocument/2006/relationships/hyperlink" Target="https://www.iccat.int/wfra/Forms/ARPE_FRA.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ct:contentTypeSchema xmlns:ct="http://schemas.microsoft.com/office/2006/metadata/contentType" xmlns:ma="http://schemas.microsoft.com/office/2006/metadata/properties/metaAttributes" ct:_="" ma:_="" ma:contentTypeName="Defra Presentation" ma:contentTypeID="0x01010091BCB97A26DC814B8E1409CCCC60D72D02005950EA646364234FA07475C828C25777" ma:contentTypeVersion="17" ma:contentTypeDescription="Presentation document" ma:contentTypeScope="" ma:versionID="7408f4da57998bb0309ee02f1ea34386">
  <xsd:schema xmlns:xsd="http://www.w3.org/2001/XMLSchema" xmlns:xs="http://www.w3.org/2001/XMLSchema" xmlns:p="http://schemas.microsoft.com/office/2006/metadata/properties" xmlns:ns2="01f5ea41-7e48-4e68-91b3-675ca7359689" xmlns:ns3="662745e8-e224-48e8-a2e3-254862b8c2f5" xmlns:ns4="5ffd8e93-16e9-47e7-96f3-f822b3926347" targetNamespace="http://schemas.microsoft.com/office/2006/metadata/properties" ma:root="true" ma:fieldsID="abb39bfca55e17cfbdbc22848ed03988" ns2:_="" ns3:_="" ns4:_="">
    <xsd:import namespace="01f5ea41-7e48-4e68-91b3-675ca7359689"/>
    <xsd:import namespace="662745e8-e224-48e8-a2e3-254862b8c2f5"/>
    <xsd:import namespace="5ffd8e93-16e9-47e7-96f3-f822b3926347"/>
    <xsd:element name="properties">
      <xsd:complexType>
        <xsd:sequence>
          <xsd:element name="documentManagement">
            <xsd:complexType>
              <xsd:all>
                <xsd:element ref="ns2:bcb1675984d34ae3a1ed6b6e433c98de" minOccurs="0"/>
                <xsd:element ref="ns3:TaxCatchAll" minOccurs="0"/>
                <xsd:element ref="ns3:TaxCatchAllLabel" minOccurs="0"/>
                <xsd:element ref="ns2:peb8f3fab875401ca34a9f28cac46400" minOccurs="0"/>
                <xsd:element ref="ns2:SharedWithUsers" minOccurs="0"/>
                <xsd:element ref="ns2:SharedWithDetail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4:MediaServiceObjectDetectorVersion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5ea41-7e48-4e68-91b3-675ca7359689" elementFormDefault="qualified">
    <xsd:import namespace="http://schemas.microsoft.com/office/2006/documentManagement/types"/>
    <xsd:import namespace="http://schemas.microsoft.com/office/infopath/2007/PartnerControls"/>
    <xsd:element name="bcb1675984d34ae3a1ed6b6e433c98de" ma:index="8" nillable="true" ma:taxonomy="true" ma:internalName="bcb1675984d34ae3a1ed6b6e433c98de" ma:taxonomyFieldName="Directorate" ma:displayName="Directorate" ma:readOnly="false" ma:fieldId="{bcb16759-84d3-4ae3-a1ed-6b6e433c98de}" ma:sspId="d1117845-93f6-4da3-abaa-fcb4fa669c78" ma:termSetId="a3042207-bc74-4e42-93b3-dbb4e6115b83" ma:anchorId="00000000-0000-0000-0000-000000000000" ma:open="false" ma:isKeyword="false">
      <xsd:complexType>
        <xsd:sequence>
          <xsd:element ref="pc:Terms" minOccurs="0" maxOccurs="1"/>
        </xsd:sequence>
      </xsd:complexType>
    </xsd:element>
    <xsd:element name="peb8f3fab875401ca34a9f28cac46400" ma:index="12" nillable="true" ma:taxonomy="true" ma:internalName="peb8f3fab875401ca34a9f28cac46400" ma:taxonomyFieldName="SecurityClassification" ma:displayName="SecurityClassification" ma:readOnly="false" ma:fieldId="{9eb8f3fa-b875-401c-a34a-9f28cac46400}" ma:sspId="d1117845-93f6-4da3-abaa-fcb4fa669c78" ma:termSetId="cb8bbbf2-2a11-43af-a18e-40ed7c8e4b19" ma:anchorId="00000000-0000-0000-0000-000000000000" ma:open="false" ma:isKeyword="false">
      <xsd:complexType>
        <xsd:sequence>
          <xsd:element ref="pc:Terms" minOccurs="0" maxOccurs="1"/>
        </xsd:sequence>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f0eac532-c293-4f0f-a2b7-60359143522f}" ma:internalName="TaxCatchAll" ma:readOnly="false" ma:showField="CatchAllData"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0eac532-c293-4f0f-a2b7-60359143522f}" ma:internalName="TaxCatchAllLabel" ma:readOnly="true" ma:showField="CatchAllDataLabel" ma:web="01f5ea41-7e48-4e68-91b3-675ca735968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fd8e93-16e9-47e7-96f3-f822b3926347" elementFormDefault="qualified">
    <xsd:import namespace="http://schemas.microsoft.com/office/2006/documentManagement/types"/>
    <xsd:import namespace="http://schemas.microsoft.com/office/infopath/2007/PartnerControls"/>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62745e8-e224-48e8-a2e3-254862b8c2f5">
      <Value>6</Value>
      <Value>10</Value>
      <Value>9</Value>
      <Value>8</Value>
      <Value>7</Value>
    </TaxCatchAll>
    <lcf76f155ced4ddcb4097134ff3c332f xmlns="5ffd8e93-16e9-47e7-96f3-f822b3926347">
      <Terms xmlns="http://schemas.microsoft.com/office/infopath/2007/PartnerControls"/>
    </lcf76f155ced4ddcb4097134ff3c332f>
    <bcb1675984d34ae3a1ed6b6e433c98de xmlns="01f5ea41-7e48-4e68-91b3-675ca7359689">
      <Terms xmlns="http://schemas.microsoft.com/office/infopath/2007/PartnerControls"/>
    </bcb1675984d34ae3a1ed6b6e433c98de>
    <peb8f3fab875401ca34a9f28cac46400 xmlns="01f5ea41-7e48-4e68-91b3-675ca7359689">
      <Terms xmlns="http://schemas.microsoft.com/office/infopath/2007/PartnerControls"/>
    </peb8f3fab875401ca34a9f28cac46400>
  </documentManagement>
</p:properties>
</file>

<file path=customXml/itemProps1.xml><?xml version="1.0" encoding="utf-8"?>
<ds:datastoreItem xmlns:ds="http://schemas.openxmlformats.org/officeDocument/2006/customXml" ds:itemID="{BE88A029-DB4C-4534-8823-2E90789107F6}">
  <ds:schemaRefs>
    <ds:schemaRef ds:uri="http://schemas.microsoft.com/sharepoint/v3/contenttype/forms"/>
  </ds:schemaRefs>
</ds:datastoreItem>
</file>

<file path=customXml/itemProps2.xml><?xml version="1.0" encoding="utf-8"?>
<ds:datastoreItem xmlns:ds="http://schemas.openxmlformats.org/officeDocument/2006/customXml" ds:itemID="{84D5C217-39AC-493E-B7C9-A565BD74D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5ea41-7e48-4e68-91b3-675ca7359689"/>
    <ds:schemaRef ds:uri="662745e8-e224-48e8-a2e3-254862b8c2f5"/>
    <ds:schemaRef ds:uri="5ffd8e93-16e9-47e7-96f3-f822b3926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F3EFDD-6D3D-4C9A-B7AF-4D3C29FF7988}">
  <ds:schemaRefs>
    <ds:schemaRef ds:uri="http://schemas.microsoft.com/office/2006/metadata/properties"/>
    <ds:schemaRef ds:uri="http://schemas.microsoft.com/office/infopath/2007/PartnerControls"/>
    <ds:schemaRef ds:uri="662745e8-e224-48e8-a2e3-254862b8c2f5"/>
    <ds:schemaRef ds:uri="5ffd8e93-16e9-47e7-96f3-f822b3926347"/>
    <ds:schemaRef ds:uri="01f5ea41-7e48-4e68-91b3-675ca7359689"/>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1868</Words>
  <Characters>10652</Characters>
  <Application>Microsoft Office Word</Application>
  <DocSecurity>4</DocSecurity>
  <Lines>88</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Defra</Company>
  <LinksUpToDate>false</LinksUpToDate>
  <CharactersWithSpaces>12496</CharactersWithSpaces>
  <SharedDoc>false</SharedDoc>
  <HLinks>
    <vt:vector size="36" baseType="variant">
      <vt:variant>
        <vt:i4>3932278</vt:i4>
      </vt:variant>
      <vt:variant>
        <vt:i4>15</vt:i4>
      </vt:variant>
      <vt:variant>
        <vt:i4>0</vt:i4>
      </vt:variant>
      <vt:variant>
        <vt:i4>5</vt:i4>
      </vt:variant>
      <vt:variant>
        <vt:lpwstr>https://www.iccat.int/Forms/CP28-InspectRp.doc</vt:lpwstr>
      </vt:variant>
      <vt:variant>
        <vt:lpwstr/>
      </vt:variant>
      <vt:variant>
        <vt:i4>1703973</vt:i4>
      </vt:variant>
      <vt:variant>
        <vt:i4>12</vt:i4>
      </vt:variant>
      <vt:variant>
        <vt:i4>0</vt:i4>
      </vt:variant>
      <vt:variant>
        <vt:i4>5</vt:i4>
      </vt:variant>
      <vt:variant>
        <vt:lpwstr>https://www.iccat.int/Forms/ARPE_ENG.doc</vt:lpwstr>
      </vt:variant>
      <vt:variant>
        <vt:lpwstr/>
      </vt:variant>
      <vt:variant>
        <vt:i4>4063313</vt:i4>
      </vt:variant>
      <vt:variant>
        <vt:i4>9</vt:i4>
      </vt:variant>
      <vt:variant>
        <vt:i4>0</vt:i4>
      </vt:variant>
      <vt:variant>
        <vt:i4>5</vt:i4>
      </vt:variant>
      <vt:variant>
        <vt:lpwstr>https://www.iccat.int/Forms/CP24-AuthPorts_TRI.xlsx</vt:lpwstr>
      </vt:variant>
      <vt:variant>
        <vt:lpwstr/>
      </vt:variant>
      <vt:variant>
        <vt:i4>1769485</vt:i4>
      </vt:variant>
      <vt:variant>
        <vt:i4>6</vt:i4>
      </vt:variant>
      <vt:variant>
        <vt:i4>0</vt:i4>
      </vt:variant>
      <vt:variant>
        <vt:i4>5</vt:i4>
      </vt:variant>
      <vt:variant>
        <vt:lpwstr>https://www.iccat.int/en/portinspection.html</vt:lpwstr>
      </vt:variant>
      <vt:variant>
        <vt:lpwstr/>
      </vt:variant>
      <vt:variant>
        <vt:i4>4325384</vt:i4>
      </vt:variant>
      <vt:variant>
        <vt:i4>3</vt:i4>
      </vt:variant>
      <vt:variant>
        <vt:i4>0</vt:i4>
      </vt:variant>
      <vt:variant>
        <vt:i4>5</vt:i4>
      </vt:variant>
      <vt:variant>
        <vt:lpwstr>https://www.iccat.int/Documents/Recs/compendiopdf-e/2025-11-e.pdf</vt:lpwstr>
      </vt:variant>
      <vt:variant>
        <vt:lpwstr/>
      </vt:variant>
      <vt:variant>
        <vt:i4>4325384</vt:i4>
      </vt:variant>
      <vt:variant>
        <vt:i4>0</vt:i4>
      </vt:variant>
      <vt:variant>
        <vt:i4>0</vt:i4>
      </vt:variant>
      <vt:variant>
        <vt:i4>5</vt:i4>
      </vt:variant>
      <vt:variant>
        <vt:lpwstr>https://www.iccat.int/Documents/Recs/compendiopdf-e/2025-11-e.pdf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Gerlinde Schaeffter</dc:creator>
  <cp:keywords/>
  <dc:description/>
  <cp:lastModifiedBy>Marisa de Andrés</cp:lastModifiedBy>
  <cp:revision>2</cp:revision>
  <dcterms:created xsi:type="dcterms:W3CDTF">2026-10-26T15:04:00Z</dcterms:created>
  <dcterms:modified xsi:type="dcterms:W3CDTF">2026-10-26T15:04:00Z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rmationType">
    <vt:lpwstr/>
  </property>
  <property fmtid="{D5CDD505-2E9C-101B-9397-08002B2CF9AE}" pid="3" name="Distribution">
    <vt:lpwstr>9;#Internal Core Defra|836ac8df-3ab9-4c95-a1f0-07f825804935</vt:lpwstr>
  </property>
  <property fmtid="{D5CDD505-2E9C-101B-9397-08002B2CF9AE}" pid="4" name="MediaServiceImageTags">
    <vt:lpwstr/>
  </property>
  <property fmtid="{D5CDD505-2E9C-101B-9397-08002B2CF9AE}" pid="5" name="ContentTypeId">
    <vt:lpwstr>0x01010091BCB97A26DC814B8E1409CCCC60D72D02005950EA646364234FA07475C828C25777</vt:lpwstr>
  </property>
  <property fmtid="{D5CDD505-2E9C-101B-9397-08002B2CF9AE}" pid="6" name="SecurityClassification">
    <vt:lpwstr/>
  </property>
  <property fmtid="{D5CDD505-2E9C-101B-9397-08002B2CF9AE}" pid="7" name="HOCopyrightLevel">
    <vt:lpwstr>7;#Crown|69589897-2828-4761-976e-717fd8e631c9</vt:lpwstr>
  </property>
  <property fmtid="{D5CDD505-2E9C-101B-9397-08002B2CF9AE}" pid="8" name="HOGovernmentSecurityClassification">
    <vt:lpwstr>6;#Official|14c80daa-741b-422c-9722-f71693c9ede4</vt:lpwstr>
  </property>
  <property fmtid="{D5CDD505-2E9C-101B-9397-08002B2CF9AE}" pid="9" name="OrganisationalUnit">
    <vt:lpwstr>8;#Core Defra|026223dd-2e56-4615-868d-7c5bfd566810</vt:lpwstr>
  </property>
  <property fmtid="{D5CDD505-2E9C-101B-9397-08002B2CF9AE}" pid="10" name="Directorate">
    <vt:lpwstr/>
  </property>
  <property fmtid="{D5CDD505-2E9C-101B-9397-08002B2CF9AE}" pid="11" name="lcf76f155ced4ddcb4097134ff3c332f">
    <vt:lpwstr/>
  </property>
  <property fmtid="{D5CDD505-2E9C-101B-9397-08002B2CF9AE}" pid="12" name="HOSiteType">
    <vt:lpwstr>10;#Team|ff0485df-0575-416f-802f-e999165821b7</vt:lpwstr>
  </property>
  <property fmtid="{D5CDD505-2E9C-101B-9397-08002B2CF9AE}" pid="13" name="docLang">
    <vt:lpwstr>en</vt:lpwstr>
  </property>
  <property fmtid="{D5CDD505-2E9C-101B-9397-08002B2CF9AE}" pid="14" name="ClassificationContentMarkingHeaderShapeIds">
    <vt:lpwstr>653b9d29,4500c03b,233a9f9d</vt:lpwstr>
  </property>
  <property fmtid="{D5CDD505-2E9C-101B-9397-08002B2CF9AE}" pid="15" name="ClassificationContentMarkingHeaderFontProps">
    <vt:lpwstr>#000000,12,Aptos</vt:lpwstr>
  </property>
  <property fmtid="{D5CDD505-2E9C-101B-9397-08002B2CF9AE}" pid="16" name="ClassificationContentMarkingHeaderText">
    <vt:lpwstr>Unclassified - Non-Classifié</vt:lpwstr>
  </property>
  <property fmtid="{D5CDD505-2E9C-101B-9397-08002B2CF9AE}" pid="17" name="MSIP_Label_4e6cdb53-fd15-486d-84de-c510e3a62203_Enabled">
    <vt:lpwstr>true</vt:lpwstr>
  </property>
  <property fmtid="{D5CDD505-2E9C-101B-9397-08002B2CF9AE}" pid="18" name="MSIP_Label_4e6cdb53-fd15-486d-84de-c510e3a62203_SetDate">
    <vt:lpwstr>2026-09-18T21:08:35Z</vt:lpwstr>
  </property>
  <property fmtid="{D5CDD505-2E9C-101B-9397-08002B2CF9AE}" pid="19" name="MSIP_Label_4e6cdb53-fd15-486d-84de-c510e3a62203_Method">
    <vt:lpwstr>Standard</vt:lpwstr>
  </property>
  <property fmtid="{D5CDD505-2E9C-101B-9397-08002B2CF9AE}" pid="20" name="MSIP_Label_4e6cdb53-fd15-486d-84de-c510e3a62203_Name">
    <vt:lpwstr>UNCLASSIFIED - NON-CLASSIFIÉ</vt:lpwstr>
  </property>
  <property fmtid="{D5CDD505-2E9C-101B-9397-08002B2CF9AE}" pid="21" name="MSIP_Label_4e6cdb53-fd15-486d-84de-c510e3a62203_SiteId">
    <vt:lpwstr>1594fdae-a1d9-4405-915d-011467234338</vt:lpwstr>
  </property>
  <property fmtid="{D5CDD505-2E9C-101B-9397-08002B2CF9AE}" pid="22" name="MSIP_Label_4e6cdb53-fd15-486d-84de-c510e3a62203_ActionId">
    <vt:lpwstr>ca60d66a-bc11-44ce-97f3-1e476e6a5894</vt:lpwstr>
  </property>
  <property fmtid="{D5CDD505-2E9C-101B-9397-08002B2CF9AE}" pid="23" name="MSIP_Label_4e6cdb53-fd15-486d-84de-c510e3a62203_ContentBits">
    <vt:lpwstr>1</vt:lpwstr>
  </property>
  <property fmtid="{D5CDD505-2E9C-101B-9397-08002B2CF9AE}" pid="24" name="MSIP_Label_4e6cdb53-fd15-486d-84de-c510e3a62203_Tag">
    <vt:lpwstr>10, 3, 0, 1</vt:lpwstr>
  </property>
  <property fmtid="{D5CDD505-2E9C-101B-9397-08002B2CF9AE}" pid="25" name="lae2bfa7b6474897ab4a53f76ea236c7">
    <vt:lpwstr>Official|14c80daa-741b-422c-9722-f71693c9ede4</vt:lpwstr>
  </property>
  <property fmtid="{D5CDD505-2E9C-101B-9397-08002B2CF9AE}" pid="26" name="fe59e9859d6a491389c5b03567f5dda5">
    <vt:lpwstr>Core Defra|026223dd-2e56-4615-868d-7c5bfd566810</vt:lpwstr>
  </property>
  <property fmtid="{D5CDD505-2E9C-101B-9397-08002B2CF9AE}" pid="27" name="k85d23755b3a46b5a51451cf336b2e9b">
    <vt:lpwstr/>
  </property>
  <property fmtid="{D5CDD505-2E9C-101B-9397-08002B2CF9AE}" pid="28" name="cf401361b24e474cb011be6eb76c0e76">
    <vt:lpwstr>Crown|69589897-2828-4761-976e-717fd8e631c9</vt:lpwstr>
  </property>
  <property fmtid="{D5CDD505-2E9C-101B-9397-08002B2CF9AE}" pid="29" name="n7493b4506bf40e28c373b1e51a33445">
    <vt:lpwstr>Team|ff0485df-0575-416f-802f-e999165821b7</vt:lpwstr>
  </property>
  <property fmtid="{D5CDD505-2E9C-101B-9397-08002B2CF9AE}" pid="30" name="ddeb1fd0a9ad4436a96525d34737dc44">
    <vt:lpwstr>Internal Core Defra|836ac8df-3ab9-4c95-a1f0-07f825804935</vt:lpwstr>
  </property>
</Properties>
</file>