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7AFD" w14:textId="77777777" w:rsidR="0080478E" w:rsidRPr="00D7436B" w:rsidRDefault="0080478E" w:rsidP="0080478E">
      <w:pPr>
        <w:pStyle w:val="NoSpacing"/>
        <w:jc w:val="right"/>
        <w:rPr>
          <w:rFonts w:ascii="Cambria" w:hAnsi="Cambria"/>
          <w:sz w:val="20"/>
          <w:szCs w:val="20"/>
        </w:rPr>
      </w:pPr>
      <w:r>
        <w:rPr>
          <w:rFonts w:ascii="Cambria" w:hAnsi="Cambria"/>
          <w:b/>
          <w:sz w:val="20"/>
        </w:rPr>
        <w:t xml:space="preserve">Original: </w:t>
      </w:r>
      <w:r>
        <w:rPr>
          <w:rFonts w:ascii="Cambria" w:hAnsi="Cambria"/>
          <w:sz w:val="20"/>
        </w:rPr>
        <w:t>inglés</w:t>
      </w:r>
    </w:p>
    <w:p w14:paraId="23F946DA" w14:textId="77777777" w:rsidR="0080478E" w:rsidRDefault="0080478E" w:rsidP="008D4C06">
      <w:pPr>
        <w:ind w:left="487" w:right="392"/>
        <w:jc w:val="center"/>
        <w:rPr>
          <w:b/>
          <w:spacing w:val="-2"/>
          <w:sz w:val="20"/>
          <w:szCs w:val="20"/>
        </w:rPr>
      </w:pPr>
    </w:p>
    <w:p w14:paraId="258C343A" w14:textId="3908DC54" w:rsidR="008D4C06" w:rsidRPr="007E4F8F" w:rsidRDefault="008D4C06" w:rsidP="008D4C06">
      <w:pPr>
        <w:ind w:left="487" w:right="392"/>
        <w:jc w:val="center"/>
        <w:rPr>
          <w:b/>
          <w:sz w:val="20"/>
          <w:szCs w:val="20"/>
        </w:rPr>
      </w:pPr>
      <w:r>
        <w:rPr>
          <w:b/>
          <w:sz w:val="20"/>
        </w:rPr>
        <w:t>Portada para acompañar nuevas propuestas</w:t>
      </w:r>
    </w:p>
    <w:p w14:paraId="0EBC61E0" w14:textId="77777777" w:rsidR="008D4C06" w:rsidRPr="00A56284" w:rsidRDefault="008D4C06" w:rsidP="008D4C06">
      <w:pPr>
        <w:jc w:val="center"/>
        <w:rPr>
          <w:rFonts w:eastAsiaTheme="minorEastAsia"/>
          <w:i/>
          <w:iCs/>
          <w:sz w:val="20"/>
          <w:szCs w:val="20"/>
        </w:rPr>
      </w:pPr>
      <w:r>
        <w:rPr>
          <w:i/>
          <w:sz w:val="20"/>
        </w:rPr>
        <w:t>(documento presentado por Japón)</w:t>
      </w:r>
    </w:p>
    <w:p w14:paraId="6C0388D1" w14:textId="77777777" w:rsidR="008D4C06" w:rsidRPr="00FD67D7" w:rsidRDefault="008D4C06" w:rsidP="008D4C06">
      <w:pPr>
        <w:jc w:val="center"/>
        <w:rPr>
          <w:sz w:val="20"/>
          <w:szCs w:val="20"/>
        </w:rPr>
      </w:pPr>
    </w:p>
    <w:p w14:paraId="5EA4ADD7" w14:textId="77777777" w:rsidR="008D4C06" w:rsidRPr="007E4F8F" w:rsidRDefault="008D4C06" w:rsidP="008D4C06">
      <w:pPr>
        <w:pStyle w:val="BodyText"/>
        <w:rPr>
          <w:b/>
        </w:rPr>
      </w:pPr>
    </w:p>
    <w:p w14:paraId="6EADEAF1" w14:textId="77777777" w:rsidR="008D4C06" w:rsidRPr="00313252" w:rsidRDefault="008D4C06" w:rsidP="008D4C06">
      <w:pPr>
        <w:jc w:val="both"/>
        <w:rPr>
          <w:rFonts w:eastAsiaTheme="minorEastAsia"/>
          <w:b/>
          <w:bCs/>
          <w:color w:val="FF0000"/>
          <w:sz w:val="20"/>
          <w:szCs w:val="20"/>
        </w:rPr>
      </w:pPr>
      <w:r>
        <w:rPr>
          <w:b/>
          <w:sz w:val="20"/>
        </w:rPr>
        <w:t xml:space="preserve">Título de la propuesta de Proyecto de Recomendación/Resolución: </w:t>
      </w:r>
      <w:r>
        <w:rPr>
          <w:i/>
          <w:color w:val="FF0000"/>
          <w:sz w:val="20"/>
        </w:rPr>
        <w:t>Proyecto de Recomendación de ICCAT que establece un Grupo de trabajo permanente sobre sistemas de documentación de capturas (CDS WG)</w:t>
      </w:r>
    </w:p>
    <w:p w14:paraId="211B1797" w14:textId="77777777" w:rsidR="008D4C06" w:rsidRPr="007E4F8F" w:rsidRDefault="008D4C06" w:rsidP="008D4C06">
      <w:pPr>
        <w:ind w:left="318"/>
        <w:jc w:val="both"/>
        <w:rPr>
          <w:sz w:val="20"/>
          <w:szCs w:val="20"/>
        </w:rPr>
      </w:pPr>
    </w:p>
    <w:p w14:paraId="2764AF09" w14:textId="77777777" w:rsidR="008D4C06" w:rsidRPr="00D661DA" w:rsidRDefault="008D4C06" w:rsidP="008D4C06">
      <w:pPr>
        <w:jc w:val="both"/>
        <w:rPr>
          <w:rFonts w:eastAsiaTheme="minorEastAsia"/>
          <w:i/>
          <w:iCs/>
          <w:color w:val="FF0000"/>
          <w:sz w:val="20"/>
          <w:szCs w:val="20"/>
        </w:rPr>
      </w:pPr>
      <w:r>
        <w:rPr>
          <w:b/>
          <w:sz w:val="20"/>
        </w:rPr>
        <w:t>Título de la(s) recomendación(es) o resolución(es) actualmente vigente(s) que aborda(n) la misma cuestión o cuestiones relacionadas:</w:t>
      </w:r>
      <w:r>
        <w:rPr>
          <w:i/>
          <w:color w:val="FF0000"/>
          <w:sz w:val="20"/>
        </w:rPr>
        <w:t xml:space="preserve"> Rec. 12-09, Res. 21-21 y Rec. 23-22.</w:t>
      </w:r>
    </w:p>
    <w:p w14:paraId="5C9BA211" w14:textId="77777777" w:rsidR="008D4C06" w:rsidRDefault="008D4C06" w:rsidP="008D4C06">
      <w:pPr>
        <w:ind w:left="318"/>
        <w:jc w:val="both"/>
        <w:rPr>
          <w:sz w:val="20"/>
          <w:szCs w:val="20"/>
        </w:rPr>
      </w:pPr>
    </w:p>
    <w:p w14:paraId="59A5500C" w14:textId="77777777" w:rsidR="008D4C06" w:rsidRPr="007E4F8F" w:rsidRDefault="008D4C06" w:rsidP="008D4C06">
      <w:pPr>
        <w:ind w:left="318"/>
        <w:jc w:val="both"/>
        <w:rPr>
          <w:sz w:val="20"/>
          <w:szCs w:val="20"/>
        </w:rPr>
      </w:pPr>
    </w:p>
    <w:p w14:paraId="35FCCF73" w14:textId="77777777" w:rsidR="008D4C06" w:rsidRPr="007E4F8F" w:rsidRDefault="008D4C06" w:rsidP="008D4C06">
      <w:pPr>
        <w:pStyle w:val="ListParagraph"/>
        <w:numPr>
          <w:ilvl w:val="0"/>
          <w:numId w:val="2"/>
        </w:numPr>
        <w:ind w:left="426" w:hanging="426"/>
        <w:rPr>
          <w:sz w:val="20"/>
          <w:szCs w:val="20"/>
        </w:rPr>
      </w:pPr>
      <w:r>
        <w:rPr>
          <w:sz w:val="20"/>
        </w:rPr>
        <w:t xml:space="preserve">¿Crea nuevas </w:t>
      </w:r>
      <w:r>
        <w:rPr>
          <w:b/>
          <w:bCs/>
          <w:sz w:val="20"/>
        </w:rPr>
        <w:t>obligaciones de comunicación</w:t>
      </w:r>
      <w:r>
        <w:rPr>
          <w:sz w:val="20"/>
        </w:rPr>
        <w:t xml:space="preserve"> para las CPC?     Sí </w:t>
      </w:r>
      <w:r>
        <w:rPr>
          <w:rFonts w:ascii="Wingdings" w:hAnsi="Wingdings"/>
          <w:sz w:val="20"/>
        </w:rPr>
        <w:t>¨</w:t>
      </w:r>
      <w:r>
        <w:rPr>
          <w:sz w:val="20"/>
        </w:rPr>
        <w:tab/>
      </w:r>
      <w:proofErr w:type="gramStart"/>
      <w:r>
        <w:rPr>
          <w:color w:val="FF0000"/>
          <w:sz w:val="20"/>
        </w:rPr>
        <w:t xml:space="preserve">No  </w:t>
      </w:r>
      <w:r>
        <w:rPr>
          <w:rFonts w:ascii="Segoe UI Symbol" w:hAnsi="Segoe UI Symbol"/>
          <w:color w:val="FF0000"/>
          <w:sz w:val="20"/>
        </w:rPr>
        <w:t>☒</w:t>
      </w:r>
      <w:proofErr w:type="gramEnd"/>
    </w:p>
    <w:p w14:paraId="3EAF489E" w14:textId="77777777" w:rsidR="008D4C06" w:rsidRPr="007E4F8F" w:rsidRDefault="008D4C06" w:rsidP="008D4C06">
      <w:pPr>
        <w:pStyle w:val="BodyText"/>
      </w:pPr>
    </w:p>
    <w:p w14:paraId="6581A711" w14:textId="77777777" w:rsidR="008D4C06" w:rsidRPr="00DC6403" w:rsidRDefault="008D4C06" w:rsidP="008D4C06">
      <w:pPr>
        <w:ind w:left="426"/>
        <w:jc w:val="both"/>
        <w:rPr>
          <w:rFonts w:eastAsiaTheme="minorEastAsia"/>
          <w:spacing w:val="-2"/>
          <w:sz w:val="20"/>
          <w:szCs w:val="20"/>
        </w:rPr>
      </w:pPr>
      <w:r>
        <w:rPr>
          <w:sz w:val="20"/>
        </w:rPr>
        <w:t>Breve descripción de la(s) nueva(s) obligación(es) de comunicación:</w:t>
      </w:r>
    </w:p>
    <w:p w14:paraId="39F336EE" w14:textId="77777777" w:rsidR="008D4C06" w:rsidRPr="007E4F8F" w:rsidRDefault="008D4C06" w:rsidP="008D4C06">
      <w:pPr>
        <w:ind w:left="318"/>
        <w:rPr>
          <w:sz w:val="20"/>
          <w:szCs w:val="20"/>
        </w:rPr>
      </w:pPr>
    </w:p>
    <w:p w14:paraId="428F16B0" w14:textId="48040190" w:rsidR="008D4C06" w:rsidRPr="007E4F8F" w:rsidRDefault="008D4C06" w:rsidP="008D4C06">
      <w:pPr>
        <w:pStyle w:val="ListParagraph"/>
        <w:numPr>
          <w:ilvl w:val="0"/>
          <w:numId w:val="2"/>
        </w:numPr>
        <w:ind w:left="426" w:hanging="426"/>
        <w:rPr>
          <w:sz w:val="20"/>
          <w:szCs w:val="20"/>
        </w:rPr>
      </w:pPr>
      <w:r>
        <w:rPr>
          <w:sz w:val="20"/>
        </w:rPr>
        <w:t xml:space="preserve">¿Requiere aportaciones o </w:t>
      </w:r>
      <w:r>
        <w:rPr>
          <w:b/>
          <w:bCs/>
          <w:sz w:val="20"/>
        </w:rPr>
        <w:t>trabajo</w:t>
      </w:r>
      <w:r>
        <w:rPr>
          <w:sz w:val="20"/>
        </w:rPr>
        <w:t xml:space="preserve"> adicional </w:t>
      </w:r>
      <w:r>
        <w:rPr>
          <w:b/>
          <w:bCs/>
          <w:sz w:val="20"/>
        </w:rPr>
        <w:t>por parte del SCRS</w:t>
      </w:r>
      <w:r>
        <w:rPr>
          <w:sz w:val="20"/>
        </w:rPr>
        <w:t>?    Sí</w:t>
      </w:r>
      <w:r>
        <w:rPr>
          <w:color w:val="FF0000"/>
          <w:sz w:val="20"/>
        </w:rPr>
        <w:t xml:space="preserve"> </w:t>
      </w:r>
      <w:bookmarkStart w:id="0" w:name="_Hlk208928396"/>
      <w:r>
        <w:rPr>
          <w:rFonts w:ascii="Wingdings" w:hAnsi="Wingdings"/>
          <w:sz w:val="20"/>
        </w:rPr>
        <w:t>¨</w:t>
      </w:r>
      <w:bookmarkEnd w:id="0"/>
      <w:r>
        <w:rPr>
          <w:rFonts w:ascii="Wingdings" w:hAnsi="Wingdings"/>
          <w:color w:val="FF0000"/>
          <w:sz w:val="20"/>
        </w:rPr>
        <w:t xml:space="preserve"> </w:t>
      </w:r>
      <w:proofErr w:type="gramStart"/>
      <w:r w:rsidR="0074138C">
        <w:rPr>
          <w:color w:val="FF0000"/>
          <w:sz w:val="20"/>
        </w:rPr>
        <w:t xml:space="preserve">No  </w:t>
      </w:r>
      <w:r w:rsidR="0074138C">
        <w:rPr>
          <w:rFonts w:ascii="Segoe UI Symbol" w:hAnsi="Segoe UI Symbol"/>
          <w:color w:val="FF0000"/>
          <w:sz w:val="20"/>
        </w:rPr>
        <w:t>☒</w:t>
      </w:r>
      <w:proofErr w:type="gramEnd"/>
    </w:p>
    <w:p w14:paraId="066629B2" w14:textId="77777777" w:rsidR="008D4C06" w:rsidRPr="007E4F8F" w:rsidRDefault="008D4C06" w:rsidP="008D4C06">
      <w:pPr>
        <w:ind w:left="360"/>
        <w:rPr>
          <w:sz w:val="20"/>
          <w:szCs w:val="20"/>
        </w:rPr>
      </w:pPr>
    </w:p>
    <w:p w14:paraId="185A3748" w14:textId="77777777" w:rsidR="008D4C06" w:rsidRPr="00313252" w:rsidRDefault="008D4C06" w:rsidP="008D4C06">
      <w:pPr>
        <w:ind w:left="360" w:firstLine="66"/>
        <w:jc w:val="both"/>
        <w:rPr>
          <w:rFonts w:eastAsiaTheme="minorEastAsia"/>
          <w:sz w:val="20"/>
          <w:szCs w:val="20"/>
        </w:rPr>
      </w:pPr>
      <w:r>
        <w:rPr>
          <w:sz w:val="20"/>
        </w:rPr>
        <w:t>¿Está este trabajo ya incluido en el Plan de trabajo actual del SCRS?</w:t>
      </w:r>
      <w:r>
        <w:rPr>
          <w:sz w:val="20"/>
        </w:rPr>
        <w:tab/>
      </w:r>
      <w:r>
        <w:rPr>
          <w:color w:val="000000" w:themeColor="text1"/>
          <w:sz w:val="20"/>
        </w:rPr>
        <w:t xml:space="preserve"> Sí </w:t>
      </w:r>
      <w:r>
        <w:rPr>
          <w:rFonts w:ascii="Wingdings" w:hAnsi="Wingdings"/>
          <w:sz w:val="20"/>
        </w:rPr>
        <w:t>¨</w:t>
      </w:r>
      <w:r>
        <w:rPr>
          <w:sz w:val="20"/>
        </w:rPr>
        <w:tab/>
      </w:r>
      <w:r>
        <w:rPr>
          <w:sz w:val="20"/>
        </w:rPr>
        <w:tab/>
      </w:r>
      <w:proofErr w:type="gramStart"/>
      <w:r>
        <w:rPr>
          <w:sz w:val="20"/>
        </w:rPr>
        <w:t xml:space="preserve">No </w:t>
      </w:r>
      <w:r>
        <w:rPr>
          <w:color w:val="FF0000"/>
          <w:sz w:val="20"/>
        </w:rPr>
        <w:t xml:space="preserve"> </w:t>
      </w:r>
      <w:r>
        <w:rPr>
          <w:rFonts w:ascii="Wingdings" w:hAnsi="Wingdings"/>
          <w:sz w:val="20"/>
        </w:rPr>
        <w:t>¨</w:t>
      </w:r>
      <w:proofErr w:type="gramEnd"/>
    </w:p>
    <w:p w14:paraId="58077FAD" w14:textId="77777777" w:rsidR="008D4C06" w:rsidRPr="007E4F8F" w:rsidRDefault="008D4C06" w:rsidP="008D4C06">
      <w:pPr>
        <w:ind w:left="360"/>
        <w:rPr>
          <w:sz w:val="20"/>
          <w:szCs w:val="20"/>
        </w:rPr>
      </w:pPr>
    </w:p>
    <w:p w14:paraId="32B9E45E" w14:textId="77777777" w:rsidR="008D4C06" w:rsidRPr="007E4F8F" w:rsidRDefault="008D4C06" w:rsidP="008D4C06">
      <w:pPr>
        <w:ind w:left="360" w:firstLine="66"/>
        <w:jc w:val="both"/>
        <w:rPr>
          <w:sz w:val="20"/>
          <w:szCs w:val="20"/>
        </w:rPr>
      </w:pPr>
      <w:r>
        <w:rPr>
          <w:sz w:val="20"/>
        </w:rPr>
        <w:t>Breve descripción del nuevo trabajo científico necesario (es decir, evaluación del stock, análisis, consultor externo):</w:t>
      </w:r>
    </w:p>
    <w:p w14:paraId="207ABFCB" w14:textId="77777777" w:rsidR="008D4C06" w:rsidRPr="00313252" w:rsidRDefault="008D4C06" w:rsidP="008D4C06">
      <w:pPr>
        <w:rPr>
          <w:rFonts w:eastAsiaTheme="minorEastAsia"/>
          <w:color w:val="FF0000"/>
          <w:sz w:val="20"/>
          <w:szCs w:val="20"/>
          <w:lang w:eastAsia="ja-JP"/>
        </w:rPr>
      </w:pPr>
    </w:p>
    <w:p w14:paraId="201C99D4" w14:textId="77777777" w:rsidR="008D4C06" w:rsidRPr="007E4F8F" w:rsidRDefault="008D4C06" w:rsidP="008D4C06">
      <w:pPr>
        <w:ind w:left="318"/>
        <w:rPr>
          <w:sz w:val="20"/>
          <w:szCs w:val="20"/>
        </w:rPr>
      </w:pPr>
    </w:p>
    <w:p w14:paraId="04460DA5" w14:textId="6E92F155" w:rsidR="008D4C06" w:rsidRPr="007E4F8F" w:rsidRDefault="008D4C06" w:rsidP="008D4C06">
      <w:pPr>
        <w:pStyle w:val="ListParagraph"/>
        <w:numPr>
          <w:ilvl w:val="0"/>
          <w:numId w:val="2"/>
        </w:numPr>
        <w:ind w:left="426" w:hanging="426"/>
        <w:rPr>
          <w:sz w:val="20"/>
          <w:szCs w:val="20"/>
        </w:rPr>
      </w:pPr>
      <w:r>
        <w:rPr>
          <w:sz w:val="20"/>
        </w:rPr>
        <w:t xml:space="preserve">¿Implica la creación de un </w:t>
      </w:r>
      <w:r>
        <w:rPr>
          <w:b/>
          <w:bCs/>
          <w:sz w:val="20"/>
        </w:rPr>
        <w:t>nuevo grupo de trabajo o proceso intersesiones</w:t>
      </w:r>
      <w:r>
        <w:rPr>
          <w:sz w:val="20"/>
        </w:rPr>
        <w:t xml:space="preserve">?    </w:t>
      </w:r>
      <w:proofErr w:type="gramStart"/>
      <w:r w:rsidRPr="00395481">
        <w:rPr>
          <w:color w:val="EE0000"/>
          <w:sz w:val="20"/>
        </w:rPr>
        <w:t xml:space="preserve">Sí </w:t>
      </w:r>
      <w:r>
        <w:rPr>
          <w:sz w:val="20"/>
        </w:rPr>
        <w:t xml:space="preserve"> </w:t>
      </w:r>
      <w:r w:rsidR="00395481" w:rsidRPr="006E3ED3">
        <w:rPr>
          <w:rFonts w:ascii="Wingdings" w:eastAsiaTheme="minorEastAsia" w:hAnsi="Wingdings" w:hint="eastAsia"/>
          <w:color w:val="FF0000"/>
          <w:spacing w:val="-2"/>
          <w:sz w:val="20"/>
          <w:szCs w:val="20"/>
          <w:lang w:eastAsia="ja-JP"/>
        </w:rPr>
        <w:t>☒</w:t>
      </w:r>
      <w:proofErr w:type="gramEnd"/>
      <w:r>
        <w:rPr>
          <w:sz w:val="20"/>
        </w:rPr>
        <w:t xml:space="preserve">    </w:t>
      </w:r>
      <w:r>
        <w:rPr>
          <w:color w:val="FF0000"/>
          <w:sz w:val="20"/>
        </w:rPr>
        <w:t xml:space="preserve"> </w:t>
      </w:r>
      <w:r>
        <w:rPr>
          <w:sz w:val="20"/>
        </w:rPr>
        <w:t>No</w:t>
      </w:r>
      <w:r>
        <w:rPr>
          <w:color w:val="FF0000"/>
          <w:sz w:val="20"/>
        </w:rPr>
        <w:t xml:space="preserve"> </w:t>
      </w:r>
      <w:r>
        <w:rPr>
          <w:rFonts w:ascii="Wingdings" w:hAnsi="Wingdings"/>
          <w:sz w:val="20"/>
        </w:rPr>
        <w:t>¨</w:t>
      </w:r>
    </w:p>
    <w:p w14:paraId="0E862C31" w14:textId="77777777" w:rsidR="008D4C06" w:rsidRDefault="008D4C06" w:rsidP="008D4C06">
      <w:pPr>
        <w:ind w:left="318"/>
        <w:rPr>
          <w:sz w:val="20"/>
          <w:szCs w:val="20"/>
        </w:rPr>
      </w:pPr>
    </w:p>
    <w:p w14:paraId="4C59FE96" w14:textId="77777777" w:rsidR="008D4C06" w:rsidRPr="007E4F8F" w:rsidRDefault="008D4C06" w:rsidP="008D4C06">
      <w:pPr>
        <w:ind w:left="318"/>
        <w:rPr>
          <w:sz w:val="20"/>
          <w:szCs w:val="20"/>
        </w:rPr>
      </w:pPr>
    </w:p>
    <w:p w14:paraId="33888F78" w14:textId="77777777" w:rsidR="008D4C06" w:rsidRPr="007E4F8F" w:rsidRDefault="008D4C06" w:rsidP="008D4C06">
      <w:pPr>
        <w:pStyle w:val="ListParagraph"/>
        <w:numPr>
          <w:ilvl w:val="0"/>
          <w:numId w:val="2"/>
        </w:numPr>
        <w:ind w:left="426" w:hanging="426"/>
        <w:rPr>
          <w:sz w:val="20"/>
          <w:szCs w:val="20"/>
        </w:rPr>
      </w:pPr>
      <w:r>
        <w:rPr>
          <w:sz w:val="20"/>
        </w:rPr>
        <w:t>¿Requiere un nuevo</w:t>
      </w:r>
      <w:r>
        <w:rPr>
          <w:b/>
          <w:bCs/>
          <w:sz w:val="20"/>
        </w:rPr>
        <w:t xml:space="preserve"> programa o actividades adicionales que deba gestionar la Secretaría</w:t>
      </w:r>
      <w:r>
        <w:rPr>
          <w:sz w:val="20"/>
        </w:rPr>
        <w:t xml:space="preserve">?  </w:t>
      </w:r>
    </w:p>
    <w:p w14:paraId="18F4B34E" w14:textId="77777777" w:rsidR="008D4C06" w:rsidRPr="007E4F8F" w:rsidRDefault="008D4C06" w:rsidP="008D4C06">
      <w:pPr>
        <w:pStyle w:val="ListParagraph"/>
        <w:ind w:left="426" w:firstLine="0"/>
        <w:rPr>
          <w:spacing w:val="-2"/>
          <w:sz w:val="20"/>
          <w:szCs w:val="20"/>
        </w:rPr>
      </w:pPr>
    </w:p>
    <w:p w14:paraId="7E8F8076" w14:textId="39F71FA4" w:rsidR="008D4C06" w:rsidRPr="007E4F8F" w:rsidRDefault="008D4C06" w:rsidP="008D4C06">
      <w:pPr>
        <w:pStyle w:val="ListParagraph"/>
        <w:ind w:left="426" w:firstLine="0"/>
        <w:rPr>
          <w:sz w:val="20"/>
          <w:szCs w:val="20"/>
        </w:rPr>
      </w:pPr>
      <w:r>
        <w:rPr>
          <w:sz w:val="20"/>
        </w:rPr>
        <w:t xml:space="preserve">Sí </w:t>
      </w:r>
      <w:r>
        <w:rPr>
          <w:rFonts w:ascii="Wingdings" w:hAnsi="Wingdings"/>
          <w:sz w:val="20"/>
        </w:rPr>
        <w:t>¨</w:t>
      </w:r>
      <w:r>
        <w:rPr>
          <w:sz w:val="20"/>
        </w:rPr>
        <w:t xml:space="preserve">      </w:t>
      </w:r>
      <w:r w:rsidR="00504BFD" w:rsidRPr="00162E3F">
        <w:rPr>
          <w:color w:val="FF0000"/>
          <w:spacing w:val="-2"/>
          <w:sz w:val="20"/>
          <w:szCs w:val="20"/>
        </w:rPr>
        <w:t xml:space="preserve">No </w:t>
      </w:r>
      <w:bookmarkStart w:id="1" w:name="_Hlk211846041"/>
      <w:r w:rsidR="00504BFD" w:rsidRPr="00AC2F0E">
        <w:rPr>
          <w:rFonts w:ascii="Wingdings" w:eastAsiaTheme="minorEastAsia" w:hAnsi="Wingdings" w:hint="eastAsia"/>
          <w:color w:val="FF0000"/>
          <w:spacing w:val="-2"/>
          <w:sz w:val="20"/>
          <w:szCs w:val="20"/>
          <w:lang w:eastAsia="ja-JP"/>
        </w:rPr>
        <w:t>☒</w:t>
      </w:r>
      <w:bookmarkEnd w:id="1"/>
    </w:p>
    <w:p w14:paraId="624039DB" w14:textId="77777777" w:rsidR="008D4C06" w:rsidRPr="007E4F8F" w:rsidRDefault="008D4C06" w:rsidP="008D4C06">
      <w:pPr>
        <w:ind w:left="318"/>
        <w:rPr>
          <w:sz w:val="20"/>
          <w:szCs w:val="20"/>
        </w:rPr>
      </w:pPr>
    </w:p>
    <w:p w14:paraId="54F884A9" w14:textId="77777777" w:rsidR="008D4C06" w:rsidRPr="007E4F8F" w:rsidRDefault="008D4C06" w:rsidP="008D4C06">
      <w:pPr>
        <w:ind w:left="360" w:firstLine="66"/>
        <w:jc w:val="both"/>
        <w:rPr>
          <w:spacing w:val="-2"/>
          <w:sz w:val="20"/>
          <w:szCs w:val="20"/>
        </w:rPr>
      </w:pPr>
      <w:r>
        <w:rPr>
          <w:sz w:val="20"/>
        </w:rPr>
        <w:t>Breve descripción del nuevo trabajo necesario de la Secretaría:</w:t>
      </w:r>
    </w:p>
    <w:p w14:paraId="5D063C22" w14:textId="77777777" w:rsidR="008D4C06" w:rsidRPr="00AC2F0E" w:rsidRDefault="008D4C06" w:rsidP="008D4C06">
      <w:pPr>
        <w:ind w:left="430" w:hangingChars="215" w:hanging="430"/>
        <w:rPr>
          <w:rFonts w:eastAsiaTheme="minorEastAsia"/>
          <w:i/>
          <w:iCs/>
          <w:color w:val="FF0000"/>
          <w:spacing w:val="-2"/>
          <w:sz w:val="20"/>
          <w:szCs w:val="20"/>
        </w:rPr>
      </w:pPr>
      <w:r>
        <w:rPr>
          <w:sz w:val="20"/>
        </w:rPr>
        <w:t xml:space="preserve">         </w:t>
      </w:r>
      <w:r>
        <w:rPr>
          <w:color w:val="FF0000"/>
          <w:sz w:val="20"/>
        </w:rPr>
        <w:t xml:space="preserve"> </w:t>
      </w:r>
    </w:p>
    <w:p w14:paraId="533DBE0A" w14:textId="77777777" w:rsidR="008D4C06" w:rsidRPr="007E4F8F" w:rsidRDefault="008D4C06" w:rsidP="008D4C06">
      <w:pPr>
        <w:rPr>
          <w:spacing w:val="-2"/>
          <w:sz w:val="20"/>
          <w:szCs w:val="20"/>
        </w:rPr>
      </w:pPr>
    </w:p>
    <w:p w14:paraId="02B06FBC" w14:textId="77777777" w:rsidR="008D4C06" w:rsidRPr="007E4F8F" w:rsidRDefault="008D4C06" w:rsidP="008D4C06">
      <w:pPr>
        <w:pStyle w:val="ListParagraph"/>
        <w:numPr>
          <w:ilvl w:val="0"/>
          <w:numId w:val="2"/>
        </w:numPr>
        <w:ind w:left="426" w:hanging="426"/>
        <w:rPr>
          <w:spacing w:val="-2"/>
          <w:sz w:val="20"/>
          <w:szCs w:val="20"/>
        </w:rPr>
      </w:pPr>
      <w:r>
        <w:rPr>
          <w:sz w:val="20"/>
        </w:rPr>
        <w:t xml:space="preserve">¿Cuál es el calendario propuesto para la implementación? ¿Existen distintos calendarios específicos para </w:t>
      </w:r>
      <w:proofErr w:type="gramStart"/>
      <w:r>
        <w:rPr>
          <w:sz w:val="20"/>
        </w:rPr>
        <w:t>determinadas CPC</w:t>
      </w:r>
      <w:proofErr w:type="gramEnd"/>
      <w:r>
        <w:rPr>
          <w:sz w:val="20"/>
        </w:rPr>
        <w:t>, pesquerías, regiones, etc.?</w:t>
      </w:r>
    </w:p>
    <w:p w14:paraId="45BB3A91" w14:textId="77777777" w:rsidR="008D4C06" w:rsidRDefault="008D4C06" w:rsidP="008D4C06">
      <w:pPr>
        <w:rPr>
          <w:spacing w:val="-2"/>
          <w:sz w:val="20"/>
          <w:szCs w:val="20"/>
        </w:rPr>
      </w:pPr>
    </w:p>
    <w:p w14:paraId="3AC29A28" w14:textId="2BDF8E39" w:rsidR="008D4C06" w:rsidRPr="00D661DA" w:rsidRDefault="008D4C06" w:rsidP="008D4C06">
      <w:pPr>
        <w:pStyle w:val="ListParagraph"/>
        <w:ind w:left="426" w:firstLine="0"/>
        <w:rPr>
          <w:i/>
          <w:iCs/>
          <w:spacing w:val="-2"/>
          <w:sz w:val="20"/>
          <w:szCs w:val="20"/>
        </w:rPr>
      </w:pPr>
      <w:r>
        <w:rPr>
          <w:i/>
          <w:color w:val="FF0000"/>
          <w:sz w:val="20"/>
        </w:rPr>
        <w:t xml:space="preserve">El </w:t>
      </w:r>
      <w:r w:rsidRPr="00504BFD">
        <w:rPr>
          <w:i/>
          <w:color w:val="FF0000"/>
          <w:sz w:val="20"/>
        </w:rPr>
        <w:t>proyecto de Recomendación entraría</w:t>
      </w:r>
      <w:r>
        <w:rPr>
          <w:i/>
          <w:color w:val="FF0000"/>
          <w:sz w:val="20"/>
        </w:rPr>
        <w:t xml:space="preserve"> en vigor en 2027, de conformidad con lo establecido en el Convenio.</w:t>
      </w:r>
    </w:p>
    <w:p w14:paraId="56A0B3F7" w14:textId="77777777" w:rsidR="008D4C06" w:rsidRPr="00D661DA" w:rsidRDefault="008D4C06" w:rsidP="008D4C06">
      <w:pPr>
        <w:pStyle w:val="ListParagraph"/>
        <w:rPr>
          <w:spacing w:val="-2"/>
          <w:sz w:val="20"/>
          <w:szCs w:val="20"/>
        </w:rPr>
      </w:pPr>
    </w:p>
    <w:p w14:paraId="6E24F6D9" w14:textId="77777777" w:rsidR="008D4C06" w:rsidRPr="00D661DA" w:rsidRDefault="008D4C06" w:rsidP="008D4C06">
      <w:pPr>
        <w:pStyle w:val="ListParagraph"/>
        <w:numPr>
          <w:ilvl w:val="0"/>
          <w:numId w:val="2"/>
        </w:numPr>
        <w:ind w:left="426" w:hanging="426"/>
        <w:rPr>
          <w:spacing w:val="-2"/>
          <w:sz w:val="20"/>
          <w:szCs w:val="20"/>
        </w:rPr>
      </w:pPr>
      <w:r>
        <w:rPr>
          <w:sz w:val="20"/>
        </w:rPr>
        <w:t>¿Hay alguna otra información pertinente sobre las repercusiones de la propuesta en lo referente a los recursos y a la carga de trabajo?</w:t>
      </w:r>
    </w:p>
    <w:p w14:paraId="1B1EE728" w14:textId="77777777" w:rsidR="008D4C06" w:rsidRPr="007E4F8F" w:rsidRDefault="008D4C06" w:rsidP="008D4C06">
      <w:pPr>
        <w:pStyle w:val="ListParagraph"/>
        <w:ind w:left="426" w:firstLine="0"/>
        <w:rPr>
          <w:spacing w:val="-2"/>
          <w:sz w:val="20"/>
          <w:szCs w:val="20"/>
        </w:rPr>
      </w:pPr>
    </w:p>
    <w:p w14:paraId="0B96BAFB" w14:textId="77777777" w:rsidR="008D4C06" w:rsidRPr="00274940" w:rsidRDefault="008D4C06" w:rsidP="008D4C06">
      <w:pPr>
        <w:ind w:leftChars="200" w:left="440"/>
        <w:rPr>
          <w:rFonts w:eastAsiaTheme="minorEastAsia"/>
          <w:color w:val="FF0000"/>
          <w:sz w:val="20"/>
          <w:szCs w:val="20"/>
        </w:rPr>
      </w:pPr>
      <w:r>
        <w:rPr>
          <w:i/>
          <w:color w:val="FF0000"/>
          <w:sz w:val="20"/>
        </w:rPr>
        <w:t>Ninguna.</w:t>
      </w:r>
    </w:p>
    <w:p w14:paraId="308FF3AB" w14:textId="77777777" w:rsidR="008D4C06" w:rsidRPr="00BC727D" w:rsidRDefault="008D4C06" w:rsidP="008D4C06">
      <w:pPr>
        <w:pStyle w:val="BodyText"/>
        <w:rPr>
          <w:color w:val="FF0000"/>
        </w:rPr>
      </w:pPr>
    </w:p>
    <w:p w14:paraId="1D83C1B6" w14:textId="77777777" w:rsidR="008D4C06" w:rsidRPr="007060D6" w:rsidRDefault="008D4C06" w:rsidP="008D4C06">
      <w:pPr>
        <w:pStyle w:val="BodyText"/>
        <w:ind w:left="280"/>
      </w:pPr>
    </w:p>
    <w:p w14:paraId="2ED8B15F" w14:textId="77777777" w:rsidR="007509AA" w:rsidRDefault="007509AA">
      <w:pPr>
        <w:rPr>
          <w:b/>
          <w:sz w:val="20"/>
        </w:rPr>
      </w:pPr>
      <w:r>
        <w:br w:type="page"/>
      </w:r>
    </w:p>
    <w:p w14:paraId="6B9E397A" w14:textId="77777777" w:rsidR="009751C5" w:rsidRDefault="00DC3C38" w:rsidP="00205F5D">
      <w:pPr>
        <w:spacing w:line="259" w:lineRule="auto"/>
        <w:ind w:right="18" w:firstLine="522"/>
        <w:jc w:val="center"/>
        <w:rPr>
          <w:b/>
          <w:sz w:val="20"/>
        </w:rPr>
      </w:pPr>
      <w:r>
        <w:rPr>
          <w:b/>
          <w:sz w:val="20"/>
          <w:u w:val="single"/>
        </w:rPr>
        <w:lastRenderedPageBreak/>
        <w:t>Proyecto de</w:t>
      </w:r>
      <w:r>
        <w:rPr>
          <w:b/>
          <w:sz w:val="20"/>
        </w:rPr>
        <w:t xml:space="preserve"> Recomendación de ICCAT que establece </w:t>
      </w:r>
    </w:p>
    <w:p w14:paraId="2EAA7093" w14:textId="168E4949" w:rsidR="00205F5D" w:rsidRDefault="00DC3C38" w:rsidP="00205F5D">
      <w:pPr>
        <w:spacing w:line="259" w:lineRule="auto"/>
        <w:ind w:right="18" w:firstLine="522"/>
        <w:jc w:val="center"/>
        <w:rPr>
          <w:b/>
          <w:sz w:val="20"/>
        </w:rPr>
      </w:pPr>
      <w:r>
        <w:rPr>
          <w:b/>
          <w:sz w:val="20"/>
        </w:rPr>
        <w:t>un Grupo de trabajo permanente sobre sistemas de documentación de capturas (CDS WG)</w:t>
      </w:r>
    </w:p>
    <w:p w14:paraId="0D813EA3" w14:textId="70B5ED9B" w:rsidR="00BB102E" w:rsidRPr="009751C5" w:rsidRDefault="009751C5" w:rsidP="009751C5">
      <w:pPr>
        <w:pStyle w:val="BodyText"/>
        <w:spacing w:before="175"/>
        <w:jc w:val="center"/>
        <w:rPr>
          <w:rFonts w:asciiTheme="majorHAnsi" w:hAnsiTheme="majorHAnsi"/>
          <w:i/>
          <w:iCs/>
        </w:rPr>
      </w:pPr>
      <w:r w:rsidRPr="00504BFD">
        <w:rPr>
          <w:rFonts w:asciiTheme="majorHAnsi" w:hAnsiTheme="majorHAnsi"/>
          <w:i/>
        </w:rPr>
        <w:t>(documento presentado por Japón)</w:t>
      </w:r>
    </w:p>
    <w:p w14:paraId="76821F75" w14:textId="77777777" w:rsidR="009751C5" w:rsidRDefault="009751C5">
      <w:pPr>
        <w:pStyle w:val="BodyText"/>
        <w:spacing w:before="175"/>
        <w:rPr>
          <w:rFonts w:ascii="Times New Roman"/>
        </w:rPr>
      </w:pPr>
    </w:p>
    <w:p w14:paraId="324CA3B2" w14:textId="43F5895D" w:rsidR="00BB102E" w:rsidRDefault="00EE3858">
      <w:pPr>
        <w:pStyle w:val="BodyText"/>
        <w:ind w:left="1" w:right="142" w:firstLine="400"/>
        <w:jc w:val="both"/>
      </w:pPr>
      <w:r>
        <w:rPr>
          <w:i/>
          <w:iCs/>
        </w:rPr>
        <w:t>RECORDANDO</w:t>
      </w:r>
      <w:r>
        <w:t xml:space="preserve"> que ICCAT acordó en la reunión anual de la Comisión de 2019 que el debate detallado debería continuar sin prejuicio para el curso futuro del desarrollo del sistema de documentación de capturas (CDS);</w:t>
      </w:r>
    </w:p>
    <w:p w14:paraId="4130AB25" w14:textId="77777777" w:rsidR="00BB102E" w:rsidRDefault="00BB102E">
      <w:pPr>
        <w:pStyle w:val="BodyText"/>
        <w:spacing w:before="20"/>
      </w:pPr>
    </w:p>
    <w:p w14:paraId="03228F39" w14:textId="77777777" w:rsidR="00BB102E" w:rsidRDefault="00EE3858">
      <w:pPr>
        <w:ind w:left="1" w:right="141" w:firstLine="400"/>
        <w:jc w:val="both"/>
        <w:rPr>
          <w:sz w:val="20"/>
        </w:rPr>
      </w:pPr>
      <w:r>
        <w:rPr>
          <w:i/>
          <w:sz w:val="20"/>
        </w:rPr>
        <w:t xml:space="preserve">RECORDANDO ADEMÁS </w:t>
      </w:r>
      <w:r>
        <w:rPr>
          <w:sz w:val="20"/>
        </w:rPr>
        <w:t>que el Grupo de trabajo</w:t>
      </w:r>
      <w:r>
        <w:rPr>
          <w:i/>
          <w:iCs/>
          <w:sz w:val="20"/>
        </w:rPr>
        <w:t xml:space="preserve"> ad hoc</w:t>
      </w:r>
      <w:r>
        <w:rPr>
          <w:sz w:val="20"/>
        </w:rPr>
        <w:t xml:space="preserve"> sobre CDS, establecido por la </w:t>
      </w:r>
      <w:r>
        <w:rPr>
          <w:i/>
          <w:iCs/>
          <w:sz w:val="20"/>
        </w:rPr>
        <w:t>Resolución de ICCAT para el establecimiento de un Grupo de trabajo ICCAT sobre un sistema de documentación de capturas</w:t>
      </w:r>
      <w:r>
        <w:rPr>
          <w:sz w:val="20"/>
        </w:rPr>
        <w:t xml:space="preserve"> (Res. 21-21), intercambió opiniones entre las CPC sobre la ampliación del CDS a otras especies de ICCAT; </w:t>
      </w:r>
    </w:p>
    <w:p w14:paraId="5FDD3CF2" w14:textId="77777777" w:rsidR="00BB102E" w:rsidRDefault="00BB102E">
      <w:pPr>
        <w:pStyle w:val="BodyText"/>
      </w:pPr>
    </w:p>
    <w:p w14:paraId="4577F572" w14:textId="77777777" w:rsidR="00BB102E" w:rsidRDefault="00EE3858">
      <w:pPr>
        <w:pStyle w:val="BodyText"/>
        <w:ind w:left="401"/>
      </w:pPr>
      <w:r>
        <w:rPr>
          <w:i/>
        </w:rPr>
        <w:t>RECONOCIENDO</w:t>
      </w:r>
      <w:r>
        <w:t xml:space="preserve"> la creciente demanda del mercado de productos pesqueros cuya legalidad esté certificada;</w:t>
      </w:r>
    </w:p>
    <w:p w14:paraId="260FE59D" w14:textId="77777777" w:rsidR="00BB102E" w:rsidRDefault="00BB102E">
      <w:pPr>
        <w:pStyle w:val="BodyText"/>
        <w:spacing w:before="18"/>
      </w:pPr>
    </w:p>
    <w:p w14:paraId="4AE891A6" w14:textId="77777777" w:rsidR="00BB102E" w:rsidRDefault="00EE3858">
      <w:pPr>
        <w:pStyle w:val="BodyText"/>
        <w:spacing w:before="1"/>
        <w:ind w:left="1" w:right="146" w:firstLine="400"/>
        <w:jc w:val="both"/>
      </w:pPr>
      <w:r>
        <w:rPr>
          <w:i/>
        </w:rPr>
        <w:t>OBSERVANDO</w:t>
      </w:r>
      <w:r>
        <w:t xml:space="preserve"> el éxito en el desarrollo e implementación de un sistema de documentación electrónica de las capturas de atún rojo en ICCAT;</w:t>
      </w:r>
    </w:p>
    <w:p w14:paraId="5728706F" w14:textId="77777777" w:rsidR="00BB102E" w:rsidRDefault="00BB102E">
      <w:pPr>
        <w:pStyle w:val="BodyText"/>
        <w:spacing w:before="17"/>
      </w:pPr>
    </w:p>
    <w:p w14:paraId="456E3814" w14:textId="77777777" w:rsidR="00BB102E" w:rsidRDefault="00EE3858">
      <w:pPr>
        <w:ind w:left="1" w:right="139" w:firstLine="400"/>
        <w:jc w:val="both"/>
        <w:rPr>
          <w:sz w:val="20"/>
        </w:rPr>
      </w:pPr>
      <w:r>
        <w:rPr>
          <w:i/>
          <w:iCs/>
          <w:sz w:val="20"/>
        </w:rPr>
        <w:t>RECORDANDO</w:t>
      </w:r>
      <w:r>
        <w:rPr>
          <w:sz w:val="20"/>
        </w:rPr>
        <w:t xml:space="preserve"> la </w:t>
      </w:r>
      <w:r>
        <w:rPr>
          <w:i/>
          <w:sz w:val="20"/>
        </w:rPr>
        <w:t xml:space="preserve">Recomendación de ICCAT sobre un proceso para el establecimiento de un programa de certificación de capturas para túnidos y especies afines </w:t>
      </w:r>
      <w:r>
        <w:rPr>
          <w:sz w:val="20"/>
        </w:rPr>
        <w:t>(Rec. 12-09);</w:t>
      </w:r>
    </w:p>
    <w:p w14:paraId="306A245E" w14:textId="77777777" w:rsidR="00BB102E" w:rsidRDefault="00BB102E">
      <w:pPr>
        <w:pStyle w:val="BodyText"/>
        <w:spacing w:before="19"/>
      </w:pPr>
    </w:p>
    <w:p w14:paraId="73020077" w14:textId="77777777" w:rsidR="00BB102E" w:rsidRDefault="00EE3858">
      <w:pPr>
        <w:pStyle w:val="BodyText"/>
        <w:ind w:left="401"/>
      </w:pPr>
      <w:r>
        <w:rPr>
          <w:i/>
        </w:rPr>
        <w:t>DESTACANDO</w:t>
      </w:r>
      <w:r>
        <w:t xml:space="preserve"> la necesidad de aplicar un enfoque basado en el riesgo con respecto a los CDS;</w:t>
      </w:r>
    </w:p>
    <w:p w14:paraId="2ED8B8A9" w14:textId="77777777" w:rsidR="00BB102E" w:rsidRDefault="00BB102E">
      <w:pPr>
        <w:pStyle w:val="BodyText"/>
        <w:spacing w:before="18"/>
      </w:pPr>
    </w:p>
    <w:p w14:paraId="4B3106BB" w14:textId="77777777" w:rsidR="00BB102E" w:rsidRDefault="00EE3858">
      <w:pPr>
        <w:pStyle w:val="BodyText"/>
        <w:spacing w:before="1"/>
        <w:ind w:left="1" w:right="142" w:firstLine="400"/>
        <w:jc w:val="both"/>
      </w:pPr>
      <w:r>
        <w:rPr>
          <w:i/>
        </w:rPr>
        <w:t>TENIENDO EN CUENTA</w:t>
      </w:r>
      <w:r>
        <w:t xml:space="preserve"> las Directrices voluntarias para los sistemas de documentación de capturas adoptadas por la FAO en 2017, que establecen orientaciones para los Estados, las OROP, las organizaciones regionales de integración económica y otras organizaciones intergubernamentales a la hora de elaborar y aplicar nuevos CDS, o de armonizar o revisar los existentes;</w:t>
      </w:r>
    </w:p>
    <w:p w14:paraId="32DC1DE2" w14:textId="77777777" w:rsidR="00BB102E" w:rsidRDefault="00BB102E">
      <w:pPr>
        <w:pStyle w:val="BodyText"/>
        <w:spacing w:before="19"/>
      </w:pPr>
    </w:p>
    <w:p w14:paraId="41733ACC" w14:textId="77777777" w:rsidR="00BB102E" w:rsidRDefault="00EE3858">
      <w:pPr>
        <w:pStyle w:val="BodyText"/>
        <w:ind w:left="1" w:right="141" w:firstLine="400"/>
        <w:jc w:val="both"/>
      </w:pPr>
      <w:r>
        <w:rPr>
          <w:i/>
        </w:rPr>
        <w:t>RECONOCIENDO</w:t>
      </w:r>
      <w:r>
        <w:t xml:space="preserve"> que el proceso de enmienda del Convenio constó de dos partes, es decir, la primera parte se centró en la revisión del Convenio y la segunda en la elaboración de enmiendas específicas, y que un enfoque similar en dos fases podría ser una buena manera de avanzar en el debate sobre esta cuestión;</w:t>
      </w:r>
    </w:p>
    <w:p w14:paraId="7CA379D3" w14:textId="77777777" w:rsidR="00BB102E" w:rsidRPr="00EB5097" w:rsidRDefault="00EE3858">
      <w:pPr>
        <w:pStyle w:val="BodyText"/>
        <w:spacing w:before="234"/>
        <w:ind w:left="1" w:right="140" w:firstLine="400"/>
        <w:jc w:val="both"/>
        <w:rPr>
          <w:rFonts w:eastAsiaTheme="minorEastAsia"/>
          <w:highlight w:val="yellow"/>
        </w:rPr>
      </w:pPr>
      <w:r>
        <w:rPr>
          <w:i/>
        </w:rPr>
        <w:t xml:space="preserve">TOMANDO NOTA </w:t>
      </w:r>
      <w:r>
        <w:t>de la preocupación por el aumento del número de grupos de trabajo y de la necesidad de racionalizar la labor de la Comisión;</w:t>
      </w:r>
    </w:p>
    <w:p w14:paraId="5DE0DCD1" w14:textId="254E721C" w:rsidR="00704402" w:rsidRPr="00504BFD" w:rsidRDefault="00704402" w:rsidP="00704402">
      <w:pPr>
        <w:pStyle w:val="BodyText"/>
        <w:spacing w:before="234"/>
        <w:ind w:left="1" w:right="140" w:firstLine="400"/>
        <w:jc w:val="both"/>
        <w:rPr>
          <w:rFonts w:eastAsiaTheme="minorEastAsia"/>
        </w:rPr>
      </w:pPr>
      <w:r w:rsidRPr="00504BFD">
        <w:rPr>
          <w:i/>
          <w:u w:val="single"/>
        </w:rPr>
        <w:t>RECONOCIENDO</w:t>
      </w:r>
      <w:r w:rsidRPr="00504BFD">
        <w:rPr>
          <w:u w:val="single"/>
        </w:rPr>
        <w:t xml:space="preserve"> los avances logrados por el CDS WG en el examen de la posible ampliación del CDS a otras especies, si bien aún es necesario seguir trabajando;</w:t>
      </w:r>
    </w:p>
    <w:p w14:paraId="26CEC474" w14:textId="2AEB1FED" w:rsidR="009A58EA" w:rsidRPr="00504BFD" w:rsidRDefault="0044318A" w:rsidP="00704402">
      <w:pPr>
        <w:pStyle w:val="BodyText"/>
        <w:spacing w:before="234"/>
        <w:ind w:left="1" w:right="140" w:firstLine="400"/>
        <w:jc w:val="both"/>
        <w:rPr>
          <w:rFonts w:eastAsiaTheme="minorEastAsia"/>
          <w:i/>
          <w:iCs/>
        </w:rPr>
      </w:pPr>
      <w:r w:rsidRPr="00504BFD">
        <w:rPr>
          <w:i/>
          <w:u w:val="single"/>
        </w:rPr>
        <w:t xml:space="preserve">RECONOCIENDO ADEMÁS </w:t>
      </w:r>
      <w:r w:rsidRPr="00504BFD">
        <w:rPr>
          <w:u w:val="single"/>
        </w:rPr>
        <w:t>la importancia de garantizar el funcionamiento seguro e ininterrumpido del sistema eBCD, y</w:t>
      </w:r>
    </w:p>
    <w:p w14:paraId="14320B20" w14:textId="097DB053" w:rsidR="00704402" w:rsidRPr="00504BFD" w:rsidRDefault="00704402" w:rsidP="00704402">
      <w:pPr>
        <w:pStyle w:val="BodyText"/>
        <w:spacing w:before="234"/>
        <w:ind w:left="1" w:right="140" w:firstLine="400"/>
        <w:jc w:val="both"/>
        <w:rPr>
          <w:rFonts w:eastAsiaTheme="minorEastAsia"/>
        </w:rPr>
      </w:pPr>
      <w:r w:rsidRPr="00504BFD">
        <w:rPr>
          <w:i/>
          <w:u w:val="single"/>
        </w:rPr>
        <w:t>TOMANDO NOTA</w:t>
      </w:r>
      <w:r w:rsidRPr="00504BFD">
        <w:rPr>
          <w:u w:val="single"/>
        </w:rPr>
        <w:t xml:space="preserve"> de las conclusiones del estudio de viabilidad sobre el sistema eBCD, en el que se puso de relieve la necesidad apremiante de modernizarlo y reconstruirlo, lo que incluye desarrollar un sistema configurable;</w:t>
      </w:r>
    </w:p>
    <w:p w14:paraId="26858C10" w14:textId="77777777" w:rsidR="00BB102E" w:rsidRDefault="00BB102E">
      <w:pPr>
        <w:pStyle w:val="BodyText"/>
      </w:pPr>
    </w:p>
    <w:p w14:paraId="6C5B17C1" w14:textId="77777777" w:rsidR="00BB102E" w:rsidRDefault="00BB102E">
      <w:pPr>
        <w:pStyle w:val="BodyText"/>
      </w:pPr>
    </w:p>
    <w:p w14:paraId="7DAB2E10" w14:textId="1402D08C" w:rsidR="00BB102E" w:rsidRDefault="00EE3858" w:rsidP="009C2A79">
      <w:pPr>
        <w:pStyle w:val="BodyText"/>
        <w:ind w:left="1985" w:right="1419" w:hanging="425"/>
      </w:pPr>
      <w:r>
        <w:t>LA COMISIÓN INTERNACIONAL PARA LA CONSERVACIÓN DEL ATÚN ATLÁNTICO (ICCAT) RECOMIENDA LO SIGUIENTE:</w:t>
      </w:r>
    </w:p>
    <w:p w14:paraId="2B130BD5" w14:textId="77777777" w:rsidR="00BB102E" w:rsidRDefault="00BB102E">
      <w:pPr>
        <w:pStyle w:val="BodyText"/>
      </w:pPr>
    </w:p>
    <w:p w14:paraId="14B9B323" w14:textId="77777777" w:rsidR="00BB102E" w:rsidRDefault="00EE3858">
      <w:pPr>
        <w:pStyle w:val="ListParagraph"/>
        <w:numPr>
          <w:ilvl w:val="0"/>
          <w:numId w:val="1"/>
        </w:numPr>
        <w:tabs>
          <w:tab w:val="left" w:pos="425"/>
          <w:tab w:val="left" w:pos="427"/>
        </w:tabs>
        <w:ind w:right="139"/>
        <w:rPr>
          <w:sz w:val="20"/>
        </w:rPr>
      </w:pPr>
      <w:r>
        <w:rPr>
          <w:sz w:val="20"/>
        </w:rPr>
        <w:t xml:space="preserve">Se establecerá un Grupo de trabajo permanente sobre sistemas de documentación de captura (CDS WG). El CDS WG también sustituirá e incorporará la función del Grupo de trabajo técnico sobre eBCD, que incluye el examen de las especificaciones técnicas del eBCD y las posibles mejoras. </w:t>
      </w:r>
    </w:p>
    <w:p w14:paraId="331A0781" w14:textId="77777777" w:rsidR="00BB102E" w:rsidRDefault="00EE3858">
      <w:pPr>
        <w:pStyle w:val="ListParagraph"/>
        <w:numPr>
          <w:ilvl w:val="0"/>
          <w:numId w:val="1"/>
        </w:numPr>
        <w:tabs>
          <w:tab w:val="left" w:pos="427"/>
        </w:tabs>
        <w:spacing w:before="234"/>
        <w:ind w:hanging="426"/>
        <w:rPr>
          <w:sz w:val="20"/>
        </w:rPr>
      </w:pPr>
      <w:r>
        <w:rPr>
          <w:sz w:val="20"/>
        </w:rPr>
        <w:t xml:space="preserve">El CDS WG estará abierto a todas las CPC y a los observadores acreditados. </w:t>
      </w:r>
    </w:p>
    <w:p w14:paraId="089EA5C6" w14:textId="77777777" w:rsidR="00BB102E" w:rsidRDefault="00BB102E">
      <w:pPr>
        <w:pStyle w:val="BodyText"/>
      </w:pPr>
    </w:p>
    <w:p w14:paraId="494A6277" w14:textId="77777777" w:rsidR="00BB102E" w:rsidRDefault="00EE3858">
      <w:pPr>
        <w:pStyle w:val="ListParagraph"/>
        <w:numPr>
          <w:ilvl w:val="0"/>
          <w:numId w:val="1"/>
        </w:numPr>
        <w:tabs>
          <w:tab w:val="left" w:pos="427"/>
        </w:tabs>
        <w:ind w:hanging="426"/>
        <w:rPr>
          <w:sz w:val="20"/>
        </w:rPr>
      </w:pPr>
      <w:r>
        <w:rPr>
          <w:sz w:val="20"/>
        </w:rPr>
        <w:t>El CDS WG elegirá su propio presidente.</w:t>
      </w:r>
    </w:p>
    <w:p w14:paraId="45B03849" w14:textId="77777777" w:rsidR="00BB102E" w:rsidRDefault="00BB102E">
      <w:pPr>
        <w:pStyle w:val="BodyText"/>
      </w:pPr>
    </w:p>
    <w:p w14:paraId="2A0E4690" w14:textId="1EFE439F" w:rsidR="0045022C" w:rsidRPr="00AB2BC6" w:rsidRDefault="00EE3858" w:rsidP="00B60A68">
      <w:pPr>
        <w:pStyle w:val="ListParagraph"/>
        <w:numPr>
          <w:ilvl w:val="0"/>
          <w:numId w:val="1"/>
        </w:numPr>
        <w:tabs>
          <w:tab w:val="left" w:pos="425"/>
          <w:tab w:val="left" w:pos="427"/>
        </w:tabs>
        <w:spacing w:before="1"/>
        <w:ind w:right="139"/>
        <w:rPr>
          <w:sz w:val="20"/>
        </w:rPr>
      </w:pPr>
      <w:r>
        <w:rPr>
          <w:sz w:val="20"/>
        </w:rPr>
        <w:lastRenderedPageBreak/>
        <w:t>Se proporcionará interpretación simultánea en los tres idiomas de ICCAT (inglés, francés y español) durante las reuniones del CDS WG.</w:t>
      </w:r>
      <w:r w:rsidRPr="00B91CC9">
        <w:rPr>
          <w:sz w:val="20"/>
        </w:rPr>
        <w:t xml:space="preserve"> </w:t>
      </w:r>
    </w:p>
    <w:p w14:paraId="14018E80" w14:textId="130BDA92" w:rsidR="00BB102E" w:rsidRDefault="00EE3858">
      <w:pPr>
        <w:pStyle w:val="ListParagraph"/>
        <w:numPr>
          <w:ilvl w:val="0"/>
          <w:numId w:val="1"/>
        </w:numPr>
        <w:tabs>
          <w:tab w:val="left" w:pos="425"/>
          <w:tab w:val="left" w:pos="427"/>
        </w:tabs>
        <w:spacing w:before="234"/>
        <w:ind w:right="138"/>
        <w:rPr>
          <w:sz w:val="20"/>
        </w:rPr>
      </w:pPr>
      <w:r>
        <w:rPr>
          <w:sz w:val="20"/>
        </w:rPr>
        <w:t xml:space="preserve">El CDS WG </w:t>
      </w:r>
      <w:r>
        <w:rPr>
          <w:sz w:val="20"/>
          <w:u w:val="single"/>
        </w:rPr>
        <w:t>seguirá considerando</w:t>
      </w:r>
      <w:r>
        <w:rPr>
          <w:sz w:val="20"/>
        </w:rPr>
        <w:t xml:space="preserve"> en primer lugar qué especies y tipos de productos deben estar cubiertos por cualquier sistema de documentación de capturas (CDS), teniendo en cuenta los factores especificados en el párrafo 1 de la Rec. 12-09.  Con miras a facilitar la implementación de cualquier CDS ampliado en cada CPC, debería considerarse un enfoque gradual/por etapas, incluido el enfoque técnico. A continuación, el CDS WG </w:t>
      </w:r>
      <w:r>
        <w:rPr>
          <w:sz w:val="20"/>
          <w:u w:val="single"/>
        </w:rPr>
        <w:t>examinará</w:t>
      </w:r>
      <w:r>
        <w:rPr>
          <w:sz w:val="20"/>
        </w:rPr>
        <w:t xml:space="preserve"> los detalles de los aspectos operativos y técnicos del CDS, basándose en la información/opiniones proporcionadas por las CPC, en particular en lo relativo a las consideraciones prácticas y técnicas con respecto al diseño y la implementación de cualquier CDS, entre las que se incluyen las siguientes: </w:t>
      </w:r>
    </w:p>
    <w:p w14:paraId="0129C1BE" w14:textId="4FBEB16B" w:rsidR="00BB102E" w:rsidRDefault="00EE3858">
      <w:pPr>
        <w:pStyle w:val="ListParagraph"/>
        <w:numPr>
          <w:ilvl w:val="1"/>
          <w:numId w:val="1"/>
        </w:numPr>
        <w:tabs>
          <w:tab w:val="left" w:pos="852"/>
        </w:tabs>
        <w:spacing w:before="78"/>
        <w:ind w:right="147"/>
        <w:rPr>
          <w:sz w:val="20"/>
        </w:rPr>
      </w:pPr>
      <w:r>
        <w:rPr>
          <w:sz w:val="20"/>
        </w:rPr>
        <w:t>Qué dificultades prácticas y técnicas existen en relación con el diseño y la implementación de los CDS y cómo podrían superarse</w:t>
      </w:r>
      <w:r w:rsidRPr="00114CD9">
        <w:rPr>
          <w:sz w:val="20"/>
          <w:u w:val="single"/>
        </w:rPr>
        <w:t xml:space="preserve">; </w:t>
      </w:r>
    </w:p>
    <w:p w14:paraId="39FA47A0" w14:textId="77777777" w:rsidR="00BB102E" w:rsidRDefault="00BB102E">
      <w:pPr>
        <w:pStyle w:val="BodyText"/>
      </w:pPr>
    </w:p>
    <w:p w14:paraId="519AA868" w14:textId="6954AEE7" w:rsidR="00BB102E" w:rsidRPr="00EA5C7F" w:rsidDel="005D511C" w:rsidRDefault="00B91CC9" w:rsidP="008D2F87">
      <w:pPr>
        <w:pStyle w:val="ListParagraph"/>
        <w:tabs>
          <w:tab w:val="left" w:pos="852"/>
        </w:tabs>
        <w:ind w:left="848" w:right="137" w:hanging="848"/>
        <w:rPr>
          <w:sz w:val="20"/>
        </w:rPr>
      </w:pPr>
      <w:r w:rsidRPr="00EA5C7F">
        <w:rPr>
          <w:sz w:val="20"/>
        </w:rPr>
        <w:t>[...]</w:t>
      </w:r>
    </w:p>
    <w:p w14:paraId="353B7692" w14:textId="77777777" w:rsidR="00BB102E" w:rsidRDefault="00BB102E">
      <w:pPr>
        <w:pStyle w:val="BodyText"/>
        <w:spacing w:before="34"/>
      </w:pPr>
    </w:p>
    <w:p w14:paraId="4540A23E" w14:textId="77777777" w:rsidR="00BB102E" w:rsidRDefault="00EE3858">
      <w:pPr>
        <w:pStyle w:val="ListParagraph"/>
        <w:numPr>
          <w:ilvl w:val="1"/>
          <w:numId w:val="1"/>
        </w:numPr>
        <w:tabs>
          <w:tab w:val="left" w:pos="852"/>
        </w:tabs>
        <w:ind w:right="141"/>
        <w:rPr>
          <w:sz w:val="20"/>
        </w:rPr>
      </w:pPr>
      <w:r>
        <w:rPr>
          <w:sz w:val="20"/>
        </w:rPr>
        <w:t xml:space="preserve">Qué programas de desarrollo de capacidades para las CPC en desarrollo pueden ser necesarios para apoyar su implementación de cualquier CDS ampliado; </w:t>
      </w:r>
    </w:p>
    <w:p w14:paraId="5B9D113E" w14:textId="77777777" w:rsidR="00BB102E" w:rsidRDefault="00BB102E">
      <w:pPr>
        <w:pStyle w:val="BodyText"/>
        <w:spacing w:before="36"/>
      </w:pPr>
    </w:p>
    <w:p w14:paraId="33AB66DE" w14:textId="77777777" w:rsidR="00BB102E" w:rsidRPr="00946314" w:rsidRDefault="00EE3858">
      <w:pPr>
        <w:pStyle w:val="ListParagraph"/>
        <w:numPr>
          <w:ilvl w:val="1"/>
          <w:numId w:val="1"/>
        </w:numPr>
        <w:tabs>
          <w:tab w:val="left" w:pos="852"/>
        </w:tabs>
        <w:spacing w:before="1"/>
        <w:ind w:right="141"/>
        <w:rPr>
          <w:sz w:val="20"/>
        </w:rPr>
      </w:pPr>
      <w:r w:rsidRPr="00946314">
        <w:rPr>
          <w:sz w:val="20"/>
        </w:rPr>
        <w:t xml:space="preserve">Cómo evitar la duplicación con los sistemas nacionales e internacionales existentes, y de reducir la carga de trabajo de las </w:t>
      </w:r>
      <w:proofErr w:type="gramStart"/>
      <w:r w:rsidRPr="00946314">
        <w:rPr>
          <w:sz w:val="20"/>
        </w:rPr>
        <w:t>CPC exportadoras</w:t>
      </w:r>
      <w:proofErr w:type="gramEnd"/>
      <w:r w:rsidRPr="00946314">
        <w:rPr>
          <w:sz w:val="20"/>
        </w:rPr>
        <w:t>, si es posible;</w:t>
      </w:r>
      <w:r w:rsidRPr="00946314">
        <w:rPr>
          <w:sz w:val="20"/>
          <w:u w:val="single"/>
        </w:rPr>
        <w:t xml:space="preserve"> y</w:t>
      </w:r>
    </w:p>
    <w:p w14:paraId="51962957" w14:textId="77777777" w:rsidR="00BB102E" w:rsidRPr="00946314" w:rsidRDefault="00BB102E">
      <w:pPr>
        <w:pStyle w:val="BodyText"/>
        <w:spacing w:before="34"/>
      </w:pPr>
    </w:p>
    <w:p w14:paraId="08BCCE84" w14:textId="77777777" w:rsidR="00BB102E" w:rsidRPr="00946314" w:rsidRDefault="00EE3858">
      <w:pPr>
        <w:pStyle w:val="ListParagraph"/>
        <w:numPr>
          <w:ilvl w:val="1"/>
          <w:numId w:val="1"/>
        </w:numPr>
        <w:tabs>
          <w:tab w:val="left" w:pos="852"/>
        </w:tabs>
        <w:rPr>
          <w:rFonts w:eastAsiaTheme="minorEastAsia"/>
          <w:spacing w:val="-2"/>
          <w:sz w:val="20"/>
        </w:rPr>
      </w:pPr>
      <w:r w:rsidRPr="00946314">
        <w:rPr>
          <w:sz w:val="20"/>
        </w:rPr>
        <w:t>Cómo garantizar la compatibilidad entre los CDS que se están desarrollando o aplicando en otras OROP de túnidos.</w:t>
      </w:r>
    </w:p>
    <w:p w14:paraId="4E4B649C" w14:textId="77777777" w:rsidR="00BB102E" w:rsidRPr="005D3AB2" w:rsidRDefault="00BB102E">
      <w:pPr>
        <w:pStyle w:val="BodyText"/>
        <w:rPr>
          <w:rFonts w:eastAsiaTheme="minorEastAsia"/>
          <w:highlight w:val="yellow"/>
          <w:lang w:eastAsia="ja-JP"/>
        </w:rPr>
      </w:pPr>
    </w:p>
    <w:p w14:paraId="741E7F50" w14:textId="77777777" w:rsidR="00F23C69" w:rsidRPr="005D3AB2" w:rsidRDefault="00680BE8" w:rsidP="005D3AB2">
      <w:pPr>
        <w:pStyle w:val="BodyText"/>
        <w:ind w:left="400" w:hangingChars="200" w:hanging="400"/>
        <w:jc w:val="both"/>
        <w:rPr>
          <w:rFonts w:eastAsiaTheme="minorEastAsia"/>
        </w:rPr>
      </w:pPr>
      <w:r w:rsidRPr="005D3AB2">
        <w:rPr>
          <w:u w:val="single"/>
        </w:rPr>
        <w:t>5bis.</w:t>
      </w:r>
      <w:r w:rsidRPr="005D3AB2">
        <w:t xml:space="preserve"> </w:t>
      </w:r>
      <w:r w:rsidRPr="005D3AB2">
        <w:rPr>
          <w:u w:val="single"/>
        </w:rPr>
        <w:t>Al examinar más a fondo un CDS ampliado, el CDS WG tendrá en cuenta las orientaciones generales que se hayan desprendido de sus debates hasta la fecha, entre las que figuran las siguientes:</w:t>
      </w:r>
    </w:p>
    <w:p w14:paraId="510717DF" w14:textId="77777777" w:rsidR="00F23C69" w:rsidRPr="005D3AB2" w:rsidRDefault="00F23C69" w:rsidP="005D3AB2">
      <w:pPr>
        <w:pStyle w:val="BodyText"/>
        <w:jc w:val="both"/>
        <w:rPr>
          <w:rFonts w:eastAsiaTheme="minorEastAsia"/>
          <w:lang w:eastAsia="ja-JP"/>
        </w:rPr>
      </w:pPr>
    </w:p>
    <w:p w14:paraId="182BB0F0" w14:textId="364E0AA9" w:rsidR="00F23C69" w:rsidRPr="005D3AB2" w:rsidRDefault="00F23C69" w:rsidP="005D3AB2">
      <w:pPr>
        <w:pStyle w:val="BodyText"/>
        <w:ind w:firstLineChars="200" w:firstLine="400"/>
        <w:jc w:val="both"/>
        <w:rPr>
          <w:rFonts w:eastAsiaTheme="minorEastAsia"/>
        </w:rPr>
      </w:pPr>
      <w:r w:rsidRPr="005D3AB2">
        <w:rPr>
          <w:u w:val="single"/>
        </w:rPr>
        <w:t>a) las especies candidatas deberían incluir el patudo y/o el pez espada;</w:t>
      </w:r>
    </w:p>
    <w:p w14:paraId="5F2FA261" w14:textId="77777777" w:rsidR="00F23C69" w:rsidRPr="005D3AB2" w:rsidRDefault="00F23C69" w:rsidP="005D3AB2">
      <w:pPr>
        <w:pStyle w:val="BodyText"/>
        <w:jc w:val="both"/>
        <w:rPr>
          <w:rFonts w:eastAsiaTheme="minorEastAsia"/>
          <w:lang w:eastAsia="ja-JP"/>
        </w:rPr>
      </w:pPr>
    </w:p>
    <w:p w14:paraId="28C255CF" w14:textId="7EB14F1C" w:rsidR="00F23C69" w:rsidRPr="005D3AB2" w:rsidRDefault="0045676B" w:rsidP="005D3AB2">
      <w:pPr>
        <w:pStyle w:val="BodyText"/>
        <w:ind w:leftChars="200" w:left="640" w:hangingChars="100" w:hanging="200"/>
        <w:jc w:val="both"/>
        <w:rPr>
          <w:rFonts w:eastAsiaTheme="minorEastAsia"/>
        </w:rPr>
      </w:pPr>
      <w:r w:rsidRPr="005D3AB2">
        <w:rPr>
          <w:u w:val="single"/>
        </w:rPr>
        <w:t>b) los datos exigidos deberían ser compatibles con los de otros sistemas de documentación de capturas existentes;</w:t>
      </w:r>
      <w:r w:rsidRPr="005D3AB2">
        <w:t xml:space="preserve"> </w:t>
      </w:r>
    </w:p>
    <w:p w14:paraId="4262A07E" w14:textId="77777777" w:rsidR="00F23C69" w:rsidRPr="005D3AB2" w:rsidRDefault="00F23C69" w:rsidP="005D3AB2">
      <w:pPr>
        <w:pStyle w:val="BodyText"/>
        <w:jc w:val="both"/>
        <w:rPr>
          <w:rFonts w:eastAsiaTheme="minorEastAsia"/>
          <w:lang w:eastAsia="ja-JP"/>
        </w:rPr>
      </w:pPr>
    </w:p>
    <w:p w14:paraId="3B097825" w14:textId="5F84FB5F" w:rsidR="00680BE8" w:rsidRPr="005D3AB2" w:rsidDel="0044318A" w:rsidRDefault="005D6724" w:rsidP="005D3AB2">
      <w:pPr>
        <w:pStyle w:val="BodyText"/>
        <w:ind w:leftChars="200" w:left="640" w:hangingChars="100" w:hanging="200"/>
        <w:jc w:val="both"/>
        <w:rPr>
          <w:rFonts w:eastAsiaTheme="minorEastAsia"/>
        </w:rPr>
      </w:pPr>
      <w:r w:rsidRPr="005D3AB2">
        <w:rPr>
          <w:u w:val="single"/>
        </w:rPr>
        <w:t>c) se debería prestar la debida consideración a las pesquerías de pequeña escala, entre otros medios, mediante procedimientos simplificados, cuando proceda; y</w:t>
      </w:r>
      <w:r w:rsidRPr="005D3AB2">
        <w:t xml:space="preserve"> </w:t>
      </w:r>
    </w:p>
    <w:p w14:paraId="450DB299" w14:textId="77777777" w:rsidR="0044318A" w:rsidRPr="005D3AB2" w:rsidRDefault="0044318A" w:rsidP="005D3AB2">
      <w:pPr>
        <w:pStyle w:val="BodyText"/>
        <w:ind w:leftChars="200" w:left="640" w:hangingChars="100" w:hanging="200"/>
        <w:jc w:val="both"/>
        <w:rPr>
          <w:rFonts w:eastAsiaTheme="minorEastAsia"/>
          <w:lang w:eastAsia="ja-JP"/>
        </w:rPr>
      </w:pPr>
    </w:p>
    <w:p w14:paraId="18529BCE" w14:textId="12E501EA" w:rsidR="0044318A" w:rsidRPr="005D3AB2" w:rsidRDefault="00506960" w:rsidP="005D3AB2">
      <w:pPr>
        <w:pStyle w:val="BodyText"/>
        <w:ind w:leftChars="200" w:left="640" w:hangingChars="100" w:hanging="200"/>
        <w:jc w:val="both"/>
        <w:rPr>
          <w:rFonts w:eastAsiaTheme="minorEastAsia"/>
        </w:rPr>
      </w:pPr>
      <w:r w:rsidRPr="005D3AB2">
        <w:rPr>
          <w:u w:val="single"/>
        </w:rPr>
        <w:t>d) los productos procedentes de capturas fortuitas deberían registrarse, pero los productos de la pesca deportiva y de recreo podrán no registrarse en el sistema.</w:t>
      </w:r>
      <w:r w:rsidRPr="005D3AB2">
        <w:t xml:space="preserve"> </w:t>
      </w:r>
    </w:p>
    <w:p w14:paraId="017BD6CF" w14:textId="1AE7EC19" w:rsidR="0044318A" w:rsidRPr="005D3AB2" w:rsidRDefault="0044318A" w:rsidP="0044318A">
      <w:pPr>
        <w:pStyle w:val="BodyText"/>
        <w:ind w:leftChars="200" w:left="640" w:hangingChars="100" w:hanging="200"/>
        <w:rPr>
          <w:rFonts w:eastAsiaTheme="minorEastAsia"/>
          <w:highlight w:val="yellow"/>
          <w:lang w:eastAsia="ja-JP"/>
        </w:rPr>
      </w:pPr>
    </w:p>
    <w:p w14:paraId="7E7D50AC" w14:textId="267C169A" w:rsidR="00680BE8" w:rsidRPr="005D3AB2" w:rsidRDefault="00680BE8">
      <w:pPr>
        <w:pStyle w:val="BodyText"/>
        <w:rPr>
          <w:rFonts w:eastAsiaTheme="minorEastAsia"/>
          <w:lang w:eastAsia="ja-JP"/>
        </w:rPr>
      </w:pPr>
    </w:p>
    <w:p w14:paraId="54398545" w14:textId="058DA51A" w:rsidR="005D3AB2" w:rsidRPr="005D3AB2" w:rsidRDefault="00EE3858">
      <w:pPr>
        <w:pStyle w:val="ListParagraph"/>
        <w:numPr>
          <w:ilvl w:val="0"/>
          <w:numId w:val="1"/>
        </w:numPr>
        <w:tabs>
          <w:tab w:val="left" w:pos="425"/>
          <w:tab w:val="left" w:pos="427"/>
        </w:tabs>
        <w:ind w:right="142"/>
        <w:rPr>
          <w:sz w:val="20"/>
        </w:rPr>
      </w:pPr>
      <w:r w:rsidRPr="005D3AB2">
        <w:rPr>
          <w:sz w:val="20"/>
        </w:rPr>
        <w:t xml:space="preserve">El CDS WG también se ocupará de las cuestiones técnicas relacionadas con </w:t>
      </w:r>
      <w:r w:rsidRPr="005D3AB2">
        <w:rPr>
          <w:sz w:val="20"/>
          <w:u w:val="single"/>
        </w:rPr>
        <w:t>la modernización y reconstrucción del sistema</w:t>
      </w:r>
      <w:r w:rsidRPr="005D3AB2">
        <w:rPr>
          <w:sz w:val="20"/>
        </w:rPr>
        <w:t xml:space="preserve"> eBCD, </w:t>
      </w:r>
      <w:r w:rsidRPr="005D3AB2">
        <w:rPr>
          <w:sz w:val="20"/>
          <w:u w:val="single"/>
        </w:rPr>
        <w:t xml:space="preserve">con el fin de que dicho sistema pueda dar cabida al patudo y al pez espada, así como a otras posibles especies en el futuro, según proceda. </w:t>
      </w:r>
    </w:p>
    <w:p w14:paraId="2012995E" w14:textId="77777777" w:rsidR="005D3AB2" w:rsidRDefault="005D3AB2" w:rsidP="005D3AB2">
      <w:pPr>
        <w:pStyle w:val="ListParagraph"/>
        <w:tabs>
          <w:tab w:val="left" w:pos="425"/>
          <w:tab w:val="left" w:pos="427"/>
        </w:tabs>
        <w:ind w:right="142" w:firstLine="0"/>
        <w:rPr>
          <w:sz w:val="20"/>
          <w:u w:val="single"/>
        </w:rPr>
      </w:pPr>
    </w:p>
    <w:p w14:paraId="3D5F9987" w14:textId="4BCA0445" w:rsidR="00BB102E" w:rsidRPr="008D2F87" w:rsidRDefault="00EE3858" w:rsidP="005D3AB2">
      <w:pPr>
        <w:pStyle w:val="ListParagraph"/>
        <w:tabs>
          <w:tab w:val="left" w:pos="425"/>
          <w:tab w:val="left" w:pos="427"/>
        </w:tabs>
        <w:ind w:right="142"/>
        <w:rPr>
          <w:sz w:val="20"/>
        </w:rPr>
      </w:pPr>
      <w:r w:rsidRPr="008D2F87">
        <w:rPr>
          <w:sz w:val="20"/>
        </w:rPr>
        <w:t>[...]</w:t>
      </w:r>
    </w:p>
    <w:p w14:paraId="6DFD8515" w14:textId="77777777" w:rsidR="007E2F19" w:rsidRPr="005D3AB2" w:rsidRDefault="007E2F19" w:rsidP="005D3AB2">
      <w:pPr>
        <w:pStyle w:val="ListParagraph"/>
        <w:tabs>
          <w:tab w:val="left" w:pos="425"/>
          <w:tab w:val="left" w:pos="427"/>
        </w:tabs>
        <w:ind w:right="140" w:firstLine="0"/>
        <w:rPr>
          <w:sz w:val="20"/>
          <w:highlight w:val="yellow"/>
        </w:rPr>
      </w:pPr>
    </w:p>
    <w:p w14:paraId="473DF6A8" w14:textId="03D5EAF9" w:rsidR="00BB102E" w:rsidRDefault="00EE3858">
      <w:pPr>
        <w:pStyle w:val="ListParagraph"/>
        <w:numPr>
          <w:ilvl w:val="0"/>
          <w:numId w:val="1"/>
        </w:numPr>
        <w:tabs>
          <w:tab w:val="left" w:pos="425"/>
          <w:tab w:val="left" w:pos="427"/>
        </w:tabs>
        <w:ind w:right="140"/>
        <w:rPr>
          <w:sz w:val="20"/>
        </w:rPr>
      </w:pPr>
      <w:r>
        <w:rPr>
          <w:sz w:val="20"/>
        </w:rPr>
        <w:t>El CDS WG identificará, en la medida de lo posible, los componentes clave para facilitar la aplicación de cualquier CDS ampliado, incluido teniendo en cuenta las necesidades y requisitos especiales de las CPC en desarrollo, tanto en el diseño como en la aplicación de dichos sistemas, entre otros.</w:t>
      </w:r>
    </w:p>
    <w:p w14:paraId="2F2C69F7" w14:textId="77777777" w:rsidR="00BB102E" w:rsidRDefault="00BB102E">
      <w:pPr>
        <w:pStyle w:val="BodyText"/>
        <w:spacing w:before="1"/>
      </w:pPr>
    </w:p>
    <w:p w14:paraId="55EA07E3" w14:textId="6FB20401" w:rsidR="00BB102E" w:rsidRPr="005D3AB2" w:rsidRDefault="00EE3858">
      <w:pPr>
        <w:pStyle w:val="ListParagraph"/>
        <w:numPr>
          <w:ilvl w:val="0"/>
          <w:numId w:val="1"/>
        </w:numPr>
        <w:tabs>
          <w:tab w:val="left" w:pos="425"/>
          <w:tab w:val="left" w:pos="427"/>
        </w:tabs>
        <w:ind w:right="139"/>
        <w:rPr>
          <w:sz w:val="20"/>
        </w:rPr>
      </w:pPr>
      <w:r>
        <w:rPr>
          <w:sz w:val="20"/>
          <w:u w:val="single"/>
        </w:rPr>
        <w:t>E</w:t>
      </w:r>
      <w:r>
        <w:rPr>
          <w:sz w:val="20"/>
        </w:rPr>
        <w:t xml:space="preserve">l CDS WG celebrará una reunión al menos una vez al año, salvo que la Comisión decida otra cosa. Si el CDS WG se reúne de forma presencial, su reunión debería celebrarse preferiblemente en conjunción con una reunión intersesiones, en particular la reunión del Grupo de trabajo sobre IMM, de modo que el Fondo de participación en reuniones pueda utilizarse eficazmente para apoyar la participación de las CPC en desarrollo. Si la reunión del CDS WG se celebra junto con la reunión del Grupo de trabajo sobre IMM, la duración total de estas dos reuniones debería ser de cinco días como máximo, a menos que la Comisión decida otra cosa. El CDS WG podrá reunirse para debatir cuestiones técnicas </w:t>
      </w:r>
      <w:r w:rsidRPr="005D3AB2">
        <w:rPr>
          <w:sz w:val="20"/>
        </w:rPr>
        <w:t xml:space="preserve">relacionadas con el eBCD siempre que el presidente del CDS WG lo considere necesario y </w:t>
      </w:r>
      <w:r w:rsidRPr="005D3AB2">
        <w:rPr>
          <w:sz w:val="20"/>
        </w:rPr>
        <w:lastRenderedPageBreak/>
        <w:t xml:space="preserve">logísticamente factible. </w:t>
      </w:r>
      <w:r w:rsidRPr="005D3AB2">
        <w:rPr>
          <w:sz w:val="20"/>
          <w:u w:val="single"/>
        </w:rPr>
        <w:t xml:space="preserve">Las reuniones técnicas informales también podrán celebrarse de forma virtual sin interpretación, con la participación de las </w:t>
      </w:r>
      <w:proofErr w:type="gramStart"/>
      <w:r w:rsidRPr="005D3AB2">
        <w:rPr>
          <w:sz w:val="20"/>
          <w:u w:val="single"/>
        </w:rPr>
        <w:t>CPC interesadas</w:t>
      </w:r>
      <w:proofErr w:type="gramEnd"/>
      <w:r w:rsidRPr="005D3AB2">
        <w:rPr>
          <w:sz w:val="20"/>
          <w:u w:val="single"/>
        </w:rPr>
        <w:t>, la Secretaría y, según proceda, los expertos que participen en el desarrollo de los sistemas pertinentes.</w:t>
      </w:r>
    </w:p>
    <w:p w14:paraId="0E3D8388" w14:textId="6B96F8ED" w:rsidR="00BB102E" w:rsidRPr="005D3AB2" w:rsidRDefault="00704402">
      <w:pPr>
        <w:pStyle w:val="ListParagraph"/>
        <w:numPr>
          <w:ilvl w:val="0"/>
          <w:numId w:val="1"/>
        </w:numPr>
        <w:tabs>
          <w:tab w:val="left" w:pos="425"/>
          <w:tab w:val="left" w:pos="427"/>
        </w:tabs>
        <w:spacing w:before="234"/>
        <w:ind w:right="141"/>
        <w:rPr>
          <w:sz w:val="20"/>
        </w:rPr>
      </w:pPr>
      <w:r w:rsidRPr="005D3AB2">
        <w:rPr>
          <w:sz w:val="20"/>
          <w:u w:val="single"/>
        </w:rPr>
        <w:t>El CDS WG seguirá estudiando la posible ampliación del CDS a otras especies, en paralelo con los trabajos relacionados con el mantenimiento, la modernización y la reconstrucción del sistema eBCD.</w:t>
      </w:r>
      <w:r w:rsidRPr="005D3AB2">
        <w:rPr>
          <w:sz w:val="20"/>
        </w:rPr>
        <w:t xml:space="preserve"> </w:t>
      </w:r>
      <w:r w:rsidRPr="005D3AB2">
        <w:rPr>
          <w:sz w:val="20"/>
          <w:u w:val="single"/>
        </w:rPr>
        <w:t>El Grupo de trabajo dará prioridad a las cuestiones relacionadas con la modernización y la reconstrucción del eBCD e informará anualmente al GTP y a la Comisión sobre los avances logrados.</w:t>
      </w:r>
      <w:r w:rsidRPr="005D3AB2">
        <w:rPr>
          <w:sz w:val="20"/>
        </w:rPr>
        <w:t xml:space="preserve"> </w:t>
      </w:r>
      <w:r w:rsidRPr="005D3AB2">
        <w:rPr>
          <w:sz w:val="20"/>
          <w:u w:val="single"/>
        </w:rPr>
        <w:t>El CDS WG formulará recomendaciones sobre cualquier futura ampliación del CDS, según proceda, para que la Comisión las examine lo antes posible, pero a más tardar en 2029.</w:t>
      </w:r>
    </w:p>
    <w:p w14:paraId="68EBB9BE" w14:textId="77777777" w:rsidR="00BB102E" w:rsidRPr="005D3AB2" w:rsidRDefault="00BB102E">
      <w:pPr>
        <w:pStyle w:val="BodyText"/>
      </w:pPr>
    </w:p>
    <w:p w14:paraId="364196D9" w14:textId="451CA934" w:rsidR="00BB102E" w:rsidRPr="005D3AB2" w:rsidRDefault="00EE3858">
      <w:pPr>
        <w:pStyle w:val="ListParagraph"/>
        <w:numPr>
          <w:ilvl w:val="0"/>
          <w:numId w:val="1"/>
        </w:numPr>
        <w:tabs>
          <w:tab w:val="left" w:pos="425"/>
          <w:tab w:val="left" w:pos="427"/>
        </w:tabs>
        <w:ind w:right="142"/>
        <w:rPr>
          <w:sz w:val="20"/>
        </w:rPr>
      </w:pPr>
      <w:r w:rsidRPr="005D3AB2">
        <w:rPr>
          <w:sz w:val="20"/>
        </w:rPr>
        <w:t xml:space="preserve">Esta Recomendación deroga y sustituye la </w:t>
      </w:r>
      <w:r w:rsidRPr="005D3AB2">
        <w:rPr>
          <w:i/>
          <w:sz w:val="20"/>
          <w:u w:val="single"/>
        </w:rPr>
        <w:t>Recomendación de ICCAT que establece un Grupo de trabajo permanente sobre sistemas de documentación de capturas (CDS WG)</w:t>
      </w:r>
      <w:r w:rsidRPr="005D3AB2">
        <w:rPr>
          <w:sz w:val="20"/>
          <w:u w:val="single"/>
        </w:rPr>
        <w:t xml:space="preserve"> (Rec. 23-22).</w:t>
      </w:r>
    </w:p>
    <w:sectPr w:rsidR="00BB102E" w:rsidRPr="005D3AB2" w:rsidSect="0074138C">
      <w:headerReference w:type="default" r:id="rId11"/>
      <w:footerReference w:type="default" r:id="rId12"/>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1263" w14:textId="77777777" w:rsidR="00ED4B91" w:rsidRDefault="00ED4B91">
      <w:r>
        <w:separator/>
      </w:r>
    </w:p>
  </w:endnote>
  <w:endnote w:type="continuationSeparator" w:id="0">
    <w:p w14:paraId="28F73919" w14:textId="77777777" w:rsidR="00ED4B91" w:rsidRDefault="00ED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9780" w14:textId="0E1033E6" w:rsidR="00B53068" w:rsidRPr="00DC3C38" w:rsidRDefault="00ED4B91" w:rsidP="00DC3C38">
    <w:pPr>
      <w:tabs>
        <w:tab w:val="center" w:pos="4535"/>
        <w:tab w:val="center" w:pos="4680"/>
        <w:tab w:val="left" w:pos="6150"/>
        <w:tab w:val="right" w:pos="9360"/>
      </w:tabs>
      <w:jc w:val="center"/>
      <w:rPr>
        <w:rFonts w:eastAsia="Calibri"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DC3C38" w:rsidRPr="00713AD4">
          <w:rPr>
            <w:rFonts w:eastAsia="Calibri" w:cs="Calibri"/>
            <w:sz w:val="20"/>
          </w:rPr>
          <w:fldChar w:fldCharType="begin"/>
        </w:r>
        <w:r w:rsidR="00DC3C38" w:rsidRPr="00713AD4">
          <w:rPr>
            <w:rFonts w:eastAsia="Calibri" w:cs="Calibri"/>
            <w:sz w:val="20"/>
          </w:rPr>
          <w:instrText xml:space="preserve"> PAGE </w:instrText>
        </w:r>
        <w:r w:rsidR="00DC3C38" w:rsidRPr="00713AD4">
          <w:rPr>
            <w:rFonts w:eastAsia="Calibri" w:cs="Calibri"/>
            <w:sz w:val="20"/>
          </w:rPr>
          <w:fldChar w:fldCharType="separate"/>
        </w:r>
        <w:r w:rsidR="00DC3C38">
          <w:rPr>
            <w:rFonts w:eastAsia="Calibri" w:cs="Calibri"/>
            <w:sz w:val="20"/>
          </w:rPr>
          <w:t>1</w:t>
        </w:r>
        <w:r w:rsidR="00DC3C38" w:rsidRPr="00713AD4">
          <w:rPr>
            <w:rFonts w:eastAsia="Calibri" w:cs="Calibri"/>
            <w:sz w:val="20"/>
          </w:rPr>
          <w:fldChar w:fldCharType="end"/>
        </w:r>
        <w:r w:rsidR="00DC3C38">
          <w:rPr>
            <w:sz w:val="20"/>
          </w:rPr>
          <w:t xml:space="preserve"> / </w:t>
        </w:r>
        <w:r w:rsidR="00DC3C38" w:rsidRPr="00713AD4">
          <w:rPr>
            <w:rFonts w:eastAsia="Calibri" w:cs="Calibri"/>
            <w:sz w:val="20"/>
          </w:rPr>
          <w:fldChar w:fldCharType="begin"/>
        </w:r>
        <w:r w:rsidR="00DC3C38" w:rsidRPr="00713AD4">
          <w:rPr>
            <w:rFonts w:eastAsia="Calibri" w:cs="Calibri"/>
            <w:sz w:val="20"/>
          </w:rPr>
          <w:instrText xml:space="preserve"> NUMPAGES  </w:instrText>
        </w:r>
        <w:r w:rsidR="00DC3C38" w:rsidRPr="00713AD4">
          <w:rPr>
            <w:rFonts w:eastAsia="Calibri" w:cs="Calibri"/>
            <w:sz w:val="20"/>
          </w:rPr>
          <w:fldChar w:fldCharType="separate"/>
        </w:r>
        <w:r w:rsidR="00DC3C38">
          <w:rPr>
            <w:rFonts w:eastAsia="Calibri" w:cs="Calibri"/>
            <w:sz w:val="20"/>
          </w:rPr>
          <w:t>13</w:t>
        </w:r>
        <w:r w:rsidR="00DC3C38" w:rsidRPr="00713AD4">
          <w:rPr>
            <w:rFonts w:eastAsia="Calibri"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4906B" w14:textId="77777777" w:rsidR="00ED4B91" w:rsidRDefault="00ED4B91">
      <w:r>
        <w:separator/>
      </w:r>
    </w:p>
  </w:footnote>
  <w:footnote w:type="continuationSeparator" w:id="0">
    <w:p w14:paraId="35CC0EED" w14:textId="77777777" w:rsidR="00ED4B91" w:rsidRDefault="00ED4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9688" w14:textId="5BAC2352" w:rsidR="00AB2BC6" w:rsidRPr="00AB2BC6" w:rsidRDefault="00AB2BC6" w:rsidP="00AB2BC6">
    <w:pPr>
      <w:widowControl/>
      <w:tabs>
        <w:tab w:val="center" w:pos="4680"/>
        <w:tab w:val="left" w:pos="6520"/>
        <w:tab w:val="right" w:pos="9360"/>
        <w:tab w:val="right" w:pos="14240"/>
      </w:tabs>
      <w:autoSpaceDE/>
      <w:autoSpaceDN/>
      <w:jc w:val="right"/>
      <w:rPr>
        <w:rFonts w:eastAsia="Calibri"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Pr>
        <w:b/>
        <w:sz w:val="20"/>
      </w:rPr>
      <w:t>PWG_417/2026</w:t>
    </w:r>
  </w:p>
  <w:p w14:paraId="241E99B4" w14:textId="04412AE1" w:rsidR="00AB2BC6" w:rsidRPr="00AB2BC6" w:rsidRDefault="00AB2BC6" w:rsidP="00AB2BC6">
    <w:pPr>
      <w:widowControl/>
      <w:tabs>
        <w:tab w:val="center" w:pos="4680"/>
        <w:tab w:val="right" w:pos="9360"/>
      </w:tabs>
      <w:autoSpaceDE/>
      <w:autoSpaceDN/>
      <w:jc w:val="right"/>
      <w:rPr>
        <w:rFonts w:ascii="Aptos" w:eastAsia="Yu Mincho" w:hAnsi="Aptos" w:cs="Arial"/>
        <w:kern w:val="2"/>
        <w:sz w:val="24"/>
        <w:szCs w:val="24"/>
        <w14:ligatures w14:val="standardContextual"/>
      </w:rPr>
    </w:pPr>
    <w:r w:rsidRPr="00AB2BC6">
      <w:rPr>
        <w:rFonts w:eastAsia="Times New Roman" w:cs="Times New Roman"/>
        <w:b/>
        <w:sz w:val="16"/>
      </w:rPr>
      <w:fldChar w:fldCharType="begin"/>
    </w:r>
    <w:r w:rsidRPr="00AB2BC6">
      <w:rPr>
        <w:rFonts w:eastAsia="Times New Roman" w:cs="Times New Roman"/>
        <w:b/>
        <w:sz w:val="16"/>
      </w:rPr>
      <w:instrText xml:space="preserve"> TIME \@ "dd/MM/yyyy H:mm" </w:instrText>
    </w:r>
    <w:r w:rsidRPr="00AB2BC6">
      <w:rPr>
        <w:rFonts w:eastAsia="Times New Roman" w:cs="Times New Roman"/>
        <w:b/>
        <w:sz w:val="16"/>
      </w:rPr>
      <w:fldChar w:fldCharType="separate"/>
    </w:r>
    <w:r w:rsidR="0074138C">
      <w:rPr>
        <w:rFonts w:eastAsia="Times New Roman" w:cs="Times New Roman"/>
        <w:b/>
        <w:noProof/>
        <w:sz w:val="16"/>
      </w:rPr>
      <w:t>26/10/2026 15:11</w:t>
    </w:r>
    <w:r w:rsidRPr="00AB2BC6">
      <w:rPr>
        <w:rFonts w:eastAsia="Times New Roman" w:cs="Times New Roman"/>
        <w:b/>
        <w:bCs/>
        <w:sz w:val="16"/>
        <w:szCs w:val="16"/>
        <w:lang w:val="es-ES_tradnl"/>
      </w:rPr>
      <w:fldChar w:fldCharType="end"/>
    </w:r>
    <w:bookmarkEnd w:id="2"/>
    <w:bookmarkEnd w:id="3"/>
    <w:bookmarkEnd w:id="4"/>
    <w:bookmarkEnd w:id="5"/>
    <w:bookmarkEnd w:id="6"/>
    <w:bookmarkEnd w:id="7"/>
  </w:p>
  <w:p w14:paraId="58984EC4" w14:textId="1F3AD08E" w:rsidR="00AB2BC6" w:rsidRDefault="00AB2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13744"/>
    <w:multiLevelType w:val="hybridMultilevel"/>
    <w:tmpl w:val="D0C4AD24"/>
    <w:lvl w:ilvl="0" w:tplc="EE083E38">
      <w:start w:val="1"/>
      <w:numFmt w:val="decimal"/>
      <w:lvlText w:val="%1."/>
      <w:lvlJc w:val="left"/>
      <w:pPr>
        <w:ind w:left="427" w:hanging="427"/>
      </w:pPr>
      <w:rPr>
        <w:rFonts w:ascii="Cambria" w:eastAsia="Cambria" w:hAnsi="Cambria" w:cs="Cambria" w:hint="default"/>
        <w:b w:val="0"/>
        <w:bCs w:val="0"/>
        <w:i w:val="0"/>
        <w:iCs w:val="0"/>
        <w:spacing w:val="0"/>
        <w:w w:val="100"/>
        <w:sz w:val="20"/>
        <w:szCs w:val="20"/>
        <w:lang w:val="en-US" w:eastAsia="en-US" w:bidi="ar-SA"/>
      </w:rPr>
    </w:lvl>
    <w:lvl w:ilvl="1" w:tplc="6CEE77AC">
      <w:start w:val="1"/>
      <w:numFmt w:val="lowerLetter"/>
      <w:lvlText w:val="%2)"/>
      <w:lvlJc w:val="left"/>
      <w:pPr>
        <w:ind w:left="852" w:hanging="425"/>
      </w:pPr>
      <w:rPr>
        <w:rFonts w:ascii="Cambria" w:eastAsia="Cambria" w:hAnsi="Cambria" w:cs="Cambria" w:hint="default"/>
        <w:b w:val="0"/>
        <w:bCs w:val="0"/>
        <w:i w:val="0"/>
        <w:iCs w:val="0"/>
        <w:spacing w:val="0"/>
        <w:w w:val="100"/>
        <w:sz w:val="20"/>
        <w:szCs w:val="20"/>
        <w:lang w:val="en-US" w:eastAsia="en-US" w:bidi="ar-SA"/>
      </w:rPr>
    </w:lvl>
    <w:lvl w:ilvl="2" w:tplc="633ED38E">
      <w:numFmt w:val="bullet"/>
      <w:lvlText w:val="•"/>
      <w:lvlJc w:val="left"/>
      <w:pPr>
        <w:ind w:left="1788" w:hanging="425"/>
      </w:pPr>
      <w:rPr>
        <w:rFonts w:hint="default"/>
        <w:lang w:val="en-US" w:eastAsia="en-US" w:bidi="ar-SA"/>
      </w:rPr>
    </w:lvl>
    <w:lvl w:ilvl="3" w:tplc="6C42A9C4">
      <w:numFmt w:val="bullet"/>
      <w:lvlText w:val="•"/>
      <w:lvlJc w:val="left"/>
      <w:pPr>
        <w:ind w:left="2716" w:hanging="425"/>
      </w:pPr>
      <w:rPr>
        <w:rFonts w:hint="default"/>
        <w:lang w:val="en-US" w:eastAsia="en-US" w:bidi="ar-SA"/>
      </w:rPr>
    </w:lvl>
    <w:lvl w:ilvl="4" w:tplc="3E5CC658">
      <w:numFmt w:val="bullet"/>
      <w:lvlText w:val="•"/>
      <w:lvlJc w:val="left"/>
      <w:pPr>
        <w:ind w:left="3645" w:hanging="425"/>
      </w:pPr>
      <w:rPr>
        <w:rFonts w:hint="default"/>
        <w:lang w:val="en-US" w:eastAsia="en-US" w:bidi="ar-SA"/>
      </w:rPr>
    </w:lvl>
    <w:lvl w:ilvl="5" w:tplc="DB0AADB6">
      <w:numFmt w:val="bullet"/>
      <w:lvlText w:val="•"/>
      <w:lvlJc w:val="left"/>
      <w:pPr>
        <w:ind w:left="4573" w:hanging="425"/>
      </w:pPr>
      <w:rPr>
        <w:rFonts w:hint="default"/>
        <w:lang w:val="en-US" w:eastAsia="en-US" w:bidi="ar-SA"/>
      </w:rPr>
    </w:lvl>
    <w:lvl w:ilvl="6" w:tplc="C4EE634C">
      <w:numFmt w:val="bullet"/>
      <w:lvlText w:val="•"/>
      <w:lvlJc w:val="left"/>
      <w:pPr>
        <w:ind w:left="5502" w:hanging="425"/>
      </w:pPr>
      <w:rPr>
        <w:rFonts w:hint="default"/>
        <w:lang w:val="en-US" w:eastAsia="en-US" w:bidi="ar-SA"/>
      </w:rPr>
    </w:lvl>
    <w:lvl w:ilvl="7" w:tplc="D0BC4FBE">
      <w:numFmt w:val="bullet"/>
      <w:lvlText w:val="•"/>
      <w:lvlJc w:val="left"/>
      <w:pPr>
        <w:ind w:left="6430" w:hanging="425"/>
      </w:pPr>
      <w:rPr>
        <w:rFonts w:hint="default"/>
        <w:lang w:val="en-US" w:eastAsia="en-US" w:bidi="ar-SA"/>
      </w:rPr>
    </w:lvl>
    <w:lvl w:ilvl="8" w:tplc="9A3A4ED4">
      <w:numFmt w:val="bullet"/>
      <w:lvlText w:val="•"/>
      <w:lvlJc w:val="left"/>
      <w:pPr>
        <w:ind w:left="7358" w:hanging="425"/>
      </w:pPr>
      <w:rPr>
        <w:rFonts w:hint="default"/>
        <w:lang w:val="en-US" w:eastAsia="en-US" w:bidi="ar-SA"/>
      </w:rPr>
    </w:lvl>
  </w:abstractNum>
  <w:abstractNum w:abstractNumId="1"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980110786">
    <w:abstractNumId w:val="0"/>
  </w:num>
  <w:num w:numId="2" w16cid:durableId="3712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02E"/>
    <w:rsid w:val="000038F7"/>
    <w:rsid w:val="000143F1"/>
    <w:rsid w:val="000272B3"/>
    <w:rsid w:val="00036575"/>
    <w:rsid w:val="0003758D"/>
    <w:rsid w:val="00055C5D"/>
    <w:rsid w:val="000613B2"/>
    <w:rsid w:val="00065ABC"/>
    <w:rsid w:val="000A4E48"/>
    <w:rsid w:val="000A76CF"/>
    <w:rsid w:val="000B76A0"/>
    <w:rsid w:val="000C5A39"/>
    <w:rsid w:val="000F34FA"/>
    <w:rsid w:val="000F4F02"/>
    <w:rsid w:val="000F5422"/>
    <w:rsid w:val="001031D2"/>
    <w:rsid w:val="00114CD9"/>
    <w:rsid w:val="00142F7D"/>
    <w:rsid w:val="0015560A"/>
    <w:rsid w:val="0016058E"/>
    <w:rsid w:val="0019624F"/>
    <w:rsid w:val="001A6FE3"/>
    <w:rsid w:val="001B02E6"/>
    <w:rsid w:val="001B29D2"/>
    <w:rsid w:val="001C0508"/>
    <w:rsid w:val="001D1121"/>
    <w:rsid w:val="00205F5D"/>
    <w:rsid w:val="00220D7C"/>
    <w:rsid w:val="002234D9"/>
    <w:rsid w:val="00223DC4"/>
    <w:rsid w:val="002514E2"/>
    <w:rsid w:val="00252F9B"/>
    <w:rsid w:val="00255945"/>
    <w:rsid w:val="002577BA"/>
    <w:rsid w:val="0026439B"/>
    <w:rsid w:val="00275603"/>
    <w:rsid w:val="002979B1"/>
    <w:rsid w:val="002A3513"/>
    <w:rsid w:val="002B0FA5"/>
    <w:rsid w:val="002C2D15"/>
    <w:rsid w:val="002D4869"/>
    <w:rsid w:val="00322348"/>
    <w:rsid w:val="003229B0"/>
    <w:rsid w:val="00323281"/>
    <w:rsid w:val="00353072"/>
    <w:rsid w:val="00356C59"/>
    <w:rsid w:val="0036494E"/>
    <w:rsid w:val="0038588B"/>
    <w:rsid w:val="00395481"/>
    <w:rsid w:val="00397728"/>
    <w:rsid w:val="003B0A86"/>
    <w:rsid w:val="003B3EF4"/>
    <w:rsid w:val="003F260E"/>
    <w:rsid w:val="003F5500"/>
    <w:rsid w:val="00402EFD"/>
    <w:rsid w:val="00424338"/>
    <w:rsid w:val="0044318A"/>
    <w:rsid w:val="0044439B"/>
    <w:rsid w:val="0045022C"/>
    <w:rsid w:val="0045676B"/>
    <w:rsid w:val="00457726"/>
    <w:rsid w:val="00460C81"/>
    <w:rsid w:val="00472A7A"/>
    <w:rsid w:val="00481463"/>
    <w:rsid w:val="00483E9F"/>
    <w:rsid w:val="0048430C"/>
    <w:rsid w:val="00484B58"/>
    <w:rsid w:val="00486DDA"/>
    <w:rsid w:val="00492223"/>
    <w:rsid w:val="004A7227"/>
    <w:rsid w:val="004A75B7"/>
    <w:rsid w:val="004B324F"/>
    <w:rsid w:val="004C7DB0"/>
    <w:rsid w:val="004D1217"/>
    <w:rsid w:val="004D757D"/>
    <w:rsid w:val="004E50BC"/>
    <w:rsid w:val="004E67DF"/>
    <w:rsid w:val="004F7870"/>
    <w:rsid w:val="00504BFD"/>
    <w:rsid w:val="00506960"/>
    <w:rsid w:val="005072C9"/>
    <w:rsid w:val="00521DE0"/>
    <w:rsid w:val="00525AA2"/>
    <w:rsid w:val="00541F63"/>
    <w:rsid w:val="00557A46"/>
    <w:rsid w:val="00563064"/>
    <w:rsid w:val="005640D2"/>
    <w:rsid w:val="005664B8"/>
    <w:rsid w:val="00573462"/>
    <w:rsid w:val="005A4D88"/>
    <w:rsid w:val="005C09B2"/>
    <w:rsid w:val="005D3AB2"/>
    <w:rsid w:val="005D511C"/>
    <w:rsid w:val="005D6724"/>
    <w:rsid w:val="005E49AB"/>
    <w:rsid w:val="00603838"/>
    <w:rsid w:val="00605C42"/>
    <w:rsid w:val="006206F5"/>
    <w:rsid w:val="00626157"/>
    <w:rsid w:val="0066029C"/>
    <w:rsid w:val="00672C1B"/>
    <w:rsid w:val="00680BE8"/>
    <w:rsid w:val="00696575"/>
    <w:rsid w:val="006A046E"/>
    <w:rsid w:val="006A54F3"/>
    <w:rsid w:val="006A554A"/>
    <w:rsid w:val="006A577F"/>
    <w:rsid w:val="006A6C78"/>
    <w:rsid w:val="006A6D24"/>
    <w:rsid w:val="006F6702"/>
    <w:rsid w:val="00704402"/>
    <w:rsid w:val="00727845"/>
    <w:rsid w:val="00735E93"/>
    <w:rsid w:val="0074138C"/>
    <w:rsid w:val="007509AA"/>
    <w:rsid w:val="00751291"/>
    <w:rsid w:val="00751859"/>
    <w:rsid w:val="0076032F"/>
    <w:rsid w:val="00767859"/>
    <w:rsid w:val="00772381"/>
    <w:rsid w:val="00773EE1"/>
    <w:rsid w:val="0077453E"/>
    <w:rsid w:val="00777A90"/>
    <w:rsid w:val="00784AE6"/>
    <w:rsid w:val="00790E0E"/>
    <w:rsid w:val="007911F8"/>
    <w:rsid w:val="00796371"/>
    <w:rsid w:val="007D1390"/>
    <w:rsid w:val="007E2F19"/>
    <w:rsid w:val="007F1B72"/>
    <w:rsid w:val="007F252E"/>
    <w:rsid w:val="00800B06"/>
    <w:rsid w:val="0080478E"/>
    <w:rsid w:val="0081545D"/>
    <w:rsid w:val="008343C8"/>
    <w:rsid w:val="00846E16"/>
    <w:rsid w:val="00852564"/>
    <w:rsid w:val="008553C0"/>
    <w:rsid w:val="00881823"/>
    <w:rsid w:val="008A22E3"/>
    <w:rsid w:val="008B0458"/>
    <w:rsid w:val="008C0AD4"/>
    <w:rsid w:val="008C5323"/>
    <w:rsid w:val="008D2F87"/>
    <w:rsid w:val="008D4B5E"/>
    <w:rsid w:val="008D4C06"/>
    <w:rsid w:val="008E5389"/>
    <w:rsid w:val="008F2093"/>
    <w:rsid w:val="00900068"/>
    <w:rsid w:val="009013E3"/>
    <w:rsid w:val="00901B52"/>
    <w:rsid w:val="009214F5"/>
    <w:rsid w:val="00946314"/>
    <w:rsid w:val="00952B05"/>
    <w:rsid w:val="0096735A"/>
    <w:rsid w:val="00971C70"/>
    <w:rsid w:val="009751C5"/>
    <w:rsid w:val="00981A05"/>
    <w:rsid w:val="00990C15"/>
    <w:rsid w:val="00992854"/>
    <w:rsid w:val="009A58EA"/>
    <w:rsid w:val="009B7B07"/>
    <w:rsid w:val="009C2A79"/>
    <w:rsid w:val="00A21D9F"/>
    <w:rsid w:val="00A244B9"/>
    <w:rsid w:val="00A8146D"/>
    <w:rsid w:val="00A8747F"/>
    <w:rsid w:val="00AB2BC6"/>
    <w:rsid w:val="00AE25CC"/>
    <w:rsid w:val="00B373C9"/>
    <w:rsid w:val="00B53068"/>
    <w:rsid w:val="00B60A68"/>
    <w:rsid w:val="00B859EB"/>
    <w:rsid w:val="00B91CC9"/>
    <w:rsid w:val="00B91F83"/>
    <w:rsid w:val="00B95AEC"/>
    <w:rsid w:val="00BB0C6C"/>
    <w:rsid w:val="00BB102E"/>
    <w:rsid w:val="00BF03C8"/>
    <w:rsid w:val="00C223C2"/>
    <w:rsid w:val="00C33B2C"/>
    <w:rsid w:val="00C36E86"/>
    <w:rsid w:val="00C41F09"/>
    <w:rsid w:val="00C425FF"/>
    <w:rsid w:val="00C65824"/>
    <w:rsid w:val="00D01171"/>
    <w:rsid w:val="00D0355F"/>
    <w:rsid w:val="00D144BF"/>
    <w:rsid w:val="00D237E6"/>
    <w:rsid w:val="00D251BC"/>
    <w:rsid w:val="00D26276"/>
    <w:rsid w:val="00D32CE2"/>
    <w:rsid w:val="00D4397E"/>
    <w:rsid w:val="00D65771"/>
    <w:rsid w:val="00D800F5"/>
    <w:rsid w:val="00D8139D"/>
    <w:rsid w:val="00D91AFD"/>
    <w:rsid w:val="00DC3C38"/>
    <w:rsid w:val="00DD4011"/>
    <w:rsid w:val="00DF2264"/>
    <w:rsid w:val="00E21E8F"/>
    <w:rsid w:val="00E24DAD"/>
    <w:rsid w:val="00E4305F"/>
    <w:rsid w:val="00E845B5"/>
    <w:rsid w:val="00E86FC4"/>
    <w:rsid w:val="00EA5C7F"/>
    <w:rsid w:val="00EB5097"/>
    <w:rsid w:val="00ED4B91"/>
    <w:rsid w:val="00EE3858"/>
    <w:rsid w:val="00EF4E61"/>
    <w:rsid w:val="00F04E4B"/>
    <w:rsid w:val="00F23C69"/>
    <w:rsid w:val="00F551EF"/>
    <w:rsid w:val="00F563E9"/>
    <w:rsid w:val="00F74065"/>
    <w:rsid w:val="00F76B73"/>
    <w:rsid w:val="00F8285C"/>
    <w:rsid w:val="00F84E25"/>
    <w:rsid w:val="00F92659"/>
    <w:rsid w:val="00FE6DE3"/>
    <w:rsid w:val="00FE74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80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427" w:hanging="427"/>
      <w:jc w:val="both"/>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D144BF"/>
  </w:style>
  <w:style w:type="character" w:customStyle="1" w:styleId="CommentTextChar">
    <w:name w:val="Comment Text Char"/>
    <w:basedOn w:val="DefaultParagraphFont"/>
    <w:link w:val="CommentText"/>
    <w:uiPriority w:val="99"/>
    <w:rsid w:val="00D144BF"/>
    <w:rPr>
      <w:rFonts w:ascii="Cambria" w:eastAsia="Cambria" w:hAnsi="Cambria" w:cs="Cambria"/>
    </w:rPr>
  </w:style>
  <w:style w:type="paragraph" w:styleId="CommentSubject">
    <w:name w:val="annotation subject"/>
    <w:basedOn w:val="CommentText"/>
    <w:next w:val="CommentText"/>
    <w:link w:val="CommentSubjectChar"/>
    <w:uiPriority w:val="99"/>
    <w:semiHidden/>
    <w:unhideWhenUsed/>
    <w:rsid w:val="00D144BF"/>
    <w:rPr>
      <w:b/>
      <w:bCs/>
    </w:rPr>
  </w:style>
  <w:style w:type="character" w:customStyle="1" w:styleId="CommentSubjectChar">
    <w:name w:val="Comment Subject Char"/>
    <w:basedOn w:val="CommentTextChar"/>
    <w:link w:val="CommentSubject"/>
    <w:uiPriority w:val="99"/>
    <w:semiHidden/>
    <w:rsid w:val="00D144BF"/>
    <w:rPr>
      <w:rFonts w:ascii="Cambria" w:eastAsia="Cambria" w:hAnsi="Cambria" w:cs="Cambria"/>
      <w:b/>
      <w:bCs/>
    </w:rPr>
  </w:style>
  <w:style w:type="paragraph" w:styleId="Revision">
    <w:name w:val="Revision"/>
    <w:hidden/>
    <w:uiPriority w:val="99"/>
    <w:semiHidden/>
    <w:rsid w:val="0045022C"/>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DF2264"/>
    <w:rPr>
      <w:sz w:val="18"/>
      <w:szCs w:val="18"/>
    </w:rPr>
  </w:style>
  <w:style w:type="character" w:customStyle="1" w:styleId="a">
    <w:name w:val="ヘッダー (文字)"/>
    <w:basedOn w:val="DefaultParagraphFont"/>
    <w:uiPriority w:val="99"/>
    <w:rsid w:val="000038F7"/>
    <w:rPr>
      <w:rFonts w:ascii="Cambria" w:eastAsia="Cambria" w:hAnsi="Cambria" w:cs="Cambria"/>
    </w:rPr>
  </w:style>
  <w:style w:type="character" w:customStyle="1" w:styleId="a0">
    <w:name w:val="フッター (文字)"/>
    <w:basedOn w:val="DefaultParagraphFont"/>
    <w:uiPriority w:val="99"/>
    <w:rsid w:val="000038F7"/>
    <w:rPr>
      <w:rFonts w:ascii="Cambria" w:eastAsia="Cambria" w:hAnsi="Cambria" w:cs="Cambria"/>
    </w:rPr>
  </w:style>
  <w:style w:type="character" w:customStyle="1" w:styleId="a1">
    <w:name w:val="コメント文字列 (文字)"/>
    <w:basedOn w:val="DefaultParagraphFont"/>
    <w:uiPriority w:val="99"/>
    <w:rsid w:val="000038F7"/>
    <w:rPr>
      <w:rFonts w:ascii="Cambria" w:eastAsia="Cambria" w:hAnsi="Cambria" w:cs="Cambria"/>
    </w:rPr>
  </w:style>
  <w:style w:type="character" w:customStyle="1" w:styleId="a2">
    <w:name w:val="コメント内容 (文字)"/>
    <w:basedOn w:val="a1"/>
    <w:uiPriority w:val="99"/>
    <w:semiHidden/>
    <w:rsid w:val="000038F7"/>
    <w:rPr>
      <w:rFonts w:ascii="Cambria" w:eastAsia="Cambria" w:hAnsi="Cambria" w:cs="Cambria"/>
      <w:b/>
      <w:bCs/>
    </w:rPr>
  </w:style>
  <w:style w:type="paragraph" w:styleId="Header">
    <w:name w:val="header"/>
    <w:basedOn w:val="Normal"/>
    <w:link w:val="HeaderChar"/>
    <w:uiPriority w:val="99"/>
    <w:unhideWhenUsed/>
    <w:rsid w:val="00727845"/>
    <w:pPr>
      <w:tabs>
        <w:tab w:val="center" w:pos="4252"/>
        <w:tab w:val="right" w:pos="8504"/>
      </w:tabs>
      <w:snapToGrid w:val="0"/>
    </w:pPr>
  </w:style>
  <w:style w:type="character" w:customStyle="1" w:styleId="HeaderChar">
    <w:name w:val="Header Char"/>
    <w:basedOn w:val="DefaultParagraphFont"/>
    <w:link w:val="Header"/>
    <w:uiPriority w:val="99"/>
    <w:rsid w:val="00727845"/>
    <w:rPr>
      <w:rFonts w:ascii="Cambria" w:eastAsia="Cambria" w:hAnsi="Cambria" w:cs="Cambria"/>
    </w:rPr>
  </w:style>
  <w:style w:type="paragraph" w:styleId="Footer">
    <w:name w:val="footer"/>
    <w:basedOn w:val="Normal"/>
    <w:link w:val="FooterChar"/>
    <w:uiPriority w:val="99"/>
    <w:unhideWhenUsed/>
    <w:rsid w:val="00727845"/>
    <w:pPr>
      <w:tabs>
        <w:tab w:val="center" w:pos="4252"/>
        <w:tab w:val="right" w:pos="8504"/>
      </w:tabs>
      <w:snapToGrid w:val="0"/>
    </w:pPr>
  </w:style>
  <w:style w:type="character" w:customStyle="1" w:styleId="FooterChar">
    <w:name w:val="Footer Char"/>
    <w:basedOn w:val="DefaultParagraphFont"/>
    <w:link w:val="Footer"/>
    <w:uiPriority w:val="99"/>
    <w:rsid w:val="00727845"/>
    <w:rPr>
      <w:rFonts w:ascii="Cambria" w:eastAsia="Cambria" w:hAnsi="Cambria" w:cs="Cambria"/>
    </w:rPr>
  </w:style>
  <w:style w:type="character" w:customStyle="1" w:styleId="BodyTextChar">
    <w:name w:val="Body Text Char"/>
    <w:basedOn w:val="DefaultParagraphFont"/>
    <w:link w:val="BodyText"/>
    <w:uiPriority w:val="1"/>
    <w:rsid w:val="008D4C06"/>
    <w:rPr>
      <w:rFonts w:ascii="Cambria" w:eastAsia="Cambria" w:hAnsi="Cambria" w:cs="Cambria"/>
      <w:sz w:val="20"/>
      <w:szCs w:val="20"/>
    </w:rPr>
  </w:style>
  <w:style w:type="paragraph" w:styleId="NoSpacing">
    <w:name w:val="No Spacing"/>
    <w:uiPriority w:val="1"/>
    <w:qFormat/>
    <w:rsid w:val="0080478E"/>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784D9DAC1C1E843B29601B86F8818E6" ma:contentTypeVersion="14" ma:contentTypeDescription="新しいドキュメントを作成します。" ma:contentTypeScope="" ma:versionID="12a630fbebf268d461950adec3bd6e51">
  <xsd:schema xmlns:xsd="http://www.w3.org/2001/XMLSchema" xmlns:xs="http://www.w3.org/2001/XMLSchema" xmlns:p="http://schemas.microsoft.com/office/2006/metadata/properties" xmlns:ns2="68aab493-bc73-4764-8a7e-a5764561aa25" xmlns:ns3="85ec59af-1a16-40a0-b163-384e34c79a5c" targetNamespace="http://schemas.microsoft.com/office/2006/metadata/properties" ma:root="true" ma:fieldsID="72fc24e6df1069aaa28d8356b3e8d5e0" ns2:_="" ns3:_="">
    <xsd:import namespace="68aab493-bc73-4764-8a7e-a5764561aa25"/>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ab493-bc73-4764-8a7e-a5764561aa25"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e8246df-7be3-49da-b8d9-fb047409cff9}"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68aab493-bc73-4764-8a7e-a5764561aa25" xsi:nil="true"/>
    <lcf76f155ced4ddcb4097134ff3c332f xmlns="68aab493-bc73-4764-8a7e-a5764561aa25">
      <Terms xmlns="http://schemas.microsoft.com/office/infopath/2007/PartnerControls"/>
    </lcf76f155ced4ddcb4097134ff3c332f>
    <TaxCatchAll xmlns="85ec59af-1a16-40a0-b163-384e34c79a5c" xsi:nil="true"/>
  </documentManagement>
</p:properties>
</file>

<file path=customXml/itemProps1.xml><?xml version="1.0" encoding="utf-8"?>
<ds:datastoreItem xmlns:ds="http://schemas.openxmlformats.org/officeDocument/2006/customXml" ds:itemID="{29403E14-5099-45CF-A05C-D5D0A6C61E41}">
  <ds:schemaRefs>
    <ds:schemaRef ds:uri="http://schemas.openxmlformats.org/officeDocument/2006/bibliography"/>
  </ds:schemaRefs>
</ds:datastoreItem>
</file>

<file path=customXml/itemProps2.xml><?xml version="1.0" encoding="utf-8"?>
<ds:datastoreItem xmlns:ds="http://schemas.openxmlformats.org/officeDocument/2006/customXml" ds:itemID="{99CD8008-580A-4118-A755-6192462A7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ab493-bc73-4764-8a7e-a5764561aa25"/>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D5E02-C006-4230-9D65-30B4A17E0577}">
  <ds:schemaRefs>
    <ds:schemaRef ds:uri="http://schemas.microsoft.com/sharepoint/v3/contenttype/forms"/>
  </ds:schemaRefs>
</ds:datastoreItem>
</file>

<file path=customXml/itemProps4.xml><?xml version="1.0" encoding="utf-8"?>
<ds:datastoreItem xmlns:ds="http://schemas.openxmlformats.org/officeDocument/2006/customXml" ds:itemID="{7B0DDD23-3B13-4C0F-B7A0-3D516A12C9E3}">
  <ds:schemaRefs>
    <ds:schemaRef ds:uri="http://schemas.microsoft.com/office/2006/metadata/properties"/>
    <ds:schemaRef ds:uri="http://schemas.microsoft.com/office/infopath/2007/PartnerControls"/>
    <ds:schemaRef ds:uri="68aab493-bc73-4764-8a7e-a5764561aa25"/>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1354</Words>
  <Characters>7720</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2026-10-26T14:23:00Z</dcterms:created>
  <dcterms:modified xsi:type="dcterms:W3CDTF">2026-10-26T14:23:00Z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ContentBits">
    <vt:lpwstr>0</vt:lpwstr>
  </property>
  <property fmtid="{D5CDD505-2E9C-101B-9397-08002B2CF9AE}" pid="4" name="MSIP_Label_e5a57db2-20f3-43df-8fc8-c65692b47ff4_ActionId">
    <vt:lpwstr>ff15a9e6-b1dd-449b-b39f-29161d512486</vt:lpwstr>
  </property>
  <property fmtid="{D5CDD505-2E9C-101B-9397-08002B2CF9AE}" pid="5" name="LastSaved">
    <vt:filetime>2026-09-04T00:00:00Z</vt:filetime>
  </property>
  <property fmtid="{D5CDD505-2E9C-101B-9397-08002B2CF9AE}" pid="6" name="MediaServiceImageTags">
    <vt:lpwstr/>
  </property>
  <property fmtid="{D5CDD505-2E9C-101B-9397-08002B2CF9AE}" pid="7" name="MSIP_Label_e5a57db2-20f3-43df-8fc8-c65692b47ff4_SetDate">
    <vt:lpwstr>2026-10-02T15:50:50Z</vt:lpwstr>
  </property>
  <property fmtid="{D5CDD505-2E9C-101B-9397-08002B2CF9AE}" pid="8" name="MSIP_Label_e5a57db2-20f3-43df-8fc8-c65692b47ff4_Name">
    <vt:lpwstr>EFCA Use</vt:lpwstr>
  </property>
  <property fmtid="{D5CDD505-2E9C-101B-9397-08002B2CF9AE}" pid="9" name="ContentTypeId">
    <vt:lpwstr>0x0101002784D9DAC1C1E843B29601B86F8818E6</vt:lpwstr>
  </property>
  <property fmtid="{D5CDD505-2E9C-101B-9397-08002B2CF9AE}" pid="10" name="Creator">
    <vt:lpwstr>Microsoft® Word for Microsoft 365</vt:lpwstr>
  </property>
  <property fmtid="{D5CDD505-2E9C-101B-9397-08002B2CF9AE}" pid="11" name="MSIP_Label_e5a57db2-20f3-43df-8fc8-c65692b47ff4_Tag">
    <vt:lpwstr>10, 3, 0, 1</vt:lpwstr>
  </property>
  <property fmtid="{D5CDD505-2E9C-101B-9397-08002B2CF9AE}" pid="12" name="Producer">
    <vt:lpwstr>Microsoft® Word for Microsoft 365</vt:lpwstr>
  </property>
  <property fmtid="{D5CDD505-2E9C-101B-9397-08002B2CF9AE}" pid="13" name="Created">
    <vt:filetime>2023-12-15T00:00:00Z</vt:filetime>
  </property>
  <property fmtid="{D5CDD505-2E9C-101B-9397-08002B2CF9AE}" pid="14" name="MSIP_Label_e5a57db2-20f3-43df-8fc8-c65692b47ff4_Method">
    <vt:lpwstr>Standard</vt:lpwstr>
  </property>
  <property fmtid="{D5CDD505-2E9C-101B-9397-08002B2CF9AE}" pid="15" name="MSIP_Label_e5a57db2-20f3-43df-8fc8-c65692b47ff4_SiteId">
    <vt:lpwstr>460dba80-235d-4f26-a9be-d59d485fa662</vt:lpwstr>
  </property>
</Properties>
</file>