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A7474ED" w:rsidR="000B0920" w:rsidRPr="00554AB0" w:rsidRDefault="00857C38" w:rsidP="00857C38">
      <w:pPr>
        <w:jc w:val="right"/>
        <w:rPr>
          <w:rFonts w:ascii="Cambria" w:hAnsi="Cambria"/>
          <w:sz w:val="20"/>
          <w:szCs w:val="20"/>
          <w:lang w:val="fr-FR"/>
        </w:rPr>
      </w:pPr>
      <w:r w:rsidRPr="00554AB0">
        <w:rPr>
          <w:rFonts w:ascii="Cambria" w:hAnsi="Cambria"/>
          <w:b/>
          <w:bCs/>
          <w:sz w:val="20"/>
          <w:szCs w:val="20"/>
          <w:lang w:val="fr-FR"/>
        </w:rPr>
        <w:t>Original</w:t>
      </w:r>
      <w:r w:rsidR="00506FB9">
        <w:rPr>
          <w:rFonts w:ascii="Cambria" w:hAnsi="Cambria"/>
          <w:b/>
          <w:bCs/>
          <w:sz w:val="20"/>
          <w:szCs w:val="20"/>
          <w:lang w:val="fr-FR"/>
        </w:rPr>
        <w:t xml:space="preserve"> </w:t>
      </w:r>
      <w:r w:rsidRPr="00554AB0">
        <w:rPr>
          <w:rFonts w:ascii="Cambria" w:hAnsi="Cambria"/>
          <w:sz w:val="20"/>
          <w:szCs w:val="20"/>
          <w:lang w:val="fr-FR"/>
        </w:rPr>
        <w:t xml:space="preserve">: </w:t>
      </w:r>
      <w:r w:rsidR="009353F0" w:rsidRPr="00554AB0">
        <w:rPr>
          <w:rFonts w:ascii="Cambria" w:hAnsi="Cambria"/>
          <w:sz w:val="20"/>
          <w:szCs w:val="20"/>
          <w:lang w:val="fr-FR"/>
        </w:rPr>
        <w:t>anglais</w:t>
      </w:r>
    </w:p>
    <w:p w14:paraId="546FFD34" w14:textId="77777777" w:rsidR="00857C38" w:rsidRPr="00554AB0" w:rsidRDefault="00857C38" w:rsidP="00857C38">
      <w:pPr>
        <w:jc w:val="right"/>
        <w:rPr>
          <w:rFonts w:ascii="Cambria" w:hAnsi="Cambria"/>
          <w:sz w:val="20"/>
          <w:szCs w:val="20"/>
          <w:lang w:val="fr-FR"/>
        </w:rPr>
      </w:pPr>
    </w:p>
    <w:p w14:paraId="3CB6C27F" w14:textId="7423F243" w:rsidR="00554AB0" w:rsidRDefault="00554AB0" w:rsidP="00554AB0">
      <w:pPr>
        <w:jc w:val="center"/>
        <w:rPr>
          <w:rFonts w:ascii="Cambria" w:hAnsi="Cambria"/>
          <w:b/>
          <w:bCs/>
          <w:sz w:val="20"/>
          <w:szCs w:val="20"/>
          <w:lang w:val="fr-FR"/>
        </w:rPr>
      </w:pPr>
      <w:r w:rsidRPr="009353F0">
        <w:rPr>
          <w:rFonts w:ascii="Cambria" w:hAnsi="Cambria"/>
          <w:b/>
          <w:bCs/>
          <w:sz w:val="20"/>
          <w:szCs w:val="20"/>
          <w:lang w:val="fr-FR"/>
        </w:rPr>
        <w:t>Réponses du SCRS concernant l</w:t>
      </w:r>
      <w:r w:rsidR="00AB6CA9">
        <w:rPr>
          <w:rFonts w:ascii="Cambria" w:hAnsi="Cambria"/>
          <w:b/>
          <w:bCs/>
          <w:sz w:val="20"/>
          <w:szCs w:val="20"/>
          <w:lang w:val="fr-FR"/>
        </w:rPr>
        <w:t xml:space="preserve">e </w:t>
      </w:r>
      <w:r w:rsidR="00B1452E">
        <w:rPr>
          <w:rFonts w:ascii="Cambria" w:hAnsi="Cambria"/>
          <w:b/>
          <w:bCs/>
          <w:sz w:val="20"/>
          <w:szCs w:val="20"/>
          <w:lang w:val="fr-FR"/>
        </w:rPr>
        <w:t>PWG</w:t>
      </w:r>
    </w:p>
    <w:p w14:paraId="16DB48D3" w14:textId="77777777" w:rsidR="009353F0" w:rsidRPr="00554AB0" w:rsidRDefault="009353F0" w:rsidP="00857C38">
      <w:pPr>
        <w:jc w:val="center"/>
        <w:rPr>
          <w:rFonts w:ascii="Cambria" w:hAnsi="Cambria"/>
          <w:b/>
          <w:bCs/>
          <w:sz w:val="20"/>
          <w:szCs w:val="20"/>
          <w:lang w:val="fr-FR"/>
        </w:rPr>
      </w:pPr>
    </w:p>
    <w:p w14:paraId="6ADB0791" w14:textId="75CE87D9" w:rsidR="009353F0" w:rsidRPr="009353F0" w:rsidRDefault="009353F0" w:rsidP="009353F0">
      <w:pPr>
        <w:jc w:val="both"/>
        <w:rPr>
          <w:rFonts w:ascii="Cambria" w:eastAsia="Aptos" w:hAnsi="Cambria" w:cs="Aptos"/>
          <w:sz w:val="20"/>
          <w:szCs w:val="20"/>
          <w:lang w:val="fr-FR"/>
          <w14:ligatures w14:val="standardContextual"/>
        </w:rPr>
      </w:pPr>
      <w:r w:rsidRPr="009353F0">
        <w:rPr>
          <w:rFonts w:ascii="Cambria" w:eastAsia="Aptos" w:hAnsi="Cambria" w:cs="Aptos"/>
          <w:sz w:val="20"/>
          <w:szCs w:val="20"/>
          <w:lang w:val="fr-FR"/>
          <w14:ligatures w14:val="standardContextual"/>
        </w:rPr>
        <w:t>Les réponses de 2026 adressées à la Commission du SCRS concernant l</w:t>
      </w:r>
      <w:r w:rsidR="00AB6CA9">
        <w:rPr>
          <w:rFonts w:ascii="Cambria" w:eastAsia="Aptos" w:hAnsi="Cambria" w:cs="Aptos"/>
          <w:sz w:val="20"/>
          <w:szCs w:val="20"/>
          <w:lang w:val="fr-FR"/>
          <w14:ligatures w14:val="standardContextual"/>
        </w:rPr>
        <w:t xml:space="preserve">e </w:t>
      </w:r>
      <w:r w:rsidR="00B1452E">
        <w:rPr>
          <w:rFonts w:ascii="Cambria" w:eastAsia="Aptos" w:hAnsi="Cambria" w:cs="Aptos"/>
          <w:sz w:val="20"/>
          <w:szCs w:val="20"/>
          <w:lang w:val="fr-FR"/>
          <w14:ligatures w14:val="standardContextual"/>
        </w:rPr>
        <w:t>PWG</w:t>
      </w:r>
      <w:r w:rsidRPr="009353F0">
        <w:rPr>
          <w:rFonts w:ascii="Cambria" w:eastAsia="Aptos" w:hAnsi="Cambria" w:cs="Aptos"/>
          <w:sz w:val="20"/>
          <w:szCs w:val="20"/>
          <w:lang w:val="fr-FR"/>
          <w14:ligatures w14:val="standardContextual"/>
        </w:rPr>
        <w:t xml:space="preserve"> ont été compilées par le Secrétariat directement à partir du rapport de la réunion plénière du SCRS de 2026 (document PLE-104). Les recommandations ayant des implications financières ne figurent pas dans le présent document, car elles sont incluses dans l’appendice 2 du budget de l’ICCAT (document STF-203).</w:t>
      </w:r>
    </w:p>
    <w:p w14:paraId="206D36BB" w14:textId="77777777" w:rsidR="009353F0" w:rsidRDefault="009353F0" w:rsidP="009353F0">
      <w:pPr>
        <w:rPr>
          <w:rFonts w:ascii="Cambria" w:hAnsi="Cambria"/>
          <w:b/>
          <w:bCs/>
          <w:sz w:val="20"/>
          <w:szCs w:val="20"/>
          <w:lang w:val="fr-FR"/>
        </w:rPr>
      </w:pPr>
    </w:p>
    <w:p w14:paraId="092F188E" w14:textId="77777777" w:rsidR="00B1452E" w:rsidRPr="00B1452E" w:rsidRDefault="00B1452E" w:rsidP="00B1452E">
      <w:pPr>
        <w:tabs>
          <w:tab w:val="right" w:leader="dot" w:pos="8505"/>
          <w:tab w:val="right" w:pos="9072"/>
        </w:tabs>
        <w:autoSpaceDE w:val="0"/>
        <w:autoSpaceDN w:val="0"/>
        <w:adjustRightInd w:val="0"/>
        <w:ind w:right="4"/>
        <w:jc w:val="both"/>
        <w:rPr>
          <w:rFonts w:ascii="Cambria" w:hAnsi="Cambria"/>
          <w:bCs/>
          <w:i/>
          <w:iCs/>
          <w:sz w:val="20"/>
          <w:szCs w:val="20"/>
          <w:lang w:val="fr-FR"/>
        </w:rPr>
      </w:pPr>
      <w:r w:rsidRPr="00B1452E">
        <w:rPr>
          <w:rFonts w:ascii="Cambria" w:hAnsi="Cambria"/>
          <w:b/>
          <w:i/>
          <w:sz w:val="20"/>
          <w:szCs w:val="20"/>
          <w:lang w:val="fr-FR"/>
        </w:rPr>
        <w:t xml:space="preserve">19.1 Le SCRS donnera son avis à la Commission sur le caractère pertinent de la démarche alternative proposée par les CPC, </w:t>
      </w:r>
      <w:hyperlink r:id="rId8" w:history="1">
        <w:r w:rsidRPr="00B1452E">
          <w:rPr>
            <w:rStyle w:val="Hyperlink"/>
            <w:rFonts w:ascii="Cambria" w:hAnsi="Cambria"/>
            <w:b/>
            <w:i/>
            <w:sz w:val="20"/>
            <w:szCs w:val="20"/>
            <w:u w:val="none"/>
            <w:lang w:val="fr-FR"/>
          </w:rPr>
          <w:t>Rec. 16-14</w:t>
        </w:r>
      </w:hyperlink>
      <w:r w:rsidRPr="00B1452E">
        <w:rPr>
          <w:rFonts w:ascii="Cambria" w:hAnsi="Cambria"/>
          <w:b/>
          <w:i/>
          <w:sz w:val="20"/>
          <w:szCs w:val="20"/>
          <w:lang w:val="fr-FR"/>
        </w:rPr>
        <w:t xml:space="preserve">, </w:t>
      </w:r>
      <w:r w:rsidRPr="00B1452E">
        <w:rPr>
          <w:rFonts w:ascii="Cambria" w:hAnsi="Cambria"/>
          <w:b/>
          <w:bCs/>
          <w:i/>
          <w:iCs/>
          <w:sz w:val="20"/>
          <w:szCs w:val="20"/>
          <w:lang w:val="fr-FR"/>
        </w:rPr>
        <w:t xml:space="preserve">paragraphe </w:t>
      </w:r>
      <w:r w:rsidRPr="00B1452E">
        <w:rPr>
          <w:rFonts w:ascii="Cambria" w:hAnsi="Cambria"/>
          <w:b/>
          <w:i/>
          <w:sz w:val="20"/>
          <w:szCs w:val="20"/>
          <w:lang w:val="fr-FR"/>
        </w:rPr>
        <w:t xml:space="preserve">4b </w:t>
      </w:r>
    </w:p>
    <w:p w14:paraId="6ECDC604" w14:textId="77777777" w:rsidR="00B1452E" w:rsidRPr="00B1452E" w:rsidRDefault="00B1452E" w:rsidP="00B1452E">
      <w:pPr>
        <w:tabs>
          <w:tab w:val="right" w:leader="dot" w:pos="8505"/>
          <w:tab w:val="right" w:pos="8931"/>
          <w:tab w:val="right" w:pos="9026"/>
        </w:tabs>
        <w:ind w:left="426" w:hanging="426"/>
        <w:jc w:val="both"/>
        <w:rPr>
          <w:rFonts w:ascii="Cambria" w:eastAsiaTheme="minorHAnsi" w:hAnsi="Cambria" w:cstheme="minorBidi"/>
          <w:sz w:val="20"/>
          <w:szCs w:val="20"/>
          <w:lang w:val="fr-FR"/>
        </w:rPr>
      </w:pPr>
    </w:p>
    <w:p w14:paraId="67327DC3" w14:textId="77777777" w:rsidR="00B1452E" w:rsidRPr="00B1452E" w:rsidRDefault="00B1452E" w:rsidP="00B1452E">
      <w:pPr>
        <w:jc w:val="both"/>
        <w:rPr>
          <w:rFonts w:ascii="Cambria" w:hAnsi="Cambria"/>
          <w:i/>
          <w:iCs/>
          <w:sz w:val="20"/>
          <w:szCs w:val="20"/>
          <w:lang w:val="fr-FR"/>
        </w:rPr>
      </w:pPr>
      <w:r w:rsidRPr="00B1452E">
        <w:rPr>
          <w:rFonts w:ascii="Cambria" w:hAnsi="Cambria"/>
          <w:b/>
          <w:i/>
          <w:sz w:val="20"/>
          <w:szCs w:val="20"/>
          <w:lang w:val="fr-FR"/>
        </w:rPr>
        <w:t xml:space="preserve">Contexte : </w:t>
      </w:r>
      <w:r w:rsidRPr="00B1452E">
        <w:rPr>
          <w:rFonts w:ascii="Cambria" w:hAnsi="Cambria"/>
          <w:i/>
          <w:sz w:val="20"/>
          <w:szCs w:val="20"/>
          <w:lang w:val="fr-FR"/>
        </w:rPr>
        <w:t>4 b) Nonobstant le paragraphe a), pour les navires inférieurs à 15 mètres pour lesquels il existe une préoccupation inhabituelle au niveau de la sécurité, empêchant le déploiement d’un observateur à bord de l’embarcation, une CPC pourrait avoir recours à une démarche de suivi scientifique alternative qui permettrait la collecte de données équivalentes à celles spécifiées dans la présente recommandation, de façon à garantir une couverture comparable. Dans ces cas, la CPC souhaitant adopter cette démarche alternative devra en présenter des informations détaillées au SCRS à des fins d’évaluation. Le SCRS donnera son avis à la Commission sur le caractère pertinent de la démarche alternative pour remplir les obligations de collecte de données énoncées dans la présente Recommandation. Les démarches alternatives mises en œuvre en vertu de la présente disposition devront faire l’objet de l’approbation de la Commission lors de la réunion annuelle, avant leur mise en œuvre.</w:t>
      </w:r>
    </w:p>
    <w:p w14:paraId="170F9ADA" w14:textId="77777777" w:rsidR="00B1452E" w:rsidRPr="00B1452E" w:rsidRDefault="00B1452E" w:rsidP="00B1452E">
      <w:pPr>
        <w:jc w:val="both"/>
        <w:rPr>
          <w:rFonts w:ascii="Cambria" w:hAnsi="Cambria"/>
          <w:i/>
          <w:iCs/>
          <w:sz w:val="20"/>
          <w:szCs w:val="20"/>
          <w:lang w:val="fr-FR"/>
        </w:rPr>
      </w:pPr>
    </w:p>
    <w:p w14:paraId="4CB45E15" w14:textId="77777777" w:rsidR="00B1452E" w:rsidRPr="00B1452E" w:rsidRDefault="00B1452E" w:rsidP="00B1452E">
      <w:pPr>
        <w:jc w:val="both"/>
        <w:rPr>
          <w:rFonts w:ascii="Cambria" w:hAnsi="Cambria"/>
          <w:sz w:val="20"/>
          <w:szCs w:val="20"/>
          <w:lang w:val="fr-FR"/>
        </w:rPr>
      </w:pPr>
      <w:r w:rsidRPr="00B1452E">
        <w:rPr>
          <w:rFonts w:ascii="Cambria" w:hAnsi="Cambria"/>
          <w:sz w:val="20"/>
          <w:szCs w:val="20"/>
          <w:lang w:val="fr-FR"/>
        </w:rPr>
        <w:t>Le Sous-comité des statistiques a examiné les informations fournies par les Groupes d’espèces en réponse à la demande de la Commission formulée au titre de la Rec. 16-14, paragraphe 4(b).</w:t>
      </w:r>
    </w:p>
    <w:p w14:paraId="3E8A3102" w14:textId="77777777" w:rsidR="00B1452E" w:rsidRPr="00B1452E" w:rsidRDefault="00B1452E" w:rsidP="00B1452E">
      <w:pPr>
        <w:jc w:val="both"/>
        <w:rPr>
          <w:rFonts w:ascii="Cambria" w:hAnsi="Cambria"/>
          <w:sz w:val="20"/>
          <w:szCs w:val="20"/>
          <w:lang w:val="fr-FR"/>
        </w:rPr>
      </w:pPr>
    </w:p>
    <w:p w14:paraId="5686EA59" w14:textId="77777777" w:rsidR="00B1452E" w:rsidRPr="00B1452E" w:rsidRDefault="00B1452E" w:rsidP="00B1452E">
      <w:pPr>
        <w:jc w:val="both"/>
        <w:rPr>
          <w:rFonts w:ascii="Cambria" w:hAnsi="Cambria"/>
          <w:sz w:val="20"/>
          <w:szCs w:val="20"/>
          <w:lang w:val="fr-FR"/>
        </w:rPr>
      </w:pPr>
      <w:r w:rsidRPr="00B1452E">
        <w:rPr>
          <w:rFonts w:ascii="Cambria" w:hAnsi="Cambria"/>
          <w:sz w:val="20"/>
          <w:szCs w:val="20"/>
          <w:lang w:val="fr-FR"/>
        </w:rPr>
        <w:t xml:space="preserve">En 2026, les informations fournies étaient insuffisantes pour permettre au SCRS d'évaluer la pertinence d'autres approches de suivi scientifique au titre de cette disposition. Le Groupe d’espèces sur les thonidés mineurs a également examiné les résultats présentés dans Coelho </w:t>
      </w:r>
      <w:r w:rsidRPr="00B1452E">
        <w:rPr>
          <w:rFonts w:ascii="Cambria" w:hAnsi="Cambria"/>
          <w:i/>
          <w:iCs/>
          <w:sz w:val="20"/>
          <w:szCs w:val="20"/>
          <w:lang w:val="fr-FR"/>
        </w:rPr>
        <w:t>et al.</w:t>
      </w:r>
      <w:r w:rsidRPr="00B1452E">
        <w:rPr>
          <w:rFonts w:ascii="Cambria" w:hAnsi="Cambria"/>
          <w:sz w:val="20"/>
          <w:szCs w:val="20"/>
          <w:lang w:val="fr-FR"/>
        </w:rPr>
        <w:t>, 2026, SCRS/2026/082 ; toutefois, aucune espèce de thonidés mineurs n’ayant été identifiée dans ce document, aucune conclusion spécifique n’a pu être tirée concernant ces espèces.</w:t>
      </w:r>
    </w:p>
    <w:p w14:paraId="10D94342" w14:textId="77777777" w:rsidR="00B1452E" w:rsidRPr="00B1452E" w:rsidRDefault="00B1452E" w:rsidP="00B1452E">
      <w:pPr>
        <w:jc w:val="both"/>
        <w:rPr>
          <w:rFonts w:ascii="Cambria" w:hAnsi="Cambria"/>
          <w:sz w:val="20"/>
          <w:szCs w:val="20"/>
          <w:lang w:val="fr-FR"/>
        </w:rPr>
      </w:pPr>
    </w:p>
    <w:p w14:paraId="79F5F62B" w14:textId="77777777" w:rsidR="00B1452E" w:rsidRPr="00B1452E" w:rsidRDefault="00B1452E" w:rsidP="00B1452E">
      <w:pPr>
        <w:jc w:val="both"/>
        <w:rPr>
          <w:rFonts w:ascii="Cambria" w:hAnsi="Cambria"/>
          <w:sz w:val="20"/>
          <w:szCs w:val="20"/>
          <w:lang w:val="fr-FR"/>
        </w:rPr>
      </w:pPr>
      <w:r w:rsidRPr="00B1452E">
        <w:rPr>
          <w:rFonts w:ascii="Cambria" w:hAnsi="Cambria"/>
          <w:sz w:val="20"/>
          <w:szCs w:val="20"/>
          <w:lang w:val="fr-FR"/>
        </w:rPr>
        <w:t>Les Groupes d’espèces sur le thon rouge et sur les requins ont indiqué qu’aucun document n’avait été présenté en 2026 permettant l’évaluation d’approches alternatives en vertu de la Rec. 16-14. De même, aucune autre méthode de suivi n'a été présentée au Groupe d’espèces sur les thonidés tropicaux. Ce dernier a toutefois pris note des travaux en cours menés par le sous-groupe technique du SCRS sur les systèmes de surveillance électronique (EMS) visant à élaborer des normes minimales EMS pour les petits navires, travaux qui pourraient s'avérer pertinents pour le développement futur d'autres méthodes de surveillance.</w:t>
      </w:r>
    </w:p>
    <w:p w14:paraId="6BF1BC7D" w14:textId="77777777" w:rsidR="00B1452E" w:rsidRPr="00B1452E" w:rsidRDefault="00B1452E" w:rsidP="00B1452E">
      <w:pPr>
        <w:jc w:val="both"/>
        <w:rPr>
          <w:rFonts w:ascii="Cambria" w:hAnsi="Cambria"/>
          <w:sz w:val="20"/>
          <w:szCs w:val="20"/>
          <w:lang w:val="fr-FR"/>
        </w:rPr>
      </w:pPr>
    </w:p>
    <w:sectPr w:rsidR="00B1452E" w:rsidRPr="00B1452E" w:rsidSect="009B2781">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8197D" w14:textId="77777777" w:rsidR="009E39D3" w:rsidRDefault="009E39D3" w:rsidP="00DD4C39">
      <w:r>
        <w:separator/>
      </w:r>
    </w:p>
  </w:endnote>
  <w:endnote w:type="continuationSeparator" w:id="0">
    <w:p w14:paraId="6D121A41" w14:textId="77777777" w:rsidR="009E39D3" w:rsidRDefault="009E39D3"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9E39D3"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60E77" w14:textId="77777777" w:rsidR="009E39D3" w:rsidRDefault="009E39D3" w:rsidP="00DD4C39">
      <w:r>
        <w:separator/>
      </w:r>
    </w:p>
  </w:footnote>
  <w:footnote w:type="continuationSeparator" w:id="0">
    <w:p w14:paraId="359299C1" w14:textId="77777777" w:rsidR="009E39D3" w:rsidRDefault="009E39D3"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1C3AB6E6" w:rsidR="004F39B9" w:rsidRPr="00793F38" w:rsidRDefault="00A93879"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PWG_415</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60DF2ADE"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A93879">
      <w:rPr>
        <w:rFonts w:ascii="Cambria" w:hAnsi="Cambria"/>
        <w:b/>
        <w:bCs/>
        <w:noProof/>
        <w:sz w:val="16"/>
        <w:szCs w:val="16"/>
        <w:lang w:val="es-ES_tradnl"/>
      </w:rPr>
      <w:t>14/10/2026 15:03</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EE93A1F"/>
    <w:multiLevelType w:val="multilevel"/>
    <w:tmpl w:val="52003E70"/>
    <w:lvl w:ilvl="0">
      <w:start w:val="1"/>
      <w:numFmt w:val="decimal"/>
      <w:lvlText w:val="%1."/>
      <w:lvlJc w:val="left"/>
      <w:pPr>
        <w:ind w:left="472" w:hanging="471"/>
      </w:pPr>
      <w:rPr>
        <w:rFonts w:ascii="Cambria" w:eastAsia="Cambria" w:hAnsi="Cambria" w:cs="Cambria" w:hint="default"/>
        <w:b/>
        <w:bCs/>
        <w:i w:val="0"/>
        <w:iCs w:val="0"/>
        <w:spacing w:val="-1"/>
        <w:sz w:val="20"/>
        <w:szCs w:val="20"/>
        <w:lang w:val="en-US" w:eastAsia="en-US" w:bidi="ar-SA"/>
      </w:rPr>
    </w:lvl>
    <w:lvl w:ilvl="1">
      <w:start w:val="1"/>
      <w:numFmt w:val="lowerLetter"/>
      <w:lvlText w:val="%2)"/>
      <w:lvlJc w:val="left"/>
      <w:pPr>
        <w:ind w:left="853" w:hanging="435"/>
      </w:pPr>
      <w:rPr>
        <w:rFonts w:ascii="Cambria" w:eastAsia="Cambria" w:hAnsi="Cambria" w:cs="Cambria" w:hint="default"/>
        <w:b w:val="0"/>
        <w:bCs w:val="0"/>
        <w:i w:val="0"/>
        <w:iCs w:val="0"/>
        <w:spacing w:val="0"/>
        <w:sz w:val="20"/>
        <w:szCs w:val="20"/>
        <w:lang w:val="en-US" w:eastAsia="en-US" w:bidi="ar-SA"/>
      </w:rPr>
    </w:lvl>
    <w:lvl w:ilvl="2">
      <w:start w:val="1"/>
      <w:numFmt w:val="decimal"/>
      <w:lvlText w:val="%3."/>
      <w:lvlJc w:val="left"/>
      <w:pPr>
        <w:ind w:left="568" w:hanging="284"/>
      </w:pPr>
      <w:rPr>
        <w:rFonts w:ascii="Cambria" w:eastAsia="Cambria" w:hAnsi="Cambria" w:cs="Cambria" w:hint="default"/>
        <w:b w:val="0"/>
        <w:bCs w:val="0"/>
        <w:i w:val="0"/>
        <w:iCs w:val="0"/>
        <w:spacing w:val="0"/>
        <w:sz w:val="20"/>
        <w:szCs w:val="20"/>
        <w:lang w:val="en-US" w:eastAsia="en-US" w:bidi="ar-SA"/>
      </w:rPr>
    </w:lvl>
    <w:lvl w:ilvl="3">
      <w:start w:val="1"/>
      <w:numFmt w:val="decimal"/>
      <w:lvlText w:val="%4."/>
      <w:lvlJc w:val="left"/>
      <w:pPr>
        <w:ind w:left="568" w:hanging="284"/>
      </w:pPr>
      <w:rPr>
        <w:rFonts w:ascii="Cambria" w:eastAsia="Cambria" w:hAnsi="Cambria" w:cs="Cambria" w:hint="default"/>
        <w:b w:val="0"/>
        <w:bCs w:val="0"/>
        <w:i w:val="0"/>
        <w:iCs w:val="0"/>
        <w:spacing w:val="0"/>
        <w:sz w:val="20"/>
        <w:szCs w:val="20"/>
        <w:lang w:val="en-US" w:eastAsia="en-US" w:bidi="ar-SA"/>
      </w:rPr>
    </w:lvl>
    <w:lvl w:ilvl="4">
      <w:numFmt w:val="bullet"/>
      <w:lvlText w:val="•"/>
      <w:lvlJc w:val="left"/>
      <w:pPr>
        <w:ind w:left="2053" w:hanging="284"/>
      </w:pPr>
      <w:rPr>
        <w:lang w:val="en-US" w:eastAsia="en-US" w:bidi="ar-SA"/>
      </w:rPr>
    </w:lvl>
    <w:lvl w:ilvl="5">
      <w:numFmt w:val="bullet"/>
      <w:lvlText w:val="•"/>
      <w:lvlJc w:val="left"/>
      <w:pPr>
        <w:ind w:left="3246" w:hanging="284"/>
      </w:pPr>
      <w:rPr>
        <w:lang w:val="en-US" w:eastAsia="en-US" w:bidi="ar-SA"/>
      </w:rPr>
    </w:lvl>
    <w:lvl w:ilvl="6">
      <w:numFmt w:val="bullet"/>
      <w:lvlText w:val="•"/>
      <w:lvlJc w:val="left"/>
      <w:pPr>
        <w:ind w:left="4440" w:hanging="284"/>
      </w:pPr>
      <w:rPr>
        <w:lang w:val="en-US" w:eastAsia="en-US" w:bidi="ar-SA"/>
      </w:rPr>
    </w:lvl>
    <w:lvl w:ilvl="7">
      <w:numFmt w:val="bullet"/>
      <w:lvlText w:val="•"/>
      <w:lvlJc w:val="left"/>
      <w:pPr>
        <w:ind w:left="5633" w:hanging="284"/>
      </w:pPr>
      <w:rPr>
        <w:lang w:val="en-US" w:eastAsia="en-US" w:bidi="ar-SA"/>
      </w:rPr>
    </w:lvl>
    <w:lvl w:ilvl="8">
      <w:numFmt w:val="bullet"/>
      <w:lvlText w:val="•"/>
      <w:lvlJc w:val="left"/>
      <w:pPr>
        <w:ind w:left="6827" w:hanging="284"/>
      </w:pPr>
      <w:rPr>
        <w:lang w:val="en-US" w:eastAsia="en-US" w:bidi="ar-SA"/>
      </w:rPr>
    </w:lvl>
  </w:abstractNum>
  <w:abstractNum w:abstractNumId="5"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8"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71C29"/>
    <w:multiLevelType w:val="multilevel"/>
    <w:tmpl w:val="72580D06"/>
    <w:lvl w:ilvl="0">
      <w:start w:val="2"/>
      <w:numFmt w:val="lowerLetter"/>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5" w15:restartNumberingAfterBreak="0">
    <w:nsid w:val="31B23705"/>
    <w:multiLevelType w:val="multilevel"/>
    <w:tmpl w:val="2E2A79EC"/>
    <w:lvl w:ilvl="0">
      <w:start w:val="1"/>
      <w:numFmt w:val="lowerLetter"/>
      <w:lvlText w:val="%1)"/>
      <w:lvlJc w:val="left"/>
      <w:pPr>
        <w:ind w:left="712" w:hanging="428"/>
      </w:pPr>
      <w:rPr>
        <w:rFonts w:ascii="Cambria" w:eastAsia="Cambria" w:hAnsi="Cambria" w:cs="Cambria" w:hint="default"/>
        <w:b w:val="0"/>
        <w:bCs w:val="0"/>
        <w:i/>
        <w:iCs/>
        <w:spacing w:val="0"/>
        <w:sz w:val="20"/>
        <w:szCs w:val="20"/>
        <w:lang w:val="en-US" w:eastAsia="en-US" w:bidi="ar-SA"/>
      </w:rPr>
    </w:lvl>
    <w:lvl w:ilvl="1">
      <w:start w:val="1"/>
      <w:numFmt w:val="lowerRoman"/>
      <w:lvlText w:val="%2."/>
      <w:lvlJc w:val="left"/>
      <w:pPr>
        <w:ind w:left="1137" w:hanging="425"/>
      </w:pPr>
      <w:rPr>
        <w:rFonts w:ascii="Cambria" w:eastAsia="Cambria" w:hAnsi="Cambria" w:cs="Cambria" w:hint="default"/>
        <w:b w:val="0"/>
        <w:bCs w:val="0"/>
        <w:i w:val="0"/>
        <w:iCs w:val="0"/>
        <w:spacing w:val="-1"/>
        <w:sz w:val="20"/>
        <w:szCs w:val="20"/>
        <w:lang w:val="en-US" w:eastAsia="en-US" w:bidi="ar-SA"/>
      </w:rPr>
    </w:lvl>
    <w:lvl w:ilvl="2">
      <w:numFmt w:val="bullet"/>
      <w:lvlText w:val="•"/>
      <w:lvlJc w:val="left"/>
      <w:pPr>
        <w:ind w:left="2084" w:hanging="425"/>
      </w:pPr>
      <w:rPr>
        <w:rFonts w:hint="default"/>
        <w:lang w:val="en-US" w:eastAsia="en-US" w:bidi="ar-SA"/>
      </w:rPr>
    </w:lvl>
    <w:lvl w:ilvl="3">
      <w:numFmt w:val="bullet"/>
      <w:lvlText w:val="•"/>
      <w:lvlJc w:val="left"/>
      <w:pPr>
        <w:ind w:left="3028" w:hanging="425"/>
      </w:pPr>
      <w:rPr>
        <w:rFonts w:hint="default"/>
        <w:lang w:val="en-US" w:eastAsia="en-US" w:bidi="ar-SA"/>
      </w:rPr>
    </w:lvl>
    <w:lvl w:ilvl="4">
      <w:numFmt w:val="bullet"/>
      <w:lvlText w:val="•"/>
      <w:lvlJc w:val="left"/>
      <w:pPr>
        <w:ind w:left="3973" w:hanging="425"/>
      </w:pPr>
      <w:rPr>
        <w:rFonts w:hint="default"/>
        <w:lang w:val="en-US" w:eastAsia="en-US" w:bidi="ar-SA"/>
      </w:rPr>
    </w:lvl>
    <w:lvl w:ilvl="5">
      <w:numFmt w:val="bullet"/>
      <w:lvlText w:val="•"/>
      <w:lvlJc w:val="left"/>
      <w:pPr>
        <w:ind w:left="4917" w:hanging="425"/>
      </w:pPr>
      <w:rPr>
        <w:rFonts w:hint="default"/>
        <w:lang w:val="en-US" w:eastAsia="en-US" w:bidi="ar-SA"/>
      </w:rPr>
    </w:lvl>
    <w:lvl w:ilvl="6">
      <w:numFmt w:val="bullet"/>
      <w:lvlText w:val="•"/>
      <w:lvlJc w:val="left"/>
      <w:pPr>
        <w:ind w:left="5862" w:hanging="425"/>
      </w:pPr>
      <w:rPr>
        <w:rFonts w:hint="default"/>
        <w:lang w:val="en-US" w:eastAsia="en-US" w:bidi="ar-SA"/>
      </w:rPr>
    </w:lvl>
    <w:lvl w:ilvl="7">
      <w:numFmt w:val="bullet"/>
      <w:lvlText w:val="•"/>
      <w:lvlJc w:val="left"/>
      <w:pPr>
        <w:ind w:left="6806" w:hanging="425"/>
      </w:pPr>
      <w:rPr>
        <w:rFonts w:hint="default"/>
        <w:lang w:val="en-US" w:eastAsia="en-US" w:bidi="ar-SA"/>
      </w:rPr>
    </w:lvl>
    <w:lvl w:ilvl="8">
      <w:numFmt w:val="bullet"/>
      <w:lvlText w:val="•"/>
      <w:lvlJc w:val="left"/>
      <w:pPr>
        <w:ind w:left="7751" w:hanging="425"/>
      </w:pPr>
      <w:rPr>
        <w:rFonts w:hint="default"/>
        <w:lang w:val="en-US" w:eastAsia="en-US" w:bidi="ar-SA"/>
      </w:rPr>
    </w:lvl>
  </w:abstractNum>
  <w:abstractNum w:abstractNumId="16"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5"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31"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3"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6"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7D4B5A"/>
    <w:multiLevelType w:val="multilevel"/>
    <w:tmpl w:val="01B6EB24"/>
    <w:lvl w:ilvl="0">
      <w:start w:val="1"/>
      <w:numFmt w:val="lowerLetter"/>
      <w:lvlText w:val="%1)"/>
      <w:lvlJc w:val="left"/>
      <w:pPr>
        <w:ind w:left="429" w:hanging="428"/>
      </w:pPr>
      <w:rPr>
        <w:rFonts w:ascii="Cambria" w:eastAsia="Cambria" w:hAnsi="Cambria" w:cs="Cambria" w:hint="default"/>
        <w:b w:val="0"/>
        <w:bCs w:val="0"/>
        <w:i w:val="0"/>
        <w:iCs w:val="0"/>
        <w:spacing w:val="0"/>
        <w:sz w:val="20"/>
        <w:szCs w:val="20"/>
        <w:lang w:val="en-US" w:eastAsia="en-US" w:bidi="ar-SA"/>
      </w:rPr>
    </w:lvl>
    <w:lvl w:ilvl="1">
      <w:numFmt w:val="bullet"/>
      <w:lvlText w:val="•"/>
      <w:lvlJc w:val="left"/>
      <w:pPr>
        <w:ind w:left="1299" w:hanging="428"/>
      </w:pPr>
      <w:rPr>
        <w:lang w:val="en-US" w:eastAsia="en-US" w:bidi="ar-SA"/>
      </w:rPr>
    </w:lvl>
    <w:lvl w:ilvl="2">
      <w:numFmt w:val="bullet"/>
      <w:lvlText w:val="•"/>
      <w:lvlJc w:val="left"/>
      <w:pPr>
        <w:ind w:left="2178" w:hanging="428"/>
      </w:pPr>
      <w:rPr>
        <w:lang w:val="en-US" w:eastAsia="en-US" w:bidi="ar-SA"/>
      </w:rPr>
    </w:lvl>
    <w:lvl w:ilvl="3">
      <w:numFmt w:val="bullet"/>
      <w:lvlText w:val="•"/>
      <w:lvlJc w:val="left"/>
      <w:pPr>
        <w:ind w:left="3058" w:hanging="428"/>
      </w:pPr>
      <w:rPr>
        <w:lang w:val="en-US" w:eastAsia="en-US" w:bidi="ar-SA"/>
      </w:rPr>
    </w:lvl>
    <w:lvl w:ilvl="4">
      <w:numFmt w:val="bullet"/>
      <w:lvlText w:val="•"/>
      <w:lvlJc w:val="left"/>
      <w:pPr>
        <w:ind w:left="3937" w:hanging="428"/>
      </w:pPr>
      <w:rPr>
        <w:lang w:val="en-US" w:eastAsia="en-US" w:bidi="ar-SA"/>
      </w:rPr>
    </w:lvl>
    <w:lvl w:ilvl="5">
      <w:numFmt w:val="bullet"/>
      <w:lvlText w:val="•"/>
      <w:lvlJc w:val="left"/>
      <w:pPr>
        <w:ind w:left="4817" w:hanging="428"/>
      </w:pPr>
      <w:rPr>
        <w:lang w:val="en-US" w:eastAsia="en-US" w:bidi="ar-SA"/>
      </w:rPr>
    </w:lvl>
    <w:lvl w:ilvl="6">
      <w:numFmt w:val="bullet"/>
      <w:lvlText w:val="•"/>
      <w:lvlJc w:val="left"/>
      <w:pPr>
        <w:ind w:left="5696" w:hanging="428"/>
      </w:pPr>
      <w:rPr>
        <w:lang w:val="en-US" w:eastAsia="en-US" w:bidi="ar-SA"/>
      </w:rPr>
    </w:lvl>
    <w:lvl w:ilvl="7">
      <w:numFmt w:val="bullet"/>
      <w:lvlText w:val="•"/>
      <w:lvlJc w:val="left"/>
      <w:pPr>
        <w:ind w:left="6576" w:hanging="428"/>
      </w:pPr>
      <w:rPr>
        <w:lang w:val="en-US" w:eastAsia="en-US" w:bidi="ar-SA"/>
      </w:rPr>
    </w:lvl>
    <w:lvl w:ilvl="8">
      <w:numFmt w:val="bullet"/>
      <w:lvlText w:val="•"/>
      <w:lvlJc w:val="left"/>
      <w:pPr>
        <w:ind w:left="7455" w:hanging="428"/>
      </w:pPr>
      <w:rPr>
        <w:lang w:val="en-US" w:eastAsia="en-US" w:bidi="ar-SA"/>
      </w:rPr>
    </w:lvl>
  </w:abstractNum>
  <w:abstractNum w:abstractNumId="40"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5"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10"/>
  </w:num>
  <w:num w:numId="2" w16cid:durableId="1449546622">
    <w:abstractNumId w:val="6"/>
  </w:num>
  <w:num w:numId="3" w16cid:durableId="1669477334">
    <w:abstractNumId w:val="32"/>
  </w:num>
  <w:num w:numId="4" w16cid:durableId="2062551615">
    <w:abstractNumId w:val="35"/>
  </w:num>
  <w:num w:numId="5" w16cid:durableId="1334332422">
    <w:abstractNumId w:val="7"/>
  </w:num>
  <w:num w:numId="6" w16cid:durableId="1425516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8"/>
  </w:num>
  <w:num w:numId="8" w16cid:durableId="1031148757">
    <w:abstractNumId w:val="9"/>
  </w:num>
  <w:num w:numId="9" w16cid:durableId="1366442034">
    <w:abstractNumId w:val="12"/>
  </w:num>
  <w:num w:numId="10" w16cid:durableId="593592016">
    <w:abstractNumId w:val="25"/>
  </w:num>
  <w:num w:numId="11" w16cid:durableId="1440175051">
    <w:abstractNumId w:val="41"/>
  </w:num>
  <w:num w:numId="12" w16cid:durableId="982851329">
    <w:abstractNumId w:val="23"/>
  </w:num>
  <w:num w:numId="13" w16cid:durableId="77144801">
    <w:abstractNumId w:val="26"/>
  </w:num>
  <w:num w:numId="14" w16cid:durableId="1647279085">
    <w:abstractNumId w:val="5"/>
  </w:num>
  <w:num w:numId="15" w16cid:durableId="271133236">
    <w:abstractNumId w:val="17"/>
  </w:num>
  <w:num w:numId="16" w16cid:durableId="1738623123">
    <w:abstractNumId w:val="33"/>
  </w:num>
  <w:num w:numId="17" w16cid:durableId="913320329">
    <w:abstractNumId w:val="31"/>
  </w:num>
  <w:num w:numId="18" w16cid:durableId="418794546">
    <w:abstractNumId w:val="38"/>
  </w:num>
  <w:num w:numId="19" w16cid:durableId="1472021529">
    <w:abstractNumId w:val="27"/>
  </w:num>
  <w:num w:numId="20" w16cid:durableId="2017075213">
    <w:abstractNumId w:val="42"/>
  </w:num>
  <w:num w:numId="21" w16cid:durableId="591548215">
    <w:abstractNumId w:val="29"/>
  </w:num>
  <w:num w:numId="22" w16cid:durableId="1404647861">
    <w:abstractNumId w:val="11"/>
  </w:num>
  <w:num w:numId="23" w16cid:durableId="174223927">
    <w:abstractNumId w:val="14"/>
  </w:num>
  <w:num w:numId="24" w16cid:durableId="1101417208">
    <w:abstractNumId w:val="40"/>
  </w:num>
  <w:num w:numId="25" w16cid:durableId="801313979">
    <w:abstractNumId w:val="30"/>
  </w:num>
  <w:num w:numId="26" w16cid:durableId="1469083396">
    <w:abstractNumId w:val="19"/>
  </w:num>
  <w:num w:numId="27" w16cid:durableId="994603209">
    <w:abstractNumId w:val="34"/>
  </w:num>
  <w:num w:numId="28" w16cid:durableId="1157379616">
    <w:abstractNumId w:val="36"/>
  </w:num>
  <w:num w:numId="29" w16cid:durableId="438067770">
    <w:abstractNumId w:val="21"/>
  </w:num>
  <w:num w:numId="30" w16cid:durableId="2108188645">
    <w:abstractNumId w:val="45"/>
  </w:num>
  <w:num w:numId="31" w16cid:durableId="637416884">
    <w:abstractNumId w:val="1"/>
  </w:num>
  <w:num w:numId="32" w16cid:durableId="1707027479">
    <w:abstractNumId w:val="8"/>
  </w:num>
  <w:num w:numId="33" w16cid:durableId="220675060">
    <w:abstractNumId w:val="20"/>
  </w:num>
  <w:num w:numId="34" w16cid:durableId="683478542">
    <w:abstractNumId w:val="28"/>
  </w:num>
  <w:num w:numId="35" w16cid:durableId="374165365">
    <w:abstractNumId w:val="0"/>
  </w:num>
  <w:num w:numId="36" w16cid:durableId="133135331">
    <w:abstractNumId w:val="2"/>
  </w:num>
  <w:num w:numId="37" w16cid:durableId="1939672181">
    <w:abstractNumId w:val="3"/>
  </w:num>
  <w:num w:numId="38" w16cid:durableId="905067993">
    <w:abstractNumId w:val="43"/>
  </w:num>
  <w:num w:numId="39" w16cid:durableId="715666598">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4"/>
  </w:num>
  <w:num w:numId="41" w16cid:durableId="191919274">
    <w:abstractNumId w:val="44"/>
  </w:num>
  <w:num w:numId="42" w16cid:durableId="1523088920">
    <w:abstractNumId w:val="22"/>
  </w:num>
  <w:num w:numId="43" w16cid:durableId="704985200">
    <w:abstractNumId w:val="37"/>
  </w:num>
  <w:num w:numId="44" w16cid:durableId="1439372492">
    <w:abstractNumId w:val="4"/>
    <w:lvlOverride w:ilvl="0">
      <w:startOverride w:val="1"/>
    </w:lvlOverride>
    <w:lvlOverride w:ilvl="1">
      <w:startOverride w:val="1"/>
    </w:lvlOverride>
    <w:lvlOverride w:ilvl="2">
      <w:startOverride w:val="1"/>
    </w:lvlOverride>
    <w:lvlOverride w:ilvl="3">
      <w:startOverride w:val="1"/>
    </w:lvlOverride>
  </w:num>
  <w:num w:numId="45" w16cid:durableId="1030645247">
    <w:abstractNumId w:val="39"/>
    <w:lvlOverride w:ilvl="0">
      <w:startOverride w:val="1"/>
    </w:lvlOverride>
  </w:num>
  <w:num w:numId="46" w16cid:durableId="282620428">
    <w:abstractNumId w:val="15"/>
  </w:num>
  <w:num w:numId="47" w16cid:durableId="161556344">
    <w:abstractNumId w:val="4"/>
    <w:lvlOverride w:ilvl="0">
      <w:startOverride w:val="1"/>
    </w:lvlOverride>
    <w:lvlOverride w:ilvl="1">
      <w:startOverride w:val="1"/>
    </w:lvlOverride>
    <w:lvlOverride w:ilvl="2">
      <w:startOverride w:val="1"/>
    </w:lvlOverride>
    <w:lvlOverride w:ilvl="3">
      <w:startOverride w:val="1"/>
    </w:lvlOverride>
  </w:num>
  <w:num w:numId="48" w16cid:durableId="1778791540">
    <w:abstractNumId w:val="13"/>
  </w:num>
  <w:num w:numId="49" w16cid:durableId="1717388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4D11"/>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26D"/>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29FC"/>
    <w:rsid w:val="00433870"/>
    <w:rsid w:val="00435A8B"/>
    <w:rsid w:val="004363FD"/>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6FB9"/>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1827"/>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1B79"/>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0F67"/>
    <w:rsid w:val="00774632"/>
    <w:rsid w:val="00775899"/>
    <w:rsid w:val="00780453"/>
    <w:rsid w:val="0079089F"/>
    <w:rsid w:val="0079380E"/>
    <w:rsid w:val="007A4722"/>
    <w:rsid w:val="007B10F9"/>
    <w:rsid w:val="007B2DE7"/>
    <w:rsid w:val="007B4D4C"/>
    <w:rsid w:val="007C21CB"/>
    <w:rsid w:val="007C4A02"/>
    <w:rsid w:val="007C4E4F"/>
    <w:rsid w:val="007C560A"/>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39D3"/>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5E4"/>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3879"/>
    <w:rsid w:val="00A94350"/>
    <w:rsid w:val="00AA34BE"/>
    <w:rsid w:val="00AA4628"/>
    <w:rsid w:val="00AA562B"/>
    <w:rsid w:val="00AA6F06"/>
    <w:rsid w:val="00AB1FAA"/>
    <w:rsid w:val="00AB2C68"/>
    <w:rsid w:val="00AB6005"/>
    <w:rsid w:val="00AB6B4E"/>
    <w:rsid w:val="00AB6CA9"/>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452E"/>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4752D"/>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16-14-f.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2026-10-14T13:04:00Z</dcterms:created>
  <dcterms:modified xsi:type="dcterms:W3CDTF">2026-10-14T13:59:00Z</dcterms:modified>
</cp:coreProperties>
</file>