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6E4622" w14:textId="6E67D512" w:rsidR="00046127" w:rsidRPr="00DA5964" w:rsidRDefault="00046127" w:rsidP="00046127">
      <w:pPr>
        <w:jc w:val="right"/>
        <w:rPr>
          <w:rFonts w:asciiTheme="majorHAnsi" w:eastAsia="Calibri" w:hAnsiTheme="majorHAnsi"/>
          <w:bCs/>
          <w:sz w:val="20"/>
          <w:szCs w:val="20"/>
        </w:rPr>
      </w:pPr>
      <w:r w:rsidRPr="00DA5964">
        <w:rPr>
          <w:rFonts w:asciiTheme="majorHAnsi" w:hAnsiTheme="majorHAnsi"/>
          <w:b/>
          <w:sz w:val="20"/>
          <w:szCs w:val="20"/>
        </w:rPr>
        <w:t xml:space="preserve">Original : </w:t>
      </w:r>
      <w:r w:rsidRPr="00DA5964">
        <w:rPr>
          <w:rFonts w:asciiTheme="majorHAnsi" w:hAnsiTheme="majorHAnsi"/>
          <w:b/>
          <w:bCs/>
          <w:sz w:val="20"/>
          <w:szCs w:val="20"/>
        </w:rPr>
        <w:t>anglais</w:t>
      </w:r>
    </w:p>
    <w:p w14:paraId="07B2394B" w14:textId="77777777" w:rsidR="00271185" w:rsidRPr="00DA5964" w:rsidRDefault="00271185" w:rsidP="00046127">
      <w:pPr>
        <w:autoSpaceDE w:val="0"/>
        <w:autoSpaceDN w:val="0"/>
        <w:adjustRightInd w:val="0"/>
        <w:jc w:val="center"/>
        <w:rPr>
          <w:rFonts w:asciiTheme="majorHAnsi" w:eastAsia="Calibri" w:hAnsiTheme="majorHAnsi"/>
          <w:b/>
          <w:bCs/>
          <w:sz w:val="20"/>
          <w:szCs w:val="20"/>
        </w:rPr>
      </w:pPr>
      <w:bookmarkStart w:id="0" w:name="_Hlk119173661"/>
    </w:p>
    <w:p w14:paraId="2A576C10" w14:textId="7EA8AE7F" w:rsidR="00046127" w:rsidRPr="00DA5964" w:rsidRDefault="00271185" w:rsidP="00046127">
      <w:pPr>
        <w:autoSpaceDE w:val="0"/>
        <w:autoSpaceDN w:val="0"/>
        <w:adjustRightInd w:val="0"/>
        <w:jc w:val="center"/>
        <w:rPr>
          <w:rFonts w:asciiTheme="majorHAnsi" w:eastAsia="Calibri" w:hAnsiTheme="majorHAnsi"/>
          <w:b/>
          <w:bCs/>
          <w:sz w:val="20"/>
          <w:szCs w:val="20"/>
        </w:rPr>
      </w:pPr>
      <w:r w:rsidRPr="00DA5964">
        <w:rPr>
          <w:rFonts w:asciiTheme="majorHAnsi" w:hAnsiTheme="majorHAnsi"/>
          <w:b/>
          <w:sz w:val="20"/>
          <w:szCs w:val="20"/>
        </w:rPr>
        <w:t xml:space="preserve">Commentaires et informations que le Secrétariat a reçus sur la correspondance </w:t>
      </w:r>
      <w:r w:rsidR="001D6A15">
        <w:rPr>
          <w:rFonts w:asciiTheme="majorHAnsi" w:hAnsiTheme="majorHAnsi"/>
          <w:b/>
          <w:sz w:val="20"/>
          <w:szCs w:val="20"/>
        </w:rPr>
        <w:t xml:space="preserve">du Royaume-Uni </w:t>
      </w:r>
      <w:r w:rsidRPr="00DA5964">
        <w:rPr>
          <w:rFonts w:asciiTheme="majorHAnsi" w:hAnsiTheme="majorHAnsi"/>
          <w:b/>
          <w:sz w:val="20"/>
          <w:szCs w:val="20"/>
        </w:rPr>
        <w:t>relative à la demande concernant l’atténuation des prises accessoires d'oiseaux de mer (questions de sécurité liées à l'utilisation de lignes d’avançons lestés)</w:t>
      </w:r>
      <w:bookmarkEnd w:id="0"/>
    </w:p>
    <w:p w14:paraId="76D96F49" w14:textId="77777777" w:rsidR="00046127" w:rsidRPr="00DA5964" w:rsidRDefault="00046127" w:rsidP="00046127">
      <w:pPr>
        <w:autoSpaceDE w:val="0"/>
        <w:autoSpaceDN w:val="0"/>
        <w:adjustRightInd w:val="0"/>
        <w:jc w:val="center"/>
        <w:rPr>
          <w:rFonts w:asciiTheme="majorHAnsi" w:eastAsia="Calibri" w:hAnsiTheme="majorHAnsi"/>
          <w:i/>
          <w:iCs/>
          <w:sz w:val="20"/>
          <w:szCs w:val="20"/>
        </w:rPr>
      </w:pPr>
    </w:p>
    <w:p w14:paraId="0E8F3CAF" w14:textId="77777777" w:rsidR="00046127" w:rsidRPr="00DA5964" w:rsidRDefault="00046127" w:rsidP="00046127">
      <w:pPr>
        <w:autoSpaceDE w:val="0"/>
        <w:autoSpaceDN w:val="0"/>
        <w:adjustRightInd w:val="0"/>
        <w:jc w:val="center"/>
        <w:rPr>
          <w:rFonts w:asciiTheme="majorHAnsi" w:eastAsia="Calibri" w:hAnsiTheme="majorHAnsi"/>
          <w:i/>
          <w:iCs/>
          <w:sz w:val="20"/>
          <w:szCs w:val="20"/>
        </w:rPr>
      </w:pPr>
      <w:r w:rsidRPr="00DA5964">
        <w:rPr>
          <w:rFonts w:asciiTheme="majorHAnsi" w:hAnsiTheme="majorHAnsi"/>
          <w:i/>
          <w:iCs/>
          <w:sz w:val="20"/>
          <w:szCs w:val="20"/>
        </w:rPr>
        <w:t>(Secrétariat de l’ICCAT)</w:t>
      </w:r>
    </w:p>
    <w:p w14:paraId="19615F09" w14:textId="77777777" w:rsidR="006B4897" w:rsidRPr="00DA5964" w:rsidRDefault="006B4897" w:rsidP="006B4897">
      <w:pPr>
        <w:tabs>
          <w:tab w:val="left" w:pos="340"/>
          <w:tab w:val="left" w:pos="680"/>
          <w:tab w:val="left" w:pos="1020"/>
          <w:tab w:val="left" w:pos="1134"/>
          <w:tab w:val="left" w:pos="1760"/>
        </w:tabs>
        <w:ind w:left="1361" w:right="3" w:hanging="1361"/>
        <w:jc w:val="both"/>
        <w:rPr>
          <w:rFonts w:asciiTheme="majorHAnsi" w:hAnsiTheme="majorHAnsi"/>
          <w:b/>
          <w:bCs/>
          <w:i/>
          <w:sz w:val="20"/>
          <w:szCs w:val="20"/>
        </w:rPr>
      </w:pPr>
    </w:p>
    <w:p w14:paraId="7B89D078" w14:textId="703EF589" w:rsidR="004A2E45" w:rsidRPr="00DA5964" w:rsidRDefault="004A2E45" w:rsidP="00772B03">
      <w:pPr>
        <w:jc w:val="both"/>
        <w:rPr>
          <w:rFonts w:asciiTheme="majorHAnsi" w:hAnsiTheme="majorHAnsi"/>
          <w:sz w:val="20"/>
          <w:szCs w:val="20"/>
        </w:rPr>
      </w:pPr>
      <w:r w:rsidRPr="00DA5964">
        <w:rPr>
          <w:rFonts w:asciiTheme="majorHAnsi" w:hAnsiTheme="majorHAnsi"/>
          <w:sz w:val="20"/>
          <w:szCs w:val="20"/>
        </w:rPr>
        <w:t xml:space="preserve">Lors de la 19e réunion du Groupe de travail chargé d’élaborer des mesures de contrôle intégré (IMM), qui s'est tenue à Bruxelles du 1er au 5 juin 2026, le Royaume-Uni a présenté le document </w:t>
      </w:r>
      <w:hyperlink r:id="rId8" w:history="1">
        <w:r w:rsidRPr="00DA5964">
          <w:rPr>
            <w:rStyle w:val="Hyperlink"/>
            <w:rFonts w:asciiTheme="majorHAnsi" w:hAnsiTheme="majorHAnsi"/>
            <w:sz w:val="20"/>
            <w:szCs w:val="20"/>
            <w:u w:val="none"/>
          </w:rPr>
          <w:t>IMM_06/i2026</w:t>
        </w:r>
      </w:hyperlink>
      <w:r w:rsidRPr="00DA5964">
        <w:rPr>
          <w:rFonts w:asciiTheme="majorHAnsi" w:hAnsiTheme="majorHAnsi"/>
          <w:sz w:val="20"/>
          <w:szCs w:val="20"/>
        </w:rPr>
        <w:t xml:space="preserve">, intitulé </w:t>
      </w:r>
      <w:r w:rsidR="00900160">
        <w:rPr>
          <w:rFonts w:asciiTheme="majorHAnsi" w:hAnsiTheme="majorHAnsi"/>
          <w:sz w:val="20"/>
          <w:szCs w:val="20"/>
        </w:rPr>
        <w:t>« </w:t>
      </w:r>
      <w:r w:rsidRPr="00DA5964">
        <w:rPr>
          <w:rFonts w:asciiTheme="majorHAnsi" w:hAnsiTheme="majorHAnsi"/>
          <w:sz w:val="20"/>
          <w:szCs w:val="20"/>
        </w:rPr>
        <w:t>Atténuation des prises accessoires d'oiseaux de mer – questions de sécurité liées à l'utilisation d’avançons lestés</w:t>
      </w:r>
      <w:r w:rsidR="00900160">
        <w:rPr>
          <w:rFonts w:asciiTheme="majorHAnsi" w:hAnsiTheme="majorHAnsi"/>
          <w:sz w:val="20"/>
          <w:szCs w:val="20"/>
        </w:rPr>
        <w:t> »</w:t>
      </w:r>
      <w:r w:rsidRPr="00DA5964">
        <w:rPr>
          <w:rFonts w:asciiTheme="majorHAnsi" w:hAnsiTheme="majorHAnsi"/>
          <w:sz w:val="20"/>
          <w:szCs w:val="20"/>
        </w:rPr>
        <w:t>.</w:t>
      </w:r>
      <w:r w:rsidRPr="00DA5964">
        <w:rPr>
          <w:rFonts w:asciiTheme="majorHAnsi" w:hAnsiTheme="majorHAnsi"/>
          <w:color w:val="000000"/>
          <w:sz w:val="20"/>
          <w:szCs w:val="20"/>
        </w:rPr>
        <w:t xml:space="preserve"> </w:t>
      </w:r>
      <w:r w:rsidRPr="00DA5964">
        <w:rPr>
          <w:rFonts w:asciiTheme="majorHAnsi" w:hAnsiTheme="majorHAnsi"/>
          <w:sz w:val="20"/>
          <w:szCs w:val="20"/>
        </w:rPr>
        <w:t>Ce document décrivait une procédure visant à rassembler, examiner et discuter de toutes les informations pertinentes sur ce sujet avec les CPC concernées.</w:t>
      </w:r>
    </w:p>
    <w:p w14:paraId="710F9383" w14:textId="77777777" w:rsidR="004A2E45" w:rsidRPr="00DA5964" w:rsidRDefault="004A2E45" w:rsidP="00772B03">
      <w:pPr>
        <w:jc w:val="both"/>
        <w:rPr>
          <w:rFonts w:asciiTheme="majorHAnsi" w:hAnsiTheme="majorHAnsi"/>
          <w:sz w:val="20"/>
          <w:szCs w:val="20"/>
        </w:rPr>
      </w:pPr>
    </w:p>
    <w:p w14:paraId="7846C0DC" w14:textId="6B8BEF66" w:rsidR="004A2E45" w:rsidRPr="00DA5964" w:rsidRDefault="004A2E45" w:rsidP="00772B03">
      <w:pPr>
        <w:tabs>
          <w:tab w:val="left" w:pos="340"/>
          <w:tab w:val="left" w:pos="680"/>
          <w:tab w:val="left" w:pos="1020"/>
          <w:tab w:val="left" w:pos="1134"/>
          <w:tab w:val="left" w:pos="1760"/>
        </w:tabs>
        <w:ind w:right="6"/>
        <w:jc w:val="both"/>
        <w:rPr>
          <w:rFonts w:asciiTheme="majorHAnsi" w:hAnsiTheme="majorHAnsi"/>
          <w:sz w:val="20"/>
          <w:szCs w:val="20"/>
        </w:rPr>
      </w:pPr>
      <w:r w:rsidRPr="00DA5964">
        <w:rPr>
          <w:rFonts w:asciiTheme="majorHAnsi" w:hAnsiTheme="majorHAnsi"/>
          <w:sz w:val="20"/>
          <w:szCs w:val="20"/>
        </w:rPr>
        <w:t>Compte tenu de ce qui précède, il a été demandé aux CPC de fournir toute information relative aux questions de sécurité liées à l'utilisation des mesures d'atténuation des prises accessoires d'oiseaux de mer, telles que</w:t>
      </w:r>
      <w:r w:rsidR="00900160">
        <w:rPr>
          <w:rFonts w:asciiTheme="majorHAnsi" w:hAnsiTheme="majorHAnsi"/>
          <w:sz w:val="20"/>
          <w:szCs w:val="20"/>
        </w:rPr>
        <w:t> :</w:t>
      </w:r>
    </w:p>
    <w:p w14:paraId="0ECEBF46" w14:textId="77777777" w:rsidR="004A2E45" w:rsidRPr="00DA5964" w:rsidRDefault="004A2E45" w:rsidP="00772B03">
      <w:pPr>
        <w:tabs>
          <w:tab w:val="left" w:pos="340"/>
          <w:tab w:val="left" w:pos="680"/>
          <w:tab w:val="left" w:pos="1020"/>
          <w:tab w:val="left" w:pos="1134"/>
          <w:tab w:val="left" w:pos="1760"/>
        </w:tabs>
        <w:ind w:right="6"/>
        <w:jc w:val="both"/>
        <w:rPr>
          <w:rFonts w:asciiTheme="majorHAnsi" w:hAnsiTheme="majorHAnsi"/>
          <w:sz w:val="20"/>
          <w:szCs w:val="20"/>
        </w:rPr>
      </w:pPr>
    </w:p>
    <w:p w14:paraId="4D61B80C" w14:textId="0F6E76FD" w:rsidR="004A2E45" w:rsidRPr="00DA5964" w:rsidRDefault="004A2E45" w:rsidP="00900160">
      <w:pPr>
        <w:pStyle w:val="ListParagraph"/>
        <w:numPr>
          <w:ilvl w:val="0"/>
          <w:numId w:val="42"/>
        </w:numPr>
        <w:ind w:left="851" w:right="6" w:hanging="425"/>
        <w:jc w:val="both"/>
        <w:rPr>
          <w:rFonts w:asciiTheme="majorHAnsi" w:hAnsiTheme="majorHAnsi"/>
          <w:sz w:val="20"/>
          <w:szCs w:val="20"/>
        </w:rPr>
      </w:pPr>
      <w:r w:rsidRPr="00DA5964">
        <w:rPr>
          <w:rFonts w:asciiTheme="majorHAnsi" w:hAnsiTheme="majorHAnsi"/>
          <w:sz w:val="20"/>
          <w:szCs w:val="20"/>
        </w:rPr>
        <w:t>les risques pour la sécurité de l’équipage liés à l'utilisation d’avançons de palangre lestés, que ce soit en combinaison avec des dispositifs de protection des hameçons ou en tant que mesure indépendante ;</w:t>
      </w:r>
    </w:p>
    <w:p w14:paraId="3504325F" w14:textId="77777777" w:rsidR="00271185" w:rsidRPr="00DA5964" w:rsidRDefault="00271185" w:rsidP="00900160">
      <w:pPr>
        <w:pStyle w:val="ListParagraph"/>
        <w:ind w:left="851" w:right="6" w:hanging="425"/>
        <w:jc w:val="both"/>
        <w:rPr>
          <w:rFonts w:asciiTheme="majorHAnsi" w:hAnsiTheme="majorHAnsi"/>
          <w:sz w:val="20"/>
          <w:szCs w:val="20"/>
        </w:rPr>
      </w:pPr>
    </w:p>
    <w:p w14:paraId="38DE9594" w14:textId="77777777" w:rsidR="004A2E45" w:rsidRPr="00DA5964" w:rsidRDefault="004A2E45" w:rsidP="00900160">
      <w:pPr>
        <w:pStyle w:val="ListParagraph"/>
        <w:numPr>
          <w:ilvl w:val="0"/>
          <w:numId w:val="42"/>
        </w:numPr>
        <w:ind w:left="851" w:right="6" w:hanging="425"/>
        <w:jc w:val="both"/>
        <w:rPr>
          <w:rFonts w:asciiTheme="majorHAnsi" w:hAnsiTheme="majorHAnsi"/>
          <w:sz w:val="20"/>
          <w:szCs w:val="20"/>
        </w:rPr>
      </w:pPr>
      <w:r w:rsidRPr="00DA5964">
        <w:rPr>
          <w:rFonts w:asciiTheme="majorHAnsi" w:hAnsiTheme="majorHAnsi"/>
          <w:sz w:val="20"/>
          <w:szCs w:val="20"/>
        </w:rPr>
        <w:t xml:space="preserve">le risque plus général de l’effet de « retour » des avançons lestés ; </w:t>
      </w:r>
      <w:proofErr w:type="gramStart"/>
      <w:r w:rsidRPr="00DA5964">
        <w:rPr>
          <w:rFonts w:asciiTheme="majorHAnsi" w:hAnsiTheme="majorHAnsi"/>
          <w:sz w:val="20"/>
          <w:szCs w:val="20"/>
        </w:rPr>
        <w:t>ou</w:t>
      </w:r>
      <w:proofErr w:type="gramEnd"/>
    </w:p>
    <w:p w14:paraId="4E80A2C6" w14:textId="77777777" w:rsidR="00271185" w:rsidRPr="00DA5964" w:rsidRDefault="00271185" w:rsidP="00900160">
      <w:pPr>
        <w:pStyle w:val="ListParagraph"/>
        <w:ind w:left="851" w:hanging="425"/>
        <w:jc w:val="both"/>
        <w:rPr>
          <w:rFonts w:asciiTheme="majorHAnsi" w:hAnsiTheme="majorHAnsi"/>
          <w:sz w:val="20"/>
          <w:szCs w:val="20"/>
        </w:rPr>
      </w:pPr>
    </w:p>
    <w:p w14:paraId="4E1D13D9" w14:textId="31D70D41" w:rsidR="004A2E45" w:rsidRPr="00DA5964" w:rsidRDefault="00F42CBA" w:rsidP="00900160">
      <w:pPr>
        <w:pStyle w:val="ListParagraph"/>
        <w:numPr>
          <w:ilvl w:val="0"/>
          <w:numId w:val="42"/>
        </w:numPr>
        <w:ind w:left="851" w:right="6" w:hanging="425"/>
        <w:jc w:val="both"/>
        <w:rPr>
          <w:rFonts w:asciiTheme="majorHAnsi" w:hAnsiTheme="majorHAnsi"/>
          <w:sz w:val="20"/>
          <w:szCs w:val="20"/>
        </w:rPr>
      </w:pPr>
      <w:r w:rsidRPr="00DA5964">
        <w:rPr>
          <w:rFonts w:asciiTheme="majorHAnsi" w:hAnsiTheme="majorHAnsi"/>
          <w:sz w:val="20"/>
          <w:szCs w:val="20"/>
        </w:rPr>
        <w:t>les mesures qui ont été ou pourraient être mises en œuvre pour atténuer ces risques, notamment l'utilisation d'équipements de sécurité adaptés ou l'adoption de procédures opérationnelles appropriées.</w:t>
      </w:r>
    </w:p>
    <w:p w14:paraId="4C8F57CE" w14:textId="62E381AA" w:rsidR="004A2E45" w:rsidRPr="00DA5964" w:rsidRDefault="004A2E45" w:rsidP="00772B03">
      <w:pPr>
        <w:tabs>
          <w:tab w:val="left" w:pos="340"/>
          <w:tab w:val="left" w:pos="680"/>
          <w:tab w:val="left" w:pos="1020"/>
          <w:tab w:val="left" w:pos="1134"/>
          <w:tab w:val="left" w:pos="1760"/>
        </w:tabs>
        <w:ind w:right="6"/>
        <w:jc w:val="both"/>
        <w:rPr>
          <w:rFonts w:asciiTheme="majorHAnsi" w:hAnsiTheme="majorHAnsi"/>
          <w:sz w:val="20"/>
          <w:szCs w:val="20"/>
        </w:rPr>
      </w:pPr>
    </w:p>
    <w:p w14:paraId="322849DC" w14:textId="5B26FA99" w:rsidR="004A2E45" w:rsidRPr="00DA5964" w:rsidRDefault="004A2E45" w:rsidP="00772B03">
      <w:pPr>
        <w:tabs>
          <w:tab w:val="left" w:pos="340"/>
          <w:tab w:val="left" w:pos="680"/>
          <w:tab w:val="left" w:pos="1020"/>
          <w:tab w:val="left" w:pos="1134"/>
          <w:tab w:val="left" w:pos="1760"/>
        </w:tabs>
        <w:ind w:right="6"/>
        <w:jc w:val="both"/>
        <w:rPr>
          <w:rFonts w:asciiTheme="majorHAnsi" w:hAnsiTheme="majorHAnsi"/>
          <w:sz w:val="20"/>
          <w:szCs w:val="20"/>
        </w:rPr>
      </w:pPr>
      <w:r w:rsidRPr="00DA5964">
        <w:rPr>
          <w:rFonts w:asciiTheme="majorHAnsi" w:hAnsiTheme="majorHAnsi"/>
          <w:sz w:val="20"/>
          <w:szCs w:val="20"/>
        </w:rPr>
        <w:t xml:space="preserve">Ces informations pourraient notamment inclure, sans s'y limiter, des rapports sur les essais réalisés, des rapports sur les incidents liés à la sécurité ou des informations anecdotiques.  </w:t>
      </w:r>
    </w:p>
    <w:p w14:paraId="36AB03AC" w14:textId="77777777" w:rsidR="006B4897" w:rsidRPr="00DA5964" w:rsidRDefault="006B4897" w:rsidP="00772B03">
      <w:pPr>
        <w:tabs>
          <w:tab w:val="left" w:pos="340"/>
          <w:tab w:val="left" w:pos="680"/>
          <w:tab w:val="left" w:pos="1020"/>
          <w:tab w:val="left" w:pos="1134"/>
          <w:tab w:val="left" w:pos="1760"/>
        </w:tabs>
        <w:ind w:right="6"/>
        <w:jc w:val="both"/>
        <w:rPr>
          <w:rFonts w:asciiTheme="majorHAnsi" w:hAnsiTheme="majorHAnsi"/>
          <w:sz w:val="20"/>
          <w:szCs w:val="20"/>
        </w:rPr>
      </w:pPr>
    </w:p>
    <w:p w14:paraId="36F4C62A" w14:textId="347EC5D0" w:rsidR="006B4897" w:rsidRPr="00DA5964" w:rsidRDefault="00271185" w:rsidP="00772B03">
      <w:pPr>
        <w:tabs>
          <w:tab w:val="left" w:pos="340"/>
          <w:tab w:val="left" w:pos="680"/>
          <w:tab w:val="left" w:pos="1020"/>
          <w:tab w:val="left" w:pos="1134"/>
          <w:tab w:val="left" w:pos="1760"/>
        </w:tabs>
        <w:ind w:right="6"/>
        <w:jc w:val="both"/>
        <w:rPr>
          <w:rFonts w:asciiTheme="majorHAnsi" w:hAnsiTheme="majorHAnsi"/>
          <w:sz w:val="20"/>
          <w:szCs w:val="20"/>
        </w:rPr>
      </w:pPr>
      <w:r w:rsidRPr="00DA5964">
        <w:rPr>
          <w:rFonts w:asciiTheme="majorHAnsi" w:hAnsiTheme="majorHAnsi"/>
          <w:sz w:val="20"/>
          <w:szCs w:val="20"/>
        </w:rPr>
        <w:t>L'Union européenne et le Japon ont transmis leurs observations et informations dans les délais impartis.</w:t>
      </w:r>
    </w:p>
    <w:p w14:paraId="5E1460EF" w14:textId="77777777" w:rsidR="006B4897" w:rsidRPr="00DA5964" w:rsidRDefault="006B4897" w:rsidP="006B4897">
      <w:pPr>
        <w:rPr>
          <w:rFonts w:asciiTheme="majorHAnsi" w:hAnsiTheme="majorHAnsi"/>
          <w:sz w:val="20"/>
          <w:szCs w:val="20"/>
        </w:rPr>
      </w:pPr>
    </w:p>
    <w:p w14:paraId="44B7E9CD" w14:textId="77777777" w:rsidR="00A300A4" w:rsidRDefault="00A300A4" w:rsidP="006B4897">
      <w:pPr>
        <w:rPr>
          <w:rFonts w:asciiTheme="majorHAnsi" w:hAnsiTheme="majorHAnsi"/>
          <w:sz w:val="20"/>
          <w:szCs w:val="20"/>
        </w:rPr>
        <w:sectPr w:rsidR="00A300A4" w:rsidSect="00046127">
          <w:headerReference w:type="default" r:id="rId9"/>
          <w:footerReference w:type="default" r:id="rId10"/>
          <w:headerReference w:type="first" r:id="rId11"/>
          <w:footerReference w:type="first" r:id="rId12"/>
          <w:type w:val="continuous"/>
          <w:pgSz w:w="11906" w:h="16838" w:code="9"/>
          <w:pgMar w:top="1418" w:right="1418" w:bottom="1418" w:left="1418" w:header="851" w:footer="1134" w:gutter="0"/>
          <w:cols w:space="708"/>
          <w:docGrid w:linePitch="360"/>
        </w:sectPr>
      </w:pPr>
    </w:p>
    <w:p w14:paraId="4B7AD880" w14:textId="6FE41610" w:rsidR="00F03706" w:rsidRPr="007108FC" w:rsidRDefault="001031B2" w:rsidP="00F03706">
      <w:pPr>
        <w:jc w:val="center"/>
        <w:rPr>
          <w:rFonts w:asciiTheme="majorHAnsi" w:hAnsiTheme="majorHAnsi"/>
          <w:b/>
          <w:bCs/>
          <w:sz w:val="20"/>
          <w:szCs w:val="20"/>
        </w:rPr>
      </w:pPr>
      <w:r w:rsidRPr="007108FC">
        <w:rPr>
          <w:rFonts w:asciiTheme="majorHAnsi" w:hAnsiTheme="majorHAnsi"/>
          <w:b/>
          <w:bCs/>
          <w:sz w:val="20"/>
          <w:szCs w:val="20"/>
        </w:rPr>
        <w:lastRenderedPageBreak/>
        <w:t>Correspondance de l’Union européenne</w:t>
      </w:r>
    </w:p>
    <w:p w14:paraId="148DD267" w14:textId="74D6B8B2" w:rsidR="001031B2" w:rsidRPr="006610F5" w:rsidRDefault="00677B3C" w:rsidP="00F03706">
      <w:pPr>
        <w:jc w:val="center"/>
        <w:rPr>
          <w:rFonts w:asciiTheme="majorHAnsi" w:hAnsiTheme="majorHAnsi"/>
          <w:sz w:val="20"/>
          <w:szCs w:val="20"/>
        </w:rPr>
      </w:pPr>
      <w:r>
        <w:rPr>
          <w:rFonts w:asciiTheme="majorHAnsi" w:hAnsiTheme="majorHAnsi"/>
          <w:sz w:val="20"/>
          <w:szCs w:val="20"/>
        </w:rPr>
        <w:t>(</w:t>
      </w:r>
      <w:r w:rsidR="006610F5" w:rsidRPr="007108FC">
        <w:rPr>
          <w:rFonts w:asciiTheme="majorHAnsi" w:hAnsiTheme="majorHAnsi"/>
          <w:sz w:val="20"/>
          <w:szCs w:val="20"/>
        </w:rPr>
        <w:t>Circulaire de l’ICCAT nº 07070</w:t>
      </w:r>
      <w:r w:rsidR="007108FC" w:rsidRPr="007108FC">
        <w:rPr>
          <w:rFonts w:asciiTheme="majorHAnsi" w:hAnsiTheme="majorHAnsi"/>
          <w:sz w:val="20"/>
          <w:szCs w:val="20"/>
        </w:rPr>
        <w:t>/2026</w:t>
      </w:r>
      <w:r>
        <w:rPr>
          <w:rFonts w:asciiTheme="majorHAnsi" w:hAnsiTheme="majorHAnsi"/>
          <w:sz w:val="20"/>
          <w:szCs w:val="20"/>
        </w:rPr>
        <w:t>)</w:t>
      </w:r>
    </w:p>
    <w:p w14:paraId="58130724" w14:textId="77777777" w:rsidR="006B4897" w:rsidRPr="006610F5" w:rsidRDefault="006B4897" w:rsidP="006B4897">
      <w:pPr>
        <w:rPr>
          <w:rFonts w:asciiTheme="majorHAnsi" w:hAnsiTheme="majorHAnsi"/>
          <w:sz w:val="20"/>
          <w:szCs w:val="20"/>
        </w:rPr>
      </w:pPr>
    </w:p>
    <w:p w14:paraId="183E6F23" w14:textId="77777777" w:rsidR="00F03706" w:rsidRPr="00F03706" w:rsidRDefault="00F03706" w:rsidP="00F03706">
      <w:pPr>
        <w:jc w:val="right"/>
        <w:rPr>
          <w:rFonts w:asciiTheme="majorHAnsi" w:eastAsia="MS Mincho" w:hAnsiTheme="majorHAnsi"/>
          <w:color w:val="00000A"/>
          <w:sz w:val="20"/>
          <w:szCs w:val="20"/>
        </w:rPr>
      </w:pPr>
      <w:r w:rsidRPr="00F03706">
        <w:rPr>
          <w:rFonts w:asciiTheme="majorHAnsi" w:hAnsiTheme="majorHAnsi"/>
          <w:color w:val="00000A"/>
          <w:sz w:val="20"/>
          <w:szCs w:val="20"/>
        </w:rPr>
        <w:t>Le 7 août 2026</w:t>
      </w:r>
    </w:p>
    <w:p w14:paraId="2E3A4D6F" w14:textId="77777777" w:rsidR="00F03706" w:rsidRPr="00F03706" w:rsidRDefault="00F03706" w:rsidP="00F03706">
      <w:pPr>
        <w:jc w:val="right"/>
        <w:rPr>
          <w:rFonts w:asciiTheme="majorHAnsi" w:eastAsia="MS Mincho" w:hAnsiTheme="majorHAnsi"/>
          <w:color w:val="00000A"/>
          <w:sz w:val="20"/>
          <w:szCs w:val="20"/>
        </w:rPr>
      </w:pPr>
    </w:p>
    <w:p w14:paraId="0DB96C40" w14:textId="77777777" w:rsidR="00F03706" w:rsidRPr="00F03706" w:rsidRDefault="00F03706" w:rsidP="00F03706">
      <w:pPr>
        <w:jc w:val="both"/>
        <w:rPr>
          <w:rFonts w:ascii="Cambria" w:eastAsia="Aptos" w:hAnsi="Cambria" w:cs="Aptos"/>
          <w:sz w:val="20"/>
          <w:szCs w:val="20"/>
        </w:rPr>
      </w:pPr>
      <w:r w:rsidRPr="00F03706">
        <w:rPr>
          <w:rFonts w:ascii="Cambria" w:hAnsi="Cambria"/>
          <w:sz w:val="20"/>
          <w:szCs w:val="20"/>
        </w:rPr>
        <w:t>Nous remercions le Royaume-Uni d'avoir pris en compte les préoccupations que nous avions exprimées lors de la réunion annuelle de l'ICCAT de 2025 et d'avoir pris cette initiative visant à recueillir les commentaires des CPC. Nous avons demandé à nos États membres et aux parties prenantes de nous fournir des informations sur les implications potentielles, en matière opérationnelle et de sécurité, de l'utilisation de lignes d’avançons lestés, ainsi que de nous faire part de leurs éventuelles préoccupations. Comme souligné dans le document IMM_06/i2026, la sécurité de l'équipage doit être une priorité lors de l'examen de toute nouvelle mesure de gestion. Au vu de l'expérience acquise et des informations dont nous disposons concernant notre flottille, nous nourrissons de sérieuses inquiétudes quant à la mise en place d'un lestage supplémentaire sur les avançons, tant en tant que mesure isolée qu'en combinaison avec des dispositifs de protection des hameçons.</w:t>
      </w:r>
    </w:p>
    <w:p w14:paraId="1D7A8D52" w14:textId="77777777" w:rsidR="00F03706" w:rsidRPr="00F03706" w:rsidRDefault="00F03706" w:rsidP="00F03706">
      <w:pPr>
        <w:ind w:left="1440"/>
        <w:jc w:val="both"/>
        <w:rPr>
          <w:rFonts w:ascii="Cambria" w:eastAsia="Aptos" w:hAnsi="Cambria" w:cs="Aptos"/>
          <w:sz w:val="20"/>
          <w:szCs w:val="20"/>
        </w:rPr>
      </w:pPr>
    </w:p>
    <w:p w14:paraId="018C53DE" w14:textId="77777777" w:rsidR="00F03706" w:rsidRPr="00F03706" w:rsidRDefault="00F03706" w:rsidP="00F03706">
      <w:pPr>
        <w:ind w:left="1440"/>
        <w:jc w:val="both"/>
        <w:rPr>
          <w:rFonts w:ascii="Cambria" w:eastAsia="Aptos" w:hAnsi="Cambria" w:cs="Aptos"/>
          <w:sz w:val="20"/>
          <w:szCs w:val="20"/>
        </w:rPr>
      </w:pPr>
    </w:p>
    <w:p w14:paraId="7F7A0D4A" w14:textId="77777777" w:rsidR="00F03706" w:rsidRPr="00F03706" w:rsidRDefault="00F03706" w:rsidP="00F03706">
      <w:pPr>
        <w:numPr>
          <w:ilvl w:val="0"/>
          <w:numId w:val="43"/>
        </w:numPr>
        <w:ind w:left="360"/>
        <w:jc w:val="both"/>
        <w:rPr>
          <w:rFonts w:ascii="Cambria" w:hAnsi="Cambria" w:cs="Aptos"/>
          <w:b/>
          <w:bCs/>
          <w:sz w:val="20"/>
          <w:szCs w:val="20"/>
        </w:rPr>
      </w:pPr>
      <w:r w:rsidRPr="00F03706">
        <w:rPr>
          <w:rFonts w:ascii="Cambria" w:hAnsi="Cambria"/>
          <w:b/>
          <w:sz w:val="20"/>
          <w:szCs w:val="20"/>
        </w:rPr>
        <w:t>Questions de sécurité</w:t>
      </w:r>
    </w:p>
    <w:p w14:paraId="085CBF15" w14:textId="77777777" w:rsidR="00F03706" w:rsidRPr="00F03706" w:rsidRDefault="00F03706" w:rsidP="00F03706">
      <w:pPr>
        <w:ind w:left="360"/>
        <w:jc w:val="both"/>
        <w:rPr>
          <w:rFonts w:ascii="Cambria" w:hAnsi="Cambria" w:cs="Aptos"/>
          <w:b/>
          <w:bCs/>
          <w:sz w:val="20"/>
          <w:szCs w:val="20"/>
          <w:lang w:val="en-IE"/>
        </w:rPr>
      </w:pPr>
    </w:p>
    <w:p w14:paraId="691B368F" w14:textId="77777777" w:rsidR="00F03706" w:rsidRPr="00F03706" w:rsidRDefault="00F03706" w:rsidP="00F03706">
      <w:pPr>
        <w:jc w:val="both"/>
        <w:rPr>
          <w:rFonts w:ascii="Cambria" w:eastAsia="Aptos" w:hAnsi="Cambria" w:cs="Aptos"/>
          <w:sz w:val="20"/>
          <w:szCs w:val="20"/>
        </w:rPr>
      </w:pPr>
      <w:r w:rsidRPr="00F03706">
        <w:rPr>
          <w:rFonts w:ascii="Cambria" w:hAnsi="Cambria"/>
          <w:sz w:val="20"/>
          <w:szCs w:val="20"/>
        </w:rPr>
        <w:t xml:space="preserve">Le principal problème de sécurité concerne l'effet de « retour de plomb (« </w:t>
      </w:r>
      <w:proofErr w:type="spellStart"/>
      <w:r w:rsidRPr="00F03706">
        <w:rPr>
          <w:rFonts w:ascii="Cambria" w:hAnsi="Cambria"/>
          <w:sz w:val="20"/>
          <w:szCs w:val="20"/>
        </w:rPr>
        <w:t>flyback</w:t>
      </w:r>
      <w:proofErr w:type="spellEnd"/>
      <w:r w:rsidRPr="00F03706">
        <w:rPr>
          <w:rFonts w:ascii="Cambria" w:hAnsi="Cambria"/>
          <w:sz w:val="20"/>
          <w:szCs w:val="20"/>
        </w:rPr>
        <w:t xml:space="preserve"> »). Lorsque l’avançon passe par le vire-palangre pendant le virage, le lest supplémentaire fait accélérer brusquement les hameçons et les dispositifs associés. Si la ligne ou l’avançon se rompt sous le poids et la force exercés par un gros poisson, le lest supplémentaire peut être projeté vers le bateau. Les débris ainsi générés, parmi lesquels figurent parfois des hameçons perdus, peuvent être projetés en direction du bateau et risquent de frapper directement le visage ou le haut du corps d'un pêcheur. Cela présente un risque réel de blessure pour les membres d'équipage. Le risque est particulièrement élevé pendant le virage, lorsque l'opération est en cours, que les lignes sont sous tension et que les membres d'équipage travaillent à proximité immédiate de l'engin. Dans ces conditions, une rupture ou un relâchement soudain peut entraîner la projection de l'élément lesté en direction de l'équipage. Pour notre flottille, cela représente un grave problème de sécurité au travail. La sécurité de l'équipage doit primer sur toute nouvelle exigence relative aux engins de pêche.</w:t>
      </w:r>
    </w:p>
    <w:p w14:paraId="5408F30D" w14:textId="77777777" w:rsidR="00F03706" w:rsidRPr="00F03706" w:rsidRDefault="00F03706" w:rsidP="00F03706">
      <w:pPr>
        <w:jc w:val="both"/>
        <w:rPr>
          <w:rFonts w:ascii="Cambria" w:eastAsia="Aptos" w:hAnsi="Cambria" w:cs="Aptos"/>
          <w:sz w:val="20"/>
          <w:szCs w:val="20"/>
        </w:rPr>
      </w:pPr>
    </w:p>
    <w:p w14:paraId="76611129" w14:textId="77777777" w:rsidR="00F03706" w:rsidRPr="00F03706" w:rsidRDefault="00F03706" w:rsidP="00F03706">
      <w:pPr>
        <w:jc w:val="both"/>
        <w:rPr>
          <w:rFonts w:ascii="Cambria" w:eastAsia="Aptos" w:hAnsi="Cambria" w:cs="Aptos"/>
          <w:sz w:val="20"/>
          <w:szCs w:val="20"/>
        </w:rPr>
      </w:pPr>
      <w:r w:rsidRPr="00F03706">
        <w:rPr>
          <w:rFonts w:ascii="Cambria" w:hAnsi="Cambria"/>
          <w:sz w:val="20"/>
          <w:szCs w:val="20"/>
        </w:rPr>
        <w:t>Nos navires ont mis au point des méthodes éprouvées pour manipuler la palangre en toute sécurité et avec efficacité. L'ajout d'un lest supplémentaire sur les avançons modifierait le comportement de l'engin pendant le virage et nécessiterait donc une évaluation appropriée des risques associés avant d'envisager l’adoption d’une telle mesure.</w:t>
      </w:r>
    </w:p>
    <w:p w14:paraId="04DC5120" w14:textId="77777777" w:rsidR="00F03706" w:rsidRPr="00F03706" w:rsidRDefault="00F03706" w:rsidP="00F03706">
      <w:pPr>
        <w:ind w:left="1440"/>
        <w:jc w:val="both"/>
        <w:rPr>
          <w:rFonts w:ascii="Cambria" w:eastAsia="Aptos" w:hAnsi="Cambria" w:cs="Aptos"/>
          <w:sz w:val="20"/>
          <w:szCs w:val="20"/>
        </w:rPr>
      </w:pPr>
    </w:p>
    <w:p w14:paraId="1320FC97" w14:textId="77777777" w:rsidR="00F03706" w:rsidRPr="00F03706" w:rsidRDefault="00F03706" w:rsidP="00F03706">
      <w:pPr>
        <w:ind w:left="1440"/>
        <w:jc w:val="both"/>
        <w:rPr>
          <w:rFonts w:ascii="Cambria" w:eastAsia="Aptos" w:hAnsi="Cambria" w:cs="Aptos"/>
          <w:sz w:val="20"/>
          <w:szCs w:val="20"/>
        </w:rPr>
      </w:pPr>
    </w:p>
    <w:p w14:paraId="7386D6AA" w14:textId="77777777" w:rsidR="00F03706" w:rsidRPr="00F03706" w:rsidRDefault="00F03706" w:rsidP="00F03706">
      <w:pPr>
        <w:numPr>
          <w:ilvl w:val="0"/>
          <w:numId w:val="43"/>
        </w:numPr>
        <w:ind w:left="360"/>
        <w:jc w:val="both"/>
        <w:rPr>
          <w:rFonts w:ascii="Cambria" w:hAnsi="Cambria" w:cs="Aptos"/>
          <w:b/>
          <w:bCs/>
          <w:sz w:val="20"/>
          <w:szCs w:val="20"/>
        </w:rPr>
      </w:pPr>
      <w:r w:rsidRPr="00F03706">
        <w:rPr>
          <w:rFonts w:ascii="Cambria" w:hAnsi="Cambria"/>
          <w:b/>
          <w:sz w:val="20"/>
          <w:szCs w:val="20"/>
        </w:rPr>
        <w:t>Enchevêtrement et pollution</w:t>
      </w:r>
    </w:p>
    <w:p w14:paraId="16E61F3D" w14:textId="77777777" w:rsidR="00F03706" w:rsidRPr="00F03706" w:rsidRDefault="00F03706" w:rsidP="00F03706">
      <w:pPr>
        <w:ind w:left="360"/>
        <w:jc w:val="both"/>
        <w:rPr>
          <w:rFonts w:ascii="Cambria" w:hAnsi="Cambria" w:cs="Aptos"/>
          <w:b/>
          <w:bCs/>
          <w:sz w:val="20"/>
          <w:szCs w:val="20"/>
          <w:lang w:val="en-IE"/>
        </w:rPr>
      </w:pPr>
    </w:p>
    <w:p w14:paraId="154914CB" w14:textId="77777777" w:rsidR="00F03706" w:rsidRPr="00F03706" w:rsidRDefault="00F03706" w:rsidP="00F03706">
      <w:pPr>
        <w:jc w:val="both"/>
        <w:rPr>
          <w:rFonts w:ascii="Cambria" w:hAnsi="Cambria"/>
          <w:sz w:val="20"/>
          <w:szCs w:val="20"/>
        </w:rPr>
      </w:pPr>
      <w:r w:rsidRPr="00F03706">
        <w:rPr>
          <w:rFonts w:ascii="Cambria" w:hAnsi="Cambria"/>
          <w:sz w:val="20"/>
          <w:szCs w:val="20"/>
        </w:rPr>
        <w:t>Nous avons également des inquiétudes quant aux conséquences opérationnelles de l'ajout de lests supplémentaires sur les avançons. La présence de ces poids peut entraîner un enchevêtrement accru des lignes principales de la palangre, ce qui alourdit la charge de travail de l'équipage. Les lignes emmêlées doivent être démêlées, coupées et remplacées, ce qui peut entraîner une charge de travail accrue et davantage d'interventions de la part de l'équipage, une augmentation de la fréquence de coupe et de remplacement des lignes de pêche, une réduction significative de la durée de vie de ces dernières, une hausse des coûts liés à l'achat de matériel de remplacement, ainsi qu'une augmentation des quantités de déchets provenant du matériel de pêche usagé.</w:t>
      </w:r>
    </w:p>
    <w:p w14:paraId="2FAF7AFA" w14:textId="77777777" w:rsidR="00F03706" w:rsidRPr="00F03706" w:rsidRDefault="00F03706" w:rsidP="00F03706">
      <w:pPr>
        <w:jc w:val="both"/>
        <w:rPr>
          <w:rFonts w:ascii="Cambria" w:eastAsia="Aptos" w:hAnsi="Cambria" w:cs="Aptos"/>
          <w:sz w:val="20"/>
          <w:szCs w:val="20"/>
        </w:rPr>
      </w:pPr>
    </w:p>
    <w:p w14:paraId="1BA54691" w14:textId="77777777" w:rsidR="00DA73B4" w:rsidRDefault="00F03706" w:rsidP="00F03706">
      <w:pPr>
        <w:jc w:val="both"/>
        <w:rPr>
          <w:rFonts w:ascii="Cambria" w:hAnsi="Cambria"/>
          <w:sz w:val="20"/>
          <w:szCs w:val="20"/>
        </w:rPr>
      </w:pPr>
      <w:r w:rsidRPr="00F03706">
        <w:rPr>
          <w:rFonts w:ascii="Cambria" w:hAnsi="Cambria"/>
          <w:sz w:val="20"/>
          <w:szCs w:val="20"/>
        </w:rPr>
        <w:t>Ces conséquences opérationnelles doivent être prises en compte lors de l'évaluation de la proportionnalité et de l'intérêt environnemental global de la mesure proposée. Cela soulève également des préoccupations en matière de pollution. Lorsque les lignes se perdent ou lorsque les lests sont utilisés avec des dispositifs de protection des hameçons en matière plastique, les pertes en mer, telles qu'elles peuvent se produire lors des opérations de pêche, contribueraient à la pollution marine par les plastiques et les microplastiques.</w:t>
      </w:r>
    </w:p>
    <w:p w14:paraId="7A0D8A61" w14:textId="123BCFF3" w:rsidR="00F03706" w:rsidRPr="00F03706" w:rsidRDefault="00F03706" w:rsidP="00F03706">
      <w:pPr>
        <w:jc w:val="both"/>
        <w:rPr>
          <w:rFonts w:ascii="Cambria" w:hAnsi="Cambria"/>
          <w:b/>
          <w:sz w:val="20"/>
          <w:szCs w:val="20"/>
        </w:rPr>
      </w:pPr>
      <w:r w:rsidRPr="00F03706">
        <w:rPr>
          <w:rFonts w:ascii="Cambria" w:hAnsi="Cambria"/>
          <w:b/>
          <w:sz w:val="20"/>
          <w:szCs w:val="20"/>
        </w:rPr>
        <w:br w:type="page"/>
      </w:r>
    </w:p>
    <w:p w14:paraId="7482A8F7" w14:textId="77777777" w:rsidR="00F03706" w:rsidRPr="00F03706" w:rsidRDefault="00F03706" w:rsidP="00F03706">
      <w:pPr>
        <w:numPr>
          <w:ilvl w:val="0"/>
          <w:numId w:val="43"/>
        </w:numPr>
        <w:ind w:left="360"/>
        <w:jc w:val="both"/>
        <w:rPr>
          <w:rFonts w:ascii="Cambria" w:hAnsi="Cambria" w:cs="Aptos"/>
          <w:b/>
          <w:bCs/>
          <w:sz w:val="20"/>
          <w:szCs w:val="20"/>
        </w:rPr>
      </w:pPr>
      <w:r w:rsidRPr="00F03706">
        <w:rPr>
          <w:rFonts w:ascii="Cambria" w:hAnsi="Cambria"/>
          <w:b/>
          <w:sz w:val="20"/>
          <w:szCs w:val="20"/>
        </w:rPr>
        <w:lastRenderedPageBreak/>
        <w:t>Changements potentiellement indésirables dans les modes de pêche</w:t>
      </w:r>
    </w:p>
    <w:p w14:paraId="53990424" w14:textId="77777777" w:rsidR="00F03706" w:rsidRPr="00F03706" w:rsidRDefault="00F03706" w:rsidP="00F03706">
      <w:pPr>
        <w:ind w:left="360"/>
        <w:jc w:val="both"/>
        <w:rPr>
          <w:rFonts w:ascii="Cambria" w:hAnsi="Cambria" w:cs="Aptos"/>
          <w:b/>
          <w:bCs/>
          <w:sz w:val="20"/>
          <w:szCs w:val="20"/>
        </w:rPr>
      </w:pPr>
    </w:p>
    <w:p w14:paraId="3040AF06" w14:textId="77777777" w:rsidR="00F03706" w:rsidRPr="00F03706" w:rsidRDefault="00F03706" w:rsidP="00F03706">
      <w:pPr>
        <w:jc w:val="both"/>
        <w:rPr>
          <w:rFonts w:ascii="Cambria" w:eastAsia="Aptos" w:hAnsi="Cambria" w:cs="Aptos"/>
          <w:sz w:val="20"/>
          <w:szCs w:val="20"/>
        </w:rPr>
      </w:pPr>
      <w:r w:rsidRPr="00F03706">
        <w:rPr>
          <w:rFonts w:ascii="Cambria" w:hAnsi="Cambria"/>
          <w:sz w:val="20"/>
          <w:szCs w:val="20"/>
        </w:rPr>
        <w:t xml:space="preserve">Il convient également de démontrer que les dispositifs proposés ne modifient pas les méthodes de pêche de la flottille. Ces dispositifs ne fonctionnent pas nécessairement de la même manière que les équipements actuellement utilisés par les opérateurs et pourraient donc </w:t>
      </w:r>
      <w:proofErr w:type="gramStart"/>
      <w:r w:rsidRPr="00F03706">
        <w:rPr>
          <w:rFonts w:ascii="Cambria" w:hAnsi="Cambria"/>
          <w:sz w:val="20"/>
          <w:szCs w:val="20"/>
        </w:rPr>
        <w:t>avoir</w:t>
      </w:r>
      <w:proofErr w:type="gramEnd"/>
      <w:r w:rsidRPr="00F03706">
        <w:rPr>
          <w:rFonts w:ascii="Cambria" w:hAnsi="Cambria"/>
          <w:sz w:val="20"/>
          <w:szCs w:val="20"/>
        </w:rPr>
        <w:t xml:space="preserve"> des répercussions sur les opérations de pêche et les modes de pêche.</w:t>
      </w:r>
    </w:p>
    <w:p w14:paraId="3C8739C5" w14:textId="77777777" w:rsidR="00F03706" w:rsidRPr="00F03706" w:rsidRDefault="00F03706" w:rsidP="00F03706">
      <w:pPr>
        <w:jc w:val="both"/>
        <w:rPr>
          <w:rFonts w:ascii="Cambria" w:eastAsia="Aptos" w:hAnsi="Cambria" w:cs="Aptos"/>
          <w:sz w:val="20"/>
          <w:szCs w:val="20"/>
        </w:rPr>
      </w:pPr>
    </w:p>
    <w:p w14:paraId="2AC00413" w14:textId="77777777" w:rsidR="00F03706" w:rsidRPr="00F03706" w:rsidRDefault="00F03706" w:rsidP="00F03706">
      <w:pPr>
        <w:jc w:val="both"/>
        <w:rPr>
          <w:rFonts w:ascii="Cambria" w:eastAsia="Aptos" w:hAnsi="Cambria" w:cs="Aptos"/>
          <w:sz w:val="20"/>
          <w:szCs w:val="20"/>
        </w:rPr>
      </w:pPr>
      <w:r w:rsidRPr="00F03706">
        <w:rPr>
          <w:rFonts w:ascii="Cambria" w:hAnsi="Cambria"/>
          <w:sz w:val="20"/>
          <w:szCs w:val="20"/>
        </w:rPr>
        <w:t xml:space="preserve">En particulier, étant donné que cela pourrait avoir un impact négatif sur la viabilité économique de la flottille, il convient de démontrer que l’introduction d’un lestage supplémentaire ne modifie pas de manière disproportionnée l’effort de pêche effectif ni les caractéristiques de l’opération de pêche. </w:t>
      </w:r>
    </w:p>
    <w:p w14:paraId="236907A6" w14:textId="77777777" w:rsidR="00F03706" w:rsidRPr="00F03706" w:rsidRDefault="00F03706" w:rsidP="00F03706">
      <w:pPr>
        <w:jc w:val="both"/>
        <w:rPr>
          <w:rFonts w:ascii="Cambria" w:eastAsia="Aptos" w:hAnsi="Cambria" w:cs="Aptos"/>
          <w:sz w:val="20"/>
          <w:szCs w:val="20"/>
        </w:rPr>
      </w:pPr>
    </w:p>
    <w:p w14:paraId="0F572E5E" w14:textId="77777777" w:rsidR="00F03706" w:rsidRPr="00F03706" w:rsidRDefault="00F03706" w:rsidP="00F03706">
      <w:pPr>
        <w:jc w:val="both"/>
        <w:rPr>
          <w:rFonts w:ascii="Cambria" w:eastAsia="Aptos" w:hAnsi="Cambria" w:cs="Aptos"/>
          <w:sz w:val="20"/>
          <w:szCs w:val="20"/>
        </w:rPr>
      </w:pPr>
      <w:r w:rsidRPr="00F03706">
        <w:rPr>
          <w:rFonts w:ascii="Cambria" w:hAnsi="Cambria"/>
          <w:sz w:val="20"/>
          <w:szCs w:val="20"/>
        </w:rPr>
        <w:t xml:space="preserve">Certains pêcheurs ont également signalé que ce poids supplémentaire fait que les hameçons se trouvent à une profondeur plus importante dans la colonne d'eau. Cela fait craindre que cette mesure </w:t>
      </w:r>
      <w:proofErr w:type="gramStart"/>
      <w:r w:rsidRPr="00F03706">
        <w:rPr>
          <w:rFonts w:ascii="Cambria" w:hAnsi="Cambria"/>
          <w:sz w:val="20"/>
          <w:szCs w:val="20"/>
        </w:rPr>
        <w:t>n’ait</w:t>
      </w:r>
      <w:proofErr w:type="gramEnd"/>
      <w:r w:rsidRPr="00F03706">
        <w:rPr>
          <w:rFonts w:ascii="Cambria" w:hAnsi="Cambria"/>
          <w:sz w:val="20"/>
          <w:szCs w:val="20"/>
        </w:rPr>
        <w:t xml:space="preserve"> des conséquences imprévues, notamment une augmentation des prises accessoires d’élasmobranches, tels que les requins pélagiques, y compris le requin peau bleue, et la pastenague. Toute évaluation de la mesure proposée devrait donc tenir compte non seulement de son effet escompté sur les interactions avec les oiseaux de mer, mais aussi de ses conséquences potentielles pour d’autres espèces et pour la dynamique de pêche de la flottille.</w:t>
      </w:r>
    </w:p>
    <w:p w14:paraId="1E9A956E" w14:textId="77777777" w:rsidR="00F03706" w:rsidRPr="00F03706" w:rsidRDefault="00F03706" w:rsidP="00F03706">
      <w:pPr>
        <w:ind w:left="1440"/>
        <w:jc w:val="both"/>
        <w:rPr>
          <w:rFonts w:ascii="Cambria" w:eastAsia="Aptos" w:hAnsi="Cambria" w:cs="Aptos"/>
          <w:sz w:val="20"/>
          <w:szCs w:val="20"/>
        </w:rPr>
      </w:pPr>
    </w:p>
    <w:p w14:paraId="2B63692A" w14:textId="77777777" w:rsidR="00F03706" w:rsidRPr="00F03706" w:rsidRDefault="00F03706" w:rsidP="00F03706">
      <w:pPr>
        <w:ind w:left="1440"/>
        <w:jc w:val="both"/>
        <w:rPr>
          <w:rFonts w:ascii="Cambria" w:eastAsia="Aptos" w:hAnsi="Cambria" w:cs="Aptos"/>
          <w:sz w:val="20"/>
          <w:szCs w:val="20"/>
        </w:rPr>
      </w:pPr>
    </w:p>
    <w:p w14:paraId="1FC63FAF" w14:textId="77777777" w:rsidR="00F03706" w:rsidRPr="00F03706" w:rsidRDefault="00F03706" w:rsidP="00F03706">
      <w:pPr>
        <w:numPr>
          <w:ilvl w:val="0"/>
          <w:numId w:val="43"/>
        </w:numPr>
        <w:ind w:left="360"/>
        <w:jc w:val="both"/>
        <w:rPr>
          <w:rFonts w:ascii="Cambria" w:hAnsi="Cambria" w:cs="Aptos"/>
          <w:b/>
          <w:bCs/>
          <w:sz w:val="20"/>
          <w:szCs w:val="20"/>
        </w:rPr>
      </w:pPr>
      <w:r w:rsidRPr="00F03706">
        <w:rPr>
          <w:rFonts w:ascii="Cambria" w:hAnsi="Cambria"/>
          <w:b/>
          <w:sz w:val="20"/>
          <w:szCs w:val="20"/>
        </w:rPr>
        <w:t>Évaluation des avantages en matière de conservation</w:t>
      </w:r>
    </w:p>
    <w:p w14:paraId="1385E4BC" w14:textId="77777777" w:rsidR="00F03706" w:rsidRPr="00F03706" w:rsidRDefault="00F03706" w:rsidP="00F03706">
      <w:pPr>
        <w:ind w:left="1440"/>
        <w:jc w:val="both"/>
        <w:rPr>
          <w:rFonts w:ascii="Cambria" w:eastAsia="Aptos" w:hAnsi="Cambria" w:cs="Aptos"/>
          <w:sz w:val="20"/>
          <w:szCs w:val="20"/>
        </w:rPr>
      </w:pPr>
    </w:p>
    <w:p w14:paraId="12A4B0B4" w14:textId="77777777" w:rsidR="00F03706" w:rsidRPr="00F03706" w:rsidRDefault="00F03706" w:rsidP="00F03706">
      <w:pPr>
        <w:jc w:val="both"/>
        <w:rPr>
          <w:rFonts w:ascii="Cambria" w:eastAsia="Aptos" w:hAnsi="Cambria" w:cs="Aptos"/>
          <w:sz w:val="20"/>
          <w:szCs w:val="20"/>
        </w:rPr>
      </w:pPr>
      <w:r w:rsidRPr="00F03706">
        <w:rPr>
          <w:rFonts w:ascii="Cambria" w:hAnsi="Cambria"/>
          <w:sz w:val="20"/>
          <w:szCs w:val="20"/>
        </w:rPr>
        <w:t xml:space="preserve">Les avantages escomptés de ces dispositifs en matière de conservation devraient être clairement quantifiés et comparés à ceux des mesures d'atténuation déjà mises en œuvre par les navires de l’ICCAT. Les navires de l’ICCAT sont déjà tenus d'appliquer des mesures d'atténuation qui se sont avérées efficaces pour réduire la mortalité des oiseaux de mer, notamment la pêche de nuit avec un éclairage très faible et l'utilisation de lignes d'effarouchement des oiseaux (lignes « </w:t>
      </w:r>
      <w:proofErr w:type="spellStart"/>
      <w:r w:rsidRPr="00F03706">
        <w:rPr>
          <w:rFonts w:ascii="Cambria" w:hAnsi="Cambria"/>
          <w:sz w:val="20"/>
          <w:szCs w:val="20"/>
        </w:rPr>
        <w:t>tori</w:t>
      </w:r>
      <w:proofErr w:type="spellEnd"/>
      <w:r w:rsidRPr="00F03706">
        <w:rPr>
          <w:rFonts w:ascii="Cambria" w:hAnsi="Cambria"/>
          <w:sz w:val="20"/>
          <w:szCs w:val="20"/>
        </w:rPr>
        <w:t xml:space="preserve"> »). Notre flottille applique déjà ces mesures et a adapté ses pratiques de pêche en conséquence.</w:t>
      </w:r>
    </w:p>
    <w:p w14:paraId="531BA9E7" w14:textId="77777777" w:rsidR="00F03706" w:rsidRPr="00F03706" w:rsidRDefault="00F03706" w:rsidP="00F03706">
      <w:pPr>
        <w:jc w:val="both"/>
        <w:rPr>
          <w:rFonts w:ascii="Cambria" w:eastAsia="Aptos" w:hAnsi="Cambria" w:cs="Aptos"/>
          <w:sz w:val="20"/>
          <w:szCs w:val="20"/>
        </w:rPr>
      </w:pPr>
    </w:p>
    <w:p w14:paraId="6751EBD1" w14:textId="77777777" w:rsidR="00F03706" w:rsidRPr="00F03706" w:rsidRDefault="00F03706" w:rsidP="00F03706">
      <w:pPr>
        <w:jc w:val="both"/>
        <w:rPr>
          <w:rFonts w:ascii="Cambria" w:eastAsia="Aptos" w:hAnsi="Cambria" w:cs="Aptos"/>
          <w:sz w:val="20"/>
          <w:szCs w:val="20"/>
        </w:rPr>
      </w:pPr>
      <w:r w:rsidRPr="00F03706">
        <w:rPr>
          <w:rFonts w:ascii="Cambria" w:hAnsi="Cambria"/>
          <w:sz w:val="20"/>
          <w:szCs w:val="20"/>
        </w:rPr>
        <w:t>Le remplacement ou la modification des mesures existantes entraînerait inévitablement des coûts opérationnels et financiers. Ce coût devrait être justifié par un bénéfice supplémentaire avéré en matière de conservation. Si la réduction supplémentaire de la mortalité des oiseaux de mer est marginale par rapport aux mesures déjà en place, il est important de se demander si les coûts opérationnels, économiques, environnementaux et de sécurité supplémentaires liés à la mise en place de ces nouveaux dispositifs sont proportionnés.</w:t>
      </w:r>
    </w:p>
    <w:p w14:paraId="4CD09627" w14:textId="77777777" w:rsidR="00F03706" w:rsidRPr="00F03706" w:rsidRDefault="00F03706" w:rsidP="00F03706">
      <w:pPr>
        <w:jc w:val="both"/>
        <w:rPr>
          <w:rFonts w:ascii="Cambria" w:eastAsia="Aptos" w:hAnsi="Cambria" w:cs="Aptos"/>
          <w:sz w:val="20"/>
          <w:szCs w:val="20"/>
        </w:rPr>
      </w:pPr>
    </w:p>
    <w:p w14:paraId="791D3F37" w14:textId="77777777" w:rsidR="00F03706" w:rsidRPr="00F03706" w:rsidRDefault="00F03706" w:rsidP="00F03706">
      <w:pPr>
        <w:jc w:val="both"/>
        <w:rPr>
          <w:rFonts w:ascii="Cambria" w:eastAsia="Aptos" w:hAnsi="Cambria" w:cs="Aptos"/>
          <w:sz w:val="20"/>
          <w:szCs w:val="20"/>
        </w:rPr>
      </w:pPr>
      <w:r w:rsidRPr="00F03706">
        <w:rPr>
          <w:rFonts w:ascii="Cambria" w:hAnsi="Cambria"/>
          <w:sz w:val="20"/>
          <w:szCs w:val="20"/>
        </w:rPr>
        <w:t>Ces questions devraient faire l'objet d'une évaluation appropriée dans le cadre des procédures scientifiques pertinentes de l’ICCAT avant qu'une nouvelle exigence ne soit envisagée.</w:t>
      </w:r>
    </w:p>
    <w:p w14:paraId="720F1424" w14:textId="77777777" w:rsidR="00F03706" w:rsidRPr="00F03706" w:rsidRDefault="00F03706" w:rsidP="00F03706">
      <w:pPr>
        <w:ind w:left="1440"/>
        <w:jc w:val="both"/>
        <w:rPr>
          <w:rFonts w:ascii="Cambria" w:eastAsia="Aptos" w:hAnsi="Cambria" w:cs="Aptos"/>
          <w:sz w:val="20"/>
          <w:szCs w:val="20"/>
        </w:rPr>
      </w:pPr>
    </w:p>
    <w:p w14:paraId="4784B053" w14:textId="77777777" w:rsidR="00F03706" w:rsidRPr="00F03706" w:rsidRDefault="00F03706" w:rsidP="00F03706">
      <w:pPr>
        <w:ind w:left="1440"/>
        <w:jc w:val="both"/>
        <w:rPr>
          <w:rFonts w:ascii="Cambria" w:eastAsia="Aptos" w:hAnsi="Cambria" w:cs="Aptos"/>
          <w:sz w:val="20"/>
          <w:szCs w:val="20"/>
        </w:rPr>
      </w:pPr>
    </w:p>
    <w:p w14:paraId="486D34BF" w14:textId="77777777" w:rsidR="00F03706" w:rsidRPr="00F03706" w:rsidRDefault="00F03706" w:rsidP="00F03706">
      <w:pPr>
        <w:numPr>
          <w:ilvl w:val="0"/>
          <w:numId w:val="43"/>
        </w:numPr>
        <w:ind w:left="360"/>
        <w:jc w:val="both"/>
        <w:rPr>
          <w:rFonts w:ascii="Cambria" w:hAnsi="Cambria" w:cs="Aptos"/>
          <w:b/>
          <w:bCs/>
          <w:sz w:val="20"/>
          <w:szCs w:val="20"/>
        </w:rPr>
      </w:pPr>
      <w:r w:rsidRPr="00F03706">
        <w:rPr>
          <w:rFonts w:ascii="Cambria" w:hAnsi="Cambria"/>
          <w:b/>
          <w:sz w:val="20"/>
          <w:szCs w:val="20"/>
        </w:rPr>
        <w:t>Travaux scientifiques pertinents</w:t>
      </w:r>
    </w:p>
    <w:p w14:paraId="208D6000" w14:textId="77777777" w:rsidR="00F03706" w:rsidRPr="00F03706" w:rsidRDefault="00F03706" w:rsidP="00F03706">
      <w:pPr>
        <w:ind w:left="360"/>
        <w:jc w:val="both"/>
        <w:rPr>
          <w:rFonts w:ascii="Cambria" w:hAnsi="Cambria" w:cs="Aptos"/>
          <w:b/>
          <w:bCs/>
          <w:sz w:val="20"/>
          <w:szCs w:val="20"/>
          <w:lang w:val="en-IE"/>
        </w:rPr>
      </w:pPr>
    </w:p>
    <w:p w14:paraId="6AA8A6F4" w14:textId="77777777" w:rsidR="00F03706" w:rsidRPr="00F03706" w:rsidRDefault="00F03706" w:rsidP="00F03706">
      <w:pPr>
        <w:jc w:val="both"/>
        <w:rPr>
          <w:rFonts w:ascii="Cambria" w:eastAsia="Aptos" w:hAnsi="Cambria" w:cs="Aptos"/>
          <w:sz w:val="20"/>
          <w:szCs w:val="20"/>
        </w:rPr>
      </w:pPr>
      <w:r w:rsidRPr="00F03706">
        <w:rPr>
          <w:rFonts w:ascii="Cambria" w:hAnsi="Cambria"/>
          <w:sz w:val="20"/>
          <w:szCs w:val="20"/>
        </w:rPr>
        <w:t>Tout en étant conscients de la charge de travail que cela implique pour le SCRS et de la complexité de cette tâche, nous serions favorables à une approche plus régionale et plus spécifique à chaque pêcherie en ce qui concerne les mesures d'atténuation des impacts sur les oiseaux de mer. Les différentes zones abritent différentes espèces d'oiseaux de mer, des aires de répartition et des comportements variés, ce qui se traduit par des niveaux et des types d'interaction différents avec les engins de pêche. Une mesure d'atténuation mise au point pour répondre à un problème particulier concernant les oiseaux de mer ou à une pêcherie donnée ne devrait donc pas être automatiquement appliquée à l'ensemble de l'Atlantique à des pêcheries présentant des caractéristiques opérationnelles différentes et des interactions différentes avec les oiseaux de mer.</w:t>
      </w:r>
    </w:p>
    <w:p w14:paraId="6319DF5E" w14:textId="77777777" w:rsidR="00F03706" w:rsidRPr="00F03706" w:rsidRDefault="00F03706" w:rsidP="00F03706">
      <w:pPr>
        <w:jc w:val="both"/>
        <w:rPr>
          <w:rFonts w:ascii="Cambria" w:eastAsia="Aptos" w:hAnsi="Cambria" w:cs="Aptos"/>
          <w:sz w:val="20"/>
          <w:szCs w:val="20"/>
        </w:rPr>
      </w:pPr>
    </w:p>
    <w:p w14:paraId="729AF53C" w14:textId="77777777" w:rsidR="00F03706" w:rsidRPr="00F03706" w:rsidRDefault="00F03706" w:rsidP="00F03706">
      <w:pPr>
        <w:rPr>
          <w:rFonts w:ascii="Cambria" w:hAnsi="Cambria"/>
          <w:sz w:val="20"/>
          <w:szCs w:val="20"/>
        </w:rPr>
      </w:pPr>
      <w:r w:rsidRPr="00F03706">
        <w:rPr>
          <w:rFonts w:ascii="Cambria" w:hAnsi="Cambria"/>
          <w:sz w:val="20"/>
          <w:szCs w:val="20"/>
        </w:rPr>
        <w:br w:type="page"/>
      </w:r>
    </w:p>
    <w:p w14:paraId="5EE5873D" w14:textId="77777777" w:rsidR="00F03706" w:rsidRPr="00F03706" w:rsidRDefault="00F03706" w:rsidP="00F03706">
      <w:pPr>
        <w:jc w:val="both"/>
        <w:rPr>
          <w:rFonts w:ascii="Cambria" w:eastAsia="Aptos" w:hAnsi="Cambria" w:cs="Aptos"/>
          <w:sz w:val="20"/>
          <w:szCs w:val="20"/>
        </w:rPr>
      </w:pPr>
      <w:r w:rsidRPr="00F03706">
        <w:rPr>
          <w:rFonts w:ascii="Cambria" w:hAnsi="Cambria"/>
          <w:sz w:val="20"/>
          <w:szCs w:val="20"/>
        </w:rPr>
        <w:lastRenderedPageBreak/>
        <w:t>Toute modification apportée aux mesures d'atténuation existantes devrait faire l'objet d'une évaluation et d'une validation appropriées par le SCRS, en tenant compte de l'engin de pêche concerné, des caractéristiques de la pêcherie et de l'opération de pêche, des espèces d'oiseaux de mer et des interactions observées dans la zone concernée, ainsi que de toute évaluation scientifique locale et régionale. Une telle évaluation devrait également s'inscrire dans le cadre d'une approche écosystémique, afin de garantir qu'une mesure destinée à réduire un type de prises accessoires n'entraîne pas, par inadvertance, une augmentation des captures ou de la mortalité d'autres espèces.</w:t>
      </w:r>
    </w:p>
    <w:p w14:paraId="268208A0" w14:textId="77777777" w:rsidR="00F03706" w:rsidRPr="00F03706" w:rsidRDefault="00F03706" w:rsidP="00F03706">
      <w:pPr>
        <w:jc w:val="both"/>
        <w:rPr>
          <w:rFonts w:ascii="Cambria" w:eastAsia="Aptos" w:hAnsi="Cambria" w:cs="Aptos"/>
          <w:sz w:val="20"/>
          <w:szCs w:val="20"/>
        </w:rPr>
      </w:pPr>
    </w:p>
    <w:p w14:paraId="6591B751" w14:textId="77777777" w:rsidR="00F03706" w:rsidRPr="00F03706" w:rsidRDefault="00F03706" w:rsidP="00F03706">
      <w:pPr>
        <w:jc w:val="both"/>
        <w:rPr>
          <w:rFonts w:ascii="Cambria" w:eastAsia="Aptos" w:hAnsi="Cambria" w:cs="Aptos"/>
          <w:sz w:val="20"/>
          <w:szCs w:val="20"/>
        </w:rPr>
      </w:pPr>
      <w:r w:rsidRPr="00F03706">
        <w:rPr>
          <w:rFonts w:ascii="Cambria" w:hAnsi="Cambria"/>
          <w:sz w:val="20"/>
          <w:szCs w:val="20"/>
        </w:rPr>
        <w:t>Un autre point sur lequel la contribution du SCRS pourrait s'avérer utile concerne l'analyse scientifique. Si la modification des engins de pêche entraîne une variation de l'effort de pêche, de la profondeur d'hameçonnage ou d'autres aspects de la dynamique de pêche, cela pourrait-il entraîner des répercussions sur les données scientifiques utilisées dans les évaluations des stocks ? Les modifications apportées au fonctionnement de l'engin peuvent avoir une incidence sur les taux de capture ainsi que sur l'interprétation des données relatives aux captures et à l'effort de pêche. Il serait donc important de déterminer si la mise en place de lignes d’avançons lestés pourrait affecter la comparabilité des données avec les séries historiques ou introduire d'autres biais dans les analyses scientifiques.</w:t>
      </w:r>
    </w:p>
    <w:p w14:paraId="22328C6C" w14:textId="77777777" w:rsidR="00F03706" w:rsidRPr="00F03706" w:rsidRDefault="00F03706" w:rsidP="00F03706">
      <w:pPr>
        <w:ind w:left="1440"/>
        <w:jc w:val="both"/>
        <w:rPr>
          <w:rFonts w:ascii="Cambria" w:eastAsia="Aptos" w:hAnsi="Cambria" w:cs="Aptos"/>
          <w:sz w:val="20"/>
          <w:szCs w:val="20"/>
        </w:rPr>
      </w:pPr>
    </w:p>
    <w:p w14:paraId="0841D797" w14:textId="77777777" w:rsidR="00F03706" w:rsidRPr="00F03706" w:rsidRDefault="00F03706" w:rsidP="00F03706">
      <w:pPr>
        <w:jc w:val="both"/>
        <w:rPr>
          <w:rFonts w:ascii="Cambria" w:eastAsia="Aptos" w:hAnsi="Cambria" w:cs="Aptos"/>
          <w:sz w:val="20"/>
          <w:szCs w:val="20"/>
        </w:rPr>
      </w:pPr>
      <w:r w:rsidRPr="00F03706">
        <w:rPr>
          <w:rFonts w:ascii="Cambria" w:hAnsi="Cambria"/>
          <w:sz w:val="20"/>
          <w:szCs w:val="20"/>
        </w:rPr>
        <w:t xml:space="preserve">Bien que nos parties prenantes aient exprimé de nombreuses préoccupations concernant l’utilisation de lignes d’avançons lestés, comme souligné plus haut, notre principale préoccupation reste la sécurité de l’équipage. Nous estimons donc que toute modification future des deux recommandations de l’ICCAT relatives aux oiseaux de mer devrait offrir des garanties suffisantes quant à l'absence de risque pour l’équipage se trouvant à bord de nos flottilles relevant de l’ICCAT. </w:t>
      </w:r>
    </w:p>
    <w:p w14:paraId="60F872DA" w14:textId="77777777" w:rsidR="00F03706" w:rsidRPr="00F03706" w:rsidRDefault="00F03706" w:rsidP="00F03706">
      <w:pPr>
        <w:ind w:left="1440"/>
        <w:jc w:val="both"/>
        <w:rPr>
          <w:rFonts w:ascii="Cambria" w:eastAsia="Aptos" w:hAnsi="Cambria" w:cs="Aptos"/>
          <w:sz w:val="20"/>
          <w:szCs w:val="20"/>
        </w:rPr>
      </w:pPr>
    </w:p>
    <w:p w14:paraId="365AFB79" w14:textId="77777777" w:rsidR="00F03706" w:rsidRPr="00F03706" w:rsidRDefault="00F03706" w:rsidP="00F03706">
      <w:pPr>
        <w:jc w:val="both"/>
        <w:rPr>
          <w:rFonts w:ascii="Cambria" w:eastAsia="Aptos" w:hAnsi="Cambria" w:cs="Aptos"/>
          <w:sz w:val="20"/>
          <w:szCs w:val="20"/>
        </w:rPr>
      </w:pPr>
      <w:r w:rsidRPr="001B7302">
        <w:rPr>
          <w:rFonts w:ascii="Cambria" w:hAnsi="Cambria"/>
          <w:sz w:val="20"/>
          <w:szCs w:val="20"/>
        </w:rPr>
        <w:t>Nous nous permettons de joindre une analyse technique</w:t>
      </w:r>
      <w:r w:rsidRPr="001B7302">
        <w:rPr>
          <w:rFonts w:ascii="Cambria" w:eastAsia="MS Mincho" w:hAnsi="Cambria"/>
          <w:color w:val="00000A"/>
          <w:sz w:val="20"/>
          <w:szCs w:val="20"/>
          <w:vertAlign w:val="superscript"/>
          <w:lang w:val="en-US"/>
        </w:rPr>
        <w:footnoteReference w:id="1"/>
      </w:r>
      <w:r w:rsidRPr="001B7302">
        <w:rPr>
          <w:rFonts w:ascii="Cambria" w:eastAsia="MS Mincho" w:hAnsi="Cambria"/>
          <w:color w:val="00000A"/>
          <w:sz w:val="20"/>
          <w:szCs w:val="20"/>
        </w:rPr>
        <w:t xml:space="preserve"> </w:t>
      </w:r>
      <w:r w:rsidRPr="001B7302">
        <w:rPr>
          <w:rFonts w:ascii="Cambria" w:hAnsi="Cambria"/>
          <w:sz w:val="20"/>
          <w:szCs w:val="20"/>
        </w:rPr>
        <w:t xml:space="preserve">fournie par l’un de nos partenaires, </w:t>
      </w:r>
      <w:proofErr w:type="spellStart"/>
      <w:r w:rsidRPr="001B7302">
        <w:rPr>
          <w:rFonts w:ascii="Cambria" w:hAnsi="Cambria"/>
          <w:sz w:val="20"/>
          <w:szCs w:val="20"/>
        </w:rPr>
        <w:t>Sathoan</w:t>
      </w:r>
      <w:proofErr w:type="spellEnd"/>
      <w:r w:rsidRPr="001B7302">
        <w:rPr>
          <w:rFonts w:ascii="Cambria" w:hAnsi="Cambria"/>
          <w:sz w:val="20"/>
          <w:szCs w:val="20"/>
        </w:rPr>
        <w:t>, qui, selon nous, présente une analyse détaillée des risques liés à l’utilisation de lignes d’avançons lestés et pourrait vous servir de guide dans le cadre des travaux que vous comptez entreprendre. Ce document étant à l'origine rédigé en français, nous en avons fourni une traduction à titre gracieux.</w:t>
      </w:r>
      <w:r w:rsidRPr="00F03706">
        <w:rPr>
          <w:rFonts w:ascii="Cambria" w:hAnsi="Cambria"/>
          <w:sz w:val="20"/>
          <w:szCs w:val="20"/>
        </w:rPr>
        <w:t xml:space="preserve"> </w:t>
      </w:r>
    </w:p>
    <w:p w14:paraId="5B6E2879" w14:textId="77777777" w:rsidR="00F03706" w:rsidRPr="00F03706" w:rsidRDefault="00F03706" w:rsidP="00F03706">
      <w:pPr>
        <w:jc w:val="both"/>
        <w:rPr>
          <w:rFonts w:asciiTheme="majorHAnsi" w:eastAsia="MS Mincho" w:hAnsiTheme="majorHAnsi"/>
          <w:color w:val="00000A"/>
          <w:sz w:val="20"/>
          <w:szCs w:val="20"/>
        </w:rPr>
      </w:pPr>
    </w:p>
    <w:p w14:paraId="2C1389CB" w14:textId="77777777" w:rsidR="00F03706" w:rsidRPr="00F03706" w:rsidRDefault="00F03706" w:rsidP="00F03706">
      <w:pPr>
        <w:jc w:val="both"/>
        <w:rPr>
          <w:rFonts w:asciiTheme="majorHAnsi" w:eastAsia="MS Mincho" w:hAnsiTheme="majorHAnsi"/>
          <w:color w:val="00000A"/>
          <w:sz w:val="20"/>
          <w:szCs w:val="20"/>
        </w:rPr>
      </w:pPr>
      <w:r w:rsidRPr="00F03706">
        <w:rPr>
          <w:rFonts w:asciiTheme="majorHAnsi" w:eastAsia="MS Mincho" w:hAnsiTheme="majorHAnsi"/>
          <w:color w:val="00000A"/>
          <w:sz w:val="20"/>
          <w:szCs w:val="20"/>
        </w:rPr>
        <w:t>Meilleures salutations.</w:t>
      </w:r>
    </w:p>
    <w:p w14:paraId="0499F070" w14:textId="77777777" w:rsidR="00F03706" w:rsidRPr="00F03706" w:rsidRDefault="00F03706" w:rsidP="00F03706">
      <w:pPr>
        <w:jc w:val="both"/>
        <w:rPr>
          <w:rFonts w:asciiTheme="majorHAnsi" w:eastAsia="MS Mincho" w:hAnsiTheme="majorHAnsi"/>
          <w:color w:val="00000A"/>
          <w:sz w:val="20"/>
          <w:szCs w:val="20"/>
        </w:rPr>
      </w:pPr>
    </w:p>
    <w:p w14:paraId="5A0A9437" w14:textId="54258346" w:rsidR="00CA7249" w:rsidRDefault="00CA7249">
      <w:pPr>
        <w:rPr>
          <w:rFonts w:asciiTheme="majorHAnsi" w:hAnsiTheme="majorHAnsi"/>
          <w:sz w:val="20"/>
          <w:szCs w:val="20"/>
        </w:rPr>
      </w:pPr>
      <w:r>
        <w:rPr>
          <w:rFonts w:asciiTheme="majorHAnsi" w:hAnsiTheme="majorHAnsi"/>
          <w:sz w:val="20"/>
          <w:szCs w:val="20"/>
        </w:rPr>
        <w:br w:type="page"/>
      </w:r>
    </w:p>
    <w:p w14:paraId="4B52B280" w14:textId="77777777" w:rsidR="00C029FB" w:rsidRPr="004648FD" w:rsidRDefault="00C029FB" w:rsidP="004648FD">
      <w:pPr>
        <w:widowControl w:val="0"/>
        <w:autoSpaceDE w:val="0"/>
        <w:autoSpaceDN w:val="0"/>
        <w:contextualSpacing/>
        <w:jc w:val="right"/>
        <w:rPr>
          <w:rFonts w:asciiTheme="majorHAnsi" w:eastAsia="Arial" w:hAnsiTheme="majorHAnsi" w:cs="Arial"/>
          <w:b/>
          <w:bCs/>
          <w:color w:val="000000"/>
          <w:sz w:val="20"/>
          <w:szCs w:val="20"/>
        </w:rPr>
      </w:pPr>
      <w:r w:rsidRPr="004648FD">
        <w:rPr>
          <w:rFonts w:asciiTheme="majorHAnsi" w:eastAsia="Arial" w:hAnsiTheme="majorHAnsi" w:cs="Arial"/>
          <w:b/>
          <w:bCs/>
          <w:color w:val="000000"/>
          <w:sz w:val="20"/>
          <w:szCs w:val="20"/>
        </w:rPr>
        <w:lastRenderedPageBreak/>
        <w:t>Appendice 1</w:t>
      </w:r>
    </w:p>
    <w:p w14:paraId="36448547" w14:textId="77777777" w:rsidR="00C029FB" w:rsidRPr="004648FD" w:rsidRDefault="00C029FB" w:rsidP="004648FD">
      <w:pPr>
        <w:widowControl w:val="0"/>
        <w:autoSpaceDE w:val="0"/>
        <w:autoSpaceDN w:val="0"/>
        <w:ind w:right="389"/>
        <w:contextualSpacing/>
        <w:jc w:val="center"/>
        <w:rPr>
          <w:rFonts w:asciiTheme="majorHAnsi" w:eastAsia="Calibri" w:hAnsiTheme="majorHAnsi" w:cs="Calibri"/>
          <w:b/>
          <w:w w:val="110"/>
          <w:sz w:val="20"/>
          <w:szCs w:val="20"/>
        </w:rPr>
      </w:pPr>
    </w:p>
    <w:p w14:paraId="7DB9CE2E" w14:textId="77777777" w:rsidR="00C029FB" w:rsidRPr="004648FD" w:rsidRDefault="00C029FB" w:rsidP="004648FD">
      <w:pPr>
        <w:widowControl w:val="0"/>
        <w:autoSpaceDE w:val="0"/>
        <w:autoSpaceDN w:val="0"/>
        <w:ind w:right="389"/>
        <w:contextualSpacing/>
        <w:jc w:val="center"/>
        <w:rPr>
          <w:rFonts w:asciiTheme="majorHAnsi" w:eastAsia="Calibri" w:hAnsiTheme="majorHAnsi" w:cs="Calibri"/>
          <w:b/>
          <w:sz w:val="20"/>
          <w:szCs w:val="20"/>
        </w:rPr>
      </w:pPr>
      <w:r w:rsidRPr="004648FD">
        <w:rPr>
          <w:rFonts w:asciiTheme="majorHAnsi" w:eastAsia="Calibri" w:hAnsiTheme="majorHAnsi" w:cs="Calibri"/>
          <w:b/>
          <w:sz w:val="20"/>
          <w:szCs w:val="20"/>
        </w:rPr>
        <w:t xml:space="preserve">Contribution </w:t>
      </w:r>
      <w:proofErr w:type="spellStart"/>
      <w:r w:rsidRPr="004648FD">
        <w:rPr>
          <w:rFonts w:asciiTheme="majorHAnsi" w:eastAsia="Calibri" w:hAnsiTheme="majorHAnsi" w:cs="Calibri"/>
          <w:b/>
          <w:sz w:val="20"/>
          <w:szCs w:val="20"/>
        </w:rPr>
        <w:t>Sathoan</w:t>
      </w:r>
      <w:proofErr w:type="spellEnd"/>
      <w:r w:rsidRPr="004648FD">
        <w:rPr>
          <w:rFonts w:asciiTheme="majorHAnsi" w:eastAsia="Calibri" w:hAnsiTheme="majorHAnsi" w:cs="Calibri"/>
          <w:b/>
          <w:sz w:val="20"/>
          <w:szCs w:val="20"/>
        </w:rPr>
        <w:t xml:space="preserve"> — Risques liés à l'usage de palangres lestées</w:t>
      </w:r>
    </w:p>
    <w:p w14:paraId="5C27AF4C" w14:textId="77777777" w:rsidR="00C029FB" w:rsidRPr="004648FD" w:rsidRDefault="00C029FB" w:rsidP="004648FD">
      <w:pPr>
        <w:widowControl w:val="0"/>
        <w:autoSpaceDE w:val="0"/>
        <w:autoSpaceDN w:val="0"/>
        <w:ind w:right="389"/>
        <w:contextualSpacing/>
        <w:jc w:val="center"/>
        <w:rPr>
          <w:rFonts w:asciiTheme="majorHAnsi" w:eastAsia="Calibri" w:hAnsiTheme="majorHAnsi" w:cs="Calibri"/>
          <w:b/>
          <w:sz w:val="20"/>
          <w:szCs w:val="20"/>
        </w:rPr>
      </w:pPr>
      <w:r w:rsidRPr="004648FD">
        <w:rPr>
          <w:rFonts w:asciiTheme="majorHAnsi" w:eastAsia="Calibri" w:hAnsiTheme="majorHAnsi" w:cs="Calibri"/>
          <w:b/>
          <w:sz w:val="20"/>
          <w:szCs w:val="20"/>
        </w:rPr>
        <w:t xml:space="preserve">(palangres côtières méditerranéennes, GSA 7 / Golfe du Lion) </w:t>
      </w:r>
    </w:p>
    <w:p w14:paraId="797CE8B9" w14:textId="3D9D21EF" w:rsidR="00C029FB" w:rsidRPr="004648FD" w:rsidRDefault="00C029FB" w:rsidP="004648FD">
      <w:pPr>
        <w:widowControl w:val="0"/>
        <w:autoSpaceDE w:val="0"/>
        <w:autoSpaceDN w:val="0"/>
        <w:ind w:right="389"/>
        <w:contextualSpacing/>
        <w:jc w:val="center"/>
        <w:rPr>
          <w:rFonts w:asciiTheme="majorHAnsi" w:eastAsia="Calibri" w:hAnsiTheme="majorHAnsi" w:cs="Calibri"/>
          <w:b/>
          <w:sz w:val="20"/>
          <w:szCs w:val="20"/>
        </w:rPr>
      </w:pPr>
      <w:r w:rsidRPr="004648FD">
        <w:rPr>
          <w:rFonts w:asciiTheme="majorHAnsi" w:eastAsia="Calibri" w:hAnsiTheme="majorHAnsi" w:cs="Calibri"/>
          <w:b/>
          <w:sz w:val="20"/>
          <w:szCs w:val="20"/>
        </w:rPr>
        <w:t>Demande IMM_06</w:t>
      </w:r>
      <w:r w:rsidR="00D05CD9">
        <w:rPr>
          <w:rFonts w:asciiTheme="majorHAnsi" w:eastAsia="Calibri" w:hAnsiTheme="majorHAnsi" w:cs="Calibri"/>
          <w:b/>
          <w:sz w:val="20"/>
          <w:szCs w:val="20"/>
        </w:rPr>
        <w:t>/i2026</w:t>
      </w:r>
    </w:p>
    <w:p w14:paraId="47F8F38C" w14:textId="77777777" w:rsidR="00C029FB" w:rsidRPr="004648FD" w:rsidRDefault="00C029FB" w:rsidP="004648FD">
      <w:pPr>
        <w:widowControl w:val="0"/>
        <w:autoSpaceDE w:val="0"/>
        <w:autoSpaceDN w:val="0"/>
        <w:contextualSpacing/>
        <w:jc w:val="center"/>
        <w:rPr>
          <w:rFonts w:asciiTheme="majorHAnsi" w:eastAsia="Calibri" w:hAnsiTheme="majorHAnsi" w:cs="Calibri"/>
          <w:i/>
          <w:sz w:val="20"/>
          <w:szCs w:val="20"/>
        </w:rPr>
      </w:pPr>
      <w:r w:rsidRPr="004648FD">
        <w:rPr>
          <w:rFonts w:asciiTheme="majorHAnsi" w:eastAsia="Calibri" w:hAnsiTheme="majorHAnsi" w:cs="Calibri"/>
          <w:i/>
          <w:sz w:val="20"/>
          <w:szCs w:val="20"/>
        </w:rPr>
        <w:t>B. Wendling, N. Cosnard – le 26 juin 2026</w:t>
      </w:r>
    </w:p>
    <w:p w14:paraId="34A422E4" w14:textId="77777777" w:rsidR="00C029FB" w:rsidRPr="004648FD" w:rsidRDefault="00C029FB" w:rsidP="004648FD">
      <w:pPr>
        <w:widowControl w:val="0"/>
        <w:autoSpaceDE w:val="0"/>
        <w:autoSpaceDN w:val="0"/>
        <w:contextualSpacing/>
        <w:rPr>
          <w:rFonts w:asciiTheme="majorHAnsi" w:eastAsia="Calibri" w:hAnsiTheme="majorHAnsi" w:cs="Calibri"/>
          <w:i/>
          <w:sz w:val="20"/>
          <w:szCs w:val="20"/>
        </w:rPr>
      </w:pPr>
    </w:p>
    <w:p w14:paraId="17DB6749" w14:textId="77777777" w:rsidR="00C029FB" w:rsidRPr="004648FD" w:rsidRDefault="00C029FB" w:rsidP="004648FD">
      <w:pPr>
        <w:widowControl w:val="0"/>
        <w:autoSpaceDE w:val="0"/>
        <w:autoSpaceDN w:val="0"/>
        <w:ind w:right="138"/>
        <w:contextualSpacing/>
        <w:jc w:val="both"/>
        <w:rPr>
          <w:rFonts w:asciiTheme="majorHAnsi" w:eastAsia="Calibri" w:hAnsiTheme="majorHAnsi" w:cs="Calibri"/>
          <w:sz w:val="20"/>
          <w:szCs w:val="20"/>
        </w:rPr>
      </w:pPr>
      <w:r w:rsidRPr="004648FD">
        <w:rPr>
          <w:rFonts w:asciiTheme="majorHAnsi" w:eastAsia="Calibri" w:hAnsiTheme="majorHAnsi" w:cs="Calibri"/>
          <w:sz w:val="20"/>
          <w:szCs w:val="20"/>
        </w:rPr>
        <w:t>L'OP SATHOAN soutient l'objectif de réduction des captures accidentelles marins et y contribue activement, notamment via les projets LIFE Espèces Marines Mobiles (EMM), PROTECT-MED, Life PROMETHEUS et FEAMPA Analyse Risque Pêche (ARP). C'est précisément sur cette base technique que nous appelons l'attention de la Commission sur l'inadaptation, et le caractère potentiellement contre-productif, d'une obligation uniforme de lestage des avançons (telle qu'envisagée dans PA4_811, dont la page de garde prévoit une « mise en œuvre uniforme pour toutes les CPC ») appliquée aux pêcheries palangrières côtières non mécanisées de Méditerranée nord-occidentale.</w:t>
      </w:r>
    </w:p>
    <w:p w14:paraId="571628EB" w14:textId="77777777" w:rsidR="00C029FB" w:rsidRPr="004648FD" w:rsidRDefault="00C029FB" w:rsidP="004648FD">
      <w:pPr>
        <w:widowControl w:val="0"/>
        <w:autoSpaceDE w:val="0"/>
        <w:autoSpaceDN w:val="0"/>
        <w:contextualSpacing/>
        <w:rPr>
          <w:rFonts w:asciiTheme="majorHAnsi" w:eastAsia="Calibri" w:hAnsiTheme="majorHAnsi" w:cs="Calibri"/>
          <w:sz w:val="20"/>
          <w:szCs w:val="20"/>
        </w:rPr>
      </w:pPr>
    </w:p>
    <w:p w14:paraId="082CB191" w14:textId="77777777" w:rsidR="00C029FB" w:rsidRPr="004648FD" w:rsidRDefault="00C029FB" w:rsidP="004648FD">
      <w:pPr>
        <w:widowControl w:val="0"/>
        <w:autoSpaceDE w:val="0"/>
        <w:autoSpaceDN w:val="0"/>
        <w:contextualSpacing/>
        <w:rPr>
          <w:rFonts w:asciiTheme="majorHAnsi" w:eastAsia="Calibri" w:hAnsiTheme="majorHAnsi" w:cs="Calibri"/>
          <w:sz w:val="20"/>
          <w:szCs w:val="20"/>
        </w:rPr>
      </w:pPr>
    </w:p>
    <w:p w14:paraId="35A4B442" w14:textId="77777777" w:rsidR="00C029FB" w:rsidRPr="004648FD" w:rsidRDefault="00C029FB" w:rsidP="004648FD">
      <w:pPr>
        <w:widowControl w:val="0"/>
        <w:numPr>
          <w:ilvl w:val="0"/>
          <w:numId w:val="45"/>
        </w:numPr>
        <w:autoSpaceDE w:val="0"/>
        <w:autoSpaceDN w:val="0"/>
        <w:ind w:left="426" w:hanging="426"/>
        <w:contextualSpacing/>
        <w:jc w:val="both"/>
        <w:rPr>
          <w:rFonts w:asciiTheme="majorHAnsi" w:eastAsia="Calibri" w:hAnsiTheme="majorHAnsi" w:cs="Calibri"/>
          <w:b/>
          <w:bCs/>
          <w:sz w:val="20"/>
          <w:szCs w:val="20"/>
        </w:rPr>
      </w:pPr>
      <w:r w:rsidRPr="004648FD">
        <w:rPr>
          <w:rFonts w:asciiTheme="majorHAnsi" w:eastAsia="Calibri" w:hAnsiTheme="majorHAnsi" w:cs="Calibri"/>
          <w:b/>
          <w:bCs/>
          <w:sz w:val="20"/>
          <w:szCs w:val="20"/>
        </w:rPr>
        <w:t>Risques pour la sécurité de l'équipage sur palangres non mécanisées</w:t>
      </w:r>
    </w:p>
    <w:p w14:paraId="0AA424BE" w14:textId="77777777" w:rsidR="00C029FB" w:rsidRPr="004648FD" w:rsidRDefault="00C029FB" w:rsidP="004648FD">
      <w:pPr>
        <w:widowControl w:val="0"/>
        <w:tabs>
          <w:tab w:val="left" w:pos="337"/>
        </w:tabs>
        <w:autoSpaceDE w:val="0"/>
        <w:autoSpaceDN w:val="0"/>
        <w:contextualSpacing/>
        <w:jc w:val="both"/>
        <w:rPr>
          <w:rFonts w:asciiTheme="majorHAnsi" w:eastAsia="Calibri" w:hAnsiTheme="majorHAnsi" w:cs="Calibri"/>
          <w:b/>
          <w:bCs/>
          <w:sz w:val="20"/>
          <w:szCs w:val="20"/>
        </w:rPr>
      </w:pPr>
    </w:p>
    <w:p w14:paraId="56223B8E" w14:textId="77777777" w:rsidR="00C029FB" w:rsidRPr="004648FD" w:rsidRDefault="00C029FB" w:rsidP="004648FD">
      <w:pPr>
        <w:widowControl w:val="0"/>
        <w:autoSpaceDE w:val="0"/>
        <w:autoSpaceDN w:val="0"/>
        <w:ind w:right="136"/>
        <w:contextualSpacing/>
        <w:jc w:val="both"/>
        <w:rPr>
          <w:rFonts w:asciiTheme="majorHAnsi" w:eastAsia="Calibri" w:hAnsiTheme="majorHAnsi" w:cs="Calibri"/>
          <w:sz w:val="20"/>
          <w:szCs w:val="20"/>
        </w:rPr>
      </w:pPr>
      <w:r w:rsidRPr="004648FD">
        <w:rPr>
          <w:rFonts w:asciiTheme="majorHAnsi" w:eastAsia="Calibri" w:hAnsiTheme="majorHAnsi" w:cs="Calibri"/>
          <w:sz w:val="20"/>
          <w:szCs w:val="20"/>
        </w:rPr>
        <w:t>Nos palangriers côtiers ne sont pas équipés – pour la plupart - de systèmes mécanisés de virage/filage (pas de tambour ni de spool automatique). Les lignes sont lovées et stockées manuellement en bassines/paniers, et le filage s'effectue par traction de l'engin sous l'effet de la marche du navire, sans contrôle mécanique de la tension de la ligne.</w:t>
      </w:r>
    </w:p>
    <w:p w14:paraId="7A5388B4" w14:textId="77777777" w:rsidR="00C029FB" w:rsidRPr="004648FD" w:rsidRDefault="00C029FB" w:rsidP="004648FD">
      <w:pPr>
        <w:widowControl w:val="0"/>
        <w:autoSpaceDE w:val="0"/>
        <w:autoSpaceDN w:val="0"/>
        <w:ind w:right="136"/>
        <w:contextualSpacing/>
        <w:jc w:val="both"/>
        <w:rPr>
          <w:rFonts w:asciiTheme="majorHAnsi" w:eastAsia="Calibri" w:hAnsiTheme="majorHAnsi" w:cs="Calibri"/>
          <w:sz w:val="20"/>
          <w:szCs w:val="20"/>
        </w:rPr>
      </w:pPr>
    </w:p>
    <w:p w14:paraId="71B06496" w14:textId="77777777" w:rsidR="00C029FB" w:rsidRPr="004648FD" w:rsidRDefault="00C029FB" w:rsidP="004648FD">
      <w:pPr>
        <w:widowControl w:val="0"/>
        <w:autoSpaceDE w:val="0"/>
        <w:autoSpaceDN w:val="0"/>
        <w:ind w:right="140"/>
        <w:contextualSpacing/>
        <w:jc w:val="both"/>
        <w:rPr>
          <w:rFonts w:asciiTheme="majorHAnsi" w:eastAsia="Calibri" w:hAnsiTheme="majorHAnsi" w:cs="Calibri"/>
          <w:sz w:val="20"/>
          <w:szCs w:val="20"/>
        </w:rPr>
      </w:pPr>
      <w:r w:rsidRPr="004648FD">
        <w:rPr>
          <w:rFonts w:asciiTheme="majorHAnsi" w:eastAsia="Calibri" w:hAnsiTheme="majorHAnsi" w:cs="Calibri"/>
          <w:sz w:val="20"/>
          <w:szCs w:val="20"/>
        </w:rPr>
        <w:t xml:space="preserve">Dans ces conditions, </w:t>
      </w:r>
      <w:r w:rsidRPr="004648FD">
        <w:rPr>
          <w:rFonts w:asciiTheme="majorHAnsi" w:eastAsia="Calibri" w:hAnsiTheme="majorHAnsi" w:cs="Calibri"/>
          <w:b/>
          <w:sz w:val="20"/>
          <w:szCs w:val="20"/>
        </w:rPr>
        <w:t xml:space="preserve">l'ajout de plombs de 40 à 80 g à proximité immédiate des hameçons </w:t>
      </w:r>
      <w:r w:rsidRPr="004648FD">
        <w:rPr>
          <w:rFonts w:asciiTheme="majorHAnsi" w:eastAsia="Calibri" w:hAnsiTheme="majorHAnsi" w:cs="Calibri"/>
          <w:sz w:val="20"/>
          <w:szCs w:val="20"/>
        </w:rPr>
        <w:t>(0,5 à 2 m) génère deux risques majeurs :</w:t>
      </w:r>
    </w:p>
    <w:p w14:paraId="170FD0CC" w14:textId="77777777" w:rsidR="00C029FB" w:rsidRPr="004648FD" w:rsidRDefault="00C029FB" w:rsidP="004648FD">
      <w:pPr>
        <w:widowControl w:val="0"/>
        <w:autoSpaceDE w:val="0"/>
        <w:autoSpaceDN w:val="0"/>
        <w:ind w:right="140"/>
        <w:contextualSpacing/>
        <w:jc w:val="both"/>
        <w:rPr>
          <w:rFonts w:asciiTheme="majorHAnsi" w:eastAsia="Calibri" w:hAnsiTheme="majorHAnsi" w:cs="Calibri"/>
          <w:sz w:val="20"/>
          <w:szCs w:val="20"/>
        </w:rPr>
      </w:pPr>
    </w:p>
    <w:p w14:paraId="54C9D0CA" w14:textId="77777777" w:rsidR="00C029FB" w:rsidRPr="004648FD" w:rsidRDefault="00C029FB" w:rsidP="004648FD">
      <w:pPr>
        <w:widowControl w:val="0"/>
        <w:numPr>
          <w:ilvl w:val="1"/>
          <w:numId w:val="44"/>
        </w:numPr>
        <w:autoSpaceDE w:val="0"/>
        <w:autoSpaceDN w:val="0"/>
        <w:ind w:left="851" w:right="139" w:hanging="425"/>
        <w:contextualSpacing/>
        <w:jc w:val="both"/>
        <w:rPr>
          <w:rFonts w:asciiTheme="majorHAnsi" w:eastAsia="Calibri" w:hAnsiTheme="majorHAnsi" w:cs="Calibri"/>
          <w:sz w:val="20"/>
          <w:szCs w:val="20"/>
        </w:rPr>
      </w:pPr>
      <w:r w:rsidRPr="004648FD">
        <w:rPr>
          <w:rFonts w:asciiTheme="majorHAnsi" w:eastAsia="Calibri" w:hAnsiTheme="majorHAnsi" w:cs="Calibri"/>
          <w:sz w:val="20"/>
          <w:szCs w:val="20"/>
        </w:rPr>
        <w:t>Emmêlement au filage : les avançons lestés s'emmêlent dans la bassine et accrochent les hameçons adjacents lors du dévidage rapide, entraînant ces derniers vers l'équipage (risque d'accrochage/embrochage).</w:t>
      </w:r>
    </w:p>
    <w:p w14:paraId="5D5BB570" w14:textId="77777777" w:rsidR="00C029FB" w:rsidRPr="004648FD" w:rsidRDefault="00C029FB" w:rsidP="004648FD">
      <w:pPr>
        <w:widowControl w:val="0"/>
        <w:autoSpaceDE w:val="0"/>
        <w:autoSpaceDN w:val="0"/>
        <w:ind w:left="851" w:hanging="425"/>
        <w:contextualSpacing/>
        <w:rPr>
          <w:rFonts w:asciiTheme="majorHAnsi" w:eastAsia="Calibri" w:hAnsiTheme="majorHAnsi" w:cs="Calibri"/>
          <w:sz w:val="8"/>
          <w:szCs w:val="8"/>
        </w:rPr>
      </w:pPr>
    </w:p>
    <w:p w14:paraId="224C84A6" w14:textId="77777777" w:rsidR="00C029FB" w:rsidRPr="004648FD" w:rsidRDefault="00C029FB" w:rsidP="004648FD">
      <w:pPr>
        <w:widowControl w:val="0"/>
        <w:numPr>
          <w:ilvl w:val="1"/>
          <w:numId w:val="44"/>
        </w:numPr>
        <w:autoSpaceDE w:val="0"/>
        <w:autoSpaceDN w:val="0"/>
        <w:ind w:left="851" w:right="139" w:hanging="425"/>
        <w:contextualSpacing/>
        <w:jc w:val="both"/>
        <w:rPr>
          <w:rFonts w:asciiTheme="majorHAnsi" w:eastAsia="Calibri" w:hAnsiTheme="majorHAnsi" w:cs="Calibri"/>
          <w:sz w:val="20"/>
          <w:szCs w:val="20"/>
        </w:rPr>
      </w:pPr>
      <w:r w:rsidRPr="004648FD">
        <w:rPr>
          <w:rFonts w:asciiTheme="majorHAnsi" w:eastAsia="Calibri" w:hAnsiTheme="majorHAnsi" w:cs="Calibri"/>
          <w:sz w:val="20"/>
          <w:szCs w:val="20"/>
        </w:rPr>
        <w:t xml:space="preserve">Retour de plomb (« </w:t>
      </w:r>
      <w:proofErr w:type="spellStart"/>
      <w:r w:rsidRPr="004648FD">
        <w:rPr>
          <w:rFonts w:asciiTheme="majorHAnsi" w:eastAsia="Calibri" w:hAnsiTheme="majorHAnsi" w:cs="Calibri"/>
          <w:sz w:val="20"/>
          <w:szCs w:val="20"/>
        </w:rPr>
        <w:t>flyback</w:t>
      </w:r>
      <w:proofErr w:type="spellEnd"/>
      <w:r w:rsidRPr="004648FD">
        <w:rPr>
          <w:rFonts w:asciiTheme="majorHAnsi" w:eastAsia="Calibri" w:hAnsiTheme="majorHAnsi" w:cs="Calibri"/>
          <w:sz w:val="20"/>
          <w:szCs w:val="20"/>
        </w:rPr>
        <w:t xml:space="preserve"> ») au filage : un avançon lesté accroché puis libéré brutalement sous tension se comporte comme un projectile, la masse de plomb fouettant vers le pont (Sullivan </w:t>
      </w:r>
      <w:r w:rsidRPr="004648FD">
        <w:rPr>
          <w:rFonts w:asciiTheme="majorHAnsi" w:eastAsia="Calibri" w:hAnsiTheme="majorHAnsi" w:cs="Calibri"/>
          <w:i/>
          <w:sz w:val="20"/>
          <w:szCs w:val="20"/>
        </w:rPr>
        <w:t>et al.</w:t>
      </w:r>
      <w:r w:rsidRPr="004648FD">
        <w:rPr>
          <w:rFonts w:asciiTheme="majorHAnsi" w:eastAsia="Calibri" w:hAnsiTheme="majorHAnsi" w:cs="Calibri"/>
          <w:sz w:val="20"/>
          <w:szCs w:val="20"/>
        </w:rPr>
        <w:t>, 2012</w:t>
      </w:r>
      <w:r w:rsidRPr="004648FD">
        <w:rPr>
          <w:rFonts w:asciiTheme="majorHAnsi" w:eastAsia="Calibri" w:hAnsiTheme="majorHAnsi" w:cs="Calibri"/>
          <w:sz w:val="20"/>
          <w:szCs w:val="20"/>
          <w:vertAlign w:val="superscript"/>
        </w:rPr>
        <w:footnoteReference w:id="2"/>
      </w:r>
      <w:r w:rsidRPr="004648FD">
        <w:rPr>
          <w:rFonts w:asciiTheme="majorHAnsi" w:eastAsia="Calibri" w:hAnsiTheme="majorHAnsi" w:cs="Calibri"/>
          <w:sz w:val="20"/>
          <w:szCs w:val="20"/>
        </w:rPr>
        <w:t xml:space="preserve">). Ce risque — que le Royaume-Uni identifie lui-même (IMM_06, point 1.ii) — est aggravé sur engin non mécanisé, où l'opérateur ne maîtrise pas la tension de la ligne comme sur un système </w:t>
      </w:r>
      <w:proofErr w:type="spellStart"/>
      <w:r w:rsidRPr="004648FD">
        <w:rPr>
          <w:rFonts w:asciiTheme="majorHAnsi" w:eastAsia="Calibri" w:hAnsiTheme="majorHAnsi" w:cs="Calibri"/>
          <w:sz w:val="20"/>
          <w:szCs w:val="20"/>
        </w:rPr>
        <w:t>auto-line</w:t>
      </w:r>
      <w:proofErr w:type="spellEnd"/>
      <w:r w:rsidRPr="004648FD">
        <w:rPr>
          <w:rFonts w:asciiTheme="majorHAnsi" w:eastAsia="Calibri" w:hAnsiTheme="majorHAnsi" w:cs="Calibri"/>
          <w:sz w:val="20"/>
          <w:szCs w:val="20"/>
        </w:rPr>
        <w:t xml:space="preserve"> à tambour. La mesure conçue pour des palangriers industriels mécanisés transfère donc un risque accru vers les unités les moins armées pour le maîtriser. Le BMIS (programme inter-ORGP) note que le risque de </w:t>
      </w:r>
      <w:proofErr w:type="spellStart"/>
      <w:r w:rsidRPr="004648FD">
        <w:rPr>
          <w:rFonts w:asciiTheme="majorHAnsi" w:eastAsia="Calibri" w:hAnsiTheme="majorHAnsi" w:cs="Calibri"/>
          <w:sz w:val="20"/>
          <w:szCs w:val="20"/>
        </w:rPr>
        <w:t>flyback</w:t>
      </w:r>
      <w:proofErr w:type="spellEnd"/>
      <w:r w:rsidRPr="004648FD">
        <w:rPr>
          <w:rFonts w:asciiTheme="majorHAnsi" w:eastAsia="Calibri" w:hAnsiTheme="majorHAnsi" w:cs="Calibri"/>
          <w:sz w:val="20"/>
          <w:szCs w:val="20"/>
        </w:rPr>
        <w:t xml:space="preserve"> est plus élevé avec les avançons </w:t>
      </w:r>
      <w:proofErr w:type="spellStart"/>
      <w:r w:rsidRPr="004648FD">
        <w:rPr>
          <w:rFonts w:asciiTheme="majorHAnsi" w:eastAsia="Calibri" w:hAnsiTheme="majorHAnsi" w:cs="Calibri"/>
          <w:sz w:val="20"/>
          <w:szCs w:val="20"/>
        </w:rPr>
        <w:t>monofilament</w:t>
      </w:r>
      <w:proofErr w:type="spellEnd"/>
      <w:r w:rsidRPr="004648FD">
        <w:rPr>
          <w:rFonts w:asciiTheme="majorHAnsi" w:eastAsia="Calibri" w:hAnsiTheme="majorHAnsi" w:cs="Calibri"/>
          <w:sz w:val="20"/>
          <w:szCs w:val="20"/>
          <w:vertAlign w:val="superscript"/>
        </w:rPr>
        <w:footnoteReference w:id="3"/>
      </w:r>
      <w:r w:rsidRPr="004648FD">
        <w:rPr>
          <w:rFonts w:asciiTheme="majorHAnsi" w:eastAsia="Calibri" w:hAnsiTheme="majorHAnsi" w:cs="Calibri"/>
          <w:position w:val="8"/>
          <w:sz w:val="20"/>
          <w:szCs w:val="20"/>
        </w:rPr>
        <w:t xml:space="preserve"> </w:t>
      </w:r>
      <w:r w:rsidRPr="004648FD">
        <w:rPr>
          <w:rFonts w:asciiTheme="majorHAnsi" w:eastAsia="Calibri" w:hAnsiTheme="majorHAnsi" w:cs="Calibri"/>
          <w:sz w:val="20"/>
          <w:szCs w:val="20"/>
        </w:rPr>
        <w:t>— or les palangres côtières méditerranéennes sont en nylon/</w:t>
      </w:r>
      <w:proofErr w:type="spellStart"/>
      <w:r w:rsidRPr="004648FD">
        <w:rPr>
          <w:rFonts w:asciiTheme="majorHAnsi" w:eastAsia="Calibri" w:hAnsiTheme="majorHAnsi" w:cs="Calibri"/>
          <w:sz w:val="20"/>
          <w:szCs w:val="20"/>
        </w:rPr>
        <w:t>monofilament</w:t>
      </w:r>
      <w:proofErr w:type="spellEnd"/>
      <w:r w:rsidRPr="004648FD">
        <w:rPr>
          <w:rFonts w:asciiTheme="majorHAnsi" w:eastAsia="Calibri" w:hAnsiTheme="majorHAnsi" w:cs="Calibri"/>
          <w:sz w:val="20"/>
          <w:szCs w:val="20"/>
        </w:rPr>
        <w:t>.</w:t>
      </w:r>
    </w:p>
    <w:p w14:paraId="6C898A8D" w14:textId="77777777" w:rsidR="00C029FB" w:rsidRPr="004648FD" w:rsidRDefault="00C029FB" w:rsidP="004648FD">
      <w:pPr>
        <w:widowControl w:val="0"/>
        <w:autoSpaceDE w:val="0"/>
        <w:autoSpaceDN w:val="0"/>
        <w:ind w:left="861" w:right="144" w:hanging="360"/>
        <w:contextualSpacing/>
        <w:jc w:val="both"/>
        <w:rPr>
          <w:rFonts w:asciiTheme="majorHAnsi" w:eastAsia="Calibri" w:hAnsiTheme="majorHAnsi" w:cs="Calibri"/>
          <w:sz w:val="20"/>
          <w:szCs w:val="20"/>
        </w:rPr>
      </w:pPr>
    </w:p>
    <w:p w14:paraId="7395308A" w14:textId="77777777" w:rsidR="00C029FB" w:rsidRPr="004648FD" w:rsidRDefault="00C029FB" w:rsidP="004648FD">
      <w:pPr>
        <w:widowControl w:val="0"/>
        <w:autoSpaceDE w:val="0"/>
        <w:autoSpaceDN w:val="0"/>
        <w:ind w:right="148"/>
        <w:contextualSpacing/>
        <w:jc w:val="both"/>
        <w:rPr>
          <w:rFonts w:asciiTheme="majorHAnsi" w:eastAsia="Calibri" w:hAnsiTheme="majorHAnsi" w:cs="Calibri"/>
          <w:sz w:val="20"/>
          <w:szCs w:val="20"/>
        </w:rPr>
      </w:pPr>
      <w:r w:rsidRPr="004648FD">
        <w:rPr>
          <w:rFonts w:asciiTheme="majorHAnsi" w:eastAsia="Calibri" w:hAnsiTheme="majorHAnsi" w:cs="Calibri"/>
          <w:sz w:val="20"/>
          <w:szCs w:val="20"/>
        </w:rPr>
        <w:t>Les équipements d'atténuation existants (poseurs de ligne, systèmes de gestion du lestage, protections de poste) sont conçus pour les grands palangriers pélagiques mécanisés et sont inopérants, incompatibles ou économiquement inaccessibles pour des unités côtières de petits métiers à pont ouvert. La voie « atténuer le risque par l'équipement » n'est donc pas réaliste dans ce segment.</w:t>
      </w:r>
    </w:p>
    <w:p w14:paraId="3D741EEF" w14:textId="77777777" w:rsidR="00C029FB" w:rsidRPr="004648FD" w:rsidRDefault="00C029FB" w:rsidP="004648FD">
      <w:pPr>
        <w:widowControl w:val="0"/>
        <w:autoSpaceDE w:val="0"/>
        <w:autoSpaceDN w:val="0"/>
        <w:ind w:right="148"/>
        <w:contextualSpacing/>
        <w:jc w:val="both"/>
        <w:rPr>
          <w:rFonts w:asciiTheme="majorHAnsi" w:eastAsia="Calibri" w:hAnsiTheme="majorHAnsi" w:cs="Calibri"/>
          <w:sz w:val="20"/>
          <w:szCs w:val="20"/>
        </w:rPr>
      </w:pPr>
    </w:p>
    <w:p w14:paraId="2AD399F5" w14:textId="77777777" w:rsidR="00C029FB" w:rsidRPr="004648FD" w:rsidRDefault="00C029FB" w:rsidP="004648FD">
      <w:pPr>
        <w:widowControl w:val="0"/>
        <w:autoSpaceDE w:val="0"/>
        <w:autoSpaceDN w:val="0"/>
        <w:ind w:right="148"/>
        <w:contextualSpacing/>
        <w:jc w:val="both"/>
        <w:rPr>
          <w:rFonts w:asciiTheme="majorHAnsi" w:eastAsia="Calibri" w:hAnsiTheme="majorHAnsi" w:cs="Calibri"/>
          <w:sz w:val="20"/>
          <w:szCs w:val="20"/>
        </w:rPr>
      </w:pPr>
    </w:p>
    <w:p w14:paraId="12C60B65" w14:textId="77777777" w:rsidR="00C029FB" w:rsidRPr="004648FD" w:rsidRDefault="00C029FB" w:rsidP="004648FD">
      <w:pPr>
        <w:widowControl w:val="0"/>
        <w:numPr>
          <w:ilvl w:val="0"/>
          <w:numId w:val="45"/>
        </w:numPr>
        <w:autoSpaceDE w:val="0"/>
        <w:autoSpaceDN w:val="0"/>
        <w:ind w:left="426" w:hanging="426"/>
        <w:contextualSpacing/>
        <w:jc w:val="both"/>
        <w:rPr>
          <w:rFonts w:asciiTheme="majorHAnsi" w:eastAsia="Calibri" w:hAnsiTheme="majorHAnsi" w:cs="Calibri"/>
          <w:b/>
          <w:bCs/>
          <w:sz w:val="20"/>
          <w:szCs w:val="20"/>
        </w:rPr>
      </w:pPr>
      <w:r w:rsidRPr="004648FD">
        <w:rPr>
          <w:rFonts w:asciiTheme="majorHAnsi" w:eastAsia="Calibri" w:hAnsiTheme="majorHAnsi" w:cs="Calibri"/>
          <w:b/>
          <w:bCs/>
          <w:sz w:val="20"/>
          <w:szCs w:val="20"/>
        </w:rPr>
        <w:t>Inadéquation aux caractéristiques de nos pêcheries — risque de report sur les espèces non désirées (sélaciens)</w:t>
      </w:r>
    </w:p>
    <w:p w14:paraId="52AFEECB" w14:textId="77777777" w:rsidR="00C029FB" w:rsidRPr="004648FD" w:rsidRDefault="00C029FB" w:rsidP="004648FD">
      <w:pPr>
        <w:widowControl w:val="0"/>
        <w:autoSpaceDE w:val="0"/>
        <w:autoSpaceDN w:val="0"/>
        <w:ind w:left="426"/>
        <w:contextualSpacing/>
        <w:jc w:val="both"/>
        <w:rPr>
          <w:rFonts w:asciiTheme="majorHAnsi" w:eastAsia="Calibri" w:hAnsiTheme="majorHAnsi" w:cs="Calibri"/>
          <w:b/>
          <w:bCs/>
          <w:sz w:val="20"/>
          <w:szCs w:val="20"/>
        </w:rPr>
      </w:pPr>
    </w:p>
    <w:p w14:paraId="4268B810" w14:textId="77777777" w:rsidR="00C029FB" w:rsidRPr="004648FD" w:rsidRDefault="00C029FB" w:rsidP="004648FD">
      <w:pPr>
        <w:widowControl w:val="0"/>
        <w:autoSpaceDE w:val="0"/>
        <w:autoSpaceDN w:val="0"/>
        <w:ind w:right="147"/>
        <w:contextualSpacing/>
        <w:jc w:val="both"/>
        <w:rPr>
          <w:rFonts w:asciiTheme="majorHAnsi" w:eastAsia="Calibri" w:hAnsiTheme="majorHAnsi" w:cs="Calibri"/>
          <w:sz w:val="20"/>
          <w:szCs w:val="20"/>
        </w:rPr>
      </w:pPr>
      <w:r w:rsidRPr="004648FD">
        <w:rPr>
          <w:rFonts w:asciiTheme="majorHAnsi" w:eastAsia="Calibri" w:hAnsiTheme="majorHAnsi" w:cs="Calibri"/>
          <w:sz w:val="20"/>
          <w:szCs w:val="20"/>
        </w:rPr>
        <w:t>Le lestage des avançons (et la spécification de taux d'immersion de 0,5 m/s / 10 m de PA4_811) vise à faire couler les hameçons plus vite et plus profond pour les soustraire rapidement à la zone de prospection des oiseaux en surface.</w:t>
      </w:r>
    </w:p>
    <w:p w14:paraId="466A213E" w14:textId="77777777" w:rsidR="00C029FB" w:rsidRPr="004648FD" w:rsidRDefault="00C029FB" w:rsidP="004648FD">
      <w:pPr>
        <w:widowControl w:val="0"/>
        <w:autoSpaceDE w:val="0"/>
        <w:autoSpaceDN w:val="0"/>
        <w:ind w:right="147"/>
        <w:contextualSpacing/>
        <w:jc w:val="both"/>
        <w:rPr>
          <w:rFonts w:asciiTheme="majorHAnsi" w:eastAsia="Calibri" w:hAnsiTheme="majorHAnsi" w:cs="Calibri"/>
          <w:sz w:val="20"/>
          <w:szCs w:val="20"/>
        </w:rPr>
      </w:pPr>
    </w:p>
    <w:p w14:paraId="118743E5" w14:textId="3840F3F7" w:rsidR="00C029FB" w:rsidRPr="004648FD" w:rsidRDefault="00C029FB" w:rsidP="009C0F37">
      <w:pPr>
        <w:widowControl w:val="0"/>
        <w:autoSpaceDE w:val="0"/>
        <w:autoSpaceDN w:val="0"/>
        <w:ind w:right="133"/>
        <w:contextualSpacing/>
        <w:jc w:val="both"/>
        <w:rPr>
          <w:rFonts w:asciiTheme="majorHAnsi" w:eastAsia="Calibri" w:hAnsiTheme="majorHAnsi" w:cs="Calibri"/>
          <w:sz w:val="20"/>
          <w:szCs w:val="20"/>
        </w:rPr>
      </w:pPr>
      <w:r w:rsidRPr="004648FD">
        <w:rPr>
          <w:rFonts w:asciiTheme="majorHAnsi" w:eastAsia="Calibri" w:hAnsiTheme="majorHAnsi" w:cs="Calibri"/>
          <w:sz w:val="20"/>
          <w:szCs w:val="20"/>
        </w:rPr>
        <w:t xml:space="preserve">Or nos pêcheries opèrent sur un plateau continental peu profond (golfe du Lion), à des profondeurs bathymétriques comprises entre 30 et 90 m : la profondeur moyenne de pêche </w:t>
      </w:r>
      <w:r w:rsidRPr="004648FD">
        <w:rPr>
          <w:rFonts w:asciiTheme="majorHAnsi" w:eastAsia="Calibri" w:hAnsiTheme="majorHAnsi" w:cs="Calibri"/>
          <w:i/>
          <w:sz w:val="20"/>
          <w:szCs w:val="20"/>
        </w:rPr>
        <w:t xml:space="preserve">de la palangre mesurée est de 24,7 mètres pour ce qui concerne les </w:t>
      </w:r>
      <w:r w:rsidRPr="004648FD">
        <w:rPr>
          <w:rFonts w:asciiTheme="majorHAnsi" w:eastAsia="Calibri" w:hAnsiTheme="majorHAnsi" w:cs="Calibri"/>
          <w:sz w:val="20"/>
          <w:szCs w:val="20"/>
        </w:rPr>
        <w:t>palangres de surface et semi-pélagiques dérivantes ciblant l'espadon et les thonidés (BFT et ALB). L'engin est conçu pour pêcher dans la couche supérieure de la colonne d'eau.</w:t>
      </w:r>
      <w:r w:rsidRPr="004648FD">
        <w:rPr>
          <w:rFonts w:asciiTheme="majorHAnsi" w:eastAsia="Calibri" w:hAnsiTheme="majorHAnsi" w:cs="Calibri"/>
          <w:sz w:val="20"/>
          <w:szCs w:val="20"/>
        </w:rPr>
        <w:br w:type="page"/>
      </w:r>
    </w:p>
    <w:p w14:paraId="0D445E38" w14:textId="77777777" w:rsidR="00C029FB" w:rsidRPr="004648FD" w:rsidRDefault="00C029FB" w:rsidP="004648FD">
      <w:pPr>
        <w:widowControl w:val="0"/>
        <w:autoSpaceDE w:val="0"/>
        <w:autoSpaceDN w:val="0"/>
        <w:contextualSpacing/>
        <w:jc w:val="both"/>
        <w:rPr>
          <w:rFonts w:asciiTheme="majorHAnsi" w:eastAsia="Calibri" w:hAnsiTheme="majorHAnsi" w:cs="Calibri"/>
          <w:sz w:val="20"/>
          <w:szCs w:val="20"/>
        </w:rPr>
      </w:pPr>
      <w:r w:rsidRPr="004648FD">
        <w:rPr>
          <w:rFonts w:asciiTheme="majorHAnsi" w:eastAsia="Calibri" w:hAnsiTheme="majorHAnsi" w:cs="Calibri"/>
          <w:sz w:val="20"/>
          <w:szCs w:val="20"/>
        </w:rPr>
        <w:lastRenderedPageBreak/>
        <w:t>Imposer un lestage des avançons dans ce contexte :</w:t>
      </w:r>
    </w:p>
    <w:p w14:paraId="12DF3C66" w14:textId="77777777" w:rsidR="00C029FB" w:rsidRPr="004648FD" w:rsidRDefault="00C029FB" w:rsidP="004648FD">
      <w:pPr>
        <w:widowControl w:val="0"/>
        <w:autoSpaceDE w:val="0"/>
        <w:autoSpaceDN w:val="0"/>
        <w:contextualSpacing/>
        <w:jc w:val="both"/>
        <w:rPr>
          <w:rFonts w:asciiTheme="majorHAnsi" w:eastAsia="Calibri" w:hAnsiTheme="majorHAnsi" w:cs="Calibri"/>
          <w:sz w:val="20"/>
          <w:szCs w:val="20"/>
        </w:rPr>
      </w:pPr>
    </w:p>
    <w:p w14:paraId="191CD56C" w14:textId="77777777" w:rsidR="00C029FB" w:rsidRPr="004648FD" w:rsidRDefault="00C029FB" w:rsidP="004648FD">
      <w:pPr>
        <w:widowControl w:val="0"/>
        <w:numPr>
          <w:ilvl w:val="1"/>
          <w:numId w:val="44"/>
        </w:numPr>
        <w:autoSpaceDE w:val="0"/>
        <w:autoSpaceDN w:val="0"/>
        <w:ind w:left="1276" w:right="139" w:hanging="425"/>
        <w:contextualSpacing/>
        <w:jc w:val="both"/>
        <w:rPr>
          <w:rFonts w:asciiTheme="majorHAnsi" w:eastAsia="Calibri" w:hAnsiTheme="majorHAnsi" w:cs="Calibri"/>
          <w:sz w:val="20"/>
          <w:szCs w:val="20"/>
        </w:rPr>
      </w:pPr>
      <w:r w:rsidRPr="004648FD">
        <w:rPr>
          <w:rFonts w:asciiTheme="majorHAnsi" w:eastAsia="Calibri" w:hAnsiTheme="majorHAnsi" w:cs="Calibri"/>
          <w:sz w:val="20"/>
          <w:szCs w:val="20"/>
        </w:rPr>
        <w:t>modifie mécaniquement la profondeur de pêche effective de l'engin, donc sa capturabilité et sa sélectivité ;</w:t>
      </w:r>
    </w:p>
    <w:p w14:paraId="023444D7" w14:textId="77777777" w:rsidR="00C029FB" w:rsidRPr="004648FD" w:rsidRDefault="00C029FB" w:rsidP="004648FD">
      <w:pPr>
        <w:widowControl w:val="0"/>
        <w:numPr>
          <w:ilvl w:val="1"/>
          <w:numId w:val="44"/>
        </w:numPr>
        <w:autoSpaceDE w:val="0"/>
        <w:autoSpaceDN w:val="0"/>
        <w:ind w:left="1276" w:right="139" w:hanging="425"/>
        <w:contextualSpacing/>
        <w:jc w:val="both"/>
        <w:rPr>
          <w:rFonts w:asciiTheme="majorHAnsi" w:eastAsia="Calibri" w:hAnsiTheme="majorHAnsi" w:cs="Calibri"/>
          <w:sz w:val="20"/>
          <w:szCs w:val="20"/>
        </w:rPr>
      </w:pPr>
      <w:r w:rsidRPr="004648FD">
        <w:rPr>
          <w:rFonts w:asciiTheme="majorHAnsi" w:eastAsia="Calibri" w:hAnsiTheme="majorHAnsi" w:cs="Calibri"/>
          <w:sz w:val="20"/>
          <w:szCs w:val="20"/>
        </w:rPr>
        <w:t>en faible tranche d'eau (30–90 m), rapproche les hameçons de la couche démersale et du fond ;</w:t>
      </w:r>
    </w:p>
    <w:p w14:paraId="2A418CDA" w14:textId="77777777" w:rsidR="00C029FB" w:rsidRPr="004648FD" w:rsidRDefault="00C029FB" w:rsidP="004648FD">
      <w:pPr>
        <w:widowControl w:val="0"/>
        <w:numPr>
          <w:ilvl w:val="1"/>
          <w:numId w:val="44"/>
        </w:numPr>
        <w:autoSpaceDE w:val="0"/>
        <w:autoSpaceDN w:val="0"/>
        <w:ind w:left="1276" w:right="139" w:hanging="425"/>
        <w:contextualSpacing/>
        <w:jc w:val="both"/>
        <w:rPr>
          <w:rFonts w:asciiTheme="majorHAnsi" w:eastAsia="Calibri" w:hAnsiTheme="majorHAnsi" w:cs="Calibri"/>
          <w:sz w:val="20"/>
          <w:szCs w:val="20"/>
        </w:rPr>
      </w:pPr>
      <w:r w:rsidRPr="004648FD">
        <w:rPr>
          <w:rFonts w:asciiTheme="majorHAnsi" w:eastAsia="Calibri" w:hAnsiTheme="majorHAnsi" w:cs="Calibri"/>
          <w:sz w:val="20"/>
          <w:szCs w:val="20"/>
        </w:rPr>
        <w:t>accroît en conséquence le risque d'interaction avec les espèces démersales en particulier les sélaciens (requins et raies), dont de nombreuses espèces méditerranéennes sont vulnérables ou protégées (cadre CGPM, Convention de Barcelone, listes de non-rétention de l'UE).</w:t>
      </w:r>
    </w:p>
    <w:p w14:paraId="2FC54923" w14:textId="77777777" w:rsidR="00C029FB" w:rsidRPr="004648FD" w:rsidRDefault="00C029FB" w:rsidP="004648FD">
      <w:pPr>
        <w:widowControl w:val="0"/>
        <w:autoSpaceDE w:val="0"/>
        <w:autoSpaceDN w:val="0"/>
        <w:ind w:right="133"/>
        <w:contextualSpacing/>
        <w:jc w:val="both"/>
        <w:rPr>
          <w:rFonts w:asciiTheme="majorHAnsi" w:eastAsia="Calibri" w:hAnsiTheme="majorHAnsi" w:cs="Calibri"/>
          <w:sz w:val="20"/>
          <w:szCs w:val="20"/>
        </w:rPr>
      </w:pPr>
    </w:p>
    <w:p w14:paraId="3E938833" w14:textId="77777777" w:rsidR="00C029FB" w:rsidRPr="004648FD" w:rsidRDefault="00C029FB" w:rsidP="004648FD">
      <w:pPr>
        <w:widowControl w:val="0"/>
        <w:autoSpaceDE w:val="0"/>
        <w:autoSpaceDN w:val="0"/>
        <w:ind w:right="133"/>
        <w:contextualSpacing/>
        <w:jc w:val="both"/>
        <w:rPr>
          <w:rFonts w:asciiTheme="majorHAnsi" w:eastAsia="Calibri" w:hAnsiTheme="majorHAnsi" w:cs="Calibri"/>
          <w:sz w:val="20"/>
          <w:szCs w:val="20"/>
        </w:rPr>
      </w:pPr>
      <w:r w:rsidRPr="004648FD">
        <w:rPr>
          <w:rFonts w:asciiTheme="majorHAnsi" w:eastAsia="Calibri" w:hAnsiTheme="majorHAnsi" w:cs="Calibri"/>
          <w:sz w:val="20"/>
          <w:szCs w:val="20"/>
        </w:rPr>
        <w:t xml:space="preserve">Or la modification de la distribution verticale des hameçons est un paramètre que les suivis instrumentés identifient, avec la durée d'immersion, comme déterminant de la mortalité au virage des sélaciens (Massey </w:t>
      </w:r>
      <w:r w:rsidRPr="004648FD">
        <w:rPr>
          <w:rFonts w:asciiTheme="majorHAnsi" w:eastAsia="Calibri" w:hAnsiTheme="majorHAnsi" w:cs="Calibri"/>
          <w:i/>
          <w:sz w:val="20"/>
          <w:szCs w:val="20"/>
        </w:rPr>
        <w:t xml:space="preserve">et al., </w:t>
      </w:r>
      <w:r w:rsidRPr="004648FD">
        <w:rPr>
          <w:rFonts w:asciiTheme="majorHAnsi" w:eastAsia="Calibri" w:hAnsiTheme="majorHAnsi" w:cs="Calibri"/>
          <w:sz w:val="20"/>
          <w:szCs w:val="20"/>
        </w:rPr>
        <w:t>2022</w:t>
      </w:r>
      <w:r w:rsidRPr="004648FD">
        <w:rPr>
          <w:rFonts w:asciiTheme="majorHAnsi" w:eastAsia="Calibri" w:hAnsiTheme="majorHAnsi" w:cs="Calibri"/>
          <w:sz w:val="20"/>
          <w:szCs w:val="20"/>
          <w:vertAlign w:val="superscript"/>
        </w:rPr>
        <w:footnoteReference w:id="4"/>
      </w:r>
      <w:r w:rsidRPr="004648FD">
        <w:rPr>
          <w:rFonts w:asciiTheme="majorHAnsi" w:eastAsia="Calibri" w:hAnsiTheme="majorHAnsi" w:cs="Calibri"/>
          <w:sz w:val="20"/>
          <w:szCs w:val="20"/>
        </w:rPr>
        <w:t xml:space="preserve">) Sur des palangres non mécanisées à virage manuel, où la durée d'immersion est moins maîtrisable et souvent plus longue que sur les systèmes </w:t>
      </w:r>
      <w:proofErr w:type="spellStart"/>
      <w:r w:rsidRPr="004648FD">
        <w:rPr>
          <w:rFonts w:asciiTheme="majorHAnsi" w:eastAsia="Calibri" w:hAnsiTheme="majorHAnsi" w:cs="Calibri"/>
          <w:sz w:val="20"/>
          <w:szCs w:val="20"/>
        </w:rPr>
        <w:t>auto-line</w:t>
      </w:r>
      <w:proofErr w:type="spellEnd"/>
      <w:r w:rsidRPr="004648FD">
        <w:rPr>
          <w:rFonts w:asciiTheme="majorHAnsi" w:eastAsia="Calibri" w:hAnsiTheme="majorHAnsi" w:cs="Calibri"/>
          <w:sz w:val="20"/>
          <w:szCs w:val="20"/>
        </w:rPr>
        <w:t xml:space="preserve"> industriels, ce report de captures se traduit donc par une mortalité additionnelle réelle, et non seulement « comptable », sur des espèces dont plusieurs sont protégées ou en danger critique (ex : requin bleu de Méditerranée).</w:t>
      </w:r>
    </w:p>
    <w:p w14:paraId="3CDCE71E" w14:textId="77777777" w:rsidR="00C029FB" w:rsidRPr="004648FD" w:rsidRDefault="00C029FB" w:rsidP="004648FD">
      <w:pPr>
        <w:widowControl w:val="0"/>
        <w:autoSpaceDE w:val="0"/>
        <w:autoSpaceDN w:val="0"/>
        <w:ind w:right="133"/>
        <w:contextualSpacing/>
        <w:jc w:val="both"/>
        <w:rPr>
          <w:rFonts w:asciiTheme="majorHAnsi" w:eastAsia="Calibri" w:hAnsiTheme="majorHAnsi" w:cs="Calibri"/>
          <w:sz w:val="20"/>
          <w:szCs w:val="20"/>
        </w:rPr>
      </w:pPr>
    </w:p>
    <w:p w14:paraId="019B3488" w14:textId="77777777" w:rsidR="00C029FB" w:rsidRPr="004648FD" w:rsidRDefault="00C029FB" w:rsidP="004648FD">
      <w:pPr>
        <w:widowControl w:val="0"/>
        <w:autoSpaceDE w:val="0"/>
        <w:autoSpaceDN w:val="0"/>
        <w:ind w:right="137"/>
        <w:contextualSpacing/>
        <w:jc w:val="both"/>
        <w:rPr>
          <w:rFonts w:asciiTheme="majorHAnsi" w:eastAsia="Calibri" w:hAnsiTheme="majorHAnsi" w:cs="Calibri"/>
          <w:sz w:val="20"/>
          <w:szCs w:val="20"/>
        </w:rPr>
      </w:pPr>
      <w:r w:rsidRPr="004648FD">
        <w:rPr>
          <w:rFonts w:asciiTheme="majorHAnsi" w:eastAsia="Calibri" w:hAnsiTheme="majorHAnsi" w:cs="Calibri"/>
          <w:sz w:val="20"/>
          <w:szCs w:val="20"/>
        </w:rPr>
        <w:t>Il en résulte un effet pervers : une mesure destinée à réduire la capture accidentelle d'un taxon (oiseaux de mer) augmenterait, dans cette pêcherie, la capture accidentelle d'un autre taxon vulnérable et souvent plus menacé (élasmobranches), tout en dégradant la capturabilité des espèces cibles et la viabilité économique. Ce compromis défavorable contredit la logique d'approche écosystémique invoquée par la proposition elle-même, et doit être documenté par une évaluation locale (données ARP, observateurs embarqués) avant toute généralisation.</w:t>
      </w:r>
    </w:p>
    <w:p w14:paraId="3A3AF596" w14:textId="77777777" w:rsidR="00C029FB" w:rsidRPr="004648FD" w:rsidRDefault="00C029FB" w:rsidP="004648FD">
      <w:pPr>
        <w:widowControl w:val="0"/>
        <w:autoSpaceDE w:val="0"/>
        <w:autoSpaceDN w:val="0"/>
        <w:contextualSpacing/>
        <w:rPr>
          <w:rFonts w:asciiTheme="majorHAnsi" w:eastAsia="Calibri" w:hAnsiTheme="majorHAnsi" w:cs="Calibri"/>
          <w:sz w:val="20"/>
          <w:szCs w:val="20"/>
        </w:rPr>
      </w:pPr>
    </w:p>
    <w:p w14:paraId="02EC4D78" w14:textId="77777777" w:rsidR="00C029FB" w:rsidRPr="004648FD" w:rsidRDefault="00C029FB" w:rsidP="004648FD">
      <w:pPr>
        <w:widowControl w:val="0"/>
        <w:autoSpaceDE w:val="0"/>
        <w:autoSpaceDN w:val="0"/>
        <w:contextualSpacing/>
        <w:rPr>
          <w:rFonts w:asciiTheme="majorHAnsi" w:eastAsia="Calibri" w:hAnsiTheme="majorHAnsi" w:cs="Calibri"/>
          <w:sz w:val="20"/>
          <w:szCs w:val="20"/>
        </w:rPr>
      </w:pPr>
    </w:p>
    <w:p w14:paraId="3E64A898" w14:textId="6FA6A781" w:rsidR="00C029FB" w:rsidRPr="004648FD" w:rsidRDefault="00C029FB" w:rsidP="004648FD">
      <w:pPr>
        <w:widowControl w:val="0"/>
        <w:numPr>
          <w:ilvl w:val="0"/>
          <w:numId w:val="45"/>
        </w:numPr>
        <w:autoSpaceDE w:val="0"/>
        <w:autoSpaceDN w:val="0"/>
        <w:ind w:left="426" w:hanging="426"/>
        <w:contextualSpacing/>
        <w:jc w:val="both"/>
        <w:rPr>
          <w:rFonts w:asciiTheme="majorHAnsi" w:eastAsia="Calibri" w:hAnsiTheme="majorHAnsi" w:cs="Calibri"/>
          <w:b/>
          <w:bCs/>
          <w:sz w:val="20"/>
          <w:szCs w:val="20"/>
        </w:rPr>
      </w:pPr>
      <w:r w:rsidRPr="004648FD">
        <w:rPr>
          <w:rFonts w:asciiTheme="majorHAnsi" w:eastAsia="Calibri" w:hAnsiTheme="majorHAnsi" w:cs="Calibri"/>
          <w:b/>
          <w:bCs/>
          <w:sz w:val="20"/>
          <w:szCs w:val="20"/>
        </w:rPr>
        <w:t>Question d'applicabilité scientifique</w:t>
      </w:r>
    </w:p>
    <w:p w14:paraId="36A4AB4F" w14:textId="77777777" w:rsidR="00C029FB" w:rsidRPr="004648FD" w:rsidRDefault="00C029FB" w:rsidP="004648FD">
      <w:pPr>
        <w:widowControl w:val="0"/>
        <w:autoSpaceDE w:val="0"/>
        <w:autoSpaceDN w:val="0"/>
        <w:ind w:left="426"/>
        <w:contextualSpacing/>
        <w:jc w:val="both"/>
        <w:rPr>
          <w:rFonts w:asciiTheme="majorHAnsi" w:eastAsia="Calibri" w:hAnsiTheme="majorHAnsi" w:cs="Calibri"/>
          <w:b/>
          <w:bCs/>
          <w:sz w:val="20"/>
          <w:szCs w:val="20"/>
        </w:rPr>
      </w:pPr>
    </w:p>
    <w:p w14:paraId="664CC93E" w14:textId="77777777" w:rsidR="00C029FB" w:rsidRPr="004648FD" w:rsidRDefault="00C029FB" w:rsidP="004648FD">
      <w:pPr>
        <w:widowControl w:val="0"/>
        <w:autoSpaceDE w:val="0"/>
        <w:autoSpaceDN w:val="0"/>
        <w:ind w:right="136"/>
        <w:contextualSpacing/>
        <w:jc w:val="both"/>
        <w:rPr>
          <w:rFonts w:asciiTheme="majorHAnsi" w:eastAsia="Calibri" w:hAnsiTheme="majorHAnsi" w:cs="Calibri"/>
          <w:sz w:val="20"/>
          <w:szCs w:val="20"/>
        </w:rPr>
      </w:pPr>
      <w:r w:rsidRPr="004648FD">
        <w:rPr>
          <w:rFonts w:asciiTheme="majorHAnsi" w:eastAsia="Calibri" w:hAnsiTheme="majorHAnsi" w:cs="Calibri"/>
          <w:sz w:val="20"/>
          <w:szCs w:val="20"/>
        </w:rPr>
        <w:t>Les Rec. 07-07 / 11-09 et les spécifications de bonnes pratiques de l'ACAP</w:t>
      </w:r>
      <w:r w:rsidRPr="004648FD">
        <w:rPr>
          <w:rFonts w:asciiTheme="majorHAnsi" w:eastAsia="Calibri" w:hAnsiTheme="majorHAnsi" w:cs="Calibri"/>
          <w:sz w:val="20"/>
          <w:szCs w:val="20"/>
          <w:vertAlign w:val="superscript"/>
        </w:rPr>
        <w:footnoteReference w:id="5"/>
      </w:r>
      <w:r w:rsidRPr="004648FD">
        <w:rPr>
          <w:rFonts w:asciiTheme="majorHAnsi" w:eastAsia="Calibri" w:hAnsiTheme="majorHAnsi" w:cs="Calibri"/>
          <w:sz w:val="20"/>
          <w:szCs w:val="20"/>
        </w:rPr>
        <w:t xml:space="preserve"> qui les sous-tendent ont été établies pour les albatros et pétrels : PA4_811 (§2) cadre d'ailleurs explicitement l'application uniforme « au sud du 20e parallèle Sud ». L'enjeu méditerranéen concerne un assemblage d'oiseaux différent (puffin cendré </w:t>
      </w:r>
      <w:proofErr w:type="spellStart"/>
      <w:r w:rsidRPr="004648FD">
        <w:rPr>
          <w:rFonts w:asciiTheme="majorHAnsi" w:eastAsia="Calibri" w:hAnsiTheme="majorHAnsi" w:cs="Calibri"/>
          <w:i/>
          <w:sz w:val="20"/>
          <w:szCs w:val="20"/>
        </w:rPr>
        <w:t>Calonectris</w:t>
      </w:r>
      <w:proofErr w:type="spellEnd"/>
      <w:r w:rsidRPr="004648FD">
        <w:rPr>
          <w:rFonts w:asciiTheme="majorHAnsi" w:eastAsia="Calibri" w:hAnsiTheme="majorHAnsi" w:cs="Calibri"/>
          <w:i/>
          <w:sz w:val="20"/>
          <w:szCs w:val="20"/>
        </w:rPr>
        <w:t xml:space="preserve"> </w:t>
      </w:r>
      <w:proofErr w:type="spellStart"/>
      <w:r w:rsidRPr="004648FD">
        <w:rPr>
          <w:rFonts w:asciiTheme="majorHAnsi" w:eastAsia="Calibri" w:hAnsiTheme="majorHAnsi" w:cs="Calibri"/>
          <w:i/>
          <w:sz w:val="20"/>
          <w:szCs w:val="20"/>
        </w:rPr>
        <w:t>diomedea</w:t>
      </w:r>
      <w:proofErr w:type="spellEnd"/>
      <w:r w:rsidRPr="004648FD">
        <w:rPr>
          <w:rFonts w:asciiTheme="majorHAnsi" w:eastAsia="Calibri" w:hAnsiTheme="majorHAnsi" w:cs="Calibri"/>
          <w:sz w:val="20"/>
          <w:szCs w:val="20"/>
        </w:rPr>
        <w:t xml:space="preserve">, puffin </w:t>
      </w:r>
      <w:proofErr w:type="spellStart"/>
      <w:r w:rsidRPr="004648FD">
        <w:rPr>
          <w:rFonts w:asciiTheme="majorHAnsi" w:eastAsia="Calibri" w:hAnsiTheme="majorHAnsi" w:cs="Calibri"/>
          <w:sz w:val="20"/>
          <w:szCs w:val="20"/>
        </w:rPr>
        <w:t>yelkouan</w:t>
      </w:r>
      <w:proofErr w:type="spellEnd"/>
      <w:r w:rsidRPr="004648FD">
        <w:rPr>
          <w:rFonts w:asciiTheme="majorHAnsi" w:eastAsia="Calibri" w:hAnsiTheme="majorHAnsi" w:cs="Calibri"/>
          <w:sz w:val="20"/>
          <w:szCs w:val="20"/>
        </w:rPr>
        <w:t xml:space="preserve"> </w:t>
      </w:r>
      <w:proofErr w:type="spellStart"/>
      <w:r w:rsidRPr="004648FD">
        <w:rPr>
          <w:rFonts w:asciiTheme="majorHAnsi" w:eastAsia="Calibri" w:hAnsiTheme="majorHAnsi" w:cs="Calibri"/>
          <w:i/>
          <w:sz w:val="20"/>
          <w:szCs w:val="20"/>
        </w:rPr>
        <w:t>Puffinus</w:t>
      </w:r>
      <w:proofErr w:type="spellEnd"/>
      <w:r w:rsidRPr="004648FD">
        <w:rPr>
          <w:rFonts w:asciiTheme="majorHAnsi" w:eastAsia="Calibri" w:hAnsiTheme="majorHAnsi" w:cs="Calibri"/>
          <w:i/>
          <w:sz w:val="20"/>
          <w:szCs w:val="20"/>
        </w:rPr>
        <w:t xml:space="preserve"> </w:t>
      </w:r>
      <w:proofErr w:type="spellStart"/>
      <w:r w:rsidRPr="004648FD">
        <w:rPr>
          <w:rFonts w:asciiTheme="majorHAnsi" w:eastAsia="Calibri" w:hAnsiTheme="majorHAnsi" w:cs="Calibri"/>
          <w:i/>
          <w:sz w:val="20"/>
          <w:szCs w:val="20"/>
        </w:rPr>
        <w:t>yelkouan</w:t>
      </w:r>
      <w:proofErr w:type="spellEnd"/>
      <w:r w:rsidRPr="004648FD">
        <w:rPr>
          <w:rFonts w:asciiTheme="majorHAnsi" w:eastAsia="Calibri" w:hAnsiTheme="majorHAnsi" w:cs="Calibri"/>
          <w:sz w:val="20"/>
          <w:szCs w:val="20"/>
        </w:rPr>
        <w:t xml:space="preserve">, puffin des Baléares </w:t>
      </w:r>
      <w:proofErr w:type="spellStart"/>
      <w:r w:rsidRPr="004648FD">
        <w:rPr>
          <w:rFonts w:asciiTheme="majorHAnsi" w:eastAsia="Calibri" w:hAnsiTheme="majorHAnsi" w:cs="Calibri"/>
          <w:i/>
          <w:sz w:val="20"/>
          <w:szCs w:val="20"/>
        </w:rPr>
        <w:t>Puffinus</w:t>
      </w:r>
      <w:proofErr w:type="spellEnd"/>
      <w:r w:rsidRPr="004648FD">
        <w:rPr>
          <w:rFonts w:asciiTheme="majorHAnsi" w:eastAsia="Calibri" w:hAnsiTheme="majorHAnsi" w:cs="Calibri"/>
          <w:i/>
          <w:sz w:val="20"/>
          <w:szCs w:val="20"/>
        </w:rPr>
        <w:t xml:space="preserve"> </w:t>
      </w:r>
      <w:proofErr w:type="spellStart"/>
      <w:r w:rsidRPr="004648FD">
        <w:rPr>
          <w:rFonts w:asciiTheme="majorHAnsi" w:eastAsia="Calibri" w:hAnsiTheme="majorHAnsi" w:cs="Calibri"/>
          <w:i/>
          <w:sz w:val="20"/>
          <w:szCs w:val="20"/>
        </w:rPr>
        <w:t>mauretanicus</w:t>
      </w:r>
      <w:proofErr w:type="spellEnd"/>
      <w:r w:rsidRPr="004648FD">
        <w:rPr>
          <w:rFonts w:asciiTheme="majorHAnsi" w:eastAsia="Calibri" w:hAnsiTheme="majorHAnsi" w:cs="Calibri"/>
          <w:sz w:val="20"/>
          <w:szCs w:val="20"/>
        </w:rPr>
        <w:t>), dont les dynamiques d'interaction avec des palangres côtières diffèrent de celles des albatros/pétrels sur palangriers pélagiques industriels. La transposition directe d'une spécification de lestage d'origine subantarctique à une pêcherie artisanale côtière de Méditerranée nord-occidentale n'est pas scientifiquement justifiée sans évaluation locale préalable.</w:t>
      </w:r>
    </w:p>
    <w:p w14:paraId="2AD13DAB" w14:textId="77777777" w:rsidR="00C029FB" w:rsidRPr="004648FD" w:rsidRDefault="00C029FB" w:rsidP="004648FD">
      <w:pPr>
        <w:widowControl w:val="0"/>
        <w:autoSpaceDE w:val="0"/>
        <w:autoSpaceDN w:val="0"/>
        <w:contextualSpacing/>
        <w:rPr>
          <w:rFonts w:asciiTheme="majorHAnsi" w:eastAsia="Calibri" w:hAnsiTheme="majorHAnsi" w:cs="Calibri"/>
          <w:sz w:val="20"/>
          <w:szCs w:val="20"/>
        </w:rPr>
      </w:pPr>
    </w:p>
    <w:p w14:paraId="3837A369" w14:textId="77777777" w:rsidR="00C029FB" w:rsidRPr="004648FD" w:rsidRDefault="00C029FB" w:rsidP="004648FD">
      <w:pPr>
        <w:widowControl w:val="0"/>
        <w:autoSpaceDE w:val="0"/>
        <w:autoSpaceDN w:val="0"/>
        <w:contextualSpacing/>
        <w:rPr>
          <w:rFonts w:asciiTheme="majorHAnsi" w:eastAsia="Calibri" w:hAnsiTheme="majorHAnsi" w:cs="Calibri"/>
          <w:sz w:val="20"/>
          <w:szCs w:val="20"/>
        </w:rPr>
      </w:pPr>
    </w:p>
    <w:p w14:paraId="4984C843" w14:textId="77777777" w:rsidR="00C029FB" w:rsidRPr="004648FD" w:rsidRDefault="00C029FB" w:rsidP="004648FD">
      <w:pPr>
        <w:widowControl w:val="0"/>
        <w:autoSpaceDE w:val="0"/>
        <w:autoSpaceDN w:val="0"/>
        <w:contextualSpacing/>
        <w:outlineLvl w:val="0"/>
        <w:rPr>
          <w:rFonts w:asciiTheme="majorHAnsi" w:eastAsia="Calibri" w:hAnsiTheme="majorHAnsi" w:cs="Calibri"/>
          <w:b/>
          <w:bCs/>
          <w:sz w:val="20"/>
          <w:szCs w:val="20"/>
        </w:rPr>
      </w:pPr>
      <w:r w:rsidRPr="004648FD">
        <w:rPr>
          <w:rFonts w:asciiTheme="majorHAnsi" w:eastAsia="Calibri" w:hAnsiTheme="majorHAnsi" w:cs="Calibri"/>
          <w:b/>
          <w:bCs/>
          <w:sz w:val="20"/>
          <w:szCs w:val="20"/>
        </w:rPr>
        <w:t>Conclusions</w:t>
      </w:r>
    </w:p>
    <w:p w14:paraId="0603995F" w14:textId="77777777" w:rsidR="00C029FB" w:rsidRPr="004648FD" w:rsidRDefault="00C029FB" w:rsidP="004648FD">
      <w:pPr>
        <w:widowControl w:val="0"/>
        <w:autoSpaceDE w:val="0"/>
        <w:autoSpaceDN w:val="0"/>
        <w:contextualSpacing/>
        <w:outlineLvl w:val="0"/>
        <w:rPr>
          <w:rFonts w:asciiTheme="majorHAnsi" w:eastAsia="Calibri" w:hAnsiTheme="majorHAnsi" w:cs="Calibri"/>
          <w:b/>
          <w:bCs/>
          <w:sz w:val="20"/>
          <w:szCs w:val="20"/>
        </w:rPr>
      </w:pPr>
    </w:p>
    <w:p w14:paraId="531F7B9F" w14:textId="77777777" w:rsidR="00C029FB" w:rsidRPr="004648FD" w:rsidRDefault="00C029FB" w:rsidP="004648FD">
      <w:pPr>
        <w:widowControl w:val="0"/>
        <w:autoSpaceDE w:val="0"/>
        <w:autoSpaceDN w:val="0"/>
        <w:contextualSpacing/>
        <w:rPr>
          <w:rFonts w:asciiTheme="majorHAnsi" w:eastAsia="Calibri" w:hAnsiTheme="majorHAnsi" w:cs="Calibri"/>
          <w:sz w:val="20"/>
          <w:szCs w:val="20"/>
        </w:rPr>
      </w:pPr>
      <w:r w:rsidRPr="004648FD">
        <w:rPr>
          <w:rFonts w:asciiTheme="majorHAnsi" w:eastAsia="Calibri" w:hAnsiTheme="majorHAnsi" w:cs="Calibri"/>
          <w:sz w:val="20"/>
          <w:szCs w:val="20"/>
        </w:rPr>
        <w:t>SATHOAN demande que toute future mesure issue de la révision SCRS (attendue en 2027) :</w:t>
      </w:r>
    </w:p>
    <w:p w14:paraId="79D65FBF" w14:textId="77777777" w:rsidR="00C029FB" w:rsidRPr="004648FD" w:rsidRDefault="00C029FB" w:rsidP="004648FD">
      <w:pPr>
        <w:widowControl w:val="0"/>
        <w:numPr>
          <w:ilvl w:val="1"/>
          <w:numId w:val="44"/>
        </w:numPr>
        <w:autoSpaceDE w:val="0"/>
        <w:autoSpaceDN w:val="0"/>
        <w:ind w:left="1276" w:right="139" w:hanging="425"/>
        <w:contextualSpacing/>
        <w:jc w:val="both"/>
        <w:rPr>
          <w:rFonts w:asciiTheme="majorHAnsi" w:eastAsia="Calibri" w:hAnsiTheme="majorHAnsi" w:cs="Calibri"/>
          <w:sz w:val="20"/>
          <w:szCs w:val="20"/>
        </w:rPr>
      </w:pPr>
      <w:r w:rsidRPr="004648FD">
        <w:rPr>
          <w:rFonts w:asciiTheme="majorHAnsi" w:eastAsia="Calibri" w:hAnsiTheme="majorHAnsi" w:cs="Calibri"/>
          <w:sz w:val="20"/>
          <w:szCs w:val="20"/>
        </w:rPr>
        <w:t>soit spécifique par engin et par profondeur, et exclue ou adapte explicitement les palangres côtières non mécanisées pour lesquelles le lestage crée un risque de sécurité avéré et un report de captures défavorable ;</w:t>
      </w:r>
    </w:p>
    <w:p w14:paraId="30240C30" w14:textId="77777777" w:rsidR="00C029FB" w:rsidRPr="004648FD" w:rsidRDefault="00C029FB" w:rsidP="004648FD">
      <w:pPr>
        <w:widowControl w:val="0"/>
        <w:numPr>
          <w:ilvl w:val="1"/>
          <w:numId w:val="44"/>
        </w:numPr>
        <w:autoSpaceDE w:val="0"/>
        <w:autoSpaceDN w:val="0"/>
        <w:ind w:left="1276" w:right="139" w:hanging="425"/>
        <w:contextualSpacing/>
        <w:jc w:val="both"/>
        <w:rPr>
          <w:rFonts w:asciiTheme="majorHAnsi" w:eastAsia="Calibri" w:hAnsiTheme="majorHAnsi" w:cs="Calibri"/>
          <w:sz w:val="20"/>
          <w:szCs w:val="20"/>
        </w:rPr>
      </w:pPr>
      <w:r w:rsidRPr="004648FD">
        <w:rPr>
          <w:rFonts w:asciiTheme="majorHAnsi" w:eastAsia="Calibri" w:hAnsiTheme="majorHAnsi" w:cs="Calibri"/>
          <w:sz w:val="20"/>
          <w:szCs w:val="20"/>
        </w:rPr>
        <w:t>soit conditionnée à une évaluation de risque propre à la pêcherie s'appuyant sur les données locales disponibles ;</w:t>
      </w:r>
    </w:p>
    <w:p w14:paraId="71F45331" w14:textId="77777777" w:rsidR="00C029FB" w:rsidRPr="004648FD" w:rsidRDefault="00C029FB" w:rsidP="004648FD">
      <w:pPr>
        <w:widowControl w:val="0"/>
        <w:numPr>
          <w:ilvl w:val="1"/>
          <w:numId w:val="44"/>
        </w:numPr>
        <w:autoSpaceDE w:val="0"/>
        <w:autoSpaceDN w:val="0"/>
        <w:ind w:left="1276" w:right="139" w:hanging="425"/>
        <w:contextualSpacing/>
        <w:jc w:val="both"/>
        <w:rPr>
          <w:rFonts w:asciiTheme="majorHAnsi" w:eastAsia="Calibri" w:hAnsiTheme="majorHAnsi" w:cs="Calibri"/>
          <w:sz w:val="20"/>
          <w:szCs w:val="20"/>
        </w:rPr>
      </w:pPr>
      <w:r w:rsidRPr="004648FD">
        <w:rPr>
          <w:rFonts w:asciiTheme="majorHAnsi" w:eastAsia="Calibri" w:hAnsiTheme="majorHAnsi" w:cs="Calibri"/>
          <w:sz w:val="20"/>
          <w:szCs w:val="20"/>
        </w:rPr>
        <w:t>privilégie, pour le contexte côtier méditerranéen, les mesures sans compromis (filage de nuit</w:t>
      </w:r>
      <w:r w:rsidRPr="00A16871">
        <w:rPr>
          <w:rFonts w:asciiTheme="majorHAnsi" w:eastAsia="Calibri" w:hAnsiTheme="majorHAnsi" w:cs="Calibri"/>
          <w:sz w:val="20"/>
          <w:szCs w:val="20"/>
          <w:vertAlign w:val="superscript"/>
        </w:rPr>
        <w:footnoteReference w:id="6"/>
      </w:r>
      <w:r w:rsidRPr="00A16871">
        <w:rPr>
          <w:rFonts w:asciiTheme="majorHAnsi" w:eastAsia="Calibri" w:hAnsiTheme="majorHAnsi" w:cs="Calibri"/>
          <w:sz w:val="20"/>
          <w:szCs w:val="20"/>
          <w:vertAlign w:val="superscript"/>
        </w:rPr>
        <w:t>,</w:t>
      </w:r>
      <w:r w:rsidRPr="004648FD">
        <w:rPr>
          <w:rFonts w:asciiTheme="majorHAnsi" w:eastAsia="Calibri" w:hAnsiTheme="majorHAnsi" w:cs="Calibri"/>
          <w:sz w:val="20"/>
          <w:szCs w:val="20"/>
        </w:rPr>
        <w:t xml:space="preserve"> lignes d'effarouchement / </w:t>
      </w:r>
      <w:proofErr w:type="spellStart"/>
      <w:r w:rsidRPr="004648FD">
        <w:rPr>
          <w:rFonts w:asciiTheme="majorHAnsi" w:eastAsia="Calibri" w:hAnsiTheme="majorHAnsi" w:cs="Calibri"/>
          <w:sz w:val="20"/>
          <w:szCs w:val="20"/>
        </w:rPr>
        <w:t>tori</w:t>
      </w:r>
      <w:proofErr w:type="spellEnd"/>
      <w:r w:rsidRPr="004648FD">
        <w:rPr>
          <w:rFonts w:asciiTheme="majorHAnsi" w:eastAsia="Calibri" w:hAnsiTheme="majorHAnsi" w:cs="Calibri"/>
          <w:sz w:val="20"/>
          <w:szCs w:val="20"/>
        </w:rPr>
        <w:t xml:space="preserve"> </w:t>
      </w:r>
      <w:proofErr w:type="spellStart"/>
      <w:r w:rsidRPr="004648FD">
        <w:rPr>
          <w:rFonts w:asciiTheme="majorHAnsi" w:eastAsia="Calibri" w:hAnsiTheme="majorHAnsi" w:cs="Calibri"/>
          <w:sz w:val="20"/>
          <w:szCs w:val="20"/>
        </w:rPr>
        <w:t>lines</w:t>
      </w:r>
      <w:proofErr w:type="spellEnd"/>
      <w:r w:rsidRPr="004648FD">
        <w:rPr>
          <w:rFonts w:asciiTheme="majorHAnsi" w:eastAsia="Calibri" w:hAnsiTheme="majorHAnsi" w:cs="Calibri"/>
          <w:sz w:val="20"/>
          <w:szCs w:val="20"/>
        </w:rPr>
        <w:t xml:space="preserve"> lorsque compatibles, mesures spatio-temporelles), évaluées localement.</w:t>
      </w:r>
    </w:p>
    <w:p w14:paraId="45288320" w14:textId="77777777" w:rsidR="00C029FB" w:rsidRPr="004648FD" w:rsidRDefault="00C029FB" w:rsidP="004648FD">
      <w:pPr>
        <w:widowControl w:val="0"/>
        <w:autoSpaceDE w:val="0"/>
        <w:autoSpaceDN w:val="0"/>
        <w:ind w:right="141"/>
        <w:contextualSpacing/>
        <w:jc w:val="both"/>
        <w:rPr>
          <w:rFonts w:asciiTheme="majorHAnsi" w:eastAsia="Calibri" w:hAnsiTheme="majorHAnsi" w:cs="Calibri"/>
          <w:sz w:val="20"/>
          <w:szCs w:val="20"/>
        </w:rPr>
      </w:pPr>
    </w:p>
    <w:p w14:paraId="3E3B3413" w14:textId="77777777" w:rsidR="00C029FB" w:rsidRPr="004648FD" w:rsidRDefault="00C029FB" w:rsidP="004648FD">
      <w:pPr>
        <w:widowControl w:val="0"/>
        <w:autoSpaceDE w:val="0"/>
        <w:autoSpaceDN w:val="0"/>
        <w:ind w:right="141"/>
        <w:contextualSpacing/>
        <w:jc w:val="both"/>
        <w:rPr>
          <w:rFonts w:asciiTheme="majorHAnsi" w:eastAsia="Calibri" w:hAnsiTheme="majorHAnsi" w:cs="Calibri"/>
          <w:sz w:val="20"/>
          <w:szCs w:val="20"/>
        </w:rPr>
      </w:pPr>
      <w:r w:rsidRPr="004648FD">
        <w:rPr>
          <w:rFonts w:asciiTheme="majorHAnsi" w:eastAsia="Calibri" w:hAnsiTheme="majorHAnsi" w:cs="Calibri"/>
          <w:sz w:val="20"/>
          <w:szCs w:val="20"/>
        </w:rPr>
        <w:t>Une application uniforme du lestage, telle qu'envisagée, transférerait un risque de sécurité accru vers les unités les plus exposées et produirait un effet de conservation négatif net dans nos pêcheries. Nous nous tenons à disposition pour partager les éléments des projets EMM et ARP.</w:t>
      </w:r>
    </w:p>
    <w:p w14:paraId="7E95F4B6" w14:textId="77777777" w:rsidR="007F09F8" w:rsidRPr="004648FD" w:rsidRDefault="007F09F8" w:rsidP="004648FD">
      <w:pPr>
        <w:contextualSpacing/>
        <w:rPr>
          <w:rFonts w:asciiTheme="majorHAnsi" w:hAnsiTheme="majorHAnsi"/>
          <w:sz w:val="20"/>
          <w:szCs w:val="20"/>
        </w:rPr>
      </w:pPr>
    </w:p>
    <w:p w14:paraId="1CF84665" w14:textId="77777777" w:rsidR="007F09F8" w:rsidRPr="004648FD" w:rsidRDefault="007F09F8" w:rsidP="004648FD">
      <w:pPr>
        <w:contextualSpacing/>
        <w:rPr>
          <w:rFonts w:asciiTheme="majorHAnsi" w:hAnsiTheme="majorHAnsi"/>
          <w:sz w:val="20"/>
          <w:szCs w:val="20"/>
        </w:rPr>
        <w:sectPr w:rsidR="007F09F8" w:rsidRPr="004648FD" w:rsidSect="00A300A4">
          <w:headerReference w:type="default" r:id="rId13"/>
          <w:pgSz w:w="11906" w:h="16838" w:code="9"/>
          <w:pgMar w:top="1418" w:right="1418" w:bottom="1418" w:left="1418" w:header="851" w:footer="1134" w:gutter="0"/>
          <w:cols w:space="708"/>
          <w:docGrid w:linePitch="360"/>
        </w:sectPr>
      </w:pPr>
    </w:p>
    <w:p w14:paraId="6C4DB2D1" w14:textId="3DA35F20" w:rsidR="00474B0E" w:rsidRPr="00DB1FD1" w:rsidRDefault="00A01098" w:rsidP="00474B0E">
      <w:pPr>
        <w:jc w:val="center"/>
        <w:rPr>
          <w:rFonts w:ascii="Cambria" w:hAnsi="Cambria"/>
          <w:b/>
          <w:iCs/>
          <w:sz w:val="20"/>
          <w:szCs w:val="20"/>
        </w:rPr>
      </w:pPr>
      <w:r w:rsidRPr="00DB1FD1">
        <w:rPr>
          <w:rFonts w:ascii="Cambria" w:hAnsi="Cambria"/>
          <w:b/>
          <w:iCs/>
          <w:sz w:val="20"/>
          <w:szCs w:val="20"/>
        </w:rPr>
        <w:lastRenderedPageBreak/>
        <w:t>Correspondance du Japon</w:t>
      </w:r>
    </w:p>
    <w:p w14:paraId="4AFB1242" w14:textId="3C53D281" w:rsidR="00A300A4" w:rsidRPr="001B7302" w:rsidRDefault="00DB1FD1" w:rsidP="00474B0E">
      <w:pPr>
        <w:jc w:val="center"/>
        <w:rPr>
          <w:rFonts w:ascii="Cambria" w:hAnsi="Cambria"/>
          <w:bCs/>
          <w:iCs/>
          <w:sz w:val="20"/>
          <w:szCs w:val="20"/>
        </w:rPr>
      </w:pPr>
      <w:r w:rsidRPr="00DB1FD1">
        <w:rPr>
          <w:rFonts w:asciiTheme="majorHAnsi" w:hAnsiTheme="majorHAnsi"/>
          <w:sz w:val="20"/>
          <w:szCs w:val="20"/>
        </w:rPr>
        <w:t>(</w:t>
      </w:r>
      <w:r w:rsidR="00FE023D" w:rsidRPr="00DB1FD1">
        <w:rPr>
          <w:rFonts w:asciiTheme="majorHAnsi" w:hAnsiTheme="majorHAnsi"/>
          <w:sz w:val="20"/>
          <w:szCs w:val="20"/>
        </w:rPr>
        <w:t xml:space="preserve">Circulaire de l’ICCAT nº </w:t>
      </w:r>
      <w:r w:rsidR="0019526E" w:rsidRPr="00DB1FD1">
        <w:rPr>
          <w:rFonts w:ascii="Cambria" w:hAnsi="Cambria"/>
          <w:bCs/>
          <w:iCs/>
          <w:sz w:val="20"/>
          <w:szCs w:val="20"/>
        </w:rPr>
        <w:t>07218</w:t>
      </w:r>
      <w:r w:rsidRPr="00DB1FD1">
        <w:rPr>
          <w:rFonts w:asciiTheme="majorHAnsi" w:hAnsiTheme="majorHAnsi"/>
          <w:sz w:val="20"/>
          <w:szCs w:val="20"/>
        </w:rPr>
        <w:t>/2026)</w:t>
      </w:r>
    </w:p>
    <w:p w14:paraId="1A3BD1C6" w14:textId="77777777" w:rsidR="00A01098" w:rsidRDefault="00A01098" w:rsidP="006B4897">
      <w:pPr>
        <w:rPr>
          <w:rFonts w:ascii="Cambria" w:hAnsi="Cambria"/>
          <w:bCs/>
          <w:iCs/>
          <w:sz w:val="16"/>
          <w:szCs w:val="16"/>
        </w:rPr>
      </w:pPr>
    </w:p>
    <w:p w14:paraId="231BA803" w14:textId="77777777" w:rsidR="00474B0E" w:rsidRPr="00474B0E" w:rsidRDefault="00474B0E" w:rsidP="00474B0E">
      <w:pPr>
        <w:widowControl w:val="0"/>
        <w:jc w:val="both"/>
        <w:rPr>
          <w:rFonts w:asciiTheme="majorHAnsi" w:eastAsia="MS Gothic" w:hAnsiTheme="majorHAnsi"/>
          <w:b/>
          <w:bCs/>
          <w:kern w:val="2"/>
          <w:sz w:val="20"/>
          <w:szCs w:val="20"/>
        </w:rPr>
      </w:pPr>
      <w:r w:rsidRPr="00474B0E">
        <w:rPr>
          <w:rFonts w:asciiTheme="majorHAnsi" w:hAnsiTheme="majorHAnsi"/>
          <w:b/>
          <w:sz w:val="20"/>
          <w:szCs w:val="20"/>
        </w:rPr>
        <w:t>Rapport du Japon sur les incidents de sécurité liés à une mesure visant à réduire les prises accessoires d'oiseaux marins : lignes d’avançons lestés</w:t>
      </w:r>
    </w:p>
    <w:p w14:paraId="77094989" w14:textId="77777777" w:rsidR="00474B0E" w:rsidRPr="00474B0E" w:rsidRDefault="00474B0E" w:rsidP="00474B0E">
      <w:pPr>
        <w:widowControl w:val="0"/>
        <w:jc w:val="both"/>
        <w:rPr>
          <w:rFonts w:asciiTheme="majorHAnsi" w:eastAsia="MS Gothic" w:hAnsiTheme="majorHAnsi"/>
          <w:b/>
          <w:bCs/>
          <w:kern w:val="2"/>
          <w:sz w:val="20"/>
          <w:szCs w:val="20"/>
          <w:lang w:eastAsia="ja-JP"/>
        </w:rPr>
      </w:pPr>
    </w:p>
    <w:p w14:paraId="3A5713CA" w14:textId="77777777" w:rsidR="00474B0E" w:rsidRPr="00474B0E" w:rsidRDefault="00474B0E" w:rsidP="00474B0E">
      <w:pPr>
        <w:widowControl w:val="0"/>
        <w:jc w:val="both"/>
        <w:rPr>
          <w:rFonts w:asciiTheme="majorHAnsi" w:eastAsia="MS Gothic" w:hAnsiTheme="majorHAnsi"/>
          <w:kern w:val="2"/>
          <w:sz w:val="20"/>
          <w:szCs w:val="20"/>
        </w:rPr>
      </w:pPr>
      <w:r w:rsidRPr="00474B0E">
        <w:rPr>
          <w:rFonts w:asciiTheme="majorHAnsi" w:hAnsiTheme="majorHAnsi"/>
          <w:sz w:val="20"/>
          <w:szCs w:val="20"/>
        </w:rPr>
        <w:t xml:space="preserve">En réponse à la demande du Royaume-Uni, telle que formulée dans la circulaire n°05088/2026 de l’ICCAT, le Japon souhaite communiquer les informations suivantes : </w:t>
      </w:r>
    </w:p>
    <w:p w14:paraId="399F1283" w14:textId="77777777" w:rsidR="00474B0E" w:rsidRPr="00474B0E" w:rsidRDefault="00474B0E" w:rsidP="00474B0E">
      <w:pPr>
        <w:widowControl w:val="0"/>
        <w:jc w:val="both"/>
        <w:rPr>
          <w:rFonts w:asciiTheme="majorHAnsi" w:eastAsia="MS Gothic" w:hAnsiTheme="majorHAnsi"/>
          <w:kern w:val="2"/>
          <w:sz w:val="20"/>
          <w:szCs w:val="20"/>
          <w:lang w:eastAsia="ja-JP"/>
        </w:rPr>
      </w:pPr>
    </w:p>
    <w:p w14:paraId="2695F52C" w14:textId="77777777" w:rsidR="00474B0E" w:rsidRPr="00474B0E" w:rsidRDefault="00474B0E" w:rsidP="00474B0E">
      <w:pPr>
        <w:widowControl w:val="0"/>
        <w:jc w:val="both"/>
        <w:rPr>
          <w:rFonts w:asciiTheme="majorHAnsi" w:eastAsia="MS Gothic" w:hAnsiTheme="majorHAnsi"/>
          <w:kern w:val="2"/>
          <w:sz w:val="20"/>
          <w:szCs w:val="20"/>
        </w:rPr>
      </w:pPr>
      <w:r w:rsidRPr="00474B0E">
        <w:rPr>
          <w:rFonts w:asciiTheme="majorHAnsi" w:hAnsiTheme="majorHAnsi"/>
          <w:sz w:val="20"/>
          <w:szCs w:val="20"/>
        </w:rPr>
        <w:t>La liste ci-dessous ne comprend que les incidents graves pour lesquels les membres d'équipage ont perçu une indemnisation au titre du régime d'assurance des marins. Par conséquent, les cas dans lesquels les équipages n'ont pas perçu d'indemnisation d'assurance ne sont pas pris en compte.</w:t>
      </w:r>
    </w:p>
    <w:p w14:paraId="61EB5AB2" w14:textId="77777777" w:rsidR="00474B0E" w:rsidRPr="00474B0E" w:rsidRDefault="00474B0E" w:rsidP="00474B0E">
      <w:pPr>
        <w:widowControl w:val="0"/>
        <w:jc w:val="both"/>
        <w:rPr>
          <w:rFonts w:asciiTheme="majorHAnsi" w:eastAsia="MS Gothic" w:hAnsiTheme="majorHAnsi"/>
          <w:kern w:val="2"/>
          <w:sz w:val="20"/>
          <w:szCs w:val="20"/>
          <w:lang w:eastAsia="ja-JP"/>
        </w:rPr>
      </w:pPr>
    </w:p>
    <w:p w14:paraId="1D0343F8" w14:textId="77777777" w:rsidR="00474B0E" w:rsidRPr="00474B0E" w:rsidRDefault="00474B0E" w:rsidP="00474B0E">
      <w:pPr>
        <w:widowControl w:val="0"/>
        <w:jc w:val="both"/>
        <w:rPr>
          <w:rFonts w:asciiTheme="majorHAnsi" w:eastAsia="MS Gothic" w:hAnsiTheme="majorHAnsi"/>
          <w:kern w:val="2"/>
          <w:sz w:val="20"/>
          <w:szCs w:val="20"/>
        </w:rPr>
      </w:pPr>
      <w:r w:rsidRPr="00474B0E">
        <w:rPr>
          <w:rFonts w:asciiTheme="majorHAnsi" w:hAnsiTheme="majorHAnsi"/>
          <w:sz w:val="20"/>
          <w:szCs w:val="20"/>
        </w:rPr>
        <w:t xml:space="preserve">Ces incidents se sont produits lors du virage de la ligne. Lorsqu'une série d'hameçons vides (c'est-à-dire d'hameçons sans prise) est remontée, la vitesse du virage a tendance à augmenter. Lorsque cela se produit, les hameçons et les lests sont propulsés vers l'arrière à grande vitesse, dès qu'ils sont retirés de l'eau et ne subissent plus de résistance. </w:t>
      </w:r>
    </w:p>
    <w:p w14:paraId="21534AC0" w14:textId="77777777" w:rsidR="00474B0E" w:rsidRPr="00474B0E" w:rsidRDefault="00474B0E" w:rsidP="00474B0E">
      <w:pPr>
        <w:widowControl w:val="0"/>
        <w:jc w:val="both"/>
        <w:rPr>
          <w:rFonts w:asciiTheme="majorHAnsi" w:eastAsia="MS Gothic" w:hAnsiTheme="majorHAnsi"/>
          <w:kern w:val="2"/>
          <w:sz w:val="20"/>
          <w:szCs w:val="20"/>
          <w:lang w:eastAsia="ja-JP"/>
        </w:rPr>
      </w:pPr>
    </w:p>
    <w:p w14:paraId="1367706F" w14:textId="77777777" w:rsidR="00474B0E" w:rsidRPr="00474B0E" w:rsidRDefault="00474B0E" w:rsidP="00474B0E">
      <w:pPr>
        <w:widowControl w:val="0"/>
        <w:jc w:val="both"/>
        <w:rPr>
          <w:rFonts w:asciiTheme="majorHAnsi" w:eastAsia="MS Gothic" w:hAnsiTheme="majorHAnsi"/>
          <w:kern w:val="2"/>
          <w:sz w:val="20"/>
          <w:szCs w:val="20"/>
        </w:rPr>
      </w:pPr>
      <w:r w:rsidRPr="00474B0E">
        <w:rPr>
          <w:rFonts w:asciiTheme="majorHAnsi" w:hAnsiTheme="majorHAnsi"/>
          <w:sz w:val="20"/>
          <w:szCs w:val="20"/>
        </w:rPr>
        <w:t xml:space="preserve">Un autre exemple : lorsque le thon ou toute autre prise se détache de l'hameçon avant d'être remonté à bord, l'hameçon et le lest sont soudainement libérés d'une forte tension, puis ils sont propulsés vers l’arrière à grande vitesse. </w:t>
      </w:r>
    </w:p>
    <w:p w14:paraId="02510D26" w14:textId="77777777" w:rsidR="00474B0E" w:rsidRPr="00474B0E" w:rsidRDefault="00474B0E" w:rsidP="00474B0E">
      <w:pPr>
        <w:widowControl w:val="0"/>
        <w:jc w:val="both"/>
        <w:rPr>
          <w:rFonts w:asciiTheme="majorHAnsi" w:eastAsia="MS Gothic" w:hAnsiTheme="majorHAnsi"/>
          <w:kern w:val="2"/>
          <w:sz w:val="20"/>
          <w:szCs w:val="20"/>
          <w:lang w:eastAsia="ja-JP"/>
        </w:rPr>
      </w:pPr>
    </w:p>
    <w:p w14:paraId="7A720E78" w14:textId="77777777" w:rsidR="00474B0E" w:rsidRPr="00474B0E" w:rsidRDefault="00474B0E" w:rsidP="00474B0E">
      <w:pPr>
        <w:widowControl w:val="0"/>
        <w:jc w:val="both"/>
        <w:rPr>
          <w:rFonts w:asciiTheme="majorHAnsi" w:eastAsia="MS Gothic" w:hAnsiTheme="majorHAnsi"/>
          <w:kern w:val="2"/>
          <w:sz w:val="20"/>
          <w:szCs w:val="20"/>
        </w:rPr>
      </w:pPr>
      <w:r w:rsidRPr="00474B0E">
        <w:rPr>
          <w:rFonts w:asciiTheme="majorHAnsi" w:hAnsiTheme="majorHAnsi"/>
          <w:sz w:val="20"/>
          <w:szCs w:val="20"/>
        </w:rPr>
        <w:t xml:space="preserve">Étant donné que la spécification des lignes d’avançons lestés </w:t>
      </w:r>
      <w:proofErr w:type="gramStart"/>
      <w:r w:rsidRPr="00474B0E">
        <w:rPr>
          <w:rFonts w:asciiTheme="majorHAnsi" w:hAnsiTheme="majorHAnsi"/>
          <w:sz w:val="20"/>
          <w:szCs w:val="20"/>
        </w:rPr>
        <w:t>a</w:t>
      </w:r>
      <w:proofErr w:type="gramEnd"/>
      <w:r w:rsidRPr="00474B0E">
        <w:rPr>
          <w:rFonts w:asciiTheme="majorHAnsi" w:hAnsiTheme="majorHAnsi"/>
          <w:sz w:val="20"/>
          <w:szCs w:val="20"/>
        </w:rPr>
        <w:t xml:space="preserve"> une incidence directe sur la sécurité des membres d'équipage, il convient d'y apporter une attention particulière, non seulement en termes d'efficacité des mesures, mais aussi du point de vue de la sécurité.  </w:t>
      </w:r>
    </w:p>
    <w:p w14:paraId="04A1FD1F" w14:textId="77777777" w:rsidR="00474B0E" w:rsidRPr="00474B0E" w:rsidRDefault="00474B0E" w:rsidP="00474B0E">
      <w:pPr>
        <w:widowControl w:val="0"/>
        <w:jc w:val="both"/>
        <w:rPr>
          <w:rFonts w:asciiTheme="majorHAnsi" w:eastAsia="MS Gothic" w:hAnsiTheme="majorHAnsi"/>
          <w:kern w:val="2"/>
          <w:sz w:val="20"/>
          <w:szCs w:val="20"/>
          <w:lang w:eastAsia="ja-JP"/>
        </w:rPr>
      </w:pPr>
    </w:p>
    <w:tbl>
      <w:tblPr>
        <w:tblStyle w:val="TableGrid11"/>
        <w:tblW w:w="9209" w:type="dxa"/>
        <w:tblInd w:w="0" w:type="dxa"/>
        <w:tblLook w:val="04A0" w:firstRow="1" w:lastRow="0" w:firstColumn="1" w:lastColumn="0" w:noHBand="0" w:noVBand="1"/>
      </w:tblPr>
      <w:tblGrid>
        <w:gridCol w:w="729"/>
        <w:gridCol w:w="8513"/>
      </w:tblGrid>
      <w:tr w:rsidR="00474B0E" w:rsidRPr="00474B0E" w14:paraId="768D790D" w14:textId="77777777" w:rsidTr="00DA34D1">
        <w:trPr>
          <w:trHeight w:val="360"/>
        </w:trPr>
        <w:tc>
          <w:tcPr>
            <w:tcW w:w="696" w:type="dxa"/>
            <w:tcBorders>
              <w:top w:val="single" w:sz="4" w:space="0" w:color="auto"/>
              <w:left w:val="single" w:sz="4" w:space="0" w:color="auto"/>
              <w:bottom w:val="single" w:sz="4" w:space="0" w:color="auto"/>
              <w:right w:val="single" w:sz="4" w:space="0" w:color="auto"/>
            </w:tcBorders>
            <w:noWrap/>
            <w:vAlign w:val="center"/>
            <w:hideMark/>
          </w:tcPr>
          <w:p w14:paraId="55784B7A" w14:textId="77777777" w:rsidR="00474B0E" w:rsidRPr="00474B0E" w:rsidRDefault="00474B0E" w:rsidP="00474B0E">
            <w:pPr>
              <w:widowControl w:val="0"/>
              <w:jc w:val="center"/>
              <w:rPr>
                <w:rFonts w:asciiTheme="majorHAnsi" w:hAnsiTheme="majorHAnsi"/>
                <w:i/>
                <w:iCs/>
                <w:sz w:val="20"/>
                <w:szCs w:val="20"/>
                <w:lang w:eastAsia="ja-JP"/>
              </w:rPr>
            </w:pPr>
            <w:r w:rsidRPr="00474B0E">
              <w:rPr>
                <w:rFonts w:asciiTheme="majorHAnsi" w:hAnsiTheme="majorHAnsi"/>
                <w:i/>
                <w:sz w:val="20"/>
                <w:szCs w:val="20"/>
                <w:lang w:eastAsia="ja-JP"/>
              </w:rPr>
              <w:t>Année</w:t>
            </w:r>
          </w:p>
        </w:tc>
        <w:tc>
          <w:tcPr>
            <w:tcW w:w="8513" w:type="dxa"/>
            <w:tcBorders>
              <w:top w:val="single" w:sz="4" w:space="0" w:color="auto"/>
              <w:left w:val="single" w:sz="4" w:space="0" w:color="auto"/>
              <w:bottom w:val="single" w:sz="4" w:space="0" w:color="auto"/>
              <w:right w:val="single" w:sz="4" w:space="0" w:color="auto"/>
            </w:tcBorders>
            <w:noWrap/>
            <w:vAlign w:val="center"/>
            <w:hideMark/>
          </w:tcPr>
          <w:p w14:paraId="02F47086" w14:textId="77777777" w:rsidR="00474B0E" w:rsidRPr="00474B0E" w:rsidRDefault="00474B0E" w:rsidP="00474B0E">
            <w:pPr>
              <w:widowControl w:val="0"/>
              <w:jc w:val="center"/>
              <w:rPr>
                <w:rFonts w:asciiTheme="majorHAnsi" w:hAnsiTheme="majorHAnsi"/>
                <w:i/>
                <w:iCs/>
                <w:sz w:val="20"/>
                <w:szCs w:val="20"/>
                <w:lang w:eastAsia="ja-JP"/>
              </w:rPr>
            </w:pPr>
            <w:r w:rsidRPr="00474B0E">
              <w:rPr>
                <w:rFonts w:asciiTheme="majorHAnsi" w:hAnsiTheme="majorHAnsi"/>
                <w:i/>
                <w:sz w:val="20"/>
                <w:szCs w:val="20"/>
                <w:lang w:eastAsia="ja-JP"/>
              </w:rPr>
              <w:t>Détails des incidents</w:t>
            </w:r>
          </w:p>
        </w:tc>
      </w:tr>
      <w:tr w:rsidR="00474B0E" w:rsidRPr="00474B0E" w14:paraId="40D0EEFC" w14:textId="77777777" w:rsidTr="00DA34D1">
        <w:trPr>
          <w:trHeight w:val="360"/>
        </w:trPr>
        <w:tc>
          <w:tcPr>
            <w:tcW w:w="696" w:type="dxa"/>
            <w:tcBorders>
              <w:top w:val="single" w:sz="4" w:space="0" w:color="auto"/>
              <w:left w:val="single" w:sz="4" w:space="0" w:color="auto"/>
              <w:bottom w:val="single" w:sz="4" w:space="0" w:color="auto"/>
              <w:right w:val="single" w:sz="4" w:space="0" w:color="auto"/>
            </w:tcBorders>
            <w:noWrap/>
            <w:vAlign w:val="center"/>
            <w:hideMark/>
          </w:tcPr>
          <w:p w14:paraId="2C69E6A8" w14:textId="77777777" w:rsidR="00474B0E" w:rsidRPr="00474B0E" w:rsidRDefault="00474B0E" w:rsidP="00474B0E">
            <w:pPr>
              <w:widowControl w:val="0"/>
              <w:rPr>
                <w:rFonts w:asciiTheme="majorHAnsi" w:hAnsiTheme="majorHAnsi"/>
                <w:sz w:val="20"/>
                <w:szCs w:val="20"/>
                <w:lang w:eastAsia="ja-JP"/>
              </w:rPr>
            </w:pPr>
            <w:r w:rsidRPr="00474B0E">
              <w:rPr>
                <w:rFonts w:asciiTheme="majorHAnsi" w:hAnsiTheme="majorHAnsi"/>
                <w:sz w:val="20"/>
                <w:szCs w:val="20"/>
                <w:lang w:eastAsia="ja-JP"/>
              </w:rPr>
              <w:t xml:space="preserve">2016 </w:t>
            </w:r>
          </w:p>
        </w:tc>
        <w:tc>
          <w:tcPr>
            <w:tcW w:w="8513" w:type="dxa"/>
            <w:tcBorders>
              <w:top w:val="single" w:sz="4" w:space="0" w:color="auto"/>
              <w:left w:val="single" w:sz="4" w:space="0" w:color="auto"/>
              <w:bottom w:val="single" w:sz="4" w:space="0" w:color="auto"/>
              <w:right w:val="single" w:sz="4" w:space="0" w:color="auto"/>
            </w:tcBorders>
            <w:noWrap/>
            <w:vAlign w:val="center"/>
            <w:hideMark/>
          </w:tcPr>
          <w:p w14:paraId="75C27A0B" w14:textId="77777777" w:rsidR="00474B0E" w:rsidRPr="00474B0E" w:rsidRDefault="00474B0E" w:rsidP="00474B0E">
            <w:pPr>
              <w:widowControl w:val="0"/>
              <w:rPr>
                <w:rFonts w:asciiTheme="majorHAnsi" w:hAnsiTheme="majorHAnsi"/>
                <w:sz w:val="20"/>
                <w:szCs w:val="20"/>
                <w:lang w:eastAsia="ja-JP"/>
              </w:rPr>
            </w:pPr>
            <w:r w:rsidRPr="00474B0E">
              <w:rPr>
                <w:rFonts w:asciiTheme="majorHAnsi" w:hAnsiTheme="majorHAnsi"/>
                <w:sz w:val="20"/>
                <w:szCs w:val="20"/>
                <w:lang w:eastAsia="ja-JP"/>
              </w:rPr>
              <w:t>Pendant le virage de la ligne, un hameçon a heurté l'œil.</w:t>
            </w:r>
          </w:p>
        </w:tc>
      </w:tr>
      <w:tr w:rsidR="00474B0E" w:rsidRPr="00474B0E" w14:paraId="3C8863A8" w14:textId="77777777" w:rsidTr="00DA34D1">
        <w:trPr>
          <w:trHeight w:val="360"/>
        </w:trPr>
        <w:tc>
          <w:tcPr>
            <w:tcW w:w="696" w:type="dxa"/>
            <w:tcBorders>
              <w:top w:val="single" w:sz="4" w:space="0" w:color="auto"/>
              <w:left w:val="single" w:sz="4" w:space="0" w:color="auto"/>
              <w:bottom w:val="single" w:sz="4" w:space="0" w:color="auto"/>
              <w:right w:val="single" w:sz="4" w:space="0" w:color="auto"/>
            </w:tcBorders>
            <w:noWrap/>
            <w:vAlign w:val="center"/>
            <w:hideMark/>
          </w:tcPr>
          <w:p w14:paraId="2A6CFE1C" w14:textId="77777777" w:rsidR="00474B0E" w:rsidRPr="00474B0E" w:rsidRDefault="00474B0E" w:rsidP="00474B0E">
            <w:pPr>
              <w:widowControl w:val="0"/>
              <w:rPr>
                <w:rFonts w:asciiTheme="majorHAnsi" w:hAnsiTheme="majorHAnsi"/>
                <w:sz w:val="20"/>
                <w:szCs w:val="20"/>
                <w:lang w:eastAsia="ja-JP"/>
              </w:rPr>
            </w:pPr>
            <w:r w:rsidRPr="00474B0E">
              <w:rPr>
                <w:rFonts w:asciiTheme="majorHAnsi" w:hAnsiTheme="majorHAnsi"/>
                <w:sz w:val="20"/>
                <w:szCs w:val="20"/>
                <w:lang w:eastAsia="ja-JP"/>
              </w:rPr>
              <w:t xml:space="preserve">2016 </w:t>
            </w:r>
          </w:p>
        </w:tc>
        <w:tc>
          <w:tcPr>
            <w:tcW w:w="8513" w:type="dxa"/>
            <w:tcBorders>
              <w:top w:val="single" w:sz="4" w:space="0" w:color="auto"/>
              <w:left w:val="single" w:sz="4" w:space="0" w:color="auto"/>
              <w:bottom w:val="single" w:sz="4" w:space="0" w:color="auto"/>
              <w:right w:val="single" w:sz="4" w:space="0" w:color="auto"/>
            </w:tcBorders>
            <w:noWrap/>
            <w:vAlign w:val="center"/>
            <w:hideMark/>
          </w:tcPr>
          <w:p w14:paraId="325D335E" w14:textId="77777777" w:rsidR="00474B0E" w:rsidRPr="00474B0E" w:rsidRDefault="00474B0E" w:rsidP="00474B0E">
            <w:pPr>
              <w:widowControl w:val="0"/>
              <w:rPr>
                <w:rFonts w:asciiTheme="majorHAnsi" w:hAnsiTheme="majorHAnsi"/>
                <w:sz w:val="20"/>
                <w:szCs w:val="20"/>
                <w:lang w:eastAsia="ja-JP"/>
              </w:rPr>
            </w:pPr>
            <w:r w:rsidRPr="00474B0E">
              <w:rPr>
                <w:rFonts w:asciiTheme="majorHAnsi" w:hAnsiTheme="majorHAnsi"/>
                <w:sz w:val="20"/>
                <w:szCs w:val="20"/>
                <w:lang w:eastAsia="ja-JP"/>
              </w:rPr>
              <w:t>Pendant le virage de la ligne, un hameçon s’est accroché au côté droit du cou.</w:t>
            </w:r>
          </w:p>
        </w:tc>
      </w:tr>
      <w:tr w:rsidR="00474B0E" w:rsidRPr="00474B0E" w14:paraId="3D6B623A" w14:textId="77777777" w:rsidTr="00DA34D1">
        <w:trPr>
          <w:trHeight w:val="360"/>
        </w:trPr>
        <w:tc>
          <w:tcPr>
            <w:tcW w:w="696" w:type="dxa"/>
            <w:tcBorders>
              <w:top w:val="single" w:sz="4" w:space="0" w:color="auto"/>
              <w:left w:val="single" w:sz="4" w:space="0" w:color="auto"/>
              <w:bottom w:val="single" w:sz="4" w:space="0" w:color="auto"/>
              <w:right w:val="single" w:sz="4" w:space="0" w:color="auto"/>
            </w:tcBorders>
            <w:noWrap/>
            <w:vAlign w:val="center"/>
            <w:hideMark/>
          </w:tcPr>
          <w:p w14:paraId="5763FAF2" w14:textId="77777777" w:rsidR="00474B0E" w:rsidRPr="00474B0E" w:rsidRDefault="00474B0E" w:rsidP="00474B0E">
            <w:pPr>
              <w:widowControl w:val="0"/>
              <w:rPr>
                <w:rFonts w:asciiTheme="majorHAnsi" w:hAnsiTheme="majorHAnsi"/>
                <w:sz w:val="20"/>
                <w:szCs w:val="20"/>
                <w:lang w:eastAsia="ja-JP"/>
              </w:rPr>
            </w:pPr>
            <w:r w:rsidRPr="00474B0E">
              <w:rPr>
                <w:rFonts w:asciiTheme="majorHAnsi" w:hAnsiTheme="majorHAnsi"/>
                <w:sz w:val="20"/>
                <w:szCs w:val="20"/>
                <w:lang w:eastAsia="ja-JP"/>
              </w:rPr>
              <w:t xml:space="preserve">2017 </w:t>
            </w:r>
          </w:p>
        </w:tc>
        <w:tc>
          <w:tcPr>
            <w:tcW w:w="8513" w:type="dxa"/>
            <w:tcBorders>
              <w:top w:val="single" w:sz="4" w:space="0" w:color="auto"/>
              <w:left w:val="single" w:sz="4" w:space="0" w:color="auto"/>
              <w:bottom w:val="single" w:sz="4" w:space="0" w:color="auto"/>
              <w:right w:val="single" w:sz="4" w:space="0" w:color="auto"/>
            </w:tcBorders>
            <w:noWrap/>
            <w:vAlign w:val="center"/>
            <w:hideMark/>
          </w:tcPr>
          <w:p w14:paraId="319F0ABA" w14:textId="77777777" w:rsidR="00474B0E" w:rsidRPr="00474B0E" w:rsidRDefault="00474B0E" w:rsidP="00474B0E">
            <w:pPr>
              <w:widowControl w:val="0"/>
              <w:rPr>
                <w:rFonts w:asciiTheme="majorHAnsi" w:hAnsiTheme="majorHAnsi"/>
                <w:sz w:val="20"/>
                <w:szCs w:val="20"/>
                <w:lang w:eastAsia="ja-JP"/>
              </w:rPr>
            </w:pPr>
            <w:r w:rsidRPr="00474B0E">
              <w:rPr>
                <w:rFonts w:asciiTheme="majorHAnsi" w:hAnsiTheme="majorHAnsi"/>
                <w:sz w:val="20"/>
                <w:szCs w:val="20"/>
                <w:lang w:eastAsia="ja-JP"/>
              </w:rPr>
              <w:t>Pendant le virage de la ligne, la ligne a heurté l'œil gauche.</w:t>
            </w:r>
          </w:p>
        </w:tc>
      </w:tr>
      <w:tr w:rsidR="00474B0E" w:rsidRPr="00474B0E" w14:paraId="585B8F1A" w14:textId="77777777" w:rsidTr="00DA34D1">
        <w:trPr>
          <w:trHeight w:val="360"/>
        </w:trPr>
        <w:tc>
          <w:tcPr>
            <w:tcW w:w="696" w:type="dxa"/>
            <w:tcBorders>
              <w:top w:val="single" w:sz="4" w:space="0" w:color="auto"/>
              <w:left w:val="single" w:sz="4" w:space="0" w:color="auto"/>
              <w:bottom w:val="single" w:sz="4" w:space="0" w:color="auto"/>
              <w:right w:val="single" w:sz="4" w:space="0" w:color="auto"/>
            </w:tcBorders>
            <w:noWrap/>
            <w:vAlign w:val="center"/>
            <w:hideMark/>
          </w:tcPr>
          <w:p w14:paraId="5BA4310C" w14:textId="77777777" w:rsidR="00474B0E" w:rsidRPr="00474B0E" w:rsidRDefault="00474B0E" w:rsidP="00474B0E">
            <w:pPr>
              <w:widowControl w:val="0"/>
              <w:rPr>
                <w:rFonts w:asciiTheme="majorHAnsi" w:hAnsiTheme="majorHAnsi"/>
                <w:sz w:val="20"/>
                <w:szCs w:val="20"/>
                <w:lang w:eastAsia="ja-JP"/>
              </w:rPr>
            </w:pPr>
            <w:r w:rsidRPr="00474B0E">
              <w:rPr>
                <w:rFonts w:asciiTheme="majorHAnsi" w:hAnsiTheme="majorHAnsi"/>
                <w:sz w:val="20"/>
                <w:szCs w:val="20"/>
                <w:lang w:eastAsia="ja-JP"/>
              </w:rPr>
              <w:t xml:space="preserve">2018 </w:t>
            </w:r>
          </w:p>
        </w:tc>
        <w:tc>
          <w:tcPr>
            <w:tcW w:w="8513" w:type="dxa"/>
            <w:tcBorders>
              <w:top w:val="single" w:sz="4" w:space="0" w:color="auto"/>
              <w:left w:val="single" w:sz="4" w:space="0" w:color="auto"/>
              <w:bottom w:val="single" w:sz="4" w:space="0" w:color="auto"/>
              <w:right w:val="single" w:sz="4" w:space="0" w:color="auto"/>
            </w:tcBorders>
            <w:noWrap/>
            <w:vAlign w:val="center"/>
            <w:hideMark/>
          </w:tcPr>
          <w:p w14:paraId="44FA7B5E" w14:textId="77777777" w:rsidR="00474B0E" w:rsidRPr="00474B0E" w:rsidRDefault="00474B0E" w:rsidP="00474B0E">
            <w:pPr>
              <w:widowControl w:val="0"/>
              <w:rPr>
                <w:rFonts w:asciiTheme="majorHAnsi" w:hAnsiTheme="majorHAnsi"/>
                <w:sz w:val="20"/>
                <w:szCs w:val="20"/>
                <w:lang w:eastAsia="ja-JP"/>
              </w:rPr>
            </w:pPr>
            <w:r w:rsidRPr="00474B0E">
              <w:rPr>
                <w:rFonts w:asciiTheme="majorHAnsi" w:hAnsiTheme="majorHAnsi"/>
                <w:sz w:val="20"/>
                <w:szCs w:val="20"/>
                <w:lang w:eastAsia="ja-JP"/>
              </w:rPr>
              <w:t>Pendant le virage de la ligne, une ligne s'est rompue et a heurté l'œil gauche.</w:t>
            </w:r>
          </w:p>
        </w:tc>
      </w:tr>
      <w:tr w:rsidR="00474B0E" w:rsidRPr="00474B0E" w14:paraId="4F81938E" w14:textId="77777777" w:rsidTr="00DA34D1">
        <w:trPr>
          <w:trHeight w:val="360"/>
        </w:trPr>
        <w:tc>
          <w:tcPr>
            <w:tcW w:w="696" w:type="dxa"/>
            <w:tcBorders>
              <w:top w:val="single" w:sz="4" w:space="0" w:color="auto"/>
              <w:left w:val="single" w:sz="4" w:space="0" w:color="auto"/>
              <w:bottom w:val="single" w:sz="4" w:space="0" w:color="auto"/>
              <w:right w:val="single" w:sz="4" w:space="0" w:color="auto"/>
            </w:tcBorders>
            <w:noWrap/>
            <w:vAlign w:val="center"/>
            <w:hideMark/>
          </w:tcPr>
          <w:p w14:paraId="4B8DBD00" w14:textId="77777777" w:rsidR="00474B0E" w:rsidRPr="00474B0E" w:rsidRDefault="00474B0E" w:rsidP="00474B0E">
            <w:pPr>
              <w:widowControl w:val="0"/>
              <w:rPr>
                <w:rFonts w:asciiTheme="majorHAnsi" w:hAnsiTheme="majorHAnsi"/>
                <w:sz w:val="20"/>
                <w:szCs w:val="20"/>
                <w:lang w:eastAsia="ja-JP"/>
              </w:rPr>
            </w:pPr>
            <w:r w:rsidRPr="00474B0E">
              <w:rPr>
                <w:rFonts w:asciiTheme="majorHAnsi" w:hAnsiTheme="majorHAnsi"/>
                <w:sz w:val="20"/>
                <w:szCs w:val="20"/>
                <w:lang w:eastAsia="ja-JP"/>
              </w:rPr>
              <w:t xml:space="preserve">2018 </w:t>
            </w:r>
          </w:p>
        </w:tc>
        <w:tc>
          <w:tcPr>
            <w:tcW w:w="8513" w:type="dxa"/>
            <w:tcBorders>
              <w:top w:val="single" w:sz="4" w:space="0" w:color="auto"/>
              <w:left w:val="single" w:sz="4" w:space="0" w:color="auto"/>
              <w:bottom w:val="single" w:sz="4" w:space="0" w:color="auto"/>
              <w:right w:val="single" w:sz="4" w:space="0" w:color="auto"/>
            </w:tcBorders>
            <w:noWrap/>
            <w:vAlign w:val="center"/>
            <w:hideMark/>
          </w:tcPr>
          <w:p w14:paraId="179879B3" w14:textId="77777777" w:rsidR="00474B0E" w:rsidRPr="00474B0E" w:rsidRDefault="00474B0E" w:rsidP="00474B0E">
            <w:pPr>
              <w:widowControl w:val="0"/>
              <w:rPr>
                <w:rFonts w:asciiTheme="majorHAnsi" w:hAnsiTheme="majorHAnsi"/>
                <w:sz w:val="20"/>
                <w:szCs w:val="20"/>
                <w:lang w:eastAsia="ja-JP"/>
              </w:rPr>
            </w:pPr>
            <w:r w:rsidRPr="00474B0E">
              <w:rPr>
                <w:rFonts w:asciiTheme="majorHAnsi" w:hAnsiTheme="majorHAnsi"/>
                <w:sz w:val="20"/>
                <w:szCs w:val="20"/>
                <w:lang w:eastAsia="ja-JP"/>
              </w:rPr>
              <w:t>Pendant le virage de la ligne, un hameçon a heurté l'arrière de la tête.</w:t>
            </w:r>
          </w:p>
        </w:tc>
      </w:tr>
      <w:tr w:rsidR="00474B0E" w:rsidRPr="00474B0E" w14:paraId="0634FE36" w14:textId="77777777" w:rsidTr="00DA34D1">
        <w:trPr>
          <w:trHeight w:val="360"/>
        </w:trPr>
        <w:tc>
          <w:tcPr>
            <w:tcW w:w="696" w:type="dxa"/>
            <w:tcBorders>
              <w:top w:val="single" w:sz="4" w:space="0" w:color="auto"/>
              <w:left w:val="single" w:sz="4" w:space="0" w:color="auto"/>
              <w:bottom w:val="single" w:sz="4" w:space="0" w:color="auto"/>
              <w:right w:val="single" w:sz="4" w:space="0" w:color="auto"/>
            </w:tcBorders>
            <w:noWrap/>
            <w:vAlign w:val="center"/>
            <w:hideMark/>
          </w:tcPr>
          <w:p w14:paraId="39068C06" w14:textId="77777777" w:rsidR="00474B0E" w:rsidRPr="00474B0E" w:rsidRDefault="00474B0E" w:rsidP="00474B0E">
            <w:pPr>
              <w:widowControl w:val="0"/>
              <w:rPr>
                <w:rFonts w:asciiTheme="majorHAnsi" w:hAnsiTheme="majorHAnsi"/>
                <w:sz w:val="20"/>
                <w:szCs w:val="20"/>
                <w:lang w:eastAsia="ja-JP"/>
              </w:rPr>
            </w:pPr>
            <w:r w:rsidRPr="00474B0E">
              <w:rPr>
                <w:rFonts w:asciiTheme="majorHAnsi" w:hAnsiTheme="majorHAnsi"/>
                <w:sz w:val="20"/>
                <w:szCs w:val="20"/>
                <w:lang w:eastAsia="ja-JP"/>
              </w:rPr>
              <w:t xml:space="preserve">2019 </w:t>
            </w:r>
          </w:p>
        </w:tc>
        <w:tc>
          <w:tcPr>
            <w:tcW w:w="8513" w:type="dxa"/>
            <w:tcBorders>
              <w:top w:val="single" w:sz="4" w:space="0" w:color="auto"/>
              <w:left w:val="single" w:sz="4" w:space="0" w:color="auto"/>
              <w:bottom w:val="single" w:sz="4" w:space="0" w:color="auto"/>
              <w:right w:val="single" w:sz="4" w:space="0" w:color="auto"/>
            </w:tcBorders>
            <w:noWrap/>
            <w:vAlign w:val="center"/>
            <w:hideMark/>
          </w:tcPr>
          <w:p w14:paraId="4B368910" w14:textId="77777777" w:rsidR="00474B0E" w:rsidRPr="00474B0E" w:rsidRDefault="00474B0E" w:rsidP="00474B0E">
            <w:pPr>
              <w:widowControl w:val="0"/>
              <w:rPr>
                <w:rFonts w:asciiTheme="majorHAnsi" w:hAnsiTheme="majorHAnsi"/>
                <w:sz w:val="20"/>
                <w:szCs w:val="20"/>
                <w:lang w:eastAsia="ja-JP"/>
              </w:rPr>
            </w:pPr>
            <w:r w:rsidRPr="00474B0E">
              <w:rPr>
                <w:rFonts w:asciiTheme="majorHAnsi" w:hAnsiTheme="majorHAnsi"/>
                <w:sz w:val="20"/>
                <w:szCs w:val="20"/>
                <w:lang w:eastAsia="ja-JP"/>
              </w:rPr>
              <w:t>Pendant le virage de la ligne, un hameçon s'est détaché et a heurté l'œil droit.</w:t>
            </w:r>
          </w:p>
        </w:tc>
      </w:tr>
      <w:tr w:rsidR="00474B0E" w:rsidRPr="00474B0E" w14:paraId="6EDAD96C" w14:textId="77777777" w:rsidTr="00DA34D1">
        <w:trPr>
          <w:trHeight w:val="360"/>
        </w:trPr>
        <w:tc>
          <w:tcPr>
            <w:tcW w:w="696" w:type="dxa"/>
            <w:tcBorders>
              <w:top w:val="single" w:sz="4" w:space="0" w:color="auto"/>
              <w:left w:val="single" w:sz="4" w:space="0" w:color="auto"/>
              <w:bottom w:val="single" w:sz="4" w:space="0" w:color="auto"/>
              <w:right w:val="single" w:sz="4" w:space="0" w:color="auto"/>
            </w:tcBorders>
            <w:noWrap/>
            <w:vAlign w:val="center"/>
            <w:hideMark/>
          </w:tcPr>
          <w:p w14:paraId="3A091776" w14:textId="77777777" w:rsidR="00474B0E" w:rsidRPr="00474B0E" w:rsidRDefault="00474B0E" w:rsidP="00474B0E">
            <w:pPr>
              <w:widowControl w:val="0"/>
              <w:rPr>
                <w:rFonts w:asciiTheme="majorHAnsi" w:hAnsiTheme="majorHAnsi"/>
                <w:sz w:val="20"/>
                <w:szCs w:val="20"/>
                <w:lang w:eastAsia="ja-JP"/>
              </w:rPr>
            </w:pPr>
            <w:r w:rsidRPr="00474B0E">
              <w:rPr>
                <w:rFonts w:asciiTheme="majorHAnsi" w:hAnsiTheme="majorHAnsi"/>
                <w:sz w:val="20"/>
                <w:szCs w:val="20"/>
                <w:lang w:eastAsia="ja-JP"/>
              </w:rPr>
              <w:t xml:space="preserve">2019 </w:t>
            </w:r>
          </w:p>
        </w:tc>
        <w:tc>
          <w:tcPr>
            <w:tcW w:w="8513" w:type="dxa"/>
            <w:tcBorders>
              <w:top w:val="single" w:sz="4" w:space="0" w:color="auto"/>
              <w:left w:val="single" w:sz="4" w:space="0" w:color="auto"/>
              <w:bottom w:val="single" w:sz="4" w:space="0" w:color="auto"/>
              <w:right w:val="single" w:sz="4" w:space="0" w:color="auto"/>
            </w:tcBorders>
            <w:noWrap/>
            <w:vAlign w:val="center"/>
            <w:hideMark/>
          </w:tcPr>
          <w:p w14:paraId="09D5EC67" w14:textId="77777777" w:rsidR="00474B0E" w:rsidRPr="00474B0E" w:rsidRDefault="00474B0E" w:rsidP="00474B0E">
            <w:pPr>
              <w:widowControl w:val="0"/>
              <w:rPr>
                <w:rFonts w:asciiTheme="majorHAnsi" w:hAnsiTheme="majorHAnsi"/>
                <w:sz w:val="20"/>
                <w:szCs w:val="20"/>
                <w:lang w:eastAsia="ja-JP"/>
              </w:rPr>
            </w:pPr>
            <w:r w:rsidRPr="00474B0E">
              <w:rPr>
                <w:rFonts w:asciiTheme="majorHAnsi" w:hAnsiTheme="majorHAnsi"/>
                <w:sz w:val="20"/>
                <w:szCs w:val="20"/>
                <w:lang w:eastAsia="ja-JP"/>
              </w:rPr>
              <w:t>Pendant le virage de la ligne, un hameçon a heurté l'œil droit.</w:t>
            </w:r>
          </w:p>
        </w:tc>
      </w:tr>
      <w:tr w:rsidR="00474B0E" w:rsidRPr="00474B0E" w14:paraId="00957F25" w14:textId="77777777" w:rsidTr="00DA34D1">
        <w:trPr>
          <w:trHeight w:val="360"/>
        </w:trPr>
        <w:tc>
          <w:tcPr>
            <w:tcW w:w="696" w:type="dxa"/>
            <w:tcBorders>
              <w:top w:val="single" w:sz="4" w:space="0" w:color="auto"/>
              <w:left w:val="single" w:sz="4" w:space="0" w:color="auto"/>
              <w:bottom w:val="single" w:sz="4" w:space="0" w:color="auto"/>
              <w:right w:val="single" w:sz="4" w:space="0" w:color="auto"/>
            </w:tcBorders>
            <w:noWrap/>
            <w:vAlign w:val="center"/>
            <w:hideMark/>
          </w:tcPr>
          <w:p w14:paraId="5CD3F24D" w14:textId="77777777" w:rsidR="00474B0E" w:rsidRPr="00474B0E" w:rsidRDefault="00474B0E" w:rsidP="00474B0E">
            <w:pPr>
              <w:widowControl w:val="0"/>
              <w:rPr>
                <w:rFonts w:asciiTheme="majorHAnsi" w:hAnsiTheme="majorHAnsi"/>
                <w:sz w:val="20"/>
                <w:szCs w:val="20"/>
                <w:lang w:eastAsia="ja-JP"/>
              </w:rPr>
            </w:pPr>
            <w:r w:rsidRPr="00474B0E">
              <w:rPr>
                <w:rFonts w:asciiTheme="majorHAnsi" w:hAnsiTheme="majorHAnsi"/>
                <w:sz w:val="20"/>
                <w:szCs w:val="20"/>
                <w:lang w:eastAsia="ja-JP"/>
              </w:rPr>
              <w:t xml:space="preserve">2019 </w:t>
            </w:r>
          </w:p>
        </w:tc>
        <w:tc>
          <w:tcPr>
            <w:tcW w:w="8513" w:type="dxa"/>
            <w:tcBorders>
              <w:top w:val="single" w:sz="4" w:space="0" w:color="auto"/>
              <w:left w:val="single" w:sz="4" w:space="0" w:color="auto"/>
              <w:bottom w:val="single" w:sz="4" w:space="0" w:color="auto"/>
              <w:right w:val="single" w:sz="4" w:space="0" w:color="auto"/>
            </w:tcBorders>
            <w:noWrap/>
            <w:vAlign w:val="center"/>
            <w:hideMark/>
          </w:tcPr>
          <w:p w14:paraId="4A036DBB" w14:textId="77777777" w:rsidR="00474B0E" w:rsidRPr="00474B0E" w:rsidRDefault="00474B0E" w:rsidP="00474B0E">
            <w:pPr>
              <w:widowControl w:val="0"/>
              <w:rPr>
                <w:rFonts w:asciiTheme="majorHAnsi" w:hAnsiTheme="majorHAnsi"/>
                <w:sz w:val="20"/>
                <w:szCs w:val="20"/>
                <w:lang w:eastAsia="ja-JP"/>
              </w:rPr>
            </w:pPr>
            <w:r w:rsidRPr="00474B0E">
              <w:rPr>
                <w:rFonts w:asciiTheme="majorHAnsi" w:hAnsiTheme="majorHAnsi"/>
                <w:sz w:val="20"/>
                <w:szCs w:val="20"/>
                <w:lang w:eastAsia="ja-JP"/>
              </w:rPr>
              <w:t>Pendant le virage de la ligne, un hameçon s'est détaché de l’avançon et a heurté l'œil droit.</w:t>
            </w:r>
          </w:p>
        </w:tc>
      </w:tr>
      <w:tr w:rsidR="00474B0E" w:rsidRPr="00474B0E" w14:paraId="0AFBF435" w14:textId="77777777" w:rsidTr="00DA34D1">
        <w:trPr>
          <w:trHeight w:val="360"/>
        </w:trPr>
        <w:tc>
          <w:tcPr>
            <w:tcW w:w="696" w:type="dxa"/>
            <w:tcBorders>
              <w:top w:val="single" w:sz="4" w:space="0" w:color="auto"/>
              <w:left w:val="single" w:sz="4" w:space="0" w:color="auto"/>
              <w:bottom w:val="single" w:sz="4" w:space="0" w:color="auto"/>
              <w:right w:val="single" w:sz="4" w:space="0" w:color="auto"/>
            </w:tcBorders>
            <w:noWrap/>
            <w:vAlign w:val="center"/>
            <w:hideMark/>
          </w:tcPr>
          <w:p w14:paraId="023B6A9D" w14:textId="77777777" w:rsidR="00474B0E" w:rsidRPr="00474B0E" w:rsidRDefault="00474B0E" w:rsidP="00474B0E">
            <w:pPr>
              <w:widowControl w:val="0"/>
              <w:rPr>
                <w:rFonts w:asciiTheme="majorHAnsi" w:hAnsiTheme="majorHAnsi"/>
                <w:sz w:val="20"/>
                <w:szCs w:val="20"/>
                <w:lang w:eastAsia="ja-JP"/>
              </w:rPr>
            </w:pPr>
            <w:r w:rsidRPr="00474B0E">
              <w:rPr>
                <w:rFonts w:asciiTheme="majorHAnsi" w:hAnsiTheme="majorHAnsi"/>
                <w:sz w:val="20"/>
                <w:szCs w:val="20"/>
                <w:lang w:eastAsia="ja-JP"/>
              </w:rPr>
              <w:t xml:space="preserve">2020 </w:t>
            </w:r>
          </w:p>
        </w:tc>
        <w:tc>
          <w:tcPr>
            <w:tcW w:w="8513" w:type="dxa"/>
            <w:tcBorders>
              <w:top w:val="single" w:sz="4" w:space="0" w:color="auto"/>
              <w:left w:val="single" w:sz="4" w:space="0" w:color="auto"/>
              <w:bottom w:val="single" w:sz="4" w:space="0" w:color="auto"/>
              <w:right w:val="single" w:sz="4" w:space="0" w:color="auto"/>
            </w:tcBorders>
            <w:noWrap/>
            <w:vAlign w:val="center"/>
            <w:hideMark/>
          </w:tcPr>
          <w:p w14:paraId="3C75B70B" w14:textId="77777777" w:rsidR="00474B0E" w:rsidRPr="00474B0E" w:rsidRDefault="00474B0E" w:rsidP="00474B0E">
            <w:pPr>
              <w:widowControl w:val="0"/>
              <w:rPr>
                <w:rFonts w:asciiTheme="majorHAnsi" w:hAnsiTheme="majorHAnsi"/>
                <w:sz w:val="20"/>
                <w:szCs w:val="20"/>
                <w:lang w:eastAsia="ja-JP"/>
              </w:rPr>
            </w:pPr>
            <w:r w:rsidRPr="00474B0E">
              <w:rPr>
                <w:rFonts w:asciiTheme="majorHAnsi" w:hAnsiTheme="majorHAnsi"/>
                <w:sz w:val="20"/>
                <w:szCs w:val="20"/>
                <w:lang w:eastAsia="ja-JP"/>
              </w:rPr>
              <w:t>Pendant le virage de la ligne, un hameçon détaché a heurté la paupière droite.</w:t>
            </w:r>
          </w:p>
        </w:tc>
      </w:tr>
      <w:tr w:rsidR="00474B0E" w:rsidRPr="00474B0E" w14:paraId="4442D059" w14:textId="77777777" w:rsidTr="00DA34D1">
        <w:trPr>
          <w:trHeight w:val="360"/>
        </w:trPr>
        <w:tc>
          <w:tcPr>
            <w:tcW w:w="696" w:type="dxa"/>
            <w:tcBorders>
              <w:top w:val="single" w:sz="4" w:space="0" w:color="auto"/>
              <w:left w:val="single" w:sz="4" w:space="0" w:color="auto"/>
              <w:bottom w:val="single" w:sz="4" w:space="0" w:color="auto"/>
              <w:right w:val="single" w:sz="4" w:space="0" w:color="auto"/>
            </w:tcBorders>
            <w:noWrap/>
            <w:vAlign w:val="center"/>
            <w:hideMark/>
          </w:tcPr>
          <w:p w14:paraId="7ED439E4" w14:textId="77777777" w:rsidR="00474B0E" w:rsidRPr="00474B0E" w:rsidRDefault="00474B0E" w:rsidP="00474B0E">
            <w:pPr>
              <w:widowControl w:val="0"/>
              <w:rPr>
                <w:rFonts w:asciiTheme="majorHAnsi" w:hAnsiTheme="majorHAnsi"/>
                <w:sz w:val="20"/>
                <w:szCs w:val="20"/>
                <w:lang w:eastAsia="ja-JP"/>
              </w:rPr>
            </w:pPr>
            <w:r w:rsidRPr="00474B0E">
              <w:rPr>
                <w:rFonts w:asciiTheme="majorHAnsi" w:hAnsiTheme="majorHAnsi"/>
                <w:sz w:val="20"/>
                <w:szCs w:val="20"/>
                <w:lang w:eastAsia="ja-JP"/>
              </w:rPr>
              <w:t xml:space="preserve">2021 </w:t>
            </w:r>
          </w:p>
        </w:tc>
        <w:tc>
          <w:tcPr>
            <w:tcW w:w="8513" w:type="dxa"/>
            <w:tcBorders>
              <w:top w:val="single" w:sz="4" w:space="0" w:color="auto"/>
              <w:left w:val="single" w:sz="4" w:space="0" w:color="auto"/>
              <w:bottom w:val="single" w:sz="4" w:space="0" w:color="auto"/>
              <w:right w:val="single" w:sz="4" w:space="0" w:color="auto"/>
            </w:tcBorders>
            <w:noWrap/>
            <w:vAlign w:val="center"/>
            <w:hideMark/>
          </w:tcPr>
          <w:p w14:paraId="2EBDD937" w14:textId="77777777" w:rsidR="00474B0E" w:rsidRPr="00474B0E" w:rsidRDefault="00474B0E" w:rsidP="00474B0E">
            <w:pPr>
              <w:widowControl w:val="0"/>
              <w:rPr>
                <w:rFonts w:asciiTheme="majorHAnsi" w:hAnsiTheme="majorHAnsi"/>
                <w:sz w:val="20"/>
                <w:szCs w:val="20"/>
                <w:lang w:eastAsia="ja-JP"/>
              </w:rPr>
            </w:pPr>
            <w:r w:rsidRPr="00474B0E">
              <w:rPr>
                <w:rFonts w:asciiTheme="majorHAnsi" w:hAnsiTheme="majorHAnsi"/>
                <w:sz w:val="20"/>
                <w:szCs w:val="20"/>
                <w:lang w:eastAsia="ja-JP"/>
              </w:rPr>
              <w:t>Pendant le virage de la ligne, un bas de ligne en nylon s'est rompu et a heurté la paupière droite.</w:t>
            </w:r>
          </w:p>
        </w:tc>
      </w:tr>
      <w:tr w:rsidR="00474B0E" w:rsidRPr="00474B0E" w14:paraId="184EDEA7" w14:textId="77777777" w:rsidTr="00DA34D1">
        <w:trPr>
          <w:trHeight w:val="360"/>
        </w:trPr>
        <w:tc>
          <w:tcPr>
            <w:tcW w:w="696" w:type="dxa"/>
            <w:tcBorders>
              <w:top w:val="single" w:sz="4" w:space="0" w:color="auto"/>
              <w:left w:val="single" w:sz="4" w:space="0" w:color="auto"/>
              <w:bottom w:val="single" w:sz="4" w:space="0" w:color="auto"/>
              <w:right w:val="single" w:sz="4" w:space="0" w:color="auto"/>
            </w:tcBorders>
            <w:noWrap/>
            <w:vAlign w:val="center"/>
            <w:hideMark/>
          </w:tcPr>
          <w:p w14:paraId="523FB71B" w14:textId="77777777" w:rsidR="00474B0E" w:rsidRPr="00474B0E" w:rsidRDefault="00474B0E" w:rsidP="00474B0E">
            <w:pPr>
              <w:widowControl w:val="0"/>
              <w:rPr>
                <w:rFonts w:asciiTheme="majorHAnsi" w:hAnsiTheme="majorHAnsi"/>
                <w:sz w:val="20"/>
                <w:szCs w:val="20"/>
                <w:lang w:eastAsia="ja-JP"/>
              </w:rPr>
            </w:pPr>
            <w:r w:rsidRPr="00474B0E">
              <w:rPr>
                <w:rFonts w:asciiTheme="majorHAnsi" w:hAnsiTheme="majorHAnsi"/>
                <w:sz w:val="20"/>
                <w:szCs w:val="20"/>
                <w:lang w:eastAsia="ja-JP"/>
              </w:rPr>
              <w:t xml:space="preserve">2021 </w:t>
            </w:r>
          </w:p>
        </w:tc>
        <w:tc>
          <w:tcPr>
            <w:tcW w:w="8513" w:type="dxa"/>
            <w:tcBorders>
              <w:top w:val="single" w:sz="4" w:space="0" w:color="auto"/>
              <w:left w:val="single" w:sz="4" w:space="0" w:color="auto"/>
              <w:bottom w:val="single" w:sz="4" w:space="0" w:color="auto"/>
              <w:right w:val="single" w:sz="4" w:space="0" w:color="auto"/>
            </w:tcBorders>
            <w:noWrap/>
            <w:vAlign w:val="center"/>
            <w:hideMark/>
          </w:tcPr>
          <w:p w14:paraId="7160594D" w14:textId="77777777" w:rsidR="00474B0E" w:rsidRPr="00474B0E" w:rsidRDefault="00474B0E" w:rsidP="00474B0E">
            <w:pPr>
              <w:widowControl w:val="0"/>
              <w:rPr>
                <w:rFonts w:asciiTheme="majorHAnsi" w:hAnsiTheme="majorHAnsi"/>
                <w:sz w:val="20"/>
                <w:szCs w:val="20"/>
                <w:lang w:eastAsia="ja-JP"/>
              </w:rPr>
            </w:pPr>
            <w:r w:rsidRPr="00474B0E">
              <w:rPr>
                <w:rFonts w:asciiTheme="majorHAnsi" w:hAnsiTheme="majorHAnsi"/>
                <w:sz w:val="20"/>
                <w:szCs w:val="20"/>
                <w:lang w:eastAsia="ja-JP"/>
              </w:rPr>
              <w:t>Pendant le virage de la ligne, un hameçon détaché a heurté l'œil gauche.</w:t>
            </w:r>
          </w:p>
        </w:tc>
      </w:tr>
      <w:tr w:rsidR="00474B0E" w:rsidRPr="00474B0E" w14:paraId="65138E0F" w14:textId="77777777" w:rsidTr="00DA34D1">
        <w:trPr>
          <w:trHeight w:val="249"/>
        </w:trPr>
        <w:tc>
          <w:tcPr>
            <w:tcW w:w="696" w:type="dxa"/>
            <w:tcBorders>
              <w:top w:val="single" w:sz="4" w:space="0" w:color="auto"/>
              <w:left w:val="single" w:sz="4" w:space="0" w:color="auto"/>
              <w:bottom w:val="single" w:sz="4" w:space="0" w:color="auto"/>
              <w:right w:val="single" w:sz="4" w:space="0" w:color="auto"/>
            </w:tcBorders>
            <w:noWrap/>
            <w:vAlign w:val="center"/>
            <w:hideMark/>
          </w:tcPr>
          <w:p w14:paraId="24C073ED" w14:textId="77777777" w:rsidR="00474B0E" w:rsidRPr="00474B0E" w:rsidRDefault="00474B0E" w:rsidP="00474B0E">
            <w:pPr>
              <w:widowControl w:val="0"/>
              <w:rPr>
                <w:rFonts w:asciiTheme="majorHAnsi" w:hAnsiTheme="majorHAnsi"/>
                <w:sz w:val="20"/>
                <w:szCs w:val="20"/>
                <w:lang w:eastAsia="ja-JP"/>
              </w:rPr>
            </w:pPr>
            <w:r w:rsidRPr="00474B0E">
              <w:rPr>
                <w:rFonts w:asciiTheme="majorHAnsi" w:hAnsiTheme="majorHAnsi"/>
                <w:sz w:val="20"/>
                <w:szCs w:val="20"/>
                <w:lang w:eastAsia="ja-JP"/>
              </w:rPr>
              <w:t xml:space="preserve">2021 </w:t>
            </w:r>
          </w:p>
        </w:tc>
        <w:tc>
          <w:tcPr>
            <w:tcW w:w="8513" w:type="dxa"/>
            <w:tcBorders>
              <w:top w:val="single" w:sz="4" w:space="0" w:color="auto"/>
              <w:left w:val="single" w:sz="4" w:space="0" w:color="auto"/>
              <w:bottom w:val="single" w:sz="4" w:space="0" w:color="auto"/>
              <w:right w:val="single" w:sz="4" w:space="0" w:color="auto"/>
            </w:tcBorders>
            <w:noWrap/>
            <w:vAlign w:val="center"/>
            <w:hideMark/>
          </w:tcPr>
          <w:p w14:paraId="062C1AFA" w14:textId="77777777" w:rsidR="00474B0E" w:rsidRPr="00474B0E" w:rsidRDefault="00474B0E" w:rsidP="00474B0E">
            <w:pPr>
              <w:widowControl w:val="0"/>
              <w:rPr>
                <w:rFonts w:asciiTheme="majorHAnsi" w:hAnsiTheme="majorHAnsi"/>
                <w:sz w:val="20"/>
                <w:szCs w:val="20"/>
                <w:lang w:eastAsia="ja-JP"/>
              </w:rPr>
            </w:pPr>
            <w:r w:rsidRPr="00474B0E">
              <w:rPr>
                <w:rFonts w:asciiTheme="majorHAnsi" w:hAnsiTheme="majorHAnsi"/>
                <w:sz w:val="20"/>
                <w:szCs w:val="20"/>
                <w:lang w:eastAsia="ja-JP"/>
              </w:rPr>
              <w:t>Pendant le virage de la ligne, un hameçon a frappé l'œil gauche.</w:t>
            </w:r>
          </w:p>
        </w:tc>
      </w:tr>
      <w:tr w:rsidR="00474B0E" w:rsidRPr="00474B0E" w14:paraId="11AB2290" w14:textId="77777777" w:rsidTr="00DA34D1">
        <w:trPr>
          <w:trHeight w:val="360"/>
        </w:trPr>
        <w:tc>
          <w:tcPr>
            <w:tcW w:w="696" w:type="dxa"/>
            <w:tcBorders>
              <w:top w:val="single" w:sz="4" w:space="0" w:color="auto"/>
              <w:left w:val="single" w:sz="4" w:space="0" w:color="auto"/>
              <w:bottom w:val="single" w:sz="4" w:space="0" w:color="auto"/>
              <w:right w:val="single" w:sz="4" w:space="0" w:color="auto"/>
            </w:tcBorders>
            <w:noWrap/>
            <w:vAlign w:val="center"/>
            <w:hideMark/>
          </w:tcPr>
          <w:p w14:paraId="3A3DB9DB" w14:textId="77777777" w:rsidR="00474B0E" w:rsidRPr="00474B0E" w:rsidRDefault="00474B0E" w:rsidP="00474B0E">
            <w:pPr>
              <w:widowControl w:val="0"/>
              <w:rPr>
                <w:rFonts w:asciiTheme="majorHAnsi" w:hAnsiTheme="majorHAnsi"/>
                <w:sz w:val="20"/>
                <w:szCs w:val="20"/>
                <w:lang w:eastAsia="ja-JP"/>
              </w:rPr>
            </w:pPr>
            <w:r w:rsidRPr="00474B0E">
              <w:rPr>
                <w:rFonts w:asciiTheme="majorHAnsi" w:hAnsiTheme="majorHAnsi"/>
                <w:sz w:val="20"/>
                <w:szCs w:val="20"/>
                <w:lang w:eastAsia="ja-JP"/>
              </w:rPr>
              <w:t xml:space="preserve">2021 </w:t>
            </w:r>
          </w:p>
        </w:tc>
        <w:tc>
          <w:tcPr>
            <w:tcW w:w="8513" w:type="dxa"/>
            <w:tcBorders>
              <w:top w:val="single" w:sz="4" w:space="0" w:color="auto"/>
              <w:left w:val="single" w:sz="4" w:space="0" w:color="auto"/>
              <w:bottom w:val="single" w:sz="4" w:space="0" w:color="auto"/>
              <w:right w:val="single" w:sz="4" w:space="0" w:color="auto"/>
            </w:tcBorders>
            <w:noWrap/>
            <w:vAlign w:val="center"/>
            <w:hideMark/>
          </w:tcPr>
          <w:p w14:paraId="6D0FC951" w14:textId="77777777" w:rsidR="00474B0E" w:rsidRPr="00474B0E" w:rsidRDefault="00474B0E" w:rsidP="00474B0E">
            <w:pPr>
              <w:widowControl w:val="0"/>
              <w:rPr>
                <w:rFonts w:asciiTheme="majorHAnsi" w:hAnsiTheme="majorHAnsi"/>
                <w:sz w:val="20"/>
                <w:szCs w:val="20"/>
                <w:lang w:eastAsia="ja-JP"/>
              </w:rPr>
            </w:pPr>
            <w:r w:rsidRPr="00474B0E">
              <w:rPr>
                <w:rFonts w:asciiTheme="majorHAnsi" w:hAnsiTheme="majorHAnsi"/>
                <w:sz w:val="20"/>
                <w:szCs w:val="20"/>
                <w:lang w:eastAsia="ja-JP"/>
              </w:rPr>
              <w:t>Pendant le virage de la ligne, un hameçon détaché a heurté la zone autour de la paupière droite.</w:t>
            </w:r>
          </w:p>
        </w:tc>
      </w:tr>
      <w:tr w:rsidR="00474B0E" w:rsidRPr="00474B0E" w14:paraId="405D4241" w14:textId="77777777" w:rsidTr="00DA34D1">
        <w:trPr>
          <w:trHeight w:val="360"/>
        </w:trPr>
        <w:tc>
          <w:tcPr>
            <w:tcW w:w="696" w:type="dxa"/>
            <w:tcBorders>
              <w:top w:val="single" w:sz="4" w:space="0" w:color="auto"/>
              <w:left w:val="single" w:sz="4" w:space="0" w:color="auto"/>
              <w:bottom w:val="single" w:sz="4" w:space="0" w:color="auto"/>
              <w:right w:val="single" w:sz="4" w:space="0" w:color="auto"/>
            </w:tcBorders>
            <w:noWrap/>
            <w:vAlign w:val="center"/>
            <w:hideMark/>
          </w:tcPr>
          <w:p w14:paraId="6D59A4C8" w14:textId="77777777" w:rsidR="00474B0E" w:rsidRPr="00474B0E" w:rsidRDefault="00474B0E" w:rsidP="00474B0E">
            <w:pPr>
              <w:widowControl w:val="0"/>
              <w:rPr>
                <w:rFonts w:asciiTheme="majorHAnsi" w:hAnsiTheme="majorHAnsi"/>
                <w:sz w:val="20"/>
                <w:szCs w:val="20"/>
                <w:lang w:eastAsia="ja-JP"/>
              </w:rPr>
            </w:pPr>
            <w:r w:rsidRPr="00474B0E">
              <w:rPr>
                <w:rFonts w:asciiTheme="majorHAnsi" w:hAnsiTheme="majorHAnsi"/>
                <w:sz w:val="20"/>
                <w:szCs w:val="20"/>
                <w:lang w:eastAsia="ja-JP"/>
              </w:rPr>
              <w:t xml:space="preserve">2021 </w:t>
            </w:r>
          </w:p>
        </w:tc>
        <w:tc>
          <w:tcPr>
            <w:tcW w:w="8513" w:type="dxa"/>
            <w:tcBorders>
              <w:top w:val="single" w:sz="4" w:space="0" w:color="auto"/>
              <w:left w:val="single" w:sz="4" w:space="0" w:color="auto"/>
              <w:bottom w:val="single" w:sz="4" w:space="0" w:color="auto"/>
              <w:right w:val="single" w:sz="4" w:space="0" w:color="auto"/>
            </w:tcBorders>
            <w:noWrap/>
            <w:vAlign w:val="center"/>
            <w:hideMark/>
          </w:tcPr>
          <w:p w14:paraId="23138EE2" w14:textId="77777777" w:rsidR="00474B0E" w:rsidRPr="00474B0E" w:rsidRDefault="00474B0E" w:rsidP="00474B0E">
            <w:pPr>
              <w:widowControl w:val="0"/>
              <w:rPr>
                <w:rFonts w:asciiTheme="majorHAnsi" w:hAnsiTheme="majorHAnsi"/>
                <w:sz w:val="20"/>
                <w:szCs w:val="20"/>
                <w:lang w:eastAsia="ja-JP"/>
              </w:rPr>
            </w:pPr>
            <w:r w:rsidRPr="00474B0E">
              <w:rPr>
                <w:rFonts w:asciiTheme="majorHAnsi" w:hAnsiTheme="majorHAnsi"/>
                <w:sz w:val="20"/>
                <w:szCs w:val="20"/>
                <w:lang w:eastAsia="ja-JP"/>
              </w:rPr>
              <w:t>Pendant le virage de la ligne, un hameçon a heurté l'œil droit.</w:t>
            </w:r>
          </w:p>
        </w:tc>
      </w:tr>
      <w:tr w:rsidR="00474B0E" w:rsidRPr="00474B0E" w14:paraId="040629AE" w14:textId="77777777" w:rsidTr="00DA34D1">
        <w:trPr>
          <w:trHeight w:val="360"/>
        </w:trPr>
        <w:tc>
          <w:tcPr>
            <w:tcW w:w="696" w:type="dxa"/>
            <w:tcBorders>
              <w:top w:val="single" w:sz="4" w:space="0" w:color="auto"/>
              <w:left w:val="single" w:sz="4" w:space="0" w:color="auto"/>
              <w:bottom w:val="single" w:sz="4" w:space="0" w:color="auto"/>
              <w:right w:val="single" w:sz="4" w:space="0" w:color="auto"/>
            </w:tcBorders>
            <w:noWrap/>
            <w:vAlign w:val="center"/>
            <w:hideMark/>
          </w:tcPr>
          <w:p w14:paraId="54C37C66" w14:textId="77777777" w:rsidR="00474B0E" w:rsidRPr="00474B0E" w:rsidRDefault="00474B0E" w:rsidP="00474B0E">
            <w:pPr>
              <w:widowControl w:val="0"/>
              <w:rPr>
                <w:rFonts w:asciiTheme="majorHAnsi" w:hAnsiTheme="majorHAnsi"/>
                <w:sz w:val="20"/>
                <w:szCs w:val="20"/>
                <w:lang w:eastAsia="ja-JP"/>
              </w:rPr>
            </w:pPr>
            <w:r w:rsidRPr="00474B0E">
              <w:rPr>
                <w:rFonts w:asciiTheme="majorHAnsi" w:hAnsiTheme="majorHAnsi"/>
                <w:sz w:val="20"/>
                <w:szCs w:val="20"/>
                <w:lang w:eastAsia="ja-JP"/>
              </w:rPr>
              <w:t xml:space="preserve">2023 </w:t>
            </w:r>
          </w:p>
        </w:tc>
        <w:tc>
          <w:tcPr>
            <w:tcW w:w="8513" w:type="dxa"/>
            <w:tcBorders>
              <w:top w:val="single" w:sz="4" w:space="0" w:color="auto"/>
              <w:left w:val="single" w:sz="4" w:space="0" w:color="auto"/>
              <w:bottom w:val="single" w:sz="4" w:space="0" w:color="auto"/>
              <w:right w:val="single" w:sz="4" w:space="0" w:color="auto"/>
            </w:tcBorders>
            <w:noWrap/>
            <w:vAlign w:val="center"/>
            <w:hideMark/>
          </w:tcPr>
          <w:p w14:paraId="6A882527" w14:textId="77777777" w:rsidR="00474B0E" w:rsidRPr="00474B0E" w:rsidRDefault="00474B0E" w:rsidP="00474B0E">
            <w:pPr>
              <w:widowControl w:val="0"/>
              <w:rPr>
                <w:rFonts w:asciiTheme="majorHAnsi" w:hAnsiTheme="majorHAnsi"/>
                <w:sz w:val="20"/>
                <w:szCs w:val="20"/>
                <w:lang w:eastAsia="ja-JP"/>
              </w:rPr>
            </w:pPr>
            <w:r w:rsidRPr="00474B0E">
              <w:rPr>
                <w:rFonts w:asciiTheme="majorHAnsi" w:hAnsiTheme="majorHAnsi"/>
                <w:sz w:val="20"/>
                <w:szCs w:val="20"/>
                <w:lang w:eastAsia="ja-JP"/>
              </w:rPr>
              <w:t>Pendant le virage de la ligne, un hameçon a heurté l'œil droit.</w:t>
            </w:r>
          </w:p>
        </w:tc>
      </w:tr>
      <w:tr w:rsidR="00474B0E" w:rsidRPr="00474B0E" w14:paraId="4DD35CD6" w14:textId="77777777" w:rsidTr="00DA34D1">
        <w:trPr>
          <w:trHeight w:val="360"/>
        </w:trPr>
        <w:tc>
          <w:tcPr>
            <w:tcW w:w="696" w:type="dxa"/>
            <w:tcBorders>
              <w:top w:val="single" w:sz="4" w:space="0" w:color="auto"/>
              <w:left w:val="single" w:sz="4" w:space="0" w:color="auto"/>
              <w:bottom w:val="single" w:sz="4" w:space="0" w:color="auto"/>
              <w:right w:val="single" w:sz="4" w:space="0" w:color="auto"/>
            </w:tcBorders>
            <w:noWrap/>
            <w:vAlign w:val="center"/>
            <w:hideMark/>
          </w:tcPr>
          <w:p w14:paraId="7B79A9E3" w14:textId="77777777" w:rsidR="00474B0E" w:rsidRPr="00474B0E" w:rsidRDefault="00474B0E" w:rsidP="00474B0E">
            <w:pPr>
              <w:widowControl w:val="0"/>
              <w:rPr>
                <w:rFonts w:asciiTheme="majorHAnsi" w:hAnsiTheme="majorHAnsi"/>
                <w:sz w:val="20"/>
                <w:szCs w:val="20"/>
                <w:lang w:eastAsia="ja-JP"/>
              </w:rPr>
            </w:pPr>
            <w:r w:rsidRPr="00474B0E">
              <w:rPr>
                <w:rFonts w:asciiTheme="majorHAnsi" w:hAnsiTheme="majorHAnsi"/>
                <w:sz w:val="20"/>
                <w:szCs w:val="20"/>
                <w:lang w:eastAsia="ja-JP"/>
              </w:rPr>
              <w:t xml:space="preserve">2024 </w:t>
            </w:r>
          </w:p>
        </w:tc>
        <w:tc>
          <w:tcPr>
            <w:tcW w:w="8513" w:type="dxa"/>
            <w:tcBorders>
              <w:top w:val="single" w:sz="4" w:space="0" w:color="auto"/>
              <w:left w:val="single" w:sz="4" w:space="0" w:color="auto"/>
              <w:bottom w:val="single" w:sz="4" w:space="0" w:color="auto"/>
              <w:right w:val="single" w:sz="4" w:space="0" w:color="auto"/>
            </w:tcBorders>
            <w:noWrap/>
            <w:vAlign w:val="center"/>
            <w:hideMark/>
          </w:tcPr>
          <w:p w14:paraId="057753B8" w14:textId="77777777" w:rsidR="00474B0E" w:rsidRPr="00474B0E" w:rsidRDefault="00474B0E" w:rsidP="00474B0E">
            <w:pPr>
              <w:widowControl w:val="0"/>
              <w:rPr>
                <w:rFonts w:asciiTheme="majorHAnsi" w:hAnsiTheme="majorHAnsi"/>
                <w:sz w:val="20"/>
                <w:szCs w:val="20"/>
                <w:lang w:eastAsia="ja-JP"/>
              </w:rPr>
            </w:pPr>
            <w:r w:rsidRPr="00474B0E">
              <w:rPr>
                <w:rFonts w:asciiTheme="majorHAnsi" w:hAnsiTheme="majorHAnsi"/>
                <w:sz w:val="20"/>
                <w:szCs w:val="20"/>
                <w:lang w:eastAsia="ja-JP"/>
              </w:rPr>
              <w:t>Pendant le virage de la ligne, la ligne a rebondi et a causé des blessures au niveau du nez et de la zone située sous la paupière.</w:t>
            </w:r>
          </w:p>
        </w:tc>
      </w:tr>
      <w:tr w:rsidR="00474B0E" w:rsidRPr="00474B0E" w14:paraId="25B78198" w14:textId="77777777" w:rsidTr="00DA34D1">
        <w:trPr>
          <w:trHeight w:val="360"/>
        </w:trPr>
        <w:tc>
          <w:tcPr>
            <w:tcW w:w="696" w:type="dxa"/>
            <w:tcBorders>
              <w:top w:val="single" w:sz="4" w:space="0" w:color="auto"/>
              <w:left w:val="single" w:sz="4" w:space="0" w:color="auto"/>
              <w:bottom w:val="single" w:sz="4" w:space="0" w:color="auto"/>
              <w:right w:val="single" w:sz="4" w:space="0" w:color="auto"/>
            </w:tcBorders>
            <w:noWrap/>
            <w:vAlign w:val="center"/>
            <w:hideMark/>
          </w:tcPr>
          <w:p w14:paraId="409D50EA" w14:textId="77777777" w:rsidR="00474B0E" w:rsidRPr="00474B0E" w:rsidRDefault="00474B0E" w:rsidP="00474B0E">
            <w:pPr>
              <w:widowControl w:val="0"/>
              <w:rPr>
                <w:rFonts w:asciiTheme="majorHAnsi" w:hAnsiTheme="majorHAnsi"/>
                <w:sz w:val="20"/>
                <w:szCs w:val="20"/>
                <w:lang w:eastAsia="ja-JP"/>
              </w:rPr>
            </w:pPr>
            <w:r w:rsidRPr="00474B0E">
              <w:rPr>
                <w:rFonts w:asciiTheme="majorHAnsi" w:hAnsiTheme="majorHAnsi"/>
                <w:sz w:val="20"/>
                <w:szCs w:val="20"/>
                <w:lang w:eastAsia="ja-JP"/>
              </w:rPr>
              <w:t xml:space="preserve">2025 </w:t>
            </w:r>
          </w:p>
        </w:tc>
        <w:tc>
          <w:tcPr>
            <w:tcW w:w="8513" w:type="dxa"/>
            <w:tcBorders>
              <w:top w:val="single" w:sz="4" w:space="0" w:color="auto"/>
              <w:left w:val="single" w:sz="4" w:space="0" w:color="auto"/>
              <w:bottom w:val="single" w:sz="4" w:space="0" w:color="auto"/>
              <w:right w:val="single" w:sz="4" w:space="0" w:color="auto"/>
            </w:tcBorders>
            <w:noWrap/>
            <w:vAlign w:val="center"/>
            <w:hideMark/>
          </w:tcPr>
          <w:p w14:paraId="6E35EC4F" w14:textId="77777777" w:rsidR="00474B0E" w:rsidRPr="00474B0E" w:rsidRDefault="00474B0E" w:rsidP="00474B0E">
            <w:pPr>
              <w:widowControl w:val="0"/>
              <w:rPr>
                <w:rFonts w:asciiTheme="majorHAnsi" w:hAnsiTheme="majorHAnsi"/>
                <w:sz w:val="20"/>
                <w:szCs w:val="20"/>
                <w:lang w:eastAsia="ja-JP"/>
              </w:rPr>
            </w:pPr>
            <w:r w:rsidRPr="00474B0E">
              <w:rPr>
                <w:rFonts w:asciiTheme="majorHAnsi" w:hAnsiTheme="majorHAnsi"/>
                <w:sz w:val="20"/>
                <w:szCs w:val="20"/>
                <w:lang w:eastAsia="ja-JP"/>
              </w:rPr>
              <w:t>Pendant le virage de la ligne, une ligne rompue a heurté l'œil droit.</w:t>
            </w:r>
          </w:p>
        </w:tc>
      </w:tr>
    </w:tbl>
    <w:p w14:paraId="0BF37778" w14:textId="77777777" w:rsidR="00474B0E" w:rsidRPr="00474B0E" w:rsidRDefault="00474B0E" w:rsidP="00474B0E">
      <w:pPr>
        <w:widowControl w:val="0"/>
        <w:autoSpaceDE w:val="0"/>
        <w:autoSpaceDN w:val="0"/>
        <w:adjustRightInd w:val="0"/>
        <w:rPr>
          <w:rFonts w:asciiTheme="majorHAnsi" w:hAnsiTheme="majorHAnsi"/>
          <w:bCs/>
          <w:iCs/>
          <w:sz w:val="20"/>
          <w:szCs w:val="20"/>
        </w:rPr>
      </w:pPr>
    </w:p>
    <w:p w14:paraId="78A1F820" w14:textId="77777777" w:rsidR="00A01098" w:rsidRPr="00474B0E" w:rsidRDefault="00A01098" w:rsidP="006B4897">
      <w:pPr>
        <w:rPr>
          <w:rFonts w:asciiTheme="majorHAnsi" w:hAnsiTheme="majorHAnsi"/>
          <w:sz w:val="20"/>
          <w:szCs w:val="20"/>
        </w:rPr>
      </w:pPr>
    </w:p>
    <w:sectPr w:rsidR="00A01098" w:rsidRPr="00474B0E" w:rsidSect="00A300A4">
      <w:headerReference w:type="default" r:id="rId14"/>
      <w:pgSz w:w="11906" w:h="16838" w:code="9"/>
      <w:pgMar w:top="1418" w:right="1418" w:bottom="1418" w:left="1418" w:header="851" w:footer="11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45D68C" w14:textId="77777777" w:rsidR="00DE0B74" w:rsidRDefault="00DE0B74">
      <w:r>
        <w:separator/>
      </w:r>
    </w:p>
  </w:endnote>
  <w:endnote w:type="continuationSeparator" w:id="0">
    <w:p w14:paraId="6721A131" w14:textId="77777777" w:rsidR="00DE0B74" w:rsidRDefault="00DE0B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Unicode MS">
    <w:panose1 w:val="020B0604020202020204"/>
    <w:charset w:val="80"/>
    <w:family w:val="swiss"/>
    <w:pitch w:val="variable"/>
    <w:sig w:usb0="F7FFAFFF" w:usb1="E9DFFFFF" w:usb2="0000003F" w:usb3="00000000" w:csb0="003F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mbria" w:hAnsi="Cambria"/>
      </w:rPr>
      <w:id w:val="-1609496003"/>
      <w:docPartObj>
        <w:docPartGallery w:val="Page Numbers (Bottom of Page)"/>
        <w:docPartUnique/>
      </w:docPartObj>
    </w:sdtPr>
    <w:sdtContent>
      <w:sdt>
        <w:sdtPr>
          <w:rPr>
            <w:rFonts w:ascii="Cambria" w:hAnsi="Cambria"/>
          </w:rPr>
          <w:id w:val="64995285"/>
          <w:docPartObj>
            <w:docPartGallery w:val="Page Numbers (Top of Page)"/>
            <w:docPartUnique/>
          </w:docPartObj>
        </w:sdtPr>
        <w:sdtContent>
          <w:p w14:paraId="7181F416" w14:textId="004E7D2F" w:rsidR="00313F99" w:rsidRPr="00313F99" w:rsidRDefault="00313F99">
            <w:pPr>
              <w:pStyle w:val="Footer"/>
              <w:jc w:val="center"/>
              <w:rPr>
                <w:rFonts w:ascii="Cambria" w:hAnsi="Cambria"/>
              </w:rPr>
            </w:pPr>
            <w:r w:rsidRPr="00313F99">
              <w:rPr>
                <w:rFonts w:ascii="Cambria" w:hAnsi="Cambria"/>
                <w:sz w:val="24"/>
              </w:rPr>
              <w:fldChar w:fldCharType="begin"/>
            </w:r>
            <w:r w:rsidRPr="00313F99">
              <w:rPr>
                <w:rFonts w:ascii="Cambria" w:hAnsi="Cambria"/>
              </w:rPr>
              <w:instrText xml:space="preserve"> PAGE </w:instrText>
            </w:r>
            <w:r w:rsidRPr="00313F99">
              <w:rPr>
                <w:rFonts w:ascii="Cambria" w:hAnsi="Cambria"/>
                <w:sz w:val="24"/>
              </w:rPr>
              <w:fldChar w:fldCharType="separate"/>
            </w:r>
            <w:r w:rsidRPr="00313F99">
              <w:rPr>
                <w:rFonts w:ascii="Cambria" w:hAnsi="Cambria"/>
              </w:rPr>
              <w:t>3</w:t>
            </w:r>
            <w:r w:rsidRPr="00313F99">
              <w:rPr>
                <w:rFonts w:ascii="Cambria" w:hAnsi="Cambria"/>
                <w:sz w:val="24"/>
              </w:rPr>
              <w:fldChar w:fldCharType="end"/>
            </w:r>
            <w:r>
              <w:rPr>
                <w:rFonts w:ascii="Cambria" w:hAnsi="Cambria"/>
              </w:rPr>
              <w:t xml:space="preserve"> / </w:t>
            </w:r>
            <w:r w:rsidRPr="00313F99">
              <w:rPr>
                <w:rFonts w:ascii="Cambria" w:hAnsi="Cambria"/>
                <w:sz w:val="24"/>
              </w:rPr>
              <w:fldChar w:fldCharType="begin"/>
            </w:r>
            <w:r w:rsidRPr="00313F99">
              <w:rPr>
                <w:rFonts w:ascii="Cambria" w:hAnsi="Cambria"/>
              </w:rPr>
              <w:instrText xml:space="preserve"> NUMPAGES  </w:instrText>
            </w:r>
            <w:r w:rsidRPr="00313F99">
              <w:rPr>
                <w:rFonts w:ascii="Cambria" w:hAnsi="Cambria"/>
                <w:sz w:val="24"/>
              </w:rPr>
              <w:fldChar w:fldCharType="separate"/>
            </w:r>
            <w:r w:rsidRPr="00313F99">
              <w:rPr>
                <w:rFonts w:ascii="Cambria" w:hAnsi="Cambria"/>
              </w:rPr>
              <w:t>5</w:t>
            </w:r>
            <w:r w:rsidRPr="00313F99">
              <w:rPr>
                <w:rFonts w:ascii="Cambria" w:hAnsi="Cambria"/>
                <w:sz w:val="24"/>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D6136" w14:textId="24FE78D4" w:rsidR="00313F99" w:rsidRPr="001F5D7D" w:rsidRDefault="00000000" w:rsidP="001F5D7D">
    <w:pPr>
      <w:tabs>
        <w:tab w:val="center" w:pos="4535"/>
        <w:tab w:val="center" w:pos="4680"/>
        <w:tab w:val="left" w:pos="6150"/>
        <w:tab w:val="right" w:pos="9360"/>
      </w:tabs>
      <w:jc w:val="center"/>
      <w:rPr>
        <w:rFonts w:ascii="Cambria" w:eastAsia="Calibri" w:hAnsi="Cambria" w:cs="Calibri"/>
        <w:sz w:val="20"/>
        <w:szCs w:val="22"/>
      </w:rPr>
    </w:pPr>
    <w:sdt>
      <w:sdtPr>
        <w:rPr>
          <w:rFonts w:ascii="Calibri" w:eastAsia="Calibri" w:hAnsi="Calibri" w:cs="Calibri"/>
          <w:sz w:val="20"/>
          <w:szCs w:val="20"/>
        </w:rPr>
        <w:id w:val="1907024537"/>
        <w:docPartObj>
          <w:docPartGallery w:val="Page Numbers (Top of Page)"/>
          <w:docPartUnique/>
        </w:docPartObj>
      </w:sdtPr>
      <w:sdtContent>
        <w:r w:rsidR="001F5D7D" w:rsidRPr="00713AD4">
          <w:rPr>
            <w:rFonts w:ascii="Cambria" w:eastAsia="Calibri" w:hAnsi="Cambria" w:cs="Calibri"/>
            <w:sz w:val="20"/>
          </w:rPr>
          <w:fldChar w:fldCharType="begin"/>
        </w:r>
        <w:r w:rsidR="001F5D7D" w:rsidRPr="00713AD4">
          <w:rPr>
            <w:rFonts w:ascii="Cambria" w:eastAsia="Calibri" w:hAnsi="Cambria" w:cs="Calibri"/>
            <w:sz w:val="20"/>
          </w:rPr>
          <w:instrText xml:space="preserve"> PAGE </w:instrText>
        </w:r>
        <w:r w:rsidR="001F5D7D" w:rsidRPr="00713AD4">
          <w:rPr>
            <w:rFonts w:ascii="Cambria" w:eastAsia="Calibri" w:hAnsi="Cambria" w:cs="Calibri"/>
            <w:sz w:val="20"/>
          </w:rPr>
          <w:fldChar w:fldCharType="separate"/>
        </w:r>
        <w:r w:rsidR="001F5D7D">
          <w:rPr>
            <w:rFonts w:eastAsia="Calibri" w:cs="Calibri"/>
          </w:rPr>
          <w:t>1</w:t>
        </w:r>
        <w:r w:rsidR="001F5D7D" w:rsidRPr="00713AD4">
          <w:rPr>
            <w:rFonts w:ascii="Cambria" w:eastAsia="Calibri" w:hAnsi="Cambria" w:cs="Calibri"/>
            <w:sz w:val="20"/>
          </w:rPr>
          <w:fldChar w:fldCharType="end"/>
        </w:r>
        <w:r w:rsidR="00A35AB7">
          <w:rPr>
            <w:rFonts w:ascii="Cambria" w:hAnsi="Cambria"/>
            <w:sz w:val="20"/>
          </w:rPr>
          <w:t xml:space="preserve"> / </w:t>
        </w:r>
        <w:r w:rsidR="001F5D7D" w:rsidRPr="00713AD4">
          <w:rPr>
            <w:rFonts w:ascii="Cambria" w:eastAsia="Calibri" w:hAnsi="Cambria" w:cs="Calibri"/>
            <w:sz w:val="20"/>
          </w:rPr>
          <w:fldChar w:fldCharType="begin"/>
        </w:r>
        <w:r w:rsidR="001F5D7D" w:rsidRPr="00713AD4">
          <w:rPr>
            <w:rFonts w:ascii="Cambria" w:eastAsia="Calibri" w:hAnsi="Cambria" w:cs="Calibri"/>
            <w:sz w:val="20"/>
          </w:rPr>
          <w:instrText xml:space="preserve"> NUMPAGES  </w:instrText>
        </w:r>
        <w:r w:rsidR="001F5D7D" w:rsidRPr="00713AD4">
          <w:rPr>
            <w:rFonts w:ascii="Cambria" w:eastAsia="Calibri" w:hAnsi="Cambria" w:cs="Calibri"/>
            <w:sz w:val="20"/>
          </w:rPr>
          <w:fldChar w:fldCharType="separate"/>
        </w:r>
        <w:r w:rsidR="001F5D7D">
          <w:rPr>
            <w:rFonts w:eastAsia="Calibri" w:cs="Calibri"/>
          </w:rPr>
          <w:t>1</w:t>
        </w:r>
        <w:r w:rsidR="001F5D7D" w:rsidRPr="00713AD4">
          <w:rPr>
            <w:rFonts w:ascii="Cambria" w:eastAsia="Calibri" w:hAnsi="Cambria" w:cs="Calibri"/>
            <w:sz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D6EF33" w14:textId="77777777" w:rsidR="00DE0B74" w:rsidRDefault="00DE0B74">
      <w:r>
        <w:separator/>
      </w:r>
    </w:p>
  </w:footnote>
  <w:footnote w:type="continuationSeparator" w:id="0">
    <w:p w14:paraId="409903D7" w14:textId="77777777" w:rsidR="00DE0B74" w:rsidRDefault="00DE0B74">
      <w:r>
        <w:continuationSeparator/>
      </w:r>
    </w:p>
  </w:footnote>
  <w:footnote w:id="1">
    <w:p w14:paraId="20A9BB4D" w14:textId="77777777" w:rsidR="00F03706" w:rsidRPr="0060769C" w:rsidRDefault="00F03706" w:rsidP="00F03706">
      <w:pPr>
        <w:pStyle w:val="FootnoteText"/>
        <w:rPr>
          <w:sz w:val="16"/>
          <w:szCs w:val="16"/>
        </w:rPr>
      </w:pPr>
      <w:r w:rsidRPr="001B7302">
        <w:rPr>
          <w:rStyle w:val="FootnoteReference"/>
          <w:sz w:val="16"/>
          <w:szCs w:val="16"/>
        </w:rPr>
        <w:footnoteRef/>
      </w:r>
      <w:r w:rsidRPr="001B7302">
        <w:rPr>
          <w:rFonts w:asciiTheme="majorHAnsi" w:hAnsiTheme="majorHAnsi"/>
          <w:sz w:val="16"/>
          <w:szCs w:val="16"/>
        </w:rPr>
        <w:t xml:space="preserve"> Voir l’</w:t>
      </w:r>
      <w:r w:rsidRPr="00BB3C4B">
        <w:rPr>
          <w:rFonts w:asciiTheme="majorHAnsi" w:hAnsiTheme="majorHAnsi"/>
          <w:b/>
          <w:bCs/>
          <w:sz w:val="16"/>
          <w:szCs w:val="16"/>
        </w:rPr>
        <w:t>appendice 1</w:t>
      </w:r>
      <w:r w:rsidRPr="001B7302">
        <w:rPr>
          <w:rFonts w:asciiTheme="majorHAnsi" w:hAnsiTheme="majorHAnsi"/>
          <w:sz w:val="16"/>
          <w:szCs w:val="16"/>
        </w:rPr>
        <w:t xml:space="preserve"> à la présente circulaire.</w:t>
      </w:r>
    </w:p>
  </w:footnote>
  <w:footnote w:id="2">
    <w:p w14:paraId="00498164" w14:textId="77777777" w:rsidR="00C029FB" w:rsidRPr="00C029FB" w:rsidRDefault="00C029FB" w:rsidP="00C029FB">
      <w:pPr>
        <w:pStyle w:val="FootnoteText"/>
        <w:rPr>
          <w:sz w:val="16"/>
          <w:szCs w:val="16"/>
        </w:rPr>
      </w:pPr>
      <w:r w:rsidRPr="005018F1">
        <w:rPr>
          <w:rStyle w:val="FootnoteReference"/>
          <w:sz w:val="16"/>
          <w:szCs w:val="16"/>
        </w:rPr>
        <w:footnoteRef/>
      </w:r>
      <w:r w:rsidRPr="005018F1">
        <w:rPr>
          <w:sz w:val="16"/>
          <w:szCs w:val="16"/>
        </w:rPr>
        <w:t xml:space="preserve"> </w:t>
      </w:r>
      <w:hyperlink r:id="rId1">
        <w:r w:rsidRPr="005018F1">
          <w:rPr>
            <w:rFonts w:asciiTheme="majorHAnsi" w:hAnsiTheme="majorHAnsi"/>
            <w:spacing w:val="-2"/>
            <w:w w:val="105"/>
            <w:sz w:val="16"/>
            <w:szCs w:val="16"/>
          </w:rPr>
          <w:t>https://www.sciencedirect.com/science/article/abs/pii/S0165783612002524</w:t>
        </w:r>
      </w:hyperlink>
    </w:p>
  </w:footnote>
  <w:footnote w:id="3">
    <w:p w14:paraId="1EF58D8E" w14:textId="77777777" w:rsidR="00C029FB" w:rsidRPr="007351D5" w:rsidRDefault="00C029FB" w:rsidP="00C029FB">
      <w:pPr>
        <w:pStyle w:val="FootnoteText"/>
        <w:rPr>
          <w:sz w:val="16"/>
          <w:szCs w:val="16"/>
        </w:rPr>
      </w:pPr>
      <w:r w:rsidRPr="007351D5">
        <w:rPr>
          <w:rStyle w:val="FootnoteReference"/>
          <w:sz w:val="16"/>
          <w:szCs w:val="16"/>
        </w:rPr>
        <w:footnoteRef/>
      </w:r>
      <w:r w:rsidRPr="007351D5">
        <w:rPr>
          <w:sz w:val="16"/>
          <w:szCs w:val="16"/>
        </w:rPr>
        <w:t xml:space="preserve"> </w:t>
      </w:r>
      <w:hyperlink r:id="rId2" w:history="1">
        <w:r w:rsidRPr="007351D5">
          <w:rPr>
            <w:rStyle w:val="Hyperlink"/>
            <w:rFonts w:asciiTheme="majorHAnsi" w:hAnsiTheme="majorHAnsi"/>
            <w:sz w:val="16"/>
            <w:szCs w:val="16"/>
            <w:u w:val="none"/>
          </w:rPr>
          <w:t>https://www.bmis-bycatch.org/mitigation-techniques/monofilament-wire-</w:t>
        </w:r>
        <w:r w:rsidRPr="007351D5">
          <w:rPr>
            <w:rStyle w:val="Hyperlink"/>
            <w:rFonts w:asciiTheme="majorHAnsi" w:hAnsiTheme="majorHAnsi"/>
            <w:spacing w:val="-2"/>
            <w:sz w:val="16"/>
            <w:szCs w:val="16"/>
            <w:u w:val="none"/>
          </w:rPr>
          <w:t>leaders</w:t>
        </w:r>
      </w:hyperlink>
    </w:p>
  </w:footnote>
  <w:footnote w:id="4">
    <w:p w14:paraId="4D444B37" w14:textId="77777777" w:rsidR="00C029FB" w:rsidRPr="00EE07E3" w:rsidRDefault="00C029FB" w:rsidP="00C029FB">
      <w:pPr>
        <w:pStyle w:val="FootnoteText"/>
        <w:rPr>
          <w:rFonts w:asciiTheme="majorHAnsi" w:hAnsiTheme="majorHAnsi"/>
          <w:sz w:val="16"/>
          <w:szCs w:val="16"/>
        </w:rPr>
      </w:pPr>
      <w:r w:rsidRPr="00EE07E3">
        <w:rPr>
          <w:rStyle w:val="FootnoteReference"/>
          <w:rFonts w:asciiTheme="majorHAnsi" w:hAnsiTheme="majorHAnsi"/>
          <w:sz w:val="16"/>
          <w:szCs w:val="16"/>
        </w:rPr>
        <w:footnoteRef/>
      </w:r>
      <w:r w:rsidRPr="00EE07E3">
        <w:rPr>
          <w:rFonts w:asciiTheme="majorHAnsi" w:hAnsiTheme="majorHAnsi"/>
          <w:sz w:val="16"/>
          <w:szCs w:val="16"/>
        </w:rPr>
        <w:t xml:space="preserve"> </w:t>
      </w:r>
      <w:hyperlink r:id="rId3" w:history="1">
        <w:r w:rsidRPr="00EE07E3">
          <w:rPr>
            <w:rStyle w:val="Hyperlink"/>
            <w:rFonts w:asciiTheme="majorHAnsi" w:hAnsiTheme="majorHAnsi"/>
            <w:spacing w:val="-2"/>
            <w:w w:val="105"/>
            <w:sz w:val="16"/>
            <w:szCs w:val="16"/>
            <w:u w:val="none"/>
          </w:rPr>
          <w:t>https://archimer.ifremer.fr/doc/00759/87129/</w:t>
        </w:r>
      </w:hyperlink>
    </w:p>
  </w:footnote>
  <w:footnote w:id="5">
    <w:p w14:paraId="500661E9" w14:textId="77777777" w:rsidR="00C029FB" w:rsidRPr="00EE07E3" w:rsidRDefault="00C029FB" w:rsidP="00C029FB">
      <w:pPr>
        <w:pStyle w:val="FootnoteText"/>
        <w:rPr>
          <w:rFonts w:asciiTheme="majorHAnsi" w:hAnsiTheme="majorHAnsi"/>
          <w:sz w:val="16"/>
          <w:szCs w:val="16"/>
          <w:lang w:val="en-US"/>
        </w:rPr>
      </w:pPr>
      <w:r w:rsidRPr="00EE07E3">
        <w:rPr>
          <w:rStyle w:val="FootnoteReference"/>
          <w:rFonts w:asciiTheme="majorHAnsi" w:hAnsiTheme="majorHAnsi"/>
          <w:sz w:val="16"/>
          <w:szCs w:val="16"/>
        </w:rPr>
        <w:footnoteRef/>
      </w:r>
      <w:r w:rsidRPr="00EE07E3">
        <w:rPr>
          <w:rFonts w:asciiTheme="majorHAnsi" w:hAnsiTheme="majorHAnsi"/>
          <w:sz w:val="16"/>
          <w:szCs w:val="16"/>
          <w:lang w:val="en-US"/>
        </w:rPr>
        <w:t xml:space="preserve"> </w:t>
      </w:r>
      <w:r w:rsidRPr="00EE07E3">
        <w:rPr>
          <w:rFonts w:asciiTheme="majorHAnsi" w:hAnsiTheme="majorHAnsi"/>
          <w:w w:val="105"/>
          <w:sz w:val="16"/>
          <w:szCs w:val="16"/>
          <w:lang w:val="en-US"/>
        </w:rPr>
        <w:t>Agreement</w:t>
      </w:r>
      <w:r w:rsidRPr="00EE07E3">
        <w:rPr>
          <w:rFonts w:asciiTheme="majorHAnsi" w:hAnsiTheme="majorHAnsi"/>
          <w:spacing w:val="-6"/>
          <w:w w:val="105"/>
          <w:sz w:val="16"/>
          <w:szCs w:val="16"/>
          <w:lang w:val="en-US"/>
        </w:rPr>
        <w:t xml:space="preserve"> </w:t>
      </w:r>
      <w:r w:rsidRPr="00EE07E3">
        <w:rPr>
          <w:rFonts w:asciiTheme="majorHAnsi" w:hAnsiTheme="majorHAnsi"/>
          <w:w w:val="105"/>
          <w:sz w:val="16"/>
          <w:szCs w:val="16"/>
          <w:lang w:val="en-US"/>
        </w:rPr>
        <w:t>on</w:t>
      </w:r>
      <w:r w:rsidRPr="00EE07E3">
        <w:rPr>
          <w:rFonts w:asciiTheme="majorHAnsi" w:hAnsiTheme="majorHAnsi"/>
          <w:spacing w:val="-8"/>
          <w:w w:val="105"/>
          <w:sz w:val="16"/>
          <w:szCs w:val="16"/>
          <w:lang w:val="en-US"/>
        </w:rPr>
        <w:t xml:space="preserve"> </w:t>
      </w:r>
      <w:r w:rsidRPr="00EE07E3">
        <w:rPr>
          <w:rFonts w:asciiTheme="majorHAnsi" w:hAnsiTheme="majorHAnsi"/>
          <w:w w:val="105"/>
          <w:sz w:val="16"/>
          <w:szCs w:val="16"/>
          <w:lang w:val="en-US"/>
        </w:rPr>
        <w:t>the</w:t>
      </w:r>
      <w:r w:rsidRPr="00EE07E3">
        <w:rPr>
          <w:rFonts w:asciiTheme="majorHAnsi" w:hAnsiTheme="majorHAnsi"/>
          <w:spacing w:val="-2"/>
          <w:w w:val="105"/>
          <w:sz w:val="16"/>
          <w:szCs w:val="16"/>
          <w:lang w:val="en-US"/>
        </w:rPr>
        <w:t xml:space="preserve"> </w:t>
      </w:r>
      <w:r w:rsidRPr="00EE07E3">
        <w:rPr>
          <w:rFonts w:asciiTheme="majorHAnsi" w:hAnsiTheme="majorHAnsi"/>
          <w:w w:val="105"/>
          <w:sz w:val="16"/>
          <w:szCs w:val="16"/>
          <w:lang w:val="en-US"/>
        </w:rPr>
        <w:t>Conservation</w:t>
      </w:r>
      <w:r w:rsidRPr="00EE07E3">
        <w:rPr>
          <w:rFonts w:asciiTheme="majorHAnsi" w:hAnsiTheme="majorHAnsi"/>
          <w:spacing w:val="-8"/>
          <w:w w:val="105"/>
          <w:sz w:val="16"/>
          <w:szCs w:val="16"/>
          <w:lang w:val="en-US"/>
        </w:rPr>
        <w:t xml:space="preserve"> </w:t>
      </w:r>
      <w:r w:rsidRPr="00EE07E3">
        <w:rPr>
          <w:rFonts w:asciiTheme="majorHAnsi" w:hAnsiTheme="majorHAnsi"/>
          <w:w w:val="105"/>
          <w:sz w:val="16"/>
          <w:szCs w:val="16"/>
          <w:lang w:val="en-US"/>
        </w:rPr>
        <w:t>of</w:t>
      </w:r>
      <w:r w:rsidRPr="00EE07E3">
        <w:rPr>
          <w:rFonts w:asciiTheme="majorHAnsi" w:hAnsiTheme="majorHAnsi"/>
          <w:spacing w:val="-8"/>
          <w:w w:val="105"/>
          <w:sz w:val="16"/>
          <w:szCs w:val="16"/>
          <w:lang w:val="en-US"/>
        </w:rPr>
        <w:t xml:space="preserve"> </w:t>
      </w:r>
      <w:r w:rsidRPr="00EE07E3">
        <w:rPr>
          <w:rFonts w:asciiTheme="majorHAnsi" w:hAnsiTheme="majorHAnsi"/>
          <w:w w:val="105"/>
          <w:sz w:val="16"/>
          <w:szCs w:val="16"/>
          <w:lang w:val="en-US"/>
        </w:rPr>
        <w:t>Albatrosses</w:t>
      </w:r>
      <w:r w:rsidRPr="00EE07E3">
        <w:rPr>
          <w:rFonts w:asciiTheme="majorHAnsi" w:hAnsiTheme="majorHAnsi"/>
          <w:spacing w:val="-10"/>
          <w:w w:val="105"/>
          <w:sz w:val="16"/>
          <w:szCs w:val="16"/>
          <w:lang w:val="en-US"/>
        </w:rPr>
        <w:t xml:space="preserve"> </w:t>
      </w:r>
      <w:r w:rsidRPr="00EE07E3">
        <w:rPr>
          <w:rFonts w:asciiTheme="majorHAnsi" w:hAnsiTheme="majorHAnsi"/>
          <w:w w:val="105"/>
          <w:sz w:val="16"/>
          <w:szCs w:val="16"/>
          <w:lang w:val="en-US"/>
        </w:rPr>
        <w:t>and</w:t>
      </w:r>
      <w:r w:rsidRPr="00EE07E3">
        <w:rPr>
          <w:rFonts w:asciiTheme="majorHAnsi" w:hAnsiTheme="majorHAnsi"/>
          <w:spacing w:val="-9"/>
          <w:w w:val="105"/>
          <w:sz w:val="16"/>
          <w:szCs w:val="16"/>
          <w:lang w:val="en-US"/>
        </w:rPr>
        <w:t xml:space="preserve"> </w:t>
      </w:r>
      <w:r w:rsidRPr="00EE07E3">
        <w:rPr>
          <w:rFonts w:asciiTheme="majorHAnsi" w:hAnsiTheme="majorHAnsi"/>
          <w:spacing w:val="-2"/>
          <w:w w:val="105"/>
          <w:sz w:val="16"/>
          <w:szCs w:val="16"/>
          <w:lang w:val="en-US"/>
        </w:rPr>
        <w:t xml:space="preserve">Petrels </w:t>
      </w:r>
    </w:p>
  </w:footnote>
  <w:footnote w:id="6">
    <w:p w14:paraId="1FE6F4D3" w14:textId="77777777" w:rsidR="00C029FB" w:rsidRPr="00C56799" w:rsidRDefault="00C029FB" w:rsidP="00C029FB">
      <w:pPr>
        <w:pStyle w:val="FootnoteText"/>
        <w:rPr>
          <w:lang w:val="en-US"/>
        </w:rPr>
      </w:pPr>
      <w:r w:rsidRPr="00EE07E3">
        <w:rPr>
          <w:rStyle w:val="FootnoteReference"/>
          <w:rFonts w:asciiTheme="majorHAnsi" w:hAnsiTheme="majorHAnsi"/>
          <w:sz w:val="16"/>
          <w:szCs w:val="16"/>
        </w:rPr>
        <w:footnoteRef/>
      </w:r>
      <w:r w:rsidRPr="00EE07E3">
        <w:rPr>
          <w:rFonts w:asciiTheme="majorHAnsi" w:hAnsiTheme="majorHAnsi"/>
          <w:sz w:val="16"/>
          <w:szCs w:val="16"/>
        </w:rPr>
        <w:t xml:space="preserve"> </w:t>
      </w:r>
      <w:r w:rsidRPr="00EE07E3">
        <w:rPr>
          <w:rFonts w:asciiTheme="majorHAnsi" w:hAnsiTheme="majorHAnsi"/>
          <w:w w:val="105"/>
          <w:sz w:val="16"/>
          <w:szCs w:val="16"/>
        </w:rPr>
        <w:t>Cortés</w:t>
      </w:r>
      <w:r w:rsidRPr="00EE07E3">
        <w:rPr>
          <w:rFonts w:asciiTheme="majorHAnsi" w:hAnsiTheme="majorHAnsi"/>
          <w:spacing w:val="-3"/>
          <w:w w:val="105"/>
          <w:sz w:val="16"/>
          <w:szCs w:val="16"/>
        </w:rPr>
        <w:t xml:space="preserve"> </w:t>
      </w:r>
      <w:r w:rsidRPr="00EE07E3">
        <w:rPr>
          <w:rFonts w:asciiTheme="majorHAnsi" w:hAnsiTheme="majorHAnsi"/>
          <w:w w:val="105"/>
          <w:sz w:val="16"/>
          <w:szCs w:val="16"/>
        </w:rPr>
        <w:t>et</w:t>
      </w:r>
      <w:r w:rsidRPr="00EE07E3">
        <w:rPr>
          <w:rFonts w:asciiTheme="majorHAnsi" w:hAnsiTheme="majorHAnsi"/>
          <w:spacing w:val="-1"/>
          <w:w w:val="105"/>
          <w:sz w:val="16"/>
          <w:szCs w:val="16"/>
        </w:rPr>
        <w:t xml:space="preserve"> </w:t>
      </w:r>
      <w:r w:rsidRPr="00EE07E3">
        <w:rPr>
          <w:rFonts w:asciiTheme="majorHAnsi" w:hAnsiTheme="majorHAnsi"/>
          <w:w w:val="105"/>
          <w:sz w:val="16"/>
          <w:szCs w:val="16"/>
        </w:rPr>
        <w:t>al.</w:t>
      </w:r>
      <w:r w:rsidRPr="00EE07E3">
        <w:rPr>
          <w:rFonts w:asciiTheme="majorHAnsi" w:hAnsiTheme="majorHAnsi"/>
          <w:spacing w:val="-3"/>
          <w:w w:val="105"/>
          <w:sz w:val="16"/>
          <w:szCs w:val="16"/>
        </w:rPr>
        <w:t xml:space="preserve"> </w:t>
      </w:r>
      <w:r w:rsidRPr="00EE07E3">
        <w:rPr>
          <w:rFonts w:asciiTheme="majorHAnsi" w:hAnsiTheme="majorHAnsi"/>
          <w:w w:val="105"/>
          <w:sz w:val="16"/>
          <w:szCs w:val="16"/>
        </w:rPr>
        <w:t>/ Báez</w:t>
      </w:r>
      <w:r w:rsidRPr="00EE07E3">
        <w:rPr>
          <w:rFonts w:asciiTheme="majorHAnsi" w:hAnsiTheme="majorHAnsi"/>
          <w:spacing w:val="2"/>
          <w:w w:val="105"/>
          <w:sz w:val="16"/>
          <w:szCs w:val="16"/>
        </w:rPr>
        <w:t xml:space="preserve"> </w:t>
      </w:r>
      <w:r w:rsidRPr="00EE07E3">
        <w:rPr>
          <w:rFonts w:asciiTheme="majorHAnsi" w:hAnsiTheme="majorHAnsi"/>
          <w:w w:val="105"/>
          <w:sz w:val="16"/>
          <w:szCs w:val="16"/>
        </w:rPr>
        <w:t>et</w:t>
      </w:r>
      <w:r w:rsidRPr="00EE07E3">
        <w:rPr>
          <w:rFonts w:asciiTheme="majorHAnsi" w:hAnsiTheme="majorHAnsi"/>
          <w:spacing w:val="-1"/>
          <w:w w:val="105"/>
          <w:sz w:val="16"/>
          <w:szCs w:val="16"/>
        </w:rPr>
        <w:t xml:space="preserve"> </w:t>
      </w:r>
      <w:r w:rsidRPr="00EE07E3">
        <w:rPr>
          <w:rFonts w:asciiTheme="majorHAnsi" w:hAnsiTheme="majorHAnsi"/>
          <w:w w:val="105"/>
          <w:sz w:val="16"/>
          <w:szCs w:val="16"/>
        </w:rPr>
        <w:t>al.</w:t>
      </w:r>
      <w:r w:rsidRPr="00EE07E3">
        <w:rPr>
          <w:rFonts w:asciiTheme="majorHAnsi" w:hAnsiTheme="majorHAnsi"/>
          <w:spacing w:val="-3"/>
          <w:w w:val="105"/>
          <w:sz w:val="16"/>
          <w:szCs w:val="16"/>
        </w:rPr>
        <w:t xml:space="preserve"> </w:t>
      </w:r>
      <w:r w:rsidRPr="00EE07E3">
        <w:rPr>
          <w:rFonts w:asciiTheme="majorHAnsi" w:hAnsiTheme="majorHAnsi"/>
          <w:w w:val="105"/>
          <w:sz w:val="16"/>
          <w:szCs w:val="16"/>
        </w:rPr>
        <w:t>(PLOS</w:t>
      </w:r>
      <w:r w:rsidRPr="00EE07E3">
        <w:rPr>
          <w:rFonts w:asciiTheme="majorHAnsi" w:hAnsiTheme="majorHAnsi"/>
          <w:spacing w:val="1"/>
          <w:w w:val="105"/>
          <w:sz w:val="16"/>
          <w:szCs w:val="16"/>
        </w:rPr>
        <w:t xml:space="preserve"> </w:t>
      </w:r>
      <w:r w:rsidRPr="00EE07E3">
        <w:rPr>
          <w:rFonts w:asciiTheme="majorHAnsi" w:hAnsiTheme="majorHAnsi"/>
          <w:w w:val="105"/>
          <w:sz w:val="16"/>
          <w:szCs w:val="16"/>
        </w:rPr>
        <w:t>One</w:t>
      </w:r>
      <w:r w:rsidRPr="00EE07E3">
        <w:rPr>
          <w:rFonts w:asciiTheme="majorHAnsi" w:hAnsiTheme="majorHAnsi"/>
          <w:spacing w:val="-2"/>
          <w:w w:val="105"/>
          <w:sz w:val="16"/>
          <w:szCs w:val="16"/>
        </w:rPr>
        <w:t xml:space="preserve"> </w:t>
      </w:r>
      <w:r w:rsidRPr="00EE07E3">
        <w:rPr>
          <w:rFonts w:asciiTheme="majorHAnsi" w:hAnsiTheme="majorHAnsi"/>
          <w:spacing w:val="-4"/>
          <w:w w:val="105"/>
          <w:sz w:val="16"/>
          <w:szCs w:val="16"/>
        </w:rPr>
        <w:t>2018)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760A95" w14:textId="04E2F752" w:rsidR="00772B03" w:rsidRPr="00772B03" w:rsidRDefault="00772B03" w:rsidP="00772B03">
    <w:pPr>
      <w:pStyle w:val="Header"/>
      <w:jc w:val="right"/>
      <w:rPr>
        <w:rFonts w:asciiTheme="majorHAnsi" w:eastAsia="Calibri" w:hAnsiTheme="majorHAnsi"/>
        <w:b/>
        <w:bCs/>
        <w:sz w:val="20"/>
        <w:szCs w:val="20"/>
      </w:rPr>
    </w:pPr>
    <w:r>
      <w:rPr>
        <w:rFonts w:asciiTheme="majorHAnsi" w:hAnsiTheme="majorHAnsi"/>
        <w:b/>
        <w:sz w:val="20"/>
      </w:rPr>
      <w:t>PWG_414/2026</w:t>
    </w:r>
  </w:p>
  <w:p w14:paraId="57BCD61A" w14:textId="0980DC43" w:rsidR="00243872" w:rsidRPr="00772B03" w:rsidRDefault="00772B03" w:rsidP="00772B03">
    <w:pPr>
      <w:pStyle w:val="Header"/>
      <w:jc w:val="right"/>
    </w:pPr>
    <w:r>
      <w:rPr>
        <w:rFonts w:asciiTheme="majorHAnsi" w:hAnsiTheme="majorHAnsi"/>
        <w:b/>
        <w:sz w:val="20"/>
      </w:rPr>
      <w:t>01/10/2026 23:01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CDF91E" w14:textId="2D70284B" w:rsidR="00313F99" w:rsidRPr="001F5D7D" w:rsidRDefault="00911AF6" w:rsidP="001F5D7D">
    <w:pPr>
      <w:pStyle w:val="Header"/>
      <w:jc w:val="right"/>
      <w:rPr>
        <w:rFonts w:asciiTheme="majorHAnsi" w:eastAsia="Calibri" w:hAnsiTheme="majorHAnsi"/>
        <w:b/>
        <w:bCs/>
        <w:sz w:val="20"/>
        <w:szCs w:val="20"/>
      </w:rPr>
    </w:pPr>
    <w:r>
      <w:rPr>
        <w:rFonts w:asciiTheme="majorHAnsi" w:hAnsiTheme="majorHAnsi"/>
        <w:b/>
        <w:sz w:val="20"/>
      </w:rPr>
      <w:t>TÜRKIYE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598B7D" w14:textId="6DD89932" w:rsidR="00A300A4" w:rsidRPr="00A300A4" w:rsidRDefault="00A300A4" w:rsidP="00A300A4">
    <w:pPr>
      <w:pStyle w:val="Header"/>
      <w:jc w:val="right"/>
      <w:rPr>
        <w:rFonts w:asciiTheme="majorHAnsi" w:eastAsia="Calibri" w:hAnsiTheme="majorHAnsi"/>
        <w:b/>
        <w:bCs/>
        <w:sz w:val="20"/>
        <w:szCs w:val="20"/>
        <w:lang w:val="en-US"/>
      </w:rPr>
    </w:pPr>
    <w:r>
      <w:rPr>
        <w:rFonts w:asciiTheme="majorHAnsi" w:hAnsiTheme="majorHAnsi"/>
        <w:b/>
        <w:sz w:val="20"/>
        <w:lang w:val="en-US"/>
      </w:rPr>
      <w:t>UNION EUROPÉENNE</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0F69C0" w14:textId="072FDEA4" w:rsidR="00A300A4" w:rsidRPr="00A300A4" w:rsidRDefault="00A300A4" w:rsidP="00A300A4">
    <w:pPr>
      <w:pStyle w:val="Header"/>
      <w:jc w:val="right"/>
      <w:rPr>
        <w:rFonts w:asciiTheme="majorHAnsi" w:eastAsia="Calibri" w:hAnsiTheme="majorHAnsi"/>
        <w:b/>
        <w:bCs/>
        <w:sz w:val="20"/>
        <w:szCs w:val="20"/>
        <w:lang w:val="en-US"/>
      </w:rPr>
    </w:pPr>
    <w:r>
      <w:rPr>
        <w:rFonts w:asciiTheme="majorHAnsi" w:hAnsiTheme="majorHAnsi"/>
        <w:b/>
        <w:sz w:val="20"/>
        <w:lang w:val="en-US"/>
      </w:rPr>
      <w:t>JAPON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name w:val="WW8Num1"/>
    <w:lvl w:ilvl="0">
      <w:start w:val="2"/>
      <w:numFmt w:val="bullet"/>
      <w:lvlText w:val="-"/>
      <w:lvlJc w:val="left"/>
      <w:pPr>
        <w:tabs>
          <w:tab w:val="num" w:pos="7928"/>
        </w:tabs>
        <w:ind w:left="8648" w:hanging="360"/>
      </w:pPr>
      <w:rPr>
        <w:rFonts w:ascii="Arial Unicode MS" w:hAnsi="Arial Unicode MS" w:cs="Arial Unicode MS"/>
      </w:rPr>
    </w:lvl>
  </w:abstractNum>
  <w:abstractNum w:abstractNumId="1" w15:restartNumberingAfterBreak="0">
    <w:nsid w:val="03A46398"/>
    <w:multiLevelType w:val="hybridMultilevel"/>
    <w:tmpl w:val="73306C78"/>
    <w:lvl w:ilvl="0" w:tplc="CE622E0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6B2DB9"/>
    <w:multiLevelType w:val="multilevel"/>
    <w:tmpl w:val="675A56D4"/>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EEF06D6"/>
    <w:multiLevelType w:val="multilevel"/>
    <w:tmpl w:val="F8C64D72"/>
    <w:lvl w:ilvl="0">
      <w:start w:val="6"/>
      <w:numFmt w:val="decimal"/>
      <w:lvlText w:val="%1"/>
      <w:lvlJc w:val="left"/>
      <w:pPr>
        <w:tabs>
          <w:tab w:val="num" w:pos="405"/>
        </w:tabs>
        <w:ind w:left="405" w:hanging="405"/>
      </w:pPr>
      <w:rPr>
        <w:rFonts w:hint="default"/>
      </w:rPr>
    </w:lvl>
    <w:lvl w:ilvl="1">
      <w:start w:val="5"/>
      <w:numFmt w:val="decimal"/>
      <w:lvlText w:val="%1.%2"/>
      <w:lvlJc w:val="left"/>
      <w:pPr>
        <w:tabs>
          <w:tab w:val="num" w:pos="705"/>
        </w:tabs>
        <w:ind w:left="705" w:hanging="405"/>
      </w:pPr>
      <w:rPr>
        <w:rFonts w:hint="default"/>
      </w:rPr>
    </w:lvl>
    <w:lvl w:ilvl="2">
      <w:start w:val="1"/>
      <w:numFmt w:val="decimal"/>
      <w:lvlText w:val="%1.%2.%3"/>
      <w:lvlJc w:val="left"/>
      <w:pPr>
        <w:tabs>
          <w:tab w:val="num" w:pos="1320"/>
        </w:tabs>
        <w:ind w:left="1320" w:hanging="720"/>
      </w:pPr>
      <w:rPr>
        <w:rFonts w:hint="default"/>
      </w:rPr>
    </w:lvl>
    <w:lvl w:ilvl="3">
      <w:start w:val="1"/>
      <w:numFmt w:val="decimal"/>
      <w:lvlText w:val="%1.%2.%3.%4"/>
      <w:lvlJc w:val="left"/>
      <w:pPr>
        <w:tabs>
          <w:tab w:val="num" w:pos="1620"/>
        </w:tabs>
        <w:ind w:left="1620" w:hanging="720"/>
      </w:pPr>
      <w:rPr>
        <w:rFonts w:hint="default"/>
      </w:rPr>
    </w:lvl>
    <w:lvl w:ilvl="4">
      <w:start w:val="1"/>
      <w:numFmt w:val="decimal"/>
      <w:lvlText w:val="%1.%2.%3.%4.%5"/>
      <w:lvlJc w:val="left"/>
      <w:pPr>
        <w:tabs>
          <w:tab w:val="num" w:pos="1920"/>
        </w:tabs>
        <w:ind w:left="1920" w:hanging="720"/>
      </w:pPr>
      <w:rPr>
        <w:rFonts w:hint="default"/>
      </w:rPr>
    </w:lvl>
    <w:lvl w:ilvl="5">
      <w:start w:val="1"/>
      <w:numFmt w:val="decimal"/>
      <w:lvlText w:val="%1.%2.%3.%4.%5.%6"/>
      <w:lvlJc w:val="left"/>
      <w:pPr>
        <w:tabs>
          <w:tab w:val="num" w:pos="2580"/>
        </w:tabs>
        <w:ind w:left="2580" w:hanging="1080"/>
      </w:pPr>
      <w:rPr>
        <w:rFonts w:hint="default"/>
      </w:rPr>
    </w:lvl>
    <w:lvl w:ilvl="6">
      <w:start w:val="1"/>
      <w:numFmt w:val="decimal"/>
      <w:lvlText w:val="%1.%2.%3.%4.%5.%6.%7"/>
      <w:lvlJc w:val="left"/>
      <w:pPr>
        <w:tabs>
          <w:tab w:val="num" w:pos="2880"/>
        </w:tabs>
        <w:ind w:left="2880" w:hanging="1080"/>
      </w:pPr>
      <w:rPr>
        <w:rFonts w:hint="default"/>
      </w:rPr>
    </w:lvl>
    <w:lvl w:ilvl="7">
      <w:start w:val="1"/>
      <w:numFmt w:val="decimal"/>
      <w:lvlText w:val="%1.%2.%3.%4.%5.%6.%7.%8"/>
      <w:lvlJc w:val="left"/>
      <w:pPr>
        <w:tabs>
          <w:tab w:val="num" w:pos="3540"/>
        </w:tabs>
        <w:ind w:left="3540" w:hanging="1440"/>
      </w:pPr>
      <w:rPr>
        <w:rFonts w:hint="default"/>
      </w:rPr>
    </w:lvl>
    <w:lvl w:ilvl="8">
      <w:start w:val="1"/>
      <w:numFmt w:val="decimal"/>
      <w:lvlText w:val="%1.%2.%3.%4.%5.%6.%7.%8.%9"/>
      <w:lvlJc w:val="left"/>
      <w:pPr>
        <w:tabs>
          <w:tab w:val="num" w:pos="3840"/>
        </w:tabs>
        <w:ind w:left="3840" w:hanging="1440"/>
      </w:pPr>
      <w:rPr>
        <w:rFonts w:hint="default"/>
      </w:rPr>
    </w:lvl>
  </w:abstractNum>
  <w:abstractNum w:abstractNumId="4" w15:restartNumberingAfterBreak="0">
    <w:nsid w:val="13A01938"/>
    <w:multiLevelType w:val="hybridMultilevel"/>
    <w:tmpl w:val="74D0EE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46E0243"/>
    <w:multiLevelType w:val="hybridMultilevel"/>
    <w:tmpl w:val="948892E0"/>
    <w:lvl w:ilvl="0" w:tplc="A4B09B34">
      <w:numFmt w:val="bullet"/>
      <w:lvlText w:val="-"/>
      <w:lvlJc w:val="left"/>
      <w:pPr>
        <w:ind w:left="720" w:hanging="360"/>
      </w:pPr>
      <w:rPr>
        <w:rFonts w:ascii="Cambria" w:eastAsia="Times New Roman" w:hAnsi="Cambri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8D13E7F"/>
    <w:multiLevelType w:val="hybridMultilevel"/>
    <w:tmpl w:val="CB8A10C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9A0582E"/>
    <w:multiLevelType w:val="hybridMultilevel"/>
    <w:tmpl w:val="9B882278"/>
    <w:lvl w:ilvl="0" w:tplc="B7D03F24">
      <w:start w:val="1"/>
      <w:numFmt w:val="decimal"/>
      <w:lvlText w:val="%1."/>
      <w:lvlJc w:val="left"/>
      <w:pPr>
        <w:ind w:left="720" w:hanging="360"/>
      </w:pPr>
      <w:rPr>
        <w:rFonts w:hint="default"/>
        <w:w w:val="105"/>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9B94FF1"/>
    <w:multiLevelType w:val="hybridMultilevel"/>
    <w:tmpl w:val="2B9C53FC"/>
    <w:lvl w:ilvl="0" w:tplc="CA7A4C0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9C23C80"/>
    <w:multiLevelType w:val="hybridMultilevel"/>
    <w:tmpl w:val="7C74F7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A0547C2"/>
    <w:multiLevelType w:val="hybridMultilevel"/>
    <w:tmpl w:val="882EBD1C"/>
    <w:lvl w:ilvl="0" w:tplc="054CADEA">
      <w:start w:val="1"/>
      <w:numFmt w:val="lowerLetter"/>
      <w:lvlText w:val="(%1)"/>
      <w:lvlJc w:val="left"/>
      <w:pPr>
        <w:ind w:left="792" w:hanging="432"/>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B755E85"/>
    <w:multiLevelType w:val="hybridMultilevel"/>
    <w:tmpl w:val="E4923E2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2CDE73BC"/>
    <w:multiLevelType w:val="hybridMultilevel"/>
    <w:tmpl w:val="6C961DCE"/>
    <w:lvl w:ilvl="0" w:tplc="78001EA8">
      <w:start w:val="1"/>
      <w:numFmt w:val="decimal"/>
      <w:lvlText w:val="%1."/>
      <w:lvlJc w:val="left"/>
      <w:pPr>
        <w:ind w:left="1068"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2D8E621E"/>
    <w:multiLevelType w:val="hybridMultilevel"/>
    <w:tmpl w:val="71E2489C"/>
    <w:lvl w:ilvl="0" w:tplc="BA3ABCE0">
      <w:start w:val="1"/>
      <w:numFmt w:val="decimal"/>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14" w15:restartNumberingAfterBreak="0">
    <w:nsid w:val="2E05283D"/>
    <w:multiLevelType w:val="hybridMultilevel"/>
    <w:tmpl w:val="29D2B948"/>
    <w:lvl w:ilvl="0" w:tplc="C0E81940">
      <w:start w:val="3"/>
      <w:numFmt w:val="bullet"/>
      <w:lvlText w:val="-"/>
      <w:lvlJc w:val="left"/>
      <w:pPr>
        <w:ind w:left="720" w:hanging="360"/>
      </w:pPr>
      <w:rPr>
        <w:rFonts w:ascii="TimesNewRomanPSMT" w:eastAsia="Times New Roman" w:hAnsi="TimesNewRomanPSMT" w:cs="TimesNewRomanPSMT"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2FA80817"/>
    <w:multiLevelType w:val="multilevel"/>
    <w:tmpl w:val="32AA02EC"/>
    <w:lvl w:ilvl="0">
      <w:start w:val="1"/>
      <w:numFmt w:val="decimal"/>
      <w:lvlText w:val="%1."/>
      <w:lvlJc w:val="left"/>
      <w:pPr>
        <w:ind w:left="360" w:hanging="360"/>
      </w:pPr>
      <w:rPr>
        <w:rFonts w:hint="default"/>
      </w:rPr>
    </w:lvl>
    <w:lvl w:ilvl="1">
      <w:start w:val="1"/>
      <w:numFmt w:val="lowerLetter"/>
      <w:lvlText w:val="%2)"/>
      <w:lvlJc w:val="left"/>
      <w:pPr>
        <w:ind w:left="792" w:hanging="432"/>
      </w:pPr>
    </w:lvl>
    <w:lvl w:ilvl="2">
      <w:start w:val="1"/>
      <w:numFmt w:val="decimal"/>
      <w:lvlText w:val="%1.%2.%3."/>
      <w:lvlJc w:val="left"/>
      <w:pPr>
        <w:ind w:left="1224" w:hanging="504"/>
      </w:pPr>
    </w:lvl>
    <w:lvl w:ilvl="3">
      <w:start w:val="1"/>
      <w:numFmt w:val="lowerRoman"/>
      <w:lvlText w:val="%4."/>
      <w:lvlJc w:val="righ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35472413"/>
    <w:multiLevelType w:val="hybridMultilevel"/>
    <w:tmpl w:val="B5DAF45C"/>
    <w:lvl w:ilvl="0" w:tplc="FFFFFFFF">
      <w:numFmt w:val="bullet"/>
      <w:lvlText w:val="–"/>
      <w:lvlJc w:val="left"/>
      <w:pPr>
        <w:ind w:left="720" w:hanging="360"/>
      </w:pPr>
      <w:rPr>
        <w:rFonts w:ascii="Cambria" w:eastAsia="MS Gothic" w:hAnsi="Cambria" w:cs="Times New Roman" w:hint="default"/>
      </w:rPr>
    </w:lvl>
    <w:lvl w:ilvl="1" w:tplc="2F94BCF8">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36F7526C"/>
    <w:multiLevelType w:val="multilevel"/>
    <w:tmpl w:val="A394D112"/>
    <w:lvl w:ilvl="0">
      <w:start w:val="5"/>
      <w:numFmt w:val="decimal"/>
      <w:lvlText w:val="%1"/>
      <w:lvlJc w:val="left"/>
      <w:pPr>
        <w:tabs>
          <w:tab w:val="num" w:pos="360"/>
        </w:tabs>
        <w:ind w:left="360" w:hanging="360"/>
      </w:pPr>
      <w:rPr>
        <w:rFonts w:hint="default"/>
      </w:rPr>
    </w:lvl>
    <w:lvl w:ilvl="1">
      <w:start w:val="2"/>
      <w:numFmt w:val="decimal"/>
      <w:lvlText w:val="%1.%2"/>
      <w:lvlJc w:val="left"/>
      <w:pPr>
        <w:tabs>
          <w:tab w:val="num" w:pos="660"/>
        </w:tabs>
        <w:ind w:left="660" w:hanging="360"/>
      </w:pPr>
      <w:rPr>
        <w:rFonts w:hint="default"/>
      </w:rPr>
    </w:lvl>
    <w:lvl w:ilvl="2">
      <w:start w:val="1"/>
      <w:numFmt w:val="decimal"/>
      <w:lvlText w:val="%1.%2.%3"/>
      <w:lvlJc w:val="left"/>
      <w:pPr>
        <w:tabs>
          <w:tab w:val="num" w:pos="1320"/>
        </w:tabs>
        <w:ind w:left="1320" w:hanging="720"/>
      </w:pPr>
      <w:rPr>
        <w:rFonts w:hint="default"/>
      </w:rPr>
    </w:lvl>
    <w:lvl w:ilvl="3">
      <w:start w:val="1"/>
      <w:numFmt w:val="decimal"/>
      <w:lvlText w:val="%1.%2.%3.%4"/>
      <w:lvlJc w:val="left"/>
      <w:pPr>
        <w:tabs>
          <w:tab w:val="num" w:pos="1620"/>
        </w:tabs>
        <w:ind w:left="1620" w:hanging="720"/>
      </w:pPr>
      <w:rPr>
        <w:rFonts w:hint="default"/>
      </w:rPr>
    </w:lvl>
    <w:lvl w:ilvl="4">
      <w:start w:val="1"/>
      <w:numFmt w:val="decimal"/>
      <w:lvlText w:val="%1.%2.%3.%4.%5"/>
      <w:lvlJc w:val="left"/>
      <w:pPr>
        <w:tabs>
          <w:tab w:val="num" w:pos="1920"/>
        </w:tabs>
        <w:ind w:left="1920" w:hanging="720"/>
      </w:pPr>
      <w:rPr>
        <w:rFonts w:hint="default"/>
      </w:rPr>
    </w:lvl>
    <w:lvl w:ilvl="5">
      <w:start w:val="1"/>
      <w:numFmt w:val="decimal"/>
      <w:lvlText w:val="%1.%2.%3.%4.%5.%6"/>
      <w:lvlJc w:val="left"/>
      <w:pPr>
        <w:tabs>
          <w:tab w:val="num" w:pos="2580"/>
        </w:tabs>
        <w:ind w:left="2580" w:hanging="1080"/>
      </w:pPr>
      <w:rPr>
        <w:rFonts w:hint="default"/>
      </w:rPr>
    </w:lvl>
    <w:lvl w:ilvl="6">
      <w:start w:val="1"/>
      <w:numFmt w:val="decimal"/>
      <w:lvlText w:val="%1.%2.%3.%4.%5.%6.%7"/>
      <w:lvlJc w:val="left"/>
      <w:pPr>
        <w:tabs>
          <w:tab w:val="num" w:pos="2880"/>
        </w:tabs>
        <w:ind w:left="2880" w:hanging="1080"/>
      </w:pPr>
      <w:rPr>
        <w:rFonts w:hint="default"/>
      </w:rPr>
    </w:lvl>
    <w:lvl w:ilvl="7">
      <w:start w:val="1"/>
      <w:numFmt w:val="decimal"/>
      <w:lvlText w:val="%1.%2.%3.%4.%5.%6.%7.%8"/>
      <w:lvlJc w:val="left"/>
      <w:pPr>
        <w:tabs>
          <w:tab w:val="num" w:pos="3540"/>
        </w:tabs>
        <w:ind w:left="3540" w:hanging="1440"/>
      </w:pPr>
      <w:rPr>
        <w:rFonts w:hint="default"/>
      </w:rPr>
    </w:lvl>
    <w:lvl w:ilvl="8">
      <w:start w:val="1"/>
      <w:numFmt w:val="decimal"/>
      <w:lvlText w:val="%1.%2.%3.%4.%5.%6.%7.%8.%9"/>
      <w:lvlJc w:val="left"/>
      <w:pPr>
        <w:tabs>
          <w:tab w:val="num" w:pos="3840"/>
        </w:tabs>
        <w:ind w:left="3840" w:hanging="1440"/>
      </w:pPr>
      <w:rPr>
        <w:rFonts w:hint="default"/>
      </w:rPr>
    </w:lvl>
  </w:abstractNum>
  <w:abstractNum w:abstractNumId="18" w15:restartNumberingAfterBreak="0">
    <w:nsid w:val="36FC2383"/>
    <w:multiLevelType w:val="hybridMultilevel"/>
    <w:tmpl w:val="8D5C9EE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3F735191"/>
    <w:multiLevelType w:val="hybridMultilevel"/>
    <w:tmpl w:val="F3DA7574"/>
    <w:lvl w:ilvl="0" w:tplc="5CE06418">
      <w:numFmt w:val="bullet"/>
      <w:lvlText w:val="-"/>
      <w:lvlJc w:val="left"/>
      <w:pPr>
        <w:ind w:left="745" w:hanging="360"/>
      </w:pPr>
      <w:rPr>
        <w:rFonts w:ascii="Cambria" w:eastAsia="MS Gothic" w:hAnsi="Cambria" w:cs="Times New Roman" w:hint="default"/>
      </w:rPr>
    </w:lvl>
    <w:lvl w:ilvl="1" w:tplc="040C0003" w:tentative="1">
      <w:start w:val="1"/>
      <w:numFmt w:val="bullet"/>
      <w:lvlText w:val="o"/>
      <w:lvlJc w:val="left"/>
      <w:pPr>
        <w:ind w:left="1465" w:hanging="360"/>
      </w:pPr>
      <w:rPr>
        <w:rFonts w:ascii="Courier New" w:hAnsi="Courier New" w:cs="Courier New" w:hint="default"/>
      </w:rPr>
    </w:lvl>
    <w:lvl w:ilvl="2" w:tplc="040C0005" w:tentative="1">
      <w:start w:val="1"/>
      <w:numFmt w:val="bullet"/>
      <w:lvlText w:val=""/>
      <w:lvlJc w:val="left"/>
      <w:pPr>
        <w:ind w:left="2185" w:hanging="360"/>
      </w:pPr>
      <w:rPr>
        <w:rFonts w:ascii="Wingdings" w:hAnsi="Wingdings" w:hint="default"/>
      </w:rPr>
    </w:lvl>
    <w:lvl w:ilvl="3" w:tplc="040C0001" w:tentative="1">
      <w:start w:val="1"/>
      <w:numFmt w:val="bullet"/>
      <w:lvlText w:val=""/>
      <w:lvlJc w:val="left"/>
      <w:pPr>
        <w:ind w:left="2905" w:hanging="360"/>
      </w:pPr>
      <w:rPr>
        <w:rFonts w:ascii="Symbol" w:hAnsi="Symbol" w:hint="default"/>
      </w:rPr>
    </w:lvl>
    <w:lvl w:ilvl="4" w:tplc="040C0003" w:tentative="1">
      <w:start w:val="1"/>
      <w:numFmt w:val="bullet"/>
      <w:lvlText w:val="o"/>
      <w:lvlJc w:val="left"/>
      <w:pPr>
        <w:ind w:left="3625" w:hanging="360"/>
      </w:pPr>
      <w:rPr>
        <w:rFonts w:ascii="Courier New" w:hAnsi="Courier New" w:cs="Courier New" w:hint="default"/>
      </w:rPr>
    </w:lvl>
    <w:lvl w:ilvl="5" w:tplc="040C0005" w:tentative="1">
      <w:start w:val="1"/>
      <w:numFmt w:val="bullet"/>
      <w:lvlText w:val=""/>
      <w:lvlJc w:val="left"/>
      <w:pPr>
        <w:ind w:left="4345" w:hanging="360"/>
      </w:pPr>
      <w:rPr>
        <w:rFonts w:ascii="Wingdings" w:hAnsi="Wingdings" w:hint="default"/>
      </w:rPr>
    </w:lvl>
    <w:lvl w:ilvl="6" w:tplc="040C0001" w:tentative="1">
      <w:start w:val="1"/>
      <w:numFmt w:val="bullet"/>
      <w:lvlText w:val=""/>
      <w:lvlJc w:val="left"/>
      <w:pPr>
        <w:ind w:left="5065" w:hanging="360"/>
      </w:pPr>
      <w:rPr>
        <w:rFonts w:ascii="Symbol" w:hAnsi="Symbol" w:hint="default"/>
      </w:rPr>
    </w:lvl>
    <w:lvl w:ilvl="7" w:tplc="040C0003" w:tentative="1">
      <w:start w:val="1"/>
      <w:numFmt w:val="bullet"/>
      <w:lvlText w:val="o"/>
      <w:lvlJc w:val="left"/>
      <w:pPr>
        <w:ind w:left="5785" w:hanging="360"/>
      </w:pPr>
      <w:rPr>
        <w:rFonts w:ascii="Courier New" w:hAnsi="Courier New" w:cs="Courier New" w:hint="default"/>
      </w:rPr>
    </w:lvl>
    <w:lvl w:ilvl="8" w:tplc="040C0005" w:tentative="1">
      <w:start w:val="1"/>
      <w:numFmt w:val="bullet"/>
      <w:lvlText w:val=""/>
      <w:lvlJc w:val="left"/>
      <w:pPr>
        <w:ind w:left="6505" w:hanging="360"/>
      </w:pPr>
      <w:rPr>
        <w:rFonts w:ascii="Wingdings" w:hAnsi="Wingdings" w:hint="default"/>
      </w:rPr>
    </w:lvl>
  </w:abstractNum>
  <w:abstractNum w:abstractNumId="20" w15:restartNumberingAfterBreak="0">
    <w:nsid w:val="40037A91"/>
    <w:multiLevelType w:val="hybridMultilevel"/>
    <w:tmpl w:val="75E8BD64"/>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1021904"/>
    <w:multiLevelType w:val="multilevel"/>
    <w:tmpl w:val="D95C4966"/>
    <w:lvl w:ilvl="0">
      <w:start w:val="8"/>
      <w:numFmt w:val="decimal"/>
      <w:lvlText w:val="%1"/>
      <w:lvlJc w:val="left"/>
      <w:pPr>
        <w:tabs>
          <w:tab w:val="num" w:pos="405"/>
        </w:tabs>
        <w:ind w:left="405" w:hanging="405"/>
      </w:pPr>
      <w:rPr>
        <w:rFonts w:hint="default"/>
      </w:rPr>
    </w:lvl>
    <w:lvl w:ilvl="1">
      <w:start w:val="1"/>
      <w:numFmt w:val="decimal"/>
      <w:lvlText w:val="%1.%2"/>
      <w:lvlJc w:val="left"/>
      <w:pPr>
        <w:tabs>
          <w:tab w:val="num" w:pos="705"/>
        </w:tabs>
        <w:ind w:left="705" w:hanging="405"/>
      </w:pPr>
      <w:rPr>
        <w:rFonts w:hint="default"/>
      </w:rPr>
    </w:lvl>
    <w:lvl w:ilvl="2">
      <w:start w:val="1"/>
      <w:numFmt w:val="decimal"/>
      <w:lvlText w:val="%1.%2.%3"/>
      <w:lvlJc w:val="left"/>
      <w:pPr>
        <w:tabs>
          <w:tab w:val="num" w:pos="1320"/>
        </w:tabs>
        <w:ind w:left="1320" w:hanging="720"/>
      </w:pPr>
      <w:rPr>
        <w:rFonts w:hint="default"/>
      </w:rPr>
    </w:lvl>
    <w:lvl w:ilvl="3">
      <w:start w:val="1"/>
      <w:numFmt w:val="decimal"/>
      <w:lvlText w:val="%1.%2.%3.%4"/>
      <w:lvlJc w:val="left"/>
      <w:pPr>
        <w:tabs>
          <w:tab w:val="num" w:pos="1620"/>
        </w:tabs>
        <w:ind w:left="1620" w:hanging="720"/>
      </w:pPr>
      <w:rPr>
        <w:rFonts w:hint="default"/>
      </w:rPr>
    </w:lvl>
    <w:lvl w:ilvl="4">
      <w:start w:val="1"/>
      <w:numFmt w:val="decimal"/>
      <w:lvlText w:val="%1.%2.%3.%4.%5"/>
      <w:lvlJc w:val="left"/>
      <w:pPr>
        <w:tabs>
          <w:tab w:val="num" w:pos="1920"/>
        </w:tabs>
        <w:ind w:left="1920" w:hanging="720"/>
      </w:pPr>
      <w:rPr>
        <w:rFonts w:hint="default"/>
      </w:rPr>
    </w:lvl>
    <w:lvl w:ilvl="5">
      <w:start w:val="1"/>
      <w:numFmt w:val="decimal"/>
      <w:lvlText w:val="%1.%2.%3.%4.%5.%6"/>
      <w:lvlJc w:val="left"/>
      <w:pPr>
        <w:tabs>
          <w:tab w:val="num" w:pos="2580"/>
        </w:tabs>
        <w:ind w:left="2580" w:hanging="1080"/>
      </w:pPr>
      <w:rPr>
        <w:rFonts w:hint="default"/>
      </w:rPr>
    </w:lvl>
    <w:lvl w:ilvl="6">
      <w:start w:val="1"/>
      <w:numFmt w:val="decimal"/>
      <w:lvlText w:val="%1.%2.%3.%4.%5.%6.%7"/>
      <w:lvlJc w:val="left"/>
      <w:pPr>
        <w:tabs>
          <w:tab w:val="num" w:pos="2880"/>
        </w:tabs>
        <w:ind w:left="2880" w:hanging="1080"/>
      </w:pPr>
      <w:rPr>
        <w:rFonts w:hint="default"/>
      </w:rPr>
    </w:lvl>
    <w:lvl w:ilvl="7">
      <w:start w:val="1"/>
      <w:numFmt w:val="decimal"/>
      <w:lvlText w:val="%1.%2.%3.%4.%5.%6.%7.%8"/>
      <w:lvlJc w:val="left"/>
      <w:pPr>
        <w:tabs>
          <w:tab w:val="num" w:pos="3540"/>
        </w:tabs>
        <w:ind w:left="3540" w:hanging="1440"/>
      </w:pPr>
      <w:rPr>
        <w:rFonts w:hint="default"/>
      </w:rPr>
    </w:lvl>
    <w:lvl w:ilvl="8">
      <w:start w:val="1"/>
      <w:numFmt w:val="decimal"/>
      <w:lvlText w:val="%1.%2.%3.%4.%5.%6.%7.%8.%9"/>
      <w:lvlJc w:val="left"/>
      <w:pPr>
        <w:tabs>
          <w:tab w:val="num" w:pos="3840"/>
        </w:tabs>
        <w:ind w:left="3840" w:hanging="1440"/>
      </w:pPr>
      <w:rPr>
        <w:rFonts w:hint="default"/>
      </w:rPr>
    </w:lvl>
  </w:abstractNum>
  <w:abstractNum w:abstractNumId="22" w15:restartNumberingAfterBreak="0">
    <w:nsid w:val="4413568B"/>
    <w:multiLevelType w:val="hybridMultilevel"/>
    <w:tmpl w:val="12CCA298"/>
    <w:lvl w:ilvl="0" w:tplc="040C0017">
      <w:start w:val="1"/>
      <w:numFmt w:val="lowerLetter"/>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3" w15:restartNumberingAfterBreak="0">
    <w:nsid w:val="46EE6CA0"/>
    <w:multiLevelType w:val="multilevel"/>
    <w:tmpl w:val="EEFCEB42"/>
    <w:lvl w:ilvl="0">
      <w:start w:val="3"/>
      <w:numFmt w:val="bullet"/>
      <w:lvlText w:val="-"/>
      <w:lvlJc w:val="left"/>
      <w:pPr>
        <w:ind w:left="720" w:hanging="360"/>
      </w:pPr>
      <w:rPr>
        <w:rFonts w:ascii="Times New Roman" w:eastAsiaTheme="minorHAnsi" w:hAnsi="Times New Roman" w:cs="Times New Roman" w:hint="default"/>
      </w:rPr>
    </w:lvl>
    <w:lvl w:ilvl="1">
      <w:start w:val="1"/>
      <w:numFmt w:val="none"/>
      <w:suff w:val="nothing"/>
      <w:lvlText w:val=""/>
      <w:lvlJc w:val="left"/>
      <w:pPr>
        <w:ind w:left="1080" w:hanging="360"/>
      </w:pPr>
    </w:lvl>
    <w:lvl w:ilvl="2">
      <w:start w:val="1"/>
      <w:numFmt w:val="none"/>
      <w:suff w:val="nothing"/>
      <w:lvlText w:val=""/>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24" w15:restartNumberingAfterBreak="0">
    <w:nsid w:val="4B2D4888"/>
    <w:multiLevelType w:val="hybridMultilevel"/>
    <w:tmpl w:val="576E71C6"/>
    <w:lvl w:ilvl="0" w:tplc="2B36306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D684F4F"/>
    <w:multiLevelType w:val="hybridMultilevel"/>
    <w:tmpl w:val="B834296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9D767C6"/>
    <w:multiLevelType w:val="hybridMultilevel"/>
    <w:tmpl w:val="9078D0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AAF3BF2"/>
    <w:multiLevelType w:val="hybridMultilevel"/>
    <w:tmpl w:val="D91EE2A8"/>
    <w:lvl w:ilvl="0" w:tplc="23E6BA84">
      <w:start w:val="1"/>
      <w:numFmt w:val="decimal"/>
      <w:lvlText w:val="%1."/>
      <w:lvlJc w:val="left"/>
      <w:pPr>
        <w:ind w:left="720" w:hanging="360"/>
      </w:pPr>
      <w:rPr>
        <w:rFonts w:eastAsia="Calibri"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C212034"/>
    <w:multiLevelType w:val="hybridMultilevel"/>
    <w:tmpl w:val="12CCA298"/>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9" w15:restartNumberingAfterBreak="0">
    <w:nsid w:val="5CAD2095"/>
    <w:multiLevelType w:val="hybridMultilevel"/>
    <w:tmpl w:val="52D08DA8"/>
    <w:lvl w:ilvl="0" w:tplc="27F2C662">
      <w:start w:val="1"/>
      <w:numFmt w:val="bullet"/>
      <w:lvlText w:val="-"/>
      <w:lvlJc w:val="left"/>
      <w:pPr>
        <w:ind w:left="720" w:hanging="360"/>
      </w:pPr>
      <w:rPr>
        <w:rFonts w:ascii="Cambria" w:eastAsia="Calibri" w:hAnsi="Cambria"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CFE5658"/>
    <w:multiLevelType w:val="hybridMultilevel"/>
    <w:tmpl w:val="A49C68B8"/>
    <w:lvl w:ilvl="0" w:tplc="55AACD3A">
      <w:start w:val="894"/>
      <w:numFmt w:val="bullet"/>
      <w:lvlText w:val="-"/>
      <w:lvlJc w:val="left"/>
      <w:pPr>
        <w:ind w:left="720" w:hanging="360"/>
      </w:pPr>
      <w:rPr>
        <w:rFonts w:ascii="Cambria" w:eastAsia="MS Gothic" w:hAnsi="Cambri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109610F"/>
    <w:multiLevelType w:val="hybridMultilevel"/>
    <w:tmpl w:val="8C1224F2"/>
    <w:lvl w:ilvl="0" w:tplc="04090001">
      <w:start w:val="1"/>
      <w:numFmt w:val="bullet"/>
      <w:lvlText w:val=""/>
      <w:lvlJc w:val="left"/>
      <w:pPr>
        <w:tabs>
          <w:tab w:val="num" w:pos="1152"/>
        </w:tabs>
        <w:ind w:left="1152" w:hanging="360"/>
      </w:pPr>
      <w:rPr>
        <w:rFonts w:ascii="Symbol" w:hAnsi="Symbol" w:hint="default"/>
      </w:rPr>
    </w:lvl>
    <w:lvl w:ilvl="1" w:tplc="04090003" w:tentative="1">
      <w:start w:val="1"/>
      <w:numFmt w:val="bullet"/>
      <w:lvlText w:val="o"/>
      <w:lvlJc w:val="left"/>
      <w:pPr>
        <w:tabs>
          <w:tab w:val="num" w:pos="1872"/>
        </w:tabs>
        <w:ind w:left="1872" w:hanging="360"/>
      </w:pPr>
      <w:rPr>
        <w:rFonts w:ascii="Courier New" w:hAnsi="Courier New" w:cs="Courier New" w:hint="default"/>
      </w:rPr>
    </w:lvl>
    <w:lvl w:ilvl="2" w:tplc="04090005" w:tentative="1">
      <w:start w:val="1"/>
      <w:numFmt w:val="bullet"/>
      <w:lvlText w:val=""/>
      <w:lvlJc w:val="left"/>
      <w:pPr>
        <w:tabs>
          <w:tab w:val="num" w:pos="2592"/>
        </w:tabs>
        <w:ind w:left="2592" w:hanging="360"/>
      </w:pPr>
      <w:rPr>
        <w:rFonts w:ascii="Wingdings" w:hAnsi="Wingdings" w:hint="default"/>
      </w:rPr>
    </w:lvl>
    <w:lvl w:ilvl="3" w:tplc="04090001" w:tentative="1">
      <w:start w:val="1"/>
      <w:numFmt w:val="bullet"/>
      <w:lvlText w:val=""/>
      <w:lvlJc w:val="left"/>
      <w:pPr>
        <w:tabs>
          <w:tab w:val="num" w:pos="3312"/>
        </w:tabs>
        <w:ind w:left="3312" w:hanging="360"/>
      </w:pPr>
      <w:rPr>
        <w:rFonts w:ascii="Symbol" w:hAnsi="Symbol" w:hint="default"/>
      </w:rPr>
    </w:lvl>
    <w:lvl w:ilvl="4" w:tplc="04090003" w:tentative="1">
      <w:start w:val="1"/>
      <w:numFmt w:val="bullet"/>
      <w:lvlText w:val="o"/>
      <w:lvlJc w:val="left"/>
      <w:pPr>
        <w:tabs>
          <w:tab w:val="num" w:pos="4032"/>
        </w:tabs>
        <w:ind w:left="4032" w:hanging="360"/>
      </w:pPr>
      <w:rPr>
        <w:rFonts w:ascii="Courier New" w:hAnsi="Courier New" w:cs="Courier New" w:hint="default"/>
      </w:rPr>
    </w:lvl>
    <w:lvl w:ilvl="5" w:tplc="04090005" w:tentative="1">
      <w:start w:val="1"/>
      <w:numFmt w:val="bullet"/>
      <w:lvlText w:val=""/>
      <w:lvlJc w:val="left"/>
      <w:pPr>
        <w:tabs>
          <w:tab w:val="num" w:pos="4752"/>
        </w:tabs>
        <w:ind w:left="4752" w:hanging="360"/>
      </w:pPr>
      <w:rPr>
        <w:rFonts w:ascii="Wingdings" w:hAnsi="Wingdings" w:hint="default"/>
      </w:rPr>
    </w:lvl>
    <w:lvl w:ilvl="6" w:tplc="04090001" w:tentative="1">
      <w:start w:val="1"/>
      <w:numFmt w:val="bullet"/>
      <w:lvlText w:val=""/>
      <w:lvlJc w:val="left"/>
      <w:pPr>
        <w:tabs>
          <w:tab w:val="num" w:pos="5472"/>
        </w:tabs>
        <w:ind w:left="5472" w:hanging="360"/>
      </w:pPr>
      <w:rPr>
        <w:rFonts w:ascii="Symbol" w:hAnsi="Symbol" w:hint="default"/>
      </w:rPr>
    </w:lvl>
    <w:lvl w:ilvl="7" w:tplc="04090003" w:tentative="1">
      <w:start w:val="1"/>
      <w:numFmt w:val="bullet"/>
      <w:lvlText w:val="o"/>
      <w:lvlJc w:val="left"/>
      <w:pPr>
        <w:tabs>
          <w:tab w:val="num" w:pos="6192"/>
        </w:tabs>
        <w:ind w:left="6192" w:hanging="360"/>
      </w:pPr>
      <w:rPr>
        <w:rFonts w:ascii="Courier New" w:hAnsi="Courier New" w:cs="Courier New" w:hint="default"/>
      </w:rPr>
    </w:lvl>
    <w:lvl w:ilvl="8" w:tplc="04090005" w:tentative="1">
      <w:start w:val="1"/>
      <w:numFmt w:val="bullet"/>
      <w:lvlText w:val=""/>
      <w:lvlJc w:val="left"/>
      <w:pPr>
        <w:tabs>
          <w:tab w:val="num" w:pos="6912"/>
        </w:tabs>
        <w:ind w:left="6912" w:hanging="360"/>
      </w:pPr>
      <w:rPr>
        <w:rFonts w:ascii="Wingdings" w:hAnsi="Wingdings" w:hint="default"/>
      </w:rPr>
    </w:lvl>
  </w:abstractNum>
  <w:abstractNum w:abstractNumId="32" w15:restartNumberingAfterBreak="0">
    <w:nsid w:val="61763281"/>
    <w:multiLevelType w:val="hybridMultilevel"/>
    <w:tmpl w:val="C090F7BE"/>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33" w15:restartNumberingAfterBreak="0">
    <w:nsid w:val="63CF4E81"/>
    <w:multiLevelType w:val="hybridMultilevel"/>
    <w:tmpl w:val="6BD65A4C"/>
    <w:lvl w:ilvl="0" w:tplc="5ADE6AAA">
      <w:numFmt w:val="bullet"/>
      <w:lvlText w:val=""/>
      <w:lvlJc w:val="left"/>
      <w:pPr>
        <w:ind w:left="720" w:hanging="360"/>
      </w:pPr>
      <w:rPr>
        <w:rFonts w:ascii="Symbol" w:eastAsia="Calibri" w:hAnsi="Symbol" w:cs="Times New Roman"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34" w15:restartNumberingAfterBreak="0">
    <w:nsid w:val="6591291C"/>
    <w:multiLevelType w:val="hybridMultilevel"/>
    <w:tmpl w:val="8B34F55E"/>
    <w:lvl w:ilvl="0" w:tplc="A4B09B34">
      <w:numFmt w:val="bullet"/>
      <w:lvlText w:val="-"/>
      <w:lvlJc w:val="left"/>
      <w:pPr>
        <w:ind w:left="360" w:hanging="360"/>
      </w:pPr>
      <w:rPr>
        <w:rFonts w:ascii="Cambria" w:eastAsia="Times New Roman" w:hAnsi="Cambria"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669E795B"/>
    <w:multiLevelType w:val="hybridMultilevel"/>
    <w:tmpl w:val="FBB86E82"/>
    <w:lvl w:ilvl="0" w:tplc="7DDE46F0">
      <w:start w:val="1"/>
      <w:numFmt w:val="low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6DE10CD"/>
    <w:multiLevelType w:val="hybridMultilevel"/>
    <w:tmpl w:val="128E1EB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A120BA9"/>
    <w:multiLevelType w:val="hybridMultilevel"/>
    <w:tmpl w:val="F7C0156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C542AA5"/>
    <w:multiLevelType w:val="hybridMultilevel"/>
    <w:tmpl w:val="897AB7D4"/>
    <w:lvl w:ilvl="0" w:tplc="E10E5C72">
      <w:start w:val="1"/>
      <w:numFmt w:val="decimal"/>
      <w:lvlText w:val="%1."/>
      <w:lvlJc w:val="left"/>
      <w:pPr>
        <w:ind w:left="1068"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9" w15:restartNumberingAfterBreak="0">
    <w:nsid w:val="6C7C327C"/>
    <w:multiLevelType w:val="hybridMultilevel"/>
    <w:tmpl w:val="F1A03B9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6C890340"/>
    <w:multiLevelType w:val="multilevel"/>
    <w:tmpl w:val="1734922E"/>
    <w:lvl w:ilvl="0">
      <w:start w:val="1"/>
      <w:numFmt w:val="decimal"/>
      <w:lvlText w:val="%1."/>
      <w:lvlJc w:val="left"/>
      <w:pPr>
        <w:ind w:left="360" w:hanging="360"/>
      </w:pPr>
      <w:rPr>
        <w:rFonts w:hint="default"/>
      </w:rPr>
    </w:lvl>
    <w:lvl w:ilvl="1">
      <w:start w:val="1"/>
      <w:numFmt w:val="lowerLetter"/>
      <w:lvlText w:val="%2)"/>
      <w:lvlJc w:val="left"/>
      <w:pPr>
        <w:ind w:left="792" w:hanging="432"/>
      </w:pPr>
    </w:lvl>
    <w:lvl w:ilvl="2">
      <w:start w:val="1"/>
      <w:numFmt w:val="decimal"/>
      <w:lvlText w:val="%1.%2.%3."/>
      <w:lvlJc w:val="left"/>
      <w:pPr>
        <w:ind w:left="1224" w:hanging="504"/>
      </w:pPr>
    </w:lvl>
    <w:lvl w:ilvl="3">
      <w:start w:val="1"/>
      <w:numFmt w:val="lowerLetter"/>
      <w:lvlText w:val="%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715176E6"/>
    <w:multiLevelType w:val="hybridMultilevel"/>
    <w:tmpl w:val="0B669CF6"/>
    <w:lvl w:ilvl="0" w:tplc="C0EA68F6">
      <w:start w:val="3"/>
      <w:numFmt w:val="decimal"/>
      <w:lvlText w:val="%1.1."/>
      <w:lvlJc w:val="left"/>
      <w:pPr>
        <w:ind w:left="1125" w:hanging="360"/>
      </w:pPr>
      <w:rPr>
        <w:rFonts w:hint="default"/>
      </w:rPr>
    </w:lvl>
    <w:lvl w:ilvl="1" w:tplc="04090017">
      <w:start w:val="1"/>
      <w:numFmt w:val="lowerLetter"/>
      <w:lvlText w:val="%2)"/>
      <w:lvlJc w:val="left"/>
      <w:pPr>
        <w:ind w:left="1845" w:hanging="360"/>
      </w:pPr>
      <w:rPr>
        <w:sz w:val="20"/>
        <w:szCs w:val="20"/>
      </w:rPr>
    </w:lvl>
    <w:lvl w:ilvl="2" w:tplc="080C001B" w:tentative="1">
      <w:start w:val="1"/>
      <w:numFmt w:val="lowerRoman"/>
      <w:lvlText w:val="%3."/>
      <w:lvlJc w:val="right"/>
      <w:pPr>
        <w:ind w:left="2565" w:hanging="180"/>
      </w:pPr>
    </w:lvl>
    <w:lvl w:ilvl="3" w:tplc="080C000F" w:tentative="1">
      <w:start w:val="1"/>
      <w:numFmt w:val="decimal"/>
      <w:lvlText w:val="%4."/>
      <w:lvlJc w:val="left"/>
      <w:pPr>
        <w:ind w:left="3285" w:hanging="360"/>
      </w:pPr>
    </w:lvl>
    <w:lvl w:ilvl="4" w:tplc="080C0019" w:tentative="1">
      <w:start w:val="1"/>
      <w:numFmt w:val="lowerLetter"/>
      <w:lvlText w:val="%5."/>
      <w:lvlJc w:val="left"/>
      <w:pPr>
        <w:ind w:left="4005" w:hanging="360"/>
      </w:pPr>
    </w:lvl>
    <w:lvl w:ilvl="5" w:tplc="080C001B" w:tentative="1">
      <w:start w:val="1"/>
      <w:numFmt w:val="lowerRoman"/>
      <w:lvlText w:val="%6."/>
      <w:lvlJc w:val="right"/>
      <w:pPr>
        <w:ind w:left="4725" w:hanging="180"/>
      </w:pPr>
    </w:lvl>
    <w:lvl w:ilvl="6" w:tplc="080C000F" w:tentative="1">
      <w:start w:val="1"/>
      <w:numFmt w:val="decimal"/>
      <w:lvlText w:val="%7."/>
      <w:lvlJc w:val="left"/>
      <w:pPr>
        <w:ind w:left="5445" w:hanging="360"/>
      </w:pPr>
    </w:lvl>
    <w:lvl w:ilvl="7" w:tplc="080C0019" w:tentative="1">
      <w:start w:val="1"/>
      <w:numFmt w:val="lowerLetter"/>
      <w:lvlText w:val="%8."/>
      <w:lvlJc w:val="left"/>
      <w:pPr>
        <w:ind w:left="6165" w:hanging="360"/>
      </w:pPr>
    </w:lvl>
    <w:lvl w:ilvl="8" w:tplc="080C001B" w:tentative="1">
      <w:start w:val="1"/>
      <w:numFmt w:val="lowerRoman"/>
      <w:lvlText w:val="%9."/>
      <w:lvlJc w:val="right"/>
      <w:pPr>
        <w:ind w:left="6885" w:hanging="180"/>
      </w:pPr>
    </w:lvl>
  </w:abstractNum>
  <w:abstractNum w:abstractNumId="42" w15:restartNumberingAfterBreak="0">
    <w:nsid w:val="75784A6B"/>
    <w:multiLevelType w:val="hybridMultilevel"/>
    <w:tmpl w:val="77021172"/>
    <w:lvl w:ilvl="0" w:tplc="2D9E642A">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3" w15:restartNumberingAfterBreak="0">
    <w:nsid w:val="79EA54FF"/>
    <w:multiLevelType w:val="multilevel"/>
    <w:tmpl w:val="08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4" w15:restartNumberingAfterBreak="0">
    <w:nsid w:val="7BFD6A2B"/>
    <w:multiLevelType w:val="hybridMultilevel"/>
    <w:tmpl w:val="760E8204"/>
    <w:lvl w:ilvl="0" w:tplc="C0F02CEE">
      <w:start w:val="1"/>
      <w:numFmt w:val="decimal"/>
      <w:pStyle w:val="Heading2bis"/>
      <w:lvlText w:val="%1.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num w:numId="1" w16cid:durableId="1925459198">
    <w:abstractNumId w:val="3"/>
  </w:num>
  <w:num w:numId="2" w16cid:durableId="969243541">
    <w:abstractNumId w:val="21"/>
  </w:num>
  <w:num w:numId="3" w16cid:durableId="281420095">
    <w:abstractNumId w:val="17"/>
  </w:num>
  <w:num w:numId="4" w16cid:durableId="1718355350">
    <w:abstractNumId w:val="31"/>
  </w:num>
  <w:num w:numId="5" w16cid:durableId="652563746">
    <w:abstractNumId w:val="37"/>
  </w:num>
  <w:num w:numId="6" w16cid:durableId="761608996">
    <w:abstractNumId w:val="39"/>
  </w:num>
  <w:num w:numId="7" w16cid:durableId="885606142">
    <w:abstractNumId w:val="25"/>
  </w:num>
  <w:num w:numId="8" w16cid:durableId="1589343147">
    <w:abstractNumId w:val="20"/>
  </w:num>
  <w:num w:numId="9" w16cid:durableId="1571690860">
    <w:abstractNumId w:val="33"/>
  </w:num>
  <w:num w:numId="10" w16cid:durableId="1261177337">
    <w:abstractNumId w:val="18"/>
  </w:num>
  <w:num w:numId="11" w16cid:durableId="1000086672">
    <w:abstractNumId w:val="14"/>
  </w:num>
  <w:num w:numId="12" w16cid:durableId="977567308">
    <w:abstractNumId w:val="13"/>
  </w:num>
  <w:num w:numId="13" w16cid:durableId="768507898">
    <w:abstractNumId w:val="38"/>
  </w:num>
  <w:num w:numId="14" w16cid:durableId="1744794520">
    <w:abstractNumId w:val="12"/>
  </w:num>
  <w:num w:numId="15" w16cid:durableId="1814902774">
    <w:abstractNumId w:val="11"/>
  </w:num>
  <w:num w:numId="16" w16cid:durableId="181365519">
    <w:abstractNumId w:val="2"/>
  </w:num>
  <w:num w:numId="17" w16cid:durableId="444733533">
    <w:abstractNumId w:val="44"/>
  </w:num>
  <w:num w:numId="18" w16cid:durableId="1494298917">
    <w:abstractNumId w:val="40"/>
  </w:num>
  <w:num w:numId="19" w16cid:durableId="1940521658">
    <w:abstractNumId w:val="41"/>
  </w:num>
  <w:num w:numId="20" w16cid:durableId="386295866">
    <w:abstractNumId w:val="43"/>
  </w:num>
  <w:num w:numId="21" w16cid:durableId="515968076">
    <w:abstractNumId w:val="0"/>
  </w:num>
  <w:num w:numId="22" w16cid:durableId="1848518106">
    <w:abstractNumId w:val="22"/>
  </w:num>
  <w:num w:numId="23" w16cid:durableId="1399085797">
    <w:abstractNumId w:val="23"/>
  </w:num>
  <w:num w:numId="24" w16cid:durableId="77946646">
    <w:abstractNumId w:val="19"/>
  </w:num>
  <w:num w:numId="25" w16cid:durableId="2073656799">
    <w:abstractNumId w:val="42"/>
  </w:num>
  <w:num w:numId="26" w16cid:durableId="1746953051">
    <w:abstractNumId w:val="15"/>
  </w:num>
  <w:num w:numId="27" w16cid:durableId="1757048435">
    <w:abstractNumId w:val="4"/>
  </w:num>
  <w:num w:numId="28" w16cid:durableId="1989628210">
    <w:abstractNumId w:val="10"/>
  </w:num>
  <w:num w:numId="29" w16cid:durableId="135611520">
    <w:abstractNumId w:val="30"/>
  </w:num>
  <w:num w:numId="30" w16cid:durableId="776827209">
    <w:abstractNumId w:val="26"/>
  </w:num>
  <w:num w:numId="31" w16cid:durableId="1629508142">
    <w:abstractNumId w:val="8"/>
  </w:num>
  <w:num w:numId="32" w16cid:durableId="1746146548">
    <w:abstractNumId w:val="27"/>
  </w:num>
  <w:num w:numId="33" w16cid:durableId="1429352579">
    <w:abstractNumId w:val="6"/>
  </w:num>
  <w:num w:numId="34" w16cid:durableId="120806345">
    <w:abstractNumId w:val="36"/>
  </w:num>
  <w:num w:numId="35" w16cid:durableId="2025549060">
    <w:abstractNumId w:val="29"/>
  </w:num>
  <w:num w:numId="36" w16cid:durableId="345056089">
    <w:abstractNumId w:val="28"/>
  </w:num>
  <w:num w:numId="37" w16cid:durableId="1739325615">
    <w:abstractNumId w:val="1"/>
  </w:num>
  <w:num w:numId="38" w16cid:durableId="143746121">
    <w:abstractNumId w:val="24"/>
  </w:num>
  <w:num w:numId="39" w16cid:durableId="1827163301">
    <w:abstractNumId w:val="9"/>
  </w:num>
  <w:num w:numId="40" w16cid:durableId="1576209747">
    <w:abstractNumId w:val="5"/>
  </w:num>
  <w:num w:numId="41" w16cid:durableId="2074966680">
    <w:abstractNumId w:val="34"/>
  </w:num>
  <w:num w:numId="42" w16cid:durableId="591396882">
    <w:abstractNumId w:val="35"/>
  </w:num>
  <w:num w:numId="43" w16cid:durableId="210823312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344480495">
    <w:abstractNumId w:val="16"/>
  </w:num>
  <w:num w:numId="45" w16cid:durableId="111937142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7DF"/>
    <w:rsid w:val="00003386"/>
    <w:rsid w:val="00005D37"/>
    <w:rsid w:val="000101FF"/>
    <w:rsid w:val="00010A3D"/>
    <w:rsid w:val="00011D80"/>
    <w:rsid w:val="000127DA"/>
    <w:rsid w:val="000217D6"/>
    <w:rsid w:val="00021FCD"/>
    <w:rsid w:val="000238E4"/>
    <w:rsid w:val="00024F74"/>
    <w:rsid w:val="00025A41"/>
    <w:rsid w:val="000262BB"/>
    <w:rsid w:val="0002763F"/>
    <w:rsid w:val="000279EF"/>
    <w:rsid w:val="00031785"/>
    <w:rsid w:val="000325EE"/>
    <w:rsid w:val="000362B6"/>
    <w:rsid w:val="00036AE9"/>
    <w:rsid w:val="00036D03"/>
    <w:rsid w:val="0004012A"/>
    <w:rsid w:val="00041355"/>
    <w:rsid w:val="00046127"/>
    <w:rsid w:val="00050080"/>
    <w:rsid w:val="00050854"/>
    <w:rsid w:val="00050952"/>
    <w:rsid w:val="00050EE8"/>
    <w:rsid w:val="00053ECE"/>
    <w:rsid w:val="000553F0"/>
    <w:rsid w:val="000557D7"/>
    <w:rsid w:val="00056C0F"/>
    <w:rsid w:val="0006208B"/>
    <w:rsid w:val="000620AB"/>
    <w:rsid w:val="000635E1"/>
    <w:rsid w:val="00065F20"/>
    <w:rsid w:val="00066450"/>
    <w:rsid w:val="00067F35"/>
    <w:rsid w:val="00074270"/>
    <w:rsid w:val="000744FE"/>
    <w:rsid w:val="00075A84"/>
    <w:rsid w:val="00076204"/>
    <w:rsid w:val="00076299"/>
    <w:rsid w:val="000802FA"/>
    <w:rsid w:val="00080B7E"/>
    <w:rsid w:val="00082D73"/>
    <w:rsid w:val="000839C3"/>
    <w:rsid w:val="00085218"/>
    <w:rsid w:val="00086A18"/>
    <w:rsid w:val="000878BE"/>
    <w:rsid w:val="000901F0"/>
    <w:rsid w:val="00090FA8"/>
    <w:rsid w:val="000914D3"/>
    <w:rsid w:val="000946E2"/>
    <w:rsid w:val="00094ABA"/>
    <w:rsid w:val="00094E9E"/>
    <w:rsid w:val="000976D0"/>
    <w:rsid w:val="00097A2F"/>
    <w:rsid w:val="000A2CC5"/>
    <w:rsid w:val="000A4BCF"/>
    <w:rsid w:val="000B1FBD"/>
    <w:rsid w:val="000B2931"/>
    <w:rsid w:val="000B4B28"/>
    <w:rsid w:val="000B4CA6"/>
    <w:rsid w:val="000B611D"/>
    <w:rsid w:val="000C04E5"/>
    <w:rsid w:val="000C13BF"/>
    <w:rsid w:val="000C15D7"/>
    <w:rsid w:val="000C1D19"/>
    <w:rsid w:val="000C30A0"/>
    <w:rsid w:val="000C6322"/>
    <w:rsid w:val="000C7470"/>
    <w:rsid w:val="000D1350"/>
    <w:rsid w:val="000D1E9A"/>
    <w:rsid w:val="000D21C7"/>
    <w:rsid w:val="000D54E7"/>
    <w:rsid w:val="000D7204"/>
    <w:rsid w:val="000D7D66"/>
    <w:rsid w:val="000E023B"/>
    <w:rsid w:val="000E41CE"/>
    <w:rsid w:val="000E5494"/>
    <w:rsid w:val="000E551B"/>
    <w:rsid w:val="000E586A"/>
    <w:rsid w:val="000E6612"/>
    <w:rsid w:val="000F197E"/>
    <w:rsid w:val="000F255B"/>
    <w:rsid w:val="000F34C1"/>
    <w:rsid w:val="000F5420"/>
    <w:rsid w:val="000F5979"/>
    <w:rsid w:val="000F65BA"/>
    <w:rsid w:val="000F6CD1"/>
    <w:rsid w:val="000F75C5"/>
    <w:rsid w:val="001000B4"/>
    <w:rsid w:val="00102CFF"/>
    <w:rsid w:val="001031B2"/>
    <w:rsid w:val="0010479F"/>
    <w:rsid w:val="00105278"/>
    <w:rsid w:val="0010776A"/>
    <w:rsid w:val="00110D05"/>
    <w:rsid w:val="0011435C"/>
    <w:rsid w:val="00115138"/>
    <w:rsid w:val="00116759"/>
    <w:rsid w:val="00117E53"/>
    <w:rsid w:val="001205F3"/>
    <w:rsid w:val="00122303"/>
    <w:rsid w:val="001237A6"/>
    <w:rsid w:val="00123E5C"/>
    <w:rsid w:val="0012416E"/>
    <w:rsid w:val="001262C7"/>
    <w:rsid w:val="00127B5B"/>
    <w:rsid w:val="0013051F"/>
    <w:rsid w:val="001305BB"/>
    <w:rsid w:val="0013413A"/>
    <w:rsid w:val="0013474F"/>
    <w:rsid w:val="001363C4"/>
    <w:rsid w:val="001422A4"/>
    <w:rsid w:val="00143F2E"/>
    <w:rsid w:val="0014476F"/>
    <w:rsid w:val="001465EC"/>
    <w:rsid w:val="00146CED"/>
    <w:rsid w:val="00147C5A"/>
    <w:rsid w:val="00147EE8"/>
    <w:rsid w:val="00151757"/>
    <w:rsid w:val="001525CD"/>
    <w:rsid w:val="00154574"/>
    <w:rsid w:val="001556A1"/>
    <w:rsid w:val="00156AA9"/>
    <w:rsid w:val="001573F2"/>
    <w:rsid w:val="001605A5"/>
    <w:rsid w:val="001605DF"/>
    <w:rsid w:val="00161E82"/>
    <w:rsid w:val="00162CA4"/>
    <w:rsid w:val="0016468E"/>
    <w:rsid w:val="00164CA1"/>
    <w:rsid w:val="00170B55"/>
    <w:rsid w:val="00171123"/>
    <w:rsid w:val="00171C32"/>
    <w:rsid w:val="00175890"/>
    <w:rsid w:val="0017642E"/>
    <w:rsid w:val="001774E0"/>
    <w:rsid w:val="00180CB8"/>
    <w:rsid w:val="0018223C"/>
    <w:rsid w:val="001824BC"/>
    <w:rsid w:val="00186794"/>
    <w:rsid w:val="0018733C"/>
    <w:rsid w:val="00193086"/>
    <w:rsid w:val="0019526E"/>
    <w:rsid w:val="00196C86"/>
    <w:rsid w:val="00197B49"/>
    <w:rsid w:val="001A01E0"/>
    <w:rsid w:val="001A65D0"/>
    <w:rsid w:val="001A7916"/>
    <w:rsid w:val="001B44AD"/>
    <w:rsid w:val="001B7302"/>
    <w:rsid w:val="001C1BF0"/>
    <w:rsid w:val="001C2334"/>
    <w:rsid w:val="001C2A23"/>
    <w:rsid w:val="001C2AE7"/>
    <w:rsid w:val="001C2B9E"/>
    <w:rsid w:val="001C5105"/>
    <w:rsid w:val="001C5EA6"/>
    <w:rsid w:val="001C623F"/>
    <w:rsid w:val="001C7022"/>
    <w:rsid w:val="001C7205"/>
    <w:rsid w:val="001D1081"/>
    <w:rsid w:val="001D237A"/>
    <w:rsid w:val="001D271A"/>
    <w:rsid w:val="001D5043"/>
    <w:rsid w:val="001D67AE"/>
    <w:rsid w:val="001D6A15"/>
    <w:rsid w:val="001D73A1"/>
    <w:rsid w:val="001E1629"/>
    <w:rsid w:val="001E5358"/>
    <w:rsid w:val="001F052E"/>
    <w:rsid w:val="001F2C28"/>
    <w:rsid w:val="001F37E5"/>
    <w:rsid w:val="001F3FCA"/>
    <w:rsid w:val="001F5AC8"/>
    <w:rsid w:val="001F5D7D"/>
    <w:rsid w:val="00204037"/>
    <w:rsid w:val="00205724"/>
    <w:rsid w:val="00210CF8"/>
    <w:rsid w:val="00211570"/>
    <w:rsid w:val="00212A99"/>
    <w:rsid w:val="00212DB5"/>
    <w:rsid w:val="00213368"/>
    <w:rsid w:val="00214124"/>
    <w:rsid w:val="002157F7"/>
    <w:rsid w:val="00221B85"/>
    <w:rsid w:val="0022239F"/>
    <w:rsid w:val="0022445B"/>
    <w:rsid w:val="00224D80"/>
    <w:rsid w:val="002307C3"/>
    <w:rsid w:val="00230857"/>
    <w:rsid w:val="00231113"/>
    <w:rsid w:val="00234FBD"/>
    <w:rsid w:val="002354AE"/>
    <w:rsid w:val="002357F5"/>
    <w:rsid w:val="00235D99"/>
    <w:rsid w:val="00236B44"/>
    <w:rsid w:val="0024145E"/>
    <w:rsid w:val="00241877"/>
    <w:rsid w:val="00243872"/>
    <w:rsid w:val="00244FE8"/>
    <w:rsid w:val="00245875"/>
    <w:rsid w:val="00246658"/>
    <w:rsid w:val="00246CD3"/>
    <w:rsid w:val="00251BE5"/>
    <w:rsid w:val="00251DA9"/>
    <w:rsid w:val="0025299F"/>
    <w:rsid w:val="00252FE4"/>
    <w:rsid w:val="00254008"/>
    <w:rsid w:val="002540AB"/>
    <w:rsid w:val="00254865"/>
    <w:rsid w:val="00255FF4"/>
    <w:rsid w:val="0025703A"/>
    <w:rsid w:val="00257173"/>
    <w:rsid w:val="00257A11"/>
    <w:rsid w:val="00260AE3"/>
    <w:rsid w:val="00261675"/>
    <w:rsid w:val="002636A1"/>
    <w:rsid w:val="0026432B"/>
    <w:rsid w:val="00266F24"/>
    <w:rsid w:val="0026748F"/>
    <w:rsid w:val="00271185"/>
    <w:rsid w:val="00271B3B"/>
    <w:rsid w:val="00271D50"/>
    <w:rsid w:val="00272E33"/>
    <w:rsid w:val="002740D0"/>
    <w:rsid w:val="002748A8"/>
    <w:rsid w:val="00274BCB"/>
    <w:rsid w:val="00274C79"/>
    <w:rsid w:val="00275139"/>
    <w:rsid w:val="00277637"/>
    <w:rsid w:val="00277F97"/>
    <w:rsid w:val="0028007A"/>
    <w:rsid w:val="00280FB6"/>
    <w:rsid w:val="00281EE6"/>
    <w:rsid w:val="0028201F"/>
    <w:rsid w:val="00282C36"/>
    <w:rsid w:val="00283072"/>
    <w:rsid w:val="002832E3"/>
    <w:rsid w:val="002838EF"/>
    <w:rsid w:val="00283C8E"/>
    <w:rsid w:val="0028402D"/>
    <w:rsid w:val="0028526C"/>
    <w:rsid w:val="002858A4"/>
    <w:rsid w:val="00285A29"/>
    <w:rsid w:val="00287EF3"/>
    <w:rsid w:val="002924DC"/>
    <w:rsid w:val="0029281A"/>
    <w:rsid w:val="00293BBF"/>
    <w:rsid w:val="00295598"/>
    <w:rsid w:val="002966F7"/>
    <w:rsid w:val="002970DD"/>
    <w:rsid w:val="00297E8E"/>
    <w:rsid w:val="002A0F51"/>
    <w:rsid w:val="002A134B"/>
    <w:rsid w:val="002A17B0"/>
    <w:rsid w:val="002A527B"/>
    <w:rsid w:val="002B3AD5"/>
    <w:rsid w:val="002B67DA"/>
    <w:rsid w:val="002C0B17"/>
    <w:rsid w:val="002C0FBC"/>
    <w:rsid w:val="002C2548"/>
    <w:rsid w:val="002C383E"/>
    <w:rsid w:val="002C417F"/>
    <w:rsid w:val="002C4789"/>
    <w:rsid w:val="002C6336"/>
    <w:rsid w:val="002C6CDC"/>
    <w:rsid w:val="002D0081"/>
    <w:rsid w:val="002D0271"/>
    <w:rsid w:val="002D0928"/>
    <w:rsid w:val="002D0B59"/>
    <w:rsid w:val="002D3A31"/>
    <w:rsid w:val="002D4367"/>
    <w:rsid w:val="002D46FD"/>
    <w:rsid w:val="002D4EE0"/>
    <w:rsid w:val="002D5E07"/>
    <w:rsid w:val="002D77A9"/>
    <w:rsid w:val="002E0A33"/>
    <w:rsid w:val="002E10C8"/>
    <w:rsid w:val="002E2CC4"/>
    <w:rsid w:val="002E4780"/>
    <w:rsid w:val="002E58C9"/>
    <w:rsid w:val="002E5D88"/>
    <w:rsid w:val="002E63EE"/>
    <w:rsid w:val="002E6797"/>
    <w:rsid w:val="002E6E52"/>
    <w:rsid w:val="002E71B4"/>
    <w:rsid w:val="002E79D8"/>
    <w:rsid w:val="002F03BC"/>
    <w:rsid w:val="002F1411"/>
    <w:rsid w:val="002F1DAA"/>
    <w:rsid w:val="002F63F5"/>
    <w:rsid w:val="002F6734"/>
    <w:rsid w:val="002F745C"/>
    <w:rsid w:val="00302D17"/>
    <w:rsid w:val="00303764"/>
    <w:rsid w:val="00303A43"/>
    <w:rsid w:val="003069F8"/>
    <w:rsid w:val="00306F9C"/>
    <w:rsid w:val="00313013"/>
    <w:rsid w:val="0031321E"/>
    <w:rsid w:val="003139EA"/>
    <w:rsid w:val="00313F99"/>
    <w:rsid w:val="00314E34"/>
    <w:rsid w:val="00314FB9"/>
    <w:rsid w:val="00315114"/>
    <w:rsid w:val="0031793E"/>
    <w:rsid w:val="003209E2"/>
    <w:rsid w:val="003213AC"/>
    <w:rsid w:val="003226A0"/>
    <w:rsid w:val="00323003"/>
    <w:rsid w:val="0032464C"/>
    <w:rsid w:val="0032541D"/>
    <w:rsid w:val="003254C7"/>
    <w:rsid w:val="00325BE2"/>
    <w:rsid w:val="003279FC"/>
    <w:rsid w:val="00331420"/>
    <w:rsid w:val="00331BE4"/>
    <w:rsid w:val="00333208"/>
    <w:rsid w:val="00333973"/>
    <w:rsid w:val="003346E5"/>
    <w:rsid w:val="00334EBC"/>
    <w:rsid w:val="00335FB5"/>
    <w:rsid w:val="00336E73"/>
    <w:rsid w:val="00342F3A"/>
    <w:rsid w:val="003441BF"/>
    <w:rsid w:val="003540A8"/>
    <w:rsid w:val="00360F61"/>
    <w:rsid w:val="00360FDF"/>
    <w:rsid w:val="0036246E"/>
    <w:rsid w:val="003630C3"/>
    <w:rsid w:val="003647B2"/>
    <w:rsid w:val="00364910"/>
    <w:rsid w:val="00365777"/>
    <w:rsid w:val="00365E08"/>
    <w:rsid w:val="00365E4B"/>
    <w:rsid w:val="00366378"/>
    <w:rsid w:val="00370929"/>
    <w:rsid w:val="003729A4"/>
    <w:rsid w:val="00372A69"/>
    <w:rsid w:val="003732F6"/>
    <w:rsid w:val="003749E2"/>
    <w:rsid w:val="00375281"/>
    <w:rsid w:val="00377822"/>
    <w:rsid w:val="0038124B"/>
    <w:rsid w:val="00381401"/>
    <w:rsid w:val="0038203C"/>
    <w:rsid w:val="0038424B"/>
    <w:rsid w:val="00384E95"/>
    <w:rsid w:val="00387CE6"/>
    <w:rsid w:val="003908A0"/>
    <w:rsid w:val="00393F3A"/>
    <w:rsid w:val="00395DFF"/>
    <w:rsid w:val="00395E0B"/>
    <w:rsid w:val="00395F7B"/>
    <w:rsid w:val="003A0791"/>
    <w:rsid w:val="003A3605"/>
    <w:rsid w:val="003A5FBD"/>
    <w:rsid w:val="003A71F6"/>
    <w:rsid w:val="003A7777"/>
    <w:rsid w:val="003A7B1F"/>
    <w:rsid w:val="003B0202"/>
    <w:rsid w:val="003B1AE4"/>
    <w:rsid w:val="003B34DC"/>
    <w:rsid w:val="003B4E75"/>
    <w:rsid w:val="003B574B"/>
    <w:rsid w:val="003B72EA"/>
    <w:rsid w:val="003B7C53"/>
    <w:rsid w:val="003C030B"/>
    <w:rsid w:val="003C05ED"/>
    <w:rsid w:val="003C2168"/>
    <w:rsid w:val="003C37A2"/>
    <w:rsid w:val="003D009B"/>
    <w:rsid w:val="003D10F2"/>
    <w:rsid w:val="003D114C"/>
    <w:rsid w:val="003D42D8"/>
    <w:rsid w:val="003D4C1D"/>
    <w:rsid w:val="003D7D22"/>
    <w:rsid w:val="003E07C4"/>
    <w:rsid w:val="003E0A9D"/>
    <w:rsid w:val="003E1EAC"/>
    <w:rsid w:val="003E23E6"/>
    <w:rsid w:val="003E2838"/>
    <w:rsid w:val="003E55A4"/>
    <w:rsid w:val="003E61A5"/>
    <w:rsid w:val="003E7E0F"/>
    <w:rsid w:val="003F1881"/>
    <w:rsid w:val="003F214C"/>
    <w:rsid w:val="003F2C53"/>
    <w:rsid w:val="003F3047"/>
    <w:rsid w:val="003F3E34"/>
    <w:rsid w:val="003F522F"/>
    <w:rsid w:val="003F7C83"/>
    <w:rsid w:val="00400467"/>
    <w:rsid w:val="004014CF"/>
    <w:rsid w:val="004019CE"/>
    <w:rsid w:val="00402B37"/>
    <w:rsid w:val="00403B4B"/>
    <w:rsid w:val="00404F39"/>
    <w:rsid w:val="00404FB5"/>
    <w:rsid w:val="00405E52"/>
    <w:rsid w:val="00405E99"/>
    <w:rsid w:val="004062C0"/>
    <w:rsid w:val="00406A87"/>
    <w:rsid w:val="0040734B"/>
    <w:rsid w:val="00410B8B"/>
    <w:rsid w:val="0041115F"/>
    <w:rsid w:val="00411D41"/>
    <w:rsid w:val="00412F90"/>
    <w:rsid w:val="00413F16"/>
    <w:rsid w:val="004153F9"/>
    <w:rsid w:val="00416E03"/>
    <w:rsid w:val="00416EDB"/>
    <w:rsid w:val="00421719"/>
    <w:rsid w:val="004231A3"/>
    <w:rsid w:val="0042516D"/>
    <w:rsid w:val="00426D02"/>
    <w:rsid w:val="004279F3"/>
    <w:rsid w:val="0043194D"/>
    <w:rsid w:val="00434916"/>
    <w:rsid w:val="0043508E"/>
    <w:rsid w:val="00437706"/>
    <w:rsid w:val="00442BCB"/>
    <w:rsid w:val="00443859"/>
    <w:rsid w:val="0044441F"/>
    <w:rsid w:val="004449F3"/>
    <w:rsid w:val="00444C34"/>
    <w:rsid w:val="00444D8B"/>
    <w:rsid w:val="004458AD"/>
    <w:rsid w:val="00447108"/>
    <w:rsid w:val="00450584"/>
    <w:rsid w:val="00450925"/>
    <w:rsid w:val="0045229C"/>
    <w:rsid w:val="00453C62"/>
    <w:rsid w:val="0045422F"/>
    <w:rsid w:val="00454442"/>
    <w:rsid w:val="00454496"/>
    <w:rsid w:val="0045587E"/>
    <w:rsid w:val="00462935"/>
    <w:rsid w:val="004648FD"/>
    <w:rsid w:val="00465F3D"/>
    <w:rsid w:val="00466E65"/>
    <w:rsid w:val="00467A57"/>
    <w:rsid w:val="00467DE2"/>
    <w:rsid w:val="00467E7E"/>
    <w:rsid w:val="00467E81"/>
    <w:rsid w:val="00471ECC"/>
    <w:rsid w:val="004736FE"/>
    <w:rsid w:val="00474B0E"/>
    <w:rsid w:val="00474C24"/>
    <w:rsid w:val="00476AD9"/>
    <w:rsid w:val="0048099D"/>
    <w:rsid w:val="00481153"/>
    <w:rsid w:val="00483DAE"/>
    <w:rsid w:val="00484935"/>
    <w:rsid w:val="004854D7"/>
    <w:rsid w:val="00485AD2"/>
    <w:rsid w:val="00485D1B"/>
    <w:rsid w:val="00486C9F"/>
    <w:rsid w:val="00490505"/>
    <w:rsid w:val="0049135F"/>
    <w:rsid w:val="00491410"/>
    <w:rsid w:val="00492D97"/>
    <w:rsid w:val="0049363F"/>
    <w:rsid w:val="0049395E"/>
    <w:rsid w:val="00493B96"/>
    <w:rsid w:val="00494024"/>
    <w:rsid w:val="00494E89"/>
    <w:rsid w:val="00496E4C"/>
    <w:rsid w:val="004A18EB"/>
    <w:rsid w:val="004A1C39"/>
    <w:rsid w:val="004A2E45"/>
    <w:rsid w:val="004A4A36"/>
    <w:rsid w:val="004A5024"/>
    <w:rsid w:val="004A58D4"/>
    <w:rsid w:val="004A5CDE"/>
    <w:rsid w:val="004A5EE4"/>
    <w:rsid w:val="004A7061"/>
    <w:rsid w:val="004A7077"/>
    <w:rsid w:val="004A7770"/>
    <w:rsid w:val="004B0763"/>
    <w:rsid w:val="004B1C8F"/>
    <w:rsid w:val="004B1D5A"/>
    <w:rsid w:val="004B29F7"/>
    <w:rsid w:val="004B2D94"/>
    <w:rsid w:val="004B5128"/>
    <w:rsid w:val="004B7070"/>
    <w:rsid w:val="004C0E04"/>
    <w:rsid w:val="004C1A00"/>
    <w:rsid w:val="004C2DFA"/>
    <w:rsid w:val="004C3911"/>
    <w:rsid w:val="004C5543"/>
    <w:rsid w:val="004C5994"/>
    <w:rsid w:val="004C5D69"/>
    <w:rsid w:val="004D358B"/>
    <w:rsid w:val="004D3930"/>
    <w:rsid w:val="004D5549"/>
    <w:rsid w:val="004D60D3"/>
    <w:rsid w:val="004D7DBA"/>
    <w:rsid w:val="004E1D1B"/>
    <w:rsid w:val="004E2692"/>
    <w:rsid w:val="004E3987"/>
    <w:rsid w:val="004E52FA"/>
    <w:rsid w:val="004F03D9"/>
    <w:rsid w:val="004F2F49"/>
    <w:rsid w:val="004F32F3"/>
    <w:rsid w:val="005009F1"/>
    <w:rsid w:val="00502A63"/>
    <w:rsid w:val="00505F72"/>
    <w:rsid w:val="00506BB5"/>
    <w:rsid w:val="00507062"/>
    <w:rsid w:val="005078F5"/>
    <w:rsid w:val="00507AAD"/>
    <w:rsid w:val="00510F75"/>
    <w:rsid w:val="00511952"/>
    <w:rsid w:val="00514704"/>
    <w:rsid w:val="00515317"/>
    <w:rsid w:val="005160FB"/>
    <w:rsid w:val="0052046A"/>
    <w:rsid w:val="005216F2"/>
    <w:rsid w:val="00522C94"/>
    <w:rsid w:val="005252A2"/>
    <w:rsid w:val="005266E6"/>
    <w:rsid w:val="005269D1"/>
    <w:rsid w:val="00527A49"/>
    <w:rsid w:val="00535519"/>
    <w:rsid w:val="005360E5"/>
    <w:rsid w:val="00537C7C"/>
    <w:rsid w:val="00544D0D"/>
    <w:rsid w:val="00544DA5"/>
    <w:rsid w:val="0054663A"/>
    <w:rsid w:val="00550435"/>
    <w:rsid w:val="0055370C"/>
    <w:rsid w:val="00553C70"/>
    <w:rsid w:val="00560245"/>
    <w:rsid w:val="00562AF8"/>
    <w:rsid w:val="00564A9B"/>
    <w:rsid w:val="00565CF6"/>
    <w:rsid w:val="00566442"/>
    <w:rsid w:val="00566C7B"/>
    <w:rsid w:val="00575A9A"/>
    <w:rsid w:val="00576147"/>
    <w:rsid w:val="00576B45"/>
    <w:rsid w:val="00583E37"/>
    <w:rsid w:val="00584F89"/>
    <w:rsid w:val="00586351"/>
    <w:rsid w:val="0058709C"/>
    <w:rsid w:val="0059082D"/>
    <w:rsid w:val="00591B14"/>
    <w:rsid w:val="00593B86"/>
    <w:rsid w:val="00594556"/>
    <w:rsid w:val="005951A2"/>
    <w:rsid w:val="005A11A8"/>
    <w:rsid w:val="005A1FC9"/>
    <w:rsid w:val="005A2D39"/>
    <w:rsid w:val="005A428E"/>
    <w:rsid w:val="005A43A4"/>
    <w:rsid w:val="005A4608"/>
    <w:rsid w:val="005A5198"/>
    <w:rsid w:val="005A5C86"/>
    <w:rsid w:val="005A661C"/>
    <w:rsid w:val="005B18A8"/>
    <w:rsid w:val="005B23B2"/>
    <w:rsid w:val="005B34E9"/>
    <w:rsid w:val="005B4235"/>
    <w:rsid w:val="005B5CDF"/>
    <w:rsid w:val="005B5CE2"/>
    <w:rsid w:val="005B7117"/>
    <w:rsid w:val="005C03C9"/>
    <w:rsid w:val="005C15A8"/>
    <w:rsid w:val="005C20F7"/>
    <w:rsid w:val="005C2E77"/>
    <w:rsid w:val="005C467E"/>
    <w:rsid w:val="005C57D8"/>
    <w:rsid w:val="005C676F"/>
    <w:rsid w:val="005C79BA"/>
    <w:rsid w:val="005D2643"/>
    <w:rsid w:val="005D3B92"/>
    <w:rsid w:val="005D5D7D"/>
    <w:rsid w:val="005D630D"/>
    <w:rsid w:val="005D6460"/>
    <w:rsid w:val="005D6884"/>
    <w:rsid w:val="005D7B4D"/>
    <w:rsid w:val="005E013B"/>
    <w:rsid w:val="005E12BE"/>
    <w:rsid w:val="005E21CC"/>
    <w:rsid w:val="005E3625"/>
    <w:rsid w:val="005E3A35"/>
    <w:rsid w:val="005E4981"/>
    <w:rsid w:val="005E6497"/>
    <w:rsid w:val="005E6CD2"/>
    <w:rsid w:val="005F18EC"/>
    <w:rsid w:val="005F3785"/>
    <w:rsid w:val="005F52EA"/>
    <w:rsid w:val="005F5B02"/>
    <w:rsid w:val="005F6224"/>
    <w:rsid w:val="005F7DEC"/>
    <w:rsid w:val="00600423"/>
    <w:rsid w:val="00601067"/>
    <w:rsid w:val="00602CD6"/>
    <w:rsid w:val="00605EAC"/>
    <w:rsid w:val="006103B8"/>
    <w:rsid w:val="00610ABA"/>
    <w:rsid w:val="00610C1E"/>
    <w:rsid w:val="00611FC6"/>
    <w:rsid w:val="006133AB"/>
    <w:rsid w:val="00613818"/>
    <w:rsid w:val="0061655F"/>
    <w:rsid w:val="006200A1"/>
    <w:rsid w:val="00621083"/>
    <w:rsid w:val="00622955"/>
    <w:rsid w:val="006232F5"/>
    <w:rsid w:val="00624A90"/>
    <w:rsid w:val="0062507F"/>
    <w:rsid w:val="00625B0E"/>
    <w:rsid w:val="00627E23"/>
    <w:rsid w:val="00631C66"/>
    <w:rsid w:val="00632338"/>
    <w:rsid w:val="00633AAF"/>
    <w:rsid w:val="00634073"/>
    <w:rsid w:val="00636781"/>
    <w:rsid w:val="006374FD"/>
    <w:rsid w:val="006376D9"/>
    <w:rsid w:val="00642B45"/>
    <w:rsid w:val="00643230"/>
    <w:rsid w:val="00643280"/>
    <w:rsid w:val="00644E9D"/>
    <w:rsid w:val="00645339"/>
    <w:rsid w:val="00645659"/>
    <w:rsid w:val="00645B08"/>
    <w:rsid w:val="00645EA8"/>
    <w:rsid w:val="0064736C"/>
    <w:rsid w:val="00650884"/>
    <w:rsid w:val="00650F96"/>
    <w:rsid w:val="00655A6C"/>
    <w:rsid w:val="0065758E"/>
    <w:rsid w:val="00660098"/>
    <w:rsid w:val="00660DAE"/>
    <w:rsid w:val="006610F5"/>
    <w:rsid w:val="006639B5"/>
    <w:rsid w:val="00663F18"/>
    <w:rsid w:val="00663F8B"/>
    <w:rsid w:val="00664A1A"/>
    <w:rsid w:val="0066538B"/>
    <w:rsid w:val="006659CB"/>
    <w:rsid w:val="006670FC"/>
    <w:rsid w:val="00667751"/>
    <w:rsid w:val="00670385"/>
    <w:rsid w:val="006722A5"/>
    <w:rsid w:val="00672E77"/>
    <w:rsid w:val="00674C90"/>
    <w:rsid w:val="006759D1"/>
    <w:rsid w:val="00675ED4"/>
    <w:rsid w:val="00675EFE"/>
    <w:rsid w:val="00677B3C"/>
    <w:rsid w:val="0068038D"/>
    <w:rsid w:val="006812D9"/>
    <w:rsid w:val="00683326"/>
    <w:rsid w:val="00684C04"/>
    <w:rsid w:val="006854A3"/>
    <w:rsid w:val="00687C1E"/>
    <w:rsid w:val="00690DA2"/>
    <w:rsid w:val="006926F9"/>
    <w:rsid w:val="00694020"/>
    <w:rsid w:val="006941B9"/>
    <w:rsid w:val="0069434A"/>
    <w:rsid w:val="0069496A"/>
    <w:rsid w:val="006953CF"/>
    <w:rsid w:val="006954A5"/>
    <w:rsid w:val="006A0A0F"/>
    <w:rsid w:val="006A0F0F"/>
    <w:rsid w:val="006A13EF"/>
    <w:rsid w:val="006A3295"/>
    <w:rsid w:val="006A3998"/>
    <w:rsid w:val="006A3BFF"/>
    <w:rsid w:val="006B1332"/>
    <w:rsid w:val="006B246F"/>
    <w:rsid w:val="006B248B"/>
    <w:rsid w:val="006B25C9"/>
    <w:rsid w:val="006B31DE"/>
    <w:rsid w:val="006B337C"/>
    <w:rsid w:val="006B4897"/>
    <w:rsid w:val="006B4EDE"/>
    <w:rsid w:val="006B5C2D"/>
    <w:rsid w:val="006C0E1D"/>
    <w:rsid w:val="006C6115"/>
    <w:rsid w:val="006C6999"/>
    <w:rsid w:val="006C6CDB"/>
    <w:rsid w:val="006C6E88"/>
    <w:rsid w:val="006D0701"/>
    <w:rsid w:val="006D19B1"/>
    <w:rsid w:val="006D1F41"/>
    <w:rsid w:val="006D1F96"/>
    <w:rsid w:val="006D48AB"/>
    <w:rsid w:val="006D4E9E"/>
    <w:rsid w:val="006D4FB8"/>
    <w:rsid w:val="006D528A"/>
    <w:rsid w:val="006D569A"/>
    <w:rsid w:val="006D5DA3"/>
    <w:rsid w:val="006D7611"/>
    <w:rsid w:val="006E05A4"/>
    <w:rsid w:val="006E0694"/>
    <w:rsid w:val="006E0748"/>
    <w:rsid w:val="006E0856"/>
    <w:rsid w:val="006E4C9C"/>
    <w:rsid w:val="006E5B76"/>
    <w:rsid w:val="006F1521"/>
    <w:rsid w:val="006F2322"/>
    <w:rsid w:val="006F6097"/>
    <w:rsid w:val="006F68D7"/>
    <w:rsid w:val="007027EF"/>
    <w:rsid w:val="00703BC7"/>
    <w:rsid w:val="0070660C"/>
    <w:rsid w:val="00707BC5"/>
    <w:rsid w:val="00707D87"/>
    <w:rsid w:val="007108FC"/>
    <w:rsid w:val="00710E52"/>
    <w:rsid w:val="00712C5D"/>
    <w:rsid w:val="00712EB6"/>
    <w:rsid w:val="00715758"/>
    <w:rsid w:val="00716534"/>
    <w:rsid w:val="0071684F"/>
    <w:rsid w:val="00721E93"/>
    <w:rsid w:val="007230AC"/>
    <w:rsid w:val="00725680"/>
    <w:rsid w:val="007266C0"/>
    <w:rsid w:val="007337AF"/>
    <w:rsid w:val="007351D5"/>
    <w:rsid w:val="007368D1"/>
    <w:rsid w:val="0073708D"/>
    <w:rsid w:val="00737615"/>
    <w:rsid w:val="00741284"/>
    <w:rsid w:val="00741F8F"/>
    <w:rsid w:val="007421F2"/>
    <w:rsid w:val="00742A0E"/>
    <w:rsid w:val="007466F4"/>
    <w:rsid w:val="007503DA"/>
    <w:rsid w:val="0075043B"/>
    <w:rsid w:val="00750898"/>
    <w:rsid w:val="0075417A"/>
    <w:rsid w:val="00757058"/>
    <w:rsid w:val="007578E5"/>
    <w:rsid w:val="00760171"/>
    <w:rsid w:val="007610F5"/>
    <w:rsid w:val="0076199F"/>
    <w:rsid w:val="00761E22"/>
    <w:rsid w:val="00761ED3"/>
    <w:rsid w:val="0076211F"/>
    <w:rsid w:val="00763A67"/>
    <w:rsid w:val="0076452B"/>
    <w:rsid w:val="007647A5"/>
    <w:rsid w:val="00764BD2"/>
    <w:rsid w:val="00767F37"/>
    <w:rsid w:val="007704A9"/>
    <w:rsid w:val="007716A8"/>
    <w:rsid w:val="00772B03"/>
    <w:rsid w:val="00774516"/>
    <w:rsid w:val="00777DCD"/>
    <w:rsid w:val="00780804"/>
    <w:rsid w:val="00784811"/>
    <w:rsid w:val="00790362"/>
    <w:rsid w:val="007907C2"/>
    <w:rsid w:val="00792B70"/>
    <w:rsid w:val="00793687"/>
    <w:rsid w:val="007949AE"/>
    <w:rsid w:val="0079518A"/>
    <w:rsid w:val="0079691F"/>
    <w:rsid w:val="007A30F9"/>
    <w:rsid w:val="007A5EC1"/>
    <w:rsid w:val="007A64C4"/>
    <w:rsid w:val="007A64EC"/>
    <w:rsid w:val="007A6852"/>
    <w:rsid w:val="007B1E15"/>
    <w:rsid w:val="007B21AF"/>
    <w:rsid w:val="007B3B81"/>
    <w:rsid w:val="007B49B9"/>
    <w:rsid w:val="007B53AF"/>
    <w:rsid w:val="007B5818"/>
    <w:rsid w:val="007B6383"/>
    <w:rsid w:val="007B7308"/>
    <w:rsid w:val="007C09FD"/>
    <w:rsid w:val="007C2AFC"/>
    <w:rsid w:val="007C3D80"/>
    <w:rsid w:val="007C4543"/>
    <w:rsid w:val="007C540B"/>
    <w:rsid w:val="007C597E"/>
    <w:rsid w:val="007C7313"/>
    <w:rsid w:val="007D2262"/>
    <w:rsid w:val="007D354D"/>
    <w:rsid w:val="007D3EEA"/>
    <w:rsid w:val="007D4F44"/>
    <w:rsid w:val="007D6D1B"/>
    <w:rsid w:val="007E1190"/>
    <w:rsid w:val="007E126F"/>
    <w:rsid w:val="007E3547"/>
    <w:rsid w:val="007F09F8"/>
    <w:rsid w:val="007F0BEC"/>
    <w:rsid w:val="007F0F9E"/>
    <w:rsid w:val="007F1A25"/>
    <w:rsid w:val="007F3B50"/>
    <w:rsid w:val="007F4630"/>
    <w:rsid w:val="007F47A4"/>
    <w:rsid w:val="007F62EF"/>
    <w:rsid w:val="007F647E"/>
    <w:rsid w:val="007F66A3"/>
    <w:rsid w:val="007F754C"/>
    <w:rsid w:val="007F78F3"/>
    <w:rsid w:val="00800003"/>
    <w:rsid w:val="008014DC"/>
    <w:rsid w:val="00802374"/>
    <w:rsid w:val="00802EFF"/>
    <w:rsid w:val="00803E2B"/>
    <w:rsid w:val="008065B2"/>
    <w:rsid w:val="0081240B"/>
    <w:rsid w:val="008137EC"/>
    <w:rsid w:val="00814283"/>
    <w:rsid w:val="00814B3B"/>
    <w:rsid w:val="00814BB2"/>
    <w:rsid w:val="00814EA7"/>
    <w:rsid w:val="00823922"/>
    <w:rsid w:val="00823A21"/>
    <w:rsid w:val="00825963"/>
    <w:rsid w:val="00825D00"/>
    <w:rsid w:val="00826668"/>
    <w:rsid w:val="00832023"/>
    <w:rsid w:val="00832DB4"/>
    <w:rsid w:val="008330E8"/>
    <w:rsid w:val="0083325D"/>
    <w:rsid w:val="00833DAC"/>
    <w:rsid w:val="00834B24"/>
    <w:rsid w:val="008370C8"/>
    <w:rsid w:val="008418DE"/>
    <w:rsid w:val="00844A57"/>
    <w:rsid w:val="0084537A"/>
    <w:rsid w:val="0084574C"/>
    <w:rsid w:val="00845EBB"/>
    <w:rsid w:val="00847429"/>
    <w:rsid w:val="008511D1"/>
    <w:rsid w:val="008537EF"/>
    <w:rsid w:val="00853BC7"/>
    <w:rsid w:val="00854BCC"/>
    <w:rsid w:val="00855084"/>
    <w:rsid w:val="00860A0E"/>
    <w:rsid w:val="00861EEB"/>
    <w:rsid w:val="00863615"/>
    <w:rsid w:val="00873843"/>
    <w:rsid w:val="0087472D"/>
    <w:rsid w:val="0087490E"/>
    <w:rsid w:val="00874AD2"/>
    <w:rsid w:val="00875425"/>
    <w:rsid w:val="0087760F"/>
    <w:rsid w:val="00881816"/>
    <w:rsid w:val="00881C73"/>
    <w:rsid w:val="00882059"/>
    <w:rsid w:val="0088246B"/>
    <w:rsid w:val="00882A84"/>
    <w:rsid w:val="0088307C"/>
    <w:rsid w:val="0088380E"/>
    <w:rsid w:val="00883D63"/>
    <w:rsid w:val="00884874"/>
    <w:rsid w:val="00884F33"/>
    <w:rsid w:val="00885419"/>
    <w:rsid w:val="00885D85"/>
    <w:rsid w:val="008875A2"/>
    <w:rsid w:val="0089116C"/>
    <w:rsid w:val="00891457"/>
    <w:rsid w:val="00895167"/>
    <w:rsid w:val="00896319"/>
    <w:rsid w:val="0089702C"/>
    <w:rsid w:val="008978B5"/>
    <w:rsid w:val="008A04E4"/>
    <w:rsid w:val="008A0623"/>
    <w:rsid w:val="008A4126"/>
    <w:rsid w:val="008A551B"/>
    <w:rsid w:val="008A66F0"/>
    <w:rsid w:val="008A7A39"/>
    <w:rsid w:val="008B25CF"/>
    <w:rsid w:val="008B3030"/>
    <w:rsid w:val="008B3507"/>
    <w:rsid w:val="008B3F62"/>
    <w:rsid w:val="008B4993"/>
    <w:rsid w:val="008B73E2"/>
    <w:rsid w:val="008B7D7A"/>
    <w:rsid w:val="008C1C7E"/>
    <w:rsid w:val="008C28C6"/>
    <w:rsid w:val="008C45E4"/>
    <w:rsid w:val="008C4ABB"/>
    <w:rsid w:val="008C4CFC"/>
    <w:rsid w:val="008C57E6"/>
    <w:rsid w:val="008C7862"/>
    <w:rsid w:val="008C7C55"/>
    <w:rsid w:val="008C7F1F"/>
    <w:rsid w:val="008D07B5"/>
    <w:rsid w:val="008D40DB"/>
    <w:rsid w:val="008D5FD7"/>
    <w:rsid w:val="008D61B0"/>
    <w:rsid w:val="008D6921"/>
    <w:rsid w:val="008E05F4"/>
    <w:rsid w:val="008E0F5A"/>
    <w:rsid w:val="008E10B5"/>
    <w:rsid w:val="008E1B0A"/>
    <w:rsid w:val="008E2ED7"/>
    <w:rsid w:val="008E61CA"/>
    <w:rsid w:val="008E663C"/>
    <w:rsid w:val="008F0F7F"/>
    <w:rsid w:val="008F1A74"/>
    <w:rsid w:val="008F3D51"/>
    <w:rsid w:val="008F6823"/>
    <w:rsid w:val="00900160"/>
    <w:rsid w:val="009049ED"/>
    <w:rsid w:val="00904F9F"/>
    <w:rsid w:val="00905073"/>
    <w:rsid w:val="009115D9"/>
    <w:rsid w:val="00911AF6"/>
    <w:rsid w:val="00915745"/>
    <w:rsid w:val="00917922"/>
    <w:rsid w:val="009200C2"/>
    <w:rsid w:val="009204F2"/>
    <w:rsid w:val="009204F4"/>
    <w:rsid w:val="00920D47"/>
    <w:rsid w:val="0092115B"/>
    <w:rsid w:val="0092214B"/>
    <w:rsid w:val="00923066"/>
    <w:rsid w:val="009275ED"/>
    <w:rsid w:val="00931079"/>
    <w:rsid w:val="00931942"/>
    <w:rsid w:val="00931E0C"/>
    <w:rsid w:val="00936448"/>
    <w:rsid w:val="00937F28"/>
    <w:rsid w:val="00942609"/>
    <w:rsid w:val="00943A05"/>
    <w:rsid w:val="00944405"/>
    <w:rsid w:val="00944540"/>
    <w:rsid w:val="009452B2"/>
    <w:rsid w:val="009453DD"/>
    <w:rsid w:val="00945DCF"/>
    <w:rsid w:val="00947806"/>
    <w:rsid w:val="00952FFA"/>
    <w:rsid w:val="00954099"/>
    <w:rsid w:val="00956543"/>
    <w:rsid w:val="009605DC"/>
    <w:rsid w:val="009607AE"/>
    <w:rsid w:val="00963DD8"/>
    <w:rsid w:val="00965376"/>
    <w:rsid w:val="009673FA"/>
    <w:rsid w:val="00970101"/>
    <w:rsid w:val="00970592"/>
    <w:rsid w:val="00970950"/>
    <w:rsid w:val="00971C84"/>
    <w:rsid w:val="0097211E"/>
    <w:rsid w:val="00973FBC"/>
    <w:rsid w:val="009741F6"/>
    <w:rsid w:val="00977909"/>
    <w:rsid w:val="00980802"/>
    <w:rsid w:val="00982437"/>
    <w:rsid w:val="00982BE9"/>
    <w:rsid w:val="00984C94"/>
    <w:rsid w:val="0098570D"/>
    <w:rsid w:val="0098655E"/>
    <w:rsid w:val="00986F25"/>
    <w:rsid w:val="00987038"/>
    <w:rsid w:val="00987DEB"/>
    <w:rsid w:val="00990C0E"/>
    <w:rsid w:val="00992A6B"/>
    <w:rsid w:val="00992E06"/>
    <w:rsid w:val="00994F65"/>
    <w:rsid w:val="00995967"/>
    <w:rsid w:val="00995A29"/>
    <w:rsid w:val="00997DAF"/>
    <w:rsid w:val="009A2F2E"/>
    <w:rsid w:val="009A4ACB"/>
    <w:rsid w:val="009A4F9E"/>
    <w:rsid w:val="009A5089"/>
    <w:rsid w:val="009B06B4"/>
    <w:rsid w:val="009B2511"/>
    <w:rsid w:val="009B6272"/>
    <w:rsid w:val="009B6BFA"/>
    <w:rsid w:val="009C0F37"/>
    <w:rsid w:val="009C3329"/>
    <w:rsid w:val="009C7F23"/>
    <w:rsid w:val="009D1ADF"/>
    <w:rsid w:val="009D2245"/>
    <w:rsid w:val="009D471B"/>
    <w:rsid w:val="009D5284"/>
    <w:rsid w:val="009D5B3D"/>
    <w:rsid w:val="009D5D88"/>
    <w:rsid w:val="009D6D96"/>
    <w:rsid w:val="009D78EE"/>
    <w:rsid w:val="009E014C"/>
    <w:rsid w:val="009E01B8"/>
    <w:rsid w:val="009E070E"/>
    <w:rsid w:val="009E0C71"/>
    <w:rsid w:val="009E109D"/>
    <w:rsid w:val="009E5C15"/>
    <w:rsid w:val="009E7CF9"/>
    <w:rsid w:val="009F07D2"/>
    <w:rsid w:val="009F12E4"/>
    <w:rsid w:val="009F4245"/>
    <w:rsid w:val="009F469B"/>
    <w:rsid w:val="009F5B40"/>
    <w:rsid w:val="009F7B5E"/>
    <w:rsid w:val="00A003B8"/>
    <w:rsid w:val="00A00883"/>
    <w:rsid w:val="00A01098"/>
    <w:rsid w:val="00A01AF7"/>
    <w:rsid w:val="00A035A3"/>
    <w:rsid w:val="00A05E02"/>
    <w:rsid w:val="00A0704A"/>
    <w:rsid w:val="00A079C1"/>
    <w:rsid w:val="00A07B85"/>
    <w:rsid w:val="00A1031D"/>
    <w:rsid w:val="00A1282C"/>
    <w:rsid w:val="00A13C3F"/>
    <w:rsid w:val="00A13EE9"/>
    <w:rsid w:val="00A1438C"/>
    <w:rsid w:val="00A14F2C"/>
    <w:rsid w:val="00A159D2"/>
    <w:rsid w:val="00A16871"/>
    <w:rsid w:val="00A21814"/>
    <w:rsid w:val="00A21CCF"/>
    <w:rsid w:val="00A2635A"/>
    <w:rsid w:val="00A279D5"/>
    <w:rsid w:val="00A300A4"/>
    <w:rsid w:val="00A32A1D"/>
    <w:rsid w:val="00A35AB7"/>
    <w:rsid w:val="00A36521"/>
    <w:rsid w:val="00A40723"/>
    <w:rsid w:val="00A41C78"/>
    <w:rsid w:val="00A41D0D"/>
    <w:rsid w:val="00A45A2B"/>
    <w:rsid w:val="00A45F99"/>
    <w:rsid w:val="00A46ED3"/>
    <w:rsid w:val="00A4765F"/>
    <w:rsid w:val="00A50B81"/>
    <w:rsid w:val="00A51B5C"/>
    <w:rsid w:val="00A5261B"/>
    <w:rsid w:val="00A533F7"/>
    <w:rsid w:val="00A55E8E"/>
    <w:rsid w:val="00A57EE4"/>
    <w:rsid w:val="00A60AED"/>
    <w:rsid w:val="00A61472"/>
    <w:rsid w:val="00A617AB"/>
    <w:rsid w:val="00A622AC"/>
    <w:rsid w:val="00A6259A"/>
    <w:rsid w:val="00A6499E"/>
    <w:rsid w:val="00A71AF5"/>
    <w:rsid w:val="00A724C1"/>
    <w:rsid w:val="00A730EF"/>
    <w:rsid w:val="00A76BD7"/>
    <w:rsid w:val="00A801B1"/>
    <w:rsid w:val="00A81FA7"/>
    <w:rsid w:val="00A823A7"/>
    <w:rsid w:val="00A83016"/>
    <w:rsid w:val="00A83FF1"/>
    <w:rsid w:val="00A858F7"/>
    <w:rsid w:val="00A86614"/>
    <w:rsid w:val="00A86C00"/>
    <w:rsid w:val="00A8714F"/>
    <w:rsid w:val="00A911E3"/>
    <w:rsid w:val="00A92945"/>
    <w:rsid w:val="00A92ABB"/>
    <w:rsid w:val="00A92CDE"/>
    <w:rsid w:val="00A96730"/>
    <w:rsid w:val="00A97741"/>
    <w:rsid w:val="00A97C75"/>
    <w:rsid w:val="00AA03C3"/>
    <w:rsid w:val="00AA082C"/>
    <w:rsid w:val="00AA155C"/>
    <w:rsid w:val="00AA26AF"/>
    <w:rsid w:val="00AA32BB"/>
    <w:rsid w:val="00AA3612"/>
    <w:rsid w:val="00AA3C75"/>
    <w:rsid w:val="00AA5298"/>
    <w:rsid w:val="00AA5300"/>
    <w:rsid w:val="00AA655F"/>
    <w:rsid w:val="00AA672C"/>
    <w:rsid w:val="00AB5248"/>
    <w:rsid w:val="00AB5CAD"/>
    <w:rsid w:val="00AB5D11"/>
    <w:rsid w:val="00AC0442"/>
    <w:rsid w:val="00AC07E3"/>
    <w:rsid w:val="00AC247A"/>
    <w:rsid w:val="00AC2487"/>
    <w:rsid w:val="00AC3B8C"/>
    <w:rsid w:val="00AC71AB"/>
    <w:rsid w:val="00AD2F34"/>
    <w:rsid w:val="00AD5C4F"/>
    <w:rsid w:val="00AE1785"/>
    <w:rsid w:val="00AE2FAB"/>
    <w:rsid w:val="00AE33C1"/>
    <w:rsid w:val="00AE3C6C"/>
    <w:rsid w:val="00AF2B3F"/>
    <w:rsid w:val="00AF4D63"/>
    <w:rsid w:val="00AF5BD6"/>
    <w:rsid w:val="00AF7490"/>
    <w:rsid w:val="00B01901"/>
    <w:rsid w:val="00B01BE3"/>
    <w:rsid w:val="00B02B16"/>
    <w:rsid w:val="00B02E7F"/>
    <w:rsid w:val="00B04D6C"/>
    <w:rsid w:val="00B066C4"/>
    <w:rsid w:val="00B075E4"/>
    <w:rsid w:val="00B075F0"/>
    <w:rsid w:val="00B108D9"/>
    <w:rsid w:val="00B112E8"/>
    <w:rsid w:val="00B14C47"/>
    <w:rsid w:val="00B14C62"/>
    <w:rsid w:val="00B1730D"/>
    <w:rsid w:val="00B17455"/>
    <w:rsid w:val="00B178FE"/>
    <w:rsid w:val="00B2084C"/>
    <w:rsid w:val="00B219EE"/>
    <w:rsid w:val="00B21F22"/>
    <w:rsid w:val="00B221E9"/>
    <w:rsid w:val="00B22B87"/>
    <w:rsid w:val="00B23540"/>
    <w:rsid w:val="00B23541"/>
    <w:rsid w:val="00B23617"/>
    <w:rsid w:val="00B23938"/>
    <w:rsid w:val="00B25291"/>
    <w:rsid w:val="00B258A4"/>
    <w:rsid w:val="00B25C4D"/>
    <w:rsid w:val="00B30774"/>
    <w:rsid w:val="00B32B91"/>
    <w:rsid w:val="00B34A0D"/>
    <w:rsid w:val="00B3759B"/>
    <w:rsid w:val="00B3787C"/>
    <w:rsid w:val="00B37F3D"/>
    <w:rsid w:val="00B412B8"/>
    <w:rsid w:val="00B42993"/>
    <w:rsid w:val="00B43BC8"/>
    <w:rsid w:val="00B43E23"/>
    <w:rsid w:val="00B46F4F"/>
    <w:rsid w:val="00B47137"/>
    <w:rsid w:val="00B477CE"/>
    <w:rsid w:val="00B50954"/>
    <w:rsid w:val="00B51865"/>
    <w:rsid w:val="00B5188F"/>
    <w:rsid w:val="00B527DF"/>
    <w:rsid w:val="00B53047"/>
    <w:rsid w:val="00B5408E"/>
    <w:rsid w:val="00B55087"/>
    <w:rsid w:val="00B57588"/>
    <w:rsid w:val="00B6058A"/>
    <w:rsid w:val="00B61851"/>
    <w:rsid w:val="00B62A14"/>
    <w:rsid w:val="00B62BBA"/>
    <w:rsid w:val="00B6420A"/>
    <w:rsid w:val="00B67A07"/>
    <w:rsid w:val="00B67A46"/>
    <w:rsid w:val="00B67AE4"/>
    <w:rsid w:val="00B71891"/>
    <w:rsid w:val="00B718B6"/>
    <w:rsid w:val="00B75954"/>
    <w:rsid w:val="00B8038B"/>
    <w:rsid w:val="00B822BD"/>
    <w:rsid w:val="00B834BD"/>
    <w:rsid w:val="00B8388F"/>
    <w:rsid w:val="00B8649A"/>
    <w:rsid w:val="00B87440"/>
    <w:rsid w:val="00B9102F"/>
    <w:rsid w:val="00B913AD"/>
    <w:rsid w:val="00B94230"/>
    <w:rsid w:val="00B973A4"/>
    <w:rsid w:val="00B977D4"/>
    <w:rsid w:val="00BA4987"/>
    <w:rsid w:val="00BA56C1"/>
    <w:rsid w:val="00BA588E"/>
    <w:rsid w:val="00BA5A5C"/>
    <w:rsid w:val="00BA5F62"/>
    <w:rsid w:val="00BA637B"/>
    <w:rsid w:val="00BA7F5D"/>
    <w:rsid w:val="00BB3C4B"/>
    <w:rsid w:val="00BB496C"/>
    <w:rsid w:val="00BB569C"/>
    <w:rsid w:val="00BB7941"/>
    <w:rsid w:val="00BC245E"/>
    <w:rsid w:val="00BC297A"/>
    <w:rsid w:val="00BC2FCF"/>
    <w:rsid w:val="00BC39EB"/>
    <w:rsid w:val="00BC3B75"/>
    <w:rsid w:val="00BC450B"/>
    <w:rsid w:val="00BC46AA"/>
    <w:rsid w:val="00BC5E22"/>
    <w:rsid w:val="00BC6798"/>
    <w:rsid w:val="00BC6F68"/>
    <w:rsid w:val="00BD0528"/>
    <w:rsid w:val="00BD084E"/>
    <w:rsid w:val="00BD0C87"/>
    <w:rsid w:val="00BD1C7E"/>
    <w:rsid w:val="00BD3439"/>
    <w:rsid w:val="00BD368D"/>
    <w:rsid w:val="00BD3D6D"/>
    <w:rsid w:val="00BD63E9"/>
    <w:rsid w:val="00BD6A3E"/>
    <w:rsid w:val="00BE1D86"/>
    <w:rsid w:val="00BE456C"/>
    <w:rsid w:val="00BE49E8"/>
    <w:rsid w:val="00BE4C7A"/>
    <w:rsid w:val="00BE586E"/>
    <w:rsid w:val="00BE6209"/>
    <w:rsid w:val="00BF0218"/>
    <w:rsid w:val="00BF0283"/>
    <w:rsid w:val="00BF0AE8"/>
    <w:rsid w:val="00BF1DBE"/>
    <w:rsid w:val="00BF37E2"/>
    <w:rsid w:val="00BF6B55"/>
    <w:rsid w:val="00C00B1E"/>
    <w:rsid w:val="00C0135A"/>
    <w:rsid w:val="00C017EB"/>
    <w:rsid w:val="00C029FB"/>
    <w:rsid w:val="00C03872"/>
    <w:rsid w:val="00C051C5"/>
    <w:rsid w:val="00C0649C"/>
    <w:rsid w:val="00C06942"/>
    <w:rsid w:val="00C07AA6"/>
    <w:rsid w:val="00C1061B"/>
    <w:rsid w:val="00C11D0E"/>
    <w:rsid w:val="00C11EA6"/>
    <w:rsid w:val="00C14265"/>
    <w:rsid w:val="00C16C63"/>
    <w:rsid w:val="00C179D5"/>
    <w:rsid w:val="00C2103E"/>
    <w:rsid w:val="00C212CF"/>
    <w:rsid w:val="00C213B7"/>
    <w:rsid w:val="00C22FFF"/>
    <w:rsid w:val="00C23688"/>
    <w:rsid w:val="00C24512"/>
    <w:rsid w:val="00C27985"/>
    <w:rsid w:val="00C31639"/>
    <w:rsid w:val="00C31926"/>
    <w:rsid w:val="00C31D90"/>
    <w:rsid w:val="00C31EED"/>
    <w:rsid w:val="00C32F23"/>
    <w:rsid w:val="00C33D67"/>
    <w:rsid w:val="00C362FA"/>
    <w:rsid w:val="00C3672A"/>
    <w:rsid w:val="00C41D72"/>
    <w:rsid w:val="00C42090"/>
    <w:rsid w:val="00C420D8"/>
    <w:rsid w:val="00C420E4"/>
    <w:rsid w:val="00C43808"/>
    <w:rsid w:val="00C46B69"/>
    <w:rsid w:val="00C4766C"/>
    <w:rsid w:val="00C47B07"/>
    <w:rsid w:val="00C50D25"/>
    <w:rsid w:val="00C51171"/>
    <w:rsid w:val="00C525F9"/>
    <w:rsid w:val="00C53C72"/>
    <w:rsid w:val="00C53C81"/>
    <w:rsid w:val="00C56CDC"/>
    <w:rsid w:val="00C60A71"/>
    <w:rsid w:val="00C64941"/>
    <w:rsid w:val="00C64EE4"/>
    <w:rsid w:val="00C6581F"/>
    <w:rsid w:val="00C7024F"/>
    <w:rsid w:val="00C71247"/>
    <w:rsid w:val="00C7412D"/>
    <w:rsid w:val="00C75991"/>
    <w:rsid w:val="00C75CCA"/>
    <w:rsid w:val="00C76808"/>
    <w:rsid w:val="00C76F8E"/>
    <w:rsid w:val="00C8149F"/>
    <w:rsid w:val="00C81836"/>
    <w:rsid w:val="00C842D0"/>
    <w:rsid w:val="00C8580A"/>
    <w:rsid w:val="00C86089"/>
    <w:rsid w:val="00C870E6"/>
    <w:rsid w:val="00C87ABE"/>
    <w:rsid w:val="00C90CAF"/>
    <w:rsid w:val="00C90FC7"/>
    <w:rsid w:val="00C9188F"/>
    <w:rsid w:val="00C96340"/>
    <w:rsid w:val="00C96552"/>
    <w:rsid w:val="00CA0132"/>
    <w:rsid w:val="00CA26F3"/>
    <w:rsid w:val="00CA36F2"/>
    <w:rsid w:val="00CA3884"/>
    <w:rsid w:val="00CA3B3F"/>
    <w:rsid w:val="00CA5A6D"/>
    <w:rsid w:val="00CA719B"/>
    <w:rsid w:val="00CA7249"/>
    <w:rsid w:val="00CA77F2"/>
    <w:rsid w:val="00CB64D0"/>
    <w:rsid w:val="00CB79B6"/>
    <w:rsid w:val="00CC2092"/>
    <w:rsid w:val="00CC4157"/>
    <w:rsid w:val="00CC5390"/>
    <w:rsid w:val="00CC5456"/>
    <w:rsid w:val="00CD06B8"/>
    <w:rsid w:val="00CD0F7A"/>
    <w:rsid w:val="00CD1851"/>
    <w:rsid w:val="00CD2AD8"/>
    <w:rsid w:val="00CD3780"/>
    <w:rsid w:val="00CD47B6"/>
    <w:rsid w:val="00CE1889"/>
    <w:rsid w:val="00CE3602"/>
    <w:rsid w:val="00CF1268"/>
    <w:rsid w:val="00D01549"/>
    <w:rsid w:val="00D034FA"/>
    <w:rsid w:val="00D05385"/>
    <w:rsid w:val="00D05CD9"/>
    <w:rsid w:val="00D05E47"/>
    <w:rsid w:val="00D07852"/>
    <w:rsid w:val="00D07FB9"/>
    <w:rsid w:val="00D11EE3"/>
    <w:rsid w:val="00D129C0"/>
    <w:rsid w:val="00D15B10"/>
    <w:rsid w:val="00D16BEE"/>
    <w:rsid w:val="00D21752"/>
    <w:rsid w:val="00D24B6A"/>
    <w:rsid w:val="00D254F8"/>
    <w:rsid w:val="00D32508"/>
    <w:rsid w:val="00D34176"/>
    <w:rsid w:val="00D35739"/>
    <w:rsid w:val="00D35E9E"/>
    <w:rsid w:val="00D36798"/>
    <w:rsid w:val="00D37708"/>
    <w:rsid w:val="00D40AA2"/>
    <w:rsid w:val="00D40EF6"/>
    <w:rsid w:val="00D413AB"/>
    <w:rsid w:val="00D41999"/>
    <w:rsid w:val="00D4670F"/>
    <w:rsid w:val="00D468F8"/>
    <w:rsid w:val="00D46D1B"/>
    <w:rsid w:val="00D50CEA"/>
    <w:rsid w:val="00D5574C"/>
    <w:rsid w:val="00D611BE"/>
    <w:rsid w:val="00D63E9B"/>
    <w:rsid w:val="00D63FC3"/>
    <w:rsid w:val="00D649AF"/>
    <w:rsid w:val="00D652F3"/>
    <w:rsid w:val="00D65982"/>
    <w:rsid w:val="00D67BB1"/>
    <w:rsid w:val="00D71672"/>
    <w:rsid w:val="00D71721"/>
    <w:rsid w:val="00D71B62"/>
    <w:rsid w:val="00D722DC"/>
    <w:rsid w:val="00D7477E"/>
    <w:rsid w:val="00D81314"/>
    <w:rsid w:val="00D82BC0"/>
    <w:rsid w:val="00D82FE7"/>
    <w:rsid w:val="00D83EC1"/>
    <w:rsid w:val="00D85162"/>
    <w:rsid w:val="00D85B50"/>
    <w:rsid w:val="00D864E2"/>
    <w:rsid w:val="00D907E8"/>
    <w:rsid w:val="00D91A2E"/>
    <w:rsid w:val="00D929A0"/>
    <w:rsid w:val="00D9381B"/>
    <w:rsid w:val="00D96C76"/>
    <w:rsid w:val="00D974DF"/>
    <w:rsid w:val="00DA01DC"/>
    <w:rsid w:val="00DA1684"/>
    <w:rsid w:val="00DA2003"/>
    <w:rsid w:val="00DA4C68"/>
    <w:rsid w:val="00DA54C1"/>
    <w:rsid w:val="00DA5964"/>
    <w:rsid w:val="00DA5A68"/>
    <w:rsid w:val="00DA6472"/>
    <w:rsid w:val="00DA73B4"/>
    <w:rsid w:val="00DB0457"/>
    <w:rsid w:val="00DB09C5"/>
    <w:rsid w:val="00DB1FD1"/>
    <w:rsid w:val="00DB2CA6"/>
    <w:rsid w:val="00DB3DDF"/>
    <w:rsid w:val="00DB6A44"/>
    <w:rsid w:val="00DB6BDD"/>
    <w:rsid w:val="00DB6DB7"/>
    <w:rsid w:val="00DB77FA"/>
    <w:rsid w:val="00DB7847"/>
    <w:rsid w:val="00DB7EA1"/>
    <w:rsid w:val="00DC4285"/>
    <w:rsid w:val="00DC50AF"/>
    <w:rsid w:val="00DC76BB"/>
    <w:rsid w:val="00DC7CEA"/>
    <w:rsid w:val="00DD01C1"/>
    <w:rsid w:val="00DD17A3"/>
    <w:rsid w:val="00DD1E64"/>
    <w:rsid w:val="00DD387C"/>
    <w:rsid w:val="00DD47CA"/>
    <w:rsid w:val="00DD49D1"/>
    <w:rsid w:val="00DD51BC"/>
    <w:rsid w:val="00DE0B74"/>
    <w:rsid w:val="00DE429E"/>
    <w:rsid w:val="00DE5289"/>
    <w:rsid w:val="00DE5DB2"/>
    <w:rsid w:val="00DE5EA6"/>
    <w:rsid w:val="00DE75C5"/>
    <w:rsid w:val="00DF008D"/>
    <w:rsid w:val="00DF062D"/>
    <w:rsid w:val="00DF204D"/>
    <w:rsid w:val="00DF2703"/>
    <w:rsid w:val="00DF3011"/>
    <w:rsid w:val="00DF4974"/>
    <w:rsid w:val="00DF6EAC"/>
    <w:rsid w:val="00E00F96"/>
    <w:rsid w:val="00E02FDE"/>
    <w:rsid w:val="00E0511A"/>
    <w:rsid w:val="00E0628C"/>
    <w:rsid w:val="00E125C3"/>
    <w:rsid w:val="00E13481"/>
    <w:rsid w:val="00E150E1"/>
    <w:rsid w:val="00E15FCD"/>
    <w:rsid w:val="00E228D9"/>
    <w:rsid w:val="00E24FF6"/>
    <w:rsid w:val="00E2515B"/>
    <w:rsid w:val="00E2526C"/>
    <w:rsid w:val="00E261B4"/>
    <w:rsid w:val="00E26804"/>
    <w:rsid w:val="00E2726E"/>
    <w:rsid w:val="00E27F52"/>
    <w:rsid w:val="00E33035"/>
    <w:rsid w:val="00E35964"/>
    <w:rsid w:val="00E36079"/>
    <w:rsid w:val="00E36167"/>
    <w:rsid w:val="00E36970"/>
    <w:rsid w:val="00E36DE5"/>
    <w:rsid w:val="00E379F6"/>
    <w:rsid w:val="00E406A8"/>
    <w:rsid w:val="00E41D60"/>
    <w:rsid w:val="00E42B11"/>
    <w:rsid w:val="00E432A9"/>
    <w:rsid w:val="00E4337D"/>
    <w:rsid w:val="00E43C0F"/>
    <w:rsid w:val="00E45E4D"/>
    <w:rsid w:val="00E47610"/>
    <w:rsid w:val="00E508D3"/>
    <w:rsid w:val="00E50B76"/>
    <w:rsid w:val="00E5254C"/>
    <w:rsid w:val="00E537D7"/>
    <w:rsid w:val="00E5400F"/>
    <w:rsid w:val="00E55E60"/>
    <w:rsid w:val="00E56818"/>
    <w:rsid w:val="00E57986"/>
    <w:rsid w:val="00E62203"/>
    <w:rsid w:val="00E62F3D"/>
    <w:rsid w:val="00E63B67"/>
    <w:rsid w:val="00E659C8"/>
    <w:rsid w:val="00E673D7"/>
    <w:rsid w:val="00E707BE"/>
    <w:rsid w:val="00E72416"/>
    <w:rsid w:val="00E734EB"/>
    <w:rsid w:val="00E73B4E"/>
    <w:rsid w:val="00E73E8D"/>
    <w:rsid w:val="00E7584D"/>
    <w:rsid w:val="00E828F5"/>
    <w:rsid w:val="00E82E69"/>
    <w:rsid w:val="00E84E7D"/>
    <w:rsid w:val="00E86881"/>
    <w:rsid w:val="00E935B9"/>
    <w:rsid w:val="00E94201"/>
    <w:rsid w:val="00E95F62"/>
    <w:rsid w:val="00E96422"/>
    <w:rsid w:val="00E97D0A"/>
    <w:rsid w:val="00EA020A"/>
    <w:rsid w:val="00EA03D5"/>
    <w:rsid w:val="00EA1FA6"/>
    <w:rsid w:val="00EA2454"/>
    <w:rsid w:val="00EA24E2"/>
    <w:rsid w:val="00EA2E5D"/>
    <w:rsid w:val="00EA3822"/>
    <w:rsid w:val="00EA6DCD"/>
    <w:rsid w:val="00EB021D"/>
    <w:rsid w:val="00EB14C3"/>
    <w:rsid w:val="00EB2839"/>
    <w:rsid w:val="00EC0230"/>
    <w:rsid w:val="00EC33E6"/>
    <w:rsid w:val="00EC4FA2"/>
    <w:rsid w:val="00EC53C5"/>
    <w:rsid w:val="00EC5D00"/>
    <w:rsid w:val="00ED050B"/>
    <w:rsid w:val="00ED1D8B"/>
    <w:rsid w:val="00ED3E00"/>
    <w:rsid w:val="00ED57DE"/>
    <w:rsid w:val="00ED5C1F"/>
    <w:rsid w:val="00ED654D"/>
    <w:rsid w:val="00ED7B62"/>
    <w:rsid w:val="00EE07E3"/>
    <w:rsid w:val="00EE1723"/>
    <w:rsid w:val="00EE2629"/>
    <w:rsid w:val="00EE2FAE"/>
    <w:rsid w:val="00EE3630"/>
    <w:rsid w:val="00EE430E"/>
    <w:rsid w:val="00EE4869"/>
    <w:rsid w:val="00EE574B"/>
    <w:rsid w:val="00EE73F0"/>
    <w:rsid w:val="00EE7763"/>
    <w:rsid w:val="00EE7F52"/>
    <w:rsid w:val="00EF0C0A"/>
    <w:rsid w:val="00EF116F"/>
    <w:rsid w:val="00EF1CA1"/>
    <w:rsid w:val="00EF3E23"/>
    <w:rsid w:val="00EF520D"/>
    <w:rsid w:val="00EF5ED1"/>
    <w:rsid w:val="00F00D0B"/>
    <w:rsid w:val="00F016F7"/>
    <w:rsid w:val="00F02D38"/>
    <w:rsid w:val="00F03706"/>
    <w:rsid w:val="00F03E9C"/>
    <w:rsid w:val="00F06F4B"/>
    <w:rsid w:val="00F07943"/>
    <w:rsid w:val="00F13907"/>
    <w:rsid w:val="00F13CC4"/>
    <w:rsid w:val="00F13F90"/>
    <w:rsid w:val="00F1431C"/>
    <w:rsid w:val="00F2057F"/>
    <w:rsid w:val="00F22306"/>
    <w:rsid w:val="00F24C12"/>
    <w:rsid w:val="00F24F7A"/>
    <w:rsid w:val="00F2779E"/>
    <w:rsid w:val="00F33C14"/>
    <w:rsid w:val="00F34231"/>
    <w:rsid w:val="00F35BD9"/>
    <w:rsid w:val="00F37456"/>
    <w:rsid w:val="00F41B3D"/>
    <w:rsid w:val="00F41BB4"/>
    <w:rsid w:val="00F41C5F"/>
    <w:rsid w:val="00F42198"/>
    <w:rsid w:val="00F42200"/>
    <w:rsid w:val="00F4232F"/>
    <w:rsid w:val="00F4268B"/>
    <w:rsid w:val="00F42CBA"/>
    <w:rsid w:val="00F43015"/>
    <w:rsid w:val="00F45215"/>
    <w:rsid w:val="00F453A1"/>
    <w:rsid w:val="00F51B9B"/>
    <w:rsid w:val="00F5209F"/>
    <w:rsid w:val="00F52D53"/>
    <w:rsid w:val="00F56A40"/>
    <w:rsid w:val="00F56F16"/>
    <w:rsid w:val="00F57C15"/>
    <w:rsid w:val="00F61340"/>
    <w:rsid w:val="00F64814"/>
    <w:rsid w:val="00F64EC5"/>
    <w:rsid w:val="00F66E1D"/>
    <w:rsid w:val="00F67301"/>
    <w:rsid w:val="00F708F2"/>
    <w:rsid w:val="00F711A9"/>
    <w:rsid w:val="00F71D95"/>
    <w:rsid w:val="00F77823"/>
    <w:rsid w:val="00F80FD4"/>
    <w:rsid w:val="00F8196F"/>
    <w:rsid w:val="00F82A7A"/>
    <w:rsid w:val="00F833DB"/>
    <w:rsid w:val="00F83E21"/>
    <w:rsid w:val="00F8442D"/>
    <w:rsid w:val="00F8585F"/>
    <w:rsid w:val="00F86997"/>
    <w:rsid w:val="00F87171"/>
    <w:rsid w:val="00F87490"/>
    <w:rsid w:val="00F93087"/>
    <w:rsid w:val="00F930F2"/>
    <w:rsid w:val="00F939F5"/>
    <w:rsid w:val="00F93E90"/>
    <w:rsid w:val="00F97334"/>
    <w:rsid w:val="00F97CAE"/>
    <w:rsid w:val="00F97DB8"/>
    <w:rsid w:val="00FA135E"/>
    <w:rsid w:val="00FA2484"/>
    <w:rsid w:val="00FA2774"/>
    <w:rsid w:val="00FA349B"/>
    <w:rsid w:val="00FA3E00"/>
    <w:rsid w:val="00FA4C9D"/>
    <w:rsid w:val="00FA678E"/>
    <w:rsid w:val="00FB0384"/>
    <w:rsid w:val="00FB0F3F"/>
    <w:rsid w:val="00FB195C"/>
    <w:rsid w:val="00FB2E5B"/>
    <w:rsid w:val="00FB3202"/>
    <w:rsid w:val="00FB4D46"/>
    <w:rsid w:val="00FC1470"/>
    <w:rsid w:val="00FC1BFA"/>
    <w:rsid w:val="00FC304C"/>
    <w:rsid w:val="00FC58C4"/>
    <w:rsid w:val="00FD0A2F"/>
    <w:rsid w:val="00FD297E"/>
    <w:rsid w:val="00FD34A4"/>
    <w:rsid w:val="00FD38DA"/>
    <w:rsid w:val="00FD45BA"/>
    <w:rsid w:val="00FD7E12"/>
    <w:rsid w:val="00FE023D"/>
    <w:rsid w:val="00FE1D72"/>
    <w:rsid w:val="00FE27BB"/>
    <w:rsid w:val="00FE41FF"/>
    <w:rsid w:val="00FE4982"/>
    <w:rsid w:val="00FE55BA"/>
    <w:rsid w:val="00FF0374"/>
    <w:rsid w:val="00FF0F64"/>
    <w:rsid w:val="00FF121A"/>
    <w:rsid w:val="00FF20DB"/>
    <w:rsid w:val="00FF2950"/>
    <w:rsid w:val="00FF2F0E"/>
    <w:rsid w:val="00FF3F57"/>
    <w:rsid w:val="00FF530E"/>
    <w:rsid w:val="00FF7738"/>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E43050"/>
  <w15:docId w15:val="{A78DDFC8-A6A4-4AD6-B78D-9B44BE34EA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37F3D"/>
    <w:rPr>
      <w:sz w:val="24"/>
      <w:szCs w:val="24"/>
      <w:lang w:eastAsia="en-US"/>
    </w:rPr>
  </w:style>
  <w:style w:type="paragraph" w:styleId="Heading1">
    <w:name w:val="heading 1"/>
    <w:basedOn w:val="Normal"/>
    <w:next w:val="Normal"/>
    <w:link w:val="Heading1Char1"/>
    <w:qFormat/>
    <w:rsid w:val="00CD3780"/>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B37F3D"/>
    <w:pPr>
      <w:jc w:val="center"/>
    </w:pPr>
    <w:rPr>
      <w:b/>
      <w:bCs/>
      <w:lang w:eastAsia="es-ES"/>
    </w:rPr>
  </w:style>
  <w:style w:type="paragraph" w:styleId="Header">
    <w:name w:val="header"/>
    <w:basedOn w:val="Normal"/>
    <w:link w:val="HeaderChar"/>
    <w:uiPriority w:val="99"/>
    <w:rsid w:val="00B37F3D"/>
    <w:pPr>
      <w:tabs>
        <w:tab w:val="center" w:pos="4153"/>
        <w:tab w:val="right" w:pos="8306"/>
      </w:tabs>
    </w:pPr>
    <w:rPr>
      <w:lang w:eastAsia="es-ES"/>
    </w:rPr>
  </w:style>
  <w:style w:type="paragraph" w:styleId="BodyText3">
    <w:name w:val="Body Text 3"/>
    <w:basedOn w:val="Normal"/>
    <w:rsid w:val="00B37F3D"/>
    <w:pPr>
      <w:tabs>
        <w:tab w:val="left" w:pos="300"/>
      </w:tabs>
    </w:pPr>
    <w:rPr>
      <w:sz w:val="22"/>
    </w:rPr>
  </w:style>
  <w:style w:type="paragraph" w:styleId="Footer">
    <w:name w:val="footer"/>
    <w:basedOn w:val="Normal"/>
    <w:link w:val="FooterChar"/>
    <w:uiPriority w:val="99"/>
    <w:rsid w:val="00B37F3D"/>
    <w:pPr>
      <w:tabs>
        <w:tab w:val="center" w:pos="4153"/>
        <w:tab w:val="right" w:pos="8306"/>
      </w:tabs>
    </w:pPr>
    <w:rPr>
      <w:sz w:val="20"/>
    </w:rPr>
  </w:style>
  <w:style w:type="character" w:styleId="PageNumber">
    <w:name w:val="page number"/>
    <w:basedOn w:val="DefaultParagraphFont"/>
    <w:rsid w:val="00B37F3D"/>
  </w:style>
  <w:style w:type="paragraph" w:styleId="BodyTextIndent">
    <w:name w:val="Body Text Indent"/>
    <w:basedOn w:val="Normal"/>
    <w:rsid w:val="00B37F3D"/>
    <w:pPr>
      <w:spacing w:after="120"/>
      <w:ind w:left="360"/>
    </w:pPr>
  </w:style>
  <w:style w:type="paragraph" w:styleId="BalloonText">
    <w:name w:val="Balloon Text"/>
    <w:basedOn w:val="Normal"/>
    <w:link w:val="BalloonTextChar"/>
    <w:uiPriority w:val="99"/>
    <w:semiHidden/>
    <w:rsid w:val="00B37F3D"/>
    <w:rPr>
      <w:rFonts w:ascii="Tahoma" w:hAnsi="Tahoma" w:cs="Tahoma"/>
      <w:sz w:val="16"/>
      <w:szCs w:val="16"/>
    </w:rPr>
  </w:style>
  <w:style w:type="paragraph" w:styleId="Title">
    <w:name w:val="Title"/>
    <w:basedOn w:val="Normal"/>
    <w:link w:val="TitleChar"/>
    <w:qFormat/>
    <w:rsid w:val="00E828F5"/>
    <w:pPr>
      <w:jc w:val="center"/>
    </w:pPr>
    <w:rPr>
      <w:rFonts w:eastAsia="MS Mincho"/>
      <w:b/>
      <w:caps/>
      <w:sz w:val="20"/>
      <w:lang w:eastAsia="ja-JP"/>
    </w:rPr>
  </w:style>
  <w:style w:type="character" w:customStyle="1" w:styleId="TitleChar">
    <w:name w:val="Title Char"/>
    <w:basedOn w:val="DefaultParagraphFont"/>
    <w:link w:val="Title"/>
    <w:rsid w:val="00E828F5"/>
    <w:rPr>
      <w:rFonts w:eastAsia="MS Mincho"/>
      <w:b/>
      <w:caps/>
      <w:szCs w:val="24"/>
      <w:lang w:val="fr-FR" w:eastAsia="ja-JP"/>
    </w:rPr>
  </w:style>
  <w:style w:type="paragraph" w:styleId="ListParagraph">
    <w:name w:val="List Paragraph"/>
    <w:basedOn w:val="Normal"/>
    <w:qFormat/>
    <w:rsid w:val="00B977D4"/>
    <w:pPr>
      <w:ind w:left="720"/>
    </w:pPr>
    <w:rPr>
      <w:rFonts w:ascii="Calibri" w:eastAsiaTheme="minorHAnsi" w:hAnsi="Calibri" w:cs="Calibri"/>
      <w:sz w:val="22"/>
      <w:szCs w:val="22"/>
      <w:lang w:eastAsia="es-ES"/>
    </w:rPr>
  </w:style>
  <w:style w:type="character" w:customStyle="1" w:styleId="hps">
    <w:name w:val="hps"/>
    <w:basedOn w:val="DefaultParagraphFont"/>
    <w:rsid w:val="00634073"/>
  </w:style>
  <w:style w:type="character" w:styleId="Emphasis">
    <w:name w:val="Emphasis"/>
    <w:basedOn w:val="DefaultParagraphFont"/>
    <w:uiPriority w:val="20"/>
    <w:qFormat/>
    <w:rsid w:val="00634073"/>
    <w:rPr>
      <w:i/>
      <w:iCs/>
    </w:rPr>
  </w:style>
  <w:style w:type="paragraph" w:styleId="NoSpacing">
    <w:name w:val="No Spacing"/>
    <w:uiPriority w:val="1"/>
    <w:qFormat/>
    <w:rsid w:val="000D1E9A"/>
    <w:rPr>
      <w:szCs w:val="24"/>
      <w:lang w:eastAsia="en-US"/>
    </w:rPr>
  </w:style>
  <w:style w:type="character" w:styleId="CommentReference">
    <w:name w:val="annotation reference"/>
    <w:basedOn w:val="DefaultParagraphFont"/>
    <w:uiPriority w:val="99"/>
    <w:rsid w:val="0092214B"/>
    <w:rPr>
      <w:sz w:val="16"/>
      <w:szCs w:val="16"/>
    </w:rPr>
  </w:style>
  <w:style w:type="paragraph" w:styleId="CommentText">
    <w:name w:val="annotation text"/>
    <w:basedOn w:val="Normal"/>
    <w:link w:val="CommentTextChar"/>
    <w:uiPriority w:val="99"/>
    <w:rsid w:val="0092214B"/>
    <w:rPr>
      <w:sz w:val="20"/>
      <w:szCs w:val="20"/>
    </w:rPr>
  </w:style>
  <w:style w:type="character" w:customStyle="1" w:styleId="CommentTextChar">
    <w:name w:val="Comment Text Char"/>
    <w:basedOn w:val="DefaultParagraphFont"/>
    <w:link w:val="CommentText"/>
    <w:uiPriority w:val="99"/>
    <w:rsid w:val="0092214B"/>
    <w:rPr>
      <w:lang w:val="fr-FR" w:eastAsia="en-US"/>
    </w:rPr>
  </w:style>
  <w:style w:type="paragraph" w:styleId="CommentSubject">
    <w:name w:val="annotation subject"/>
    <w:basedOn w:val="CommentText"/>
    <w:next w:val="CommentText"/>
    <w:link w:val="CommentSubjectChar"/>
    <w:uiPriority w:val="99"/>
    <w:rsid w:val="0092214B"/>
    <w:rPr>
      <w:b/>
      <w:bCs/>
    </w:rPr>
  </w:style>
  <w:style w:type="character" w:customStyle="1" w:styleId="CommentSubjectChar">
    <w:name w:val="Comment Subject Char"/>
    <w:basedOn w:val="CommentTextChar"/>
    <w:link w:val="CommentSubject"/>
    <w:uiPriority w:val="99"/>
    <w:rsid w:val="0092214B"/>
    <w:rPr>
      <w:b/>
      <w:bCs/>
      <w:lang w:val="fr-FR" w:eastAsia="en-US"/>
    </w:rPr>
  </w:style>
  <w:style w:type="character" w:customStyle="1" w:styleId="FooterChar">
    <w:name w:val="Footer Char"/>
    <w:basedOn w:val="DefaultParagraphFont"/>
    <w:link w:val="Footer"/>
    <w:uiPriority w:val="99"/>
    <w:rsid w:val="001605DF"/>
    <w:rPr>
      <w:szCs w:val="24"/>
      <w:lang w:val="fr-FR" w:eastAsia="en-US"/>
    </w:rPr>
  </w:style>
  <w:style w:type="paragraph" w:customStyle="1" w:styleId="Normal1">
    <w:name w:val="Normal1"/>
    <w:link w:val="normalChar"/>
    <w:qFormat/>
    <w:rsid w:val="00D649AF"/>
    <w:pPr>
      <w:widowControl w:val="0"/>
      <w:suppressAutoHyphens/>
      <w:textAlignment w:val="baseline"/>
    </w:pPr>
    <w:rPr>
      <w:rFonts w:ascii="Courier" w:eastAsia="SimSun" w:hAnsi="Courier" w:cs="Courier"/>
      <w:sz w:val="24"/>
      <w:szCs w:val="24"/>
      <w:lang w:eastAsia="zh-CN"/>
    </w:rPr>
  </w:style>
  <w:style w:type="character" w:customStyle="1" w:styleId="normalChar">
    <w:name w:val="normal Char"/>
    <w:basedOn w:val="DefaultParagraphFont"/>
    <w:link w:val="Normal1"/>
    <w:rsid w:val="00D649AF"/>
    <w:rPr>
      <w:rFonts w:ascii="Courier" w:eastAsia="SimSun" w:hAnsi="Courier" w:cs="Courier"/>
      <w:sz w:val="24"/>
      <w:szCs w:val="24"/>
      <w:lang w:eastAsia="zh-CN"/>
    </w:rPr>
  </w:style>
  <w:style w:type="character" w:customStyle="1" w:styleId="HeaderChar">
    <w:name w:val="Header Char"/>
    <w:basedOn w:val="DefaultParagraphFont"/>
    <w:link w:val="Header"/>
    <w:uiPriority w:val="99"/>
    <w:rsid w:val="00937F28"/>
    <w:rPr>
      <w:sz w:val="24"/>
      <w:szCs w:val="24"/>
      <w:lang w:val="fr-FR" w:eastAsia="es-ES"/>
    </w:rPr>
  </w:style>
  <w:style w:type="character" w:styleId="Hyperlink">
    <w:name w:val="Hyperlink"/>
    <w:basedOn w:val="DefaultParagraphFont"/>
    <w:uiPriority w:val="99"/>
    <w:unhideWhenUsed/>
    <w:rsid w:val="00481153"/>
    <w:rPr>
      <w:color w:val="0000FF" w:themeColor="hyperlink"/>
      <w:u w:val="single"/>
    </w:rPr>
  </w:style>
  <w:style w:type="character" w:styleId="UnresolvedMention">
    <w:name w:val="Unresolved Mention"/>
    <w:basedOn w:val="DefaultParagraphFont"/>
    <w:uiPriority w:val="99"/>
    <w:semiHidden/>
    <w:unhideWhenUsed/>
    <w:rsid w:val="00481153"/>
    <w:rPr>
      <w:color w:val="605E5C"/>
      <w:shd w:val="clear" w:color="auto" w:fill="E1DFDD"/>
    </w:rPr>
  </w:style>
  <w:style w:type="paragraph" w:customStyle="1" w:styleId="Heading11">
    <w:name w:val="Heading 11"/>
    <w:basedOn w:val="Normal"/>
    <w:next w:val="Normal"/>
    <w:link w:val="Heading1Char"/>
    <w:uiPriority w:val="9"/>
    <w:qFormat/>
    <w:rsid w:val="00CD3780"/>
    <w:pPr>
      <w:keepNext/>
      <w:keepLines/>
      <w:spacing w:before="240" w:line="276" w:lineRule="auto"/>
      <w:outlineLvl w:val="0"/>
    </w:pPr>
    <w:rPr>
      <w:rFonts w:ascii="Cambria" w:hAnsi="Cambria"/>
      <w:color w:val="365F91"/>
      <w:sz w:val="32"/>
      <w:szCs w:val="32"/>
      <w:lang w:eastAsia="en-GB"/>
    </w:rPr>
  </w:style>
  <w:style w:type="table" w:customStyle="1" w:styleId="TableGrid1">
    <w:name w:val="Table Grid1"/>
    <w:basedOn w:val="TableNormal"/>
    <w:next w:val="TableGrid"/>
    <w:uiPriority w:val="39"/>
    <w:rsid w:val="004D60D3"/>
    <w:rPr>
      <w:rFonts w:eastAsia="MS Gothic"/>
      <w:color w:val="000000"/>
      <w:sz w:val="24"/>
      <w:szCs w:val="24"/>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CD3780"/>
    <w:rPr>
      <w:rFonts w:eastAsia="MS Gothic"/>
      <w:color w:val="000000"/>
      <w:sz w:val="24"/>
      <w:szCs w:val="24"/>
      <w:lang w:eastAsia="fr-FR" w:bidi="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basedOn w:val="DefaultParagraphFont"/>
    <w:link w:val="BalloonText"/>
    <w:uiPriority w:val="99"/>
    <w:semiHidden/>
    <w:rsid w:val="00CD3780"/>
    <w:rPr>
      <w:rFonts w:ascii="Tahoma" w:hAnsi="Tahoma" w:cs="Tahoma"/>
      <w:sz w:val="16"/>
      <w:szCs w:val="16"/>
      <w:lang w:val="fr-FR" w:eastAsia="en-US"/>
    </w:rPr>
  </w:style>
  <w:style w:type="paragraph" w:customStyle="1" w:styleId="Default">
    <w:name w:val="Default"/>
    <w:rsid w:val="00CD3780"/>
    <w:pPr>
      <w:autoSpaceDE w:val="0"/>
      <w:autoSpaceDN w:val="0"/>
      <w:adjustRightInd w:val="0"/>
    </w:pPr>
    <w:rPr>
      <w:rFonts w:ascii="Cambria" w:eastAsia="Calibri" w:hAnsi="Cambria" w:cs="Cambria"/>
      <w:color w:val="000000"/>
      <w:sz w:val="24"/>
      <w:szCs w:val="24"/>
      <w:lang w:eastAsia="en-US"/>
    </w:rPr>
  </w:style>
  <w:style w:type="paragraph" w:styleId="FootnoteText">
    <w:name w:val="footnote text"/>
    <w:basedOn w:val="Normal"/>
    <w:link w:val="FootnoteTextChar"/>
    <w:uiPriority w:val="99"/>
    <w:unhideWhenUsed/>
    <w:rsid w:val="00CD3780"/>
    <w:rPr>
      <w:rFonts w:ascii="Cambria" w:eastAsia="Calibri" w:hAnsi="Cambria" w:cs="Arial"/>
      <w:sz w:val="20"/>
      <w:szCs w:val="20"/>
    </w:rPr>
  </w:style>
  <w:style w:type="character" w:customStyle="1" w:styleId="FootnoteTextChar">
    <w:name w:val="Footnote Text Char"/>
    <w:basedOn w:val="DefaultParagraphFont"/>
    <w:link w:val="FootnoteText"/>
    <w:uiPriority w:val="99"/>
    <w:rsid w:val="00CD3780"/>
    <w:rPr>
      <w:rFonts w:ascii="Cambria" w:eastAsia="Calibri" w:hAnsi="Cambria" w:cs="Arial"/>
      <w:lang w:val="fr-FR" w:eastAsia="en-US"/>
    </w:rPr>
  </w:style>
  <w:style w:type="character" w:styleId="FootnoteReference">
    <w:name w:val="footnote reference"/>
    <w:basedOn w:val="DefaultParagraphFont"/>
    <w:uiPriority w:val="99"/>
    <w:semiHidden/>
    <w:unhideWhenUsed/>
    <w:rsid w:val="00CD3780"/>
    <w:rPr>
      <w:vertAlign w:val="superscript"/>
    </w:rPr>
  </w:style>
  <w:style w:type="paragraph" w:customStyle="1" w:styleId="Heading1bis">
    <w:name w:val="Heading 1 bis"/>
    <w:basedOn w:val="Heading1"/>
    <w:link w:val="Heading1bisChar"/>
    <w:qFormat/>
    <w:rsid w:val="00CD3780"/>
    <w:pPr>
      <w:spacing w:line="276" w:lineRule="auto"/>
      <w:outlineLvl w:val="9"/>
    </w:pPr>
    <w:rPr>
      <w:rFonts w:ascii="Cambria" w:hAnsi="Cambria"/>
      <w:b/>
      <w:smallCaps/>
      <w:sz w:val="24"/>
    </w:rPr>
  </w:style>
  <w:style w:type="paragraph" w:customStyle="1" w:styleId="Heading2bis">
    <w:name w:val="Heading 2 bis"/>
    <w:basedOn w:val="Heading1bis"/>
    <w:link w:val="Heading2bisChar"/>
    <w:qFormat/>
    <w:rsid w:val="00CD3780"/>
    <w:pPr>
      <w:numPr>
        <w:numId w:val="17"/>
      </w:numPr>
    </w:pPr>
    <w:rPr>
      <w:smallCaps w:val="0"/>
    </w:rPr>
  </w:style>
  <w:style w:type="character" w:customStyle="1" w:styleId="Heading1bisChar">
    <w:name w:val="Heading 1 bis Char"/>
    <w:basedOn w:val="Heading1Char"/>
    <w:link w:val="Heading1bis"/>
    <w:rsid w:val="00CD3780"/>
    <w:rPr>
      <w:rFonts w:ascii="Cambria" w:eastAsiaTheme="majorEastAsia" w:hAnsi="Cambria" w:cstheme="majorBidi"/>
      <w:b/>
      <w:smallCaps/>
      <w:color w:val="365F91" w:themeColor="accent1" w:themeShade="BF"/>
      <w:sz w:val="24"/>
      <w:szCs w:val="32"/>
      <w:lang w:val="fr-FR" w:eastAsia="en-US"/>
    </w:rPr>
  </w:style>
  <w:style w:type="character" w:customStyle="1" w:styleId="Heading2bisChar">
    <w:name w:val="Heading 2 bis Char"/>
    <w:basedOn w:val="Heading1bisChar"/>
    <w:link w:val="Heading2bis"/>
    <w:rsid w:val="00CD3780"/>
    <w:rPr>
      <w:rFonts w:ascii="Cambria" w:eastAsiaTheme="majorEastAsia" w:hAnsi="Cambria" w:cstheme="majorBidi"/>
      <w:b/>
      <w:smallCaps w:val="0"/>
      <w:color w:val="365F91" w:themeColor="accent1" w:themeShade="BF"/>
      <w:sz w:val="24"/>
      <w:szCs w:val="32"/>
      <w:lang w:val="fr-FR" w:eastAsia="en-US"/>
    </w:rPr>
  </w:style>
  <w:style w:type="character" w:customStyle="1" w:styleId="Heading1Char">
    <w:name w:val="Heading 1 Char"/>
    <w:basedOn w:val="DefaultParagraphFont"/>
    <w:link w:val="Heading11"/>
    <w:uiPriority w:val="9"/>
    <w:rsid w:val="00CD3780"/>
    <w:rPr>
      <w:rFonts w:ascii="Cambria" w:eastAsia="Times New Roman" w:hAnsi="Cambria" w:cs="Times New Roman"/>
      <w:color w:val="365F91"/>
      <w:sz w:val="32"/>
      <w:szCs w:val="32"/>
    </w:rPr>
  </w:style>
  <w:style w:type="character" w:customStyle="1" w:styleId="Heading1Char1">
    <w:name w:val="Heading 1 Char1"/>
    <w:basedOn w:val="DefaultParagraphFont"/>
    <w:link w:val="Heading1"/>
    <w:rsid w:val="00CD3780"/>
    <w:rPr>
      <w:rFonts w:asciiTheme="majorHAnsi" w:eastAsiaTheme="majorEastAsia" w:hAnsiTheme="majorHAnsi" w:cstheme="majorBidi"/>
      <w:color w:val="365F91" w:themeColor="accent1" w:themeShade="BF"/>
      <w:sz w:val="32"/>
      <w:szCs w:val="32"/>
      <w:lang w:val="fr-FR" w:eastAsia="en-US"/>
    </w:rPr>
  </w:style>
  <w:style w:type="table" w:customStyle="1" w:styleId="TableGrid2">
    <w:name w:val="Table Grid2"/>
    <w:basedOn w:val="TableNormal"/>
    <w:next w:val="TableGrid"/>
    <w:uiPriority w:val="39"/>
    <w:rsid w:val="00313F99"/>
    <w:rPr>
      <w:rFonts w:eastAsia="MS Gothic"/>
      <w:color w:val="000000"/>
      <w:sz w:val="24"/>
      <w:szCs w:val="24"/>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semiHidden/>
    <w:unhideWhenUsed/>
    <w:rsid w:val="00C75991"/>
    <w:rPr>
      <w:color w:val="800080" w:themeColor="followedHyperlink"/>
      <w:u w:val="single"/>
    </w:rPr>
  </w:style>
  <w:style w:type="table" w:customStyle="1" w:styleId="TableGrid11">
    <w:name w:val="Table Grid11"/>
    <w:basedOn w:val="TableNormal"/>
    <w:uiPriority w:val="39"/>
    <w:rsid w:val="00474B0E"/>
    <w:rPr>
      <w:rFonts w:eastAsia="MS Gothic"/>
      <w:kern w:val="2"/>
      <w:sz w:val="24"/>
      <w:szCs w:val="22"/>
      <w:lang w:eastAsia="ja-JP"/>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1257381">
      <w:bodyDiv w:val="1"/>
      <w:marLeft w:val="0"/>
      <w:marRight w:val="0"/>
      <w:marTop w:val="0"/>
      <w:marBottom w:val="0"/>
      <w:divBdr>
        <w:top w:val="none" w:sz="0" w:space="0" w:color="auto"/>
        <w:left w:val="none" w:sz="0" w:space="0" w:color="auto"/>
        <w:bottom w:val="none" w:sz="0" w:space="0" w:color="auto"/>
        <w:right w:val="none" w:sz="0" w:space="0" w:color="auto"/>
      </w:divBdr>
    </w:div>
    <w:div w:id="876937846">
      <w:bodyDiv w:val="1"/>
      <w:marLeft w:val="0"/>
      <w:marRight w:val="0"/>
      <w:marTop w:val="0"/>
      <w:marBottom w:val="0"/>
      <w:divBdr>
        <w:top w:val="none" w:sz="0" w:space="0" w:color="auto"/>
        <w:left w:val="none" w:sz="0" w:space="0" w:color="auto"/>
        <w:bottom w:val="none" w:sz="0" w:space="0" w:color="auto"/>
        <w:right w:val="none" w:sz="0" w:space="0" w:color="auto"/>
      </w:divBdr>
    </w:div>
    <w:div w:id="1532038583">
      <w:bodyDiv w:val="1"/>
      <w:marLeft w:val="0"/>
      <w:marRight w:val="0"/>
      <w:marTop w:val="0"/>
      <w:marBottom w:val="0"/>
      <w:divBdr>
        <w:top w:val="none" w:sz="0" w:space="0" w:color="auto"/>
        <w:left w:val="none" w:sz="0" w:space="0" w:color="auto"/>
        <w:bottom w:val="none" w:sz="0" w:space="0" w:color="auto"/>
        <w:right w:val="none" w:sz="0" w:space="0" w:color="auto"/>
      </w:divBdr>
    </w:div>
    <w:div w:id="1667319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ecretariat.iccat.online/index.php/s/5WwQztA9erkKP7e?dir=/June/FRA"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s>
</file>

<file path=word/_rels/footnotes.xml.rels><?xml version="1.0" encoding="UTF-8" standalone="yes"?>
<Relationships xmlns="http://schemas.openxmlformats.org/package/2006/relationships"><Relationship Id="rId3" Type="http://schemas.openxmlformats.org/officeDocument/2006/relationships/hyperlink" Target="https://archimer.ifremer.fr/doc/00759/87129/" TargetMode="External"/><Relationship Id="rId2" Type="http://schemas.openxmlformats.org/officeDocument/2006/relationships/hyperlink" Target="https://www.bmis-bycatch.org/mitigation-techniques/monofilament-wire-leaders" TargetMode="External"/><Relationship Id="rId1" Type="http://schemas.openxmlformats.org/officeDocument/2006/relationships/hyperlink" Target="https://www.sciencedirect.com/science/article/abs/pii/S016578361200252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263C3C-847A-46C2-ABBC-3A37DA4538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1251</TotalTime>
  <Pages>7</Pages>
  <Words>3252</Words>
  <Characters>18538</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19th Regular Meeting</vt:lpstr>
    </vt:vector>
  </TitlesOfParts>
  <Company>ICCAT</Company>
  <LinksUpToDate>false</LinksUpToDate>
  <CharactersWithSpaces>21747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19th Regular Meeting</dc:title>
  <dc:creator>vrestrepo</dc:creator>
  <cp:lastModifiedBy>Dorothee Pinet</cp:lastModifiedBy>
  <cp:revision>931</cp:revision>
  <cp:lastPrinted>2025-07-16T12:20:00Z</cp:lastPrinted>
  <dcterms:created xsi:type="dcterms:W3CDTF">2022-07-21T08:38:00Z</dcterms:created>
  <dcterms:modified xsi:type="dcterms:W3CDTF">2026-10-09T08:08:00Z</dcterms:modified>
</cp:coreProperties>
</file>