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D1036" w14:textId="77777777" w:rsidR="00B4102F" w:rsidRPr="0048521D" w:rsidRDefault="00B4102F" w:rsidP="00B4102F">
      <w:pPr>
        <w:jc w:val="right"/>
        <w:rPr>
          <w:rFonts w:ascii="Cambria" w:hAnsi="Cambria"/>
          <w:b/>
          <w:sz w:val="20"/>
          <w:szCs w:val="20"/>
        </w:rPr>
      </w:pPr>
      <w:r w:rsidRPr="0048521D">
        <w:rPr>
          <w:rFonts w:ascii="Cambria" w:hAnsi="Cambria"/>
          <w:b/>
          <w:sz w:val="20"/>
          <w:szCs w:val="20"/>
        </w:rPr>
        <w:t>Original : anglais</w:t>
      </w:r>
    </w:p>
    <w:p w14:paraId="1B53B2C6" w14:textId="77777777" w:rsidR="00B4102F" w:rsidRPr="0048521D" w:rsidRDefault="00B4102F" w:rsidP="00B4102F">
      <w:pPr>
        <w:widowControl/>
        <w:spacing w:line="220" w:lineRule="exact"/>
        <w:jc w:val="center"/>
        <w:rPr>
          <w:rFonts w:ascii="Cambria" w:eastAsia="MS Mincho" w:hAnsi="Cambria"/>
          <w:b/>
          <w:bCs/>
          <w:kern w:val="0"/>
          <w:sz w:val="20"/>
          <w:szCs w:val="20"/>
          <w:lang w:eastAsia="en-US"/>
        </w:rPr>
      </w:pPr>
    </w:p>
    <w:p w14:paraId="52B12144" w14:textId="3A8091D9" w:rsidR="00E16AD0" w:rsidRPr="0048521D" w:rsidRDefault="00534305" w:rsidP="00E16AD0">
      <w:pPr>
        <w:widowControl/>
        <w:spacing w:line="220" w:lineRule="exact"/>
        <w:jc w:val="center"/>
        <w:rPr>
          <w:rFonts w:ascii="Cambria" w:eastAsia="MS Mincho" w:hAnsi="Cambria"/>
          <w:b/>
          <w:bCs/>
          <w:kern w:val="0"/>
          <w:sz w:val="20"/>
          <w:szCs w:val="20"/>
        </w:rPr>
      </w:pPr>
      <w:r w:rsidRPr="0048521D">
        <w:rPr>
          <w:rFonts w:ascii="Cambria" w:hAnsi="Cambria"/>
          <w:b/>
          <w:bCs/>
          <w:sz w:val="20"/>
          <w:szCs w:val="20"/>
        </w:rPr>
        <w:t>Système de surveillance électronique (EMS) et couverture par des observateurs dans le cadre du projet pilote norvégien de stockage de courte durée de thons rouges de l'Atlantique vivants</w:t>
      </w:r>
    </w:p>
    <w:p w14:paraId="31B47A30" w14:textId="77777777" w:rsidR="00152CF5" w:rsidRPr="0048521D" w:rsidRDefault="00152CF5" w:rsidP="00E16AD0">
      <w:pPr>
        <w:widowControl/>
        <w:spacing w:line="220" w:lineRule="exact"/>
        <w:jc w:val="center"/>
        <w:rPr>
          <w:rFonts w:ascii="Cambria" w:eastAsia="MS Mincho" w:hAnsi="Cambria"/>
          <w:b/>
          <w:bCs/>
          <w:kern w:val="0"/>
          <w:sz w:val="20"/>
          <w:szCs w:val="20"/>
          <w:lang w:eastAsia="en-US"/>
        </w:rPr>
      </w:pPr>
    </w:p>
    <w:p w14:paraId="35A1E026" w14:textId="3CC4D5E5" w:rsidR="00152CF5" w:rsidRPr="0048521D" w:rsidRDefault="002E1067" w:rsidP="00E16AD0">
      <w:pPr>
        <w:widowControl/>
        <w:spacing w:line="220" w:lineRule="exact"/>
        <w:jc w:val="center"/>
        <w:rPr>
          <w:rFonts w:ascii="Cambria" w:eastAsia="MS Mincho" w:hAnsi="Cambria"/>
          <w:b/>
          <w:bCs/>
          <w:kern w:val="0"/>
          <w:sz w:val="20"/>
          <w:szCs w:val="20"/>
        </w:rPr>
      </w:pPr>
      <w:r w:rsidRPr="0048521D">
        <w:rPr>
          <w:rFonts w:ascii="Cambria" w:hAnsi="Cambria"/>
          <w:b/>
          <w:bCs/>
          <w:sz w:val="20"/>
          <w:szCs w:val="20"/>
        </w:rPr>
        <w:t>Résumé exécutif</w:t>
      </w:r>
    </w:p>
    <w:p w14:paraId="5A1DEFE8" w14:textId="77777777" w:rsidR="002E1067" w:rsidRPr="0048521D" w:rsidRDefault="002E1067" w:rsidP="00E16AD0">
      <w:pPr>
        <w:widowControl/>
        <w:spacing w:line="220" w:lineRule="exact"/>
        <w:jc w:val="center"/>
        <w:rPr>
          <w:rFonts w:ascii="Cambria" w:eastAsia="MS Mincho" w:hAnsi="Cambria"/>
          <w:b/>
          <w:bCs/>
          <w:kern w:val="0"/>
          <w:sz w:val="20"/>
          <w:szCs w:val="20"/>
          <w:lang w:eastAsia="en-US"/>
        </w:rPr>
      </w:pPr>
    </w:p>
    <w:p w14:paraId="6C9B081D" w14:textId="3DD42F17" w:rsidR="00E16AD0" w:rsidRPr="0048521D" w:rsidRDefault="0031677A" w:rsidP="00E16AD0">
      <w:pPr>
        <w:widowControl/>
        <w:spacing w:line="220" w:lineRule="exact"/>
        <w:jc w:val="center"/>
        <w:rPr>
          <w:rFonts w:ascii="Cambria" w:eastAsia="MS Mincho" w:hAnsi="Cambria"/>
          <w:i/>
          <w:iCs/>
          <w:kern w:val="0"/>
          <w:sz w:val="20"/>
          <w:szCs w:val="20"/>
        </w:rPr>
      </w:pPr>
      <w:r w:rsidRPr="0048521D">
        <w:rPr>
          <w:rFonts w:ascii="Cambria" w:hAnsi="Cambria"/>
          <w:i/>
          <w:iCs/>
          <w:sz w:val="20"/>
          <w:szCs w:val="20"/>
        </w:rPr>
        <w:t>(Document soumis par la Norvège)</w:t>
      </w:r>
    </w:p>
    <w:p w14:paraId="1A9CA6F8" w14:textId="77777777" w:rsidR="00E16AD0" w:rsidRPr="0048521D" w:rsidRDefault="00E16AD0" w:rsidP="00E16AD0">
      <w:pPr>
        <w:widowControl/>
        <w:spacing w:line="220" w:lineRule="exact"/>
        <w:jc w:val="center"/>
        <w:rPr>
          <w:rFonts w:ascii="Cambria" w:eastAsia="MS Mincho" w:hAnsi="Cambria"/>
          <w:b/>
          <w:bCs/>
          <w:kern w:val="0"/>
          <w:sz w:val="20"/>
          <w:szCs w:val="20"/>
          <w:lang w:eastAsia="en-US"/>
        </w:rPr>
      </w:pPr>
    </w:p>
    <w:p w14:paraId="1C43AD7B" w14:textId="77777777" w:rsidR="0031677A" w:rsidRPr="0048521D" w:rsidRDefault="0031677A" w:rsidP="00E16AD0">
      <w:pPr>
        <w:widowControl/>
        <w:spacing w:line="220" w:lineRule="exact"/>
        <w:jc w:val="center"/>
        <w:rPr>
          <w:rFonts w:ascii="Cambria" w:eastAsia="MS Mincho" w:hAnsi="Cambria"/>
          <w:b/>
          <w:bCs/>
          <w:kern w:val="0"/>
          <w:sz w:val="20"/>
          <w:szCs w:val="20"/>
          <w:lang w:eastAsia="en-US"/>
        </w:rPr>
      </w:pPr>
    </w:p>
    <w:p w14:paraId="7055FC9A" w14:textId="5F669F9F"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La Norvège a présenté une description de programme intitulée « Système de surveillance électronique (EMS) et couverture par des observateurs dans le cadre du projet pilote norvégien de stockage de courte durée de thons rouges vivants », jointe au présent document de réunion en tant qu'</w:t>
      </w:r>
      <w:r w:rsidRPr="0048521D">
        <w:rPr>
          <w:rFonts w:ascii="Cambria" w:hAnsi="Cambria"/>
          <w:b/>
          <w:sz w:val="20"/>
          <w:szCs w:val="20"/>
        </w:rPr>
        <w:t>a</w:t>
      </w:r>
      <w:r w:rsidR="0037245F">
        <w:rPr>
          <w:rFonts w:ascii="Cambria" w:hAnsi="Cambria"/>
          <w:b/>
          <w:sz w:val="20"/>
          <w:szCs w:val="20"/>
        </w:rPr>
        <w:t xml:space="preserve">ppendice </w:t>
      </w:r>
      <w:r w:rsidRPr="0048521D">
        <w:rPr>
          <w:rFonts w:ascii="Cambria" w:hAnsi="Cambria"/>
          <w:b/>
          <w:sz w:val="20"/>
          <w:szCs w:val="20"/>
        </w:rPr>
        <w:t>1</w:t>
      </w:r>
      <w:r w:rsidRPr="0048521D">
        <w:rPr>
          <w:rFonts w:ascii="Cambria" w:hAnsi="Cambria"/>
          <w:sz w:val="20"/>
          <w:szCs w:val="20"/>
        </w:rPr>
        <w:t>. Ce résumé exécutif présente brièvement l'objectif, la portée et les principaux éléments de ce document.</w:t>
      </w:r>
    </w:p>
    <w:p w14:paraId="493B4A78"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2DC8840D" w14:textId="4627674F"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La description du programme porte sur l'utilisation prévue du système EMS dans le cadre du projet pilote norvégien de stockage de courte durée de thons rouges de l'Atlantique vivants. Ce projet pilote est mené dans le cadre des mesures pertinentes de l’ICCAT, notamment le projet pilote de l’ICCAT de stockage de spécimens vivants de courte durée, le plan de gestion pluriannuel du thon rouge de l'Atlantique Est et de la Méditerranée, ainsi que les normes minimales de l’ICCAT en matière d’EMS.</w:t>
      </w:r>
    </w:p>
    <w:p w14:paraId="03F5B0D0"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007EB3FA" w14:textId="77777777"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L'objectif de ce programme est de documenter et d'évaluer comment le système EMS peut être utilisé comme outil complémentaire de suivi, de documentation et de vérification dans le cadre du projet pilote norvégien. La Norvège ne propose pas de remplacer cette année le programme régional d'observateurs de l'ICCAT pour le thon rouge par l'EMS. Le système EMS sera utilisé en complément de la couverture par des observateurs, de la présence des autorités nationales de contrôle, de la déclaration des navires, de la documentation eBCD et des observations scientifiques menées par l'Institut de recherche marine.</w:t>
      </w:r>
    </w:p>
    <w:p w14:paraId="49043CEC"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17CB3BB7" w14:textId="408CC16D"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Le programme couvre les étapes opérationnelles concernées, notamment la recherche et la calée de la senne, le contrôle de la capture, le transfert vers la cage de transport, le remorquage éventuel ou le stockage de courte durée, les opérations de remise à l'eau ou les cas de mortalité, ainsi que les exigences en matière de documentation et de vérification qui y sont associées. Le navire participant est déjà équipé d'un système de surveillance électronique à distance (REM) installé conformément aux exigences écossaises en matière de REM pour la pêche pélagique. La Norvège a l'intention d'utiliser ce système existant comme base technique pour le projet pilote, tout en évaluant s'il est suffisant pour l’EMS de l’ICCAT et pour répondre aux besoins spécifiques de surveillance liés au stockage du thon rouge vivant.</w:t>
      </w:r>
    </w:p>
    <w:p w14:paraId="5E11D148"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6ABE904E" w14:textId="77777777"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L'un des principaux objectifs de ce projet pilote est de mettre en évidence les éventuelles lacunes entre le système REM actuel et les exigences de surveillance applicables aux opérations de stockage du thon rouge vivant. Une attention particulière sera accordée à la capacité du système à documenter de manière adéquate les activités de pêche, les opérations de transfert, les cas de remise à l'eau ou de mortalité, le bien-être des poissons, l'estimation des captures, la traçabilité et la cohérence avec les carnets de pêche, les documents de transfert et la documentation eBCD. Lorsque le système actuel n'assure pas une couverture suffisante, des mesures de surveillance supplémentaires peuvent s'avérer nécessaires.</w:t>
      </w:r>
    </w:p>
    <w:p w14:paraId="6989FE2F"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2BB2E7DA" w14:textId="77777777" w:rsidR="00E16A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Compte tenu de la portée limitée de ce projet pilote, la Norvège a l'intention d'examiner l'intégralité des évènements liés à la pêche, au transfert, à la remise à l'eau, à la mortalité, aux interventions en matière de bien-être animal et aux défaillances du système. Les registres EMS feront l'objet d'une vérification croisée avec les rapports des observateurs, les carnets de pêche des navires, la documentation eBCD, les registres de transfert et les observations scientifiques.</w:t>
      </w:r>
    </w:p>
    <w:p w14:paraId="26C9918B" w14:textId="77777777" w:rsidR="00E16AD0" w:rsidRPr="0048521D" w:rsidRDefault="00E16AD0" w:rsidP="00E16AD0">
      <w:pPr>
        <w:widowControl/>
        <w:spacing w:line="220" w:lineRule="exact"/>
        <w:rPr>
          <w:rFonts w:ascii="Cambria" w:eastAsia="MS Mincho" w:hAnsi="Cambria"/>
          <w:kern w:val="0"/>
          <w:sz w:val="20"/>
          <w:szCs w:val="20"/>
          <w:lang w:eastAsia="en-US"/>
        </w:rPr>
      </w:pPr>
    </w:p>
    <w:p w14:paraId="3337B3DB" w14:textId="09755A62" w:rsidR="00AC4BD0" w:rsidRPr="0048521D" w:rsidRDefault="00E16AD0" w:rsidP="00E16AD0">
      <w:pPr>
        <w:widowControl/>
        <w:spacing w:line="220" w:lineRule="exact"/>
        <w:rPr>
          <w:rFonts w:ascii="Cambria" w:eastAsia="MS Mincho" w:hAnsi="Cambria"/>
          <w:kern w:val="0"/>
          <w:sz w:val="20"/>
          <w:szCs w:val="20"/>
        </w:rPr>
      </w:pPr>
      <w:r w:rsidRPr="0048521D">
        <w:rPr>
          <w:rFonts w:ascii="Cambria" w:hAnsi="Cambria"/>
          <w:sz w:val="20"/>
          <w:szCs w:val="20"/>
        </w:rPr>
        <w:t>La Norvège a transmis la description du programme au Groupe de travail EMS afin de présenter l'approche envisagée et de recueillir des avis techniques sur l'utilisation proposée de l'EMS, notamment en ce qui concerne les lacunes, les mesures de sécurité ou les améliorations à prendre en compte avant ou pendant la mise en œuvre du projet pilote.</w:t>
      </w:r>
    </w:p>
    <w:p w14:paraId="208B37AF" w14:textId="1DE13892" w:rsidR="00E16AD0" w:rsidRPr="0048521D" w:rsidRDefault="00E16AD0">
      <w:pPr>
        <w:widowControl/>
        <w:jc w:val="left"/>
        <w:rPr>
          <w:rFonts w:ascii="Cambria" w:eastAsia="MS Mincho" w:hAnsi="Cambria"/>
          <w:b/>
          <w:bCs/>
          <w:kern w:val="0"/>
          <w:sz w:val="20"/>
          <w:szCs w:val="20"/>
        </w:rPr>
      </w:pPr>
      <w:r w:rsidRPr="0048521D">
        <w:rPr>
          <w:rFonts w:ascii="Cambria" w:hAnsi="Cambria"/>
          <w:sz w:val="20"/>
          <w:szCs w:val="20"/>
        </w:rPr>
        <w:br w:type="page"/>
      </w:r>
    </w:p>
    <w:p w14:paraId="1F15F7B4" w14:textId="0E975D49" w:rsidR="00AC4BD0" w:rsidRPr="0048521D" w:rsidRDefault="0037245F" w:rsidP="00AC4BD0">
      <w:pPr>
        <w:widowControl/>
        <w:spacing w:line="220" w:lineRule="exact"/>
        <w:jc w:val="right"/>
        <w:rPr>
          <w:rFonts w:ascii="Cambria" w:eastAsia="MS Mincho" w:hAnsi="Cambria"/>
          <w:b/>
          <w:bCs/>
          <w:kern w:val="0"/>
          <w:sz w:val="20"/>
          <w:szCs w:val="20"/>
        </w:rPr>
      </w:pPr>
      <w:r>
        <w:rPr>
          <w:rFonts w:ascii="Cambria" w:hAnsi="Cambria"/>
          <w:b/>
          <w:bCs/>
          <w:sz w:val="20"/>
          <w:szCs w:val="20"/>
        </w:rPr>
        <w:lastRenderedPageBreak/>
        <w:t>Appendice</w:t>
      </w:r>
      <w:r w:rsidR="00AC4BD0" w:rsidRPr="0048521D">
        <w:rPr>
          <w:rFonts w:ascii="Cambria" w:hAnsi="Cambria"/>
          <w:b/>
          <w:bCs/>
          <w:sz w:val="20"/>
          <w:szCs w:val="20"/>
        </w:rPr>
        <w:t xml:space="preserve"> 1</w:t>
      </w:r>
    </w:p>
    <w:p w14:paraId="11317028" w14:textId="77777777" w:rsidR="00AC4BD0" w:rsidRPr="0048521D" w:rsidRDefault="00AC4BD0" w:rsidP="00AC4BD0">
      <w:pPr>
        <w:widowControl/>
        <w:spacing w:line="220" w:lineRule="exact"/>
        <w:jc w:val="right"/>
        <w:rPr>
          <w:rFonts w:ascii="Cambria" w:eastAsia="MS Mincho" w:hAnsi="Cambria"/>
          <w:b/>
          <w:bCs/>
          <w:kern w:val="0"/>
          <w:sz w:val="20"/>
          <w:szCs w:val="20"/>
          <w:lang w:eastAsia="en-US"/>
        </w:rPr>
      </w:pPr>
    </w:p>
    <w:p w14:paraId="5747EE55" w14:textId="17E3F40B" w:rsidR="000E22EC" w:rsidRPr="0048521D" w:rsidRDefault="000E22EC" w:rsidP="000E22EC">
      <w:pPr>
        <w:widowControl/>
        <w:spacing w:line="220" w:lineRule="exact"/>
        <w:jc w:val="center"/>
        <w:rPr>
          <w:rFonts w:ascii="Cambria" w:eastAsia="MS Mincho" w:hAnsi="Cambria"/>
          <w:b/>
          <w:bCs/>
          <w:kern w:val="0"/>
          <w:sz w:val="20"/>
          <w:szCs w:val="20"/>
        </w:rPr>
      </w:pPr>
      <w:r w:rsidRPr="0048521D">
        <w:rPr>
          <w:rFonts w:ascii="Cambria" w:hAnsi="Cambria"/>
          <w:b/>
          <w:bCs/>
          <w:sz w:val="20"/>
          <w:szCs w:val="20"/>
        </w:rPr>
        <w:t>Description du programme</w:t>
      </w:r>
    </w:p>
    <w:p w14:paraId="74FE1085" w14:textId="7D8F15DB" w:rsidR="00B4102F" w:rsidRPr="0048521D" w:rsidRDefault="000E22EC" w:rsidP="000E22EC">
      <w:pPr>
        <w:widowControl/>
        <w:spacing w:line="220" w:lineRule="exact"/>
        <w:jc w:val="center"/>
        <w:rPr>
          <w:rFonts w:ascii="Cambria" w:eastAsia="MS Mincho" w:hAnsi="Cambria"/>
          <w:b/>
          <w:bCs/>
          <w:kern w:val="0"/>
          <w:sz w:val="20"/>
          <w:szCs w:val="20"/>
        </w:rPr>
      </w:pPr>
      <w:r w:rsidRPr="0048521D">
        <w:rPr>
          <w:rFonts w:ascii="Cambria" w:hAnsi="Cambria"/>
          <w:b/>
          <w:bCs/>
          <w:sz w:val="20"/>
          <w:szCs w:val="20"/>
        </w:rPr>
        <w:t>Système de surveillance électronique (EMS) et couverture par des observateurs dans le cadre du projet pilote norvégien de stockage de courte durée de thons rouges vivants</w:t>
      </w:r>
    </w:p>
    <w:p w14:paraId="34AC341B" w14:textId="2FC1985B" w:rsidR="002F2E07" w:rsidRPr="0048521D" w:rsidRDefault="002F2E07" w:rsidP="000E22EC">
      <w:pPr>
        <w:widowControl/>
        <w:spacing w:line="220" w:lineRule="exact"/>
        <w:jc w:val="center"/>
        <w:rPr>
          <w:rFonts w:ascii="Cambria" w:eastAsia="MS Mincho" w:hAnsi="Cambria"/>
          <w:i/>
          <w:iCs/>
          <w:kern w:val="0"/>
          <w:sz w:val="20"/>
          <w:szCs w:val="20"/>
        </w:rPr>
      </w:pPr>
      <w:r w:rsidRPr="0048521D">
        <w:rPr>
          <w:rFonts w:ascii="Cambria" w:hAnsi="Cambria"/>
          <w:i/>
          <w:iCs/>
          <w:sz w:val="20"/>
          <w:szCs w:val="20"/>
        </w:rPr>
        <w:t>(Document soumis par la Norvège)</w:t>
      </w:r>
    </w:p>
    <w:p w14:paraId="51CCC02B" w14:textId="77777777" w:rsidR="00B4102F" w:rsidRPr="0048521D" w:rsidRDefault="00B4102F" w:rsidP="00B4102F">
      <w:pPr>
        <w:widowControl/>
        <w:spacing w:line="220" w:lineRule="exact"/>
        <w:jc w:val="center"/>
        <w:rPr>
          <w:rFonts w:ascii="Cambria" w:eastAsia="MS Mincho" w:hAnsi="Cambria"/>
          <w:b/>
          <w:bCs/>
          <w:kern w:val="0"/>
          <w:sz w:val="20"/>
          <w:szCs w:val="20"/>
          <w:lang w:eastAsia="en-US"/>
        </w:rPr>
      </w:pPr>
    </w:p>
    <w:p w14:paraId="7C5B8FC8" w14:textId="77777777" w:rsidR="002F2E07" w:rsidRPr="0048521D" w:rsidRDefault="002F2E07" w:rsidP="009C63CB">
      <w:pPr>
        <w:widowControl/>
        <w:spacing w:line="220" w:lineRule="exact"/>
        <w:rPr>
          <w:rFonts w:ascii="Cambria" w:eastAsia="MS Mincho" w:hAnsi="Cambria"/>
          <w:b/>
          <w:bCs/>
          <w:kern w:val="0"/>
          <w:sz w:val="20"/>
          <w:szCs w:val="20"/>
          <w:lang w:eastAsia="en-US"/>
        </w:rPr>
      </w:pPr>
    </w:p>
    <w:p w14:paraId="4569D2BA" w14:textId="06FD0A3D" w:rsidR="002F2E07" w:rsidRPr="0048521D" w:rsidRDefault="009C63CB" w:rsidP="009C63CB">
      <w:pPr>
        <w:widowControl/>
        <w:spacing w:line="220" w:lineRule="exact"/>
        <w:rPr>
          <w:rFonts w:ascii="Cambria" w:eastAsia="MS Mincho" w:hAnsi="Cambria"/>
          <w:kern w:val="0"/>
          <w:sz w:val="20"/>
          <w:szCs w:val="20"/>
        </w:rPr>
      </w:pPr>
      <w:r w:rsidRPr="0048521D">
        <w:rPr>
          <w:rFonts w:ascii="Cambria" w:hAnsi="Cambria"/>
          <w:sz w:val="20"/>
          <w:szCs w:val="20"/>
        </w:rPr>
        <w:t>Préparé en tant que description de programme conforme à celle de l’ICCAT, en utilisant le cadre proposé de meilleures pratiques en matière d’EMS et les spécifications techniques écossaises du REM pour les navires pélagiques.</w:t>
      </w:r>
    </w:p>
    <w:p w14:paraId="70894DC3" w14:textId="77777777" w:rsidR="00B4102F" w:rsidRPr="0048521D" w:rsidRDefault="00B4102F" w:rsidP="00B4102F">
      <w:pPr>
        <w:widowControl/>
        <w:spacing w:line="220" w:lineRule="exact"/>
        <w:jc w:val="center"/>
        <w:rPr>
          <w:rFonts w:ascii="Cambria" w:eastAsia="MS Mincho" w:hAnsi="Cambria"/>
          <w:kern w:val="0"/>
          <w:sz w:val="20"/>
          <w:szCs w:val="20"/>
          <w:lang w:eastAsia="en-US"/>
        </w:rPr>
      </w:pPr>
    </w:p>
    <w:p w14:paraId="72130017" w14:textId="77777777" w:rsidR="008264A3" w:rsidRPr="0048521D" w:rsidRDefault="008264A3" w:rsidP="00B4102F">
      <w:pPr>
        <w:widowControl/>
        <w:spacing w:line="220" w:lineRule="exact"/>
        <w:jc w:val="center"/>
        <w:rPr>
          <w:rFonts w:ascii="Cambria" w:eastAsia="MS Mincho" w:hAnsi="Cambria"/>
          <w:kern w:val="0"/>
          <w:sz w:val="20"/>
          <w:szCs w:val="20"/>
          <w:lang w:eastAsia="en-US"/>
        </w:rPr>
      </w:pPr>
    </w:p>
    <w:p w14:paraId="5E792A8C" w14:textId="24E39CEC" w:rsidR="00B4102F" w:rsidRPr="0048521D" w:rsidRDefault="008264A3" w:rsidP="008264A3">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1.</w:t>
      </w:r>
      <w:r w:rsidRPr="0048521D">
        <w:rPr>
          <w:rFonts w:ascii="Cambria" w:hAnsi="Cambria"/>
          <w:b/>
          <w:bCs/>
          <w:sz w:val="20"/>
          <w:szCs w:val="20"/>
        </w:rPr>
        <w:tab/>
        <w:t>Identité du programme et base juridique</w:t>
      </w:r>
    </w:p>
    <w:p w14:paraId="3F56F07B" w14:textId="77777777" w:rsidR="00B4102F" w:rsidRPr="0048521D" w:rsidRDefault="00B4102F" w:rsidP="00C4686F">
      <w:pPr>
        <w:widowControl/>
        <w:tabs>
          <w:tab w:val="left" w:pos="426"/>
        </w:tabs>
        <w:spacing w:line="240" w:lineRule="exact"/>
        <w:jc w:val="left"/>
        <w:rPr>
          <w:rFonts w:ascii="Cambria" w:eastAsia="MS Mincho" w:hAnsi="Cambria"/>
          <w:kern w:val="0"/>
          <w:sz w:val="20"/>
          <w:szCs w:val="20"/>
          <w:lang w:eastAsia="en-US"/>
        </w:rPr>
      </w:pPr>
    </w:p>
    <w:tbl>
      <w:tblPr>
        <w:tblStyle w:val="TableGrid"/>
        <w:tblW w:w="0" w:type="auto"/>
        <w:jc w:val="center"/>
        <w:tblLook w:val="04A0" w:firstRow="1" w:lastRow="0" w:firstColumn="1" w:lastColumn="0" w:noHBand="0" w:noVBand="1"/>
      </w:tblPr>
      <w:tblGrid>
        <w:gridCol w:w="2268"/>
        <w:gridCol w:w="6236"/>
      </w:tblGrid>
      <w:tr w:rsidR="005052CB" w:rsidRPr="0048521D" w14:paraId="67357BF1" w14:textId="77777777" w:rsidTr="005052CB">
        <w:trPr>
          <w:jc w:val="center"/>
        </w:trPr>
        <w:tc>
          <w:tcPr>
            <w:tcW w:w="2268" w:type="dxa"/>
          </w:tcPr>
          <w:p w14:paraId="0DDFAEBC" w14:textId="77777777" w:rsidR="005052CB" w:rsidRPr="0048521D" w:rsidRDefault="005052CB" w:rsidP="005052CB">
            <w:pPr>
              <w:widowControl/>
              <w:jc w:val="center"/>
              <w:rPr>
                <w:rFonts w:ascii="Cambria" w:eastAsia="MS Mincho" w:hAnsi="Cambria"/>
                <w:bCs/>
                <w:i/>
                <w:iCs/>
                <w:sz w:val="20"/>
                <w:szCs w:val="20"/>
              </w:rPr>
            </w:pPr>
            <w:r w:rsidRPr="0048521D">
              <w:rPr>
                <w:rFonts w:ascii="Cambria" w:hAnsi="Cambria"/>
                <w:bCs/>
                <w:i/>
                <w:iCs/>
                <w:sz w:val="20"/>
                <w:szCs w:val="20"/>
              </w:rPr>
              <w:t>Élément</w:t>
            </w:r>
          </w:p>
        </w:tc>
        <w:tc>
          <w:tcPr>
            <w:tcW w:w="6236" w:type="dxa"/>
          </w:tcPr>
          <w:p w14:paraId="593F29DA" w14:textId="77777777" w:rsidR="005052CB" w:rsidRPr="0048521D" w:rsidRDefault="005052CB" w:rsidP="005052CB">
            <w:pPr>
              <w:widowControl/>
              <w:jc w:val="center"/>
              <w:rPr>
                <w:rFonts w:ascii="Cambria" w:eastAsia="MS Mincho" w:hAnsi="Cambria"/>
                <w:bCs/>
                <w:i/>
                <w:iCs/>
                <w:sz w:val="20"/>
                <w:szCs w:val="20"/>
              </w:rPr>
            </w:pPr>
            <w:r w:rsidRPr="0048521D">
              <w:rPr>
                <w:rFonts w:ascii="Cambria" w:hAnsi="Cambria"/>
                <w:bCs/>
                <w:i/>
                <w:iCs/>
                <w:sz w:val="20"/>
                <w:szCs w:val="20"/>
              </w:rPr>
              <w:t>Description provisoire</w:t>
            </w:r>
          </w:p>
        </w:tc>
      </w:tr>
      <w:tr w:rsidR="005052CB" w:rsidRPr="0048521D" w14:paraId="7AB9363C" w14:textId="77777777" w:rsidTr="005833E8">
        <w:trPr>
          <w:jc w:val="center"/>
        </w:trPr>
        <w:tc>
          <w:tcPr>
            <w:tcW w:w="2268" w:type="dxa"/>
          </w:tcPr>
          <w:p w14:paraId="09E0AE09"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Nom du programme</w:t>
            </w:r>
          </w:p>
        </w:tc>
        <w:tc>
          <w:tcPr>
            <w:tcW w:w="6236" w:type="dxa"/>
          </w:tcPr>
          <w:p w14:paraId="0B814ED0"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Système EMS et programme de surveillance par des observateurs dans le cadre du projet pilote norvégien de stockage de courte durée de thons rouges de l'Atlantique vivants.</w:t>
            </w:r>
          </w:p>
        </w:tc>
      </w:tr>
      <w:tr w:rsidR="005052CB" w:rsidRPr="0048521D" w14:paraId="5143D7C8" w14:textId="77777777" w:rsidTr="005833E8">
        <w:trPr>
          <w:jc w:val="center"/>
        </w:trPr>
        <w:tc>
          <w:tcPr>
            <w:tcW w:w="2268" w:type="dxa"/>
          </w:tcPr>
          <w:p w14:paraId="2E62903D"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CPC / autorité</w:t>
            </w:r>
          </w:p>
        </w:tc>
        <w:tc>
          <w:tcPr>
            <w:tcW w:w="6236" w:type="dxa"/>
          </w:tcPr>
          <w:p w14:paraId="16443221"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 xml:space="preserve">Norvège. Autorité compétente principale : Direction des pêches. Partenaire scientifique : Institut de recherche marine (IMR). </w:t>
            </w:r>
          </w:p>
        </w:tc>
      </w:tr>
      <w:tr w:rsidR="005052CB" w:rsidRPr="0048521D" w14:paraId="67C1076E" w14:textId="77777777" w:rsidTr="005833E8">
        <w:trPr>
          <w:jc w:val="center"/>
        </w:trPr>
        <w:tc>
          <w:tcPr>
            <w:tcW w:w="2268" w:type="dxa"/>
          </w:tcPr>
          <w:p w14:paraId="32B9EB8C"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Base juridique de l’ICCAT</w:t>
            </w:r>
          </w:p>
        </w:tc>
        <w:tc>
          <w:tcPr>
            <w:tcW w:w="6236" w:type="dxa"/>
          </w:tcPr>
          <w:p w14:paraId="218E362C" w14:textId="123C2438" w:rsidR="005052CB" w:rsidRPr="0048521D" w:rsidRDefault="00024BCC" w:rsidP="001F1B28">
            <w:pPr>
              <w:widowControl/>
              <w:spacing w:line="220" w:lineRule="exact"/>
              <w:rPr>
                <w:rFonts w:ascii="Cambria" w:eastAsia="MS Mincho" w:hAnsi="Cambria"/>
                <w:sz w:val="20"/>
                <w:szCs w:val="20"/>
              </w:rPr>
            </w:pPr>
            <w:hyperlink r:id="rId11" w:history="1">
              <w:r w:rsidRPr="0048521D">
                <w:rPr>
                  <w:rStyle w:val="Hyperlink"/>
                  <w:rFonts w:ascii="Cambria" w:hAnsi="Cambria"/>
                  <w:i/>
                  <w:iCs/>
                  <w:sz w:val="20"/>
                  <w:szCs w:val="20"/>
                  <w:u w:val="none"/>
                </w:rPr>
                <w:t>Résolution de l’ICCAT amendant la Résolution 22-07 sur un projet pilote de stockage de courte durée du thon rouge vivan</w:t>
              </w:r>
              <w:r w:rsidR="00727D9D" w:rsidRPr="0048521D">
                <w:rPr>
                  <w:rStyle w:val="Hyperlink"/>
                  <w:rFonts w:ascii="Cambria" w:hAnsi="Cambria"/>
                  <w:i/>
                  <w:iCs/>
                  <w:sz w:val="20"/>
                  <w:szCs w:val="20"/>
                  <w:u w:val="none"/>
                </w:rPr>
                <w:t xml:space="preserve">t </w:t>
              </w:r>
              <w:r w:rsidR="00057648" w:rsidRPr="0048521D">
                <w:rPr>
                  <w:rStyle w:val="Hyperlink"/>
                  <w:rFonts w:ascii="Cambria" w:hAnsi="Cambria"/>
                  <w:sz w:val="20"/>
                  <w:szCs w:val="20"/>
                  <w:u w:val="none"/>
                </w:rPr>
                <w:t>(</w:t>
              </w:r>
              <w:r w:rsidR="00727D9D" w:rsidRPr="0048521D">
                <w:rPr>
                  <w:rStyle w:val="Hyperlink"/>
                  <w:rFonts w:ascii="Cambria" w:hAnsi="Cambria"/>
                  <w:sz w:val="20"/>
                  <w:szCs w:val="20"/>
                  <w:u w:val="none"/>
                </w:rPr>
                <w:t>Rés. 25-03)</w:t>
              </w:r>
            </w:hyperlink>
            <w:r w:rsidRPr="0048521D">
              <w:rPr>
                <w:rFonts w:ascii="Cambria" w:hAnsi="Cambria"/>
                <w:sz w:val="20"/>
                <w:szCs w:val="20"/>
              </w:rPr>
              <w:t xml:space="preserve"> ; </w:t>
            </w:r>
            <w:hyperlink r:id="rId12" w:history="1">
              <w:r w:rsidRPr="0048521D">
                <w:rPr>
                  <w:rStyle w:val="Hyperlink"/>
                  <w:rFonts w:ascii="Cambria" w:hAnsi="Cambria"/>
                  <w:i/>
                  <w:iCs/>
                  <w:sz w:val="20"/>
                  <w:szCs w:val="20"/>
                  <w:u w:val="none"/>
                </w:rPr>
                <w:t xml:space="preserve"> Recommandation de l’ICCAT amendant la Recommandation 22-08 établissant un plan pluriannuel de gestion du thon rouge dans l’Atlantique Est et la Méditerrané</w:t>
              </w:r>
              <w:r w:rsidR="00057648" w:rsidRPr="0048521D">
                <w:rPr>
                  <w:rStyle w:val="Hyperlink"/>
                  <w:rFonts w:ascii="Cambria" w:hAnsi="Cambria"/>
                  <w:i/>
                  <w:iCs/>
                  <w:sz w:val="20"/>
                  <w:szCs w:val="20"/>
                  <w:u w:val="none"/>
                </w:rPr>
                <w:t>e</w:t>
              </w:r>
              <w:r w:rsidR="00727D9D" w:rsidRPr="0048521D">
                <w:rPr>
                  <w:rStyle w:val="Hyperlink"/>
                  <w:rFonts w:ascii="Cambria" w:hAnsi="Cambria"/>
                  <w:i/>
                  <w:iCs/>
                  <w:sz w:val="20"/>
                  <w:szCs w:val="20"/>
                  <w:u w:val="none"/>
                </w:rPr>
                <w:t xml:space="preserve"> </w:t>
              </w:r>
              <w:r w:rsidR="00727D9D" w:rsidRPr="0048521D">
                <w:rPr>
                  <w:rStyle w:val="Hyperlink"/>
                  <w:rFonts w:ascii="Cambria" w:hAnsi="Cambria"/>
                  <w:sz w:val="20"/>
                  <w:szCs w:val="20"/>
                  <w:u w:val="none"/>
                </w:rPr>
                <w:t>(Rec. 25-04)</w:t>
              </w:r>
            </w:hyperlink>
            <w:r w:rsidRPr="0048521D">
              <w:rPr>
                <w:rFonts w:ascii="Cambria" w:hAnsi="Cambria"/>
                <w:sz w:val="20"/>
                <w:szCs w:val="20"/>
              </w:rPr>
              <w:t> ;</w:t>
            </w:r>
            <w:hyperlink r:id="rId13" w:history="1">
              <w:r w:rsidRPr="0048521D">
                <w:rPr>
                  <w:rStyle w:val="Hyperlink"/>
                  <w:rFonts w:ascii="Cambria" w:hAnsi="Cambria"/>
                  <w:i/>
                  <w:iCs/>
                  <w:sz w:val="20"/>
                  <w:szCs w:val="20"/>
                  <w:u w:val="none"/>
                </w:rPr>
                <w:t xml:space="preserve"> Recommandation de l’ICCAT visant à établir des normes minimales et des exigences du programme aux fins de l'utilisation des systèmes de surveillance électronique (EMS) dans les pêcheries de l’ICCA</w:t>
              </w:r>
              <w:r w:rsidR="00767815" w:rsidRPr="0048521D">
                <w:rPr>
                  <w:rStyle w:val="Hyperlink"/>
                  <w:rFonts w:ascii="Cambria" w:hAnsi="Cambria"/>
                  <w:i/>
                  <w:iCs/>
                  <w:sz w:val="20"/>
                  <w:szCs w:val="20"/>
                  <w:u w:val="none"/>
                </w:rPr>
                <w:t xml:space="preserve">T </w:t>
              </w:r>
              <w:r w:rsidR="00767815" w:rsidRPr="0048521D">
                <w:rPr>
                  <w:rStyle w:val="Hyperlink"/>
                  <w:rFonts w:ascii="Cambria" w:hAnsi="Cambria"/>
                  <w:sz w:val="20"/>
                  <w:szCs w:val="20"/>
                  <w:u w:val="none"/>
                </w:rPr>
                <w:t>(Rec. 23-18)</w:t>
              </w:r>
            </w:hyperlink>
          </w:p>
        </w:tc>
      </w:tr>
      <w:tr w:rsidR="005052CB" w:rsidRPr="0048521D" w14:paraId="2ED54C16" w14:textId="77777777" w:rsidTr="005833E8">
        <w:trPr>
          <w:jc w:val="center"/>
        </w:trPr>
        <w:tc>
          <w:tcPr>
            <w:tcW w:w="2268" w:type="dxa"/>
          </w:tcPr>
          <w:p w14:paraId="7346F1CE"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Base juridique nationale</w:t>
            </w:r>
          </w:p>
        </w:tc>
        <w:tc>
          <w:tcPr>
            <w:tcW w:w="6236" w:type="dxa"/>
          </w:tcPr>
          <w:p w14:paraId="03B76CCB" w14:textId="3563EA1B"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Réglementation norvégienne, conditions de la licence, plan de pêche annuel.</w:t>
            </w:r>
          </w:p>
        </w:tc>
      </w:tr>
      <w:tr w:rsidR="005052CB" w:rsidRPr="0048521D" w14:paraId="316042C1" w14:textId="77777777" w:rsidTr="005833E8">
        <w:trPr>
          <w:jc w:val="center"/>
        </w:trPr>
        <w:tc>
          <w:tcPr>
            <w:tcW w:w="2268" w:type="dxa"/>
          </w:tcPr>
          <w:p w14:paraId="47D4C581"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Pêcherie et engin</w:t>
            </w:r>
          </w:p>
        </w:tc>
        <w:tc>
          <w:tcPr>
            <w:tcW w:w="6236" w:type="dxa"/>
          </w:tcPr>
          <w:p w14:paraId="48A9B3B7"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Thon rouge de l’Atlantique (</w:t>
            </w:r>
            <w:r w:rsidRPr="0048521D">
              <w:rPr>
                <w:rFonts w:ascii="Cambria" w:hAnsi="Cambria"/>
                <w:i/>
                <w:iCs/>
                <w:sz w:val="20"/>
                <w:szCs w:val="20"/>
              </w:rPr>
              <w:t>Thunnus thynnus</w:t>
            </w:r>
            <w:r w:rsidRPr="0048521D">
              <w:rPr>
                <w:rFonts w:ascii="Cambria" w:hAnsi="Cambria"/>
                <w:sz w:val="20"/>
                <w:szCs w:val="20"/>
              </w:rPr>
              <w:t>), senneur norvégien, opérations de pêche pilotes liées au transfert et au stockage de courte durée d’animaux vivants.</w:t>
            </w:r>
          </w:p>
        </w:tc>
      </w:tr>
      <w:tr w:rsidR="005052CB" w:rsidRPr="0048521D" w14:paraId="4B04A19C" w14:textId="77777777" w:rsidTr="005833E8">
        <w:trPr>
          <w:jc w:val="center"/>
        </w:trPr>
        <w:tc>
          <w:tcPr>
            <w:tcW w:w="2268" w:type="dxa"/>
          </w:tcPr>
          <w:p w14:paraId="54EDC6B2"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Période du programme</w:t>
            </w:r>
          </w:p>
        </w:tc>
        <w:tc>
          <w:tcPr>
            <w:tcW w:w="6236" w:type="dxa"/>
          </w:tcPr>
          <w:p w14:paraId="40EC79AC" w14:textId="4DFE71E3"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Période opérationnelle de deux semaines le long de la côte norvégienne en septembre/octobre.</w:t>
            </w:r>
          </w:p>
        </w:tc>
      </w:tr>
      <w:tr w:rsidR="005052CB" w:rsidRPr="0048521D" w14:paraId="121094FA" w14:textId="77777777" w:rsidTr="005833E8">
        <w:trPr>
          <w:jc w:val="center"/>
        </w:trPr>
        <w:tc>
          <w:tcPr>
            <w:tcW w:w="2268" w:type="dxa"/>
          </w:tcPr>
          <w:p w14:paraId="0BB8CD9E"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Navire</w:t>
            </w:r>
          </w:p>
        </w:tc>
        <w:tc>
          <w:tcPr>
            <w:tcW w:w="6236" w:type="dxa"/>
          </w:tcPr>
          <w:p w14:paraId="4BB4E81C"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 xml:space="preserve">Un senneur norvégien. </w:t>
            </w:r>
            <w:r w:rsidRPr="0048521D">
              <w:rPr>
                <w:rFonts w:ascii="Cambria" w:hAnsi="Cambria"/>
                <w:sz w:val="20"/>
                <w:szCs w:val="20"/>
              </w:rPr>
              <w:br/>
              <w:t xml:space="preserve">Nom du navire : </w:t>
            </w:r>
            <w:proofErr w:type="spellStart"/>
            <w:r w:rsidRPr="0048521D">
              <w:rPr>
                <w:rFonts w:ascii="Cambria" w:hAnsi="Cambria"/>
                <w:sz w:val="20"/>
                <w:szCs w:val="20"/>
              </w:rPr>
              <w:t>Vestbris</w:t>
            </w:r>
            <w:proofErr w:type="spellEnd"/>
            <w:r w:rsidRPr="0048521D">
              <w:rPr>
                <w:rFonts w:ascii="Cambria" w:hAnsi="Cambria"/>
                <w:sz w:val="20"/>
                <w:szCs w:val="20"/>
              </w:rPr>
              <w:t xml:space="preserve">, </w:t>
            </w:r>
            <w:r w:rsidRPr="0048521D">
              <w:rPr>
                <w:rFonts w:ascii="Cambria" w:hAnsi="Cambria"/>
                <w:sz w:val="20"/>
                <w:szCs w:val="20"/>
              </w:rPr>
              <w:br/>
              <w:t>IRCS : LCJG</w:t>
            </w:r>
            <w:r w:rsidRPr="0048521D">
              <w:rPr>
                <w:rFonts w:ascii="Cambria" w:hAnsi="Cambria"/>
                <w:sz w:val="20"/>
                <w:szCs w:val="20"/>
              </w:rPr>
              <w:br/>
              <w:t>Numéro d’immatriculation national : VL-50-G</w:t>
            </w:r>
            <w:r w:rsidRPr="0048521D">
              <w:rPr>
                <w:rFonts w:ascii="Cambria" w:hAnsi="Cambria"/>
                <w:sz w:val="20"/>
                <w:szCs w:val="20"/>
              </w:rPr>
              <w:br/>
              <w:t xml:space="preserve">numéro ICCAT : AT0061373 </w:t>
            </w:r>
          </w:p>
          <w:p w14:paraId="76395F79" w14:textId="77777777" w:rsidR="005052CB" w:rsidRPr="0048521D" w:rsidRDefault="005052CB" w:rsidP="005052CB">
            <w:pPr>
              <w:widowControl/>
              <w:spacing w:line="220" w:lineRule="exact"/>
              <w:rPr>
                <w:rFonts w:ascii="Cambria" w:eastAsia="MS Mincho" w:hAnsi="Cambria"/>
                <w:sz w:val="20"/>
                <w:szCs w:val="20"/>
              </w:rPr>
            </w:pPr>
            <w:r w:rsidRPr="0048521D">
              <w:rPr>
                <w:rFonts w:ascii="Cambria" w:hAnsi="Cambria"/>
                <w:sz w:val="20"/>
                <w:szCs w:val="20"/>
              </w:rPr>
              <w:t>Longueur du navire (LOA) : 34,99</w:t>
            </w:r>
          </w:p>
        </w:tc>
      </w:tr>
    </w:tbl>
    <w:p w14:paraId="7633D95A" w14:textId="77777777" w:rsidR="008264A3" w:rsidRPr="0048521D" w:rsidRDefault="008264A3" w:rsidP="00C4686F">
      <w:pPr>
        <w:widowControl/>
        <w:tabs>
          <w:tab w:val="left" w:pos="426"/>
        </w:tabs>
        <w:spacing w:line="240" w:lineRule="exact"/>
        <w:jc w:val="left"/>
        <w:rPr>
          <w:rFonts w:ascii="Cambria" w:eastAsia="MS Mincho" w:hAnsi="Cambria"/>
          <w:kern w:val="0"/>
          <w:sz w:val="20"/>
          <w:szCs w:val="20"/>
          <w:lang w:eastAsia="en-US"/>
        </w:rPr>
      </w:pPr>
    </w:p>
    <w:p w14:paraId="090FE4C5" w14:textId="77777777" w:rsidR="001A1C52" w:rsidRPr="0048521D" w:rsidRDefault="001A1C52" w:rsidP="00C4686F">
      <w:pPr>
        <w:widowControl/>
        <w:tabs>
          <w:tab w:val="left" w:pos="426"/>
        </w:tabs>
        <w:spacing w:line="240" w:lineRule="exact"/>
        <w:jc w:val="left"/>
        <w:rPr>
          <w:rFonts w:ascii="Cambria" w:eastAsia="MS Mincho" w:hAnsi="Cambria"/>
          <w:kern w:val="0"/>
          <w:sz w:val="20"/>
          <w:szCs w:val="20"/>
          <w:lang w:eastAsia="en-US"/>
        </w:rPr>
      </w:pPr>
    </w:p>
    <w:p w14:paraId="227BA533" w14:textId="789C8FDB" w:rsidR="00CB24FD" w:rsidRPr="0048521D" w:rsidRDefault="00CB24FD" w:rsidP="00CB24FD">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2.</w:t>
      </w:r>
      <w:r w:rsidRPr="0048521D">
        <w:rPr>
          <w:rFonts w:ascii="Cambria" w:hAnsi="Cambria"/>
          <w:b/>
          <w:bCs/>
          <w:sz w:val="20"/>
          <w:szCs w:val="20"/>
        </w:rPr>
        <w:tab/>
        <w:t>But et objectifs</w:t>
      </w:r>
    </w:p>
    <w:p w14:paraId="3E8B5EA9" w14:textId="77777777" w:rsidR="00CB24FD" w:rsidRPr="0048521D" w:rsidRDefault="00CB24FD" w:rsidP="00BE6B16">
      <w:pPr>
        <w:widowControl/>
        <w:tabs>
          <w:tab w:val="left" w:pos="426"/>
        </w:tabs>
        <w:spacing w:line="220" w:lineRule="exact"/>
        <w:rPr>
          <w:rFonts w:ascii="Cambria" w:eastAsia="MS Mincho" w:hAnsi="Cambria"/>
          <w:b/>
          <w:bCs/>
          <w:kern w:val="0"/>
          <w:sz w:val="20"/>
          <w:szCs w:val="20"/>
          <w:lang w:eastAsia="en-US"/>
        </w:rPr>
      </w:pPr>
    </w:p>
    <w:p w14:paraId="7C7D6420" w14:textId="77777777" w:rsidR="00CB24FD" w:rsidRPr="0048521D" w:rsidRDefault="00CB24FD" w:rsidP="00BE6B16">
      <w:pPr>
        <w:widowControl/>
        <w:tabs>
          <w:tab w:val="left" w:pos="426"/>
        </w:tabs>
        <w:spacing w:line="240" w:lineRule="exact"/>
        <w:rPr>
          <w:rFonts w:ascii="Cambria" w:eastAsia="MS Mincho" w:hAnsi="Cambria"/>
          <w:kern w:val="0"/>
          <w:sz w:val="20"/>
          <w:szCs w:val="20"/>
        </w:rPr>
      </w:pPr>
      <w:r w:rsidRPr="0048521D">
        <w:rPr>
          <w:rFonts w:ascii="Cambria" w:hAnsi="Cambria"/>
          <w:sz w:val="20"/>
          <w:szCs w:val="20"/>
        </w:rPr>
        <w:t>Le but du programme est de documenter et d’évaluer l’utilisation du système EMS au cours du projet pilote norvégien de stockage de courte durée de thons rouges vivants. Le programme est conçu pour soutenir la déclaration à l’ICCAT, les besoins de la Norvège en matière de contrôle, l’évaluation scientifique et le développement de futures normes pour le stockage de spécimens vivants en Norvège.</w:t>
      </w:r>
    </w:p>
    <w:p w14:paraId="0453B47A" w14:textId="77777777" w:rsidR="00BE6B16" w:rsidRPr="0048521D" w:rsidRDefault="00BE6B16" w:rsidP="00BE6B16">
      <w:pPr>
        <w:widowControl/>
        <w:tabs>
          <w:tab w:val="left" w:pos="426"/>
        </w:tabs>
        <w:spacing w:line="240" w:lineRule="exact"/>
        <w:rPr>
          <w:rFonts w:ascii="Cambria" w:eastAsia="MS Mincho" w:hAnsi="Cambria"/>
          <w:kern w:val="0"/>
          <w:sz w:val="20"/>
          <w:szCs w:val="20"/>
          <w:lang w:eastAsia="en-US"/>
        </w:rPr>
      </w:pPr>
    </w:p>
    <w:p w14:paraId="71770E37" w14:textId="77777777" w:rsidR="00CB24FD" w:rsidRPr="0048521D" w:rsidRDefault="00CB24FD" w:rsidP="00BE6B16">
      <w:pPr>
        <w:widowControl/>
        <w:tabs>
          <w:tab w:val="left" w:pos="426"/>
        </w:tabs>
        <w:spacing w:line="240" w:lineRule="exact"/>
        <w:rPr>
          <w:rFonts w:ascii="Cambria" w:eastAsia="MS Mincho" w:hAnsi="Cambria"/>
          <w:kern w:val="0"/>
          <w:sz w:val="20"/>
          <w:szCs w:val="20"/>
        </w:rPr>
      </w:pPr>
      <w:r w:rsidRPr="0048521D">
        <w:rPr>
          <w:rFonts w:ascii="Cambria" w:hAnsi="Cambria"/>
          <w:sz w:val="20"/>
          <w:szCs w:val="20"/>
        </w:rPr>
        <w:t>Les objectifs spécifiques sont les suivants :</w:t>
      </w:r>
    </w:p>
    <w:p w14:paraId="09D842FA" w14:textId="77777777" w:rsidR="00BE6B16" w:rsidRPr="0048521D" w:rsidRDefault="00BE6B16" w:rsidP="00BE6B16">
      <w:pPr>
        <w:widowControl/>
        <w:tabs>
          <w:tab w:val="left" w:pos="426"/>
        </w:tabs>
        <w:spacing w:line="240" w:lineRule="exact"/>
        <w:rPr>
          <w:rFonts w:ascii="Cambria" w:eastAsia="MS Mincho" w:hAnsi="Cambria"/>
          <w:kern w:val="0"/>
          <w:sz w:val="20"/>
          <w:szCs w:val="20"/>
          <w:lang w:eastAsia="en-US"/>
        </w:rPr>
      </w:pPr>
    </w:p>
    <w:p w14:paraId="7F695813" w14:textId="23C36955" w:rsidR="00CB24FD" w:rsidRPr="0048521D"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Documenter le navire, l’engin et le contexte opérationnel pour la capture de thons rouges à la senne au cours de la période pilote.</w:t>
      </w:r>
    </w:p>
    <w:p w14:paraId="0764DA1A" w14:textId="74BF57E4" w:rsidR="00CB24FD" w:rsidRPr="0048521D"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Garantir une présence continue des observateurs régionaux du ROP-BFT de l’ICCAT à bord du navire participant pendant la période de pêche, conformément aux exigences du ROP-BFT pour les senneurs autorisés à pêcher du thon rouge.</w:t>
      </w:r>
    </w:p>
    <w:p w14:paraId="31394139" w14:textId="03BAFFDB" w:rsidR="001A1C52" w:rsidRPr="0048521D" w:rsidRDefault="00CB24FD" w:rsidP="00BE6B16">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lastRenderedPageBreak/>
        <w:t>Utiliser le système REM existant du navire, installé conformément aux exigences écossaises en matière de REM pour la pêche pélagique, comme base pour le niveau de suivi technique au cours du projet pilote.</w:t>
      </w:r>
    </w:p>
    <w:p w14:paraId="08FA1FD1" w14:textId="77777777" w:rsidR="00B76918" w:rsidRPr="0048521D"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Compléter le système REM avec le personnel de la Direction des pêches et de l’IMR, y compris des observations directes, l’échantillonnage scientifique, le suivi du bien-être des poissons et la documentation opérationnelle.</w:t>
      </w:r>
    </w:p>
    <w:p w14:paraId="7EA348D9" w14:textId="77777777" w:rsidR="00B76918" w:rsidRPr="0048521D"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Évaluer si le système REM écossais est suffisant aux fins des normes minimales de l’ICCAT en matière d’EMS et du cas spécifique de son utilisation pour le stockage de thons rouges vivants.</w:t>
      </w:r>
    </w:p>
    <w:p w14:paraId="592EA850" w14:textId="77777777" w:rsidR="00B76918" w:rsidRPr="0048521D" w:rsidRDefault="00B76918" w:rsidP="00B7691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Documenter les lacunes et les mesures rectificatives nécessaires avant toute future utilisation courante de l’EMS dans les opérations norvégiennes de stockage de thons rouges vivants.</w:t>
      </w:r>
    </w:p>
    <w:p w14:paraId="6FEBF156" w14:textId="77777777" w:rsidR="00B76918" w:rsidRPr="0048521D" w:rsidRDefault="00B76918" w:rsidP="00B76918">
      <w:pPr>
        <w:pStyle w:val="ListParagraph"/>
        <w:widowControl/>
        <w:tabs>
          <w:tab w:val="left" w:pos="851"/>
        </w:tabs>
        <w:spacing w:line="240" w:lineRule="exact"/>
        <w:ind w:left="851"/>
        <w:rPr>
          <w:rFonts w:ascii="Cambria" w:eastAsia="MS Mincho" w:hAnsi="Cambria"/>
          <w:kern w:val="0"/>
          <w:sz w:val="20"/>
          <w:szCs w:val="20"/>
          <w:lang w:eastAsia="en-US"/>
        </w:rPr>
      </w:pPr>
    </w:p>
    <w:p w14:paraId="046E7F0C" w14:textId="77777777" w:rsidR="00DE56D3" w:rsidRPr="0048521D" w:rsidRDefault="00DE56D3" w:rsidP="00B76918">
      <w:pPr>
        <w:pStyle w:val="ListParagraph"/>
        <w:widowControl/>
        <w:tabs>
          <w:tab w:val="left" w:pos="851"/>
        </w:tabs>
        <w:spacing w:line="240" w:lineRule="exact"/>
        <w:ind w:left="851"/>
        <w:rPr>
          <w:rFonts w:ascii="Cambria" w:eastAsia="MS Mincho" w:hAnsi="Cambria"/>
          <w:kern w:val="0"/>
          <w:sz w:val="20"/>
          <w:szCs w:val="20"/>
          <w:lang w:eastAsia="en-US"/>
        </w:rPr>
      </w:pPr>
    </w:p>
    <w:p w14:paraId="11737A38" w14:textId="651AA58F" w:rsidR="00A23FA2" w:rsidRPr="0048521D" w:rsidRDefault="00DE56D3" w:rsidP="00DE56D3">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3.</w:t>
      </w:r>
      <w:r w:rsidRPr="0048521D">
        <w:rPr>
          <w:rFonts w:ascii="Cambria" w:hAnsi="Cambria"/>
          <w:b/>
          <w:bCs/>
          <w:sz w:val="20"/>
          <w:szCs w:val="20"/>
        </w:rPr>
        <w:tab/>
        <w:t>Portée des opérations</w:t>
      </w:r>
    </w:p>
    <w:p w14:paraId="3A3DDD02" w14:textId="77777777" w:rsidR="00DE56D3" w:rsidRPr="0048521D" w:rsidRDefault="00DE56D3" w:rsidP="00DE56D3">
      <w:pPr>
        <w:widowControl/>
        <w:tabs>
          <w:tab w:val="left" w:pos="426"/>
        </w:tabs>
        <w:spacing w:line="220" w:lineRule="exact"/>
        <w:jc w:val="left"/>
        <w:rPr>
          <w:rFonts w:ascii="Cambria" w:eastAsia="MS Mincho" w:hAnsi="Cambria"/>
          <w:b/>
          <w:bCs/>
          <w:kern w:val="0"/>
          <w:sz w:val="20"/>
          <w:szCs w:val="20"/>
          <w:lang w:eastAsia="en-US"/>
        </w:rPr>
      </w:pPr>
    </w:p>
    <w:tbl>
      <w:tblPr>
        <w:tblStyle w:val="TableGrid1"/>
        <w:tblW w:w="0" w:type="auto"/>
        <w:jc w:val="center"/>
        <w:tblLook w:val="04A0" w:firstRow="1" w:lastRow="0" w:firstColumn="1" w:lastColumn="0" w:noHBand="0" w:noVBand="1"/>
      </w:tblPr>
      <w:tblGrid>
        <w:gridCol w:w="2268"/>
        <w:gridCol w:w="6236"/>
      </w:tblGrid>
      <w:tr w:rsidR="00873027" w:rsidRPr="0048521D" w14:paraId="45BAE25C" w14:textId="77777777" w:rsidTr="00873027">
        <w:trPr>
          <w:jc w:val="center"/>
        </w:trPr>
        <w:tc>
          <w:tcPr>
            <w:tcW w:w="2268" w:type="dxa"/>
          </w:tcPr>
          <w:p w14:paraId="77289058" w14:textId="77777777" w:rsidR="00873027" w:rsidRPr="0048521D" w:rsidRDefault="00873027" w:rsidP="00873027">
            <w:pPr>
              <w:widowControl/>
              <w:jc w:val="center"/>
              <w:rPr>
                <w:rFonts w:ascii="Cambria" w:eastAsia="MS Mincho" w:hAnsi="Cambria"/>
                <w:bCs/>
                <w:i/>
                <w:iCs/>
                <w:sz w:val="20"/>
                <w:szCs w:val="20"/>
              </w:rPr>
            </w:pPr>
            <w:r w:rsidRPr="0048521D">
              <w:rPr>
                <w:rFonts w:ascii="Cambria" w:hAnsi="Cambria"/>
                <w:bCs/>
                <w:i/>
                <w:iCs/>
                <w:sz w:val="20"/>
                <w:szCs w:val="20"/>
              </w:rPr>
              <w:t>Élément opérationnel</w:t>
            </w:r>
          </w:p>
        </w:tc>
        <w:tc>
          <w:tcPr>
            <w:tcW w:w="6236" w:type="dxa"/>
          </w:tcPr>
          <w:p w14:paraId="6A3671DC" w14:textId="4AD83403" w:rsidR="00873027" w:rsidRPr="0048521D" w:rsidRDefault="00685E3B" w:rsidP="00873027">
            <w:pPr>
              <w:widowControl/>
              <w:jc w:val="center"/>
              <w:rPr>
                <w:rFonts w:ascii="Cambria" w:eastAsia="MS Mincho" w:hAnsi="Cambria"/>
                <w:bCs/>
                <w:i/>
                <w:iCs/>
                <w:sz w:val="20"/>
                <w:szCs w:val="20"/>
              </w:rPr>
            </w:pPr>
            <w:r w:rsidRPr="0048521D">
              <w:rPr>
                <w:rFonts w:ascii="Cambria" w:eastAsia="MS Mincho" w:hAnsi="Cambria"/>
                <w:bCs/>
                <w:i/>
                <w:iCs/>
                <w:sz w:val="20"/>
                <w:szCs w:val="20"/>
              </w:rPr>
              <w:t>Description/texte indicatif provisoire</w:t>
            </w:r>
          </w:p>
        </w:tc>
      </w:tr>
      <w:tr w:rsidR="00873027" w:rsidRPr="0048521D" w14:paraId="0DE3F725" w14:textId="77777777" w:rsidTr="005833E8">
        <w:trPr>
          <w:jc w:val="center"/>
        </w:trPr>
        <w:tc>
          <w:tcPr>
            <w:tcW w:w="2268" w:type="dxa"/>
          </w:tcPr>
          <w:p w14:paraId="2D8AAA4E"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Zone</w:t>
            </w:r>
          </w:p>
        </w:tc>
        <w:tc>
          <w:tcPr>
            <w:tcW w:w="6236" w:type="dxa"/>
          </w:tcPr>
          <w:p w14:paraId="3BB445BB"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Côte norvégienne. Zone ICES 2.a et/ou 4.a.</w:t>
            </w:r>
          </w:p>
        </w:tc>
      </w:tr>
      <w:tr w:rsidR="00873027" w:rsidRPr="0048521D" w14:paraId="034440DB" w14:textId="77777777" w:rsidTr="005833E8">
        <w:trPr>
          <w:jc w:val="center"/>
        </w:trPr>
        <w:tc>
          <w:tcPr>
            <w:tcW w:w="2268" w:type="dxa"/>
          </w:tcPr>
          <w:p w14:paraId="7D8D029B"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Calendrier</w:t>
            </w:r>
          </w:p>
        </w:tc>
        <w:tc>
          <w:tcPr>
            <w:tcW w:w="6236" w:type="dxa"/>
          </w:tcPr>
          <w:p w14:paraId="25A9EF0B"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 xml:space="preserve">Deux semaines en septembre et/ou octobre. </w:t>
            </w:r>
          </w:p>
        </w:tc>
      </w:tr>
      <w:tr w:rsidR="00873027" w:rsidRPr="0048521D" w14:paraId="7E10F01E" w14:textId="77777777" w:rsidTr="005833E8">
        <w:trPr>
          <w:jc w:val="center"/>
        </w:trPr>
        <w:tc>
          <w:tcPr>
            <w:tcW w:w="2268" w:type="dxa"/>
          </w:tcPr>
          <w:p w14:paraId="6C78CC73"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Opérations de pêche</w:t>
            </w:r>
          </w:p>
        </w:tc>
        <w:tc>
          <w:tcPr>
            <w:tcW w:w="6236" w:type="dxa"/>
          </w:tcPr>
          <w:p w14:paraId="71484F23"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Recherche et calée de la senne, contrôle de la capture, transfert vers la cage de transport, opérations de remorquage et/ou de stockage de courte durée, comme autorisé dans le cadre du projet pilote.</w:t>
            </w:r>
          </w:p>
        </w:tc>
      </w:tr>
      <w:tr w:rsidR="00873027" w:rsidRPr="0048521D" w14:paraId="1154522A" w14:textId="77777777" w:rsidTr="005833E8">
        <w:trPr>
          <w:jc w:val="center"/>
        </w:trPr>
        <w:tc>
          <w:tcPr>
            <w:tcW w:w="2268" w:type="dxa"/>
          </w:tcPr>
          <w:p w14:paraId="6AD89938"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Manipulation des captures</w:t>
            </w:r>
          </w:p>
        </w:tc>
        <w:tc>
          <w:tcPr>
            <w:tcW w:w="6236" w:type="dxa"/>
          </w:tcPr>
          <w:p w14:paraId="127AEFF5"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 xml:space="preserve">Les thons rouges vivants pourront être transférés depuis la senne vers une cage de transport et éventuellement vers une cage de stockage fixe. </w:t>
            </w:r>
          </w:p>
        </w:tc>
      </w:tr>
      <w:tr w:rsidR="00873027" w:rsidRPr="0048521D" w14:paraId="7B81FF0A" w14:textId="77777777" w:rsidTr="005833E8">
        <w:trPr>
          <w:jc w:val="center"/>
        </w:trPr>
        <w:tc>
          <w:tcPr>
            <w:tcW w:w="2268" w:type="dxa"/>
          </w:tcPr>
          <w:p w14:paraId="6AE0C5A9" w14:textId="77777777"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Captures non-ciblées et remises à l’eau</w:t>
            </w:r>
          </w:p>
        </w:tc>
        <w:tc>
          <w:tcPr>
            <w:tcW w:w="6236" w:type="dxa"/>
          </w:tcPr>
          <w:p w14:paraId="4C0BCB45" w14:textId="1DEEC03D" w:rsidR="00873027" w:rsidRPr="0048521D" w:rsidRDefault="00873027" w:rsidP="00873027">
            <w:pPr>
              <w:widowControl/>
              <w:spacing w:line="220" w:lineRule="exact"/>
              <w:rPr>
                <w:rFonts w:ascii="Cambria" w:eastAsia="MS Mincho" w:hAnsi="Cambria"/>
                <w:sz w:val="20"/>
                <w:szCs w:val="20"/>
              </w:rPr>
            </w:pPr>
            <w:r w:rsidRPr="0048521D">
              <w:rPr>
                <w:rFonts w:ascii="Cambria" w:hAnsi="Cambria"/>
                <w:sz w:val="20"/>
                <w:szCs w:val="20"/>
              </w:rPr>
              <w:t>Les prises accessoires sont peu probables mais le système devrait identifier toute prise accessoire.</w:t>
            </w:r>
          </w:p>
        </w:tc>
      </w:tr>
    </w:tbl>
    <w:p w14:paraId="28ED6605" w14:textId="77777777" w:rsidR="00DE56D3" w:rsidRPr="0048521D" w:rsidRDefault="00DE56D3" w:rsidP="00DE56D3">
      <w:pPr>
        <w:widowControl/>
        <w:tabs>
          <w:tab w:val="left" w:pos="426"/>
        </w:tabs>
        <w:spacing w:line="220" w:lineRule="exact"/>
        <w:jc w:val="left"/>
        <w:rPr>
          <w:rFonts w:ascii="Cambria" w:eastAsia="MS Mincho" w:hAnsi="Cambria"/>
          <w:b/>
          <w:bCs/>
          <w:kern w:val="0"/>
          <w:sz w:val="20"/>
          <w:szCs w:val="20"/>
          <w:lang w:eastAsia="en-US"/>
        </w:rPr>
      </w:pPr>
    </w:p>
    <w:p w14:paraId="31C87FA7" w14:textId="77777777" w:rsidR="00873027" w:rsidRPr="0048521D" w:rsidRDefault="00873027" w:rsidP="00DE56D3">
      <w:pPr>
        <w:widowControl/>
        <w:tabs>
          <w:tab w:val="left" w:pos="426"/>
        </w:tabs>
        <w:spacing w:line="220" w:lineRule="exact"/>
        <w:jc w:val="left"/>
        <w:rPr>
          <w:rFonts w:ascii="Cambria" w:eastAsia="MS Mincho" w:hAnsi="Cambria"/>
          <w:b/>
          <w:bCs/>
          <w:kern w:val="0"/>
          <w:sz w:val="20"/>
          <w:szCs w:val="20"/>
          <w:lang w:eastAsia="en-US"/>
        </w:rPr>
      </w:pPr>
    </w:p>
    <w:p w14:paraId="4B5C0FE6" w14:textId="6674E22E" w:rsidR="008D1AF5" w:rsidRPr="0048521D" w:rsidRDefault="008D1AF5" w:rsidP="008D1AF5">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4.</w:t>
      </w:r>
      <w:r w:rsidRPr="0048521D">
        <w:rPr>
          <w:rFonts w:ascii="Cambria" w:hAnsi="Cambria"/>
          <w:b/>
          <w:bCs/>
          <w:sz w:val="20"/>
          <w:szCs w:val="20"/>
        </w:rPr>
        <w:tab/>
        <w:t>Plan de surveillance des navires (VMP)</w:t>
      </w:r>
    </w:p>
    <w:p w14:paraId="3A974598" w14:textId="77777777" w:rsidR="008D1AF5" w:rsidRPr="0048521D" w:rsidRDefault="008D1AF5" w:rsidP="008D1AF5">
      <w:pPr>
        <w:widowControl/>
        <w:tabs>
          <w:tab w:val="left" w:pos="426"/>
        </w:tabs>
        <w:spacing w:line="220" w:lineRule="exact"/>
        <w:jc w:val="left"/>
        <w:rPr>
          <w:rFonts w:ascii="Cambria" w:eastAsia="MS Mincho" w:hAnsi="Cambria"/>
          <w:b/>
          <w:bCs/>
          <w:kern w:val="0"/>
          <w:sz w:val="20"/>
          <w:szCs w:val="20"/>
          <w:lang w:eastAsia="en-US"/>
        </w:rPr>
      </w:pPr>
    </w:p>
    <w:p w14:paraId="25DAC18C" w14:textId="77777777" w:rsidR="008D1AF5" w:rsidRPr="0048521D" w:rsidRDefault="008D1AF5" w:rsidP="003106F8">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Un VMP spécifique au navire sera transmis au Secrétariat avant que le navire ne débute la période de pêche pilote. </w:t>
      </w:r>
    </w:p>
    <w:p w14:paraId="543FED47" w14:textId="77777777" w:rsidR="008D1AF5" w:rsidRPr="0048521D" w:rsidRDefault="008D1AF5" w:rsidP="008D1AF5">
      <w:pPr>
        <w:widowControl/>
        <w:tabs>
          <w:tab w:val="left" w:pos="426"/>
        </w:tabs>
        <w:spacing w:line="220" w:lineRule="exact"/>
        <w:jc w:val="left"/>
        <w:rPr>
          <w:rFonts w:ascii="Cambria" w:eastAsia="MS Mincho" w:hAnsi="Cambria"/>
          <w:kern w:val="0"/>
          <w:sz w:val="20"/>
          <w:szCs w:val="20"/>
          <w:lang w:eastAsia="en-US"/>
        </w:rPr>
      </w:pPr>
    </w:p>
    <w:p w14:paraId="337E9955" w14:textId="77777777" w:rsidR="008D1AF5" w:rsidRPr="0048521D" w:rsidRDefault="008D1AF5" w:rsidP="008D1AF5">
      <w:pPr>
        <w:widowControl/>
        <w:tabs>
          <w:tab w:val="left" w:pos="426"/>
        </w:tabs>
        <w:spacing w:line="220" w:lineRule="exact"/>
        <w:jc w:val="left"/>
        <w:rPr>
          <w:rFonts w:ascii="Cambria" w:eastAsia="MS Mincho" w:hAnsi="Cambria"/>
          <w:kern w:val="0"/>
          <w:sz w:val="20"/>
          <w:szCs w:val="20"/>
        </w:rPr>
      </w:pPr>
      <w:r w:rsidRPr="0048521D">
        <w:rPr>
          <w:rFonts w:ascii="Cambria" w:hAnsi="Cambria"/>
          <w:sz w:val="20"/>
          <w:szCs w:val="20"/>
        </w:rPr>
        <w:t>Le VMP inclura :</w:t>
      </w:r>
    </w:p>
    <w:p w14:paraId="683876AA" w14:textId="77777777" w:rsidR="008D1AF5" w:rsidRPr="0048521D" w:rsidRDefault="008D1AF5" w:rsidP="008D1AF5">
      <w:pPr>
        <w:widowControl/>
        <w:tabs>
          <w:tab w:val="left" w:pos="426"/>
        </w:tabs>
        <w:spacing w:line="220" w:lineRule="exact"/>
        <w:jc w:val="left"/>
        <w:rPr>
          <w:rFonts w:ascii="Cambria" w:eastAsia="MS Mincho" w:hAnsi="Cambria"/>
          <w:kern w:val="0"/>
          <w:sz w:val="20"/>
          <w:szCs w:val="20"/>
          <w:lang w:eastAsia="en-US"/>
        </w:rPr>
      </w:pPr>
    </w:p>
    <w:p w14:paraId="1ACD11DF" w14:textId="1A09332F" w:rsidR="008D1AF5" w:rsidRPr="0048521D" w:rsidRDefault="008D1AF5" w:rsidP="008D1AF5">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L’identité du navire, l’aménagement du pont et le flux de travail de pêche/transfert des captures.</w:t>
      </w:r>
    </w:p>
    <w:p w14:paraId="48335022" w14:textId="1E1EF2F8" w:rsidR="008D1AF5" w:rsidRPr="0048521D" w:rsidRDefault="008D1AF5" w:rsidP="008D1AF5">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Une carte des caméras montrant tous les emplacements des caméras, le champ de vision, les angles morts, les fréquences d’images et déterminant si la vue est suffisante pour la capture et le transfert des thons rouges, les remises à l'eau et toute manipulation sur le pont.</w:t>
      </w:r>
    </w:p>
    <w:p w14:paraId="73960410" w14:textId="0C6BA9F5" w:rsidR="008D1AF5" w:rsidRPr="0048521D"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Une carte des capteurs montrant les capteurs des treuils ou les capteurs d’activité basés sur les caméras.</w:t>
      </w:r>
    </w:p>
    <w:p w14:paraId="5D26C03D" w14:textId="2AD5F220" w:rsidR="008D1AF5" w:rsidRPr="0048521D"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Le flux de données depuis l’enregistrement jusqu’au stockage, l’extraction, la transmission, l’analyse, la déclaration et la conservation.</w:t>
      </w:r>
    </w:p>
    <w:p w14:paraId="32A9C9B0" w14:textId="026F3A2F" w:rsidR="008D1AF5" w:rsidRPr="0048521D"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 xml:space="preserve">Des événements déterminés faisant l’objet de surveillance : calée, </w:t>
      </w:r>
      <w:proofErr w:type="spellStart"/>
      <w:r w:rsidRPr="0048521D">
        <w:rPr>
          <w:rFonts w:ascii="Cambria" w:hAnsi="Cambria"/>
          <w:sz w:val="20"/>
          <w:szCs w:val="20"/>
        </w:rPr>
        <w:t>boursage</w:t>
      </w:r>
      <w:proofErr w:type="spellEnd"/>
      <w:r w:rsidRPr="0048521D">
        <w:rPr>
          <w:rFonts w:ascii="Cambria" w:hAnsi="Cambria"/>
          <w:sz w:val="20"/>
          <w:szCs w:val="20"/>
        </w:rPr>
        <w:t xml:space="preserve"> du filet, transfert, transfert interrompu, remise à l'eau, mortalité, interaction avec des prises accessoires, dysfonctionnement et alerte de falsification.</w:t>
      </w:r>
    </w:p>
    <w:p w14:paraId="36AB437F" w14:textId="54B6727D" w:rsidR="008D1AF5" w:rsidRPr="0048521D"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Les accords d’accès des observateurs et du personnel, notamment la façon dont les données du système REM seront mises à la disposition de la Direction et de l’IMR.</w:t>
      </w:r>
    </w:p>
    <w:p w14:paraId="73ECC86C" w14:textId="52022AB6" w:rsidR="00873027" w:rsidRPr="0048521D" w:rsidRDefault="008D1AF5" w:rsidP="004E22FE">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Un plan d’urgence en cas de défaillance partielle ou totale du système REM.</w:t>
      </w:r>
    </w:p>
    <w:p w14:paraId="00B3E63C" w14:textId="77777777" w:rsidR="00315D1A" w:rsidRPr="0048521D" w:rsidRDefault="00315D1A"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1F86320C" w14:textId="77777777" w:rsidR="00315D1A" w:rsidRPr="0048521D" w:rsidRDefault="00315D1A"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3BC5E202" w14:textId="0343D650" w:rsidR="00315D1A" w:rsidRPr="0048521D" w:rsidRDefault="00315D1A" w:rsidP="003C05AD">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5. </w:t>
      </w:r>
      <w:r w:rsidRPr="0048521D">
        <w:rPr>
          <w:rFonts w:ascii="Cambria" w:hAnsi="Cambria"/>
          <w:b/>
          <w:bCs/>
          <w:sz w:val="20"/>
          <w:szCs w:val="20"/>
        </w:rPr>
        <w:tab/>
        <w:t>Système REM existant installé pour respecter les exigences écossaises en matière de REM pour la pêche pélagique</w:t>
      </w:r>
    </w:p>
    <w:p w14:paraId="6A3E6F8A" w14:textId="77777777" w:rsidR="0075254C" w:rsidRPr="0048521D" w:rsidRDefault="0075254C" w:rsidP="003C05AD">
      <w:pPr>
        <w:widowControl/>
        <w:tabs>
          <w:tab w:val="left" w:pos="426"/>
        </w:tabs>
        <w:spacing w:line="220" w:lineRule="exact"/>
        <w:jc w:val="left"/>
        <w:rPr>
          <w:rFonts w:ascii="Cambria" w:eastAsia="MS Mincho" w:hAnsi="Cambria"/>
          <w:b/>
          <w:bCs/>
          <w:kern w:val="0"/>
          <w:sz w:val="20"/>
          <w:szCs w:val="20"/>
          <w:lang w:eastAsia="en-US"/>
        </w:rPr>
      </w:pPr>
    </w:p>
    <w:p w14:paraId="317C455D" w14:textId="77777777" w:rsidR="00315D1A" w:rsidRPr="0048521D" w:rsidRDefault="00315D1A" w:rsidP="0075254C">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Le navire participant dispose déjà d’un équipement de REM à bord car le REM est requis pour les navires pélagiques concernés opérant dans les eaux écossaises. Les spécifications techniques écossaises les plus récentes pour les navires pélagiques exigent un boîtier de commande ou de stockage ; la vidéo des caméras numériques ; des capteurs des treuils ou des capteurs d’activité basés sur des caméras ; un dispositif de système de positionnement du navire ; une visualisation en temps réel à bord ; une capacité d’extraction des données pour les agents des pêches maritimes britanniques ; une capacité d’accès à distance ; une transmission automatique sécurisée et un accès par les ministres écossais. </w:t>
      </w:r>
    </w:p>
    <w:p w14:paraId="4D6929A8" w14:textId="77777777" w:rsidR="0075254C" w:rsidRPr="0048521D" w:rsidRDefault="0075254C" w:rsidP="0075254C">
      <w:pPr>
        <w:widowControl/>
        <w:tabs>
          <w:tab w:val="left" w:pos="426"/>
        </w:tabs>
        <w:spacing w:line="220" w:lineRule="exact"/>
        <w:rPr>
          <w:rFonts w:ascii="Cambria" w:eastAsia="MS Mincho" w:hAnsi="Cambria"/>
          <w:kern w:val="0"/>
          <w:sz w:val="20"/>
          <w:szCs w:val="20"/>
          <w:lang w:eastAsia="en-US"/>
        </w:rPr>
      </w:pPr>
    </w:p>
    <w:p w14:paraId="3C4B0208" w14:textId="077DC413" w:rsidR="00315D1A" w:rsidRPr="0048521D" w:rsidRDefault="00315D1A" w:rsidP="0075254C">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lastRenderedPageBreak/>
        <w:t>Pour ce projet pilote norvégien, les exigences écossaises en matière de REM doivent être considérées comme le matériel/logiciel de référence actuel, et non comme un programme complet de système EMS pour le stockage de thons rouges vivants de l’ICCAT. Le système écossais requis est résumé ci-dessous.</w:t>
      </w:r>
    </w:p>
    <w:p w14:paraId="20E93EB0" w14:textId="77777777" w:rsidR="003C05AD" w:rsidRPr="0048521D" w:rsidRDefault="003C05AD" w:rsidP="00315D1A">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2"/>
        <w:tblW w:w="0" w:type="auto"/>
        <w:jc w:val="center"/>
        <w:tblLook w:val="04A0" w:firstRow="1" w:lastRow="0" w:firstColumn="1" w:lastColumn="0" w:noHBand="0" w:noVBand="1"/>
      </w:tblPr>
      <w:tblGrid>
        <w:gridCol w:w="2381"/>
        <w:gridCol w:w="6123"/>
      </w:tblGrid>
      <w:tr w:rsidR="003C05AD" w:rsidRPr="0048521D" w14:paraId="1D00DAF6" w14:textId="77777777" w:rsidTr="00004039">
        <w:trPr>
          <w:jc w:val="center"/>
        </w:trPr>
        <w:tc>
          <w:tcPr>
            <w:tcW w:w="2381" w:type="dxa"/>
          </w:tcPr>
          <w:p w14:paraId="7FC63F03" w14:textId="77777777" w:rsidR="003C05AD" w:rsidRPr="0048521D" w:rsidRDefault="003C05AD" w:rsidP="00004039">
            <w:pPr>
              <w:widowControl/>
              <w:jc w:val="center"/>
              <w:rPr>
                <w:rFonts w:ascii="Cambria" w:eastAsia="MS Mincho" w:hAnsi="Cambria"/>
                <w:bCs/>
                <w:i/>
                <w:iCs/>
                <w:sz w:val="20"/>
                <w:szCs w:val="20"/>
              </w:rPr>
            </w:pPr>
            <w:r w:rsidRPr="0048521D">
              <w:rPr>
                <w:rFonts w:ascii="Cambria" w:hAnsi="Cambria"/>
                <w:bCs/>
                <w:i/>
                <w:iCs/>
                <w:sz w:val="20"/>
                <w:szCs w:val="20"/>
              </w:rPr>
              <w:t>Élément du REM écossais</w:t>
            </w:r>
          </w:p>
        </w:tc>
        <w:tc>
          <w:tcPr>
            <w:tcW w:w="6123" w:type="dxa"/>
          </w:tcPr>
          <w:p w14:paraId="736C4E32" w14:textId="77777777" w:rsidR="003C05AD" w:rsidRPr="0048521D" w:rsidRDefault="003C05AD" w:rsidP="00004039">
            <w:pPr>
              <w:widowControl/>
              <w:jc w:val="center"/>
              <w:rPr>
                <w:rFonts w:ascii="Cambria" w:eastAsia="MS Mincho" w:hAnsi="Cambria"/>
                <w:bCs/>
                <w:i/>
                <w:iCs/>
                <w:sz w:val="20"/>
                <w:szCs w:val="20"/>
              </w:rPr>
            </w:pPr>
            <w:r w:rsidRPr="0048521D">
              <w:rPr>
                <w:rFonts w:ascii="Cambria" w:hAnsi="Cambria"/>
                <w:bCs/>
                <w:i/>
                <w:iCs/>
                <w:sz w:val="20"/>
                <w:szCs w:val="20"/>
              </w:rPr>
              <w:t>Exigence à refléter dans le VMP du projet pilote</w:t>
            </w:r>
          </w:p>
        </w:tc>
      </w:tr>
      <w:tr w:rsidR="003C05AD" w:rsidRPr="0048521D" w14:paraId="0F16CD2C" w14:textId="77777777" w:rsidTr="005833E8">
        <w:trPr>
          <w:jc w:val="center"/>
        </w:trPr>
        <w:tc>
          <w:tcPr>
            <w:tcW w:w="2381" w:type="dxa"/>
          </w:tcPr>
          <w:p w14:paraId="44DCE084"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Boîtier de commande/stockage</w:t>
            </w:r>
          </w:p>
        </w:tc>
        <w:tc>
          <w:tcPr>
            <w:tcW w:w="6123" w:type="dxa"/>
          </w:tcPr>
          <w:p w14:paraId="689DF6ED"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Doit abriter et stocker le logiciel et les données, y compris les données des vidéos des caméras, des capteurs des treuils ou des capteurs d’activité basés sur des caméras ainsi que les données du dispositif de système de positionnement du navire.</w:t>
            </w:r>
          </w:p>
        </w:tc>
      </w:tr>
      <w:tr w:rsidR="003C05AD" w:rsidRPr="0048521D" w14:paraId="01D27601" w14:textId="77777777" w:rsidTr="005833E8">
        <w:trPr>
          <w:jc w:val="center"/>
        </w:trPr>
        <w:tc>
          <w:tcPr>
            <w:tcW w:w="2381" w:type="dxa"/>
          </w:tcPr>
          <w:p w14:paraId="78C9DA1C"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Caméras - norme générale</w:t>
            </w:r>
          </w:p>
        </w:tc>
        <w:tc>
          <w:tcPr>
            <w:tcW w:w="6123" w:type="dxa"/>
          </w:tcPr>
          <w:p w14:paraId="72C16F29" w14:textId="3B743E7E" w:rsidR="00103DC1" w:rsidRPr="0048521D" w:rsidRDefault="003C05AD" w:rsidP="00FC1354">
            <w:pPr>
              <w:widowControl/>
              <w:spacing w:line="220" w:lineRule="exact"/>
              <w:rPr>
                <w:rFonts w:ascii="Cambria" w:eastAsia="MS Mincho" w:hAnsi="Cambria"/>
                <w:sz w:val="20"/>
                <w:szCs w:val="20"/>
              </w:rPr>
            </w:pPr>
            <w:r w:rsidRPr="0048521D">
              <w:rPr>
                <w:rFonts w:ascii="Cambria" w:hAnsi="Cambria"/>
                <w:sz w:val="20"/>
                <w:szCs w:val="20"/>
              </w:rPr>
              <w:t>Un nombre suffisant de caméras numériques ; l’enregistrement automatique démarre à la première activation ou au premier mouvement des treuils/sur détection par l’IA par le biais d’un capteur d’activité basé sur les caméras ; les caméras doivent avoir une capacité de fréquence d'images de 30 FPS, avec un minimum de 2 mégapixels par image, une résolution minimale de 1920 x 1080, une capacité infrarouge automatique pour l'enregistrement en faible luminosité et un indice IP66 minimum.</w:t>
            </w:r>
          </w:p>
        </w:tc>
      </w:tr>
      <w:tr w:rsidR="003C05AD" w:rsidRPr="0048521D" w14:paraId="07A5D74E" w14:textId="77777777" w:rsidTr="005833E8">
        <w:trPr>
          <w:jc w:val="center"/>
        </w:trPr>
        <w:tc>
          <w:tcPr>
            <w:tcW w:w="2381" w:type="dxa"/>
          </w:tcPr>
          <w:p w14:paraId="0205AC74"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Capteurs d’activité</w:t>
            </w:r>
          </w:p>
        </w:tc>
        <w:tc>
          <w:tcPr>
            <w:tcW w:w="6123" w:type="dxa"/>
          </w:tcPr>
          <w:p w14:paraId="2EB59870"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Capteurs de treuils reliés aux treuils de déploiement de l’engin et activés lorsque les treuils fonctionnent, ou capteurs d’activité basés sur les caméras utilisant la détection de mouvements ou la détection par l’IA lorsque les treuils fonctionnent ou lorsque les filets sont déployés/récupérés.</w:t>
            </w:r>
          </w:p>
        </w:tc>
      </w:tr>
      <w:tr w:rsidR="003C05AD" w:rsidRPr="0048521D" w14:paraId="75B586A6" w14:textId="77777777" w:rsidTr="005833E8">
        <w:trPr>
          <w:jc w:val="center"/>
        </w:trPr>
        <w:tc>
          <w:tcPr>
            <w:tcW w:w="2381" w:type="dxa"/>
          </w:tcPr>
          <w:p w14:paraId="00417646"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Système de positionnement des navires</w:t>
            </w:r>
          </w:p>
        </w:tc>
        <w:tc>
          <w:tcPr>
            <w:tcW w:w="6123" w:type="dxa"/>
          </w:tcPr>
          <w:p w14:paraId="6A6311FA"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Doit enregistrer l’identifiant unique du navire, la position WGS84 en latitude/longitude avec une erreur de position de moins de 10 m, l’heure UTC, la vitesse, le cap et la précision estimée à intervalles de toutes les 10 secondes au moins.</w:t>
            </w:r>
          </w:p>
        </w:tc>
      </w:tr>
      <w:tr w:rsidR="003C05AD" w:rsidRPr="0048521D" w14:paraId="2BCA7AFC" w14:textId="77777777" w:rsidTr="005833E8">
        <w:trPr>
          <w:jc w:val="center"/>
        </w:trPr>
        <w:tc>
          <w:tcPr>
            <w:tcW w:w="2381" w:type="dxa"/>
          </w:tcPr>
          <w:p w14:paraId="4FFB8CEF"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Visualisation à bord</w:t>
            </w:r>
          </w:p>
        </w:tc>
        <w:tc>
          <w:tcPr>
            <w:tcW w:w="6123" w:type="dxa"/>
          </w:tcPr>
          <w:p w14:paraId="005A85C5"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 capitaine doit être en mesure de visualiser la vidéo et les données enregistrées en temps réel à bord, par exemple sur un écran d’affichage dans la timonerie.</w:t>
            </w:r>
          </w:p>
        </w:tc>
      </w:tr>
      <w:tr w:rsidR="003C05AD" w:rsidRPr="0048521D" w14:paraId="2348743B" w14:textId="77777777" w:rsidTr="005833E8">
        <w:trPr>
          <w:jc w:val="center"/>
        </w:trPr>
        <w:tc>
          <w:tcPr>
            <w:tcW w:w="2381" w:type="dxa"/>
          </w:tcPr>
          <w:p w14:paraId="11DCD3AB"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Extraction des données par les agents</w:t>
            </w:r>
          </w:p>
        </w:tc>
        <w:tc>
          <w:tcPr>
            <w:tcW w:w="6123" w:type="dxa"/>
          </w:tcPr>
          <w:p w14:paraId="5FB0F8DF"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 système doit permettre à un agent des pêches maritimes britannique, depuis l’intérieur de la timonerie, d’extraire les données conservées dans le boîtier de commande ou de stockage.</w:t>
            </w:r>
          </w:p>
        </w:tc>
      </w:tr>
      <w:tr w:rsidR="003C05AD" w:rsidRPr="0048521D" w14:paraId="53D11B1F" w14:textId="77777777" w:rsidTr="005833E8">
        <w:trPr>
          <w:jc w:val="center"/>
        </w:trPr>
        <w:tc>
          <w:tcPr>
            <w:tcW w:w="2381" w:type="dxa"/>
          </w:tcPr>
          <w:p w14:paraId="2D9FC085"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Accès à distance</w:t>
            </w:r>
          </w:p>
        </w:tc>
        <w:tc>
          <w:tcPr>
            <w:tcW w:w="6123" w:type="dxa"/>
          </w:tcPr>
          <w:p w14:paraId="64A973EC" w14:textId="28734119"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 système doit pouvoir permettre d’accéder à distance au système REM.</w:t>
            </w:r>
          </w:p>
        </w:tc>
      </w:tr>
      <w:tr w:rsidR="003C05AD" w:rsidRPr="0048521D" w14:paraId="5FE169B9" w14:textId="77777777" w:rsidTr="005833E8">
        <w:trPr>
          <w:jc w:val="center"/>
        </w:trPr>
        <w:tc>
          <w:tcPr>
            <w:tcW w:w="2381" w:type="dxa"/>
          </w:tcPr>
          <w:p w14:paraId="180A4DCE"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Transmission automatique</w:t>
            </w:r>
          </w:p>
        </w:tc>
        <w:tc>
          <w:tcPr>
            <w:tcW w:w="6123" w:type="dxa"/>
          </w:tcPr>
          <w:p w14:paraId="5E578DA2" w14:textId="3CB5EDC4"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Les données enregistrées et les données de positionnement du navire doivent être automatiquement transmises à un système de stockage de données externe au navire toutes les 24 heures au moins, de façon sécurisée et de manière à empêcher toute modification après enregistrement.</w:t>
            </w:r>
          </w:p>
        </w:tc>
      </w:tr>
      <w:tr w:rsidR="003C05AD" w:rsidRPr="0048521D" w14:paraId="3E544F73" w14:textId="77777777" w:rsidTr="005833E8">
        <w:trPr>
          <w:jc w:val="center"/>
        </w:trPr>
        <w:tc>
          <w:tcPr>
            <w:tcW w:w="2381" w:type="dxa"/>
          </w:tcPr>
          <w:p w14:paraId="65A1D14B"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Transmission de la vidéo</w:t>
            </w:r>
          </w:p>
        </w:tc>
        <w:tc>
          <w:tcPr>
            <w:tcW w:w="6123" w:type="dxa"/>
          </w:tcPr>
          <w:p w14:paraId="0BE72A74"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Si la vidéo est stockée de façon externe au navire, elle doit être automatiquement transmise dans les délais fixés. Si elle est stockée à bord, elle doit être automatiquement transmise à la demande du gouvernement écossais dans un délai de 5 jours ouvrables, de manière sécurisée et inviolable.</w:t>
            </w:r>
          </w:p>
        </w:tc>
      </w:tr>
      <w:tr w:rsidR="003C05AD" w:rsidRPr="0048521D" w14:paraId="2A023B96" w14:textId="77777777" w:rsidTr="005833E8">
        <w:trPr>
          <w:jc w:val="center"/>
        </w:trPr>
        <w:tc>
          <w:tcPr>
            <w:tcW w:w="2381" w:type="dxa"/>
          </w:tcPr>
          <w:p w14:paraId="4378C82B"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Accès par les ministres écossais</w:t>
            </w:r>
          </w:p>
        </w:tc>
        <w:tc>
          <w:tcPr>
            <w:tcW w:w="6123" w:type="dxa"/>
          </w:tcPr>
          <w:p w14:paraId="0BA3E7DA"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Les ministres écossais doivent être en mesure d’accéder à la vidéo et aux données enregistrées, de les extraire et de les examiner à l’aide du logiciel compagnon du système REM à tout moment et sans frais pour les ministres écossais.</w:t>
            </w:r>
          </w:p>
        </w:tc>
      </w:tr>
      <w:tr w:rsidR="003C05AD" w:rsidRPr="0048521D" w14:paraId="4E8025D7" w14:textId="77777777" w:rsidTr="005833E8">
        <w:trPr>
          <w:jc w:val="center"/>
        </w:trPr>
        <w:tc>
          <w:tcPr>
            <w:tcW w:w="2381" w:type="dxa"/>
          </w:tcPr>
          <w:p w14:paraId="32B4B578"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Logiciel compagnon</w:t>
            </w:r>
          </w:p>
        </w:tc>
        <w:tc>
          <w:tcPr>
            <w:tcW w:w="6123" w:type="dxa"/>
          </w:tcPr>
          <w:p w14:paraId="59A29D7A" w14:textId="77777777" w:rsidR="003C05AD" w:rsidRPr="0048521D" w:rsidRDefault="003C05AD" w:rsidP="00004039">
            <w:pPr>
              <w:widowControl/>
              <w:spacing w:line="220" w:lineRule="exact"/>
              <w:rPr>
                <w:rFonts w:ascii="Cambria" w:eastAsia="MS Mincho" w:hAnsi="Cambria"/>
                <w:sz w:val="20"/>
                <w:szCs w:val="20"/>
              </w:rPr>
            </w:pPr>
            <w:r w:rsidRPr="0048521D">
              <w:rPr>
                <w:rFonts w:ascii="Cambria" w:hAnsi="Cambria"/>
                <w:sz w:val="20"/>
                <w:szCs w:val="20"/>
              </w:rPr>
              <w:t>Le logiciel devrait synchroniser les données de sortie des capteurs, de positionnement et de la vidéo sur une même ligne de temps et afficher les données dans une interface intégrée, incluant des graphiques, des cartes et des vidéos.</w:t>
            </w:r>
          </w:p>
        </w:tc>
      </w:tr>
    </w:tbl>
    <w:p w14:paraId="131091C6" w14:textId="77777777" w:rsidR="003C05AD" w:rsidRPr="0048521D" w:rsidRDefault="003C05AD" w:rsidP="00315D1A">
      <w:pPr>
        <w:pStyle w:val="ListParagraph"/>
        <w:widowControl/>
        <w:tabs>
          <w:tab w:val="left" w:pos="851"/>
        </w:tabs>
        <w:spacing w:line="240" w:lineRule="exact"/>
        <w:ind w:left="851"/>
        <w:rPr>
          <w:rFonts w:ascii="Cambria" w:eastAsia="MS Mincho" w:hAnsi="Cambria"/>
          <w:kern w:val="0"/>
          <w:sz w:val="20"/>
          <w:szCs w:val="20"/>
          <w:lang w:eastAsia="en-US"/>
        </w:rPr>
      </w:pPr>
    </w:p>
    <w:p w14:paraId="0ACC5CFA" w14:textId="77777777" w:rsidR="00636AC6" w:rsidRPr="0048521D" w:rsidRDefault="00636AC6" w:rsidP="00315D1A">
      <w:pPr>
        <w:pStyle w:val="ListParagraph"/>
        <w:widowControl/>
        <w:tabs>
          <w:tab w:val="left" w:pos="851"/>
        </w:tabs>
        <w:spacing w:line="240" w:lineRule="exact"/>
        <w:ind w:left="851"/>
        <w:rPr>
          <w:rFonts w:ascii="Cambria" w:eastAsia="MS Mincho" w:hAnsi="Cambria"/>
          <w:b/>
          <w:bCs/>
          <w:kern w:val="0"/>
          <w:sz w:val="20"/>
          <w:szCs w:val="20"/>
          <w:lang w:eastAsia="en-US"/>
        </w:rPr>
      </w:pPr>
    </w:p>
    <w:p w14:paraId="25A8CD5B" w14:textId="35B6B18E" w:rsidR="00585F95" w:rsidRPr="0048521D" w:rsidRDefault="00585F95" w:rsidP="00636AC6">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6. </w:t>
      </w:r>
      <w:r w:rsidRPr="0048521D">
        <w:rPr>
          <w:rFonts w:ascii="Cambria" w:hAnsi="Cambria"/>
          <w:b/>
          <w:bCs/>
          <w:sz w:val="20"/>
          <w:szCs w:val="20"/>
        </w:rPr>
        <w:tab/>
        <w:t>Exigences écossaises relatives à l’emplacement des caméras en rapport avec le navire</w:t>
      </w:r>
    </w:p>
    <w:p w14:paraId="6C219C76" w14:textId="77777777" w:rsidR="00636AC6" w:rsidRPr="0048521D" w:rsidRDefault="00636AC6"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4A66729C" w14:textId="57DAD394" w:rsidR="00C755F2" w:rsidRPr="0048521D" w:rsidRDefault="00585F95" w:rsidP="00636AC6">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Le VMP pour ce projet pilote devrait inclure une carte des caméras spécifiques au navire et évaluer ensuite si chaque vue requise par l'Écosse est adéquate pour les opérations liées au thon rouge. Si elle n’est pas adéquate, le VMP devrait définir des caméras temporaires supplémentaires ou une observation complémentaire par le personnel du ROP, de la Direction et de l’IMR.</w:t>
      </w:r>
    </w:p>
    <w:p w14:paraId="58DCBB89" w14:textId="77777777" w:rsidR="000E72AB" w:rsidRPr="0048521D" w:rsidRDefault="000E72AB" w:rsidP="00585F95">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3"/>
        <w:tblW w:w="0" w:type="auto"/>
        <w:jc w:val="center"/>
        <w:tblLook w:val="04A0" w:firstRow="1" w:lastRow="0" w:firstColumn="1" w:lastColumn="0" w:noHBand="0" w:noVBand="1"/>
      </w:tblPr>
      <w:tblGrid>
        <w:gridCol w:w="2634"/>
        <w:gridCol w:w="6123"/>
      </w:tblGrid>
      <w:tr w:rsidR="000E72AB" w:rsidRPr="0048521D" w14:paraId="03D2894F" w14:textId="77777777" w:rsidTr="00B50C5F">
        <w:trPr>
          <w:jc w:val="center"/>
        </w:trPr>
        <w:tc>
          <w:tcPr>
            <w:tcW w:w="2381" w:type="dxa"/>
          </w:tcPr>
          <w:p w14:paraId="0FFAD545" w14:textId="77777777" w:rsidR="000E72AB" w:rsidRPr="0048521D" w:rsidRDefault="000E72AB" w:rsidP="00B50C5F">
            <w:pPr>
              <w:widowControl/>
              <w:jc w:val="center"/>
              <w:rPr>
                <w:rFonts w:ascii="Cambria" w:eastAsia="MS Mincho" w:hAnsi="Cambria"/>
                <w:bCs/>
                <w:i/>
                <w:iCs/>
                <w:sz w:val="20"/>
                <w:szCs w:val="20"/>
              </w:rPr>
            </w:pPr>
            <w:r w:rsidRPr="0048521D">
              <w:rPr>
                <w:rFonts w:ascii="Cambria" w:hAnsi="Cambria"/>
                <w:bCs/>
                <w:i/>
                <w:iCs/>
                <w:sz w:val="20"/>
                <w:szCs w:val="20"/>
              </w:rPr>
              <w:lastRenderedPageBreak/>
              <w:t>Zone des caméras</w:t>
            </w:r>
          </w:p>
        </w:tc>
        <w:tc>
          <w:tcPr>
            <w:tcW w:w="6123" w:type="dxa"/>
          </w:tcPr>
          <w:p w14:paraId="24D46925" w14:textId="77777777" w:rsidR="000E72AB" w:rsidRPr="0048521D" w:rsidRDefault="000E72AB" w:rsidP="00B50C5F">
            <w:pPr>
              <w:widowControl/>
              <w:jc w:val="center"/>
              <w:rPr>
                <w:rFonts w:ascii="Cambria" w:eastAsia="MS Mincho" w:hAnsi="Cambria"/>
                <w:bCs/>
                <w:i/>
                <w:iCs/>
                <w:sz w:val="20"/>
                <w:szCs w:val="20"/>
              </w:rPr>
            </w:pPr>
            <w:r w:rsidRPr="0048521D">
              <w:rPr>
                <w:rFonts w:ascii="Cambria" w:hAnsi="Cambria"/>
                <w:bCs/>
                <w:i/>
                <w:iCs/>
                <w:sz w:val="20"/>
                <w:szCs w:val="20"/>
              </w:rPr>
              <w:t>Exigence de l'Écosse et pertinence du projet pilote</w:t>
            </w:r>
          </w:p>
        </w:tc>
      </w:tr>
      <w:tr w:rsidR="000E72AB" w:rsidRPr="0048521D" w14:paraId="13CA1C60" w14:textId="77777777" w:rsidTr="005833E8">
        <w:trPr>
          <w:jc w:val="center"/>
        </w:trPr>
        <w:tc>
          <w:tcPr>
            <w:tcW w:w="2381" w:type="dxa"/>
          </w:tcPr>
          <w:p w14:paraId="3EEA5F82"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Bâbord, tribord et poupe</w:t>
            </w:r>
          </w:p>
        </w:tc>
        <w:tc>
          <w:tcPr>
            <w:tcW w:w="6123" w:type="dxa"/>
          </w:tcPr>
          <w:p w14:paraId="405EE6D4"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Le champ de vision combiné doit enregistrer toute l’activité de pêche, y compris le déploiement/la récupération des filets et toute utilisation de la pompe ; au moins une caméra à bâbord, à tribord et au niveau de la poupe.</w:t>
            </w:r>
          </w:p>
        </w:tc>
      </w:tr>
      <w:tr w:rsidR="000E72AB" w:rsidRPr="0048521D" w14:paraId="13174746" w14:textId="77777777" w:rsidTr="005833E8">
        <w:trPr>
          <w:jc w:val="center"/>
        </w:trPr>
        <w:tc>
          <w:tcPr>
            <w:tcW w:w="2381" w:type="dxa"/>
          </w:tcPr>
          <w:p w14:paraId="4BAF3BAF"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Grille de séparation</w:t>
            </w:r>
          </w:p>
        </w:tc>
        <w:tc>
          <w:tcPr>
            <w:tcW w:w="6123" w:type="dxa"/>
          </w:tcPr>
          <w:p w14:paraId="1C9173E1"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La ou les caméras doivent enregistrer le passage des poissons au-dessus de la grille de séparation ; au moins une caméra.</w:t>
            </w:r>
          </w:p>
        </w:tc>
      </w:tr>
      <w:tr w:rsidR="000E72AB" w:rsidRPr="0048521D" w14:paraId="6AF537CD" w14:textId="77777777" w:rsidTr="005833E8">
        <w:trPr>
          <w:jc w:val="center"/>
        </w:trPr>
        <w:tc>
          <w:tcPr>
            <w:tcW w:w="2381" w:type="dxa"/>
          </w:tcPr>
          <w:p w14:paraId="7F15F54F"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Congélation/transformation</w:t>
            </w:r>
          </w:p>
        </w:tc>
        <w:tc>
          <w:tcPr>
            <w:tcW w:w="6123" w:type="dxa"/>
          </w:tcPr>
          <w:p w14:paraId="0870D056"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En cas de congélation ou d’autre transformation à bord, la ou les caméras doivent enregistrer le parcours de la capture depuis les cuves de stockage jusqu’au tri et à l’activité de congélation ; au moins une caméra.</w:t>
            </w:r>
          </w:p>
        </w:tc>
      </w:tr>
      <w:tr w:rsidR="000E72AB" w:rsidRPr="0048521D" w14:paraId="6CDBEB2A" w14:textId="77777777" w:rsidTr="005833E8">
        <w:trPr>
          <w:jc w:val="center"/>
        </w:trPr>
        <w:tc>
          <w:tcPr>
            <w:tcW w:w="2381" w:type="dxa"/>
          </w:tcPr>
          <w:p w14:paraId="5C6A9507"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Salle de contrôle de la pompe</w:t>
            </w:r>
          </w:p>
        </w:tc>
        <w:tc>
          <w:tcPr>
            <w:tcW w:w="6123" w:type="dxa"/>
          </w:tcPr>
          <w:p w14:paraId="7FE41A8F" w14:textId="72C715F5"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 xml:space="preserve">Le flux </w:t>
            </w:r>
            <w:r w:rsidR="000E5235" w:rsidRPr="0048521D">
              <w:rPr>
                <w:rFonts w:ascii="Cambria" w:hAnsi="Cambria"/>
                <w:sz w:val="20"/>
                <w:szCs w:val="20"/>
              </w:rPr>
              <w:t xml:space="preserve">vidéo </w:t>
            </w:r>
            <w:r w:rsidRPr="0048521D">
              <w:rPr>
                <w:rFonts w:ascii="Cambria" w:hAnsi="Cambria"/>
                <w:sz w:val="20"/>
                <w:szCs w:val="20"/>
              </w:rPr>
              <w:t>de la caméra ou le flux de données direct doit enregistrer la capacité des cuves et l’écran d’affichage pour les systèmes CSW/RSW ; au moins une caméra sauf s’il y a un flux d’affichage en miroir ou une intégration directe des capteurs.</w:t>
            </w:r>
          </w:p>
        </w:tc>
      </w:tr>
      <w:tr w:rsidR="000E72AB" w:rsidRPr="0048521D" w14:paraId="131DD5D3" w14:textId="77777777" w:rsidTr="005833E8">
        <w:trPr>
          <w:jc w:val="center"/>
        </w:trPr>
        <w:tc>
          <w:tcPr>
            <w:tcW w:w="2381" w:type="dxa"/>
          </w:tcPr>
          <w:p w14:paraId="4BD996FA"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Zone de rejets désignée</w:t>
            </w:r>
          </w:p>
        </w:tc>
        <w:tc>
          <w:tcPr>
            <w:tcW w:w="6123" w:type="dxa"/>
          </w:tcPr>
          <w:p w14:paraId="7581E43C"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La ou les caméras doivent enregistrer toute l’activité dans la zone désignée ayant trait aux rejets d’animaux marins ; au moins une caméra.</w:t>
            </w:r>
          </w:p>
        </w:tc>
      </w:tr>
      <w:tr w:rsidR="000E72AB" w:rsidRPr="0048521D" w14:paraId="1C9323E0" w14:textId="77777777" w:rsidTr="005833E8">
        <w:trPr>
          <w:jc w:val="center"/>
        </w:trPr>
        <w:tc>
          <w:tcPr>
            <w:tcW w:w="2381" w:type="dxa"/>
          </w:tcPr>
          <w:p w14:paraId="7AA0B539"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Poche / remises à l’eau</w:t>
            </w:r>
          </w:p>
        </w:tc>
        <w:tc>
          <w:tcPr>
            <w:tcW w:w="6123" w:type="dxa"/>
          </w:tcPr>
          <w:p w14:paraId="0255470B"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Lorsque la capture est pompée à bord à partir d’un filet, la ou les caméra(s) doivent enregistrer la poche de sorte que les remises à l’eau d’animaux marins, vivants ou morts, soient visibles dès le début du pompage jusqu’à ce que le filet soit vide ; au moins une caméra.</w:t>
            </w:r>
          </w:p>
        </w:tc>
      </w:tr>
      <w:tr w:rsidR="000E72AB" w:rsidRPr="0048521D" w14:paraId="7E5670A3" w14:textId="77777777" w:rsidTr="005833E8">
        <w:trPr>
          <w:jc w:val="center"/>
        </w:trPr>
        <w:tc>
          <w:tcPr>
            <w:tcW w:w="2381" w:type="dxa"/>
          </w:tcPr>
          <w:p w14:paraId="53D408AA"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Caméras supplémentaires</w:t>
            </w:r>
          </w:p>
        </w:tc>
        <w:tc>
          <w:tcPr>
            <w:tcW w:w="6123" w:type="dxa"/>
          </w:tcPr>
          <w:p w14:paraId="085D4CC2" w14:textId="77777777" w:rsidR="000E72AB" w:rsidRPr="0048521D" w:rsidRDefault="000E72AB" w:rsidP="00B50C5F">
            <w:pPr>
              <w:widowControl/>
              <w:spacing w:line="220" w:lineRule="exact"/>
              <w:rPr>
                <w:rFonts w:ascii="Cambria" w:eastAsia="MS Mincho" w:hAnsi="Cambria"/>
                <w:sz w:val="20"/>
                <w:szCs w:val="20"/>
              </w:rPr>
            </w:pPr>
            <w:r w:rsidRPr="0048521D">
              <w:rPr>
                <w:rFonts w:ascii="Cambria" w:hAnsi="Cambria"/>
                <w:sz w:val="20"/>
                <w:szCs w:val="20"/>
              </w:rPr>
              <w:t>Le système doit pouvoir implanter des caméras supplémentaires dans des zones qui ne sont actuellement pas couvertes dans les spécifications techniques.</w:t>
            </w:r>
          </w:p>
        </w:tc>
      </w:tr>
    </w:tbl>
    <w:p w14:paraId="2D60EFBE" w14:textId="77777777" w:rsidR="00801359" w:rsidRPr="0048521D" w:rsidRDefault="00801359"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143E3617" w14:textId="77777777" w:rsidR="003106F8" w:rsidRPr="0048521D" w:rsidRDefault="003106F8" w:rsidP="00585F95">
      <w:pPr>
        <w:pStyle w:val="ListParagraph"/>
        <w:widowControl/>
        <w:tabs>
          <w:tab w:val="left" w:pos="851"/>
        </w:tabs>
        <w:spacing w:line="240" w:lineRule="exact"/>
        <w:ind w:left="851"/>
        <w:rPr>
          <w:rFonts w:ascii="Cambria" w:eastAsia="MS Mincho" w:hAnsi="Cambria"/>
          <w:kern w:val="0"/>
          <w:sz w:val="20"/>
          <w:szCs w:val="20"/>
          <w:lang w:eastAsia="en-US"/>
        </w:rPr>
      </w:pPr>
    </w:p>
    <w:p w14:paraId="1C01440E" w14:textId="29DBCA97" w:rsidR="007F11AE" w:rsidRPr="0048521D" w:rsidRDefault="007F11AE" w:rsidP="00801359">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7. </w:t>
      </w:r>
      <w:r w:rsidRPr="0048521D">
        <w:rPr>
          <w:rFonts w:ascii="Cambria" w:hAnsi="Cambria"/>
          <w:b/>
          <w:bCs/>
          <w:sz w:val="20"/>
          <w:szCs w:val="20"/>
        </w:rPr>
        <w:tab/>
        <w:t>Exigences relatives à la collecte des données pour le projet pilote norvégien</w:t>
      </w:r>
    </w:p>
    <w:p w14:paraId="45804150" w14:textId="77777777" w:rsidR="00801359" w:rsidRPr="0048521D" w:rsidRDefault="00801359" w:rsidP="00801359">
      <w:pPr>
        <w:widowControl/>
        <w:tabs>
          <w:tab w:val="left" w:pos="426"/>
        </w:tabs>
        <w:spacing w:line="220" w:lineRule="exact"/>
        <w:jc w:val="left"/>
        <w:rPr>
          <w:rFonts w:ascii="Cambria" w:eastAsia="MS Mincho" w:hAnsi="Cambria"/>
          <w:kern w:val="0"/>
          <w:sz w:val="20"/>
          <w:szCs w:val="20"/>
          <w:lang w:eastAsia="en-US"/>
        </w:rPr>
      </w:pPr>
    </w:p>
    <w:p w14:paraId="1F450288" w14:textId="779C9816" w:rsidR="007F11AE" w:rsidRPr="0048521D" w:rsidRDefault="007F11AE" w:rsidP="00801359">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Le modèle de données devrait combiner les données du système REM, les observations du ROP, le carnet de pêche du navire/l’eBCD/les documents de transfert, les observations de contrôle de la Direction et les observations scientifiques de l’IMR. À ce stade, le système EMS en lui-même ne sera pas considéré comme remplaçant l’observateur régional ou l’échantillonnage scientifique.</w:t>
      </w:r>
    </w:p>
    <w:p w14:paraId="658ECEA8" w14:textId="77777777" w:rsidR="00E727B9" w:rsidRPr="0048521D" w:rsidRDefault="00E727B9" w:rsidP="007F11AE">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4"/>
        <w:tblW w:w="0" w:type="auto"/>
        <w:jc w:val="center"/>
        <w:tblLook w:val="04A0" w:firstRow="1" w:lastRow="0" w:firstColumn="1" w:lastColumn="0" w:noHBand="0" w:noVBand="1"/>
      </w:tblPr>
      <w:tblGrid>
        <w:gridCol w:w="2268"/>
        <w:gridCol w:w="6236"/>
      </w:tblGrid>
      <w:tr w:rsidR="00E727B9" w:rsidRPr="0048521D" w14:paraId="362D5FFC" w14:textId="77777777" w:rsidTr="00801359">
        <w:trPr>
          <w:jc w:val="center"/>
        </w:trPr>
        <w:tc>
          <w:tcPr>
            <w:tcW w:w="2268" w:type="dxa"/>
          </w:tcPr>
          <w:p w14:paraId="03D4D395" w14:textId="77777777" w:rsidR="00E727B9" w:rsidRPr="0048521D" w:rsidRDefault="00E727B9" w:rsidP="00801359">
            <w:pPr>
              <w:widowControl/>
              <w:jc w:val="center"/>
              <w:rPr>
                <w:rFonts w:ascii="Cambria" w:eastAsia="MS Mincho" w:hAnsi="Cambria"/>
                <w:bCs/>
                <w:i/>
                <w:iCs/>
                <w:sz w:val="20"/>
                <w:szCs w:val="20"/>
              </w:rPr>
            </w:pPr>
            <w:r w:rsidRPr="0048521D">
              <w:rPr>
                <w:rFonts w:ascii="Cambria" w:hAnsi="Cambria"/>
                <w:bCs/>
                <w:i/>
                <w:iCs/>
                <w:sz w:val="20"/>
                <w:szCs w:val="20"/>
              </w:rPr>
              <w:t>Catégorie de données</w:t>
            </w:r>
          </w:p>
        </w:tc>
        <w:tc>
          <w:tcPr>
            <w:tcW w:w="6236" w:type="dxa"/>
          </w:tcPr>
          <w:p w14:paraId="16C59D39" w14:textId="77777777" w:rsidR="00E727B9" w:rsidRPr="0048521D" w:rsidRDefault="00E727B9" w:rsidP="00801359">
            <w:pPr>
              <w:widowControl/>
              <w:jc w:val="center"/>
              <w:rPr>
                <w:rFonts w:ascii="Cambria" w:eastAsia="MS Mincho" w:hAnsi="Cambria"/>
                <w:bCs/>
                <w:i/>
                <w:iCs/>
                <w:sz w:val="20"/>
                <w:szCs w:val="20"/>
              </w:rPr>
            </w:pPr>
            <w:r w:rsidRPr="0048521D">
              <w:rPr>
                <w:rFonts w:ascii="Cambria" w:hAnsi="Cambria"/>
                <w:bCs/>
                <w:i/>
                <w:iCs/>
                <w:sz w:val="20"/>
                <w:szCs w:val="20"/>
              </w:rPr>
              <w:t>Exigence provisoire</w:t>
            </w:r>
          </w:p>
        </w:tc>
      </w:tr>
      <w:tr w:rsidR="00E727B9" w:rsidRPr="0048521D" w14:paraId="68150AA2" w14:textId="77777777" w:rsidTr="005833E8">
        <w:trPr>
          <w:jc w:val="center"/>
        </w:trPr>
        <w:tc>
          <w:tcPr>
            <w:tcW w:w="2268" w:type="dxa"/>
          </w:tcPr>
          <w:p w14:paraId="05C81CF1"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Sortie de pêche et effort</w:t>
            </w:r>
          </w:p>
        </w:tc>
        <w:tc>
          <w:tcPr>
            <w:tcW w:w="6236" w:type="dxa"/>
          </w:tcPr>
          <w:p w14:paraId="690B0D95"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 xml:space="preserve">Départ/arrivée, jours de pêche, effort de recherche, début/fin de la calée, </w:t>
            </w:r>
            <w:proofErr w:type="spellStart"/>
            <w:r w:rsidRPr="0048521D">
              <w:rPr>
                <w:rFonts w:ascii="Cambria" w:hAnsi="Cambria"/>
                <w:sz w:val="20"/>
                <w:szCs w:val="20"/>
              </w:rPr>
              <w:t>boursage</w:t>
            </w:r>
            <w:proofErr w:type="spellEnd"/>
            <w:r w:rsidRPr="0048521D">
              <w:rPr>
                <w:rFonts w:ascii="Cambria" w:hAnsi="Cambria"/>
                <w:sz w:val="20"/>
                <w:szCs w:val="20"/>
              </w:rPr>
              <w:t xml:space="preserve"> du filet, pompage, durée de transfert et de stockage. Source : carnet de pêche, séries temporelles du système REM, registre de l’observateur, registres de la Direction/de l’IMR.</w:t>
            </w:r>
          </w:p>
        </w:tc>
      </w:tr>
      <w:tr w:rsidR="00E727B9" w:rsidRPr="0048521D" w14:paraId="53549EF6" w14:textId="77777777" w:rsidTr="005833E8">
        <w:trPr>
          <w:jc w:val="center"/>
        </w:trPr>
        <w:tc>
          <w:tcPr>
            <w:tcW w:w="2268" w:type="dxa"/>
          </w:tcPr>
          <w:p w14:paraId="0A45CC36"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Données de position</w:t>
            </w:r>
          </w:p>
        </w:tc>
        <w:tc>
          <w:tcPr>
            <w:tcW w:w="6236" w:type="dxa"/>
          </w:tcPr>
          <w:p w14:paraId="32B7E18D"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Position du navire toutes les 10 secondes du VMS/de l’ERS ; positions de la calée et du transfert ; itinéraire du remorquage le cas échéant. Source : VMS/AIS/ERS.</w:t>
            </w:r>
          </w:p>
        </w:tc>
      </w:tr>
      <w:tr w:rsidR="00E727B9" w:rsidRPr="0048521D" w14:paraId="4AF46023" w14:textId="77777777" w:rsidTr="005833E8">
        <w:trPr>
          <w:jc w:val="center"/>
        </w:trPr>
        <w:tc>
          <w:tcPr>
            <w:tcW w:w="2268" w:type="dxa"/>
          </w:tcPr>
          <w:p w14:paraId="70631ACE"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Estimation des captures</w:t>
            </w:r>
          </w:p>
        </w:tc>
        <w:tc>
          <w:tcPr>
            <w:tcW w:w="6236" w:type="dxa"/>
          </w:tcPr>
          <w:p w14:paraId="25085011"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Estimation du ROP, estimation du navire, estimations acoustiques/optiques, documents de transfert et toute vérification post-opérations.</w:t>
            </w:r>
          </w:p>
        </w:tc>
      </w:tr>
      <w:tr w:rsidR="00E727B9" w:rsidRPr="0048521D" w14:paraId="7B672E78" w14:textId="77777777" w:rsidTr="005833E8">
        <w:trPr>
          <w:jc w:val="center"/>
        </w:trPr>
        <w:tc>
          <w:tcPr>
            <w:tcW w:w="2268" w:type="dxa"/>
          </w:tcPr>
          <w:p w14:paraId="1C18EEE4"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Espèces et prises accessoires</w:t>
            </w:r>
          </w:p>
        </w:tc>
        <w:tc>
          <w:tcPr>
            <w:tcW w:w="6236" w:type="dxa"/>
          </w:tcPr>
          <w:p w14:paraId="039161F2"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 xml:space="preserve">Identification de thons rouges, espèces de prises accessoires, remises à l’eau et mortalité. </w:t>
            </w:r>
          </w:p>
        </w:tc>
      </w:tr>
      <w:tr w:rsidR="00E727B9" w:rsidRPr="0048521D" w14:paraId="3A018168" w14:textId="77777777" w:rsidTr="005833E8">
        <w:trPr>
          <w:jc w:val="center"/>
        </w:trPr>
        <w:tc>
          <w:tcPr>
            <w:tcW w:w="2268" w:type="dxa"/>
          </w:tcPr>
          <w:p w14:paraId="406E9C38"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Taille/poids des poissons</w:t>
            </w:r>
          </w:p>
        </w:tc>
        <w:tc>
          <w:tcPr>
            <w:tcW w:w="6236" w:type="dxa"/>
          </w:tcPr>
          <w:p w14:paraId="6E6BD619"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Nombre, taille et poids estimés des thons rouges. Estimation à partir de la caméra conventionnelle, de la caméra stéréoscopique et du système acoustique.</w:t>
            </w:r>
          </w:p>
        </w:tc>
      </w:tr>
      <w:tr w:rsidR="00E727B9" w:rsidRPr="0048521D" w14:paraId="6332C4F5" w14:textId="77777777" w:rsidTr="005833E8">
        <w:trPr>
          <w:jc w:val="center"/>
        </w:trPr>
        <w:tc>
          <w:tcPr>
            <w:tcW w:w="2268" w:type="dxa"/>
          </w:tcPr>
          <w:p w14:paraId="66CE443A"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Performance du système</w:t>
            </w:r>
          </w:p>
        </w:tc>
        <w:tc>
          <w:tcPr>
            <w:tcW w:w="6236" w:type="dxa"/>
          </w:tcPr>
          <w:p w14:paraId="121C4FEC" w14:textId="77777777" w:rsidR="00E727B9" w:rsidRPr="0048521D" w:rsidRDefault="00E727B9" w:rsidP="00801359">
            <w:pPr>
              <w:widowControl/>
              <w:spacing w:line="220" w:lineRule="exact"/>
              <w:rPr>
                <w:rFonts w:ascii="Cambria" w:eastAsia="MS Mincho" w:hAnsi="Cambria"/>
                <w:sz w:val="20"/>
                <w:szCs w:val="20"/>
              </w:rPr>
            </w:pPr>
            <w:r w:rsidRPr="0048521D">
              <w:rPr>
                <w:rFonts w:ascii="Cambria" w:hAnsi="Cambria"/>
                <w:sz w:val="20"/>
                <w:szCs w:val="20"/>
              </w:rPr>
              <w:t>Temps de fonctionnement du REM, obstruction de la caméra, panne de courant, défaillance des capteurs, perte de données, erreurs de synchronisation temporelle et mesures rectificatives.</w:t>
            </w:r>
          </w:p>
        </w:tc>
      </w:tr>
    </w:tbl>
    <w:p w14:paraId="7D7C41A0" w14:textId="77777777" w:rsidR="00E727B9" w:rsidRPr="0048521D" w:rsidRDefault="00E727B9" w:rsidP="007F11AE">
      <w:pPr>
        <w:pStyle w:val="ListParagraph"/>
        <w:widowControl/>
        <w:tabs>
          <w:tab w:val="left" w:pos="851"/>
        </w:tabs>
        <w:spacing w:line="240" w:lineRule="exact"/>
        <w:ind w:left="851"/>
        <w:rPr>
          <w:rFonts w:ascii="Cambria" w:eastAsia="MS Mincho" w:hAnsi="Cambria"/>
          <w:kern w:val="0"/>
          <w:sz w:val="20"/>
          <w:szCs w:val="20"/>
          <w:lang w:eastAsia="en-US"/>
        </w:rPr>
      </w:pPr>
    </w:p>
    <w:p w14:paraId="32D79541" w14:textId="77777777" w:rsidR="00636AC6" w:rsidRPr="0048521D" w:rsidRDefault="00636AC6" w:rsidP="007F11AE">
      <w:pPr>
        <w:pStyle w:val="ListParagraph"/>
        <w:widowControl/>
        <w:tabs>
          <w:tab w:val="left" w:pos="851"/>
        </w:tabs>
        <w:spacing w:line="240" w:lineRule="exact"/>
        <w:ind w:left="851"/>
        <w:rPr>
          <w:rFonts w:ascii="Cambria" w:eastAsia="MS Mincho" w:hAnsi="Cambria"/>
          <w:b/>
          <w:bCs/>
          <w:kern w:val="0"/>
          <w:sz w:val="20"/>
          <w:szCs w:val="20"/>
          <w:lang w:eastAsia="en-US"/>
        </w:rPr>
      </w:pPr>
    </w:p>
    <w:p w14:paraId="1718F943" w14:textId="7642B6BC" w:rsidR="00636AC6" w:rsidRPr="0048521D" w:rsidRDefault="00636AC6" w:rsidP="00D949C5">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8. </w:t>
      </w:r>
      <w:r w:rsidRPr="0048521D">
        <w:rPr>
          <w:rFonts w:ascii="Cambria" w:hAnsi="Cambria"/>
          <w:b/>
          <w:bCs/>
          <w:sz w:val="20"/>
          <w:szCs w:val="20"/>
        </w:rPr>
        <w:tab/>
        <w:t>Protocole d’examen et analyse</w:t>
      </w:r>
    </w:p>
    <w:p w14:paraId="7A02C62D" w14:textId="77777777" w:rsidR="00D949C5" w:rsidRPr="0048521D" w:rsidRDefault="00D949C5" w:rsidP="00D949C5">
      <w:pPr>
        <w:widowControl/>
        <w:tabs>
          <w:tab w:val="left" w:pos="426"/>
        </w:tabs>
        <w:spacing w:line="220" w:lineRule="exact"/>
        <w:jc w:val="left"/>
        <w:rPr>
          <w:rFonts w:ascii="Cambria" w:eastAsia="MS Mincho" w:hAnsi="Cambria"/>
          <w:kern w:val="0"/>
          <w:sz w:val="20"/>
          <w:szCs w:val="20"/>
          <w:lang w:eastAsia="en-US"/>
        </w:rPr>
      </w:pPr>
    </w:p>
    <w:p w14:paraId="341F47A6" w14:textId="332E2045" w:rsidR="00636AC6" w:rsidRPr="0048521D" w:rsidRDefault="00636AC6" w:rsidP="00D949C5">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Étant donné que les opérations de pêche avec un seul navire seront en nombre limité, l’approche prévue consiste en un examen de l’intégralité des événements déterminés liés à la pêche, au transfert, à la remise à l'eau, à la mortalité et aux défaillances du système, plutôt qu’en un taux d’examen aléatoire faible. L’enregistrement continu des caméras pourrait produire plus d’images que nécessaire pour un examen </w:t>
      </w:r>
      <w:r w:rsidRPr="0048521D">
        <w:rPr>
          <w:rFonts w:ascii="Cambria" w:hAnsi="Cambria"/>
          <w:sz w:val="20"/>
          <w:szCs w:val="20"/>
        </w:rPr>
        <w:lastRenderedPageBreak/>
        <w:t>manuel complet ; par conséquent, le protocole d’examen devrait, dans l’idéal, définir des évènements déclencheurs, des périodes d’examen et des vérifications croisées.</w:t>
      </w:r>
    </w:p>
    <w:p w14:paraId="3517F8ED" w14:textId="77777777" w:rsidR="00D949C5" w:rsidRPr="0048521D" w:rsidRDefault="00D949C5" w:rsidP="00D949C5">
      <w:pPr>
        <w:widowControl/>
        <w:tabs>
          <w:tab w:val="left" w:pos="426"/>
        </w:tabs>
        <w:spacing w:line="220" w:lineRule="exact"/>
        <w:rPr>
          <w:rFonts w:ascii="Cambria" w:eastAsia="MS Mincho" w:hAnsi="Cambria"/>
          <w:kern w:val="0"/>
          <w:sz w:val="20"/>
          <w:szCs w:val="20"/>
          <w:lang w:eastAsia="en-US"/>
        </w:rPr>
      </w:pPr>
    </w:p>
    <w:p w14:paraId="2F0C69A5" w14:textId="77777777" w:rsidR="00636AC6" w:rsidRPr="0048521D" w:rsidRDefault="00636AC6" w:rsidP="00D949C5">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Protocole d’examen :</w:t>
      </w:r>
    </w:p>
    <w:p w14:paraId="7E430097" w14:textId="77777777" w:rsidR="007652A3" w:rsidRPr="0048521D" w:rsidRDefault="007652A3" w:rsidP="00D949C5">
      <w:pPr>
        <w:widowControl/>
        <w:tabs>
          <w:tab w:val="left" w:pos="426"/>
        </w:tabs>
        <w:spacing w:line="220" w:lineRule="exact"/>
        <w:rPr>
          <w:rFonts w:ascii="Cambria" w:eastAsia="MS Mincho" w:hAnsi="Cambria"/>
          <w:kern w:val="0"/>
          <w:sz w:val="20"/>
          <w:szCs w:val="20"/>
          <w:lang w:eastAsia="en-US"/>
        </w:rPr>
      </w:pPr>
    </w:p>
    <w:p w14:paraId="0A3DBD94" w14:textId="1319A0B1" w:rsidR="00636AC6" w:rsidRPr="0048521D"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Examiner l’intégralité des images de chaque calée à la senne au moins 30 minutes avant le mouillage du filet et jusqu’à ce que l’opération soit achevée ou abandonnée.</w:t>
      </w:r>
    </w:p>
    <w:p w14:paraId="7D9E9A0C" w14:textId="7F9DCD8E" w:rsidR="00636AC6" w:rsidRPr="0048521D"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Examiner l'intégralité des évènements de transfert, de remise à l'eau, de mortalité, de prises accessoires et d’interventions en matière de bien-être des poissons.</w:t>
      </w:r>
    </w:p>
    <w:p w14:paraId="4888C2E8" w14:textId="500F08DA" w:rsidR="00636AC6" w:rsidRPr="0048521D"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Contre-vérifier les événements du système REM avec les notes du ROP, les entrées des carnets de pêche, les documents de transfert, les entrées de l’eBCD, les observations de l’IMR et les notes d’inspection de la Direction.</w:t>
      </w:r>
    </w:p>
    <w:p w14:paraId="41AA248F" w14:textId="7396860C" w:rsidR="00636AC6" w:rsidRPr="0048521D"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Produire un journal d’événements avec des ID uniques des événements, un horodatage, des coordonnées géographiques, des séquences vidéo pertinentes, les conclusions des analystes et le résultat de la vérification croisée.</w:t>
      </w:r>
    </w:p>
    <w:p w14:paraId="0CD6D940" w14:textId="1BBEB026" w:rsidR="00636AC6" w:rsidRPr="0048521D" w:rsidRDefault="00636AC6" w:rsidP="007652A3">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Classer les conclusions en tant qu’observation scientifique, problème opérationnel, problème de bien-être des poissons, problème de qualité des données ou problème d’application potentiel.</w:t>
      </w:r>
    </w:p>
    <w:p w14:paraId="2537BFEA" w14:textId="77777777" w:rsidR="00AF1D90" w:rsidRPr="0048521D" w:rsidRDefault="00AF1D90" w:rsidP="00AF1D90">
      <w:pPr>
        <w:pStyle w:val="ListParagraph"/>
        <w:widowControl/>
        <w:tabs>
          <w:tab w:val="left" w:pos="851"/>
        </w:tabs>
        <w:spacing w:line="240" w:lineRule="exact"/>
        <w:ind w:left="851"/>
        <w:rPr>
          <w:rFonts w:ascii="Cambria" w:eastAsia="MS Mincho" w:hAnsi="Cambria"/>
          <w:kern w:val="0"/>
          <w:sz w:val="20"/>
          <w:szCs w:val="20"/>
          <w:lang w:eastAsia="en-US"/>
        </w:rPr>
      </w:pPr>
    </w:p>
    <w:p w14:paraId="72FC4B83" w14:textId="77777777" w:rsidR="003106F8" w:rsidRPr="0048521D" w:rsidRDefault="003106F8" w:rsidP="00AF1D90">
      <w:pPr>
        <w:pStyle w:val="ListParagraph"/>
        <w:widowControl/>
        <w:tabs>
          <w:tab w:val="left" w:pos="851"/>
        </w:tabs>
        <w:spacing w:line="240" w:lineRule="exact"/>
        <w:ind w:left="851"/>
        <w:rPr>
          <w:rFonts w:ascii="Cambria" w:eastAsia="MS Mincho" w:hAnsi="Cambria"/>
          <w:kern w:val="0"/>
          <w:sz w:val="20"/>
          <w:szCs w:val="20"/>
          <w:lang w:eastAsia="en-US"/>
        </w:rPr>
      </w:pPr>
    </w:p>
    <w:p w14:paraId="115472FD" w14:textId="2912E428" w:rsidR="00E340B8" w:rsidRPr="0048521D" w:rsidRDefault="00E340B8" w:rsidP="009F7C8D">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9. </w:t>
      </w:r>
      <w:r w:rsidRPr="0048521D">
        <w:rPr>
          <w:rFonts w:ascii="Cambria" w:hAnsi="Cambria"/>
          <w:b/>
          <w:bCs/>
          <w:sz w:val="20"/>
          <w:szCs w:val="20"/>
        </w:rPr>
        <w:tab/>
        <w:t>Dysfonctionnement, falsification et procédures d’urgence</w:t>
      </w:r>
    </w:p>
    <w:p w14:paraId="07B73205" w14:textId="77777777" w:rsidR="009F7C8D" w:rsidRPr="0048521D" w:rsidRDefault="009F7C8D" w:rsidP="009F7C8D">
      <w:pPr>
        <w:widowControl/>
        <w:tabs>
          <w:tab w:val="left" w:pos="426"/>
        </w:tabs>
        <w:spacing w:line="220" w:lineRule="exact"/>
        <w:jc w:val="left"/>
        <w:rPr>
          <w:rFonts w:ascii="Cambria" w:eastAsia="MS Mincho" w:hAnsi="Cambria"/>
          <w:b/>
          <w:bCs/>
          <w:kern w:val="0"/>
          <w:sz w:val="20"/>
          <w:szCs w:val="20"/>
          <w:lang w:eastAsia="en-US"/>
        </w:rPr>
      </w:pPr>
    </w:p>
    <w:p w14:paraId="76BAF64C" w14:textId="6FCC0E80" w:rsidR="00AF1D90" w:rsidRPr="0048521D" w:rsidRDefault="00E340B8" w:rsidP="009F7C8D">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La Recommandation 23-18 exige une déclaration claire des dysfonctionnements et des dispositions d’urgence. Les orientations écossaises sur le système REM comportent également des procédures relatives aux données et aux défaillances. Pour ce projet pilote, la Norvège devrait définir des procédures plus strictes que les procédures minimales car l’opération est brève et ne pas être facilement répétée.</w:t>
      </w:r>
    </w:p>
    <w:p w14:paraId="3CE1E067" w14:textId="77777777" w:rsidR="00296F20" w:rsidRPr="0048521D" w:rsidRDefault="00296F20" w:rsidP="00E340B8">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5"/>
        <w:tblW w:w="0" w:type="auto"/>
        <w:jc w:val="center"/>
        <w:tblLook w:val="04A0" w:firstRow="1" w:lastRow="0" w:firstColumn="1" w:lastColumn="0" w:noHBand="0" w:noVBand="1"/>
      </w:tblPr>
      <w:tblGrid>
        <w:gridCol w:w="2268"/>
        <w:gridCol w:w="6236"/>
      </w:tblGrid>
      <w:tr w:rsidR="00296F20" w:rsidRPr="0048521D" w14:paraId="39B2477E" w14:textId="77777777" w:rsidTr="009F7C8D">
        <w:trPr>
          <w:jc w:val="center"/>
        </w:trPr>
        <w:tc>
          <w:tcPr>
            <w:tcW w:w="2268" w:type="dxa"/>
          </w:tcPr>
          <w:p w14:paraId="766348DA" w14:textId="77777777" w:rsidR="00296F20" w:rsidRPr="0048521D" w:rsidRDefault="00296F20" w:rsidP="009F7C8D">
            <w:pPr>
              <w:widowControl/>
              <w:jc w:val="center"/>
              <w:rPr>
                <w:rFonts w:ascii="Cambria" w:eastAsia="MS Mincho" w:hAnsi="Cambria"/>
                <w:bCs/>
                <w:i/>
                <w:iCs/>
                <w:sz w:val="20"/>
                <w:szCs w:val="20"/>
              </w:rPr>
            </w:pPr>
            <w:r w:rsidRPr="0048521D">
              <w:rPr>
                <w:rFonts w:ascii="Cambria" w:hAnsi="Cambria"/>
                <w:bCs/>
                <w:i/>
                <w:iCs/>
                <w:sz w:val="20"/>
                <w:szCs w:val="20"/>
              </w:rPr>
              <w:t>Procédure</w:t>
            </w:r>
          </w:p>
        </w:tc>
        <w:tc>
          <w:tcPr>
            <w:tcW w:w="6236" w:type="dxa"/>
          </w:tcPr>
          <w:p w14:paraId="59EED019" w14:textId="77777777" w:rsidR="00296F20" w:rsidRPr="0048521D" w:rsidRDefault="00296F20" w:rsidP="009F7C8D">
            <w:pPr>
              <w:widowControl/>
              <w:jc w:val="center"/>
              <w:rPr>
                <w:rFonts w:ascii="Cambria" w:eastAsia="MS Mincho" w:hAnsi="Cambria"/>
                <w:bCs/>
                <w:i/>
                <w:iCs/>
                <w:sz w:val="20"/>
                <w:szCs w:val="20"/>
              </w:rPr>
            </w:pPr>
            <w:r w:rsidRPr="0048521D">
              <w:rPr>
                <w:rFonts w:ascii="Cambria" w:hAnsi="Cambria"/>
                <w:bCs/>
                <w:i/>
                <w:iCs/>
                <w:sz w:val="20"/>
                <w:szCs w:val="20"/>
              </w:rPr>
              <w:t>Exigence provisoire</w:t>
            </w:r>
          </w:p>
        </w:tc>
      </w:tr>
      <w:tr w:rsidR="00296F20" w:rsidRPr="0048521D" w14:paraId="32C43AF0" w14:textId="77777777" w:rsidTr="005833E8">
        <w:trPr>
          <w:jc w:val="center"/>
        </w:trPr>
        <w:tc>
          <w:tcPr>
            <w:tcW w:w="2268" w:type="dxa"/>
          </w:tcPr>
          <w:p w14:paraId="076D82A5"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Test préalable au départ</w:t>
            </w:r>
          </w:p>
        </w:tc>
        <w:tc>
          <w:tcPr>
            <w:tcW w:w="6236" w:type="dxa"/>
          </w:tcPr>
          <w:p w14:paraId="0F39AD91"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Procéder à un test complet du système avant le départ.</w:t>
            </w:r>
          </w:p>
        </w:tc>
      </w:tr>
      <w:tr w:rsidR="00296F20" w:rsidRPr="0048521D" w14:paraId="0B270651" w14:textId="77777777" w:rsidTr="005833E8">
        <w:trPr>
          <w:jc w:val="center"/>
        </w:trPr>
        <w:tc>
          <w:tcPr>
            <w:tcW w:w="2268" w:type="dxa"/>
          </w:tcPr>
          <w:p w14:paraId="2D15E9EC"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Vérifications quotidiennes</w:t>
            </w:r>
          </w:p>
        </w:tc>
        <w:tc>
          <w:tcPr>
            <w:tcW w:w="6236" w:type="dxa"/>
          </w:tcPr>
          <w:p w14:paraId="3CBBC951"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Le capitaine ou un membre d’équipage désigné vérifie quotidiennement l’état du système.</w:t>
            </w:r>
          </w:p>
        </w:tc>
      </w:tr>
      <w:tr w:rsidR="00296F20" w:rsidRPr="0048521D" w14:paraId="47DA51F4" w14:textId="77777777" w:rsidTr="005833E8">
        <w:trPr>
          <w:jc w:val="center"/>
        </w:trPr>
        <w:tc>
          <w:tcPr>
            <w:tcW w:w="2268" w:type="dxa"/>
          </w:tcPr>
          <w:p w14:paraId="7329F563"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Notification des défaillances</w:t>
            </w:r>
          </w:p>
        </w:tc>
        <w:tc>
          <w:tcPr>
            <w:tcW w:w="6236" w:type="dxa"/>
          </w:tcPr>
          <w:p w14:paraId="2BB7DE5D"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Tout cas de dysfonctionnement, de panne de courant, d’obstruction des caméras, de défaillance des capteurs ou de perte de données doit être immédiatement enregistré dans le journal d’événements et notifié au point de contact de la Direction.</w:t>
            </w:r>
          </w:p>
        </w:tc>
      </w:tr>
      <w:tr w:rsidR="00296F20" w:rsidRPr="0048521D" w14:paraId="4B7A596E" w14:textId="77777777" w:rsidTr="005833E8">
        <w:trPr>
          <w:jc w:val="center"/>
        </w:trPr>
        <w:tc>
          <w:tcPr>
            <w:tcW w:w="2268" w:type="dxa"/>
          </w:tcPr>
          <w:p w14:paraId="1D86D203"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Protection contre les manipulations</w:t>
            </w:r>
          </w:p>
        </w:tc>
        <w:tc>
          <w:tcPr>
            <w:tcW w:w="6236" w:type="dxa"/>
          </w:tcPr>
          <w:p w14:paraId="583384CC"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Toute preuve d’obstruction délibérée, de désactivation, de manipulation, de suppression ou d’accès non-autorisé doit être communiquée au point de contact d’application de la Direction.</w:t>
            </w:r>
          </w:p>
        </w:tc>
      </w:tr>
      <w:tr w:rsidR="00296F20" w:rsidRPr="0048521D" w14:paraId="44E0B1B5" w14:textId="77777777" w:rsidTr="005833E8">
        <w:trPr>
          <w:jc w:val="center"/>
        </w:trPr>
        <w:tc>
          <w:tcPr>
            <w:tcW w:w="2268" w:type="dxa"/>
          </w:tcPr>
          <w:p w14:paraId="2FC5AA34"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Recoupement des données après la sortie en mer</w:t>
            </w:r>
          </w:p>
        </w:tc>
        <w:tc>
          <w:tcPr>
            <w:tcW w:w="6236" w:type="dxa"/>
          </w:tcPr>
          <w:p w14:paraId="4D1F4D2E" w14:textId="77777777" w:rsidR="00296F20" w:rsidRPr="0048521D" w:rsidRDefault="00296F20" w:rsidP="009F7C8D">
            <w:pPr>
              <w:widowControl/>
              <w:spacing w:line="220" w:lineRule="exact"/>
              <w:rPr>
                <w:rFonts w:ascii="Cambria" w:eastAsia="MS Mincho" w:hAnsi="Cambria"/>
                <w:sz w:val="20"/>
                <w:szCs w:val="20"/>
              </w:rPr>
            </w:pPr>
            <w:r w:rsidRPr="0048521D">
              <w:rPr>
                <w:rFonts w:ascii="Cambria" w:hAnsi="Cambria"/>
                <w:sz w:val="20"/>
                <w:szCs w:val="20"/>
              </w:rPr>
              <w:t>Toutes les pannes du système et tous les angles morts doivent être documentés dans le rapport de mise en œuvre avec les mesures rectificatives.</w:t>
            </w:r>
          </w:p>
        </w:tc>
      </w:tr>
    </w:tbl>
    <w:p w14:paraId="53B8DF81" w14:textId="77777777" w:rsidR="00296F20" w:rsidRPr="0048521D" w:rsidRDefault="00296F20" w:rsidP="00E340B8">
      <w:pPr>
        <w:pStyle w:val="ListParagraph"/>
        <w:widowControl/>
        <w:tabs>
          <w:tab w:val="left" w:pos="851"/>
        </w:tabs>
        <w:spacing w:line="240" w:lineRule="exact"/>
        <w:ind w:left="851"/>
        <w:rPr>
          <w:rFonts w:ascii="Cambria" w:eastAsia="MS Mincho" w:hAnsi="Cambria"/>
          <w:kern w:val="0"/>
          <w:sz w:val="20"/>
          <w:szCs w:val="20"/>
          <w:lang w:eastAsia="en-US"/>
        </w:rPr>
      </w:pPr>
    </w:p>
    <w:p w14:paraId="48241B21" w14:textId="77777777" w:rsidR="007E16B8" w:rsidRPr="0048521D" w:rsidRDefault="007E16B8" w:rsidP="00E340B8">
      <w:pPr>
        <w:pStyle w:val="ListParagraph"/>
        <w:widowControl/>
        <w:tabs>
          <w:tab w:val="left" w:pos="851"/>
        </w:tabs>
        <w:spacing w:line="240" w:lineRule="exact"/>
        <w:ind w:left="851"/>
        <w:rPr>
          <w:rFonts w:ascii="Cambria" w:eastAsia="MS Mincho" w:hAnsi="Cambria"/>
          <w:kern w:val="0"/>
          <w:sz w:val="20"/>
          <w:szCs w:val="20"/>
          <w:lang w:eastAsia="en-US"/>
        </w:rPr>
      </w:pPr>
    </w:p>
    <w:p w14:paraId="3D14DBEC" w14:textId="2401E198" w:rsidR="00991B72" w:rsidRPr="0048521D" w:rsidRDefault="00991B72" w:rsidP="007E16B8">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10. </w:t>
      </w:r>
      <w:r w:rsidRPr="0048521D">
        <w:rPr>
          <w:rFonts w:ascii="Cambria" w:hAnsi="Cambria"/>
          <w:b/>
          <w:bCs/>
          <w:sz w:val="20"/>
          <w:szCs w:val="20"/>
        </w:rPr>
        <w:tab/>
        <w:t>Gestion, confidentialité et conservation des données</w:t>
      </w:r>
    </w:p>
    <w:p w14:paraId="07E4F37B" w14:textId="77777777" w:rsidR="007E16B8" w:rsidRPr="0048521D" w:rsidRDefault="007E16B8" w:rsidP="007E16B8">
      <w:pPr>
        <w:widowControl/>
        <w:tabs>
          <w:tab w:val="left" w:pos="426"/>
        </w:tabs>
        <w:spacing w:line="220" w:lineRule="exact"/>
        <w:jc w:val="left"/>
        <w:rPr>
          <w:rFonts w:ascii="Cambria" w:eastAsia="MS Mincho" w:hAnsi="Cambria"/>
          <w:kern w:val="0"/>
          <w:sz w:val="20"/>
          <w:szCs w:val="20"/>
          <w:lang w:eastAsia="en-US"/>
        </w:rPr>
      </w:pPr>
    </w:p>
    <w:p w14:paraId="6445C838" w14:textId="076A79C7" w:rsidR="00991B72" w:rsidRPr="0048521D" w:rsidRDefault="00991B72" w:rsidP="007E16B8">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Le modèle écossais du système REM impose une transmission automatique sécurisée des données des capteurs/de positionnement toutes les 24 heures au moins, un transfert sécurisé de la vidéo dans les délais impartis ou sur demande et la conservation des données pendant un an dans le cadre du régime écossais. La </w:t>
      </w:r>
      <w:hyperlink r:id="rId14" w:history="1">
        <w:r w:rsidRPr="0048521D">
          <w:rPr>
            <w:rStyle w:val="Hyperlink"/>
            <w:rFonts w:ascii="Cambria" w:hAnsi="Cambria"/>
            <w:sz w:val="20"/>
            <w:szCs w:val="20"/>
            <w:u w:val="none"/>
          </w:rPr>
          <w:t>Rec.</w:t>
        </w:r>
      </w:hyperlink>
      <w:hyperlink r:id="rId15" w:history="1">
        <w:r w:rsidRPr="0048521D">
          <w:rPr>
            <w:rStyle w:val="Hyperlink"/>
            <w:rFonts w:ascii="Cambria" w:hAnsi="Cambria"/>
            <w:sz w:val="20"/>
            <w:szCs w:val="20"/>
            <w:u w:val="none"/>
          </w:rPr>
          <w:t xml:space="preserve"> 23-18 </w:t>
        </w:r>
      </w:hyperlink>
      <w:r w:rsidRPr="0048521D">
        <w:rPr>
          <w:rFonts w:ascii="Cambria" w:hAnsi="Cambria"/>
          <w:sz w:val="20"/>
          <w:szCs w:val="20"/>
        </w:rPr>
        <w:t>de l’ICCAT prévoit une solide chaîne de traçabilité, une confidentialité absolue, la gestion sécurisée des données et la conservation de la vidéo examinée pendant trois ans au moins sauf si la réglementation nationale en dispose autrement. Ce projet pilote appliquera les normes de l’ICCAT les plus strictes en matière de gestion des données :</w:t>
      </w:r>
    </w:p>
    <w:p w14:paraId="71A15C12" w14:textId="77777777" w:rsidR="007E16B8" w:rsidRPr="0048521D" w:rsidRDefault="007E16B8" w:rsidP="007E16B8">
      <w:pPr>
        <w:widowControl/>
        <w:tabs>
          <w:tab w:val="left" w:pos="426"/>
        </w:tabs>
        <w:spacing w:line="220" w:lineRule="exact"/>
        <w:rPr>
          <w:rFonts w:ascii="Cambria" w:eastAsia="MS Mincho" w:hAnsi="Cambria"/>
          <w:kern w:val="0"/>
          <w:sz w:val="20"/>
          <w:szCs w:val="20"/>
          <w:lang w:eastAsia="en-US"/>
        </w:rPr>
      </w:pPr>
    </w:p>
    <w:p w14:paraId="641F043A" w14:textId="0BC5A08A" w:rsidR="00991B72" w:rsidRPr="0048521D"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Les données brutes des vidéos, des capteurs et de positionnement du système REM devraient être conservées intactes depuis l'enregistrement jusqu’à l’examen, avec une somme de contrôle ou des contrôles d’intégrité équivalents dans la mesure du possible.</w:t>
      </w:r>
    </w:p>
    <w:p w14:paraId="14F216E4" w14:textId="15407296" w:rsidR="00991B72" w:rsidRPr="0048521D"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Une copie de toutes les données du système REM en rapport avec le projet pilote devrait être mise à la disposition de la Direction et, si nécessaire, de l’IMR à des fins d’analyse scientifique dans le cadre des conditions de confidentialité convenues.</w:t>
      </w:r>
    </w:p>
    <w:p w14:paraId="2664D8EF" w14:textId="2FF73F3D" w:rsidR="00991B72" w:rsidRPr="0048521D"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lastRenderedPageBreak/>
        <w:t>Les images des événements examinées et les journaux d’événements devraient être conservés pendant trois ans au moins après examen, ou pendant plus longtemps si nécessaire à des fins de procédures d’application, de reproductibilité scientifique ou de déclaration à l’ICCAT.</w:t>
      </w:r>
    </w:p>
    <w:p w14:paraId="05E313D5" w14:textId="367BBEDD" w:rsidR="00991B72" w:rsidRPr="0048521D" w:rsidRDefault="00991B72" w:rsidP="007E16B8">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 xml:space="preserve">L’accès à la vidéo brute devrait être basé sur des rôles et être enregistré. </w:t>
      </w:r>
    </w:p>
    <w:p w14:paraId="4F1E7E3E" w14:textId="77777777" w:rsidR="007E16B8" w:rsidRPr="0048521D" w:rsidRDefault="007E16B8" w:rsidP="007E16B8">
      <w:pPr>
        <w:widowControl/>
        <w:tabs>
          <w:tab w:val="left" w:pos="851"/>
        </w:tabs>
        <w:spacing w:line="240" w:lineRule="exact"/>
        <w:rPr>
          <w:rFonts w:ascii="Cambria" w:eastAsia="MS Mincho" w:hAnsi="Cambria"/>
          <w:kern w:val="0"/>
          <w:sz w:val="20"/>
          <w:szCs w:val="20"/>
          <w:lang w:eastAsia="en-US"/>
        </w:rPr>
      </w:pPr>
    </w:p>
    <w:p w14:paraId="27D85EFD" w14:textId="77777777" w:rsidR="007E16B8" w:rsidRPr="0048521D" w:rsidRDefault="007E16B8" w:rsidP="007E16B8">
      <w:pPr>
        <w:widowControl/>
        <w:tabs>
          <w:tab w:val="left" w:pos="851"/>
        </w:tabs>
        <w:spacing w:line="240" w:lineRule="exact"/>
        <w:rPr>
          <w:rFonts w:ascii="Cambria" w:eastAsia="MS Mincho" w:hAnsi="Cambria"/>
          <w:kern w:val="0"/>
          <w:sz w:val="20"/>
          <w:szCs w:val="20"/>
          <w:lang w:eastAsia="en-US"/>
        </w:rPr>
      </w:pPr>
    </w:p>
    <w:p w14:paraId="737C7F09" w14:textId="73942B8C" w:rsidR="00991B72" w:rsidRPr="0048521D" w:rsidRDefault="00991B72" w:rsidP="007E16B8">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11. </w:t>
      </w:r>
      <w:r w:rsidRPr="0048521D">
        <w:rPr>
          <w:rFonts w:ascii="Cambria" w:hAnsi="Cambria"/>
          <w:b/>
          <w:bCs/>
          <w:sz w:val="20"/>
          <w:szCs w:val="20"/>
        </w:rPr>
        <w:tab/>
        <w:t>Déclaration</w:t>
      </w:r>
    </w:p>
    <w:p w14:paraId="2AA10148" w14:textId="77777777" w:rsidR="007E16B8" w:rsidRPr="0048521D" w:rsidRDefault="007E16B8" w:rsidP="00991B72">
      <w:pPr>
        <w:pStyle w:val="ListParagraph"/>
        <w:widowControl/>
        <w:tabs>
          <w:tab w:val="left" w:pos="851"/>
        </w:tabs>
        <w:spacing w:line="240" w:lineRule="exact"/>
        <w:ind w:left="851"/>
        <w:rPr>
          <w:rFonts w:ascii="Cambria" w:eastAsia="MS Mincho" w:hAnsi="Cambria"/>
          <w:kern w:val="0"/>
          <w:sz w:val="20"/>
          <w:szCs w:val="20"/>
          <w:lang w:eastAsia="en-US"/>
        </w:rPr>
      </w:pPr>
    </w:p>
    <w:p w14:paraId="448F40CE" w14:textId="6035F33F" w:rsidR="00296F20" w:rsidRPr="0048521D" w:rsidRDefault="00991B72" w:rsidP="007E16B8">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 xml:space="preserve">Le programme devrait générer tant un rapport de mise en œuvre opérationnelle qu’un rapport scientifique. Si la Norvège considère cela comme un élément du programme EMS national en vertu de la </w:t>
      </w:r>
      <w:hyperlink r:id="rId16" w:history="1">
        <w:r w:rsidRPr="0048521D">
          <w:rPr>
            <w:rStyle w:val="Hyperlink"/>
            <w:rFonts w:ascii="Cambria" w:hAnsi="Cambria"/>
            <w:sz w:val="20"/>
            <w:szCs w:val="20"/>
            <w:u w:val="none"/>
          </w:rPr>
          <w:t>Rec.</w:t>
        </w:r>
      </w:hyperlink>
      <w:hyperlink r:id="rId17" w:history="1">
        <w:r w:rsidRPr="0048521D">
          <w:rPr>
            <w:rStyle w:val="Hyperlink"/>
            <w:rFonts w:ascii="Cambria" w:hAnsi="Cambria"/>
            <w:sz w:val="20"/>
            <w:szCs w:val="20"/>
            <w:u w:val="none"/>
          </w:rPr>
          <w:t xml:space="preserve"> 23-18</w:t>
        </w:r>
      </w:hyperlink>
      <w:r w:rsidRPr="0048521D">
        <w:rPr>
          <w:rFonts w:ascii="Cambria" w:hAnsi="Cambria"/>
          <w:sz w:val="20"/>
          <w:szCs w:val="20"/>
        </w:rPr>
        <w:t xml:space="preserve"> de l’ICCAT, la description du programme et la déclaration annuelle devraient être alignées sur les formulaires et les dates limites du système EMS de l’ICCAT. Le projet pilote de stockage de spécimens vivants comporte aussi des obligations de déclaration dans le cadre du projet pilote de l’ICCAT pour le stockage de courte durée de spécimens vivants.</w:t>
      </w:r>
    </w:p>
    <w:p w14:paraId="4EAE8D04" w14:textId="77777777" w:rsidR="00B778DF" w:rsidRPr="0048521D" w:rsidRDefault="00B778DF" w:rsidP="00991B72">
      <w:pPr>
        <w:pStyle w:val="ListParagraph"/>
        <w:widowControl/>
        <w:tabs>
          <w:tab w:val="left" w:pos="851"/>
        </w:tabs>
        <w:spacing w:line="240" w:lineRule="exact"/>
        <w:ind w:left="851"/>
        <w:rPr>
          <w:rFonts w:ascii="Cambria" w:eastAsia="MS Mincho" w:hAnsi="Cambria"/>
          <w:kern w:val="0"/>
          <w:sz w:val="20"/>
          <w:szCs w:val="20"/>
          <w:lang w:eastAsia="en-US"/>
        </w:rPr>
      </w:pPr>
    </w:p>
    <w:tbl>
      <w:tblPr>
        <w:tblStyle w:val="TableGrid6"/>
        <w:tblW w:w="0" w:type="auto"/>
        <w:jc w:val="center"/>
        <w:tblLook w:val="04A0" w:firstRow="1" w:lastRow="0" w:firstColumn="1" w:lastColumn="0" w:noHBand="0" w:noVBand="1"/>
      </w:tblPr>
      <w:tblGrid>
        <w:gridCol w:w="2268"/>
        <w:gridCol w:w="6236"/>
      </w:tblGrid>
      <w:tr w:rsidR="00B778DF" w:rsidRPr="0048521D" w14:paraId="407DCFED" w14:textId="77777777" w:rsidTr="00C23370">
        <w:trPr>
          <w:jc w:val="center"/>
        </w:trPr>
        <w:tc>
          <w:tcPr>
            <w:tcW w:w="2268" w:type="dxa"/>
          </w:tcPr>
          <w:p w14:paraId="4B22F193" w14:textId="77777777" w:rsidR="00B778DF" w:rsidRPr="0048521D" w:rsidRDefault="00B778DF" w:rsidP="00C23370">
            <w:pPr>
              <w:widowControl/>
              <w:jc w:val="center"/>
              <w:rPr>
                <w:rFonts w:ascii="Cambria" w:eastAsia="MS Mincho" w:hAnsi="Cambria"/>
                <w:bCs/>
                <w:i/>
                <w:iCs/>
                <w:sz w:val="20"/>
                <w:szCs w:val="20"/>
              </w:rPr>
            </w:pPr>
            <w:r w:rsidRPr="0048521D">
              <w:rPr>
                <w:rFonts w:ascii="Cambria" w:hAnsi="Cambria"/>
                <w:bCs/>
                <w:i/>
                <w:iCs/>
                <w:sz w:val="20"/>
                <w:szCs w:val="20"/>
              </w:rPr>
              <w:t>Calendrier</w:t>
            </w:r>
          </w:p>
        </w:tc>
        <w:tc>
          <w:tcPr>
            <w:tcW w:w="6236" w:type="dxa"/>
          </w:tcPr>
          <w:p w14:paraId="169A821A" w14:textId="77777777" w:rsidR="00B778DF" w:rsidRPr="0048521D" w:rsidRDefault="00B778DF" w:rsidP="00C23370">
            <w:pPr>
              <w:widowControl/>
              <w:jc w:val="center"/>
              <w:rPr>
                <w:rFonts w:ascii="Cambria" w:eastAsia="MS Mincho" w:hAnsi="Cambria"/>
                <w:bCs/>
                <w:i/>
                <w:iCs/>
                <w:sz w:val="20"/>
                <w:szCs w:val="20"/>
              </w:rPr>
            </w:pPr>
            <w:r w:rsidRPr="0048521D">
              <w:rPr>
                <w:rFonts w:ascii="Cambria" w:hAnsi="Cambria"/>
                <w:bCs/>
                <w:i/>
                <w:iCs/>
                <w:sz w:val="20"/>
                <w:szCs w:val="20"/>
              </w:rPr>
              <w:t>Résultats de la déclaration</w:t>
            </w:r>
          </w:p>
        </w:tc>
      </w:tr>
      <w:tr w:rsidR="00B778DF" w:rsidRPr="0048521D" w14:paraId="4A023219" w14:textId="77777777" w:rsidTr="005833E8">
        <w:trPr>
          <w:jc w:val="center"/>
        </w:trPr>
        <w:tc>
          <w:tcPr>
            <w:tcW w:w="2268" w:type="dxa"/>
          </w:tcPr>
          <w:p w14:paraId="359E7E95"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Avant la sortie de pêche</w:t>
            </w:r>
          </w:p>
        </w:tc>
        <w:tc>
          <w:tcPr>
            <w:tcW w:w="6236" w:type="dxa"/>
          </w:tcPr>
          <w:p w14:paraId="1C6AD88C" w14:textId="7330ECF6"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VMP approuvé ; annexe technique sur le navire et le REM ; liste du personnel ; confirmation du déploiement dans le cadre du ROP ; protocole scientifique ; protocole relatif au bien-être animal ; protocole d’accès aux données.</w:t>
            </w:r>
          </w:p>
        </w:tc>
      </w:tr>
      <w:tr w:rsidR="00B778DF" w:rsidRPr="0048521D" w14:paraId="1CDA5B1E" w14:textId="77777777" w:rsidTr="005833E8">
        <w:trPr>
          <w:jc w:val="center"/>
        </w:trPr>
        <w:tc>
          <w:tcPr>
            <w:tcW w:w="2268" w:type="dxa"/>
          </w:tcPr>
          <w:p w14:paraId="5148CE9C"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Pendant la sortie de pêche</w:t>
            </w:r>
          </w:p>
        </w:tc>
        <w:tc>
          <w:tcPr>
            <w:tcW w:w="6236" w:type="dxa"/>
          </w:tcPr>
          <w:p w14:paraId="712B153B"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Journal d’événements quotidiens ; notes/rapports quotidiens du ROP le cas échéant ; état du système REM ; notes d’observation de la Direction/de l’IMR ; registre des pannes.</w:t>
            </w:r>
          </w:p>
        </w:tc>
      </w:tr>
      <w:tr w:rsidR="00B778DF" w:rsidRPr="0048521D" w14:paraId="01DCE8CA" w14:textId="77777777" w:rsidTr="005833E8">
        <w:trPr>
          <w:jc w:val="center"/>
        </w:trPr>
        <w:tc>
          <w:tcPr>
            <w:tcW w:w="2268" w:type="dxa"/>
          </w:tcPr>
          <w:p w14:paraId="7FE649EA"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Après la sortie en mer</w:t>
            </w:r>
          </w:p>
        </w:tc>
        <w:tc>
          <w:tcPr>
            <w:tcW w:w="6236" w:type="dxa"/>
          </w:tcPr>
          <w:p w14:paraId="40AE82CE"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Rapport de mise en œuvre du système EMS ; évaluation des lacunes ; documentation du ROP ; rapport scientifique de l’IMR ; rapport sur la mortalité/le bien-être animal ; mesures rectificatives proposées avant tout futur projet pilote.</w:t>
            </w:r>
          </w:p>
        </w:tc>
      </w:tr>
      <w:tr w:rsidR="00B778DF" w:rsidRPr="0048521D" w14:paraId="6A52DD37" w14:textId="77777777" w:rsidTr="005833E8">
        <w:trPr>
          <w:jc w:val="center"/>
        </w:trPr>
        <w:tc>
          <w:tcPr>
            <w:tcW w:w="2268" w:type="dxa"/>
          </w:tcPr>
          <w:p w14:paraId="12DB3998" w14:textId="77777777"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Déclaration à l’ICCAT</w:t>
            </w:r>
          </w:p>
        </w:tc>
        <w:tc>
          <w:tcPr>
            <w:tcW w:w="6236" w:type="dxa"/>
          </w:tcPr>
          <w:p w14:paraId="7F3D3623" w14:textId="5E089BF1" w:rsidR="00B778DF" w:rsidRPr="0048521D" w:rsidRDefault="00B778DF" w:rsidP="00C23370">
            <w:pPr>
              <w:widowControl/>
              <w:spacing w:line="220" w:lineRule="exact"/>
              <w:rPr>
                <w:rFonts w:ascii="Cambria" w:eastAsia="MS Mincho" w:hAnsi="Cambria"/>
                <w:sz w:val="20"/>
                <w:szCs w:val="20"/>
              </w:rPr>
            </w:pPr>
            <w:r w:rsidRPr="0048521D">
              <w:rPr>
                <w:rFonts w:ascii="Cambria" w:hAnsi="Cambria"/>
                <w:sz w:val="20"/>
                <w:szCs w:val="20"/>
              </w:rPr>
              <w:t>Soumettre ou référencer la description du programme et le rapport de mise en œuvre si nécessaire ; communiquer la mise en œuvre du projet pilote à ICCAT selon la voie de déclaration du projet pilote de stockage de spécimens vivants. [À COMPLÉTER : voie de soumission et date limite exacte].</w:t>
            </w:r>
          </w:p>
        </w:tc>
      </w:tr>
    </w:tbl>
    <w:p w14:paraId="4724000E" w14:textId="77777777" w:rsidR="00B778DF" w:rsidRPr="0048521D" w:rsidRDefault="00B778DF" w:rsidP="00991B72">
      <w:pPr>
        <w:pStyle w:val="ListParagraph"/>
        <w:widowControl/>
        <w:tabs>
          <w:tab w:val="left" w:pos="851"/>
        </w:tabs>
        <w:spacing w:line="240" w:lineRule="exact"/>
        <w:ind w:left="851"/>
        <w:rPr>
          <w:rFonts w:ascii="Cambria" w:eastAsia="MS Mincho" w:hAnsi="Cambria"/>
          <w:kern w:val="0"/>
          <w:sz w:val="20"/>
          <w:szCs w:val="20"/>
          <w:lang w:eastAsia="en-US"/>
        </w:rPr>
      </w:pPr>
    </w:p>
    <w:p w14:paraId="4AE7877F" w14:textId="77777777" w:rsidR="009F7C8D" w:rsidRPr="0048521D" w:rsidRDefault="009F7C8D" w:rsidP="00991B72">
      <w:pPr>
        <w:pStyle w:val="ListParagraph"/>
        <w:widowControl/>
        <w:tabs>
          <w:tab w:val="left" w:pos="851"/>
        </w:tabs>
        <w:spacing w:line="240" w:lineRule="exact"/>
        <w:ind w:left="851"/>
        <w:rPr>
          <w:rFonts w:ascii="Cambria" w:eastAsia="MS Mincho" w:hAnsi="Cambria"/>
          <w:b/>
          <w:bCs/>
          <w:kern w:val="0"/>
          <w:sz w:val="20"/>
          <w:szCs w:val="20"/>
          <w:lang w:eastAsia="en-US"/>
        </w:rPr>
      </w:pPr>
    </w:p>
    <w:p w14:paraId="651CC916" w14:textId="0D82D4FB" w:rsidR="009F7C8D" w:rsidRPr="0048521D" w:rsidRDefault="009F7C8D" w:rsidP="00F756CC">
      <w:pPr>
        <w:widowControl/>
        <w:tabs>
          <w:tab w:val="left" w:pos="426"/>
        </w:tabs>
        <w:spacing w:line="220" w:lineRule="exact"/>
        <w:jc w:val="left"/>
        <w:rPr>
          <w:rFonts w:ascii="Cambria" w:eastAsia="MS Mincho" w:hAnsi="Cambria"/>
          <w:b/>
          <w:bCs/>
          <w:kern w:val="0"/>
          <w:sz w:val="20"/>
          <w:szCs w:val="20"/>
        </w:rPr>
      </w:pPr>
      <w:r w:rsidRPr="0048521D">
        <w:rPr>
          <w:rFonts w:ascii="Cambria" w:hAnsi="Cambria"/>
          <w:b/>
          <w:bCs/>
          <w:sz w:val="20"/>
          <w:szCs w:val="20"/>
        </w:rPr>
        <w:t xml:space="preserve">12. </w:t>
      </w:r>
      <w:r w:rsidRPr="0048521D">
        <w:rPr>
          <w:rFonts w:ascii="Cambria" w:hAnsi="Cambria"/>
          <w:b/>
          <w:bCs/>
          <w:sz w:val="20"/>
          <w:szCs w:val="20"/>
        </w:rPr>
        <w:tab/>
        <w:t>Mesures minimales supplémentaires proposées pour le projet pilote norvégien</w:t>
      </w:r>
    </w:p>
    <w:p w14:paraId="52084EE3" w14:textId="77777777" w:rsidR="00F756CC" w:rsidRPr="0048521D" w:rsidRDefault="00F756CC" w:rsidP="00F756CC">
      <w:pPr>
        <w:widowControl/>
        <w:tabs>
          <w:tab w:val="left" w:pos="426"/>
        </w:tabs>
        <w:spacing w:line="220" w:lineRule="exact"/>
        <w:jc w:val="left"/>
        <w:rPr>
          <w:rFonts w:ascii="Cambria" w:eastAsia="MS Mincho" w:hAnsi="Cambria"/>
          <w:b/>
          <w:bCs/>
          <w:kern w:val="0"/>
          <w:sz w:val="20"/>
          <w:szCs w:val="20"/>
          <w:lang w:eastAsia="en-US"/>
        </w:rPr>
      </w:pPr>
    </w:p>
    <w:p w14:paraId="1C5B36AD" w14:textId="77777777" w:rsidR="009F7C8D" w:rsidRPr="0048521D" w:rsidRDefault="009F7C8D" w:rsidP="00F756CC">
      <w:pPr>
        <w:widowControl/>
        <w:tabs>
          <w:tab w:val="left" w:pos="426"/>
        </w:tabs>
        <w:spacing w:line="220" w:lineRule="exact"/>
        <w:rPr>
          <w:rFonts w:ascii="Cambria" w:eastAsia="MS Mincho" w:hAnsi="Cambria"/>
          <w:kern w:val="0"/>
          <w:sz w:val="20"/>
          <w:szCs w:val="20"/>
        </w:rPr>
      </w:pPr>
      <w:r w:rsidRPr="0048521D">
        <w:rPr>
          <w:rFonts w:ascii="Cambria" w:hAnsi="Cambria"/>
          <w:sz w:val="20"/>
          <w:szCs w:val="20"/>
        </w:rPr>
        <w:t>Afin de combler les lacunes susmentionnées, la Norvège devrait ajouter les mesures minimales suivantes avant le projet pilote de septembre :</w:t>
      </w:r>
    </w:p>
    <w:p w14:paraId="1FDC15E3" w14:textId="77777777" w:rsidR="00F756CC" w:rsidRPr="0048521D" w:rsidRDefault="00F756CC" w:rsidP="00F756CC">
      <w:pPr>
        <w:widowControl/>
        <w:tabs>
          <w:tab w:val="left" w:pos="426"/>
        </w:tabs>
        <w:spacing w:line="220" w:lineRule="exact"/>
        <w:rPr>
          <w:rFonts w:ascii="Cambria" w:eastAsia="MS Mincho" w:hAnsi="Cambria"/>
          <w:kern w:val="0"/>
          <w:sz w:val="20"/>
          <w:szCs w:val="20"/>
          <w:lang w:eastAsia="en-US"/>
        </w:rPr>
      </w:pPr>
    </w:p>
    <w:p w14:paraId="724D419E" w14:textId="365A4903" w:rsidR="009F7C8D" w:rsidRPr="0048521D"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Approuver un VMP pour le thon rouge spécifique au navire en tant qu’annexe à l’autorisation du navire.</w:t>
      </w:r>
    </w:p>
    <w:p w14:paraId="18DB4223" w14:textId="26044A26" w:rsidR="009F7C8D" w:rsidRPr="0048521D"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Réaliser une enquête de validation des caméras et des capteurs avant la sortie de pêche avec le navire en configuration de pêche, y compris avec le filet, l’interface de cage de transport et toutes les zones désignées de remise à l'eau/manipulation des spécimens morts.</w:t>
      </w:r>
    </w:p>
    <w:p w14:paraId="2E84F662" w14:textId="33E2C80A" w:rsidR="009F7C8D" w:rsidRPr="0048521D"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Si l’enquête de validation préalable à la sortie de pêche identifie des angles morts dans les opérations de transfert, de mise en cage, de stockage, de remise à l'eau ou de manipulation de spécimens morts, la Norvège définira des mesures de surveillance supplémentaires proportionnelles aux besoins en matière de données et à la faisabilité opérationnelle. Cela pourrait inclure des caméras temporaires, des vidéos sous-marines, des observations par le biais de ROV, des systèmes acoustiques/optiques ou une documentation directe du personnel du ROP, de la Direction et/ou de l’IMR. Tout angle mort restant et ses implications seront documentés dans le rapport de mise en œuvre.</w:t>
      </w:r>
    </w:p>
    <w:p w14:paraId="3DECD3E2" w14:textId="14079937" w:rsidR="009F7C8D" w:rsidRPr="0048521D"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Désigner une unité d’examen du système EMS et exiger un examen de l’intégralité des événements liés à la pêche, au transfert, à la remise à l'eau, à la mortalité et aux défaillances.</w:t>
      </w:r>
    </w:p>
    <w:p w14:paraId="2AE2CA80" w14:textId="43E1DCE6" w:rsidR="009F7C8D" w:rsidRPr="0048521D" w:rsidRDefault="009F7C8D" w:rsidP="00F756CC">
      <w:pPr>
        <w:pStyle w:val="ListParagraph"/>
        <w:widowControl/>
        <w:numPr>
          <w:ilvl w:val="0"/>
          <w:numId w:val="8"/>
        </w:numPr>
        <w:tabs>
          <w:tab w:val="left" w:pos="851"/>
        </w:tabs>
        <w:spacing w:line="240" w:lineRule="exact"/>
        <w:ind w:left="851" w:hanging="425"/>
        <w:rPr>
          <w:rFonts w:ascii="Cambria" w:eastAsia="MS Mincho" w:hAnsi="Cambria"/>
          <w:kern w:val="0"/>
          <w:sz w:val="20"/>
          <w:szCs w:val="20"/>
        </w:rPr>
      </w:pPr>
      <w:r w:rsidRPr="0048521D">
        <w:rPr>
          <w:rFonts w:ascii="Cambria" w:hAnsi="Cambria"/>
          <w:sz w:val="20"/>
          <w:szCs w:val="20"/>
        </w:rPr>
        <w:t>Clarifier l’accès aux données avec le fournisseur du système REM de sorte que les autorités norvégiennes et l’IMR puissent accéder aux données pertinentes et au logiciel compagnon au terme de la sortie de pêche.</w:t>
      </w:r>
    </w:p>
    <w:sectPr w:rsidR="009F7C8D" w:rsidRPr="0048521D" w:rsidSect="00893C6B">
      <w:headerReference w:type="default" r:id="rId18"/>
      <w:footerReference w:type="default" r:id="rId19"/>
      <w:pgSz w:w="11906" w:h="16838" w:code="9"/>
      <w:pgMar w:top="1418" w:right="1418" w:bottom="1418" w:left="1418" w:header="851" w:footer="113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BA312" w14:textId="77777777" w:rsidR="000963D3" w:rsidRDefault="000963D3" w:rsidP="004D1CCD">
      <w:r>
        <w:separator/>
      </w:r>
    </w:p>
  </w:endnote>
  <w:endnote w:type="continuationSeparator" w:id="0">
    <w:p w14:paraId="7030EF86" w14:textId="77777777" w:rsidR="000963D3" w:rsidRDefault="000963D3" w:rsidP="004D1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484B" w14:textId="77777777" w:rsidR="00B4102F" w:rsidRPr="00B4102F" w:rsidRDefault="00B4102F" w:rsidP="00B4102F">
    <w:pPr>
      <w:widowControl/>
      <w:tabs>
        <w:tab w:val="center" w:pos="4535"/>
        <w:tab w:val="center" w:pos="4680"/>
        <w:tab w:val="left" w:pos="6150"/>
        <w:tab w:val="right" w:pos="9360"/>
      </w:tabs>
      <w:jc w:val="center"/>
      <w:rPr>
        <w:rFonts w:ascii="Cambria" w:eastAsia="Times New Roman" w:hAnsi="Cambria" w:cs="Calibri"/>
        <w:kern w:val="0"/>
        <w:sz w:val="20"/>
      </w:rPr>
    </w:pPr>
    <w:r w:rsidRPr="00B4102F">
      <w:rPr>
        <w:rFonts w:ascii="Cambria" w:eastAsia="Times New Roman" w:hAnsi="Cambria" w:cs="Calibri"/>
        <w:sz w:val="20"/>
        <w:szCs w:val="20"/>
      </w:rPr>
      <w:fldChar w:fldCharType="begin"/>
    </w:r>
    <w:r w:rsidRPr="00B4102F">
      <w:rPr>
        <w:rFonts w:ascii="Cambria" w:eastAsia="Times New Roman" w:hAnsi="Cambria" w:cs="Calibri"/>
        <w:sz w:val="20"/>
        <w:szCs w:val="20"/>
      </w:rPr>
      <w:instrText xml:space="preserve"> PAGE </w:instrText>
    </w:r>
    <w:r w:rsidRPr="00B4102F">
      <w:rPr>
        <w:rFonts w:ascii="Cambria" w:eastAsia="Times New Roman" w:hAnsi="Cambria" w:cs="Calibri"/>
        <w:sz w:val="20"/>
        <w:szCs w:val="20"/>
      </w:rPr>
      <w:fldChar w:fldCharType="separate"/>
    </w:r>
    <w:r w:rsidRPr="00B4102F">
      <w:rPr>
        <w:rFonts w:ascii="Cambria" w:eastAsia="Times New Roman" w:hAnsi="Cambria" w:cs="Calibri"/>
        <w:sz w:val="20"/>
        <w:szCs w:val="20"/>
      </w:rPr>
      <w:t>1</w:t>
    </w:r>
    <w:r w:rsidRPr="00B4102F">
      <w:rPr>
        <w:rFonts w:ascii="Cambria" w:eastAsia="Times New Roman" w:hAnsi="Cambria" w:cs="Calibri"/>
        <w:sz w:val="20"/>
        <w:szCs w:val="20"/>
      </w:rPr>
      <w:fldChar w:fldCharType="end"/>
    </w:r>
    <w:r>
      <w:rPr>
        <w:rFonts w:ascii="Cambria" w:hAnsi="Cambria"/>
        <w:sz w:val="20"/>
        <w:szCs w:val="20"/>
      </w:rPr>
      <w:t xml:space="preserve"> / </w:t>
    </w:r>
    <w:r w:rsidRPr="00B4102F">
      <w:rPr>
        <w:rFonts w:ascii="Cambria" w:eastAsia="Times New Roman" w:hAnsi="Cambria" w:cs="Calibri"/>
        <w:sz w:val="20"/>
        <w:szCs w:val="20"/>
      </w:rPr>
      <w:fldChar w:fldCharType="begin"/>
    </w:r>
    <w:r w:rsidRPr="00B4102F">
      <w:rPr>
        <w:rFonts w:ascii="Cambria" w:eastAsia="Times New Roman" w:hAnsi="Cambria" w:cs="Calibri"/>
        <w:sz w:val="20"/>
        <w:szCs w:val="20"/>
      </w:rPr>
      <w:instrText xml:space="preserve"> NUMPAGES  </w:instrText>
    </w:r>
    <w:r w:rsidRPr="00B4102F">
      <w:rPr>
        <w:rFonts w:ascii="Cambria" w:eastAsia="Times New Roman" w:hAnsi="Cambria" w:cs="Calibri"/>
        <w:sz w:val="20"/>
        <w:szCs w:val="20"/>
      </w:rPr>
      <w:fldChar w:fldCharType="separate"/>
    </w:r>
    <w:r w:rsidRPr="00B4102F">
      <w:rPr>
        <w:rFonts w:ascii="Cambria" w:eastAsia="Times New Roman" w:hAnsi="Cambria" w:cs="Calibri"/>
        <w:sz w:val="20"/>
        <w:szCs w:val="20"/>
      </w:rPr>
      <w:t>1</w:t>
    </w:r>
    <w:r w:rsidRPr="00B4102F">
      <w:rPr>
        <w:rFonts w:ascii="Cambria" w:eastAsia="Times New Roman"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65FB45" w14:textId="77777777" w:rsidR="000963D3" w:rsidRDefault="000963D3" w:rsidP="004D1CCD">
      <w:r>
        <w:separator/>
      </w:r>
    </w:p>
  </w:footnote>
  <w:footnote w:type="continuationSeparator" w:id="0">
    <w:p w14:paraId="498CB174" w14:textId="77777777" w:rsidR="000963D3" w:rsidRDefault="000963D3" w:rsidP="004D1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E233B" w14:textId="48A3BE48" w:rsidR="00E21329" w:rsidRPr="003346BA" w:rsidRDefault="000D1209" w:rsidP="00E21329">
    <w:pPr>
      <w:widowControl/>
      <w:shd w:val="clear" w:color="auto" w:fill="FFFFFF"/>
      <w:ind w:left="11" w:right="3" w:hanging="10"/>
      <w:jc w:val="right"/>
      <w:rPr>
        <w:rFonts w:ascii="Cambria" w:eastAsia="Calibri" w:hAnsi="Cambria" w:cs="Cambria"/>
        <w:b/>
        <w:bCs/>
        <w:kern w:val="0"/>
        <w:sz w:val="20"/>
        <w:szCs w:val="20"/>
      </w:rPr>
    </w:pPr>
    <w:bookmarkStart w:id="0" w:name="_Hlk107908354"/>
    <w:bookmarkStart w:id="1" w:name="_Hlk107908355"/>
    <w:bookmarkStart w:id="2" w:name="_Hlk107908359"/>
    <w:bookmarkStart w:id="3" w:name="_Hlk107908360"/>
    <w:bookmarkStart w:id="4" w:name="_Hlk107908361"/>
    <w:bookmarkStart w:id="5" w:name="_Hlk107908362"/>
    <w:r>
      <w:rPr>
        <w:rFonts w:ascii="Cambria" w:hAnsi="Cambria"/>
        <w:b/>
        <w:bCs/>
        <w:sz w:val="20"/>
        <w:szCs w:val="20"/>
      </w:rPr>
      <w:t>PWG_412</w:t>
    </w:r>
    <w:r>
      <w:rPr>
        <w:rFonts w:ascii="Cambria" w:hAnsi="Cambria"/>
        <w:b/>
        <w:bCs/>
        <w:color w:val="242424"/>
        <w:sz w:val="20"/>
        <w:szCs w:val="20"/>
      </w:rPr>
      <w:t>/2026</w:t>
    </w:r>
  </w:p>
  <w:bookmarkEnd w:id="0"/>
  <w:bookmarkEnd w:id="1"/>
  <w:bookmarkEnd w:id="2"/>
  <w:bookmarkEnd w:id="3"/>
  <w:bookmarkEnd w:id="4"/>
  <w:bookmarkEnd w:id="5"/>
  <w:p w14:paraId="292A5C5C" w14:textId="0B8A8C26" w:rsidR="00E21329" w:rsidRPr="003346BA" w:rsidRDefault="00685E3B" w:rsidP="00E21329">
    <w:pPr>
      <w:tabs>
        <w:tab w:val="left" w:pos="7320"/>
      </w:tabs>
      <w:autoSpaceDE w:val="0"/>
      <w:autoSpaceDN w:val="0"/>
      <w:jc w:val="right"/>
      <w:rPr>
        <w:rFonts w:ascii="Aptos" w:eastAsia="Aptos" w:hAnsi="Aptos"/>
        <w:sz w:val="30"/>
        <w:szCs w:val="30"/>
        <w14:ligatures w14:val="standardContextual"/>
      </w:rPr>
    </w:pPr>
    <w:r>
      <w:rPr>
        <w:rFonts w:ascii="Cambria" w:eastAsia="Cambria" w:hAnsi="Cambria" w:cs="Cambria"/>
        <w:b/>
        <w:bCs/>
        <w:sz w:val="16"/>
        <w:szCs w:val="16"/>
      </w:rPr>
      <w:fldChar w:fldCharType="begin"/>
    </w:r>
    <w:r>
      <w:rPr>
        <w:rFonts w:ascii="Cambria" w:eastAsia="Cambria" w:hAnsi="Cambria" w:cs="Cambria"/>
        <w:b/>
        <w:bCs/>
        <w:sz w:val="16"/>
        <w:szCs w:val="16"/>
      </w:rPr>
      <w:instrText xml:space="preserve"> TIME  \@ "dd/MM/yyyy HH:mm" </w:instrText>
    </w:r>
    <w:r>
      <w:rPr>
        <w:rFonts w:ascii="Cambria" w:eastAsia="Cambria" w:hAnsi="Cambria" w:cs="Cambria"/>
        <w:b/>
        <w:bCs/>
        <w:sz w:val="16"/>
        <w:szCs w:val="16"/>
      </w:rPr>
      <w:fldChar w:fldCharType="separate"/>
    </w:r>
    <w:r w:rsidR="0037245F">
      <w:rPr>
        <w:rFonts w:ascii="Cambria" w:eastAsia="Cambria" w:hAnsi="Cambria" w:cs="Cambria"/>
        <w:b/>
        <w:bCs/>
        <w:noProof/>
        <w:sz w:val="16"/>
        <w:szCs w:val="16"/>
      </w:rPr>
      <w:t>02/10/2026 09:27</w:t>
    </w:r>
    <w:r>
      <w:rPr>
        <w:rFonts w:ascii="Cambria" w:eastAsia="Cambria" w:hAnsi="Cambria" w:cs="Cambria"/>
        <w:b/>
        <w:bCs/>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4D51"/>
    <w:multiLevelType w:val="hybridMultilevel"/>
    <w:tmpl w:val="E428724E"/>
    <w:lvl w:ilvl="0" w:tplc="3898AD4C">
      <w:start w:val="5"/>
      <w:numFmt w:val="bullet"/>
      <w:lvlText w:val="-"/>
      <w:lvlJc w:val="left"/>
      <w:pPr>
        <w:ind w:left="788" w:hanging="360"/>
      </w:pPr>
      <w:rPr>
        <w:rFonts w:ascii="Cambria" w:eastAsiaTheme="minorEastAsia" w:hAnsi="Cambria" w:cs="Times New Roman"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 w15:restartNumberingAfterBreak="0">
    <w:nsid w:val="0C9C71D3"/>
    <w:multiLevelType w:val="hybridMultilevel"/>
    <w:tmpl w:val="FFFFFFFF"/>
    <w:lvl w:ilvl="0" w:tplc="08090011">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15:restartNumberingAfterBreak="0">
    <w:nsid w:val="0E934F1F"/>
    <w:multiLevelType w:val="hybridMultilevel"/>
    <w:tmpl w:val="C3285D0A"/>
    <w:lvl w:ilvl="0" w:tplc="FC94834E">
      <w:start w:val="1"/>
      <w:numFmt w:val="decimal"/>
      <w:lvlText w:val="%1."/>
      <w:lvlJc w:val="left"/>
      <w:pPr>
        <w:ind w:left="780" w:hanging="420"/>
      </w:pPr>
      <w:rPr>
        <w:rFonts w:eastAsia="Yu Mincho"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3C3E1B"/>
    <w:multiLevelType w:val="hybridMultilevel"/>
    <w:tmpl w:val="9E407E6E"/>
    <w:lvl w:ilvl="0" w:tplc="3898AD4C">
      <w:start w:val="5"/>
      <w:numFmt w:val="bullet"/>
      <w:lvlText w:val="-"/>
      <w:lvlJc w:val="left"/>
      <w:pPr>
        <w:ind w:left="1146" w:hanging="360"/>
      </w:pPr>
      <w:rPr>
        <w:rFonts w:ascii="Cambria" w:eastAsiaTheme="minorEastAsia" w:hAnsi="Cambria"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21D403BC"/>
    <w:multiLevelType w:val="hybridMultilevel"/>
    <w:tmpl w:val="204C4D34"/>
    <w:lvl w:ilvl="0" w:tplc="96C80174">
      <w:numFmt w:val="bullet"/>
      <w:lvlText w:val="•"/>
      <w:lvlJc w:val="left"/>
      <w:pPr>
        <w:ind w:left="846" w:hanging="420"/>
      </w:pPr>
      <w:rPr>
        <w:rFonts w:ascii="Cambria" w:eastAsia="MS Mincho" w:hAnsi="Cambria"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5" w15:restartNumberingAfterBreak="0">
    <w:nsid w:val="4D1D1084"/>
    <w:multiLevelType w:val="hybridMultilevel"/>
    <w:tmpl w:val="93B27A1A"/>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7297516"/>
    <w:multiLevelType w:val="hybridMultilevel"/>
    <w:tmpl w:val="FFFFFFFF"/>
    <w:lvl w:ilvl="0" w:tplc="0809000F">
      <w:start w:val="1"/>
      <w:numFmt w:val="decimal"/>
      <w:lvlText w:val="%1."/>
      <w:lvlJc w:val="left"/>
      <w:pPr>
        <w:ind w:left="720" w:hanging="360"/>
      </w:pPr>
      <w:rPr>
        <w:rFonts w:cs="Times New Roman"/>
      </w:rPr>
    </w:lvl>
    <w:lvl w:ilvl="1" w:tplc="04090017">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7F6A5C79"/>
    <w:multiLevelType w:val="hybridMultilevel"/>
    <w:tmpl w:val="FFFFFFFF"/>
    <w:lvl w:ilvl="0" w:tplc="A5727EA2">
      <w:start w:val="1"/>
      <w:numFmt w:val="bullet"/>
      <w:lvlText w:val=""/>
      <w:lvlJc w:val="left"/>
      <w:pPr>
        <w:ind w:left="1920" w:hanging="360"/>
      </w:pPr>
      <w:rPr>
        <w:rFonts w:ascii="Symbol" w:hAnsi="Symbol" w:hint="default"/>
      </w:rPr>
    </w:lvl>
    <w:lvl w:ilvl="1" w:tplc="08090003" w:tentative="1">
      <w:start w:val="1"/>
      <w:numFmt w:val="bullet"/>
      <w:lvlText w:val="o"/>
      <w:lvlJc w:val="left"/>
      <w:pPr>
        <w:ind w:left="2640" w:hanging="360"/>
      </w:pPr>
      <w:rPr>
        <w:rFonts w:ascii="Courier New" w:hAnsi="Courier New" w:hint="default"/>
      </w:rPr>
    </w:lvl>
    <w:lvl w:ilvl="2" w:tplc="08090005" w:tentative="1">
      <w:start w:val="1"/>
      <w:numFmt w:val="bullet"/>
      <w:lvlText w:val=""/>
      <w:lvlJc w:val="left"/>
      <w:pPr>
        <w:ind w:left="3360" w:hanging="360"/>
      </w:pPr>
      <w:rPr>
        <w:rFonts w:ascii="Wingdings" w:hAnsi="Wingdings" w:hint="default"/>
      </w:rPr>
    </w:lvl>
    <w:lvl w:ilvl="3" w:tplc="08090001" w:tentative="1">
      <w:start w:val="1"/>
      <w:numFmt w:val="bullet"/>
      <w:lvlText w:val=""/>
      <w:lvlJc w:val="left"/>
      <w:pPr>
        <w:ind w:left="4080" w:hanging="360"/>
      </w:pPr>
      <w:rPr>
        <w:rFonts w:ascii="Symbol" w:hAnsi="Symbol" w:hint="default"/>
      </w:rPr>
    </w:lvl>
    <w:lvl w:ilvl="4" w:tplc="08090003" w:tentative="1">
      <w:start w:val="1"/>
      <w:numFmt w:val="bullet"/>
      <w:lvlText w:val="o"/>
      <w:lvlJc w:val="left"/>
      <w:pPr>
        <w:ind w:left="4800" w:hanging="360"/>
      </w:pPr>
      <w:rPr>
        <w:rFonts w:ascii="Courier New" w:hAnsi="Courier New" w:hint="default"/>
      </w:rPr>
    </w:lvl>
    <w:lvl w:ilvl="5" w:tplc="08090005" w:tentative="1">
      <w:start w:val="1"/>
      <w:numFmt w:val="bullet"/>
      <w:lvlText w:val=""/>
      <w:lvlJc w:val="left"/>
      <w:pPr>
        <w:ind w:left="5520" w:hanging="360"/>
      </w:pPr>
      <w:rPr>
        <w:rFonts w:ascii="Wingdings" w:hAnsi="Wingdings" w:hint="default"/>
      </w:rPr>
    </w:lvl>
    <w:lvl w:ilvl="6" w:tplc="08090001" w:tentative="1">
      <w:start w:val="1"/>
      <w:numFmt w:val="bullet"/>
      <w:lvlText w:val=""/>
      <w:lvlJc w:val="left"/>
      <w:pPr>
        <w:ind w:left="6240" w:hanging="360"/>
      </w:pPr>
      <w:rPr>
        <w:rFonts w:ascii="Symbol" w:hAnsi="Symbol" w:hint="default"/>
      </w:rPr>
    </w:lvl>
    <w:lvl w:ilvl="7" w:tplc="08090003" w:tentative="1">
      <w:start w:val="1"/>
      <w:numFmt w:val="bullet"/>
      <w:lvlText w:val="o"/>
      <w:lvlJc w:val="left"/>
      <w:pPr>
        <w:ind w:left="6960" w:hanging="360"/>
      </w:pPr>
      <w:rPr>
        <w:rFonts w:ascii="Courier New" w:hAnsi="Courier New" w:hint="default"/>
      </w:rPr>
    </w:lvl>
    <w:lvl w:ilvl="8" w:tplc="08090005" w:tentative="1">
      <w:start w:val="1"/>
      <w:numFmt w:val="bullet"/>
      <w:lvlText w:val=""/>
      <w:lvlJc w:val="left"/>
      <w:pPr>
        <w:ind w:left="7680" w:hanging="360"/>
      </w:pPr>
      <w:rPr>
        <w:rFonts w:ascii="Wingdings" w:hAnsi="Wingdings" w:hint="default"/>
      </w:rPr>
    </w:lvl>
  </w:abstractNum>
  <w:num w:numId="1" w16cid:durableId="934441064">
    <w:abstractNumId w:val="6"/>
  </w:num>
  <w:num w:numId="2" w16cid:durableId="508910294">
    <w:abstractNumId w:val="7"/>
  </w:num>
  <w:num w:numId="3" w16cid:durableId="242376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2523239">
    <w:abstractNumId w:val="1"/>
  </w:num>
  <w:num w:numId="5" w16cid:durableId="269317114">
    <w:abstractNumId w:val="0"/>
  </w:num>
  <w:num w:numId="6" w16cid:durableId="487139445">
    <w:abstractNumId w:val="5"/>
  </w:num>
  <w:num w:numId="7" w16cid:durableId="1176919422">
    <w:abstractNumId w:val="2"/>
  </w:num>
  <w:num w:numId="8" w16cid:durableId="1492677152">
    <w:abstractNumId w:val="3"/>
  </w:num>
  <w:num w:numId="9" w16cid:durableId="19400190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78"/>
    <w:rsid w:val="000019F1"/>
    <w:rsid w:val="00004039"/>
    <w:rsid w:val="000135E4"/>
    <w:rsid w:val="00023C25"/>
    <w:rsid w:val="00024BCC"/>
    <w:rsid w:val="00057648"/>
    <w:rsid w:val="000813E7"/>
    <w:rsid w:val="000871F2"/>
    <w:rsid w:val="000963D3"/>
    <w:rsid w:val="000D1209"/>
    <w:rsid w:val="000E22EC"/>
    <w:rsid w:val="000E5235"/>
    <w:rsid w:val="000E5678"/>
    <w:rsid w:val="000E57BA"/>
    <w:rsid w:val="000E72AB"/>
    <w:rsid w:val="000F3850"/>
    <w:rsid w:val="00100A70"/>
    <w:rsid w:val="00103DC1"/>
    <w:rsid w:val="00112210"/>
    <w:rsid w:val="0011681A"/>
    <w:rsid w:val="00152CF5"/>
    <w:rsid w:val="00182A4A"/>
    <w:rsid w:val="001A1C52"/>
    <w:rsid w:val="001B62F1"/>
    <w:rsid w:val="001F1B28"/>
    <w:rsid w:val="00210679"/>
    <w:rsid w:val="002207E4"/>
    <w:rsid w:val="0025138C"/>
    <w:rsid w:val="00254274"/>
    <w:rsid w:val="002645DB"/>
    <w:rsid w:val="002749D8"/>
    <w:rsid w:val="00283B83"/>
    <w:rsid w:val="00285752"/>
    <w:rsid w:val="00296F20"/>
    <w:rsid w:val="002A4ED0"/>
    <w:rsid w:val="002C1441"/>
    <w:rsid w:val="002C450E"/>
    <w:rsid w:val="002D7EE0"/>
    <w:rsid w:val="002E1067"/>
    <w:rsid w:val="002F2E07"/>
    <w:rsid w:val="00307AC6"/>
    <w:rsid w:val="003106F8"/>
    <w:rsid w:val="00312EC6"/>
    <w:rsid w:val="00315D1A"/>
    <w:rsid w:val="0031677A"/>
    <w:rsid w:val="0032090E"/>
    <w:rsid w:val="003304A1"/>
    <w:rsid w:val="003618EC"/>
    <w:rsid w:val="0037245F"/>
    <w:rsid w:val="00380E4C"/>
    <w:rsid w:val="003820B9"/>
    <w:rsid w:val="003A3B5C"/>
    <w:rsid w:val="003A444F"/>
    <w:rsid w:val="003C05AD"/>
    <w:rsid w:val="003C3F59"/>
    <w:rsid w:val="003D0C8E"/>
    <w:rsid w:val="00407FB0"/>
    <w:rsid w:val="00412A65"/>
    <w:rsid w:val="00421DC4"/>
    <w:rsid w:val="00475A6C"/>
    <w:rsid w:val="0048521D"/>
    <w:rsid w:val="00497C66"/>
    <w:rsid w:val="004B4841"/>
    <w:rsid w:val="004B78FC"/>
    <w:rsid w:val="004C71F3"/>
    <w:rsid w:val="004D0DBC"/>
    <w:rsid w:val="004D111D"/>
    <w:rsid w:val="004D1CCD"/>
    <w:rsid w:val="004D596F"/>
    <w:rsid w:val="004E22FE"/>
    <w:rsid w:val="004E7C97"/>
    <w:rsid w:val="004F481A"/>
    <w:rsid w:val="004F5816"/>
    <w:rsid w:val="005052CB"/>
    <w:rsid w:val="005109AF"/>
    <w:rsid w:val="005270CA"/>
    <w:rsid w:val="00534305"/>
    <w:rsid w:val="00537D27"/>
    <w:rsid w:val="00541125"/>
    <w:rsid w:val="00541FD2"/>
    <w:rsid w:val="005506E2"/>
    <w:rsid w:val="00561E3B"/>
    <w:rsid w:val="00570211"/>
    <w:rsid w:val="0057094A"/>
    <w:rsid w:val="00585F95"/>
    <w:rsid w:val="005A2F98"/>
    <w:rsid w:val="005A7310"/>
    <w:rsid w:val="005D02FB"/>
    <w:rsid w:val="005D18D1"/>
    <w:rsid w:val="005D56B9"/>
    <w:rsid w:val="005E0718"/>
    <w:rsid w:val="005F00EB"/>
    <w:rsid w:val="005F28CF"/>
    <w:rsid w:val="00605CD1"/>
    <w:rsid w:val="0062707A"/>
    <w:rsid w:val="006347FA"/>
    <w:rsid w:val="00636AC6"/>
    <w:rsid w:val="00642761"/>
    <w:rsid w:val="00657270"/>
    <w:rsid w:val="00685E3B"/>
    <w:rsid w:val="00692EE0"/>
    <w:rsid w:val="006D5C55"/>
    <w:rsid w:val="006E5697"/>
    <w:rsid w:val="006F7670"/>
    <w:rsid w:val="00707222"/>
    <w:rsid w:val="00707A52"/>
    <w:rsid w:val="00727D9D"/>
    <w:rsid w:val="00734560"/>
    <w:rsid w:val="00736F1B"/>
    <w:rsid w:val="00736FFB"/>
    <w:rsid w:val="00743C01"/>
    <w:rsid w:val="0075254C"/>
    <w:rsid w:val="00753CC5"/>
    <w:rsid w:val="00755E20"/>
    <w:rsid w:val="007652A3"/>
    <w:rsid w:val="00766C00"/>
    <w:rsid w:val="00767815"/>
    <w:rsid w:val="00781701"/>
    <w:rsid w:val="007818D7"/>
    <w:rsid w:val="00786CAD"/>
    <w:rsid w:val="007A1082"/>
    <w:rsid w:val="007A477A"/>
    <w:rsid w:val="007D18AE"/>
    <w:rsid w:val="007E16B8"/>
    <w:rsid w:val="007F11AE"/>
    <w:rsid w:val="00801359"/>
    <w:rsid w:val="00811C47"/>
    <w:rsid w:val="008264A3"/>
    <w:rsid w:val="00841034"/>
    <w:rsid w:val="00842D3B"/>
    <w:rsid w:val="0086633A"/>
    <w:rsid w:val="00873027"/>
    <w:rsid w:val="00890E50"/>
    <w:rsid w:val="00893C6B"/>
    <w:rsid w:val="008A0865"/>
    <w:rsid w:val="008D1AF5"/>
    <w:rsid w:val="008F47A7"/>
    <w:rsid w:val="009024C7"/>
    <w:rsid w:val="00912B41"/>
    <w:rsid w:val="009168D2"/>
    <w:rsid w:val="00926623"/>
    <w:rsid w:val="009277B8"/>
    <w:rsid w:val="00930E58"/>
    <w:rsid w:val="0093573A"/>
    <w:rsid w:val="00945780"/>
    <w:rsid w:val="009457B3"/>
    <w:rsid w:val="0095486F"/>
    <w:rsid w:val="00966664"/>
    <w:rsid w:val="00990365"/>
    <w:rsid w:val="00991B72"/>
    <w:rsid w:val="009A41EF"/>
    <w:rsid w:val="009A4A9B"/>
    <w:rsid w:val="009C4A13"/>
    <w:rsid w:val="009C4C14"/>
    <w:rsid w:val="009C63CB"/>
    <w:rsid w:val="009E0980"/>
    <w:rsid w:val="009E7EEB"/>
    <w:rsid w:val="009F7C8D"/>
    <w:rsid w:val="00A02765"/>
    <w:rsid w:val="00A1716B"/>
    <w:rsid w:val="00A23748"/>
    <w:rsid w:val="00A23FA2"/>
    <w:rsid w:val="00A2507F"/>
    <w:rsid w:val="00A552D9"/>
    <w:rsid w:val="00A640D1"/>
    <w:rsid w:val="00A81EA3"/>
    <w:rsid w:val="00A96CE6"/>
    <w:rsid w:val="00A97593"/>
    <w:rsid w:val="00AC4BD0"/>
    <w:rsid w:val="00AD015E"/>
    <w:rsid w:val="00AF1D90"/>
    <w:rsid w:val="00B12EBB"/>
    <w:rsid w:val="00B34103"/>
    <w:rsid w:val="00B34CA3"/>
    <w:rsid w:val="00B4102F"/>
    <w:rsid w:val="00B42BA2"/>
    <w:rsid w:val="00B50C5F"/>
    <w:rsid w:val="00B7205C"/>
    <w:rsid w:val="00B7495B"/>
    <w:rsid w:val="00B76918"/>
    <w:rsid w:val="00B778DF"/>
    <w:rsid w:val="00B86591"/>
    <w:rsid w:val="00B97F73"/>
    <w:rsid w:val="00BA3978"/>
    <w:rsid w:val="00BB311A"/>
    <w:rsid w:val="00BC656C"/>
    <w:rsid w:val="00BE1972"/>
    <w:rsid w:val="00BE6B16"/>
    <w:rsid w:val="00BF6053"/>
    <w:rsid w:val="00C01D54"/>
    <w:rsid w:val="00C1366C"/>
    <w:rsid w:val="00C23370"/>
    <w:rsid w:val="00C2458D"/>
    <w:rsid w:val="00C25F8A"/>
    <w:rsid w:val="00C4686F"/>
    <w:rsid w:val="00C741E6"/>
    <w:rsid w:val="00C74C6F"/>
    <w:rsid w:val="00C755F2"/>
    <w:rsid w:val="00C97572"/>
    <w:rsid w:val="00CA348A"/>
    <w:rsid w:val="00CB24FD"/>
    <w:rsid w:val="00CC2609"/>
    <w:rsid w:val="00CE2AF0"/>
    <w:rsid w:val="00D203F5"/>
    <w:rsid w:val="00D30277"/>
    <w:rsid w:val="00D41799"/>
    <w:rsid w:val="00D4217E"/>
    <w:rsid w:val="00D42E3F"/>
    <w:rsid w:val="00D43272"/>
    <w:rsid w:val="00D45B83"/>
    <w:rsid w:val="00D61695"/>
    <w:rsid w:val="00D63E73"/>
    <w:rsid w:val="00D76AB0"/>
    <w:rsid w:val="00D81748"/>
    <w:rsid w:val="00D949C5"/>
    <w:rsid w:val="00DC5898"/>
    <w:rsid w:val="00DC75C7"/>
    <w:rsid w:val="00DD0F48"/>
    <w:rsid w:val="00DE56D3"/>
    <w:rsid w:val="00DF2D58"/>
    <w:rsid w:val="00E063FB"/>
    <w:rsid w:val="00E16AD0"/>
    <w:rsid w:val="00E21329"/>
    <w:rsid w:val="00E340B8"/>
    <w:rsid w:val="00E34F29"/>
    <w:rsid w:val="00E3536C"/>
    <w:rsid w:val="00E579B3"/>
    <w:rsid w:val="00E727B9"/>
    <w:rsid w:val="00E93FBB"/>
    <w:rsid w:val="00E974F4"/>
    <w:rsid w:val="00EA4F89"/>
    <w:rsid w:val="00EB07E9"/>
    <w:rsid w:val="00EB5A3E"/>
    <w:rsid w:val="00EC6855"/>
    <w:rsid w:val="00EE66E7"/>
    <w:rsid w:val="00EF41C0"/>
    <w:rsid w:val="00F13CEC"/>
    <w:rsid w:val="00F47E3B"/>
    <w:rsid w:val="00F61B97"/>
    <w:rsid w:val="00F756CC"/>
    <w:rsid w:val="00F9442C"/>
    <w:rsid w:val="00FA3310"/>
    <w:rsid w:val="00FA5443"/>
    <w:rsid w:val="00FA7783"/>
    <w:rsid w:val="00FB1D96"/>
    <w:rsid w:val="00FC1354"/>
    <w:rsid w:val="00FC7810"/>
    <w:rsid w:val="00FD704F"/>
    <w:rsid w:val="00FF1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DDAF1"/>
  <w14:defaultImageDpi w14:val="0"/>
  <w15:docId w15:val="{D621765C-F289-42D9-87FE-DEA24CF7D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fr-FR"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7783"/>
    <w:pPr>
      <w:ind w:left="720"/>
      <w:contextualSpacing/>
    </w:pPr>
  </w:style>
  <w:style w:type="paragraph" w:styleId="Header">
    <w:name w:val="header"/>
    <w:basedOn w:val="Normal"/>
    <w:link w:val="HeaderChar"/>
    <w:uiPriority w:val="99"/>
    <w:unhideWhenUsed/>
    <w:rsid w:val="004D1CCD"/>
    <w:pPr>
      <w:tabs>
        <w:tab w:val="center" w:pos="4513"/>
        <w:tab w:val="right" w:pos="9026"/>
      </w:tabs>
    </w:pPr>
  </w:style>
  <w:style w:type="character" w:customStyle="1" w:styleId="HeaderChar">
    <w:name w:val="Header Char"/>
    <w:basedOn w:val="DefaultParagraphFont"/>
    <w:link w:val="Header"/>
    <w:uiPriority w:val="99"/>
    <w:locked/>
    <w:rsid w:val="004D1CCD"/>
    <w:rPr>
      <w:rFonts w:cs="Times New Roman"/>
    </w:rPr>
  </w:style>
  <w:style w:type="paragraph" w:styleId="Footer">
    <w:name w:val="footer"/>
    <w:basedOn w:val="Normal"/>
    <w:link w:val="FooterChar"/>
    <w:uiPriority w:val="99"/>
    <w:unhideWhenUsed/>
    <w:rsid w:val="004D1CCD"/>
    <w:pPr>
      <w:tabs>
        <w:tab w:val="center" w:pos="4513"/>
        <w:tab w:val="right" w:pos="9026"/>
      </w:tabs>
    </w:pPr>
  </w:style>
  <w:style w:type="character" w:customStyle="1" w:styleId="FooterChar">
    <w:name w:val="Footer Char"/>
    <w:basedOn w:val="DefaultParagraphFont"/>
    <w:link w:val="Footer"/>
    <w:uiPriority w:val="99"/>
    <w:locked/>
    <w:rsid w:val="004D1CCD"/>
    <w:rPr>
      <w:rFonts w:cs="Times New Roman"/>
    </w:rPr>
  </w:style>
  <w:style w:type="paragraph" w:styleId="Revision">
    <w:name w:val="Revision"/>
    <w:hidden/>
    <w:uiPriority w:val="99"/>
    <w:semiHidden/>
    <w:rsid w:val="00BE1972"/>
    <w:rPr>
      <w:szCs w:val="22"/>
    </w:rPr>
  </w:style>
  <w:style w:type="character" w:styleId="CommentReference">
    <w:name w:val="annotation reference"/>
    <w:basedOn w:val="DefaultParagraphFont"/>
    <w:uiPriority w:val="99"/>
    <w:semiHidden/>
    <w:unhideWhenUsed/>
    <w:rsid w:val="009A4A9B"/>
    <w:rPr>
      <w:sz w:val="16"/>
      <w:szCs w:val="16"/>
    </w:rPr>
  </w:style>
  <w:style w:type="paragraph" w:styleId="CommentText">
    <w:name w:val="annotation text"/>
    <w:basedOn w:val="Normal"/>
    <w:link w:val="CommentTextChar"/>
    <w:uiPriority w:val="99"/>
    <w:unhideWhenUsed/>
    <w:rsid w:val="009A4A9B"/>
    <w:rPr>
      <w:sz w:val="20"/>
      <w:szCs w:val="20"/>
    </w:rPr>
  </w:style>
  <w:style w:type="character" w:customStyle="1" w:styleId="CommentTextChar">
    <w:name w:val="Comment Text Char"/>
    <w:basedOn w:val="DefaultParagraphFont"/>
    <w:link w:val="CommentText"/>
    <w:uiPriority w:val="99"/>
    <w:rsid w:val="009A4A9B"/>
    <w:rPr>
      <w:sz w:val="20"/>
      <w:szCs w:val="20"/>
    </w:rPr>
  </w:style>
  <w:style w:type="paragraph" w:styleId="CommentSubject">
    <w:name w:val="annotation subject"/>
    <w:basedOn w:val="CommentText"/>
    <w:next w:val="CommentText"/>
    <w:link w:val="CommentSubjectChar"/>
    <w:uiPriority w:val="99"/>
    <w:semiHidden/>
    <w:unhideWhenUsed/>
    <w:rsid w:val="009A4A9B"/>
    <w:rPr>
      <w:b/>
      <w:bCs/>
    </w:rPr>
  </w:style>
  <w:style w:type="character" w:customStyle="1" w:styleId="CommentSubjectChar">
    <w:name w:val="Comment Subject Char"/>
    <w:basedOn w:val="CommentTextChar"/>
    <w:link w:val="CommentSubject"/>
    <w:uiPriority w:val="99"/>
    <w:semiHidden/>
    <w:rsid w:val="009A4A9B"/>
    <w:rPr>
      <w:b/>
      <w:bCs/>
      <w:sz w:val="20"/>
      <w:szCs w:val="20"/>
    </w:rPr>
  </w:style>
  <w:style w:type="table" w:styleId="TableGrid">
    <w:name w:val="Table Grid"/>
    <w:basedOn w:val="TableNormal"/>
    <w:uiPriority w:val="59"/>
    <w:rsid w:val="005052C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07E9"/>
    <w:rPr>
      <w:color w:val="0000FF" w:themeColor="hyperlink"/>
      <w:u w:val="single"/>
    </w:rPr>
  </w:style>
  <w:style w:type="character" w:styleId="UnresolvedMention">
    <w:name w:val="Unresolved Mention"/>
    <w:basedOn w:val="DefaultParagraphFont"/>
    <w:uiPriority w:val="99"/>
    <w:semiHidden/>
    <w:unhideWhenUsed/>
    <w:rsid w:val="00EB07E9"/>
    <w:rPr>
      <w:color w:val="605E5C"/>
      <w:shd w:val="clear" w:color="auto" w:fill="E1DFDD"/>
    </w:rPr>
  </w:style>
  <w:style w:type="table" w:customStyle="1" w:styleId="TableGrid1">
    <w:name w:val="Table Grid1"/>
    <w:basedOn w:val="TableNormal"/>
    <w:next w:val="TableGrid"/>
    <w:uiPriority w:val="59"/>
    <w:rsid w:val="00873027"/>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C05AD"/>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E72AB"/>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E727B9"/>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296F20"/>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B778DF"/>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707594">
      <w:marLeft w:val="0"/>
      <w:marRight w:val="0"/>
      <w:marTop w:val="0"/>
      <w:marBottom w:val="0"/>
      <w:divBdr>
        <w:top w:val="none" w:sz="0" w:space="0" w:color="auto"/>
        <w:left w:val="none" w:sz="0" w:space="0" w:color="auto"/>
        <w:bottom w:val="none" w:sz="0" w:space="0" w:color="auto"/>
        <w:right w:val="none" w:sz="0" w:space="0" w:color="auto"/>
      </w:divBdr>
    </w:div>
    <w:div w:id="115070759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cat.int/Documents/Recs/compendiopdf-f/2023-18-f.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iccat.int/Documents/Recs/compendiopdf-e/2024-05-f.pdf" TargetMode="External"/><Relationship Id="rId17" Type="http://schemas.openxmlformats.org/officeDocument/2006/relationships/hyperlink" Target="https://www.iccat.int/Documents/Recs/compendiopdf-f/2023-18-f.pdf" TargetMode="External"/><Relationship Id="rId2" Type="http://schemas.openxmlformats.org/officeDocument/2006/relationships/customXml" Target="../customXml/item2.xml"/><Relationship Id="rId16" Type="http://schemas.openxmlformats.org/officeDocument/2006/relationships/hyperlink" Target="https://www.iccat.int/Documents/Recs/compendiopdf-f/2023-18-f.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f/2025-03-f.pdf" TargetMode="External"/><Relationship Id="rId5" Type="http://schemas.openxmlformats.org/officeDocument/2006/relationships/numbering" Target="numbering.xml"/><Relationship Id="rId15" Type="http://schemas.openxmlformats.org/officeDocument/2006/relationships/hyperlink" Target="https://www.iccat.int/Documents/Recs/compendiopdf-f/2023-18-f.pdf"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cat.int/Documents/Recs/compendiopdf-f/2023-18-f.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46256a872ad1c6fde7733cbd8d249cd4">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578e759ab0382b72b2c1767811f821c5"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244B13-54DC-4655-BD4A-30417817573A}">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AD682AB0-FD65-4531-81AE-8313E53DF1E8}">
  <ds:schemaRefs>
    <ds:schemaRef ds:uri="http://schemas.openxmlformats.org/officeDocument/2006/bibliography"/>
  </ds:schemaRefs>
</ds:datastoreItem>
</file>

<file path=customXml/itemProps3.xml><?xml version="1.0" encoding="utf-8"?>
<ds:datastoreItem xmlns:ds="http://schemas.openxmlformats.org/officeDocument/2006/customXml" ds:itemID="{9F125EE6-9493-468B-BD94-CC63D15A68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F3E265-426C-432B-AD12-C19C3857A76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3913</Words>
  <Characters>22305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農林水産省</Company>
  <LinksUpToDate>false</LinksUpToDate>
  <CharactersWithSpaces>26166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kengo_tanaka</dc:creator>
  <cp:keywords/>
  <dc:description/>
  <cp:lastModifiedBy>Dorothee Pinet</cp:lastModifiedBy>
  <cp:revision>89</cp:revision>
  <cp:lastPrinted>2025-04-16T09:12:00Z</cp:lastPrinted>
  <dcterms:created xsi:type="dcterms:W3CDTF">2026-03-20T12:50:00Z</dcterms:created>
  <dcterms:modified xsi:type="dcterms:W3CDTF">2026-10-02T07:28:00Z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ies>
</file>