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AC70EF" w14:textId="77777777" w:rsidR="001B3856" w:rsidRPr="001372F1" w:rsidRDefault="001B3856" w:rsidP="001B3856">
      <w:pPr>
        <w:spacing w:line="240" w:lineRule="exact"/>
        <w:jc w:val="right"/>
        <w:rPr>
          <w:rFonts w:ascii="Cambria" w:hAnsi="Cambria"/>
          <w:b/>
          <w:bCs/>
          <w:sz w:val="20"/>
          <w:szCs w:val="20"/>
          <w:lang w:val="es-ES_tradnl"/>
        </w:rPr>
      </w:pPr>
      <w:r w:rsidRPr="001372F1">
        <w:rPr>
          <w:rFonts w:ascii="Cambria" w:hAnsi="Cambria"/>
          <w:b/>
          <w:sz w:val="20"/>
          <w:lang w:val="es-ES_tradnl"/>
        </w:rPr>
        <w:t>Original:</w:t>
      </w:r>
      <w:r w:rsidR="00F65214" w:rsidRPr="001372F1">
        <w:rPr>
          <w:rFonts w:ascii="Cambria" w:hAnsi="Cambria"/>
          <w:b/>
          <w:sz w:val="20"/>
          <w:lang w:val="es-ES_tradnl"/>
        </w:rPr>
        <w:t xml:space="preserve"> </w:t>
      </w:r>
      <w:r w:rsidRPr="001372F1">
        <w:rPr>
          <w:rFonts w:ascii="Cambria" w:hAnsi="Cambria"/>
          <w:b/>
          <w:sz w:val="20"/>
          <w:lang w:val="es-ES_tradnl"/>
        </w:rPr>
        <w:t>inglés</w:t>
      </w:r>
    </w:p>
    <w:p w14:paraId="1B75544C" w14:textId="77777777" w:rsidR="00995510" w:rsidRPr="001372F1" w:rsidRDefault="001B3856" w:rsidP="00F65214">
      <w:pPr>
        <w:tabs>
          <w:tab w:val="left" w:pos="1455"/>
        </w:tabs>
        <w:spacing w:after="0" w:line="240" w:lineRule="auto"/>
        <w:jc w:val="center"/>
        <w:rPr>
          <w:rFonts w:ascii="Cambria" w:hAnsi="Cambria"/>
          <w:b/>
          <w:bCs/>
          <w:sz w:val="20"/>
          <w:szCs w:val="20"/>
          <w:lang w:val="es-ES_tradnl"/>
        </w:rPr>
      </w:pPr>
      <w:r w:rsidRPr="001372F1">
        <w:rPr>
          <w:rFonts w:ascii="Cambria" w:hAnsi="Cambria"/>
          <w:b/>
          <w:sz w:val="20"/>
          <w:lang w:val="es-ES_tradnl"/>
        </w:rPr>
        <w:t>Situación actual del mecanismo de comunicación con el</w:t>
      </w:r>
    </w:p>
    <w:p w14:paraId="7F2FA86B" w14:textId="77777777" w:rsidR="001B3856" w:rsidRPr="001372F1" w:rsidRDefault="001B3856" w:rsidP="00F65214">
      <w:pPr>
        <w:spacing w:after="0" w:line="240" w:lineRule="auto"/>
        <w:jc w:val="center"/>
        <w:rPr>
          <w:rFonts w:ascii="Cambria" w:hAnsi="Cambria"/>
          <w:sz w:val="20"/>
          <w:szCs w:val="20"/>
          <w:lang w:val="es-ES_tradnl"/>
        </w:rPr>
      </w:pPr>
      <w:r w:rsidRPr="001372F1">
        <w:rPr>
          <w:rFonts w:ascii="Cambria" w:hAnsi="Cambria"/>
          <w:b/>
          <w:sz w:val="20"/>
          <w:lang w:val="es-ES_tradnl"/>
        </w:rPr>
        <w:t>Sistema mundial de intercambio de información (GIES) de la FAO</w:t>
      </w:r>
    </w:p>
    <w:p w14:paraId="625D15A4" w14:textId="77777777" w:rsidR="001B3856" w:rsidRPr="001372F1" w:rsidRDefault="001B3856" w:rsidP="00F65214">
      <w:pPr>
        <w:spacing w:after="0" w:line="240" w:lineRule="auto"/>
        <w:jc w:val="center"/>
        <w:rPr>
          <w:rFonts w:ascii="Cambria" w:hAnsi="Cambria"/>
          <w:i/>
          <w:iCs/>
          <w:sz w:val="20"/>
          <w:szCs w:val="20"/>
          <w:lang w:val="es-ES_tradnl"/>
        </w:rPr>
      </w:pPr>
      <w:r w:rsidRPr="001372F1">
        <w:rPr>
          <w:rFonts w:ascii="Cambria" w:hAnsi="Cambria"/>
          <w:i/>
          <w:sz w:val="20"/>
          <w:lang w:val="es-ES_tradnl"/>
        </w:rPr>
        <w:t>(Documento presentado por la Secretaría de ICCAT)</w:t>
      </w:r>
    </w:p>
    <w:p w14:paraId="28142FB0" w14:textId="77777777" w:rsidR="004033CA" w:rsidRPr="001372F1" w:rsidRDefault="004033CA" w:rsidP="0020557A">
      <w:pPr>
        <w:spacing w:after="0" w:line="240" w:lineRule="auto"/>
        <w:rPr>
          <w:rFonts w:ascii="Cambria" w:hAnsi="Cambria"/>
          <w:b/>
          <w:bCs/>
          <w:sz w:val="20"/>
          <w:szCs w:val="20"/>
          <w:lang w:val="es-ES_tradnl"/>
        </w:rPr>
      </w:pPr>
    </w:p>
    <w:p w14:paraId="29763720" w14:textId="77777777" w:rsidR="006B1D30" w:rsidRPr="001372F1" w:rsidRDefault="006B1D30" w:rsidP="0020557A">
      <w:pPr>
        <w:spacing w:after="0" w:line="240" w:lineRule="auto"/>
        <w:rPr>
          <w:rFonts w:ascii="Cambria" w:hAnsi="Cambria"/>
          <w:b/>
          <w:bCs/>
          <w:sz w:val="20"/>
          <w:szCs w:val="20"/>
          <w:lang w:val="es-ES_tradnl"/>
        </w:rPr>
      </w:pPr>
      <w:r w:rsidRPr="001372F1">
        <w:rPr>
          <w:rFonts w:ascii="Cambria" w:hAnsi="Cambria"/>
          <w:b/>
          <w:sz w:val="20"/>
          <w:lang w:val="es-ES_tradnl"/>
        </w:rPr>
        <w:t>Contexto y mandato</w:t>
      </w:r>
    </w:p>
    <w:p w14:paraId="372D8557" w14:textId="77777777" w:rsidR="00FF2FE2" w:rsidRPr="001372F1" w:rsidRDefault="00FF2FE2" w:rsidP="0020557A">
      <w:pPr>
        <w:spacing w:after="0" w:line="240" w:lineRule="auto"/>
        <w:rPr>
          <w:rFonts w:ascii="Cambria" w:hAnsi="Cambria"/>
          <w:b/>
          <w:bCs/>
          <w:sz w:val="20"/>
          <w:szCs w:val="20"/>
          <w:lang w:val="es-ES_tradnl"/>
        </w:rPr>
      </w:pPr>
    </w:p>
    <w:p w14:paraId="686135B7" w14:textId="77777777" w:rsidR="006B1D30" w:rsidRPr="001372F1" w:rsidRDefault="006B1D30" w:rsidP="00AC2CA8">
      <w:pPr>
        <w:spacing w:after="0" w:line="240" w:lineRule="auto"/>
        <w:jc w:val="both"/>
        <w:rPr>
          <w:rFonts w:ascii="Cambria" w:hAnsi="Cambria"/>
          <w:sz w:val="20"/>
          <w:szCs w:val="20"/>
          <w:lang w:val="es-ES_tradnl"/>
        </w:rPr>
      </w:pPr>
      <w:r w:rsidRPr="001372F1">
        <w:rPr>
          <w:rFonts w:ascii="Cambria" w:hAnsi="Cambria"/>
          <w:sz w:val="20"/>
          <w:lang w:val="es-ES_tradnl"/>
        </w:rPr>
        <w:t xml:space="preserve">El párrafo 11 de la </w:t>
      </w:r>
      <w:hyperlink r:id="rId8" w:history="1">
        <w:r w:rsidRPr="001372F1">
          <w:rPr>
            <w:rStyle w:val="Hyperlink"/>
            <w:rFonts w:ascii="Cambria" w:hAnsi="Cambria"/>
            <w:i/>
            <w:iCs/>
            <w:sz w:val="20"/>
            <w:u w:val="none"/>
            <w:lang w:val="es-ES_tradnl"/>
          </w:rPr>
          <w:t>Recomendación de ICCAT que reemplaza la Recomendación 23-17 sobre medidas del Estado rector del puerto para prevenir, desalentar y eliminar la pesca ilegal, no declarada y no reglamentada (IUU)</w:t>
        </w:r>
        <w:r w:rsidRPr="001372F1">
          <w:rPr>
            <w:rStyle w:val="Hyperlink"/>
            <w:rFonts w:ascii="Cambria" w:hAnsi="Cambria"/>
            <w:sz w:val="20"/>
            <w:u w:val="none"/>
            <w:lang w:val="es-ES_tradnl"/>
          </w:rPr>
          <w:t xml:space="preserve"> (Rec.</w:t>
        </w:r>
      </w:hyperlink>
      <w:hyperlink r:id="rId9" w:history="1">
        <w:r w:rsidRPr="001372F1">
          <w:rPr>
            <w:rStyle w:val="Hyperlink"/>
            <w:rFonts w:ascii="Cambria" w:hAnsi="Cambria"/>
            <w:sz w:val="20"/>
            <w:u w:val="none"/>
            <w:lang w:val="es-ES_tradnl"/>
          </w:rPr>
          <w:t xml:space="preserve"> 25-11)</w:t>
        </w:r>
      </w:hyperlink>
      <w:r w:rsidRPr="001372F1">
        <w:rPr>
          <w:rFonts w:ascii="Cambria" w:hAnsi="Cambria"/>
          <w:sz w:val="20"/>
          <w:lang w:val="es-ES_tradnl"/>
        </w:rPr>
        <w:t xml:space="preserve"> solicita a la Secretaría de ICCAT que examine las posibles opciones para acceder o compartir información pertinente con los datos del Sistema mundial de intercambio de información (GIES) de la FAO, con el fin de evitar la duplicación de los requisitos de información para las CPC que también son signatarias del Acuerdo sobre medidas del Estado rector del puerto (PSMA).</w:t>
      </w:r>
      <w:r w:rsidR="001372F1">
        <w:rPr>
          <w:rFonts w:ascii="Cambria" w:hAnsi="Cambria"/>
          <w:sz w:val="20"/>
          <w:lang w:val="es-ES_tradnl"/>
        </w:rPr>
        <w:t xml:space="preserve"> </w:t>
      </w:r>
      <w:r w:rsidRPr="001372F1">
        <w:rPr>
          <w:rFonts w:ascii="Cambria" w:hAnsi="Cambria"/>
          <w:sz w:val="20"/>
          <w:lang w:val="es-ES_tradnl"/>
        </w:rPr>
        <w:t>Esto reviste especial importancia si se tiene en cuenta que ICCAT no dispone de un sistema electrónico centralizado ni de una plataforma específica para introducir e intercambiar datos relacionados con el PSMA, y que,</w:t>
      </w:r>
      <w:r w:rsidR="00F65214" w:rsidRPr="001372F1">
        <w:rPr>
          <w:rFonts w:ascii="Cambria" w:hAnsi="Cambria"/>
          <w:sz w:val="20"/>
          <w:lang w:val="es-ES_tradnl"/>
        </w:rPr>
        <w:t xml:space="preserve"> </w:t>
      </w:r>
      <w:r w:rsidRPr="001372F1">
        <w:rPr>
          <w:rFonts w:ascii="Cambria" w:hAnsi="Cambria"/>
          <w:sz w:val="20"/>
          <w:lang w:val="es-ES_tradnl"/>
        </w:rPr>
        <w:t>desde 2026, aproximadamente el 75 % de las CPC de ICCAT (45 de 60) son también Partes del PSMA.</w:t>
      </w:r>
      <w:r w:rsidR="00F65214" w:rsidRPr="001372F1">
        <w:rPr>
          <w:rFonts w:ascii="Cambria" w:hAnsi="Cambria"/>
          <w:sz w:val="20"/>
          <w:lang w:val="es-ES_tradnl"/>
        </w:rPr>
        <w:t xml:space="preserve"> </w:t>
      </w:r>
      <w:r w:rsidRPr="001372F1">
        <w:rPr>
          <w:rFonts w:ascii="Cambria" w:hAnsi="Cambria"/>
          <w:sz w:val="20"/>
          <w:lang w:val="es-ES_tradnl"/>
        </w:rPr>
        <w:t>Por lo tanto, se encomendó a la Secretaría de ICCAT que presentara sus conclusiones en la 19ª Reunión del Grupo de trabajo sobre medidas de seguimiento integradas (IMM) (Bruselas, Bélgica, del 1 al 5 de junio de 2026).</w:t>
      </w:r>
    </w:p>
    <w:p w14:paraId="7456A8E2" w14:textId="77777777" w:rsidR="00FF2FE2" w:rsidRPr="001372F1" w:rsidRDefault="00FF2FE2" w:rsidP="00AC2CA8">
      <w:pPr>
        <w:spacing w:after="0" w:line="240" w:lineRule="auto"/>
        <w:jc w:val="both"/>
        <w:rPr>
          <w:rFonts w:ascii="Cambria" w:hAnsi="Cambria"/>
          <w:sz w:val="20"/>
          <w:szCs w:val="20"/>
          <w:lang w:val="es-ES_tradnl"/>
        </w:rPr>
      </w:pPr>
    </w:p>
    <w:p w14:paraId="3B99EC86" w14:textId="77777777" w:rsidR="0037333C" w:rsidRPr="001372F1" w:rsidRDefault="0037333C" w:rsidP="00E32141">
      <w:pPr>
        <w:spacing w:after="0" w:line="240" w:lineRule="auto"/>
        <w:contextualSpacing/>
        <w:jc w:val="both"/>
        <w:rPr>
          <w:rFonts w:ascii="Cambria" w:hAnsi="Cambria"/>
          <w:sz w:val="20"/>
          <w:szCs w:val="20"/>
          <w:lang w:val="es-ES_tradnl"/>
        </w:rPr>
      </w:pPr>
      <w:r w:rsidRPr="001372F1">
        <w:rPr>
          <w:rFonts w:ascii="Cambria" w:hAnsi="Cambria"/>
          <w:sz w:val="20"/>
          <w:lang w:val="es-ES_tradnl"/>
        </w:rPr>
        <w:t>Durante esta reunión, el Grupo de trabajo consideró cuatro posibles opciones para cumplir este mandato:</w:t>
      </w:r>
      <w:r w:rsidR="001372F1">
        <w:rPr>
          <w:rFonts w:ascii="Cambria" w:hAnsi="Cambria"/>
          <w:sz w:val="20"/>
          <w:lang w:val="es-ES_tradnl"/>
        </w:rPr>
        <w:t xml:space="preserve"> </w:t>
      </w:r>
      <w:r w:rsidRPr="001372F1">
        <w:rPr>
          <w:rFonts w:ascii="Cambria" w:hAnsi="Cambria"/>
          <w:sz w:val="20"/>
          <w:lang w:val="es-ES_tradnl"/>
        </w:rPr>
        <w:t>(i) el desarrollo de un nuevo sistema por parte de un contratista externo; (</w:t>
      </w:r>
      <w:proofErr w:type="spellStart"/>
      <w:r w:rsidRPr="001372F1">
        <w:rPr>
          <w:rFonts w:ascii="Cambria" w:hAnsi="Cambria"/>
          <w:sz w:val="20"/>
          <w:lang w:val="es-ES_tradnl"/>
        </w:rPr>
        <w:t>ii</w:t>
      </w:r>
      <w:proofErr w:type="spellEnd"/>
      <w:r w:rsidRPr="001372F1">
        <w:rPr>
          <w:rFonts w:ascii="Cambria" w:hAnsi="Cambria"/>
          <w:sz w:val="20"/>
          <w:lang w:val="es-ES_tradnl"/>
        </w:rPr>
        <w:t>) el desarrollo de un nuevo módulo del IOMS por parte del equipo del IOMS; (</w:t>
      </w:r>
      <w:proofErr w:type="spellStart"/>
      <w:r w:rsidRPr="001372F1">
        <w:rPr>
          <w:rFonts w:ascii="Cambria" w:hAnsi="Cambria"/>
          <w:sz w:val="20"/>
          <w:lang w:val="es-ES_tradnl"/>
        </w:rPr>
        <w:t>iii</w:t>
      </w:r>
      <w:proofErr w:type="spellEnd"/>
      <w:r w:rsidRPr="001372F1">
        <w:rPr>
          <w:rFonts w:ascii="Cambria" w:hAnsi="Cambria"/>
          <w:sz w:val="20"/>
          <w:lang w:val="es-ES_tradnl"/>
        </w:rPr>
        <w:t>) la adaptación del GIES de la FAO; o (</w:t>
      </w:r>
      <w:proofErr w:type="spellStart"/>
      <w:r w:rsidRPr="001372F1">
        <w:rPr>
          <w:rFonts w:ascii="Cambria" w:hAnsi="Cambria"/>
          <w:sz w:val="20"/>
          <w:lang w:val="es-ES_tradnl"/>
        </w:rPr>
        <w:t>iv</w:t>
      </w:r>
      <w:proofErr w:type="spellEnd"/>
      <w:r w:rsidRPr="001372F1">
        <w:rPr>
          <w:rFonts w:ascii="Cambria" w:hAnsi="Cambria"/>
          <w:sz w:val="20"/>
          <w:lang w:val="es-ES_tradnl"/>
        </w:rPr>
        <w:t>) la adaptación del sistema e-PSM de la IOTC.</w:t>
      </w:r>
      <w:r w:rsidR="00F65214" w:rsidRPr="001372F1">
        <w:rPr>
          <w:rFonts w:ascii="Cambria" w:hAnsi="Cambria"/>
          <w:sz w:val="20"/>
          <w:lang w:val="es-ES_tradnl"/>
        </w:rPr>
        <w:t xml:space="preserve"> </w:t>
      </w:r>
      <w:r w:rsidRPr="001372F1">
        <w:rPr>
          <w:rFonts w:ascii="Cambria" w:hAnsi="Cambria"/>
          <w:sz w:val="20"/>
          <w:lang w:val="es-ES_tradnl"/>
        </w:rPr>
        <w:t>El desarrollo de un sistema completamente nuevo se descartó por ser el enfoque menos preferido, mientras que el Grupo se inclinó por aprovechar las soluciones existentes, en particular el GIES de la FAO y el sistema e-PSM de la IOTC, y adaptarlas a las necesidades específicas de ICCAT.</w:t>
      </w:r>
    </w:p>
    <w:p w14:paraId="1B13A56D" w14:textId="77777777" w:rsidR="00546CF6" w:rsidRPr="001372F1" w:rsidRDefault="00546CF6" w:rsidP="00E32141">
      <w:pPr>
        <w:spacing w:after="0" w:line="240" w:lineRule="auto"/>
        <w:contextualSpacing/>
        <w:jc w:val="both"/>
        <w:rPr>
          <w:rFonts w:ascii="Cambria" w:hAnsi="Cambria"/>
          <w:sz w:val="20"/>
          <w:szCs w:val="20"/>
          <w:lang w:val="es-ES_tradnl"/>
        </w:rPr>
      </w:pPr>
    </w:p>
    <w:p w14:paraId="5BBE0AC8" w14:textId="77777777" w:rsidR="00546CF6" w:rsidRPr="001372F1" w:rsidRDefault="00546CF6" w:rsidP="00E32141">
      <w:pPr>
        <w:spacing w:after="0" w:line="240" w:lineRule="auto"/>
        <w:contextualSpacing/>
        <w:jc w:val="both"/>
        <w:rPr>
          <w:rFonts w:ascii="Cambria" w:hAnsi="Cambria"/>
          <w:sz w:val="20"/>
          <w:szCs w:val="20"/>
          <w:lang w:val="es-ES_tradnl"/>
        </w:rPr>
      </w:pPr>
      <w:r w:rsidRPr="001372F1">
        <w:rPr>
          <w:rFonts w:ascii="Cambria" w:hAnsi="Cambria"/>
          <w:sz w:val="20"/>
          <w:lang w:val="es-ES_tradnl"/>
        </w:rPr>
        <w:t>En lo que respecta a la opción de la FAO, se presentaron dos posibles modalidades de uso compartido: el uso directo del GIES de la FAO por parte de ICCAT, o la puesta a disposición de una copia del sistema para uso propio de ICCAT.</w:t>
      </w:r>
      <w:r w:rsidR="00F65214" w:rsidRPr="001372F1">
        <w:rPr>
          <w:rFonts w:ascii="Cambria" w:hAnsi="Cambria"/>
          <w:sz w:val="20"/>
          <w:lang w:val="es-ES_tradnl"/>
        </w:rPr>
        <w:t xml:space="preserve"> </w:t>
      </w:r>
      <w:r w:rsidRPr="001372F1">
        <w:rPr>
          <w:rFonts w:ascii="Cambria" w:hAnsi="Cambria"/>
          <w:sz w:val="20"/>
          <w:lang w:val="es-ES_tradnl"/>
        </w:rPr>
        <w:t>Como se ha mencionado, el uso directo del GIES de la FAO no supondría ningún coste de implementación, alojamiento, desarrollo o mantenimiento para ICCAT.</w:t>
      </w:r>
      <w:r w:rsidR="00F65214" w:rsidRPr="001372F1">
        <w:rPr>
          <w:rFonts w:ascii="Cambria" w:hAnsi="Cambria"/>
          <w:sz w:val="20"/>
          <w:lang w:val="es-ES_tradnl"/>
        </w:rPr>
        <w:t xml:space="preserve"> </w:t>
      </w:r>
      <w:r w:rsidRPr="001372F1">
        <w:rPr>
          <w:rFonts w:ascii="Cambria" w:hAnsi="Cambria"/>
          <w:sz w:val="20"/>
          <w:lang w:val="es-ES_tradnl"/>
        </w:rPr>
        <w:t>Sin embargo, dado que varias CPC de ICCAT no son Partes en el PSMA, junto con el limitado margen de personalización y el hecho de que la propiedad seguiría recayendo en la FAO, esta opción se descartó en favor de una versión personalizada del GIES adaptada a las necesidades específicas de ICCAT, siempre que ICCAT conservara la plena propiedad de esta versión y tuviera libertad para modificar el código base según fuera necesario, sin ninguna otra obligación hacia la FAO.</w:t>
      </w:r>
      <w:r w:rsidR="00F65214" w:rsidRPr="001372F1">
        <w:rPr>
          <w:rFonts w:ascii="Cambria" w:hAnsi="Cambria"/>
          <w:sz w:val="20"/>
          <w:lang w:val="es-ES_tradnl"/>
        </w:rPr>
        <w:t xml:space="preserve"> </w:t>
      </w:r>
      <w:r w:rsidRPr="001372F1">
        <w:rPr>
          <w:rFonts w:ascii="Cambria" w:hAnsi="Cambria"/>
          <w:sz w:val="20"/>
          <w:lang w:val="es-ES_tradnl"/>
        </w:rPr>
        <w:t>En consecuencia, la propuesta de proporcionar una copia de GIES propiedad de ICCAT suscitó un mayor interés, al tiempo que dio lugar a solicitudes de aclaraciones adicionales sobre varios aspectos, en particular los acuerdos de propiedad y gobernanza, así como la participación de las CPC que no son Partes del PSMA.</w:t>
      </w:r>
    </w:p>
    <w:p w14:paraId="24B07FBD" w14:textId="77777777" w:rsidR="00074B2B" w:rsidRPr="001372F1" w:rsidRDefault="00074B2B" w:rsidP="00E32141">
      <w:pPr>
        <w:spacing w:after="0" w:line="240" w:lineRule="auto"/>
        <w:contextualSpacing/>
        <w:jc w:val="both"/>
        <w:rPr>
          <w:rFonts w:ascii="Cambria" w:hAnsi="Cambria"/>
          <w:sz w:val="20"/>
          <w:szCs w:val="20"/>
          <w:lang w:val="es-ES_tradnl"/>
        </w:rPr>
      </w:pPr>
    </w:p>
    <w:p w14:paraId="22212A69" w14:textId="77777777" w:rsidR="00011217" w:rsidRPr="001372F1" w:rsidRDefault="00074B2B" w:rsidP="00E32141">
      <w:pPr>
        <w:spacing w:after="0" w:line="240" w:lineRule="auto"/>
        <w:jc w:val="both"/>
        <w:rPr>
          <w:rFonts w:ascii="Cambria" w:hAnsi="Cambria"/>
          <w:b/>
          <w:bCs/>
          <w:sz w:val="20"/>
          <w:szCs w:val="20"/>
          <w:lang w:val="es-ES_tradnl"/>
        </w:rPr>
      </w:pPr>
      <w:r w:rsidRPr="001372F1">
        <w:rPr>
          <w:rFonts w:ascii="Cambria" w:hAnsi="Cambria"/>
          <w:sz w:val="20"/>
          <w:lang w:val="es-ES_tradnl"/>
        </w:rPr>
        <w:t>Tras estos debates, se solicitó a la Secretaría de ICCAT que continuara colaborando con la FAO para aclarar las implicaciones técnicas, de gobernanza y de costes que conlleva el uso de una copia adaptada del GIES, y que informara al GTP en noviembre de 2026.</w:t>
      </w:r>
      <w:r w:rsidR="001372F1">
        <w:rPr>
          <w:rFonts w:ascii="Cambria" w:hAnsi="Cambria"/>
          <w:sz w:val="20"/>
          <w:lang w:val="es-ES_tradnl"/>
        </w:rPr>
        <w:t xml:space="preserve"> </w:t>
      </w:r>
      <w:r w:rsidRPr="001372F1">
        <w:rPr>
          <w:rFonts w:ascii="Cambria" w:hAnsi="Cambria"/>
          <w:sz w:val="20"/>
          <w:lang w:val="es-ES_tradnl"/>
        </w:rPr>
        <w:t>Por lo tanto, el presente documento actualiza el documento IMM_18/i2026, informa sobre el resultado de los intercambios posteriores con la FAO y tiene por objeto apoyar un nuevo examen de la cuestión por parte del GTP en noviembre de 2026, con vistas a alcanzar una decisión definitiva sobre la opción más adecuada.</w:t>
      </w:r>
    </w:p>
    <w:p w14:paraId="6D64D330" w14:textId="77777777" w:rsidR="00F05A23" w:rsidRPr="001372F1" w:rsidRDefault="00F05A23" w:rsidP="00AC2CA8">
      <w:pPr>
        <w:spacing w:after="0" w:line="240" w:lineRule="auto"/>
        <w:jc w:val="both"/>
        <w:rPr>
          <w:rFonts w:ascii="Cambria" w:hAnsi="Cambria"/>
          <w:b/>
          <w:bCs/>
          <w:sz w:val="20"/>
          <w:szCs w:val="20"/>
          <w:lang w:val="es-ES_tradnl"/>
        </w:rPr>
      </w:pPr>
    </w:p>
    <w:p w14:paraId="5006B87F" w14:textId="77777777" w:rsidR="006B1D30" w:rsidRPr="001372F1" w:rsidRDefault="006B1D30" w:rsidP="00AC2CA8">
      <w:pPr>
        <w:spacing w:after="0" w:line="240" w:lineRule="auto"/>
        <w:jc w:val="both"/>
        <w:rPr>
          <w:rFonts w:ascii="Cambria" w:hAnsi="Cambria"/>
          <w:b/>
          <w:bCs/>
          <w:sz w:val="20"/>
          <w:szCs w:val="20"/>
          <w:lang w:val="es-ES_tradnl"/>
        </w:rPr>
      </w:pPr>
      <w:r w:rsidRPr="001372F1">
        <w:rPr>
          <w:rFonts w:ascii="Cambria" w:hAnsi="Cambria"/>
          <w:b/>
          <w:sz w:val="20"/>
          <w:lang w:val="es-ES_tradnl"/>
        </w:rPr>
        <w:t>Trabajo intersesiones y conclusiones</w:t>
      </w:r>
    </w:p>
    <w:p w14:paraId="2CE0B4E2" w14:textId="77777777" w:rsidR="00FF2FE2" w:rsidRPr="001372F1" w:rsidRDefault="00FF2FE2" w:rsidP="00AC2CA8">
      <w:pPr>
        <w:spacing w:after="0" w:line="240" w:lineRule="auto"/>
        <w:jc w:val="both"/>
        <w:rPr>
          <w:rFonts w:ascii="Cambria" w:hAnsi="Cambria"/>
          <w:b/>
          <w:bCs/>
          <w:sz w:val="20"/>
          <w:szCs w:val="20"/>
          <w:lang w:val="es-ES_tradnl"/>
        </w:rPr>
      </w:pPr>
    </w:p>
    <w:p w14:paraId="43880649" w14:textId="77777777" w:rsidR="00AA736B" w:rsidRPr="001372F1" w:rsidRDefault="003B6EF2" w:rsidP="00AC2CA8">
      <w:pPr>
        <w:spacing w:after="0" w:line="240" w:lineRule="auto"/>
        <w:jc w:val="both"/>
        <w:rPr>
          <w:rFonts w:ascii="Cambria" w:hAnsi="Cambria"/>
          <w:sz w:val="20"/>
          <w:szCs w:val="20"/>
          <w:lang w:val="es-ES_tradnl"/>
        </w:rPr>
      </w:pPr>
      <w:r w:rsidRPr="001372F1">
        <w:rPr>
          <w:rFonts w:ascii="Cambria" w:hAnsi="Cambria"/>
          <w:sz w:val="20"/>
          <w:lang w:val="es-ES_tradnl"/>
        </w:rPr>
        <w:t>Tras las consultas bilaterales con el personal de la FAO encargado del PSMA sobre las inquietudes expresadas por el IMM en relación con el uso de una copia personalizada del GIES de la FAO, a continuación se resume la información recabada:</w:t>
      </w:r>
    </w:p>
    <w:p w14:paraId="54660399" w14:textId="77777777" w:rsidR="00AA736B" w:rsidRPr="001372F1" w:rsidRDefault="00AA736B" w:rsidP="00AC2CA8">
      <w:pPr>
        <w:spacing w:after="0" w:line="240" w:lineRule="auto"/>
        <w:jc w:val="both"/>
        <w:rPr>
          <w:rFonts w:ascii="Cambria" w:hAnsi="Cambria"/>
          <w:sz w:val="20"/>
          <w:szCs w:val="20"/>
          <w:lang w:val="es-ES_tradnl"/>
        </w:rPr>
      </w:pPr>
    </w:p>
    <w:p w14:paraId="68A4DFB1" w14:textId="77777777" w:rsidR="00792957" w:rsidRPr="001372F1" w:rsidRDefault="00792957" w:rsidP="00E102ED">
      <w:pPr>
        <w:pStyle w:val="ListParagraph"/>
        <w:numPr>
          <w:ilvl w:val="0"/>
          <w:numId w:val="16"/>
        </w:numPr>
        <w:spacing w:after="0" w:line="240" w:lineRule="auto"/>
        <w:ind w:left="851" w:hanging="425"/>
        <w:jc w:val="both"/>
        <w:rPr>
          <w:rFonts w:ascii="Cambria" w:hAnsi="Cambria"/>
          <w:sz w:val="20"/>
          <w:szCs w:val="20"/>
          <w:lang w:val="es-ES_tradnl"/>
        </w:rPr>
      </w:pPr>
      <w:r w:rsidRPr="001372F1">
        <w:rPr>
          <w:rFonts w:ascii="Cambria" w:hAnsi="Cambria"/>
          <w:sz w:val="20"/>
          <w:lang w:val="es-ES_tradnl"/>
        </w:rPr>
        <w:t>Propiedad:</w:t>
      </w:r>
      <w:r w:rsidR="00F65214" w:rsidRPr="001372F1">
        <w:rPr>
          <w:rFonts w:ascii="Cambria" w:hAnsi="Cambria"/>
          <w:sz w:val="20"/>
          <w:lang w:val="es-ES_tradnl"/>
        </w:rPr>
        <w:t xml:space="preserve"> </w:t>
      </w:r>
      <w:r w:rsidRPr="001372F1">
        <w:rPr>
          <w:rFonts w:ascii="Cambria" w:hAnsi="Cambria"/>
          <w:sz w:val="20"/>
          <w:lang w:val="es-ES_tradnl"/>
        </w:rPr>
        <w:t>La FAO proporcionaría a ICCAT una copia del GIES de forma gratuita en virtud de un acuerdo de licencia.</w:t>
      </w:r>
      <w:r w:rsidR="00F65214" w:rsidRPr="001372F1">
        <w:rPr>
          <w:rFonts w:ascii="Cambria" w:hAnsi="Cambria"/>
          <w:sz w:val="20"/>
          <w:lang w:val="es-ES_tradnl"/>
        </w:rPr>
        <w:t xml:space="preserve"> </w:t>
      </w:r>
      <w:r w:rsidRPr="001372F1">
        <w:rPr>
          <w:rFonts w:ascii="Cambria" w:hAnsi="Cambria"/>
          <w:sz w:val="20"/>
          <w:lang w:val="es-ES_tradnl"/>
        </w:rPr>
        <w:t>El software, con una personalización básica, sería facilitado gratuitamente por el PSMA de la FAO.</w:t>
      </w:r>
      <w:r w:rsidR="00F65214" w:rsidRPr="001372F1">
        <w:rPr>
          <w:rFonts w:ascii="Cambria" w:hAnsi="Cambria"/>
          <w:sz w:val="20"/>
          <w:lang w:val="es-ES_tradnl"/>
        </w:rPr>
        <w:t xml:space="preserve"> </w:t>
      </w:r>
      <w:r w:rsidRPr="001372F1">
        <w:rPr>
          <w:rFonts w:ascii="Cambria" w:hAnsi="Cambria"/>
          <w:sz w:val="20"/>
          <w:lang w:val="es-ES_tradnl"/>
        </w:rPr>
        <w:t>ICCAT conservaría la plena propiedad de esta copia y tendría libertad para modificar el código base según fuera necesario.</w:t>
      </w:r>
      <w:r w:rsidR="00F65214" w:rsidRPr="001372F1">
        <w:rPr>
          <w:rFonts w:ascii="Cambria" w:hAnsi="Cambria"/>
          <w:sz w:val="20"/>
          <w:lang w:val="es-ES_tradnl"/>
        </w:rPr>
        <w:t xml:space="preserve"> </w:t>
      </w:r>
      <w:r w:rsidRPr="001372F1">
        <w:rPr>
          <w:rFonts w:ascii="Cambria" w:hAnsi="Cambria"/>
          <w:sz w:val="20"/>
          <w:lang w:val="es-ES_tradnl"/>
        </w:rPr>
        <w:t>La única restricción se referiría a los derechos de autor del código base original, que seguirían perteneciendo a la FAO.</w:t>
      </w:r>
      <w:r w:rsidR="00F65214" w:rsidRPr="001372F1">
        <w:rPr>
          <w:rFonts w:ascii="Cambria" w:hAnsi="Cambria"/>
          <w:sz w:val="20"/>
          <w:lang w:val="es-ES_tradnl"/>
        </w:rPr>
        <w:t xml:space="preserve"> </w:t>
      </w:r>
      <w:r w:rsidRPr="001372F1">
        <w:rPr>
          <w:rFonts w:ascii="Cambria" w:hAnsi="Cambria"/>
          <w:sz w:val="20"/>
          <w:lang w:val="es-ES_tradnl"/>
        </w:rPr>
        <w:t xml:space="preserve">En la práctica, </w:t>
      </w:r>
      <w:r w:rsidRPr="001372F1">
        <w:rPr>
          <w:rFonts w:ascii="Cambria" w:hAnsi="Cambria"/>
          <w:sz w:val="20"/>
          <w:lang w:val="es-ES_tradnl"/>
        </w:rPr>
        <w:lastRenderedPageBreak/>
        <w:t>esto significaría que ICCAT no podría compartir el código base original con terceros sin el consentimiento previo de la FAO.</w:t>
      </w:r>
    </w:p>
    <w:p w14:paraId="182684B6" w14:textId="77777777" w:rsidR="005E4813" w:rsidRPr="001372F1" w:rsidRDefault="00825910" w:rsidP="00E102ED">
      <w:pPr>
        <w:pStyle w:val="ListParagraph"/>
        <w:numPr>
          <w:ilvl w:val="0"/>
          <w:numId w:val="16"/>
        </w:numPr>
        <w:spacing w:after="0" w:line="240" w:lineRule="auto"/>
        <w:ind w:left="851" w:hanging="425"/>
        <w:jc w:val="both"/>
        <w:rPr>
          <w:rFonts w:ascii="Cambria" w:hAnsi="Cambria"/>
          <w:sz w:val="20"/>
          <w:szCs w:val="20"/>
          <w:lang w:val="es-ES_tradnl"/>
        </w:rPr>
      </w:pPr>
      <w:r w:rsidRPr="001372F1">
        <w:rPr>
          <w:rFonts w:ascii="Cambria" w:hAnsi="Cambria"/>
          <w:sz w:val="20"/>
          <w:lang w:val="es-ES_tradnl"/>
        </w:rPr>
        <w:t>Gobernanza:</w:t>
      </w:r>
      <w:r w:rsidR="00F65214" w:rsidRPr="001372F1">
        <w:rPr>
          <w:rFonts w:ascii="Cambria" w:hAnsi="Cambria"/>
          <w:sz w:val="20"/>
          <w:lang w:val="es-ES_tradnl"/>
        </w:rPr>
        <w:t xml:space="preserve"> </w:t>
      </w:r>
      <w:r w:rsidRPr="001372F1">
        <w:rPr>
          <w:rFonts w:ascii="Cambria" w:hAnsi="Cambria"/>
          <w:sz w:val="20"/>
          <w:lang w:val="es-ES_tradnl"/>
        </w:rPr>
        <w:t>ICCAT conservaría su control total.</w:t>
      </w:r>
      <w:r w:rsidR="00F65214" w:rsidRPr="001372F1">
        <w:rPr>
          <w:rFonts w:ascii="Cambria" w:hAnsi="Cambria"/>
          <w:sz w:val="20"/>
          <w:lang w:val="es-ES_tradnl"/>
        </w:rPr>
        <w:t xml:space="preserve"> </w:t>
      </w:r>
      <w:r w:rsidRPr="001372F1">
        <w:rPr>
          <w:rFonts w:ascii="Cambria" w:hAnsi="Cambria"/>
          <w:sz w:val="20"/>
          <w:lang w:val="es-ES_tradnl"/>
        </w:rPr>
        <w:t>Tras la entrega del código, ICCAT se encargaría de la implementación, el alojamiento, la personalización adicional, el mantenimiento y el desarrollo del sistema.</w:t>
      </w:r>
    </w:p>
    <w:p w14:paraId="18BDF3D1" w14:textId="77777777" w:rsidR="007457AC" w:rsidRPr="001372F1" w:rsidRDefault="005E4813" w:rsidP="00E102ED">
      <w:pPr>
        <w:pStyle w:val="ListParagraph"/>
        <w:numPr>
          <w:ilvl w:val="0"/>
          <w:numId w:val="16"/>
        </w:numPr>
        <w:spacing w:after="0" w:line="240" w:lineRule="auto"/>
        <w:ind w:left="851" w:hanging="425"/>
        <w:jc w:val="both"/>
        <w:rPr>
          <w:rFonts w:ascii="Cambria" w:hAnsi="Cambria"/>
          <w:sz w:val="20"/>
          <w:szCs w:val="20"/>
          <w:lang w:val="es-ES_tradnl"/>
        </w:rPr>
      </w:pPr>
      <w:r w:rsidRPr="001372F1">
        <w:rPr>
          <w:rFonts w:ascii="Cambria" w:hAnsi="Cambria"/>
          <w:sz w:val="20"/>
          <w:lang w:val="es-ES_tradnl"/>
        </w:rPr>
        <w:t>Función de la FAO:</w:t>
      </w:r>
      <w:r w:rsidR="00F65214" w:rsidRPr="001372F1">
        <w:rPr>
          <w:rFonts w:ascii="Cambria" w:hAnsi="Cambria"/>
          <w:sz w:val="20"/>
          <w:lang w:val="es-ES_tradnl"/>
        </w:rPr>
        <w:t xml:space="preserve"> </w:t>
      </w:r>
      <w:r w:rsidRPr="001372F1">
        <w:rPr>
          <w:rFonts w:ascii="Cambria" w:hAnsi="Cambria"/>
          <w:sz w:val="20"/>
          <w:lang w:val="es-ES_tradnl"/>
        </w:rPr>
        <w:t>Tras la entrega y la personalización inicial de la copia del GIES, la participación de la FAO se limitaría a la asistencia técnica para su implementación e interconexión con el GIES, así como a un apoyo adicional previa solicitud, en función de los recursos disponibles.</w:t>
      </w:r>
      <w:r w:rsidR="00F65214" w:rsidRPr="001372F1">
        <w:rPr>
          <w:rFonts w:ascii="Cambria" w:hAnsi="Cambria"/>
          <w:sz w:val="20"/>
          <w:lang w:val="es-ES_tradnl"/>
        </w:rPr>
        <w:t xml:space="preserve"> </w:t>
      </w:r>
      <w:r w:rsidRPr="001372F1">
        <w:rPr>
          <w:rFonts w:ascii="Cambria" w:hAnsi="Cambria"/>
          <w:sz w:val="20"/>
          <w:lang w:val="es-ES_tradnl"/>
        </w:rPr>
        <w:t>Además, la FAO se ofrece a poner a disposición, de forma gratuita, cualquier modificación posterior o nuevas funcionalidades desarrolladas tras la entrega de la copia.</w:t>
      </w:r>
    </w:p>
    <w:p w14:paraId="4A3F4728" w14:textId="77777777" w:rsidR="00825910" w:rsidRPr="001372F1" w:rsidRDefault="00825910" w:rsidP="00E102ED">
      <w:pPr>
        <w:pStyle w:val="ListParagraph"/>
        <w:numPr>
          <w:ilvl w:val="0"/>
          <w:numId w:val="16"/>
        </w:numPr>
        <w:spacing w:after="0" w:line="240" w:lineRule="auto"/>
        <w:ind w:left="851" w:hanging="425"/>
        <w:jc w:val="both"/>
        <w:rPr>
          <w:rFonts w:ascii="Cambria" w:hAnsi="Cambria"/>
          <w:sz w:val="20"/>
          <w:szCs w:val="20"/>
          <w:lang w:val="es-ES_tradnl"/>
        </w:rPr>
      </w:pPr>
      <w:r w:rsidRPr="001372F1">
        <w:rPr>
          <w:rFonts w:ascii="Cambria" w:hAnsi="Cambria"/>
          <w:sz w:val="20"/>
          <w:lang w:val="es-ES_tradnl"/>
        </w:rPr>
        <w:t>CPC que no son Partes del PSMA:</w:t>
      </w:r>
      <w:r w:rsidR="00BC499D" w:rsidRPr="001372F1">
        <w:rPr>
          <w:rFonts w:ascii="Cambria" w:hAnsi="Cambria"/>
          <w:sz w:val="20"/>
          <w:lang w:val="es-ES_tradnl"/>
        </w:rPr>
        <w:t xml:space="preserve"> </w:t>
      </w:r>
      <w:r w:rsidRPr="001372F1">
        <w:rPr>
          <w:rFonts w:ascii="Cambria" w:hAnsi="Cambria"/>
          <w:sz w:val="20"/>
          <w:lang w:val="es-ES_tradnl"/>
        </w:rPr>
        <w:t>ICCAT establecería las normas operativas que rigen los derechos de acceso, incluyendo qué entidades pueden enviar o consultar información y qué datos se transferirían al GIES de la FAO.</w:t>
      </w:r>
      <w:r w:rsidR="00F65214" w:rsidRPr="001372F1">
        <w:rPr>
          <w:rFonts w:ascii="Cambria" w:hAnsi="Cambria"/>
          <w:sz w:val="20"/>
          <w:lang w:val="es-ES_tradnl"/>
        </w:rPr>
        <w:t xml:space="preserve"> </w:t>
      </w:r>
      <w:r w:rsidRPr="001372F1">
        <w:rPr>
          <w:rFonts w:ascii="Cambria" w:hAnsi="Cambria"/>
          <w:sz w:val="20"/>
          <w:lang w:val="es-ES_tradnl"/>
        </w:rPr>
        <w:t>Todas las CPC podrían presentar información independientemente de su situación respecto al PSMA, mientras que solo la información presentada por las Partes del PSMA se compartiría con el GIES de la FAO.</w:t>
      </w:r>
    </w:p>
    <w:p w14:paraId="7899A624" w14:textId="77777777" w:rsidR="00A3370E" w:rsidRPr="001372F1" w:rsidRDefault="00312C3E" w:rsidP="00E102ED">
      <w:pPr>
        <w:pStyle w:val="ListParagraph"/>
        <w:numPr>
          <w:ilvl w:val="0"/>
          <w:numId w:val="16"/>
        </w:numPr>
        <w:spacing w:after="0" w:line="240" w:lineRule="auto"/>
        <w:ind w:left="851" w:hanging="425"/>
        <w:jc w:val="both"/>
        <w:rPr>
          <w:rFonts w:ascii="Cambria" w:hAnsi="Cambria"/>
          <w:sz w:val="20"/>
          <w:szCs w:val="20"/>
          <w:lang w:val="es-ES_tradnl"/>
        </w:rPr>
      </w:pPr>
      <w:r w:rsidRPr="001372F1">
        <w:rPr>
          <w:rFonts w:ascii="Cambria" w:hAnsi="Cambria"/>
          <w:sz w:val="20"/>
          <w:lang w:val="es-ES_tradnl"/>
        </w:rPr>
        <w:t>Responsabilidad financiera y mantenimiento:</w:t>
      </w:r>
      <w:r w:rsidR="00F65214" w:rsidRPr="001372F1">
        <w:rPr>
          <w:rFonts w:ascii="Cambria" w:hAnsi="Cambria"/>
          <w:sz w:val="20"/>
          <w:lang w:val="es-ES_tradnl"/>
        </w:rPr>
        <w:t xml:space="preserve"> </w:t>
      </w:r>
      <w:r w:rsidRPr="001372F1">
        <w:rPr>
          <w:rFonts w:ascii="Cambria" w:hAnsi="Cambria"/>
          <w:sz w:val="20"/>
          <w:lang w:val="es-ES_tradnl"/>
        </w:rPr>
        <w:t>ICCAT asumiría todos los costes asociados a la personalización, el desarrollo, la gestión y el mantenimiento posteriores, que seguirían siendo de plena responsabilidad de ICCAT.</w:t>
      </w:r>
    </w:p>
    <w:p w14:paraId="3987A066" w14:textId="77777777" w:rsidR="00ED56EC" w:rsidRPr="001372F1" w:rsidRDefault="00ED56EC" w:rsidP="00ED56EC">
      <w:pPr>
        <w:spacing w:after="0" w:line="240" w:lineRule="auto"/>
        <w:jc w:val="both"/>
        <w:rPr>
          <w:rFonts w:ascii="Cambria" w:hAnsi="Cambria"/>
          <w:sz w:val="20"/>
          <w:szCs w:val="20"/>
          <w:lang w:val="es-ES_tradnl"/>
        </w:rPr>
      </w:pPr>
    </w:p>
    <w:p w14:paraId="2321437F" w14:textId="77777777" w:rsidR="00A67DED" w:rsidRPr="001372F1" w:rsidRDefault="00A57138" w:rsidP="00A57138">
      <w:pPr>
        <w:spacing w:after="0" w:line="240" w:lineRule="auto"/>
        <w:jc w:val="both"/>
        <w:rPr>
          <w:rFonts w:ascii="Cambria" w:hAnsi="Cambria"/>
          <w:sz w:val="20"/>
          <w:lang w:val="es-ES_tradnl"/>
        </w:rPr>
      </w:pPr>
      <w:r w:rsidRPr="001372F1">
        <w:rPr>
          <w:rFonts w:ascii="Cambria" w:hAnsi="Cambria"/>
          <w:sz w:val="20"/>
          <w:lang w:val="es-ES_tradnl"/>
        </w:rPr>
        <w:t xml:space="preserve">Sobre la base de estas consultas, la Secretaría de ICCAT ha actualizado el resumen comparativo que se presenta a continuación en la </w:t>
      </w:r>
      <w:r w:rsidRPr="001372F1">
        <w:rPr>
          <w:rFonts w:ascii="Cambria" w:hAnsi="Cambria"/>
          <w:b/>
          <w:bCs/>
          <w:sz w:val="20"/>
          <w:lang w:val="es-ES_tradnl"/>
        </w:rPr>
        <w:t>Tabla 1</w:t>
      </w:r>
      <w:r w:rsidRPr="001372F1">
        <w:rPr>
          <w:rFonts w:ascii="Cambria" w:hAnsi="Cambria"/>
          <w:sz w:val="20"/>
          <w:lang w:val="es-ES_tradnl"/>
        </w:rPr>
        <w:t xml:space="preserve">, complementado por la </w:t>
      </w:r>
      <w:r w:rsidRPr="001372F1">
        <w:rPr>
          <w:rFonts w:ascii="Cambria" w:hAnsi="Cambria"/>
          <w:b/>
          <w:bCs/>
          <w:sz w:val="20"/>
          <w:lang w:val="es-ES_tradnl"/>
        </w:rPr>
        <w:t>Tabla 2</w:t>
      </w:r>
      <w:r w:rsidRPr="001372F1">
        <w:rPr>
          <w:rFonts w:ascii="Cambria" w:hAnsi="Cambria"/>
          <w:sz w:val="20"/>
          <w:lang w:val="es-ES_tradnl"/>
        </w:rPr>
        <w:t>.</w:t>
      </w:r>
      <w:r w:rsidR="001372F1">
        <w:rPr>
          <w:rFonts w:ascii="Cambria" w:hAnsi="Cambria"/>
          <w:sz w:val="20"/>
          <w:lang w:val="es-ES_tradnl"/>
        </w:rPr>
        <w:t xml:space="preserve"> </w:t>
      </w:r>
      <w:r w:rsidRPr="001372F1">
        <w:rPr>
          <w:rFonts w:ascii="Cambria" w:hAnsi="Cambria"/>
          <w:sz w:val="20"/>
          <w:lang w:val="es-ES_tradnl"/>
        </w:rPr>
        <w:t>En conjunto, estas tablas ofrecen una visión general completa de las dos opciones restantes: (</w:t>
      </w:r>
      <w:proofErr w:type="spellStart"/>
      <w:r w:rsidRPr="001372F1">
        <w:rPr>
          <w:rFonts w:ascii="Cambria" w:hAnsi="Cambria"/>
          <w:sz w:val="20"/>
          <w:lang w:val="es-ES_tradnl"/>
        </w:rPr>
        <w:t>iii</w:t>
      </w:r>
      <w:proofErr w:type="spellEnd"/>
      <w:r w:rsidRPr="001372F1">
        <w:rPr>
          <w:rFonts w:ascii="Cambria" w:hAnsi="Cambria"/>
          <w:sz w:val="20"/>
          <w:lang w:val="es-ES_tradnl"/>
        </w:rPr>
        <w:t>) el GIES de la FAO y (</w:t>
      </w:r>
      <w:proofErr w:type="spellStart"/>
      <w:r w:rsidRPr="001372F1">
        <w:rPr>
          <w:rFonts w:ascii="Cambria" w:hAnsi="Cambria"/>
          <w:sz w:val="20"/>
          <w:lang w:val="es-ES_tradnl"/>
        </w:rPr>
        <w:t>iv</w:t>
      </w:r>
      <w:proofErr w:type="spellEnd"/>
      <w:r w:rsidRPr="001372F1">
        <w:rPr>
          <w:rFonts w:ascii="Cambria" w:hAnsi="Cambria"/>
          <w:sz w:val="20"/>
          <w:lang w:val="es-ES_tradnl"/>
        </w:rPr>
        <w:t>) el e-PSM de la IOTC, y abarcan sus características clave, requisitos técnicos, ventajas y limitaciones.</w:t>
      </w:r>
    </w:p>
    <w:p w14:paraId="4E271BD4" w14:textId="77777777" w:rsidR="00F65214" w:rsidRPr="001372F1" w:rsidRDefault="00F65214" w:rsidP="00A57138">
      <w:pPr>
        <w:spacing w:after="0" w:line="240" w:lineRule="auto"/>
        <w:jc w:val="both"/>
        <w:rPr>
          <w:rFonts w:ascii="Cambria" w:hAnsi="Cambria"/>
          <w:sz w:val="20"/>
          <w:szCs w:val="20"/>
          <w:lang w:val="es-ES_tradnl"/>
        </w:rPr>
        <w:sectPr w:rsidR="00F65214" w:rsidRPr="001372F1" w:rsidSect="004E4E28">
          <w:headerReference w:type="default" r:id="rId10"/>
          <w:footerReference w:type="default" r:id="rId11"/>
          <w:pgSz w:w="11907" w:h="16840" w:code="9"/>
          <w:pgMar w:top="1418" w:right="1418" w:bottom="1418" w:left="1418" w:header="851" w:footer="1134" w:gutter="0"/>
          <w:cols w:space="720"/>
          <w:docGrid w:linePitch="360"/>
        </w:sectPr>
      </w:pPr>
    </w:p>
    <w:p w14:paraId="4D6372CD" w14:textId="77777777" w:rsidR="00A67DED" w:rsidRPr="001372F1" w:rsidRDefault="00A67DED" w:rsidP="00D03C37">
      <w:pPr>
        <w:spacing w:after="0" w:line="240" w:lineRule="auto"/>
        <w:ind w:left="360" w:hanging="360"/>
        <w:rPr>
          <w:rFonts w:ascii="Cambria" w:hAnsi="Cambria"/>
          <w:sz w:val="20"/>
          <w:szCs w:val="20"/>
          <w:lang w:val="es-ES_tradnl"/>
        </w:rPr>
      </w:pPr>
      <w:r w:rsidRPr="001372F1">
        <w:rPr>
          <w:rFonts w:ascii="Cambria" w:hAnsi="Cambria"/>
          <w:b/>
          <w:sz w:val="20"/>
          <w:lang w:val="es-ES_tradnl"/>
        </w:rPr>
        <w:lastRenderedPageBreak/>
        <w:t>Tabla 1</w:t>
      </w:r>
      <w:r w:rsidRPr="001372F1">
        <w:rPr>
          <w:rFonts w:ascii="Cambria" w:hAnsi="Cambria"/>
          <w:sz w:val="20"/>
          <w:lang w:val="es-ES_tradnl"/>
        </w:rPr>
        <w:t>.</w:t>
      </w:r>
      <w:r w:rsidR="001372F1">
        <w:rPr>
          <w:rFonts w:ascii="Cambria" w:hAnsi="Cambria"/>
          <w:sz w:val="20"/>
          <w:lang w:val="es-ES_tradnl"/>
        </w:rPr>
        <w:t xml:space="preserve"> </w:t>
      </w:r>
      <w:r w:rsidRPr="001372F1">
        <w:rPr>
          <w:rFonts w:ascii="Cambria" w:hAnsi="Cambria"/>
          <w:sz w:val="20"/>
          <w:lang w:val="es-ES_tradnl"/>
        </w:rPr>
        <w:t>ICCAT – Comparación preliminar de soluciones de intercambio de datos sobre PSM.</w:t>
      </w:r>
    </w:p>
    <w:tbl>
      <w:tblPr>
        <w:tblW w:w="14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5"/>
        <w:gridCol w:w="1469"/>
        <w:gridCol w:w="10605"/>
        <w:gridCol w:w="8"/>
      </w:tblGrid>
      <w:tr w:rsidR="000A4659" w:rsidRPr="001372F1" w14:paraId="360E81B7" w14:textId="77777777" w:rsidTr="00AF7751">
        <w:trPr>
          <w:gridAfter w:val="1"/>
          <w:wAfter w:w="8" w:type="dxa"/>
          <w:trHeight w:val="288"/>
        </w:trPr>
        <w:tc>
          <w:tcPr>
            <w:tcW w:w="2065" w:type="dxa"/>
            <w:shd w:val="clear" w:color="auto" w:fill="000000" w:themeFill="text1"/>
            <w:noWrap/>
            <w:vAlign w:val="center"/>
            <w:hideMark/>
          </w:tcPr>
          <w:p w14:paraId="7B37F3B1" w14:textId="77777777" w:rsidR="000A4659" w:rsidRPr="001372F1" w:rsidRDefault="000A4659" w:rsidP="0020557A">
            <w:pPr>
              <w:spacing w:after="0" w:line="240" w:lineRule="auto"/>
              <w:rPr>
                <w:rFonts w:ascii="Cambria" w:eastAsia="Times New Roman" w:hAnsi="Cambria" w:cs="Calibri"/>
                <w:b/>
                <w:bCs/>
                <w:color w:val="FFFFFF" w:themeColor="background1"/>
                <w:kern w:val="0"/>
                <w:sz w:val="20"/>
                <w:szCs w:val="20"/>
                <w:lang w:val="es-ES_tradnl"/>
              </w:rPr>
            </w:pPr>
            <w:r w:rsidRPr="001372F1">
              <w:rPr>
                <w:rFonts w:ascii="Cambria" w:hAnsi="Cambria"/>
                <w:b/>
                <w:color w:val="FFFFFF" w:themeColor="background1"/>
                <w:kern w:val="0"/>
                <w:sz w:val="20"/>
                <w:lang w:val="es-ES_tradnl"/>
              </w:rPr>
              <w:t>Criterio</w:t>
            </w:r>
          </w:p>
        </w:tc>
        <w:tc>
          <w:tcPr>
            <w:tcW w:w="1469" w:type="dxa"/>
            <w:shd w:val="clear" w:color="auto" w:fill="000000" w:themeFill="text1"/>
            <w:vAlign w:val="center"/>
            <w:hideMark/>
          </w:tcPr>
          <w:p w14:paraId="2C8CC99C" w14:textId="77777777" w:rsidR="000A4659" w:rsidRPr="001372F1" w:rsidRDefault="000A4659" w:rsidP="0020557A">
            <w:pPr>
              <w:spacing w:after="0" w:line="240" w:lineRule="auto"/>
              <w:rPr>
                <w:rFonts w:ascii="Cambria" w:eastAsia="Times New Roman" w:hAnsi="Cambria" w:cs="Calibri"/>
                <w:b/>
                <w:bCs/>
                <w:color w:val="FFFFFF" w:themeColor="background1"/>
                <w:kern w:val="0"/>
                <w:sz w:val="20"/>
                <w:szCs w:val="20"/>
                <w:lang w:val="es-ES_tradnl"/>
              </w:rPr>
            </w:pPr>
            <w:r w:rsidRPr="001372F1">
              <w:rPr>
                <w:rFonts w:ascii="Cambria" w:hAnsi="Cambria"/>
                <w:b/>
                <w:color w:val="FFFFFF" w:themeColor="background1"/>
                <w:kern w:val="0"/>
                <w:sz w:val="20"/>
                <w:lang w:val="es-ES_tradnl"/>
              </w:rPr>
              <w:t>Opciones</w:t>
            </w:r>
          </w:p>
        </w:tc>
        <w:tc>
          <w:tcPr>
            <w:tcW w:w="10605" w:type="dxa"/>
            <w:shd w:val="clear" w:color="auto" w:fill="000000" w:themeFill="text1"/>
            <w:vAlign w:val="center"/>
            <w:hideMark/>
          </w:tcPr>
          <w:p w14:paraId="301F2656" w14:textId="77777777" w:rsidR="000A4659" w:rsidRPr="001372F1" w:rsidRDefault="000A4659" w:rsidP="0020557A">
            <w:pPr>
              <w:spacing w:after="0" w:line="240" w:lineRule="auto"/>
              <w:rPr>
                <w:rFonts w:ascii="Cambria" w:eastAsia="Times New Roman" w:hAnsi="Cambria" w:cs="Calibri"/>
                <w:b/>
                <w:bCs/>
                <w:color w:val="FFFFFF" w:themeColor="background1"/>
                <w:kern w:val="0"/>
                <w:sz w:val="20"/>
                <w:szCs w:val="20"/>
                <w:lang w:val="es-ES_tradnl"/>
              </w:rPr>
            </w:pPr>
            <w:r w:rsidRPr="001372F1">
              <w:rPr>
                <w:rFonts w:ascii="Cambria" w:hAnsi="Cambria"/>
                <w:b/>
                <w:color w:val="FFFFFF" w:themeColor="background1"/>
                <w:kern w:val="0"/>
                <w:sz w:val="20"/>
                <w:lang w:val="es-ES_tradnl"/>
              </w:rPr>
              <w:t>Comentarios</w:t>
            </w:r>
          </w:p>
        </w:tc>
      </w:tr>
      <w:tr w:rsidR="000A4659" w:rsidRPr="001372F1" w14:paraId="59378D07" w14:textId="77777777" w:rsidTr="006C2BDB">
        <w:trPr>
          <w:trHeight w:val="288"/>
        </w:trPr>
        <w:tc>
          <w:tcPr>
            <w:tcW w:w="14147" w:type="dxa"/>
            <w:gridSpan w:val="4"/>
            <w:shd w:val="clear" w:color="auto" w:fill="D9D9D9" w:themeFill="background1" w:themeFillShade="D9"/>
            <w:noWrap/>
            <w:vAlign w:val="center"/>
            <w:hideMark/>
          </w:tcPr>
          <w:p w14:paraId="65932677" w14:textId="77777777" w:rsidR="000A4659" w:rsidRPr="001372F1" w:rsidRDefault="000A4659" w:rsidP="0020557A">
            <w:pPr>
              <w:spacing w:after="0" w:line="240" w:lineRule="auto"/>
              <w:rPr>
                <w:rFonts w:ascii="Cambria" w:eastAsia="Times New Roman" w:hAnsi="Cambria" w:cs="Times New Roman"/>
                <w:b/>
                <w:bCs/>
                <w:kern w:val="0"/>
                <w:sz w:val="20"/>
                <w:szCs w:val="20"/>
                <w:lang w:val="es-ES_tradnl"/>
              </w:rPr>
            </w:pPr>
            <w:r w:rsidRPr="001372F1">
              <w:rPr>
                <w:rFonts w:ascii="Cambria" w:hAnsi="Cambria"/>
                <w:b/>
                <w:color w:val="000000"/>
                <w:kern w:val="0"/>
                <w:sz w:val="20"/>
                <w:lang w:val="es-ES_tradnl"/>
              </w:rPr>
              <w:t>MODALIDAD DE USO COMPARTIDO Y ADAPTACIÓN FUNCIONAL</w:t>
            </w:r>
          </w:p>
        </w:tc>
      </w:tr>
      <w:tr w:rsidR="000A4659" w:rsidRPr="001372F1" w14:paraId="2906D9FE" w14:textId="77777777" w:rsidTr="001956BB">
        <w:trPr>
          <w:gridAfter w:val="1"/>
          <w:wAfter w:w="8" w:type="dxa"/>
          <w:trHeight w:val="678"/>
        </w:trPr>
        <w:tc>
          <w:tcPr>
            <w:tcW w:w="2065" w:type="dxa"/>
            <w:vMerge w:val="restart"/>
            <w:noWrap/>
            <w:vAlign w:val="center"/>
            <w:hideMark/>
          </w:tcPr>
          <w:p w14:paraId="432A31AA" w14:textId="77777777" w:rsidR="000A4659" w:rsidRPr="001372F1" w:rsidRDefault="00FE4207" w:rsidP="0020557A">
            <w:pPr>
              <w:spacing w:after="0" w:line="240" w:lineRule="auto"/>
              <w:rPr>
                <w:rFonts w:ascii="Cambria" w:eastAsia="Times New Roman" w:hAnsi="Cambria" w:cs="Times New Roman"/>
                <w:kern w:val="0"/>
                <w:sz w:val="20"/>
                <w:szCs w:val="20"/>
                <w:lang w:val="es-ES_tradnl"/>
              </w:rPr>
            </w:pPr>
            <w:r w:rsidRPr="001372F1">
              <w:rPr>
                <w:rFonts w:ascii="Cambria" w:hAnsi="Cambria"/>
                <w:kern w:val="0"/>
                <w:sz w:val="20"/>
                <w:lang w:val="es-ES_tradnl"/>
              </w:rPr>
              <w:t>Modalidad de uso compartido</w:t>
            </w:r>
          </w:p>
        </w:tc>
        <w:tc>
          <w:tcPr>
            <w:tcW w:w="1469" w:type="dxa"/>
            <w:noWrap/>
            <w:vAlign w:val="center"/>
            <w:hideMark/>
          </w:tcPr>
          <w:p w14:paraId="44C024B8" w14:textId="77777777" w:rsidR="000A4659" w:rsidRPr="001372F1" w:rsidRDefault="00AF7751" w:rsidP="00F65214">
            <w:pPr>
              <w:spacing w:after="0" w:line="240" w:lineRule="auto"/>
              <w:jc w:val="center"/>
              <w:rPr>
                <w:rFonts w:ascii="Cambria" w:eastAsia="Times New Roman" w:hAnsi="Cambria" w:cs="Calibri"/>
                <w:color w:val="000000"/>
                <w:kern w:val="0"/>
                <w:sz w:val="20"/>
                <w:szCs w:val="20"/>
                <w:lang w:val="es-ES_tradnl"/>
              </w:rPr>
            </w:pPr>
            <w:r w:rsidRPr="001372F1">
              <w:rPr>
                <w:rFonts w:ascii="Cambria" w:hAnsi="Cambria"/>
                <w:sz w:val="20"/>
                <w:lang w:val="es-ES_tradnl"/>
              </w:rPr>
              <w:t>El GIES de la FAO</w:t>
            </w:r>
          </w:p>
        </w:tc>
        <w:tc>
          <w:tcPr>
            <w:tcW w:w="10605" w:type="dxa"/>
            <w:vAlign w:val="center"/>
            <w:hideMark/>
          </w:tcPr>
          <w:p w14:paraId="1A4D7825" w14:textId="77777777" w:rsidR="000A4659" w:rsidRPr="001372F1" w:rsidRDefault="000A4659" w:rsidP="001956BB">
            <w:pPr>
              <w:spacing w:before="120" w:after="120" w:line="240" w:lineRule="auto"/>
              <w:jc w:val="both"/>
              <w:rPr>
                <w:rFonts w:ascii="Cambria" w:eastAsia="Times New Roman" w:hAnsi="Cambria" w:cs="Calibri"/>
                <w:color w:val="000000"/>
                <w:kern w:val="0"/>
                <w:sz w:val="20"/>
                <w:szCs w:val="20"/>
                <w:lang w:val="es-ES_tradnl"/>
              </w:rPr>
            </w:pPr>
            <w:r w:rsidRPr="001372F1">
              <w:rPr>
                <w:rFonts w:ascii="Cambria" w:hAnsi="Cambria"/>
                <w:color w:val="000000"/>
                <w:kern w:val="0"/>
                <w:sz w:val="20"/>
                <w:lang w:val="es-ES_tradnl"/>
              </w:rPr>
              <w:t>La FAO proporcionaría a ICCAT una copia del GIES y se encargaría de su personalización básica.</w:t>
            </w:r>
            <w:r w:rsidR="00F65214" w:rsidRPr="001372F1">
              <w:rPr>
                <w:rFonts w:ascii="Cambria" w:hAnsi="Cambria"/>
                <w:color w:val="000000"/>
                <w:kern w:val="0"/>
                <w:sz w:val="20"/>
                <w:lang w:val="es-ES_tradnl"/>
              </w:rPr>
              <w:t xml:space="preserve"> </w:t>
            </w:r>
            <w:r w:rsidRPr="001372F1">
              <w:rPr>
                <w:rFonts w:ascii="Cambria" w:hAnsi="Cambria"/>
                <w:color w:val="000000"/>
                <w:kern w:val="0"/>
                <w:sz w:val="20"/>
                <w:lang w:val="es-ES_tradnl"/>
              </w:rPr>
              <w:t>Una vez facilitado el código, ICCAT será plenamente responsable de la implementación, el alojamiento, la personalización adicional, el mantenimiento y el desarrollo del sistema.</w:t>
            </w:r>
            <w:r w:rsidR="00F65214" w:rsidRPr="001372F1">
              <w:rPr>
                <w:rFonts w:ascii="Cambria" w:hAnsi="Cambria"/>
                <w:color w:val="000000"/>
                <w:kern w:val="0"/>
                <w:sz w:val="20"/>
                <w:lang w:val="es-ES_tradnl"/>
              </w:rPr>
              <w:t xml:space="preserve"> </w:t>
            </w:r>
            <w:r w:rsidRPr="001372F1">
              <w:rPr>
                <w:rFonts w:ascii="Cambria" w:hAnsi="Cambria"/>
                <w:color w:val="000000"/>
                <w:kern w:val="0"/>
                <w:sz w:val="20"/>
                <w:lang w:val="es-ES_tradnl"/>
              </w:rPr>
              <w:t>La FAO solo procuraría prestar apoyo técnico en la medida de lo posible.</w:t>
            </w:r>
          </w:p>
        </w:tc>
      </w:tr>
      <w:tr w:rsidR="000A4659" w:rsidRPr="001372F1" w14:paraId="4A04CFAF" w14:textId="77777777" w:rsidTr="00AF7751">
        <w:trPr>
          <w:gridAfter w:val="1"/>
          <w:wAfter w:w="8" w:type="dxa"/>
          <w:trHeight w:val="323"/>
        </w:trPr>
        <w:tc>
          <w:tcPr>
            <w:tcW w:w="2065" w:type="dxa"/>
            <w:vMerge/>
            <w:noWrap/>
            <w:vAlign w:val="center"/>
            <w:hideMark/>
          </w:tcPr>
          <w:p w14:paraId="06E5A1BF" w14:textId="77777777" w:rsidR="000A4659" w:rsidRPr="001372F1" w:rsidRDefault="000A4659" w:rsidP="0020557A">
            <w:pPr>
              <w:spacing w:after="0" w:line="240" w:lineRule="auto"/>
              <w:rPr>
                <w:rFonts w:ascii="Cambria" w:eastAsia="Times New Roman" w:hAnsi="Cambria" w:cs="Times New Roman"/>
                <w:kern w:val="0"/>
                <w:sz w:val="20"/>
                <w:szCs w:val="20"/>
                <w:lang w:val="es-ES_tradnl"/>
              </w:rPr>
            </w:pPr>
          </w:p>
        </w:tc>
        <w:tc>
          <w:tcPr>
            <w:tcW w:w="1469" w:type="dxa"/>
            <w:noWrap/>
            <w:vAlign w:val="center"/>
            <w:hideMark/>
          </w:tcPr>
          <w:p w14:paraId="327ABFE7" w14:textId="77777777" w:rsidR="000A4659" w:rsidRPr="001372F1" w:rsidRDefault="00AF7751" w:rsidP="00831FD9">
            <w:pPr>
              <w:spacing w:after="0" w:line="240" w:lineRule="auto"/>
              <w:jc w:val="center"/>
              <w:rPr>
                <w:rFonts w:ascii="Cambria" w:eastAsia="Times New Roman" w:hAnsi="Cambria" w:cs="Calibri"/>
                <w:color w:val="000000"/>
                <w:kern w:val="0"/>
                <w:sz w:val="20"/>
                <w:szCs w:val="20"/>
                <w:lang w:val="es-ES_tradnl"/>
              </w:rPr>
            </w:pPr>
            <w:r w:rsidRPr="001372F1">
              <w:rPr>
                <w:rFonts w:ascii="Cambria" w:hAnsi="Cambria"/>
                <w:sz w:val="20"/>
                <w:lang w:val="es-ES_tradnl"/>
              </w:rPr>
              <w:t>e-PSM de la IOTC</w:t>
            </w:r>
          </w:p>
        </w:tc>
        <w:tc>
          <w:tcPr>
            <w:tcW w:w="10605" w:type="dxa"/>
            <w:vAlign w:val="center"/>
            <w:hideMark/>
          </w:tcPr>
          <w:p w14:paraId="2A20DE81" w14:textId="77777777" w:rsidR="000A4659" w:rsidRPr="001372F1" w:rsidRDefault="000A4659" w:rsidP="0083684F">
            <w:pPr>
              <w:spacing w:before="120" w:after="120" w:line="240" w:lineRule="auto"/>
              <w:jc w:val="both"/>
              <w:rPr>
                <w:rFonts w:ascii="Cambria" w:eastAsia="Times New Roman" w:hAnsi="Cambria" w:cs="Calibri"/>
                <w:color w:val="000000"/>
                <w:kern w:val="0"/>
                <w:sz w:val="20"/>
                <w:szCs w:val="20"/>
                <w:lang w:val="es-ES_tradnl"/>
              </w:rPr>
            </w:pPr>
            <w:r w:rsidRPr="001372F1">
              <w:rPr>
                <w:rFonts w:ascii="Cambria" w:hAnsi="Cambria"/>
                <w:color w:val="000000"/>
                <w:kern w:val="0"/>
                <w:sz w:val="20"/>
                <w:lang w:val="es-ES_tradnl"/>
              </w:rPr>
              <w:t>La modalidad propuesta por la IOTC incluye compartir una copia del e-PSM.</w:t>
            </w:r>
            <w:r w:rsidR="00F65214" w:rsidRPr="001372F1">
              <w:rPr>
                <w:rFonts w:ascii="Cambria" w:hAnsi="Cambria"/>
                <w:color w:val="000000"/>
                <w:kern w:val="0"/>
                <w:sz w:val="20"/>
                <w:lang w:val="es-ES_tradnl"/>
              </w:rPr>
              <w:t xml:space="preserve"> </w:t>
            </w:r>
            <w:r w:rsidRPr="001372F1">
              <w:rPr>
                <w:rFonts w:ascii="Cambria" w:hAnsi="Cambria"/>
                <w:color w:val="000000"/>
                <w:kern w:val="0"/>
                <w:sz w:val="20"/>
                <w:lang w:val="es-ES_tradnl"/>
              </w:rPr>
              <w:t>Todos los costes posteriores correrían a cargo de ICCAT, ya que la IOTC no se compromete a sufragar ningún coste.</w:t>
            </w:r>
          </w:p>
        </w:tc>
      </w:tr>
      <w:tr w:rsidR="00AF7751" w:rsidRPr="001372F1" w14:paraId="144203EE" w14:textId="77777777" w:rsidTr="00AF7751">
        <w:trPr>
          <w:gridAfter w:val="1"/>
          <w:wAfter w:w="8" w:type="dxa"/>
          <w:trHeight w:val="288"/>
        </w:trPr>
        <w:tc>
          <w:tcPr>
            <w:tcW w:w="2065" w:type="dxa"/>
            <w:vMerge w:val="restart"/>
            <w:noWrap/>
            <w:vAlign w:val="center"/>
            <w:hideMark/>
          </w:tcPr>
          <w:p w14:paraId="35A037BA" w14:textId="77777777" w:rsidR="00AF7751" w:rsidRPr="001372F1" w:rsidRDefault="00AF7751" w:rsidP="00AF7751">
            <w:pPr>
              <w:spacing w:after="0" w:line="240" w:lineRule="auto"/>
              <w:rPr>
                <w:rFonts w:ascii="Cambria" w:eastAsia="Times New Roman" w:hAnsi="Cambria" w:cs="Calibri"/>
                <w:kern w:val="0"/>
                <w:sz w:val="20"/>
                <w:szCs w:val="20"/>
                <w:lang w:val="es-ES_tradnl"/>
              </w:rPr>
            </w:pPr>
            <w:r w:rsidRPr="001372F1">
              <w:rPr>
                <w:rFonts w:ascii="Cambria" w:hAnsi="Cambria"/>
                <w:kern w:val="0"/>
                <w:sz w:val="20"/>
                <w:lang w:val="es-ES_tradnl"/>
              </w:rPr>
              <w:t>Cobertura funcional</w:t>
            </w:r>
          </w:p>
        </w:tc>
        <w:tc>
          <w:tcPr>
            <w:tcW w:w="1469" w:type="dxa"/>
            <w:noWrap/>
            <w:vAlign w:val="center"/>
            <w:hideMark/>
          </w:tcPr>
          <w:p w14:paraId="5E86BB87" w14:textId="77777777" w:rsidR="00AF7751" w:rsidRPr="001372F1" w:rsidRDefault="00AF7751" w:rsidP="00F65214">
            <w:pPr>
              <w:spacing w:after="0" w:line="240" w:lineRule="auto"/>
              <w:jc w:val="center"/>
              <w:rPr>
                <w:rFonts w:ascii="Cambria" w:eastAsia="Times New Roman" w:hAnsi="Cambria" w:cs="Calibri"/>
                <w:color w:val="000000"/>
                <w:kern w:val="0"/>
                <w:sz w:val="20"/>
                <w:szCs w:val="20"/>
                <w:lang w:val="es-ES_tradnl"/>
              </w:rPr>
            </w:pPr>
            <w:r w:rsidRPr="001372F1">
              <w:rPr>
                <w:rFonts w:ascii="Cambria" w:hAnsi="Cambria"/>
                <w:sz w:val="20"/>
                <w:lang w:val="es-ES_tradnl"/>
              </w:rPr>
              <w:t>El GIES de la FAO</w:t>
            </w:r>
          </w:p>
        </w:tc>
        <w:tc>
          <w:tcPr>
            <w:tcW w:w="10605" w:type="dxa"/>
            <w:vAlign w:val="center"/>
            <w:hideMark/>
          </w:tcPr>
          <w:p w14:paraId="71D50587" w14:textId="77777777" w:rsidR="00AF7751" w:rsidRPr="001372F1" w:rsidRDefault="00AF7751" w:rsidP="0083684F">
            <w:pPr>
              <w:spacing w:before="120" w:after="120" w:line="240" w:lineRule="auto"/>
              <w:jc w:val="both"/>
              <w:rPr>
                <w:rFonts w:ascii="Cambria" w:eastAsia="Times New Roman" w:hAnsi="Cambria" w:cs="Calibri"/>
                <w:color w:val="000000"/>
                <w:kern w:val="0"/>
                <w:sz w:val="20"/>
                <w:szCs w:val="20"/>
                <w:lang w:val="es-ES_tradnl"/>
              </w:rPr>
            </w:pPr>
            <w:r w:rsidRPr="001372F1">
              <w:rPr>
                <w:rFonts w:ascii="Cambria" w:hAnsi="Cambria"/>
                <w:color w:val="000000"/>
                <w:kern w:val="0"/>
                <w:sz w:val="20"/>
                <w:lang w:val="es-ES_tradnl"/>
              </w:rPr>
              <w:t>El GIES ofrece comunicación oportuna entre las partes interesadas pertinentes en relación con los puntos de contacto nacionales y los puertos designados, los informes de inspección portuaria, las solicitudes previas de entrada en puerto (ARPE), las denegaciones de entrada y uso de puertos, y los formularios para informar sobre cualquier medida adoptada por los Estados rectores del puerto y los Estados del pabellón.</w:t>
            </w:r>
            <w:r w:rsidR="00F65214" w:rsidRPr="001372F1">
              <w:rPr>
                <w:rFonts w:ascii="Cambria" w:hAnsi="Cambria"/>
                <w:color w:val="000000"/>
                <w:kern w:val="0"/>
                <w:sz w:val="20"/>
                <w:lang w:val="es-ES_tradnl"/>
              </w:rPr>
              <w:t xml:space="preserve"> </w:t>
            </w:r>
            <w:r w:rsidRPr="001372F1">
              <w:rPr>
                <w:rFonts w:ascii="Cambria" w:hAnsi="Cambria"/>
                <w:color w:val="000000"/>
                <w:kern w:val="0"/>
                <w:sz w:val="20"/>
                <w:lang w:val="es-ES_tradnl"/>
              </w:rPr>
              <w:t xml:space="preserve">Además, incluye otras funcionalidades que facilitan el análisis de riesgos, como el perfil del buque, GIES </w:t>
            </w:r>
            <w:proofErr w:type="spellStart"/>
            <w:r w:rsidRPr="001372F1">
              <w:rPr>
                <w:rFonts w:ascii="Cambria" w:hAnsi="Cambria"/>
                <w:color w:val="000000"/>
                <w:kern w:val="0"/>
                <w:sz w:val="20"/>
                <w:lang w:val="es-ES_tradnl"/>
              </w:rPr>
              <w:t>Analytics</w:t>
            </w:r>
            <w:proofErr w:type="spellEnd"/>
            <w:r w:rsidRPr="001372F1">
              <w:rPr>
                <w:rFonts w:ascii="Cambria" w:hAnsi="Cambria"/>
                <w:color w:val="000000"/>
                <w:kern w:val="0"/>
                <w:sz w:val="20"/>
                <w:lang w:val="es-ES_tradnl"/>
              </w:rPr>
              <w:t>, el chat en directo, la tecnología UN/FLUX, los formularios de declaración de desembarque y transbordo, y una sección sobre las entidades que han sido notificadas en los formularios publicados.</w:t>
            </w:r>
          </w:p>
        </w:tc>
      </w:tr>
      <w:tr w:rsidR="00AF7751" w:rsidRPr="001372F1" w14:paraId="6CD0452C" w14:textId="77777777" w:rsidTr="00AF7751">
        <w:trPr>
          <w:gridAfter w:val="1"/>
          <w:wAfter w:w="8" w:type="dxa"/>
          <w:trHeight w:val="864"/>
        </w:trPr>
        <w:tc>
          <w:tcPr>
            <w:tcW w:w="2065" w:type="dxa"/>
            <w:vMerge/>
            <w:noWrap/>
            <w:vAlign w:val="center"/>
            <w:hideMark/>
          </w:tcPr>
          <w:p w14:paraId="439D8CEA" w14:textId="77777777" w:rsidR="00AF7751" w:rsidRPr="001372F1" w:rsidRDefault="00AF7751" w:rsidP="00AF7751">
            <w:pPr>
              <w:spacing w:after="0" w:line="240" w:lineRule="auto"/>
              <w:rPr>
                <w:rFonts w:ascii="Cambria" w:eastAsia="Times New Roman" w:hAnsi="Cambria" w:cs="Calibri"/>
                <w:kern w:val="0"/>
                <w:sz w:val="20"/>
                <w:szCs w:val="20"/>
                <w:lang w:val="es-ES_tradnl"/>
              </w:rPr>
            </w:pPr>
          </w:p>
        </w:tc>
        <w:tc>
          <w:tcPr>
            <w:tcW w:w="1469" w:type="dxa"/>
            <w:noWrap/>
            <w:vAlign w:val="center"/>
            <w:hideMark/>
          </w:tcPr>
          <w:p w14:paraId="0E33C37A" w14:textId="77777777" w:rsidR="00AF7751" w:rsidRPr="001372F1" w:rsidRDefault="00AF7751" w:rsidP="00831FD9">
            <w:pPr>
              <w:spacing w:after="0" w:line="240" w:lineRule="auto"/>
              <w:jc w:val="center"/>
              <w:rPr>
                <w:rFonts w:ascii="Cambria" w:eastAsia="Times New Roman" w:hAnsi="Cambria" w:cs="Calibri"/>
                <w:color w:val="000000"/>
                <w:kern w:val="0"/>
                <w:sz w:val="20"/>
                <w:szCs w:val="20"/>
                <w:lang w:val="es-ES_tradnl"/>
              </w:rPr>
            </w:pPr>
            <w:r w:rsidRPr="001372F1">
              <w:rPr>
                <w:rFonts w:ascii="Cambria" w:hAnsi="Cambria"/>
                <w:sz w:val="20"/>
                <w:lang w:val="es-ES_tradnl"/>
              </w:rPr>
              <w:t>e-PSM de la IOTC</w:t>
            </w:r>
          </w:p>
        </w:tc>
        <w:tc>
          <w:tcPr>
            <w:tcW w:w="10605" w:type="dxa"/>
            <w:vAlign w:val="center"/>
            <w:hideMark/>
          </w:tcPr>
          <w:p w14:paraId="72DEEA52" w14:textId="77777777" w:rsidR="00AF7751" w:rsidRPr="001372F1" w:rsidRDefault="00AF7751" w:rsidP="0083684F">
            <w:pPr>
              <w:spacing w:before="120" w:after="120" w:line="240" w:lineRule="auto"/>
              <w:jc w:val="both"/>
              <w:rPr>
                <w:rFonts w:ascii="Cambria" w:eastAsia="Times New Roman" w:hAnsi="Cambria" w:cs="Calibri"/>
                <w:color w:val="000000"/>
                <w:kern w:val="0"/>
                <w:sz w:val="20"/>
                <w:szCs w:val="20"/>
                <w:lang w:val="es-ES_tradnl"/>
              </w:rPr>
            </w:pPr>
            <w:r w:rsidRPr="001372F1">
              <w:rPr>
                <w:rFonts w:ascii="Cambria" w:hAnsi="Cambria"/>
                <w:color w:val="000000"/>
                <w:kern w:val="0"/>
                <w:sz w:val="20"/>
                <w:lang w:val="es-ES_tradnl"/>
              </w:rPr>
              <w:t>El e-PSM de la IOTC ofrece un flujo de trabajo operativo para la presentación y tramitación de ARPE, decisiones sobre la entrada en puerto, informes de inspección portuaria, solicitudes de información adicional y comunicaciones relacionadas entre los Estados rectores del puerto, los Estados del pabellón y otros usuarios pertinentes.</w:t>
            </w:r>
            <w:r w:rsidR="00BC499D" w:rsidRPr="001372F1">
              <w:rPr>
                <w:rFonts w:ascii="Cambria" w:hAnsi="Cambria"/>
                <w:color w:val="000000"/>
                <w:kern w:val="0"/>
                <w:sz w:val="20"/>
                <w:lang w:val="es-ES_tradnl"/>
              </w:rPr>
              <w:t xml:space="preserve"> </w:t>
            </w:r>
            <w:r w:rsidRPr="001372F1">
              <w:rPr>
                <w:rFonts w:ascii="Cambria" w:hAnsi="Cambria"/>
                <w:color w:val="000000"/>
                <w:kern w:val="0"/>
                <w:sz w:val="20"/>
                <w:lang w:val="es-ES_tradnl"/>
              </w:rPr>
              <w:t>Además, el e-PSM de la IOTC incluye formularios de desembarque y transbordo, así como funcionalidades tales como la evaluación preliminar de riesgos y una aplicación para la elaboración de informes de inspección portuaria sin conexión, que permite a los inspectores portuarios digitalizar y enviar los informes de inspección por vía electrónica.</w:t>
            </w:r>
          </w:p>
        </w:tc>
      </w:tr>
      <w:tr w:rsidR="00AF7751" w:rsidRPr="001372F1" w14:paraId="26CF6662" w14:textId="77777777" w:rsidTr="00AF7751">
        <w:trPr>
          <w:gridAfter w:val="1"/>
          <w:wAfter w:w="8" w:type="dxa"/>
          <w:trHeight w:val="288"/>
        </w:trPr>
        <w:tc>
          <w:tcPr>
            <w:tcW w:w="2065" w:type="dxa"/>
            <w:vMerge w:val="restart"/>
            <w:noWrap/>
            <w:vAlign w:val="center"/>
            <w:hideMark/>
          </w:tcPr>
          <w:p w14:paraId="0CFA8CB8" w14:textId="77777777" w:rsidR="00AF7751" w:rsidRPr="001372F1" w:rsidRDefault="00AF7751" w:rsidP="00AF7751">
            <w:pPr>
              <w:spacing w:after="0" w:line="240" w:lineRule="auto"/>
              <w:rPr>
                <w:rFonts w:ascii="Cambria" w:eastAsia="Times New Roman" w:hAnsi="Cambria" w:cs="Calibri"/>
                <w:kern w:val="0"/>
                <w:sz w:val="20"/>
                <w:szCs w:val="20"/>
                <w:lang w:val="es-ES_tradnl"/>
              </w:rPr>
            </w:pPr>
            <w:r w:rsidRPr="001372F1">
              <w:rPr>
                <w:rFonts w:ascii="Cambria" w:hAnsi="Cambria"/>
                <w:kern w:val="0"/>
                <w:sz w:val="20"/>
                <w:lang w:val="es-ES_tradnl"/>
              </w:rPr>
              <w:t>Tecnología / arquitectura</w:t>
            </w:r>
          </w:p>
        </w:tc>
        <w:tc>
          <w:tcPr>
            <w:tcW w:w="1469" w:type="dxa"/>
            <w:noWrap/>
            <w:vAlign w:val="center"/>
            <w:hideMark/>
          </w:tcPr>
          <w:p w14:paraId="02F51955" w14:textId="77777777" w:rsidR="00AF7751" w:rsidRPr="001372F1" w:rsidRDefault="00AF7751" w:rsidP="00F65214">
            <w:pPr>
              <w:spacing w:after="0" w:line="240" w:lineRule="auto"/>
              <w:jc w:val="center"/>
              <w:rPr>
                <w:rFonts w:ascii="Cambria" w:eastAsia="Times New Roman" w:hAnsi="Cambria" w:cs="Calibri"/>
                <w:color w:val="000000"/>
                <w:kern w:val="0"/>
                <w:sz w:val="20"/>
                <w:szCs w:val="20"/>
                <w:lang w:val="es-ES_tradnl"/>
              </w:rPr>
            </w:pPr>
            <w:r w:rsidRPr="001372F1">
              <w:rPr>
                <w:rFonts w:ascii="Cambria" w:hAnsi="Cambria"/>
                <w:sz w:val="20"/>
                <w:lang w:val="es-ES_tradnl"/>
              </w:rPr>
              <w:t>El GIES de la FAO</w:t>
            </w:r>
          </w:p>
        </w:tc>
        <w:tc>
          <w:tcPr>
            <w:tcW w:w="10605" w:type="dxa"/>
            <w:vAlign w:val="center"/>
            <w:hideMark/>
          </w:tcPr>
          <w:p w14:paraId="0FD984FC" w14:textId="77777777" w:rsidR="00AF7751" w:rsidRPr="001372F1" w:rsidRDefault="00AF7751" w:rsidP="0083684F">
            <w:pPr>
              <w:spacing w:before="120" w:after="120" w:line="240" w:lineRule="auto"/>
              <w:jc w:val="both"/>
              <w:rPr>
                <w:rFonts w:ascii="Cambria" w:eastAsia="Times New Roman" w:hAnsi="Cambria" w:cs="Calibri"/>
                <w:color w:val="000000"/>
                <w:kern w:val="0"/>
                <w:sz w:val="20"/>
                <w:szCs w:val="20"/>
                <w:lang w:val="es-ES_tradnl"/>
              </w:rPr>
            </w:pPr>
            <w:r w:rsidRPr="001372F1">
              <w:rPr>
                <w:rFonts w:ascii="Cambria" w:hAnsi="Cambria"/>
                <w:color w:val="000000"/>
                <w:kern w:val="0"/>
                <w:sz w:val="20"/>
                <w:lang w:val="es-ES_tradnl"/>
              </w:rPr>
              <w:t>La pila tecnológica de GIES presenta una estructura clara de back</w:t>
            </w:r>
            <w:r w:rsidR="00BC499D" w:rsidRPr="001372F1">
              <w:rPr>
                <w:rFonts w:ascii="Cambria" w:hAnsi="Cambria"/>
                <w:color w:val="000000"/>
                <w:kern w:val="0"/>
                <w:sz w:val="20"/>
                <w:lang w:val="es-ES_tradnl"/>
              </w:rPr>
              <w:t>-</w:t>
            </w:r>
            <w:r w:rsidRPr="001372F1">
              <w:rPr>
                <w:rFonts w:ascii="Cambria" w:hAnsi="Cambria"/>
                <w:color w:val="000000"/>
                <w:kern w:val="0"/>
                <w:sz w:val="20"/>
                <w:lang w:val="es-ES_tradnl"/>
              </w:rPr>
              <w:t>end y front</w:t>
            </w:r>
            <w:r w:rsidR="00BC499D" w:rsidRPr="001372F1">
              <w:rPr>
                <w:rFonts w:ascii="Cambria" w:hAnsi="Cambria"/>
                <w:color w:val="000000"/>
                <w:kern w:val="0"/>
                <w:sz w:val="20"/>
                <w:lang w:val="es-ES_tradnl"/>
              </w:rPr>
              <w:t>-</w:t>
            </w:r>
            <w:r w:rsidRPr="001372F1">
              <w:rPr>
                <w:rFonts w:ascii="Cambria" w:hAnsi="Cambria"/>
                <w:color w:val="000000"/>
                <w:kern w:val="0"/>
                <w:sz w:val="20"/>
                <w:lang w:val="es-ES_tradnl"/>
              </w:rPr>
              <w:t>end basada en tecnologías modernas, estables y ampliamente utilizadas, así como en una base de datos relacional estándar que cuenta con un buen soporte técnico.</w:t>
            </w:r>
            <w:r w:rsidR="00BC499D" w:rsidRPr="001372F1">
              <w:rPr>
                <w:rFonts w:ascii="Cambria" w:hAnsi="Cambria"/>
                <w:color w:val="000000"/>
                <w:kern w:val="0"/>
                <w:sz w:val="20"/>
                <w:lang w:val="es-ES_tradnl"/>
              </w:rPr>
              <w:t xml:space="preserve"> </w:t>
            </w:r>
            <w:r w:rsidRPr="001372F1">
              <w:rPr>
                <w:rFonts w:ascii="Cambria" w:hAnsi="Cambria"/>
                <w:color w:val="000000"/>
                <w:kern w:val="0"/>
                <w:sz w:val="20"/>
                <w:lang w:val="es-ES_tradnl"/>
              </w:rPr>
              <w:t>Cuenta con una amplio soporte multilingüe, una interfaz de programación de aplicaciones (API) y la tecnología UN/FLUX para garantizar la interoperabilidad.</w:t>
            </w:r>
            <w:r w:rsidR="00BC499D" w:rsidRPr="001372F1">
              <w:rPr>
                <w:rFonts w:ascii="Cambria" w:hAnsi="Cambria"/>
                <w:color w:val="000000"/>
                <w:kern w:val="0"/>
                <w:sz w:val="20"/>
                <w:lang w:val="es-ES_tradnl"/>
              </w:rPr>
              <w:t xml:space="preserve"> </w:t>
            </w:r>
            <w:r w:rsidRPr="001372F1">
              <w:rPr>
                <w:rFonts w:ascii="Cambria" w:hAnsi="Cambria"/>
                <w:color w:val="000000"/>
                <w:kern w:val="0"/>
                <w:sz w:val="20"/>
                <w:lang w:val="es-ES_tradnl"/>
              </w:rPr>
              <w:t>Aunque su arquitectura «modular-monolítica» es más fácil de implementar, mantener y gestionar, puede ofrecer menos flexibilidad que un sistema totalmente desacoplado.</w:t>
            </w:r>
          </w:p>
        </w:tc>
      </w:tr>
      <w:tr w:rsidR="00AF7751" w:rsidRPr="001372F1" w14:paraId="110FDDB6" w14:textId="77777777" w:rsidTr="00AF7751">
        <w:trPr>
          <w:gridAfter w:val="1"/>
          <w:wAfter w:w="8" w:type="dxa"/>
          <w:trHeight w:val="288"/>
        </w:trPr>
        <w:tc>
          <w:tcPr>
            <w:tcW w:w="2065" w:type="dxa"/>
            <w:vMerge/>
            <w:noWrap/>
            <w:vAlign w:val="center"/>
            <w:hideMark/>
          </w:tcPr>
          <w:p w14:paraId="7D9775DF" w14:textId="77777777" w:rsidR="00AF7751" w:rsidRPr="001372F1" w:rsidRDefault="00AF7751" w:rsidP="00AF7751">
            <w:pPr>
              <w:spacing w:after="0" w:line="240" w:lineRule="auto"/>
              <w:rPr>
                <w:rFonts w:ascii="Cambria" w:eastAsia="Times New Roman" w:hAnsi="Cambria" w:cs="Times New Roman"/>
                <w:kern w:val="0"/>
                <w:sz w:val="20"/>
                <w:szCs w:val="20"/>
                <w:lang w:val="es-ES_tradnl"/>
              </w:rPr>
            </w:pPr>
          </w:p>
        </w:tc>
        <w:tc>
          <w:tcPr>
            <w:tcW w:w="1469" w:type="dxa"/>
            <w:noWrap/>
            <w:vAlign w:val="center"/>
            <w:hideMark/>
          </w:tcPr>
          <w:p w14:paraId="3691D5A9" w14:textId="77777777" w:rsidR="00AF7751" w:rsidRPr="001372F1" w:rsidRDefault="00AF7751" w:rsidP="00831FD9">
            <w:pPr>
              <w:spacing w:after="0" w:line="240" w:lineRule="auto"/>
              <w:jc w:val="center"/>
              <w:rPr>
                <w:rFonts w:ascii="Cambria" w:eastAsia="Times New Roman" w:hAnsi="Cambria" w:cs="Calibri"/>
                <w:color w:val="000000"/>
                <w:kern w:val="0"/>
                <w:sz w:val="20"/>
                <w:szCs w:val="20"/>
                <w:lang w:val="es-ES_tradnl"/>
              </w:rPr>
            </w:pPr>
            <w:r w:rsidRPr="001372F1">
              <w:rPr>
                <w:rFonts w:ascii="Cambria" w:hAnsi="Cambria"/>
                <w:sz w:val="20"/>
                <w:lang w:val="es-ES_tradnl"/>
              </w:rPr>
              <w:t>e-PSM de la IOTC</w:t>
            </w:r>
          </w:p>
        </w:tc>
        <w:tc>
          <w:tcPr>
            <w:tcW w:w="10605" w:type="dxa"/>
            <w:vAlign w:val="center"/>
            <w:hideMark/>
          </w:tcPr>
          <w:p w14:paraId="13BE92BB" w14:textId="77777777" w:rsidR="00AF7751" w:rsidRPr="001372F1" w:rsidRDefault="00AF7751" w:rsidP="0083684F">
            <w:pPr>
              <w:spacing w:before="120" w:after="120" w:line="240" w:lineRule="auto"/>
              <w:jc w:val="both"/>
              <w:rPr>
                <w:rFonts w:ascii="Cambria" w:eastAsia="Times New Roman" w:hAnsi="Cambria" w:cs="Calibri"/>
                <w:color w:val="000000"/>
                <w:kern w:val="0"/>
                <w:sz w:val="20"/>
                <w:szCs w:val="20"/>
                <w:lang w:val="es-ES_tradnl"/>
              </w:rPr>
            </w:pPr>
            <w:r w:rsidRPr="001372F1">
              <w:rPr>
                <w:rFonts w:ascii="Cambria" w:hAnsi="Cambria"/>
                <w:color w:val="000000"/>
                <w:kern w:val="0"/>
                <w:sz w:val="20"/>
                <w:lang w:val="es-ES_tradnl"/>
              </w:rPr>
              <w:t>La opción e-PSM de la IOTC sigue siendo técnicamente válida y está plenamente consolidada desde el punto de vista operativo.</w:t>
            </w:r>
            <w:r w:rsidR="00BC499D" w:rsidRPr="001372F1">
              <w:rPr>
                <w:rFonts w:ascii="Cambria" w:hAnsi="Cambria"/>
                <w:color w:val="000000"/>
                <w:kern w:val="0"/>
                <w:sz w:val="20"/>
                <w:lang w:val="es-ES_tradnl"/>
              </w:rPr>
              <w:t xml:space="preserve"> </w:t>
            </w:r>
            <w:r w:rsidRPr="001372F1">
              <w:rPr>
                <w:rFonts w:ascii="Cambria" w:hAnsi="Cambria"/>
                <w:color w:val="000000"/>
                <w:kern w:val="0"/>
                <w:sz w:val="20"/>
                <w:lang w:val="es-ES_tradnl"/>
              </w:rPr>
              <w:t>Presenta importantes ventajas prácticas, especialmente su flujo de trabajo integral para las organizaciones regionales de ordenación pesquera (OROP), sus reducidos requisitos de infraestructura y su aplicación móvil para inspecciones sin conexión.</w:t>
            </w:r>
            <w:r w:rsidR="00BC499D" w:rsidRPr="001372F1">
              <w:rPr>
                <w:rFonts w:ascii="Cambria" w:hAnsi="Cambria"/>
                <w:color w:val="000000"/>
                <w:kern w:val="0"/>
                <w:sz w:val="20"/>
                <w:lang w:val="es-ES_tradnl"/>
              </w:rPr>
              <w:t xml:space="preserve"> </w:t>
            </w:r>
            <w:r w:rsidRPr="001372F1">
              <w:rPr>
                <w:rFonts w:ascii="Cambria" w:hAnsi="Cambria"/>
                <w:color w:val="000000"/>
                <w:kern w:val="0"/>
                <w:sz w:val="20"/>
                <w:lang w:val="es-ES_tradnl"/>
              </w:rPr>
              <w:t>Sin embargo, su arquitectura es más tradicional, más monolítica, está menos claramente orientada a las API y resulta menos flexible para futuras personalizaciones.</w:t>
            </w:r>
            <w:r w:rsidR="00BC499D" w:rsidRPr="001372F1">
              <w:rPr>
                <w:rFonts w:ascii="Cambria" w:hAnsi="Cambria"/>
                <w:color w:val="000000"/>
                <w:kern w:val="0"/>
                <w:sz w:val="20"/>
                <w:lang w:val="es-ES_tradnl"/>
              </w:rPr>
              <w:t xml:space="preserve"> </w:t>
            </w:r>
            <w:r w:rsidRPr="001372F1">
              <w:rPr>
                <w:rFonts w:ascii="Cambria" w:hAnsi="Cambria"/>
                <w:color w:val="000000"/>
                <w:kern w:val="0"/>
                <w:sz w:val="20"/>
                <w:lang w:val="es-ES_tradnl"/>
              </w:rPr>
              <w:t xml:space="preserve">No obstante, puede seguir siendo fiable y más </w:t>
            </w:r>
            <w:r w:rsidRPr="001372F1">
              <w:rPr>
                <w:rFonts w:ascii="Cambria" w:hAnsi="Cambria"/>
                <w:color w:val="000000"/>
                <w:kern w:val="0"/>
                <w:sz w:val="20"/>
                <w:lang w:val="es-ES_tradnl"/>
              </w:rPr>
              <w:lastRenderedPageBreak/>
              <w:t>fácil de implementar en entornos con poca conectividad o pocos recursos.</w:t>
            </w:r>
          </w:p>
        </w:tc>
      </w:tr>
      <w:tr w:rsidR="00AF7751" w:rsidRPr="001372F1" w14:paraId="75F960EF" w14:textId="77777777" w:rsidTr="00AF7751">
        <w:trPr>
          <w:gridAfter w:val="1"/>
          <w:wAfter w:w="8" w:type="dxa"/>
          <w:trHeight w:val="288"/>
        </w:trPr>
        <w:tc>
          <w:tcPr>
            <w:tcW w:w="2065" w:type="dxa"/>
            <w:vMerge w:val="restart"/>
            <w:noWrap/>
            <w:vAlign w:val="center"/>
            <w:hideMark/>
          </w:tcPr>
          <w:p w14:paraId="28B9576D" w14:textId="77777777" w:rsidR="00AF7751" w:rsidRPr="001372F1" w:rsidRDefault="00AF7751" w:rsidP="00AF7751">
            <w:pPr>
              <w:spacing w:after="0" w:line="240" w:lineRule="auto"/>
              <w:rPr>
                <w:rFonts w:ascii="Cambria" w:eastAsia="Times New Roman" w:hAnsi="Cambria" w:cs="Calibri"/>
                <w:kern w:val="0"/>
                <w:sz w:val="20"/>
                <w:szCs w:val="20"/>
                <w:lang w:val="es-ES_tradnl"/>
              </w:rPr>
            </w:pPr>
            <w:r w:rsidRPr="001372F1">
              <w:rPr>
                <w:rFonts w:ascii="Cambria" w:hAnsi="Cambria"/>
                <w:kern w:val="0"/>
                <w:sz w:val="20"/>
                <w:lang w:val="es-ES_tradnl"/>
              </w:rPr>
              <w:lastRenderedPageBreak/>
              <w:t>Integración e interoperabilidad</w:t>
            </w:r>
          </w:p>
        </w:tc>
        <w:tc>
          <w:tcPr>
            <w:tcW w:w="1469" w:type="dxa"/>
            <w:noWrap/>
            <w:vAlign w:val="center"/>
            <w:hideMark/>
          </w:tcPr>
          <w:p w14:paraId="695BAEF0" w14:textId="77777777" w:rsidR="00AF7751" w:rsidRPr="001372F1" w:rsidRDefault="00AF7751" w:rsidP="00F65214">
            <w:pPr>
              <w:spacing w:after="0" w:line="240" w:lineRule="auto"/>
              <w:jc w:val="center"/>
              <w:rPr>
                <w:rFonts w:ascii="Cambria" w:eastAsia="Times New Roman" w:hAnsi="Cambria" w:cs="Calibri"/>
                <w:color w:val="000000"/>
                <w:kern w:val="0"/>
                <w:sz w:val="20"/>
                <w:szCs w:val="20"/>
                <w:lang w:val="es-ES_tradnl"/>
              </w:rPr>
            </w:pPr>
            <w:r w:rsidRPr="001372F1">
              <w:rPr>
                <w:rFonts w:ascii="Cambria" w:hAnsi="Cambria"/>
                <w:sz w:val="20"/>
                <w:lang w:val="es-ES_tradnl"/>
              </w:rPr>
              <w:t>El GIES de la FAO</w:t>
            </w:r>
          </w:p>
        </w:tc>
        <w:tc>
          <w:tcPr>
            <w:tcW w:w="10605" w:type="dxa"/>
            <w:vAlign w:val="center"/>
            <w:hideMark/>
          </w:tcPr>
          <w:p w14:paraId="7D530BD2" w14:textId="77777777" w:rsidR="00AF7751" w:rsidRPr="001372F1" w:rsidRDefault="00C70334" w:rsidP="00CA48DC">
            <w:pPr>
              <w:spacing w:after="0" w:line="240" w:lineRule="auto"/>
              <w:jc w:val="both"/>
              <w:rPr>
                <w:rFonts w:ascii="Cambria" w:eastAsia="Times New Roman" w:hAnsi="Cambria" w:cs="Calibri"/>
                <w:color w:val="000000"/>
                <w:kern w:val="0"/>
                <w:sz w:val="20"/>
                <w:szCs w:val="20"/>
                <w:lang w:val="es-ES_tradnl"/>
              </w:rPr>
            </w:pPr>
            <w:r w:rsidRPr="001372F1">
              <w:rPr>
                <w:rFonts w:ascii="Cambria" w:hAnsi="Cambria"/>
                <w:color w:val="000000"/>
                <w:kern w:val="0"/>
                <w:sz w:val="20"/>
                <w:lang w:val="es-ES_tradnl"/>
              </w:rPr>
              <w:t>La copia personalizada del GIES sería totalmente compatible con el GIES de la FAO y se conectaría fácilmente a él a través de una API o de FLUX, ya que ambos sistemas compartirían el mismo código fuente.</w:t>
            </w:r>
            <w:r w:rsidR="00BC499D" w:rsidRPr="001372F1">
              <w:rPr>
                <w:rFonts w:ascii="Cambria" w:hAnsi="Cambria"/>
                <w:color w:val="000000"/>
                <w:kern w:val="0"/>
                <w:sz w:val="20"/>
                <w:lang w:val="es-ES_tradnl"/>
              </w:rPr>
              <w:t xml:space="preserve"> </w:t>
            </w:r>
            <w:r w:rsidRPr="001372F1">
              <w:rPr>
                <w:rFonts w:ascii="Cambria" w:hAnsi="Cambria"/>
                <w:color w:val="000000"/>
                <w:kern w:val="0"/>
                <w:sz w:val="20"/>
                <w:lang w:val="es-ES_tradnl"/>
              </w:rPr>
              <w:t>Además, también sería factible establecer una conexión entre la copia del GIES y el IOMS.</w:t>
            </w:r>
          </w:p>
        </w:tc>
      </w:tr>
      <w:tr w:rsidR="00AF7751" w:rsidRPr="001372F1" w14:paraId="78973EA9" w14:textId="77777777" w:rsidTr="00AF7751">
        <w:trPr>
          <w:gridAfter w:val="1"/>
          <w:wAfter w:w="8" w:type="dxa"/>
          <w:trHeight w:val="288"/>
        </w:trPr>
        <w:tc>
          <w:tcPr>
            <w:tcW w:w="2065" w:type="dxa"/>
            <w:vMerge/>
            <w:noWrap/>
            <w:vAlign w:val="center"/>
            <w:hideMark/>
          </w:tcPr>
          <w:p w14:paraId="7B08B585" w14:textId="77777777" w:rsidR="00AF7751" w:rsidRPr="001372F1" w:rsidRDefault="00AF7751" w:rsidP="00AF7751">
            <w:pPr>
              <w:spacing w:after="0" w:line="240" w:lineRule="auto"/>
              <w:rPr>
                <w:rFonts w:ascii="Cambria" w:eastAsia="Times New Roman" w:hAnsi="Cambria" w:cs="Times New Roman"/>
                <w:kern w:val="0"/>
                <w:sz w:val="20"/>
                <w:szCs w:val="20"/>
                <w:lang w:val="es-ES_tradnl"/>
              </w:rPr>
            </w:pPr>
          </w:p>
        </w:tc>
        <w:tc>
          <w:tcPr>
            <w:tcW w:w="1469" w:type="dxa"/>
            <w:noWrap/>
            <w:vAlign w:val="center"/>
            <w:hideMark/>
          </w:tcPr>
          <w:p w14:paraId="1828A388" w14:textId="77777777" w:rsidR="00AF7751" w:rsidRPr="001372F1" w:rsidRDefault="00AF7751" w:rsidP="00831FD9">
            <w:pPr>
              <w:spacing w:after="0" w:line="240" w:lineRule="auto"/>
              <w:jc w:val="center"/>
              <w:rPr>
                <w:rFonts w:ascii="Cambria" w:eastAsia="Times New Roman" w:hAnsi="Cambria" w:cs="Calibri"/>
                <w:color w:val="000000"/>
                <w:kern w:val="0"/>
                <w:sz w:val="20"/>
                <w:szCs w:val="20"/>
                <w:lang w:val="es-ES_tradnl"/>
              </w:rPr>
            </w:pPr>
            <w:r w:rsidRPr="001372F1">
              <w:rPr>
                <w:rFonts w:ascii="Cambria" w:hAnsi="Cambria"/>
                <w:sz w:val="20"/>
                <w:lang w:val="es-ES_tradnl"/>
              </w:rPr>
              <w:t>e-PSM de la IOTC</w:t>
            </w:r>
          </w:p>
        </w:tc>
        <w:tc>
          <w:tcPr>
            <w:tcW w:w="10605" w:type="dxa"/>
            <w:vAlign w:val="center"/>
            <w:hideMark/>
          </w:tcPr>
          <w:p w14:paraId="6A1667C1" w14:textId="77777777" w:rsidR="00AF7751" w:rsidRPr="001372F1" w:rsidRDefault="00AF7751" w:rsidP="0083684F">
            <w:pPr>
              <w:spacing w:before="120" w:after="120" w:line="240" w:lineRule="auto"/>
              <w:jc w:val="both"/>
              <w:rPr>
                <w:rFonts w:ascii="Cambria" w:eastAsia="Times New Roman" w:hAnsi="Cambria" w:cs="Calibri"/>
                <w:color w:val="000000"/>
                <w:kern w:val="0"/>
                <w:sz w:val="20"/>
                <w:szCs w:val="20"/>
                <w:lang w:val="es-ES_tradnl"/>
              </w:rPr>
            </w:pPr>
            <w:r w:rsidRPr="001372F1">
              <w:rPr>
                <w:rFonts w:ascii="Cambria" w:hAnsi="Cambria"/>
                <w:color w:val="000000"/>
                <w:kern w:val="0"/>
                <w:sz w:val="20"/>
                <w:lang w:val="es-ES_tradnl"/>
              </w:rPr>
              <w:t>El e-PSM de la IOTC incluye módulos de «intercambio de datos» para conectarse a sistemas externos.</w:t>
            </w:r>
            <w:r w:rsidR="00BC499D" w:rsidRPr="001372F1">
              <w:rPr>
                <w:rFonts w:ascii="Cambria" w:hAnsi="Cambria"/>
                <w:color w:val="000000"/>
                <w:kern w:val="0"/>
                <w:sz w:val="20"/>
                <w:lang w:val="es-ES_tradnl"/>
              </w:rPr>
              <w:t xml:space="preserve"> </w:t>
            </w:r>
            <w:r w:rsidRPr="001372F1">
              <w:rPr>
                <w:rFonts w:ascii="Cambria" w:hAnsi="Cambria"/>
                <w:color w:val="000000"/>
                <w:kern w:val="0"/>
                <w:sz w:val="20"/>
                <w:lang w:val="es-ES_tradnl"/>
              </w:rPr>
              <w:t>La versión de ICCAT del sistema incluirá una conexión directa con el GIES de la FAO para facilitar el intercambio estructurado de datos en el marco de la comunicación de información operativa del PSMA.</w:t>
            </w:r>
            <w:r w:rsidR="00BC499D" w:rsidRPr="001372F1">
              <w:rPr>
                <w:rFonts w:ascii="Cambria" w:hAnsi="Cambria"/>
                <w:color w:val="000000"/>
                <w:kern w:val="0"/>
                <w:sz w:val="20"/>
                <w:lang w:val="es-ES_tradnl"/>
              </w:rPr>
              <w:t xml:space="preserve"> </w:t>
            </w:r>
            <w:r w:rsidRPr="001372F1">
              <w:rPr>
                <w:rFonts w:ascii="Cambria" w:hAnsi="Cambria"/>
                <w:color w:val="000000"/>
                <w:kern w:val="0"/>
                <w:sz w:val="20"/>
                <w:lang w:val="es-ES_tradnl"/>
              </w:rPr>
              <w:t>Los datos compartidos con el GIES de la FAO incluirán informes de inspección portuaria, ARPE y denegaciones de entrada en puerto.</w:t>
            </w:r>
            <w:r w:rsidR="00BC499D" w:rsidRPr="001372F1">
              <w:rPr>
                <w:rFonts w:ascii="Cambria" w:hAnsi="Cambria"/>
                <w:color w:val="000000"/>
                <w:kern w:val="0"/>
                <w:sz w:val="20"/>
                <w:lang w:val="es-ES_tradnl"/>
              </w:rPr>
              <w:t xml:space="preserve"> </w:t>
            </w:r>
            <w:r w:rsidRPr="001372F1">
              <w:rPr>
                <w:rFonts w:ascii="Cambria" w:hAnsi="Cambria"/>
                <w:color w:val="000000"/>
                <w:kern w:val="0"/>
                <w:sz w:val="20"/>
                <w:lang w:val="es-ES_tradnl"/>
              </w:rPr>
              <w:t>Se podría adaptar una conexión con el IOMS.</w:t>
            </w:r>
          </w:p>
        </w:tc>
      </w:tr>
      <w:tr w:rsidR="000A4659" w:rsidRPr="001372F1" w14:paraId="420FD285" w14:textId="77777777" w:rsidTr="006C2BDB">
        <w:trPr>
          <w:trHeight w:val="288"/>
        </w:trPr>
        <w:tc>
          <w:tcPr>
            <w:tcW w:w="14147" w:type="dxa"/>
            <w:gridSpan w:val="4"/>
            <w:shd w:val="clear" w:color="auto" w:fill="D9D9D9" w:themeFill="background1" w:themeFillShade="D9"/>
            <w:noWrap/>
            <w:vAlign w:val="center"/>
            <w:hideMark/>
          </w:tcPr>
          <w:p w14:paraId="5D4BDAA5" w14:textId="77777777" w:rsidR="000A4659" w:rsidRPr="001372F1" w:rsidRDefault="000A4659" w:rsidP="00B84F5D">
            <w:pPr>
              <w:spacing w:after="0" w:line="240" w:lineRule="auto"/>
              <w:jc w:val="both"/>
              <w:rPr>
                <w:rFonts w:ascii="Cambria" w:eastAsia="Times New Roman" w:hAnsi="Cambria" w:cs="Times New Roman"/>
                <w:b/>
                <w:bCs/>
                <w:kern w:val="0"/>
                <w:sz w:val="20"/>
                <w:szCs w:val="20"/>
                <w:lang w:val="es-ES_tradnl"/>
              </w:rPr>
            </w:pPr>
            <w:r w:rsidRPr="001372F1">
              <w:rPr>
                <w:rFonts w:ascii="Cambria" w:hAnsi="Cambria"/>
                <w:b/>
                <w:kern w:val="0"/>
                <w:sz w:val="20"/>
                <w:lang w:val="es-ES_tradnl"/>
              </w:rPr>
              <w:t>GOBERNANZA, CONFIDENCIALIDAD</w:t>
            </w:r>
          </w:p>
        </w:tc>
      </w:tr>
      <w:tr w:rsidR="00AF7751" w:rsidRPr="001372F1" w14:paraId="2B9A2395" w14:textId="77777777" w:rsidTr="00AF7751">
        <w:trPr>
          <w:gridAfter w:val="1"/>
          <w:wAfter w:w="8" w:type="dxa"/>
          <w:trHeight w:val="288"/>
        </w:trPr>
        <w:tc>
          <w:tcPr>
            <w:tcW w:w="2065" w:type="dxa"/>
            <w:vMerge w:val="restart"/>
            <w:noWrap/>
            <w:vAlign w:val="center"/>
            <w:hideMark/>
          </w:tcPr>
          <w:p w14:paraId="740C0557" w14:textId="77777777" w:rsidR="00AF7751" w:rsidRPr="001372F1" w:rsidRDefault="00AF7751" w:rsidP="00AF7751">
            <w:pPr>
              <w:spacing w:after="0" w:line="240" w:lineRule="auto"/>
              <w:rPr>
                <w:rFonts w:ascii="Cambria" w:eastAsia="Times New Roman" w:hAnsi="Cambria" w:cs="Calibri"/>
                <w:kern w:val="0"/>
                <w:sz w:val="20"/>
                <w:szCs w:val="20"/>
                <w:lang w:val="es-ES_tradnl"/>
              </w:rPr>
            </w:pPr>
            <w:r w:rsidRPr="001372F1">
              <w:rPr>
                <w:rFonts w:ascii="Cambria" w:hAnsi="Cambria"/>
                <w:kern w:val="0"/>
                <w:sz w:val="20"/>
                <w:lang w:val="es-ES_tradnl"/>
              </w:rPr>
              <w:t>Propiedad del sistema y de los datos</w:t>
            </w:r>
          </w:p>
        </w:tc>
        <w:tc>
          <w:tcPr>
            <w:tcW w:w="1469" w:type="dxa"/>
            <w:noWrap/>
            <w:vAlign w:val="center"/>
            <w:hideMark/>
          </w:tcPr>
          <w:p w14:paraId="0C35D052" w14:textId="77777777" w:rsidR="00AF7751" w:rsidRPr="001372F1" w:rsidRDefault="00AF7751" w:rsidP="00F65214">
            <w:pPr>
              <w:spacing w:after="0" w:line="240" w:lineRule="auto"/>
              <w:jc w:val="center"/>
              <w:rPr>
                <w:rFonts w:ascii="Cambria" w:eastAsia="Times New Roman" w:hAnsi="Cambria" w:cs="Calibri"/>
                <w:color w:val="000000"/>
                <w:kern w:val="0"/>
                <w:sz w:val="20"/>
                <w:szCs w:val="20"/>
                <w:lang w:val="es-ES_tradnl"/>
              </w:rPr>
            </w:pPr>
            <w:r w:rsidRPr="001372F1">
              <w:rPr>
                <w:rFonts w:ascii="Cambria" w:hAnsi="Cambria"/>
                <w:sz w:val="20"/>
                <w:lang w:val="es-ES_tradnl"/>
              </w:rPr>
              <w:t>El GIES de la FAO</w:t>
            </w:r>
          </w:p>
        </w:tc>
        <w:tc>
          <w:tcPr>
            <w:tcW w:w="10605" w:type="dxa"/>
            <w:vAlign w:val="center"/>
            <w:hideMark/>
          </w:tcPr>
          <w:p w14:paraId="07859B0E" w14:textId="77777777" w:rsidR="00AF7751" w:rsidRPr="001372F1" w:rsidRDefault="002F6546" w:rsidP="00BC499D">
            <w:pPr>
              <w:spacing w:after="120" w:line="240" w:lineRule="auto"/>
              <w:jc w:val="both"/>
              <w:rPr>
                <w:rFonts w:ascii="Cambria" w:eastAsia="Times New Roman" w:hAnsi="Cambria" w:cs="Calibri"/>
                <w:color w:val="000000"/>
                <w:kern w:val="0"/>
                <w:sz w:val="20"/>
                <w:szCs w:val="20"/>
                <w:lang w:val="es-ES_tradnl"/>
              </w:rPr>
            </w:pPr>
            <w:r w:rsidRPr="001372F1">
              <w:rPr>
                <w:rFonts w:ascii="Cambria" w:hAnsi="Cambria"/>
                <w:color w:val="000000"/>
                <w:kern w:val="0"/>
                <w:sz w:val="20"/>
                <w:lang w:val="es-ES_tradnl"/>
              </w:rPr>
              <w:t>ICCAT conservaría la plena propiedad de la versión personalizada del GIES.</w:t>
            </w:r>
          </w:p>
        </w:tc>
      </w:tr>
      <w:tr w:rsidR="00AF7751" w:rsidRPr="001372F1" w14:paraId="3975C3BE" w14:textId="77777777" w:rsidTr="00AF7751">
        <w:trPr>
          <w:gridAfter w:val="1"/>
          <w:wAfter w:w="8" w:type="dxa"/>
          <w:trHeight w:val="288"/>
        </w:trPr>
        <w:tc>
          <w:tcPr>
            <w:tcW w:w="2065" w:type="dxa"/>
            <w:vMerge/>
            <w:noWrap/>
            <w:vAlign w:val="center"/>
            <w:hideMark/>
          </w:tcPr>
          <w:p w14:paraId="5353C725" w14:textId="77777777" w:rsidR="00AF7751" w:rsidRPr="001372F1" w:rsidRDefault="00AF7751" w:rsidP="00AF7751">
            <w:pPr>
              <w:spacing w:after="0" w:line="240" w:lineRule="auto"/>
              <w:rPr>
                <w:rFonts w:ascii="Cambria" w:eastAsia="Times New Roman" w:hAnsi="Cambria" w:cs="Calibri"/>
                <w:kern w:val="0"/>
                <w:sz w:val="20"/>
                <w:szCs w:val="20"/>
                <w:lang w:val="es-ES_tradnl"/>
              </w:rPr>
            </w:pPr>
          </w:p>
        </w:tc>
        <w:tc>
          <w:tcPr>
            <w:tcW w:w="1469" w:type="dxa"/>
            <w:noWrap/>
            <w:vAlign w:val="center"/>
            <w:hideMark/>
          </w:tcPr>
          <w:p w14:paraId="500BC33D" w14:textId="77777777" w:rsidR="00AF7751" w:rsidRPr="001372F1" w:rsidRDefault="00AF7751" w:rsidP="00831FD9">
            <w:pPr>
              <w:spacing w:after="0" w:line="240" w:lineRule="auto"/>
              <w:jc w:val="center"/>
              <w:rPr>
                <w:rFonts w:ascii="Cambria" w:eastAsia="Times New Roman" w:hAnsi="Cambria" w:cs="Calibri"/>
                <w:color w:val="000000"/>
                <w:kern w:val="0"/>
                <w:sz w:val="20"/>
                <w:szCs w:val="20"/>
                <w:lang w:val="es-ES_tradnl"/>
              </w:rPr>
            </w:pPr>
            <w:r w:rsidRPr="001372F1">
              <w:rPr>
                <w:rFonts w:ascii="Cambria" w:hAnsi="Cambria"/>
                <w:sz w:val="20"/>
                <w:lang w:val="es-ES_tradnl"/>
              </w:rPr>
              <w:t>e-PSM de la IOTC</w:t>
            </w:r>
          </w:p>
        </w:tc>
        <w:tc>
          <w:tcPr>
            <w:tcW w:w="10605" w:type="dxa"/>
            <w:vAlign w:val="center"/>
            <w:hideMark/>
          </w:tcPr>
          <w:p w14:paraId="6E4DCB1B" w14:textId="77777777" w:rsidR="00AF7751" w:rsidRPr="001372F1" w:rsidRDefault="00AF7751" w:rsidP="0083684F">
            <w:pPr>
              <w:spacing w:before="120" w:after="120" w:line="240" w:lineRule="auto"/>
              <w:jc w:val="both"/>
              <w:rPr>
                <w:rFonts w:ascii="Cambria" w:eastAsia="Times New Roman" w:hAnsi="Cambria" w:cs="Calibri"/>
                <w:color w:val="000000"/>
                <w:kern w:val="0"/>
                <w:sz w:val="20"/>
                <w:szCs w:val="20"/>
                <w:lang w:val="es-ES_tradnl"/>
              </w:rPr>
            </w:pPr>
            <w:r w:rsidRPr="001372F1">
              <w:rPr>
                <w:rFonts w:ascii="Cambria" w:hAnsi="Cambria"/>
                <w:color w:val="000000"/>
                <w:kern w:val="0"/>
                <w:sz w:val="20"/>
                <w:lang w:val="es-ES_tradnl"/>
              </w:rPr>
              <w:t>ICCAT conservaría la plena propiedad.</w:t>
            </w:r>
          </w:p>
        </w:tc>
      </w:tr>
      <w:tr w:rsidR="00AF7751" w:rsidRPr="001372F1" w14:paraId="1BBA0681" w14:textId="77777777" w:rsidTr="00AF7751">
        <w:trPr>
          <w:gridAfter w:val="1"/>
          <w:wAfter w:w="8" w:type="dxa"/>
          <w:trHeight w:val="288"/>
        </w:trPr>
        <w:tc>
          <w:tcPr>
            <w:tcW w:w="2065" w:type="dxa"/>
            <w:vMerge w:val="restart"/>
            <w:noWrap/>
            <w:vAlign w:val="center"/>
            <w:hideMark/>
          </w:tcPr>
          <w:p w14:paraId="75E33074" w14:textId="77777777" w:rsidR="00AF7751" w:rsidRPr="001372F1" w:rsidRDefault="00AF7751" w:rsidP="00AF7751">
            <w:pPr>
              <w:spacing w:after="0" w:line="240" w:lineRule="auto"/>
              <w:rPr>
                <w:rFonts w:ascii="Cambria" w:eastAsia="Times New Roman" w:hAnsi="Cambria" w:cs="Calibri"/>
                <w:kern w:val="0"/>
                <w:sz w:val="20"/>
                <w:szCs w:val="20"/>
                <w:lang w:val="es-ES_tradnl"/>
              </w:rPr>
            </w:pPr>
            <w:r w:rsidRPr="001372F1">
              <w:rPr>
                <w:rFonts w:ascii="Cambria" w:hAnsi="Cambria"/>
                <w:kern w:val="0"/>
                <w:sz w:val="20"/>
                <w:lang w:val="es-ES_tradnl"/>
              </w:rPr>
              <w:t>Normas de confidencialidad y seguridad de los datos</w:t>
            </w:r>
          </w:p>
        </w:tc>
        <w:tc>
          <w:tcPr>
            <w:tcW w:w="1469" w:type="dxa"/>
            <w:noWrap/>
            <w:vAlign w:val="center"/>
            <w:hideMark/>
          </w:tcPr>
          <w:p w14:paraId="27C6C994" w14:textId="77777777" w:rsidR="00AF7751" w:rsidRPr="001372F1" w:rsidRDefault="00AF7751" w:rsidP="00F65214">
            <w:pPr>
              <w:spacing w:after="0" w:line="240" w:lineRule="auto"/>
              <w:jc w:val="center"/>
              <w:rPr>
                <w:rFonts w:ascii="Cambria" w:eastAsia="Times New Roman" w:hAnsi="Cambria" w:cs="Calibri"/>
                <w:color w:val="000000"/>
                <w:kern w:val="0"/>
                <w:sz w:val="20"/>
                <w:szCs w:val="20"/>
                <w:lang w:val="es-ES_tradnl"/>
              </w:rPr>
            </w:pPr>
            <w:r w:rsidRPr="001372F1">
              <w:rPr>
                <w:rFonts w:ascii="Cambria" w:hAnsi="Cambria"/>
                <w:sz w:val="20"/>
                <w:lang w:val="es-ES_tradnl"/>
              </w:rPr>
              <w:t>El GIES de la FAO</w:t>
            </w:r>
          </w:p>
        </w:tc>
        <w:tc>
          <w:tcPr>
            <w:tcW w:w="10605" w:type="dxa"/>
            <w:vAlign w:val="center"/>
            <w:hideMark/>
          </w:tcPr>
          <w:p w14:paraId="102FFAED" w14:textId="77777777" w:rsidR="00AF7751" w:rsidRPr="001372F1" w:rsidRDefault="00AF7751" w:rsidP="0083684F">
            <w:pPr>
              <w:spacing w:before="120" w:after="120" w:line="240" w:lineRule="auto"/>
              <w:jc w:val="both"/>
              <w:rPr>
                <w:rFonts w:ascii="Cambria" w:eastAsia="Times New Roman" w:hAnsi="Cambria" w:cs="Calibri"/>
                <w:color w:val="000000"/>
                <w:kern w:val="0"/>
                <w:sz w:val="20"/>
                <w:szCs w:val="20"/>
                <w:lang w:val="es-ES_tradnl"/>
              </w:rPr>
            </w:pPr>
            <w:r w:rsidRPr="001372F1">
              <w:rPr>
                <w:rFonts w:ascii="Cambria" w:hAnsi="Cambria"/>
                <w:color w:val="000000"/>
                <w:kern w:val="0"/>
                <w:sz w:val="20"/>
                <w:lang w:val="es-ES_tradnl"/>
              </w:rPr>
              <w:t>En el GIES de la FAO, los datos enviados siguen siendo propiedad y están bajo el control de las partes interesadas que los envían y de los destinatarios autorizados.</w:t>
            </w:r>
            <w:r w:rsidR="00BC499D" w:rsidRPr="001372F1">
              <w:rPr>
                <w:rFonts w:ascii="Cambria" w:hAnsi="Cambria"/>
                <w:color w:val="000000"/>
                <w:kern w:val="0"/>
                <w:sz w:val="20"/>
                <w:lang w:val="es-ES_tradnl"/>
              </w:rPr>
              <w:t xml:space="preserve"> </w:t>
            </w:r>
            <w:r w:rsidRPr="001372F1">
              <w:rPr>
                <w:rFonts w:ascii="Cambria" w:hAnsi="Cambria"/>
                <w:color w:val="000000"/>
                <w:kern w:val="0"/>
                <w:sz w:val="20"/>
                <w:lang w:val="es-ES_tradnl"/>
              </w:rPr>
              <w:t>El acceso se basa en las funciones y se limita a las partes interesadas pertinentes.</w:t>
            </w:r>
            <w:r w:rsidR="00BC499D" w:rsidRPr="001372F1">
              <w:rPr>
                <w:rFonts w:ascii="Cambria" w:hAnsi="Cambria"/>
                <w:color w:val="000000"/>
                <w:kern w:val="0"/>
                <w:sz w:val="20"/>
                <w:lang w:val="es-ES_tradnl"/>
              </w:rPr>
              <w:t xml:space="preserve"> </w:t>
            </w:r>
            <w:r w:rsidRPr="001372F1">
              <w:rPr>
                <w:rFonts w:ascii="Cambria" w:hAnsi="Cambria"/>
                <w:color w:val="000000"/>
                <w:kern w:val="0"/>
                <w:sz w:val="20"/>
                <w:lang w:val="es-ES_tradnl"/>
              </w:rPr>
              <w:t>La información se protege según el principio de «necesidad de conocer» y se describen claramente las garantías de confidencialidad y privacidad.</w:t>
            </w:r>
            <w:r w:rsidR="00BC499D" w:rsidRPr="001372F1">
              <w:rPr>
                <w:rFonts w:ascii="Cambria" w:hAnsi="Cambria"/>
                <w:color w:val="000000"/>
                <w:kern w:val="0"/>
                <w:sz w:val="20"/>
                <w:lang w:val="es-ES_tradnl"/>
              </w:rPr>
              <w:t xml:space="preserve"> </w:t>
            </w:r>
            <w:r w:rsidRPr="001372F1">
              <w:rPr>
                <w:rFonts w:ascii="Cambria" w:hAnsi="Cambria"/>
                <w:color w:val="000000"/>
                <w:kern w:val="0"/>
                <w:sz w:val="20"/>
                <w:lang w:val="es-ES_tradnl"/>
              </w:rPr>
              <w:t>ICCAT establecería las normas de funcionamiento para indicar qué entidades tienen derecho a enviar o consultar información, independientemente de si son o no Partes en el PSMA, y determinaría también qué información se transmite automáticamente al GIES.</w:t>
            </w:r>
          </w:p>
        </w:tc>
      </w:tr>
      <w:tr w:rsidR="00AF7751" w:rsidRPr="001372F1" w14:paraId="512DC694" w14:textId="77777777" w:rsidTr="00AF7751">
        <w:trPr>
          <w:gridAfter w:val="1"/>
          <w:wAfter w:w="8" w:type="dxa"/>
          <w:trHeight w:val="288"/>
        </w:trPr>
        <w:tc>
          <w:tcPr>
            <w:tcW w:w="2065" w:type="dxa"/>
            <w:vMerge/>
            <w:noWrap/>
            <w:vAlign w:val="center"/>
            <w:hideMark/>
          </w:tcPr>
          <w:p w14:paraId="4A984360" w14:textId="77777777" w:rsidR="00AF7751" w:rsidRPr="001372F1" w:rsidRDefault="00AF7751" w:rsidP="00AF7751">
            <w:pPr>
              <w:spacing w:after="0" w:line="240" w:lineRule="auto"/>
              <w:rPr>
                <w:rFonts w:ascii="Cambria" w:eastAsia="Times New Roman" w:hAnsi="Cambria" w:cs="Times New Roman"/>
                <w:kern w:val="0"/>
                <w:sz w:val="20"/>
                <w:szCs w:val="20"/>
                <w:lang w:val="es-ES_tradnl"/>
              </w:rPr>
            </w:pPr>
          </w:p>
        </w:tc>
        <w:tc>
          <w:tcPr>
            <w:tcW w:w="1469" w:type="dxa"/>
            <w:noWrap/>
            <w:vAlign w:val="center"/>
            <w:hideMark/>
          </w:tcPr>
          <w:p w14:paraId="4E5DA2C6" w14:textId="77777777" w:rsidR="00AF7751" w:rsidRPr="001372F1" w:rsidRDefault="00AF7751" w:rsidP="00831FD9">
            <w:pPr>
              <w:spacing w:after="0" w:line="240" w:lineRule="auto"/>
              <w:jc w:val="center"/>
              <w:rPr>
                <w:rFonts w:ascii="Cambria" w:eastAsia="Times New Roman" w:hAnsi="Cambria" w:cs="Calibri"/>
                <w:color w:val="000000"/>
                <w:kern w:val="0"/>
                <w:sz w:val="20"/>
                <w:szCs w:val="20"/>
                <w:lang w:val="es-ES_tradnl"/>
              </w:rPr>
            </w:pPr>
            <w:r w:rsidRPr="001372F1">
              <w:rPr>
                <w:rFonts w:ascii="Cambria" w:hAnsi="Cambria"/>
                <w:sz w:val="20"/>
                <w:lang w:val="es-ES_tradnl"/>
              </w:rPr>
              <w:t>e-PSM de la IOTC</w:t>
            </w:r>
          </w:p>
        </w:tc>
        <w:tc>
          <w:tcPr>
            <w:tcW w:w="10605" w:type="dxa"/>
            <w:vAlign w:val="center"/>
            <w:hideMark/>
          </w:tcPr>
          <w:p w14:paraId="793A6B28" w14:textId="77777777" w:rsidR="00AF7751" w:rsidRPr="001372F1" w:rsidRDefault="00AF7751" w:rsidP="00C45AB0">
            <w:pPr>
              <w:spacing w:before="120" w:after="120" w:line="240" w:lineRule="auto"/>
              <w:jc w:val="both"/>
              <w:rPr>
                <w:rFonts w:ascii="Cambria" w:eastAsia="Times New Roman" w:hAnsi="Cambria" w:cs="Calibri"/>
                <w:color w:val="000000"/>
                <w:kern w:val="0"/>
                <w:sz w:val="20"/>
                <w:szCs w:val="20"/>
                <w:lang w:val="es-ES_tradnl"/>
              </w:rPr>
            </w:pPr>
            <w:r w:rsidRPr="001372F1">
              <w:rPr>
                <w:rFonts w:ascii="Cambria" w:hAnsi="Cambria"/>
                <w:color w:val="000000"/>
                <w:kern w:val="0"/>
                <w:sz w:val="20"/>
                <w:lang w:val="es-ES_tradnl"/>
              </w:rPr>
              <w:t>Al igual que el GIES de la FAO, el e-PSM de la IOTC cuenta con un modelo de permisos operativos integrado en el flujo de trabajo de la IOTC que podría ser necesario rediseñar o adaptar para ICCAT.</w:t>
            </w:r>
          </w:p>
        </w:tc>
      </w:tr>
      <w:tr w:rsidR="000A4659" w:rsidRPr="001372F1" w14:paraId="6FD76102" w14:textId="77777777" w:rsidTr="006C2BDB">
        <w:trPr>
          <w:trHeight w:val="288"/>
        </w:trPr>
        <w:tc>
          <w:tcPr>
            <w:tcW w:w="14147" w:type="dxa"/>
            <w:gridSpan w:val="4"/>
            <w:shd w:val="clear" w:color="auto" w:fill="D9D9D9" w:themeFill="background1" w:themeFillShade="D9"/>
            <w:noWrap/>
            <w:vAlign w:val="center"/>
            <w:hideMark/>
          </w:tcPr>
          <w:p w14:paraId="64280F14" w14:textId="77777777" w:rsidR="000A4659" w:rsidRPr="001372F1" w:rsidRDefault="000A4659" w:rsidP="0083684F">
            <w:pPr>
              <w:spacing w:before="120" w:after="120" w:line="240" w:lineRule="auto"/>
              <w:jc w:val="both"/>
              <w:rPr>
                <w:rFonts w:ascii="Cambria" w:eastAsia="Times New Roman" w:hAnsi="Cambria" w:cs="Times New Roman"/>
                <w:b/>
                <w:bCs/>
                <w:kern w:val="0"/>
                <w:sz w:val="20"/>
                <w:szCs w:val="20"/>
                <w:lang w:val="es-ES_tradnl"/>
              </w:rPr>
            </w:pPr>
            <w:r w:rsidRPr="001372F1">
              <w:rPr>
                <w:rFonts w:ascii="Cambria" w:hAnsi="Cambria"/>
                <w:b/>
                <w:color w:val="000000"/>
                <w:kern w:val="0"/>
                <w:sz w:val="20"/>
                <w:lang w:val="es-ES_tradnl"/>
              </w:rPr>
              <w:t>COSTES Y PLAZOS</w:t>
            </w:r>
          </w:p>
        </w:tc>
      </w:tr>
      <w:tr w:rsidR="00AF7751" w:rsidRPr="001372F1" w14:paraId="4F296F95" w14:textId="77777777" w:rsidTr="00AF7751">
        <w:trPr>
          <w:gridAfter w:val="1"/>
          <w:wAfter w:w="8" w:type="dxa"/>
          <w:trHeight w:val="288"/>
        </w:trPr>
        <w:tc>
          <w:tcPr>
            <w:tcW w:w="2065" w:type="dxa"/>
            <w:vMerge w:val="restart"/>
            <w:noWrap/>
            <w:vAlign w:val="center"/>
            <w:hideMark/>
          </w:tcPr>
          <w:p w14:paraId="34B17566" w14:textId="77777777" w:rsidR="00AF7751" w:rsidRPr="001372F1" w:rsidRDefault="00AF7751" w:rsidP="00AF7751">
            <w:pPr>
              <w:spacing w:after="0" w:line="240" w:lineRule="auto"/>
              <w:rPr>
                <w:rFonts w:ascii="Cambria" w:eastAsia="Times New Roman" w:hAnsi="Cambria" w:cs="Calibri"/>
                <w:kern w:val="0"/>
                <w:sz w:val="20"/>
                <w:szCs w:val="20"/>
                <w:lang w:val="es-ES_tradnl"/>
              </w:rPr>
            </w:pPr>
            <w:r w:rsidRPr="001372F1">
              <w:rPr>
                <w:rFonts w:ascii="Cambria" w:hAnsi="Cambria"/>
                <w:kern w:val="0"/>
                <w:sz w:val="20"/>
                <w:lang w:val="es-ES_tradnl"/>
              </w:rPr>
              <w:t>Coste estimado de la implementación</w:t>
            </w:r>
          </w:p>
        </w:tc>
        <w:tc>
          <w:tcPr>
            <w:tcW w:w="1469" w:type="dxa"/>
            <w:noWrap/>
            <w:vAlign w:val="center"/>
            <w:hideMark/>
          </w:tcPr>
          <w:p w14:paraId="16F1A4A5" w14:textId="77777777" w:rsidR="00AF7751" w:rsidRPr="001372F1" w:rsidRDefault="00AF7751" w:rsidP="00F65214">
            <w:pPr>
              <w:spacing w:after="0" w:line="240" w:lineRule="auto"/>
              <w:jc w:val="center"/>
              <w:rPr>
                <w:rFonts w:ascii="Cambria" w:eastAsia="Times New Roman" w:hAnsi="Cambria" w:cs="Calibri"/>
                <w:color w:val="000000"/>
                <w:kern w:val="0"/>
                <w:sz w:val="20"/>
                <w:szCs w:val="20"/>
                <w:lang w:val="es-ES_tradnl"/>
              </w:rPr>
            </w:pPr>
            <w:r w:rsidRPr="001372F1">
              <w:rPr>
                <w:rFonts w:ascii="Cambria" w:hAnsi="Cambria"/>
                <w:sz w:val="20"/>
                <w:lang w:val="es-ES_tradnl"/>
              </w:rPr>
              <w:t>El GIES de la FAO</w:t>
            </w:r>
          </w:p>
        </w:tc>
        <w:tc>
          <w:tcPr>
            <w:tcW w:w="10605" w:type="dxa"/>
            <w:vAlign w:val="center"/>
            <w:hideMark/>
          </w:tcPr>
          <w:p w14:paraId="4F461892" w14:textId="77777777" w:rsidR="00AF7751" w:rsidRPr="001372F1" w:rsidRDefault="00CA48DC" w:rsidP="00C45AB0">
            <w:pPr>
              <w:spacing w:before="120" w:after="120"/>
              <w:rPr>
                <w:rFonts w:ascii="Cambria" w:eastAsia="Times New Roman" w:hAnsi="Cambria" w:cs="Calibri"/>
                <w:color w:val="000000"/>
                <w:kern w:val="0"/>
                <w:sz w:val="20"/>
                <w:szCs w:val="20"/>
                <w:lang w:val="es-ES_tradnl"/>
              </w:rPr>
            </w:pPr>
            <w:r w:rsidRPr="001372F1">
              <w:rPr>
                <w:rFonts w:ascii="Cambria" w:hAnsi="Cambria"/>
                <w:color w:val="000000"/>
                <w:kern w:val="0"/>
                <w:sz w:val="20"/>
                <w:lang w:val="es-ES_tradnl"/>
              </w:rPr>
              <w:t>Tras el suministro del código del GIES junto con la personalización básica, ICCAT correrá con todos los costes, incluidos los de despliegue e implementación.</w:t>
            </w:r>
          </w:p>
        </w:tc>
      </w:tr>
      <w:tr w:rsidR="00AF7751" w:rsidRPr="001372F1" w14:paraId="2F5E9B28" w14:textId="77777777" w:rsidTr="00AF7751">
        <w:trPr>
          <w:gridAfter w:val="1"/>
          <w:wAfter w:w="8" w:type="dxa"/>
          <w:trHeight w:val="576"/>
        </w:trPr>
        <w:tc>
          <w:tcPr>
            <w:tcW w:w="2065" w:type="dxa"/>
            <w:vMerge/>
            <w:noWrap/>
            <w:vAlign w:val="center"/>
            <w:hideMark/>
          </w:tcPr>
          <w:p w14:paraId="03AA791B" w14:textId="77777777" w:rsidR="00AF7751" w:rsidRPr="001372F1" w:rsidRDefault="00AF7751" w:rsidP="00AF7751">
            <w:pPr>
              <w:spacing w:after="0" w:line="240" w:lineRule="auto"/>
              <w:rPr>
                <w:rFonts w:ascii="Cambria" w:eastAsia="Times New Roman" w:hAnsi="Cambria" w:cs="Calibri"/>
                <w:kern w:val="0"/>
                <w:sz w:val="20"/>
                <w:szCs w:val="20"/>
                <w:lang w:val="es-ES_tradnl"/>
              </w:rPr>
            </w:pPr>
          </w:p>
        </w:tc>
        <w:tc>
          <w:tcPr>
            <w:tcW w:w="1469" w:type="dxa"/>
            <w:noWrap/>
            <w:vAlign w:val="center"/>
            <w:hideMark/>
          </w:tcPr>
          <w:p w14:paraId="3DF4A958" w14:textId="77777777" w:rsidR="00AF7751" w:rsidRPr="001372F1" w:rsidRDefault="00AF7751" w:rsidP="00831FD9">
            <w:pPr>
              <w:spacing w:after="0" w:line="240" w:lineRule="auto"/>
              <w:jc w:val="center"/>
              <w:rPr>
                <w:rFonts w:ascii="Cambria" w:eastAsia="Times New Roman" w:hAnsi="Cambria" w:cs="Calibri"/>
                <w:color w:val="000000"/>
                <w:kern w:val="0"/>
                <w:sz w:val="20"/>
                <w:szCs w:val="20"/>
                <w:lang w:val="es-ES_tradnl"/>
              </w:rPr>
            </w:pPr>
            <w:r w:rsidRPr="001372F1">
              <w:rPr>
                <w:rFonts w:ascii="Cambria" w:hAnsi="Cambria"/>
                <w:sz w:val="20"/>
                <w:lang w:val="es-ES_tradnl"/>
              </w:rPr>
              <w:t>e-PSM de la IOTC</w:t>
            </w:r>
          </w:p>
        </w:tc>
        <w:tc>
          <w:tcPr>
            <w:tcW w:w="10605" w:type="dxa"/>
            <w:vAlign w:val="center"/>
            <w:hideMark/>
          </w:tcPr>
          <w:p w14:paraId="6E117912" w14:textId="77777777" w:rsidR="00AF7751" w:rsidRPr="001372F1" w:rsidRDefault="00AF7751" w:rsidP="0083684F">
            <w:pPr>
              <w:spacing w:before="120" w:after="120" w:line="240" w:lineRule="auto"/>
              <w:jc w:val="both"/>
              <w:rPr>
                <w:rFonts w:ascii="Cambria" w:eastAsia="Times New Roman" w:hAnsi="Cambria" w:cs="Calibri"/>
                <w:color w:val="000000"/>
                <w:kern w:val="0"/>
                <w:sz w:val="20"/>
                <w:szCs w:val="20"/>
                <w:lang w:val="es-ES_tradnl"/>
              </w:rPr>
            </w:pPr>
            <w:r w:rsidRPr="001372F1">
              <w:rPr>
                <w:rFonts w:ascii="Cambria" w:hAnsi="Cambria"/>
                <w:color w:val="000000"/>
                <w:kern w:val="0"/>
                <w:sz w:val="20"/>
                <w:lang w:val="es-ES_tradnl"/>
              </w:rPr>
              <w:t>En lo que respecta a la adaptación del e-PSM de la IOTC, los costes correrían a cargo de ICCAT.</w:t>
            </w:r>
            <w:r w:rsidR="00BC499D" w:rsidRPr="001372F1">
              <w:rPr>
                <w:rFonts w:ascii="Cambria" w:hAnsi="Cambria"/>
                <w:color w:val="000000"/>
                <w:kern w:val="0"/>
                <w:sz w:val="20"/>
                <w:lang w:val="es-ES_tradnl"/>
              </w:rPr>
              <w:t xml:space="preserve"> </w:t>
            </w:r>
            <w:r w:rsidRPr="001372F1">
              <w:rPr>
                <w:rFonts w:ascii="Cambria" w:hAnsi="Cambria"/>
                <w:color w:val="000000"/>
                <w:kern w:val="0"/>
                <w:sz w:val="20"/>
                <w:lang w:val="es-ES_tradnl"/>
              </w:rPr>
              <w:t>Según la información facilitada, una personalización mínima requeriría aproximadamente 40 días de consultoría a lo largo de un periodo de entre 11 y 15 semanas, incluyendo análisis y talleres, adaptación y configuración, instalación y formación de los usuarios clave de la Secretaría.</w:t>
            </w:r>
          </w:p>
        </w:tc>
      </w:tr>
      <w:tr w:rsidR="00AF7751" w:rsidRPr="001372F1" w14:paraId="3297AD07" w14:textId="77777777" w:rsidTr="00AF7751">
        <w:trPr>
          <w:gridAfter w:val="1"/>
          <w:wAfter w:w="8" w:type="dxa"/>
          <w:trHeight w:val="288"/>
        </w:trPr>
        <w:tc>
          <w:tcPr>
            <w:tcW w:w="2065" w:type="dxa"/>
            <w:vMerge w:val="restart"/>
            <w:noWrap/>
            <w:vAlign w:val="center"/>
            <w:hideMark/>
          </w:tcPr>
          <w:p w14:paraId="5B730B7F" w14:textId="77777777" w:rsidR="00AF7751" w:rsidRPr="001372F1" w:rsidRDefault="00AF7751" w:rsidP="00AF7751">
            <w:pPr>
              <w:spacing w:after="0" w:line="240" w:lineRule="auto"/>
              <w:rPr>
                <w:rFonts w:ascii="Cambria" w:eastAsia="Times New Roman" w:hAnsi="Cambria" w:cs="Calibri"/>
                <w:kern w:val="0"/>
                <w:sz w:val="20"/>
                <w:szCs w:val="20"/>
                <w:lang w:val="es-ES_tradnl"/>
              </w:rPr>
            </w:pPr>
            <w:r w:rsidRPr="001372F1">
              <w:rPr>
                <w:rFonts w:ascii="Cambria" w:hAnsi="Cambria"/>
                <w:kern w:val="0"/>
                <w:sz w:val="20"/>
                <w:lang w:val="es-ES_tradnl"/>
              </w:rPr>
              <w:t xml:space="preserve">Costes anuales estimados de </w:t>
            </w:r>
            <w:r w:rsidRPr="001372F1">
              <w:rPr>
                <w:rFonts w:ascii="Cambria" w:hAnsi="Cambria"/>
                <w:kern w:val="0"/>
                <w:sz w:val="20"/>
                <w:lang w:val="es-ES_tradnl"/>
              </w:rPr>
              <w:lastRenderedPageBreak/>
              <w:t>funcionamiento y mantenimiento</w:t>
            </w:r>
          </w:p>
        </w:tc>
        <w:tc>
          <w:tcPr>
            <w:tcW w:w="1469" w:type="dxa"/>
            <w:noWrap/>
            <w:vAlign w:val="center"/>
            <w:hideMark/>
          </w:tcPr>
          <w:p w14:paraId="678CE94A" w14:textId="77777777" w:rsidR="00AF7751" w:rsidRPr="001372F1" w:rsidRDefault="00AF7751" w:rsidP="00F65214">
            <w:pPr>
              <w:spacing w:after="0" w:line="240" w:lineRule="auto"/>
              <w:jc w:val="center"/>
              <w:rPr>
                <w:rFonts w:ascii="Cambria" w:eastAsia="Times New Roman" w:hAnsi="Cambria" w:cs="Calibri"/>
                <w:color w:val="000000"/>
                <w:kern w:val="0"/>
                <w:sz w:val="20"/>
                <w:szCs w:val="20"/>
                <w:lang w:val="es-ES_tradnl"/>
              </w:rPr>
            </w:pPr>
            <w:r w:rsidRPr="001372F1">
              <w:rPr>
                <w:rFonts w:ascii="Cambria" w:hAnsi="Cambria"/>
                <w:sz w:val="20"/>
                <w:lang w:val="es-ES_tradnl"/>
              </w:rPr>
              <w:lastRenderedPageBreak/>
              <w:t>El GIES de la FAO</w:t>
            </w:r>
          </w:p>
        </w:tc>
        <w:tc>
          <w:tcPr>
            <w:tcW w:w="10605" w:type="dxa"/>
            <w:vAlign w:val="center"/>
            <w:hideMark/>
          </w:tcPr>
          <w:p w14:paraId="23DEBA24" w14:textId="77777777" w:rsidR="00AF7751" w:rsidRPr="001372F1" w:rsidRDefault="004E76CD" w:rsidP="00CA48DC">
            <w:pPr>
              <w:spacing w:before="120" w:after="120" w:line="240" w:lineRule="auto"/>
              <w:jc w:val="both"/>
              <w:rPr>
                <w:rFonts w:ascii="Cambria" w:eastAsia="Times New Roman" w:hAnsi="Cambria" w:cs="Calibri"/>
                <w:color w:val="000000"/>
                <w:kern w:val="0"/>
                <w:sz w:val="20"/>
                <w:szCs w:val="20"/>
                <w:lang w:val="es-ES_tradnl"/>
              </w:rPr>
            </w:pPr>
            <w:r w:rsidRPr="001372F1">
              <w:rPr>
                <w:rFonts w:ascii="Cambria" w:hAnsi="Cambria"/>
                <w:color w:val="000000"/>
                <w:kern w:val="0"/>
                <w:sz w:val="20"/>
                <w:lang w:val="es-ES_tradnl"/>
              </w:rPr>
              <w:t>Se espera que ICCAT cubra todos los costes.</w:t>
            </w:r>
            <w:r w:rsidR="00BC499D" w:rsidRPr="001372F1">
              <w:rPr>
                <w:rFonts w:ascii="Cambria" w:hAnsi="Cambria"/>
                <w:color w:val="000000"/>
                <w:kern w:val="0"/>
                <w:sz w:val="20"/>
                <w:lang w:val="es-ES_tradnl"/>
              </w:rPr>
              <w:t xml:space="preserve"> </w:t>
            </w:r>
            <w:r w:rsidRPr="001372F1">
              <w:rPr>
                <w:rFonts w:ascii="Cambria" w:hAnsi="Cambria"/>
                <w:color w:val="000000"/>
                <w:kern w:val="0"/>
                <w:sz w:val="20"/>
                <w:lang w:val="es-ES_tradnl"/>
              </w:rPr>
              <w:t xml:space="preserve">Dado que ICCAT carece del personal y la capacidad internos para gestionar el </w:t>
            </w:r>
            <w:r w:rsidRPr="001372F1">
              <w:rPr>
                <w:rFonts w:ascii="Cambria" w:hAnsi="Cambria"/>
                <w:color w:val="000000"/>
                <w:kern w:val="0"/>
                <w:sz w:val="20"/>
                <w:lang w:val="es-ES_tradnl"/>
              </w:rPr>
              <w:lastRenderedPageBreak/>
              <w:t>mantenimiento y el desarrollo del software de forma interna, estas tareas tendrían que encomendarse a un contratista externo.</w:t>
            </w:r>
            <w:r w:rsidR="00BC499D" w:rsidRPr="001372F1">
              <w:rPr>
                <w:rFonts w:ascii="Cambria" w:hAnsi="Cambria"/>
                <w:color w:val="000000"/>
                <w:kern w:val="0"/>
                <w:sz w:val="20"/>
                <w:lang w:val="es-ES_tradnl"/>
              </w:rPr>
              <w:t xml:space="preserve"> </w:t>
            </w:r>
            <w:r w:rsidRPr="001372F1">
              <w:rPr>
                <w:rFonts w:ascii="Cambria" w:hAnsi="Cambria"/>
                <w:color w:val="000000"/>
                <w:kern w:val="0"/>
                <w:sz w:val="20"/>
                <w:lang w:val="es-ES_tradnl"/>
              </w:rPr>
              <w:t>A este respecto, la FAO destacó la posibilidad de contratar al desarrollador original del GIES (ya sea directamente o a través de la FAO), lo que ofrecería importantes ventajas en términos de continuidad del sistema, conocimientos técnicos y rentabilidad.</w:t>
            </w:r>
            <w:r w:rsidR="00BC499D" w:rsidRPr="001372F1">
              <w:rPr>
                <w:rFonts w:ascii="Cambria" w:hAnsi="Cambria"/>
                <w:color w:val="000000"/>
                <w:kern w:val="0"/>
                <w:sz w:val="20"/>
                <w:lang w:val="es-ES_tradnl"/>
              </w:rPr>
              <w:t xml:space="preserve"> </w:t>
            </w:r>
            <w:r w:rsidRPr="001372F1">
              <w:rPr>
                <w:rFonts w:ascii="Cambria" w:hAnsi="Cambria"/>
                <w:color w:val="000000"/>
                <w:kern w:val="0"/>
                <w:sz w:val="20"/>
                <w:lang w:val="es-ES_tradnl"/>
              </w:rPr>
              <w:t>Los costes estimados dependerían del proveedor del servicio.</w:t>
            </w:r>
            <w:r w:rsidR="00BC499D" w:rsidRPr="001372F1">
              <w:rPr>
                <w:rFonts w:ascii="Cambria" w:hAnsi="Cambria"/>
                <w:color w:val="000000"/>
                <w:kern w:val="0"/>
                <w:sz w:val="20"/>
                <w:lang w:val="es-ES_tradnl"/>
              </w:rPr>
              <w:t xml:space="preserve"> </w:t>
            </w:r>
            <w:r w:rsidRPr="001372F1">
              <w:rPr>
                <w:rFonts w:ascii="Cambria" w:hAnsi="Cambria"/>
                <w:color w:val="000000"/>
                <w:kern w:val="0"/>
                <w:sz w:val="20"/>
                <w:lang w:val="es-ES_tradnl"/>
              </w:rPr>
              <w:t>Se prevé que los costes de alojamiento en la nube oscilen entre 1.000 dólares y 2.300 dólares al año.</w:t>
            </w:r>
            <w:r w:rsidR="00BC499D" w:rsidRPr="001372F1">
              <w:rPr>
                <w:rFonts w:ascii="Cambria" w:hAnsi="Cambria"/>
                <w:color w:val="000000"/>
                <w:kern w:val="0"/>
                <w:sz w:val="20"/>
                <w:lang w:val="es-ES_tradnl"/>
              </w:rPr>
              <w:t xml:space="preserve"> </w:t>
            </w:r>
            <w:r w:rsidRPr="001372F1">
              <w:rPr>
                <w:rFonts w:ascii="Cambria" w:hAnsi="Cambria"/>
                <w:color w:val="000000"/>
                <w:kern w:val="0"/>
                <w:sz w:val="20"/>
                <w:lang w:val="es-ES_tradnl"/>
              </w:rPr>
              <w:t>No obstante, la FAO se ofrece a proporcionar gratuitamente el código de cualquier nueva funcionalidad desarrollada tras la entrega de la copia a ICCAT para su integración, según corresponda.</w:t>
            </w:r>
            <w:r w:rsidR="00BC499D" w:rsidRPr="001372F1">
              <w:rPr>
                <w:rFonts w:ascii="Cambria" w:hAnsi="Cambria"/>
                <w:color w:val="000000"/>
                <w:kern w:val="0"/>
                <w:sz w:val="20"/>
                <w:lang w:val="es-ES_tradnl"/>
              </w:rPr>
              <w:t xml:space="preserve"> </w:t>
            </w:r>
            <w:r w:rsidRPr="001372F1">
              <w:rPr>
                <w:rFonts w:ascii="Cambria" w:hAnsi="Cambria"/>
                <w:color w:val="000000"/>
                <w:kern w:val="0"/>
                <w:sz w:val="20"/>
                <w:lang w:val="es-ES_tradnl"/>
              </w:rPr>
              <w:t>Los costes de mantenimiento ascenderían, de media, a unos dos días laborables de un desarrollador al mes.</w:t>
            </w:r>
          </w:p>
        </w:tc>
      </w:tr>
      <w:tr w:rsidR="00AF7751" w:rsidRPr="001372F1" w14:paraId="3747318C" w14:textId="77777777" w:rsidTr="00AF7751">
        <w:trPr>
          <w:gridAfter w:val="1"/>
          <w:wAfter w:w="8" w:type="dxa"/>
          <w:trHeight w:val="288"/>
        </w:trPr>
        <w:tc>
          <w:tcPr>
            <w:tcW w:w="2065" w:type="dxa"/>
            <w:vMerge/>
            <w:noWrap/>
            <w:vAlign w:val="center"/>
            <w:hideMark/>
          </w:tcPr>
          <w:p w14:paraId="7FD5B6FD" w14:textId="77777777" w:rsidR="00AF7751" w:rsidRPr="001372F1" w:rsidRDefault="00AF7751" w:rsidP="00AF7751">
            <w:pPr>
              <w:spacing w:after="0" w:line="240" w:lineRule="auto"/>
              <w:rPr>
                <w:rFonts w:ascii="Cambria" w:eastAsia="Times New Roman" w:hAnsi="Cambria" w:cs="Calibri"/>
                <w:kern w:val="0"/>
                <w:sz w:val="20"/>
                <w:szCs w:val="20"/>
                <w:lang w:val="es-ES_tradnl"/>
              </w:rPr>
            </w:pPr>
          </w:p>
        </w:tc>
        <w:tc>
          <w:tcPr>
            <w:tcW w:w="1469" w:type="dxa"/>
            <w:noWrap/>
            <w:vAlign w:val="center"/>
            <w:hideMark/>
          </w:tcPr>
          <w:p w14:paraId="44D9F2C2" w14:textId="77777777" w:rsidR="00AF7751" w:rsidRPr="001372F1" w:rsidRDefault="00AF7751" w:rsidP="00831FD9">
            <w:pPr>
              <w:spacing w:after="0" w:line="240" w:lineRule="auto"/>
              <w:jc w:val="center"/>
              <w:rPr>
                <w:rFonts w:ascii="Cambria" w:eastAsia="Times New Roman" w:hAnsi="Cambria" w:cs="Calibri"/>
                <w:color w:val="000000"/>
                <w:kern w:val="0"/>
                <w:sz w:val="20"/>
                <w:szCs w:val="20"/>
                <w:lang w:val="es-ES_tradnl"/>
              </w:rPr>
            </w:pPr>
            <w:r w:rsidRPr="001372F1">
              <w:rPr>
                <w:rFonts w:ascii="Cambria" w:hAnsi="Cambria"/>
                <w:sz w:val="20"/>
                <w:lang w:val="es-ES_tradnl"/>
              </w:rPr>
              <w:t>e-PSM de la IOTC</w:t>
            </w:r>
          </w:p>
        </w:tc>
        <w:tc>
          <w:tcPr>
            <w:tcW w:w="10605" w:type="dxa"/>
            <w:vAlign w:val="center"/>
            <w:hideMark/>
          </w:tcPr>
          <w:p w14:paraId="7842D736" w14:textId="77777777" w:rsidR="00AF7751" w:rsidRPr="001372F1" w:rsidRDefault="00AF7751" w:rsidP="0083684F">
            <w:pPr>
              <w:spacing w:before="120" w:after="120" w:line="240" w:lineRule="auto"/>
              <w:jc w:val="both"/>
              <w:rPr>
                <w:rFonts w:ascii="Cambria" w:eastAsia="Times New Roman" w:hAnsi="Cambria" w:cs="Calibri"/>
                <w:color w:val="000000"/>
                <w:kern w:val="0"/>
                <w:sz w:val="20"/>
                <w:szCs w:val="20"/>
                <w:lang w:val="es-ES_tradnl"/>
              </w:rPr>
            </w:pPr>
            <w:r w:rsidRPr="001372F1">
              <w:rPr>
                <w:rFonts w:ascii="Cambria" w:hAnsi="Cambria"/>
                <w:color w:val="000000"/>
                <w:kern w:val="0"/>
                <w:sz w:val="20"/>
                <w:lang w:val="es-ES_tradnl"/>
              </w:rPr>
              <w:t>En el caso del e-PSM de la IOTC, no habría ningún coste de licencia, ya que el software es gratuito, y el alojamiento en la nube costaría aproximadamente 700 dólares estadounidenses al año.</w:t>
            </w:r>
            <w:r w:rsidR="00BC499D" w:rsidRPr="001372F1">
              <w:rPr>
                <w:rFonts w:ascii="Cambria" w:hAnsi="Cambria"/>
                <w:color w:val="000000"/>
                <w:kern w:val="0"/>
                <w:sz w:val="20"/>
                <w:lang w:val="es-ES_tradnl"/>
              </w:rPr>
              <w:t xml:space="preserve"> </w:t>
            </w:r>
            <w:r w:rsidRPr="001372F1">
              <w:rPr>
                <w:rFonts w:ascii="Cambria" w:hAnsi="Cambria"/>
                <w:color w:val="000000"/>
                <w:kern w:val="0"/>
                <w:sz w:val="20"/>
                <w:lang w:val="es-ES_tradnl"/>
              </w:rPr>
              <w:t>Se necesitarían aproximadamente 50 días de trabajo del desarrollador al año para tareas de asistencia técnica, optimización y mejoras.</w:t>
            </w:r>
          </w:p>
        </w:tc>
      </w:tr>
      <w:tr w:rsidR="00AF7751" w:rsidRPr="001372F1" w14:paraId="70119D59" w14:textId="77777777" w:rsidTr="00AF7751">
        <w:trPr>
          <w:gridAfter w:val="1"/>
          <w:wAfter w:w="8" w:type="dxa"/>
          <w:trHeight w:val="288"/>
        </w:trPr>
        <w:tc>
          <w:tcPr>
            <w:tcW w:w="2065" w:type="dxa"/>
            <w:vMerge w:val="restart"/>
            <w:noWrap/>
            <w:vAlign w:val="center"/>
            <w:hideMark/>
          </w:tcPr>
          <w:p w14:paraId="4144964F" w14:textId="77777777" w:rsidR="00AF7751" w:rsidRPr="001372F1" w:rsidRDefault="00AF7751" w:rsidP="00AF7751">
            <w:pPr>
              <w:spacing w:after="0" w:line="240" w:lineRule="auto"/>
              <w:rPr>
                <w:rFonts w:ascii="Cambria" w:eastAsia="Times New Roman" w:hAnsi="Cambria" w:cs="Calibri"/>
                <w:kern w:val="0"/>
                <w:sz w:val="20"/>
                <w:szCs w:val="20"/>
                <w:lang w:val="es-ES_tradnl"/>
              </w:rPr>
            </w:pPr>
            <w:r w:rsidRPr="001372F1">
              <w:rPr>
                <w:rFonts w:ascii="Cambria" w:hAnsi="Cambria"/>
                <w:kern w:val="0"/>
                <w:sz w:val="20"/>
                <w:lang w:val="es-ES_tradnl"/>
              </w:rPr>
              <w:t>Tiempo estimado hasta el desarrollo total</w:t>
            </w:r>
          </w:p>
        </w:tc>
        <w:tc>
          <w:tcPr>
            <w:tcW w:w="1469" w:type="dxa"/>
            <w:noWrap/>
            <w:vAlign w:val="center"/>
            <w:hideMark/>
          </w:tcPr>
          <w:p w14:paraId="7F47355A" w14:textId="77777777" w:rsidR="00AF7751" w:rsidRPr="001372F1" w:rsidRDefault="00AF7751" w:rsidP="00F65214">
            <w:pPr>
              <w:spacing w:after="0" w:line="240" w:lineRule="auto"/>
              <w:jc w:val="center"/>
              <w:rPr>
                <w:rFonts w:ascii="Cambria" w:eastAsia="Times New Roman" w:hAnsi="Cambria" w:cs="Calibri"/>
                <w:color w:val="000000"/>
                <w:kern w:val="0"/>
                <w:sz w:val="20"/>
                <w:szCs w:val="20"/>
                <w:lang w:val="es-ES_tradnl"/>
              </w:rPr>
            </w:pPr>
            <w:r w:rsidRPr="001372F1">
              <w:rPr>
                <w:rFonts w:ascii="Cambria" w:hAnsi="Cambria"/>
                <w:sz w:val="20"/>
                <w:lang w:val="es-ES_tradnl"/>
              </w:rPr>
              <w:t>El GIES de la FAO</w:t>
            </w:r>
          </w:p>
        </w:tc>
        <w:tc>
          <w:tcPr>
            <w:tcW w:w="10605" w:type="dxa"/>
            <w:vAlign w:val="center"/>
            <w:hideMark/>
          </w:tcPr>
          <w:p w14:paraId="69D6CA09" w14:textId="77777777" w:rsidR="00AF7751" w:rsidRPr="001372F1" w:rsidRDefault="00CA48DC" w:rsidP="00CA48DC">
            <w:pPr>
              <w:spacing w:before="120" w:after="120" w:line="240" w:lineRule="auto"/>
              <w:jc w:val="both"/>
              <w:rPr>
                <w:rFonts w:ascii="Cambria" w:eastAsia="Times New Roman" w:hAnsi="Cambria" w:cs="Calibri"/>
                <w:color w:val="000000"/>
                <w:kern w:val="0"/>
                <w:sz w:val="20"/>
                <w:szCs w:val="20"/>
                <w:lang w:val="es-ES_tradnl"/>
              </w:rPr>
            </w:pPr>
            <w:r w:rsidRPr="001372F1">
              <w:rPr>
                <w:rFonts w:ascii="Cambria" w:hAnsi="Cambria"/>
                <w:color w:val="000000"/>
                <w:kern w:val="0"/>
                <w:sz w:val="20"/>
                <w:lang w:val="es-ES_tradnl"/>
              </w:rPr>
              <w:t>Dependería de la adaptación adicional que pudiera requerir la copia personalizada del GIES, pero se prevé que el tiempo de implementación sea muy breve.</w:t>
            </w:r>
          </w:p>
        </w:tc>
      </w:tr>
      <w:tr w:rsidR="00AF7751" w:rsidRPr="001372F1" w14:paraId="5C4CB917" w14:textId="77777777" w:rsidTr="00AF7751">
        <w:trPr>
          <w:gridAfter w:val="1"/>
          <w:wAfter w:w="8" w:type="dxa"/>
          <w:trHeight w:val="576"/>
        </w:trPr>
        <w:tc>
          <w:tcPr>
            <w:tcW w:w="2065" w:type="dxa"/>
            <w:vMerge/>
            <w:noWrap/>
            <w:vAlign w:val="center"/>
            <w:hideMark/>
          </w:tcPr>
          <w:p w14:paraId="6ECE569E" w14:textId="77777777" w:rsidR="00AF7751" w:rsidRPr="001372F1" w:rsidRDefault="00AF7751" w:rsidP="00AF7751">
            <w:pPr>
              <w:spacing w:after="0" w:line="240" w:lineRule="auto"/>
              <w:rPr>
                <w:rFonts w:ascii="Cambria" w:eastAsia="Times New Roman" w:hAnsi="Cambria" w:cs="Times New Roman"/>
                <w:kern w:val="0"/>
                <w:sz w:val="20"/>
                <w:szCs w:val="20"/>
                <w:lang w:val="es-ES_tradnl"/>
              </w:rPr>
            </w:pPr>
          </w:p>
        </w:tc>
        <w:tc>
          <w:tcPr>
            <w:tcW w:w="1469" w:type="dxa"/>
            <w:noWrap/>
            <w:vAlign w:val="center"/>
            <w:hideMark/>
          </w:tcPr>
          <w:p w14:paraId="7CDDCBD4" w14:textId="77777777" w:rsidR="00AF7751" w:rsidRPr="001372F1" w:rsidRDefault="00AF7751" w:rsidP="00831FD9">
            <w:pPr>
              <w:spacing w:after="0" w:line="240" w:lineRule="auto"/>
              <w:jc w:val="center"/>
              <w:rPr>
                <w:rFonts w:ascii="Cambria" w:eastAsia="Times New Roman" w:hAnsi="Cambria" w:cs="Calibri"/>
                <w:color w:val="000000"/>
                <w:kern w:val="0"/>
                <w:sz w:val="20"/>
                <w:szCs w:val="20"/>
                <w:lang w:val="es-ES_tradnl"/>
              </w:rPr>
            </w:pPr>
            <w:r w:rsidRPr="001372F1">
              <w:rPr>
                <w:rFonts w:ascii="Cambria" w:hAnsi="Cambria"/>
                <w:sz w:val="20"/>
                <w:lang w:val="es-ES_tradnl"/>
              </w:rPr>
              <w:t>e-PSM de la IOTC</w:t>
            </w:r>
          </w:p>
        </w:tc>
        <w:tc>
          <w:tcPr>
            <w:tcW w:w="10605" w:type="dxa"/>
            <w:vAlign w:val="center"/>
            <w:hideMark/>
          </w:tcPr>
          <w:p w14:paraId="63E17B86" w14:textId="77777777" w:rsidR="00AF7751" w:rsidRPr="001372F1" w:rsidRDefault="00AF7751" w:rsidP="00AF7751">
            <w:pPr>
              <w:spacing w:after="0" w:line="240" w:lineRule="auto"/>
              <w:jc w:val="both"/>
              <w:rPr>
                <w:rFonts w:ascii="Cambria" w:eastAsia="Times New Roman" w:hAnsi="Cambria" w:cs="Calibri"/>
                <w:color w:val="000000"/>
                <w:kern w:val="0"/>
                <w:sz w:val="20"/>
                <w:szCs w:val="20"/>
                <w:lang w:val="es-ES_tradnl"/>
              </w:rPr>
            </w:pPr>
            <w:r w:rsidRPr="001372F1">
              <w:rPr>
                <w:rFonts w:ascii="Cambria" w:hAnsi="Cambria"/>
                <w:color w:val="000000"/>
                <w:kern w:val="0"/>
                <w:sz w:val="20"/>
                <w:lang w:val="es-ES_tradnl"/>
              </w:rPr>
              <w:t>El plazo estimado para la implementación completa es de entre 11 y 15 semanas, calculado sobre la base de unos 40 días de consultoría.</w:t>
            </w:r>
          </w:p>
        </w:tc>
      </w:tr>
    </w:tbl>
    <w:p w14:paraId="06659966" w14:textId="77777777" w:rsidR="00486D7A" w:rsidRPr="001372F1" w:rsidRDefault="00486D7A">
      <w:pPr>
        <w:rPr>
          <w:lang w:val="es-ES_tradnl"/>
        </w:rPr>
      </w:pPr>
    </w:p>
    <w:p w14:paraId="02BAA311" w14:textId="77777777" w:rsidR="00486D7A" w:rsidRPr="001372F1" w:rsidRDefault="00486D7A" w:rsidP="00D03C37">
      <w:pPr>
        <w:spacing w:after="0" w:line="240" w:lineRule="auto"/>
        <w:ind w:left="360" w:hanging="360"/>
        <w:rPr>
          <w:rFonts w:ascii="Cambria" w:hAnsi="Cambria"/>
          <w:sz w:val="20"/>
          <w:szCs w:val="20"/>
          <w:lang w:val="es-ES_tradnl"/>
        </w:rPr>
      </w:pPr>
      <w:r w:rsidRPr="001372F1">
        <w:rPr>
          <w:rFonts w:ascii="Cambria" w:hAnsi="Cambria"/>
          <w:b/>
          <w:sz w:val="20"/>
          <w:lang w:val="es-ES_tradnl"/>
        </w:rPr>
        <w:t>Tabla 2</w:t>
      </w:r>
      <w:r w:rsidRPr="001372F1">
        <w:rPr>
          <w:rFonts w:ascii="Cambria" w:hAnsi="Cambria"/>
          <w:sz w:val="20"/>
          <w:lang w:val="es-ES_tradnl"/>
        </w:rPr>
        <w:t>.</w:t>
      </w:r>
      <w:r w:rsidR="001372F1">
        <w:rPr>
          <w:rFonts w:ascii="Cambria" w:hAnsi="Cambria"/>
          <w:sz w:val="20"/>
          <w:lang w:val="es-ES_tradnl"/>
        </w:rPr>
        <w:t xml:space="preserve"> </w:t>
      </w:r>
      <w:r w:rsidRPr="001372F1">
        <w:rPr>
          <w:rFonts w:ascii="Cambria" w:hAnsi="Cambria"/>
          <w:sz w:val="20"/>
          <w:lang w:val="es-ES_tradnl"/>
        </w:rPr>
        <w:t>Resumen de las principales ventajas e inconvenientes extraídos del GIES de la FAO y del e-PSM de la IOTC.</w:t>
      </w:r>
    </w:p>
    <w:tbl>
      <w:tblPr>
        <w:tblW w:w="14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5"/>
        <w:gridCol w:w="1469"/>
        <w:gridCol w:w="10605"/>
        <w:gridCol w:w="8"/>
      </w:tblGrid>
      <w:tr w:rsidR="000A4659" w:rsidRPr="001372F1" w14:paraId="40970313" w14:textId="77777777" w:rsidTr="00486D7A">
        <w:trPr>
          <w:trHeight w:val="288"/>
        </w:trPr>
        <w:tc>
          <w:tcPr>
            <w:tcW w:w="14147" w:type="dxa"/>
            <w:gridSpan w:val="4"/>
            <w:shd w:val="clear" w:color="auto" w:fill="000000" w:themeFill="text1"/>
            <w:noWrap/>
            <w:vAlign w:val="center"/>
            <w:hideMark/>
          </w:tcPr>
          <w:p w14:paraId="4D0E81D1" w14:textId="77777777" w:rsidR="000A4659" w:rsidRPr="001372F1" w:rsidRDefault="000A4659" w:rsidP="0020557A">
            <w:pPr>
              <w:spacing w:after="0" w:line="240" w:lineRule="auto"/>
              <w:rPr>
                <w:rFonts w:ascii="Cambria" w:eastAsia="Times New Roman" w:hAnsi="Cambria" w:cs="Times New Roman"/>
                <w:b/>
                <w:bCs/>
                <w:kern w:val="0"/>
                <w:sz w:val="20"/>
                <w:szCs w:val="20"/>
                <w:lang w:val="es-ES_tradnl"/>
              </w:rPr>
            </w:pPr>
            <w:r w:rsidRPr="001372F1">
              <w:rPr>
                <w:rFonts w:ascii="Cambria" w:hAnsi="Cambria"/>
                <w:b/>
                <w:color w:val="FFFFFF" w:themeColor="background1"/>
                <w:kern w:val="0"/>
                <w:sz w:val="20"/>
                <w:lang w:val="es-ES_tradnl"/>
              </w:rPr>
              <w:t>VISIÓN GENERAL</w:t>
            </w:r>
          </w:p>
        </w:tc>
      </w:tr>
      <w:tr w:rsidR="00AF7751" w:rsidRPr="001372F1" w14:paraId="7B0F3856" w14:textId="77777777" w:rsidTr="00AF7751">
        <w:trPr>
          <w:gridAfter w:val="1"/>
          <w:wAfter w:w="8" w:type="dxa"/>
          <w:trHeight w:val="548"/>
        </w:trPr>
        <w:tc>
          <w:tcPr>
            <w:tcW w:w="2065" w:type="dxa"/>
            <w:vMerge w:val="restart"/>
            <w:noWrap/>
            <w:vAlign w:val="center"/>
            <w:hideMark/>
          </w:tcPr>
          <w:p w14:paraId="7C5DB9B4" w14:textId="77777777" w:rsidR="00AF7751" w:rsidRPr="001372F1" w:rsidRDefault="00AF7751" w:rsidP="00AF7751">
            <w:pPr>
              <w:spacing w:after="0" w:line="240" w:lineRule="auto"/>
              <w:rPr>
                <w:rFonts w:ascii="Cambria" w:eastAsia="Times New Roman" w:hAnsi="Cambria" w:cs="Calibri"/>
                <w:color w:val="000000"/>
                <w:kern w:val="0"/>
                <w:sz w:val="20"/>
                <w:szCs w:val="20"/>
                <w:lang w:val="es-ES_tradnl"/>
              </w:rPr>
            </w:pPr>
            <w:r w:rsidRPr="001372F1">
              <w:rPr>
                <w:rFonts w:ascii="Cambria" w:hAnsi="Cambria"/>
                <w:color w:val="000000"/>
                <w:kern w:val="0"/>
                <w:sz w:val="20"/>
                <w:lang w:val="es-ES_tradnl"/>
              </w:rPr>
              <w:t>Ventajas clave</w:t>
            </w:r>
          </w:p>
        </w:tc>
        <w:tc>
          <w:tcPr>
            <w:tcW w:w="1469" w:type="dxa"/>
            <w:noWrap/>
            <w:vAlign w:val="center"/>
            <w:hideMark/>
          </w:tcPr>
          <w:p w14:paraId="32AA2B5F" w14:textId="77777777" w:rsidR="00AF7751" w:rsidRPr="001372F1" w:rsidRDefault="00AF7751" w:rsidP="00AF7751">
            <w:pPr>
              <w:spacing w:after="0" w:line="240" w:lineRule="auto"/>
              <w:jc w:val="center"/>
              <w:rPr>
                <w:rFonts w:ascii="Cambria" w:eastAsia="Times New Roman" w:hAnsi="Cambria" w:cs="Calibri"/>
                <w:color w:val="000000"/>
                <w:kern w:val="0"/>
                <w:sz w:val="20"/>
                <w:szCs w:val="20"/>
                <w:lang w:val="es-ES_tradnl"/>
              </w:rPr>
            </w:pPr>
            <w:r w:rsidRPr="001372F1">
              <w:rPr>
                <w:rFonts w:ascii="Cambria" w:hAnsi="Cambria"/>
                <w:sz w:val="20"/>
                <w:lang w:val="es-ES_tradnl"/>
              </w:rPr>
              <w:t>El GIES de la FAO</w:t>
            </w:r>
          </w:p>
        </w:tc>
        <w:tc>
          <w:tcPr>
            <w:tcW w:w="10605" w:type="dxa"/>
            <w:vAlign w:val="center"/>
            <w:hideMark/>
          </w:tcPr>
          <w:p w14:paraId="454EB474" w14:textId="77777777" w:rsidR="00AF7751" w:rsidRPr="001372F1" w:rsidRDefault="00AF7751" w:rsidP="001956BB">
            <w:pPr>
              <w:pStyle w:val="ListParagraph"/>
              <w:numPr>
                <w:ilvl w:val="0"/>
                <w:numId w:val="11"/>
              </w:numPr>
              <w:spacing w:before="120" w:after="120" w:line="240" w:lineRule="auto"/>
              <w:jc w:val="both"/>
              <w:rPr>
                <w:rFonts w:ascii="Cambria" w:eastAsia="Times New Roman" w:hAnsi="Cambria" w:cs="Calibri"/>
                <w:color w:val="000000"/>
                <w:kern w:val="0"/>
                <w:sz w:val="20"/>
                <w:szCs w:val="20"/>
                <w:lang w:val="es-ES_tradnl"/>
              </w:rPr>
            </w:pPr>
            <w:r w:rsidRPr="001372F1">
              <w:rPr>
                <w:rFonts w:ascii="Cambria" w:hAnsi="Cambria"/>
                <w:color w:val="000000"/>
                <w:kern w:val="0"/>
                <w:sz w:val="20"/>
                <w:lang w:val="es-ES_tradnl"/>
              </w:rPr>
              <w:t>Se podría disponer fácilmente de una copia del GIES y facilitarla a ICCAT sin coste alguno, con la personalización inicial cubierta.</w:t>
            </w:r>
          </w:p>
          <w:p w14:paraId="776D90EA" w14:textId="77777777" w:rsidR="00AF7751" w:rsidRPr="001372F1" w:rsidRDefault="004F0323" w:rsidP="001956BB">
            <w:pPr>
              <w:pStyle w:val="ListParagraph"/>
              <w:numPr>
                <w:ilvl w:val="0"/>
                <w:numId w:val="11"/>
              </w:numPr>
              <w:spacing w:before="120" w:after="120" w:line="240" w:lineRule="auto"/>
              <w:jc w:val="both"/>
              <w:rPr>
                <w:rFonts w:ascii="Cambria" w:eastAsia="Times New Roman" w:hAnsi="Cambria" w:cs="Calibri"/>
                <w:color w:val="000000"/>
                <w:kern w:val="0"/>
                <w:sz w:val="20"/>
                <w:szCs w:val="20"/>
                <w:lang w:val="es-ES_tradnl"/>
              </w:rPr>
            </w:pPr>
            <w:r w:rsidRPr="001372F1">
              <w:rPr>
                <w:rFonts w:ascii="Cambria" w:hAnsi="Cambria"/>
                <w:color w:val="000000"/>
                <w:kern w:val="0"/>
                <w:sz w:val="20"/>
                <w:lang w:val="es-ES_tradnl"/>
              </w:rPr>
              <w:t>Compatibilidad total con el GIES y buen potencial de interoperabilidad con el IOMS.</w:t>
            </w:r>
          </w:p>
          <w:p w14:paraId="415D6BDA" w14:textId="77777777" w:rsidR="00AF7751" w:rsidRPr="001372F1" w:rsidRDefault="00AF7751" w:rsidP="001956BB">
            <w:pPr>
              <w:pStyle w:val="ListParagraph"/>
              <w:numPr>
                <w:ilvl w:val="0"/>
                <w:numId w:val="11"/>
              </w:numPr>
              <w:spacing w:before="120" w:after="120" w:line="240" w:lineRule="auto"/>
              <w:jc w:val="both"/>
              <w:rPr>
                <w:rFonts w:ascii="Cambria" w:eastAsia="Times New Roman" w:hAnsi="Cambria" w:cs="Calibri"/>
                <w:color w:val="000000"/>
                <w:kern w:val="0"/>
                <w:sz w:val="20"/>
                <w:szCs w:val="20"/>
                <w:lang w:val="es-ES_tradnl"/>
              </w:rPr>
            </w:pPr>
            <w:r w:rsidRPr="001372F1">
              <w:rPr>
                <w:rFonts w:ascii="Cambria" w:hAnsi="Cambria"/>
                <w:color w:val="000000"/>
                <w:kern w:val="0"/>
                <w:sz w:val="20"/>
                <w:lang w:val="es-ES_tradnl"/>
              </w:rPr>
              <w:t>Una pila tecnológica moderna y muy recomendable.</w:t>
            </w:r>
          </w:p>
          <w:p w14:paraId="37FF5400" w14:textId="77777777" w:rsidR="00AF7751" w:rsidRPr="001372F1" w:rsidRDefault="00AF7751" w:rsidP="001956BB">
            <w:pPr>
              <w:pStyle w:val="ListParagraph"/>
              <w:numPr>
                <w:ilvl w:val="0"/>
                <w:numId w:val="11"/>
              </w:numPr>
              <w:spacing w:before="120" w:after="120" w:line="240" w:lineRule="auto"/>
              <w:jc w:val="both"/>
              <w:rPr>
                <w:rFonts w:ascii="Cambria" w:eastAsia="Times New Roman" w:hAnsi="Cambria" w:cs="Calibri"/>
                <w:color w:val="000000"/>
                <w:kern w:val="0"/>
                <w:sz w:val="20"/>
                <w:szCs w:val="20"/>
                <w:lang w:val="es-ES_tradnl"/>
              </w:rPr>
            </w:pPr>
            <w:r w:rsidRPr="001372F1">
              <w:rPr>
                <w:rFonts w:ascii="Cambria" w:hAnsi="Cambria"/>
                <w:color w:val="000000"/>
                <w:kern w:val="0"/>
                <w:sz w:val="20"/>
                <w:lang w:val="es-ES_tradnl"/>
              </w:rPr>
              <w:t>Amplia cobertura multilingüe:</w:t>
            </w:r>
            <w:r w:rsidR="00BC499D" w:rsidRPr="001372F1">
              <w:rPr>
                <w:rFonts w:ascii="Cambria" w:hAnsi="Cambria"/>
                <w:color w:val="000000"/>
                <w:kern w:val="0"/>
                <w:sz w:val="20"/>
                <w:lang w:val="es-ES_tradnl"/>
              </w:rPr>
              <w:t xml:space="preserve"> </w:t>
            </w:r>
            <w:r w:rsidRPr="001372F1">
              <w:rPr>
                <w:rFonts w:ascii="Cambria" w:hAnsi="Cambria"/>
                <w:color w:val="000000"/>
                <w:kern w:val="0"/>
                <w:sz w:val="20"/>
                <w:lang w:val="es-ES_tradnl"/>
              </w:rPr>
              <w:t>inglés, francés, español, árabe, ruso y chino.</w:t>
            </w:r>
          </w:p>
          <w:p w14:paraId="59465A9E" w14:textId="77777777" w:rsidR="00AF7751" w:rsidRPr="001372F1" w:rsidRDefault="00CB18AC" w:rsidP="001956BB">
            <w:pPr>
              <w:pStyle w:val="ListParagraph"/>
              <w:numPr>
                <w:ilvl w:val="0"/>
                <w:numId w:val="11"/>
              </w:numPr>
              <w:spacing w:before="120" w:after="120" w:line="240" w:lineRule="auto"/>
              <w:jc w:val="both"/>
              <w:rPr>
                <w:rFonts w:ascii="Cambria" w:eastAsia="Times New Roman" w:hAnsi="Cambria" w:cs="Calibri"/>
                <w:color w:val="000000"/>
                <w:kern w:val="0"/>
                <w:sz w:val="20"/>
                <w:szCs w:val="20"/>
                <w:lang w:val="es-ES_tradnl"/>
              </w:rPr>
            </w:pPr>
            <w:r w:rsidRPr="001372F1">
              <w:rPr>
                <w:rFonts w:ascii="Cambria" w:hAnsi="Cambria"/>
                <w:color w:val="000000"/>
                <w:kern w:val="0"/>
                <w:sz w:val="20"/>
                <w:lang w:val="es-ES_tradnl"/>
              </w:rPr>
              <w:t>Las normas de funcionamiento podrían permitir a las CPC de ICCAT que no forman parte del PSMA utilizar el sistema en el marco de ICCAT.</w:t>
            </w:r>
          </w:p>
        </w:tc>
      </w:tr>
      <w:tr w:rsidR="00AF7751" w:rsidRPr="001372F1" w14:paraId="1B02BDA1" w14:textId="77777777" w:rsidTr="00AF7751">
        <w:trPr>
          <w:gridAfter w:val="1"/>
          <w:wAfter w:w="8" w:type="dxa"/>
          <w:trHeight w:val="1475"/>
        </w:trPr>
        <w:tc>
          <w:tcPr>
            <w:tcW w:w="2065" w:type="dxa"/>
            <w:vMerge/>
            <w:noWrap/>
            <w:vAlign w:val="center"/>
            <w:hideMark/>
          </w:tcPr>
          <w:p w14:paraId="11F12C63" w14:textId="77777777" w:rsidR="00AF7751" w:rsidRPr="001372F1" w:rsidRDefault="00AF7751" w:rsidP="00AF7751">
            <w:pPr>
              <w:spacing w:after="0" w:line="240" w:lineRule="auto"/>
              <w:rPr>
                <w:rFonts w:ascii="Cambria" w:eastAsia="Times New Roman" w:hAnsi="Cambria" w:cs="Times New Roman"/>
                <w:kern w:val="0"/>
                <w:sz w:val="20"/>
                <w:szCs w:val="20"/>
                <w:lang w:val="es-ES_tradnl"/>
              </w:rPr>
            </w:pPr>
          </w:p>
        </w:tc>
        <w:tc>
          <w:tcPr>
            <w:tcW w:w="1469" w:type="dxa"/>
            <w:noWrap/>
            <w:vAlign w:val="center"/>
            <w:hideMark/>
          </w:tcPr>
          <w:p w14:paraId="6C40903A" w14:textId="77777777" w:rsidR="00AF7751" w:rsidRPr="001372F1" w:rsidRDefault="00AF7751" w:rsidP="00831FD9">
            <w:pPr>
              <w:spacing w:after="0" w:line="240" w:lineRule="auto"/>
              <w:jc w:val="center"/>
              <w:rPr>
                <w:rFonts w:ascii="Cambria" w:eastAsia="Times New Roman" w:hAnsi="Cambria" w:cs="Calibri"/>
                <w:color w:val="000000"/>
                <w:kern w:val="0"/>
                <w:sz w:val="20"/>
                <w:szCs w:val="20"/>
                <w:lang w:val="es-ES_tradnl"/>
              </w:rPr>
            </w:pPr>
            <w:r w:rsidRPr="001372F1">
              <w:rPr>
                <w:rFonts w:ascii="Cambria" w:hAnsi="Cambria"/>
                <w:sz w:val="20"/>
                <w:lang w:val="es-ES_tradnl"/>
              </w:rPr>
              <w:t>e-PSM de la IOTC</w:t>
            </w:r>
          </w:p>
        </w:tc>
        <w:tc>
          <w:tcPr>
            <w:tcW w:w="10605" w:type="dxa"/>
            <w:vAlign w:val="center"/>
            <w:hideMark/>
          </w:tcPr>
          <w:p w14:paraId="03E9FF1B" w14:textId="77777777" w:rsidR="00AF7751" w:rsidRPr="001372F1" w:rsidRDefault="00AF7751" w:rsidP="00AF7751">
            <w:pPr>
              <w:pStyle w:val="ListParagraph"/>
              <w:numPr>
                <w:ilvl w:val="0"/>
                <w:numId w:val="10"/>
              </w:numPr>
              <w:spacing w:after="0" w:line="240" w:lineRule="auto"/>
              <w:jc w:val="both"/>
              <w:rPr>
                <w:rFonts w:ascii="Cambria" w:eastAsia="Times New Roman" w:hAnsi="Cambria" w:cs="Calibri"/>
                <w:color w:val="000000"/>
                <w:kern w:val="0"/>
                <w:sz w:val="20"/>
                <w:szCs w:val="20"/>
                <w:lang w:val="es-ES_tradnl"/>
              </w:rPr>
            </w:pPr>
            <w:r w:rsidRPr="001372F1">
              <w:rPr>
                <w:rFonts w:ascii="Cambria" w:hAnsi="Cambria"/>
                <w:color w:val="000000"/>
                <w:kern w:val="0"/>
                <w:sz w:val="20"/>
                <w:lang w:val="es-ES_tradnl"/>
              </w:rPr>
              <w:t>Un flujo de trabajo operativo consolidado basado en las organizaciones regionales de ordenación pesquera (OROP) que ya se utiliza en el contexto de las medidas del Estado rector del puerto.</w:t>
            </w:r>
          </w:p>
          <w:p w14:paraId="42EC5001" w14:textId="77777777" w:rsidR="00AF7751" w:rsidRPr="001372F1" w:rsidRDefault="00AF7751" w:rsidP="00AF7751">
            <w:pPr>
              <w:pStyle w:val="ListParagraph"/>
              <w:numPr>
                <w:ilvl w:val="0"/>
                <w:numId w:val="10"/>
              </w:numPr>
              <w:spacing w:after="0" w:line="240" w:lineRule="auto"/>
              <w:jc w:val="both"/>
              <w:rPr>
                <w:rFonts w:ascii="Cambria" w:eastAsia="Times New Roman" w:hAnsi="Cambria" w:cs="Calibri"/>
                <w:color w:val="000000"/>
                <w:kern w:val="0"/>
                <w:sz w:val="20"/>
                <w:szCs w:val="20"/>
                <w:lang w:val="es-ES_tradnl"/>
              </w:rPr>
            </w:pPr>
            <w:r w:rsidRPr="001372F1">
              <w:rPr>
                <w:rFonts w:ascii="Cambria" w:hAnsi="Cambria"/>
                <w:color w:val="000000"/>
                <w:kern w:val="0"/>
                <w:sz w:val="20"/>
                <w:lang w:val="es-ES_tradnl"/>
              </w:rPr>
              <w:t>Incluye un módulo de evaluación de riesgos para facilitar las decisiones sobre la entrada en puerto y una aplicación móvil de inspección portuaria sin conexión, útil para puertos con conectividad limitada.</w:t>
            </w:r>
          </w:p>
          <w:p w14:paraId="7EC5FBBE" w14:textId="77777777" w:rsidR="00AF7751" w:rsidRPr="001372F1" w:rsidRDefault="00AF7751" w:rsidP="00AF7751">
            <w:pPr>
              <w:pStyle w:val="ListParagraph"/>
              <w:numPr>
                <w:ilvl w:val="0"/>
                <w:numId w:val="10"/>
              </w:numPr>
              <w:spacing w:after="0" w:line="240" w:lineRule="auto"/>
              <w:jc w:val="both"/>
              <w:rPr>
                <w:rFonts w:ascii="Cambria" w:eastAsia="Times New Roman" w:hAnsi="Cambria" w:cs="Calibri"/>
                <w:color w:val="000000"/>
                <w:kern w:val="0"/>
                <w:sz w:val="20"/>
                <w:szCs w:val="20"/>
                <w:lang w:val="es-ES_tradnl"/>
              </w:rPr>
            </w:pPr>
            <w:r w:rsidRPr="001372F1">
              <w:rPr>
                <w:rFonts w:ascii="Cambria" w:hAnsi="Cambria"/>
                <w:color w:val="000000"/>
                <w:kern w:val="0"/>
                <w:sz w:val="20"/>
                <w:lang w:val="es-ES_tradnl"/>
              </w:rPr>
              <w:t>Conectado al Registro IOTC de buques autorizados y, por lo tanto, potencialmente adaptable al Registro ICCAT de buques.</w:t>
            </w:r>
          </w:p>
          <w:p w14:paraId="0C57AFDF" w14:textId="77777777" w:rsidR="00AF7751" w:rsidRPr="001372F1" w:rsidRDefault="00AF7751" w:rsidP="00AF7751">
            <w:pPr>
              <w:pStyle w:val="ListParagraph"/>
              <w:numPr>
                <w:ilvl w:val="0"/>
                <w:numId w:val="12"/>
              </w:numPr>
              <w:spacing w:after="0" w:line="240" w:lineRule="auto"/>
              <w:jc w:val="both"/>
              <w:rPr>
                <w:rFonts w:ascii="Cambria" w:eastAsia="Times New Roman" w:hAnsi="Cambria" w:cs="Calibri"/>
                <w:color w:val="000000"/>
                <w:kern w:val="0"/>
                <w:sz w:val="20"/>
                <w:szCs w:val="20"/>
                <w:lang w:val="es-ES_tradnl"/>
              </w:rPr>
            </w:pPr>
            <w:r w:rsidRPr="001372F1">
              <w:rPr>
                <w:rFonts w:ascii="Cambria" w:hAnsi="Cambria"/>
                <w:color w:val="000000"/>
                <w:kern w:val="0"/>
                <w:sz w:val="20"/>
                <w:lang w:val="es-ES_tradnl"/>
              </w:rPr>
              <w:t>Requisitos mínimos de infraestructura y sin costes de licencia de software.</w:t>
            </w:r>
          </w:p>
        </w:tc>
      </w:tr>
      <w:tr w:rsidR="00AF7751" w:rsidRPr="001372F1" w14:paraId="09DE6893" w14:textId="77777777" w:rsidTr="005117D8">
        <w:trPr>
          <w:gridAfter w:val="1"/>
          <w:wAfter w:w="8" w:type="dxa"/>
          <w:trHeight w:val="724"/>
        </w:trPr>
        <w:tc>
          <w:tcPr>
            <w:tcW w:w="2065" w:type="dxa"/>
            <w:vMerge w:val="restart"/>
            <w:noWrap/>
            <w:vAlign w:val="center"/>
            <w:hideMark/>
          </w:tcPr>
          <w:p w14:paraId="53318521" w14:textId="77777777" w:rsidR="00AF7751" w:rsidRPr="001372F1" w:rsidRDefault="00AF7751" w:rsidP="00AF7751">
            <w:pPr>
              <w:spacing w:after="0" w:line="240" w:lineRule="auto"/>
              <w:rPr>
                <w:rFonts w:ascii="Cambria" w:eastAsia="Times New Roman" w:hAnsi="Cambria" w:cs="Calibri"/>
                <w:color w:val="000000"/>
                <w:kern w:val="0"/>
                <w:sz w:val="20"/>
                <w:szCs w:val="20"/>
                <w:lang w:val="es-ES_tradnl"/>
              </w:rPr>
            </w:pPr>
            <w:r w:rsidRPr="001372F1">
              <w:rPr>
                <w:rFonts w:ascii="Cambria" w:hAnsi="Cambria"/>
                <w:color w:val="000000"/>
                <w:kern w:val="0"/>
                <w:sz w:val="20"/>
                <w:lang w:val="es-ES_tradnl"/>
              </w:rPr>
              <w:lastRenderedPageBreak/>
              <w:t>Principales inconvenientes</w:t>
            </w:r>
          </w:p>
        </w:tc>
        <w:tc>
          <w:tcPr>
            <w:tcW w:w="1469" w:type="dxa"/>
            <w:noWrap/>
            <w:vAlign w:val="center"/>
            <w:hideMark/>
          </w:tcPr>
          <w:p w14:paraId="2DCD334F" w14:textId="77777777" w:rsidR="00AF7751" w:rsidRPr="001372F1" w:rsidRDefault="00AF7751" w:rsidP="00F65214">
            <w:pPr>
              <w:spacing w:after="0" w:line="240" w:lineRule="auto"/>
              <w:jc w:val="center"/>
              <w:rPr>
                <w:rFonts w:ascii="Cambria" w:eastAsia="Times New Roman" w:hAnsi="Cambria" w:cs="Calibri"/>
                <w:color w:val="000000"/>
                <w:kern w:val="0"/>
                <w:sz w:val="20"/>
                <w:szCs w:val="20"/>
                <w:lang w:val="es-ES_tradnl"/>
              </w:rPr>
            </w:pPr>
            <w:r w:rsidRPr="001372F1">
              <w:rPr>
                <w:rFonts w:ascii="Cambria" w:hAnsi="Cambria"/>
                <w:sz w:val="20"/>
                <w:lang w:val="es-ES_tradnl"/>
              </w:rPr>
              <w:t>El GIES de la FAO</w:t>
            </w:r>
          </w:p>
        </w:tc>
        <w:tc>
          <w:tcPr>
            <w:tcW w:w="10605" w:type="dxa"/>
            <w:vAlign w:val="center"/>
            <w:hideMark/>
          </w:tcPr>
          <w:p w14:paraId="34361BE4" w14:textId="77777777" w:rsidR="00AF7751" w:rsidRPr="001372F1" w:rsidRDefault="00AF7751" w:rsidP="00AF7751">
            <w:pPr>
              <w:pStyle w:val="ListParagraph"/>
              <w:numPr>
                <w:ilvl w:val="0"/>
                <w:numId w:val="9"/>
              </w:numPr>
              <w:spacing w:after="0" w:line="240" w:lineRule="auto"/>
              <w:rPr>
                <w:rFonts w:ascii="Cambria" w:eastAsia="Times New Roman" w:hAnsi="Cambria" w:cs="Calibri"/>
                <w:color w:val="000000"/>
                <w:kern w:val="0"/>
                <w:sz w:val="20"/>
                <w:szCs w:val="20"/>
                <w:lang w:val="es-ES_tradnl"/>
              </w:rPr>
            </w:pPr>
            <w:r w:rsidRPr="001372F1">
              <w:rPr>
                <w:rFonts w:ascii="Cambria" w:hAnsi="Cambria"/>
                <w:color w:val="000000"/>
                <w:kern w:val="0"/>
                <w:sz w:val="20"/>
                <w:lang w:val="es-ES_tradnl"/>
              </w:rPr>
              <w:t>Es posible que algunos requisitos específicos de ICCAT requieran módulos adicionales o adaptaciones.</w:t>
            </w:r>
          </w:p>
          <w:p w14:paraId="1AD8CA87" w14:textId="77777777" w:rsidR="00CB18AC" w:rsidRPr="001372F1" w:rsidRDefault="00CB18AC" w:rsidP="00AF7751">
            <w:pPr>
              <w:pStyle w:val="ListParagraph"/>
              <w:numPr>
                <w:ilvl w:val="0"/>
                <w:numId w:val="9"/>
              </w:numPr>
              <w:spacing w:after="0" w:line="240" w:lineRule="auto"/>
              <w:rPr>
                <w:rFonts w:ascii="Cambria" w:eastAsia="Times New Roman" w:hAnsi="Cambria" w:cs="Calibri"/>
                <w:color w:val="000000"/>
                <w:kern w:val="0"/>
                <w:sz w:val="20"/>
                <w:szCs w:val="20"/>
                <w:lang w:val="es-ES_tradnl"/>
              </w:rPr>
            </w:pPr>
            <w:r w:rsidRPr="001372F1">
              <w:rPr>
                <w:rFonts w:ascii="Cambria" w:hAnsi="Cambria"/>
                <w:color w:val="000000"/>
                <w:kern w:val="0"/>
                <w:sz w:val="20"/>
                <w:lang w:val="es-ES_tradnl"/>
              </w:rPr>
              <w:t>No se ha desarrollado tanto como el e-PSM de la IOTC.</w:t>
            </w:r>
          </w:p>
        </w:tc>
      </w:tr>
      <w:tr w:rsidR="00AF7751" w:rsidRPr="001372F1" w14:paraId="5C84C52C" w14:textId="77777777" w:rsidTr="00AF7751">
        <w:trPr>
          <w:gridAfter w:val="1"/>
          <w:wAfter w:w="8" w:type="dxa"/>
          <w:trHeight w:val="1728"/>
        </w:trPr>
        <w:tc>
          <w:tcPr>
            <w:tcW w:w="2065" w:type="dxa"/>
            <w:vMerge/>
            <w:noWrap/>
            <w:vAlign w:val="center"/>
            <w:hideMark/>
          </w:tcPr>
          <w:p w14:paraId="345E867A" w14:textId="77777777" w:rsidR="00AF7751" w:rsidRPr="001372F1" w:rsidRDefault="00AF7751" w:rsidP="00AF7751">
            <w:pPr>
              <w:spacing w:after="0" w:line="240" w:lineRule="auto"/>
              <w:rPr>
                <w:rFonts w:ascii="Cambria" w:eastAsia="Times New Roman" w:hAnsi="Cambria" w:cs="Times New Roman"/>
                <w:kern w:val="0"/>
                <w:sz w:val="20"/>
                <w:szCs w:val="20"/>
                <w:lang w:val="es-ES_tradnl"/>
              </w:rPr>
            </w:pPr>
          </w:p>
        </w:tc>
        <w:tc>
          <w:tcPr>
            <w:tcW w:w="1469" w:type="dxa"/>
            <w:noWrap/>
            <w:vAlign w:val="center"/>
            <w:hideMark/>
          </w:tcPr>
          <w:p w14:paraId="2959BD34" w14:textId="77777777" w:rsidR="00AF7751" w:rsidRPr="001372F1" w:rsidRDefault="00AF7751" w:rsidP="00831FD9">
            <w:pPr>
              <w:spacing w:after="0" w:line="240" w:lineRule="auto"/>
              <w:jc w:val="center"/>
              <w:rPr>
                <w:rFonts w:ascii="Cambria" w:eastAsia="Times New Roman" w:hAnsi="Cambria" w:cs="Calibri"/>
                <w:color w:val="000000"/>
                <w:kern w:val="0"/>
                <w:sz w:val="20"/>
                <w:szCs w:val="20"/>
                <w:lang w:val="es-ES_tradnl"/>
              </w:rPr>
            </w:pPr>
            <w:r w:rsidRPr="001372F1">
              <w:rPr>
                <w:rFonts w:ascii="Cambria" w:hAnsi="Cambria"/>
                <w:sz w:val="20"/>
                <w:lang w:val="es-ES_tradnl"/>
              </w:rPr>
              <w:t>e-PSM de la IOTC</w:t>
            </w:r>
          </w:p>
        </w:tc>
        <w:tc>
          <w:tcPr>
            <w:tcW w:w="10605" w:type="dxa"/>
            <w:vAlign w:val="center"/>
            <w:hideMark/>
          </w:tcPr>
          <w:p w14:paraId="72BC4748" w14:textId="77777777" w:rsidR="00CB18AC" w:rsidRPr="001372F1" w:rsidRDefault="00CB18AC" w:rsidP="005117D8">
            <w:pPr>
              <w:pStyle w:val="ListParagraph"/>
              <w:numPr>
                <w:ilvl w:val="0"/>
                <w:numId w:val="6"/>
              </w:numPr>
              <w:spacing w:after="0" w:line="240" w:lineRule="auto"/>
              <w:ind w:left="357" w:hanging="357"/>
              <w:jc w:val="both"/>
              <w:rPr>
                <w:rFonts w:ascii="Cambria" w:eastAsia="Times New Roman" w:hAnsi="Cambria" w:cs="Calibri"/>
                <w:color w:val="000000"/>
                <w:kern w:val="0"/>
                <w:sz w:val="20"/>
                <w:szCs w:val="20"/>
                <w:lang w:val="es-ES_tradnl"/>
              </w:rPr>
            </w:pPr>
            <w:r w:rsidRPr="001372F1">
              <w:rPr>
                <w:rFonts w:ascii="Cambria" w:hAnsi="Cambria"/>
                <w:color w:val="000000"/>
                <w:kern w:val="0"/>
                <w:sz w:val="20"/>
                <w:lang w:val="es-ES_tradnl"/>
              </w:rPr>
              <w:t>Es posible que algunos requisitos específicos de ICCAT requieran módulos adicionales o adaptaciones.</w:t>
            </w:r>
          </w:p>
          <w:p w14:paraId="3C079BBA" w14:textId="77777777" w:rsidR="00AF7751" w:rsidRPr="001372F1" w:rsidRDefault="00F76275" w:rsidP="005117D8">
            <w:pPr>
              <w:pStyle w:val="ListParagraph"/>
              <w:numPr>
                <w:ilvl w:val="0"/>
                <w:numId w:val="6"/>
              </w:numPr>
              <w:spacing w:after="0" w:line="240" w:lineRule="auto"/>
              <w:ind w:left="357" w:hanging="357"/>
              <w:jc w:val="both"/>
              <w:rPr>
                <w:rFonts w:ascii="Cambria" w:eastAsia="Times New Roman" w:hAnsi="Cambria" w:cs="Calibri"/>
                <w:color w:val="000000"/>
                <w:kern w:val="0"/>
                <w:sz w:val="20"/>
                <w:szCs w:val="20"/>
                <w:lang w:val="es-ES_tradnl"/>
              </w:rPr>
            </w:pPr>
            <w:r w:rsidRPr="00F76275">
              <w:rPr>
                <w:rFonts w:ascii="Cambria" w:hAnsi="Cambria"/>
                <w:color w:val="000000"/>
                <w:kern w:val="0"/>
                <w:sz w:val="20"/>
                <w:lang w:val="es-ES_tradnl"/>
              </w:rPr>
              <w:t>Problemas de mantenimiento y obsolescencia del software, y una arquitectura más tradicional y monolítica sin una separación clara entre front-end y back-end</w:t>
            </w:r>
            <w:r w:rsidR="00AF7751" w:rsidRPr="001372F1">
              <w:rPr>
                <w:rFonts w:ascii="Cambria" w:hAnsi="Cambria"/>
                <w:color w:val="000000"/>
                <w:kern w:val="0"/>
                <w:sz w:val="20"/>
                <w:lang w:val="es-ES_tradnl"/>
              </w:rPr>
              <w:t>.</w:t>
            </w:r>
          </w:p>
          <w:p w14:paraId="0AEE111B" w14:textId="77777777" w:rsidR="00AF7751" w:rsidRPr="001372F1" w:rsidRDefault="00AF7751" w:rsidP="005117D8">
            <w:pPr>
              <w:pStyle w:val="ListParagraph"/>
              <w:numPr>
                <w:ilvl w:val="0"/>
                <w:numId w:val="6"/>
              </w:numPr>
              <w:spacing w:after="0" w:line="240" w:lineRule="auto"/>
              <w:ind w:left="357" w:hanging="357"/>
              <w:jc w:val="both"/>
              <w:rPr>
                <w:rFonts w:ascii="Cambria" w:eastAsia="Times New Roman" w:hAnsi="Cambria" w:cs="Calibri"/>
                <w:color w:val="000000"/>
                <w:kern w:val="0"/>
                <w:sz w:val="20"/>
                <w:szCs w:val="20"/>
                <w:lang w:val="es-ES_tradnl"/>
              </w:rPr>
            </w:pPr>
            <w:r w:rsidRPr="001372F1">
              <w:rPr>
                <w:rFonts w:ascii="Cambria" w:hAnsi="Cambria"/>
                <w:color w:val="000000"/>
                <w:kern w:val="0"/>
                <w:sz w:val="20"/>
                <w:lang w:val="es-ES_tradnl"/>
              </w:rPr>
              <w:t>Las API están destinadas principalmente a las aplicaciones móviles, no a la integración general de sistemas.</w:t>
            </w:r>
          </w:p>
          <w:p w14:paraId="6A12E6D0" w14:textId="77777777" w:rsidR="00AF7751" w:rsidRPr="001372F1" w:rsidRDefault="00AF7751" w:rsidP="005117D8">
            <w:pPr>
              <w:pStyle w:val="ListParagraph"/>
              <w:numPr>
                <w:ilvl w:val="0"/>
                <w:numId w:val="6"/>
              </w:numPr>
              <w:spacing w:after="0" w:line="240" w:lineRule="auto"/>
              <w:ind w:left="357" w:hanging="357"/>
              <w:jc w:val="both"/>
              <w:rPr>
                <w:rFonts w:ascii="Cambria" w:eastAsia="Times New Roman" w:hAnsi="Cambria" w:cs="Calibri"/>
                <w:color w:val="000000"/>
                <w:kern w:val="0"/>
                <w:sz w:val="20"/>
                <w:szCs w:val="20"/>
                <w:lang w:val="es-ES_tradnl"/>
              </w:rPr>
            </w:pPr>
            <w:r w:rsidRPr="001372F1">
              <w:rPr>
                <w:rFonts w:ascii="Cambria" w:hAnsi="Cambria"/>
                <w:color w:val="000000"/>
                <w:kern w:val="0"/>
                <w:sz w:val="20"/>
                <w:lang w:val="es-ES_tradnl"/>
              </w:rPr>
              <w:t>Es un sistema muy específico de la IOTC; requeriría adaptar los flujos de trabajo, las listas de referencia, las reglas de riesgo, los permisos y las conexiones entre los registros de los buques.</w:t>
            </w:r>
          </w:p>
          <w:p w14:paraId="722DA7A1" w14:textId="77777777" w:rsidR="00AF7751" w:rsidRPr="001372F1" w:rsidRDefault="00AF7751" w:rsidP="005117D8">
            <w:pPr>
              <w:pStyle w:val="ListParagraph"/>
              <w:numPr>
                <w:ilvl w:val="0"/>
                <w:numId w:val="8"/>
              </w:numPr>
              <w:spacing w:after="0" w:line="240" w:lineRule="auto"/>
              <w:ind w:left="357" w:hanging="357"/>
              <w:jc w:val="both"/>
              <w:rPr>
                <w:rFonts w:ascii="Cambria" w:eastAsia="Times New Roman" w:hAnsi="Cambria" w:cs="Calibri"/>
                <w:color w:val="000000"/>
                <w:kern w:val="0"/>
                <w:sz w:val="20"/>
                <w:szCs w:val="20"/>
                <w:lang w:val="es-ES_tradnl"/>
              </w:rPr>
            </w:pPr>
            <w:r w:rsidRPr="001372F1">
              <w:rPr>
                <w:rFonts w:ascii="Cambria" w:hAnsi="Cambria"/>
                <w:color w:val="000000"/>
                <w:kern w:val="0"/>
                <w:sz w:val="20"/>
                <w:lang w:val="es-ES_tradnl"/>
              </w:rPr>
              <w:t>Actualmente solo está disponible en inglés y francés; añadir el español requeriría un trabajo estructural adicional.</w:t>
            </w:r>
          </w:p>
        </w:tc>
      </w:tr>
    </w:tbl>
    <w:p w14:paraId="6C8D0239" w14:textId="77777777" w:rsidR="00495056" w:rsidRPr="001372F1" w:rsidRDefault="00495056" w:rsidP="0020557A">
      <w:pPr>
        <w:spacing w:after="0" w:line="240" w:lineRule="auto"/>
        <w:rPr>
          <w:rFonts w:ascii="Cambria" w:hAnsi="Cambria"/>
          <w:sz w:val="20"/>
          <w:szCs w:val="20"/>
          <w:lang w:val="es-ES_tradnl"/>
        </w:rPr>
      </w:pPr>
    </w:p>
    <w:sectPr w:rsidR="00495056" w:rsidRPr="001372F1" w:rsidSect="00811658">
      <w:pgSz w:w="16840" w:h="11907" w:orient="landscape" w:code="9"/>
      <w:pgMar w:top="1418" w:right="1418" w:bottom="1418" w:left="1418" w:header="851"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4D6117" w14:textId="77777777" w:rsidR="008A7D35" w:rsidRDefault="008A7D35" w:rsidP="00804C33">
      <w:pPr>
        <w:spacing w:after="0" w:line="240" w:lineRule="auto"/>
      </w:pPr>
      <w:r>
        <w:separator/>
      </w:r>
    </w:p>
  </w:endnote>
  <w:endnote w:type="continuationSeparator" w:id="0">
    <w:p w14:paraId="0A8F15E0" w14:textId="77777777" w:rsidR="008A7D35" w:rsidRDefault="008A7D35" w:rsidP="00804C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altName w:val="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03167" w14:textId="77777777" w:rsidR="004E4E28" w:rsidRPr="005D38A2" w:rsidRDefault="005E22DA" w:rsidP="00766081">
    <w:pPr>
      <w:tabs>
        <w:tab w:val="center" w:pos="4535"/>
        <w:tab w:val="center" w:pos="4680"/>
        <w:tab w:val="left" w:pos="6150"/>
        <w:tab w:val="right" w:pos="9360"/>
      </w:tabs>
      <w:spacing w:after="0" w:line="240" w:lineRule="auto"/>
      <w:jc w:val="center"/>
      <w:rPr>
        <w:rFonts w:ascii="Cambria" w:eastAsia="Times New Roman" w:hAnsi="Cambria" w:cs="Calibri"/>
        <w:sz w:val="20"/>
      </w:rPr>
    </w:pPr>
    <w:r w:rsidRPr="005D38A2">
      <w:rPr>
        <w:rFonts w:ascii="Cambria" w:eastAsia="Times New Roman" w:hAnsi="Cambria" w:cs="Calibri"/>
        <w:sz w:val="20"/>
      </w:rPr>
      <w:fldChar w:fldCharType="begin"/>
    </w:r>
    <w:r w:rsidR="004E4E28" w:rsidRPr="005D38A2">
      <w:rPr>
        <w:rFonts w:ascii="Cambria" w:eastAsia="Times New Roman" w:hAnsi="Cambria" w:cs="Calibri"/>
        <w:sz w:val="20"/>
      </w:rPr>
      <w:instrText xml:space="preserve"> PAGE </w:instrText>
    </w:r>
    <w:r w:rsidRPr="005D38A2">
      <w:rPr>
        <w:rFonts w:ascii="Cambria" w:eastAsia="Times New Roman" w:hAnsi="Cambria" w:cs="Calibri"/>
        <w:sz w:val="20"/>
      </w:rPr>
      <w:fldChar w:fldCharType="separate"/>
    </w:r>
    <w:r w:rsidR="00F76275">
      <w:rPr>
        <w:rFonts w:ascii="Cambria" w:eastAsia="Times New Roman" w:hAnsi="Cambria" w:cs="Calibri"/>
        <w:noProof/>
        <w:sz w:val="20"/>
      </w:rPr>
      <w:t>6</w:t>
    </w:r>
    <w:r w:rsidRPr="005D38A2">
      <w:rPr>
        <w:rFonts w:ascii="Cambria" w:eastAsia="Times New Roman" w:hAnsi="Cambria" w:cs="Calibri"/>
        <w:sz w:val="20"/>
      </w:rPr>
      <w:fldChar w:fldCharType="end"/>
    </w:r>
    <w:r w:rsidR="004E4E28">
      <w:rPr>
        <w:rFonts w:ascii="Cambria" w:hAnsi="Cambria"/>
        <w:sz w:val="20"/>
      </w:rPr>
      <w:t xml:space="preserve"> / </w:t>
    </w:r>
    <w:r w:rsidRPr="005D38A2">
      <w:rPr>
        <w:rFonts w:ascii="Cambria" w:eastAsia="Times New Roman" w:hAnsi="Cambria" w:cs="Calibri"/>
        <w:sz w:val="20"/>
      </w:rPr>
      <w:fldChar w:fldCharType="begin"/>
    </w:r>
    <w:r w:rsidR="004E4E28" w:rsidRPr="005D38A2">
      <w:rPr>
        <w:rFonts w:ascii="Cambria" w:eastAsia="Times New Roman" w:hAnsi="Cambria" w:cs="Calibri"/>
        <w:sz w:val="20"/>
      </w:rPr>
      <w:instrText xml:space="preserve"> NUMPAGES  </w:instrText>
    </w:r>
    <w:r w:rsidRPr="005D38A2">
      <w:rPr>
        <w:rFonts w:ascii="Cambria" w:eastAsia="Times New Roman" w:hAnsi="Cambria" w:cs="Calibri"/>
        <w:sz w:val="20"/>
      </w:rPr>
      <w:fldChar w:fldCharType="separate"/>
    </w:r>
    <w:r w:rsidR="00F76275">
      <w:rPr>
        <w:rFonts w:ascii="Cambria" w:eastAsia="Times New Roman" w:hAnsi="Cambria" w:cs="Calibri"/>
        <w:noProof/>
        <w:sz w:val="20"/>
      </w:rPr>
      <w:t>6</w:t>
    </w:r>
    <w:r w:rsidRPr="005D38A2">
      <w:rPr>
        <w:rFonts w:ascii="Cambria" w:eastAsia="Times New Roman" w:hAnsi="Cambria" w:cs="Calibri"/>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83CEB5" w14:textId="77777777" w:rsidR="008A7D35" w:rsidRDefault="008A7D35" w:rsidP="00804C33">
      <w:pPr>
        <w:spacing w:after="0" w:line="240" w:lineRule="auto"/>
      </w:pPr>
      <w:r>
        <w:separator/>
      </w:r>
    </w:p>
  </w:footnote>
  <w:footnote w:type="continuationSeparator" w:id="0">
    <w:p w14:paraId="497F3CE3" w14:textId="77777777" w:rsidR="008A7D35" w:rsidRDefault="008A7D35" w:rsidP="00804C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32D00" w14:textId="77777777" w:rsidR="00805CE1" w:rsidRPr="00805CE1" w:rsidRDefault="00805CE1" w:rsidP="00805CE1">
    <w:pPr>
      <w:widowControl w:val="0"/>
      <w:tabs>
        <w:tab w:val="center" w:pos="4680"/>
        <w:tab w:val="left" w:pos="6520"/>
        <w:tab w:val="right" w:pos="9360"/>
        <w:tab w:val="right" w:pos="14240"/>
      </w:tabs>
      <w:autoSpaceDE w:val="0"/>
      <w:autoSpaceDN w:val="0"/>
      <w:spacing w:after="0" w:line="240" w:lineRule="auto"/>
      <w:jc w:val="right"/>
      <w:rPr>
        <w:rFonts w:ascii="Cambria" w:eastAsia="Calibri" w:hAnsi="Cambria" w:cs="Cambria"/>
        <w:b/>
        <w:bCs/>
        <w:kern w:val="0"/>
        <w:sz w:val="20"/>
        <w:szCs w:val="20"/>
      </w:rPr>
    </w:pPr>
    <w:r>
      <w:rPr>
        <w:rFonts w:ascii="Cambria" w:hAnsi="Cambria"/>
        <w:b/>
        <w:kern w:val="0"/>
        <w:sz w:val="20"/>
      </w:rPr>
      <w:t>PWG_411/2026</w:t>
    </w:r>
  </w:p>
  <w:p w14:paraId="23D255FC" w14:textId="77777777" w:rsidR="00805CE1" w:rsidRPr="00805CE1" w:rsidRDefault="005E22DA" w:rsidP="00805CE1">
    <w:pPr>
      <w:widowControl w:val="0"/>
      <w:tabs>
        <w:tab w:val="left" w:pos="7320"/>
      </w:tabs>
      <w:autoSpaceDE w:val="0"/>
      <w:autoSpaceDN w:val="0"/>
      <w:spacing w:after="0" w:line="240" w:lineRule="exact"/>
      <w:jc w:val="right"/>
      <w:rPr>
        <w:rFonts w:ascii="Aptos" w:eastAsia="MS Mincho" w:hAnsi="Aptos" w:cs="Arial"/>
        <w:kern w:val="0"/>
        <w:sz w:val="24"/>
        <w:szCs w:val="24"/>
      </w:rPr>
    </w:pPr>
    <w:r w:rsidRPr="00805CE1">
      <w:rPr>
        <w:rFonts w:ascii="Cambria" w:eastAsia="Cambria" w:hAnsi="Cambria" w:cs="Cambria"/>
        <w:b/>
        <w:kern w:val="0"/>
        <w:sz w:val="16"/>
      </w:rPr>
      <w:fldChar w:fldCharType="begin"/>
    </w:r>
    <w:r w:rsidR="00805CE1" w:rsidRPr="00805CE1">
      <w:rPr>
        <w:rFonts w:ascii="Cambria" w:eastAsia="Cambria" w:hAnsi="Cambria" w:cs="Cambria"/>
        <w:b/>
        <w:kern w:val="0"/>
        <w:sz w:val="16"/>
      </w:rPr>
      <w:instrText xml:space="preserve"> TIME \@ "dd/MM/yyyy H:mm"</w:instrText>
    </w:r>
    <w:r w:rsidRPr="00805CE1">
      <w:rPr>
        <w:rFonts w:ascii="Cambria" w:eastAsia="Cambria" w:hAnsi="Cambria" w:cs="Cambria"/>
        <w:b/>
        <w:kern w:val="0"/>
        <w:sz w:val="16"/>
      </w:rPr>
      <w:fldChar w:fldCharType="separate"/>
    </w:r>
    <w:r w:rsidR="00047F6C">
      <w:rPr>
        <w:rFonts w:ascii="Cambria" w:eastAsia="Cambria" w:hAnsi="Cambria" w:cs="Cambria"/>
        <w:b/>
        <w:noProof/>
        <w:kern w:val="0"/>
        <w:sz w:val="16"/>
      </w:rPr>
      <w:t>20/10/2026 11:59</w:t>
    </w:r>
    <w:r w:rsidRPr="00805CE1">
      <w:rPr>
        <w:rFonts w:ascii="Cambria" w:eastAsia="Cambria" w:hAnsi="Cambria" w:cs="Cambria"/>
        <w:b/>
        <w:bCs/>
        <w:kern w:val="0"/>
        <w:sz w:val="16"/>
        <w:szCs w:val="16"/>
        <w:lang w:val="es-ES_tradnl"/>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15E29"/>
    <w:multiLevelType w:val="hybridMultilevel"/>
    <w:tmpl w:val="4434DA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A53F1A"/>
    <w:multiLevelType w:val="hybridMultilevel"/>
    <w:tmpl w:val="D9DEC7A8"/>
    <w:lvl w:ilvl="0" w:tplc="FDC63998">
      <w:numFmt w:val="bullet"/>
      <w:lvlText w:val="-"/>
      <w:lvlJc w:val="left"/>
      <w:pPr>
        <w:ind w:left="720" w:hanging="360"/>
      </w:pPr>
      <w:rPr>
        <w:rFonts w:ascii="Cambria" w:eastAsiaTheme="minorHAnsi" w:hAnsi="Cambria"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E97123"/>
    <w:multiLevelType w:val="hybridMultilevel"/>
    <w:tmpl w:val="11009D6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7E00EC2"/>
    <w:multiLevelType w:val="multilevel"/>
    <w:tmpl w:val="C298F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2F515E"/>
    <w:multiLevelType w:val="hybridMultilevel"/>
    <w:tmpl w:val="856E35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8176EE"/>
    <w:multiLevelType w:val="hybridMultilevel"/>
    <w:tmpl w:val="5FAE316E"/>
    <w:lvl w:ilvl="0" w:tplc="2F94BCF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D3A6007"/>
    <w:multiLevelType w:val="hybridMultilevel"/>
    <w:tmpl w:val="FEC0C30E"/>
    <w:lvl w:ilvl="0" w:tplc="2F94BCF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EA84F2D"/>
    <w:multiLevelType w:val="hybridMultilevel"/>
    <w:tmpl w:val="8EA266F6"/>
    <w:lvl w:ilvl="0" w:tplc="2F94BCF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ED76306"/>
    <w:multiLevelType w:val="hybridMultilevel"/>
    <w:tmpl w:val="6660EC2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1B85205"/>
    <w:multiLevelType w:val="hybridMultilevel"/>
    <w:tmpl w:val="8F9A9AC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23203DDC"/>
    <w:multiLevelType w:val="hybridMultilevel"/>
    <w:tmpl w:val="12C695BE"/>
    <w:lvl w:ilvl="0" w:tplc="2F94BCF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B330717"/>
    <w:multiLevelType w:val="multilevel"/>
    <w:tmpl w:val="52AE6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B5758D8"/>
    <w:multiLevelType w:val="hybridMultilevel"/>
    <w:tmpl w:val="4C061010"/>
    <w:lvl w:ilvl="0" w:tplc="2F94BCF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7AB5356"/>
    <w:multiLevelType w:val="hybridMultilevel"/>
    <w:tmpl w:val="F38E44D2"/>
    <w:lvl w:ilvl="0" w:tplc="04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 w15:restartNumberingAfterBreak="0">
    <w:nsid w:val="3D884813"/>
    <w:multiLevelType w:val="hybridMultilevel"/>
    <w:tmpl w:val="6438175A"/>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3E71253B"/>
    <w:multiLevelType w:val="hybridMultilevel"/>
    <w:tmpl w:val="F3243F0A"/>
    <w:lvl w:ilvl="0" w:tplc="04090001">
      <w:start w:val="1"/>
      <w:numFmt w:val="bullet"/>
      <w:lvlText w:val=""/>
      <w:lvlJc w:val="left"/>
      <w:pPr>
        <w:ind w:left="765" w:hanging="360"/>
      </w:pPr>
      <w:rPr>
        <w:rFonts w:ascii="Symbol" w:hAnsi="Symbol" w:hint="default"/>
      </w:rPr>
    </w:lvl>
    <w:lvl w:ilvl="1" w:tplc="04090003">
      <w:start w:val="1"/>
      <w:numFmt w:val="bullet"/>
      <w:lvlText w:val="o"/>
      <w:lvlJc w:val="left"/>
      <w:pPr>
        <w:ind w:left="1485" w:hanging="360"/>
      </w:pPr>
      <w:rPr>
        <w:rFonts w:ascii="Courier New" w:hAnsi="Courier New" w:cs="Courier New" w:hint="default"/>
      </w:rPr>
    </w:lvl>
    <w:lvl w:ilvl="2" w:tplc="04090005">
      <w:start w:val="1"/>
      <w:numFmt w:val="bullet"/>
      <w:lvlText w:val=""/>
      <w:lvlJc w:val="left"/>
      <w:pPr>
        <w:ind w:left="2205" w:hanging="360"/>
      </w:pPr>
      <w:rPr>
        <w:rFonts w:ascii="Wingdings" w:hAnsi="Wingdings" w:hint="default"/>
      </w:rPr>
    </w:lvl>
    <w:lvl w:ilvl="3" w:tplc="04090001">
      <w:start w:val="1"/>
      <w:numFmt w:val="bullet"/>
      <w:lvlText w:val=""/>
      <w:lvlJc w:val="left"/>
      <w:pPr>
        <w:ind w:left="2925" w:hanging="360"/>
      </w:pPr>
      <w:rPr>
        <w:rFonts w:ascii="Symbol" w:hAnsi="Symbol" w:hint="default"/>
      </w:rPr>
    </w:lvl>
    <w:lvl w:ilvl="4" w:tplc="04090003">
      <w:start w:val="1"/>
      <w:numFmt w:val="bullet"/>
      <w:lvlText w:val="o"/>
      <w:lvlJc w:val="left"/>
      <w:pPr>
        <w:ind w:left="3645" w:hanging="360"/>
      </w:pPr>
      <w:rPr>
        <w:rFonts w:ascii="Courier New" w:hAnsi="Courier New" w:cs="Courier New" w:hint="default"/>
      </w:rPr>
    </w:lvl>
    <w:lvl w:ilvl="5" w:tplc="04090005">
      <w:start w:val="1"/>
      <w:numFmt w:val="bullet"/>
      <w:lvlText w:val=""/>
      <w:lvlJc w:val="left"/>
      <w:pPr>
        <w:ind w:left="4365" w:hanging="360"/>
      </w:pPr>
      <w:rPr>
        <w:rFonts w:ascii="Wingdings" w:hAnsi="Wingdings" w:hint="default"/>
      </w:rPr>
    </w:lvl>
    <w:lvl w:ilvl="6" w:tplc="04090001">
      <w:start w:val="1"/>
      <w:numFmt w:val="bullet"/>
      <w:lvlText w:val=""/>
      <w:lvlJc w:val="left"/>
      <w:pPr>
        <w:ind w:left="5085" w:hanging="360"/>
      </w:pPr>
      <w:rPr>
        <w:rFonts w:ascii="Symbol" w:hAnsi="Symbol" w:hint="default"/>
      </w:rPr>
    </w:lvl>
    <w:lvl w:ilvl="7" w:tplc="04090003">
      <w:start w:val="1"/>
      <w:numFmt w:val="bullet"/>
      <w:lvlText w:val="o"/>
      <w:lvlJc w:val="left"/>
      <w:pPr>
        <w:ind w:left="5805" w:hanging="360"/>
      </w:pPr>
      <w:rPr>
        <w:rFonts w:ascii="Courier New" w:hAnsi="Courier New" w:cs="Courier New" w:hint="default"/>
      </w:rPr>
    </w:lvl>
    <w:lvl w:ilvl="8" w:tplc="04090005">
      <w:start w:val="1"/>
      <w:numFmt w:val="bullet"/>
      <w:lvlText w:val=""/>
      <w:lvlJc w:val="left"/>
      <w:pPr>
        <w:ind w:left="6525" w:hanging="360"/>
      </w:pPr>
      <w:rPr>
        <w:rFonts w:ascii="Wingdings" w:hAnsi="Wingdings" w:hint="default"/>
      </w:rPr>
    </w:lvl>
  </w:abstractNum>
  <w:abstractNum w:abstractNumId="16" w15:restartNumberingAfterBreak="0">
    <w:nsid w:val="3ECA06D2"/>
    <w:multiLevelType w:val="hybridMultilevel"/>
    <w:tmpl w:val="5DB6AB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F46339A"/>
    <w:multiLevelType w:val="hybridMultilevel"/>
    <w:tmpl w:val="066CCE78"/>
    <w:lvl w:ilvl="0" w:tplc="2F94BCF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39F71AC"/>
    <w:multiLevelType w:val="hybridMultilevel"/>
    <w:tmpl w:val="502E54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A892EE6"/>
    <w:multiLevelType w:val="hybridMultilevel"/>
    <w:tmpl w:val="AB94E2F6"/>
    <w:lvl w:ilvl="0" w:tplc="2F94BCF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522404E7"/>
    <w:multiLevelType w:val="hybridMultilevel"/>
    <w:tmpl w:val="2ACAEF2C"/>
    <w:lvl w:ilvl="0" w:tplc="2F94BCF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638B10D7"/>
    <w:multiLevelType w:val="multilevel"/>
    <w:tmpl w:val="05FAB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59963D8"/>
    <w:multiLevelType w:val="hybridMultilevel"/>
    <w:tmpl w:val="6660EC2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4860BB4"/>
    <w:multiLevelType w:val="hybridMultilevel"/>
    <w:tmpl w:val="5A501B50"/>
    <w:lvl w:ilvl="0" w:tplc="2F94BCF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75269756">
    <w:abstractNumId w:val="11"/>
  </w:num>
  <w:num w:numId="2" w16cid:durableId="1526989239">
    <w:abstractNumId w:val="15"/>
  </w:num>
  <w:num w:numId="3" w16cid:durableId="1393963280">
    <w:abstractNumId w:val="3"/>
  </w:num>
  <w:num w:numId="4" w16cid:durableId="693531091">
    <w:abstractNumId w:val="21"/>
  </w:num>
  <w:num w:numId="5" w16cid:durableId="1044912112">
    <w:abstractNumId w:val="4"/>
  </w:num>
  <w:num w:numId="6" w16cid:durableId="125705281">
    <w:abstractNumId w:val="19"/>
  </w:num>
  <w:num w:numId="7" w16cid:durableId="1619292216">
    <w:abstractNumId w:val="23"/>
  </w:num>
  <w:num w:numId="8" w16cid:durableId="1600793671">
    <w:abstractNumId w:val="5"/>
  </w:num>
  <w:num w:numId="9" w16cid:durableId="1712149069">
    <w:abstractNumId w:val="12"/>
  </w:num>
  <w:num w:numId="10" w16cid:durableId="151412007">
    <w:abstractNumId w:val="17"/>
  </w:num>
  <w:num w:numId="11" w16cid:durableId="1958443496">
    <w:abstractNumId w:val="20"/>
  </w:num>
  <w:num w:numId="12" w16cid:durableId="837616355">
    <w:abstractNumId w:val="6"/>
  </w:num>
  <w:num w:numId="13" w16cid:durableId="2067289989">
    <w:abstractNumId w:val="10"/>
  </w:num>
  <w:num w:numId="14" w16cid:durableId="2030325867">
    <w:abstractNumId w:val="18"/>
  </w:num>
  <w:num w:numId="15" w16cid:durableId="1758284312">
    <w:abstractNumId w:val="7"/>
  </w:num>
  <w:num w:numId="16" w16cid:durableId="1290671635">
    <w:abstractNumId w:val="1"/>
  </w:num>
  <w:num w:numId="17" w16cid:durableId="153866180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78350739">
    <w:abstractNumId w:val="9"/>
  </w:num>
  <w:num w:numId="19" w16cid:durableId="1382823301">
    <w:abstractNumId w:val="13"/>
  </w:num>
  <w:num w:numId="20" w16cid:durableId="320888146">
    <w:abstractNumId w:val="16"/>
  </w:num>
  <w:num w:numId="21" w16cid:durableId="1435590755">
    <w:abstractNumId w:val="0"/>
  </w:num>
  <w:num w:numId="22" w16cid:durableId="307321856">
    <w:abstractNumId w:val="22"/>
  </w:num>
  <w:num w:numId="23" w16cid:durableId="69349583">
    <w:abstractNumId w:val="8"/>
  </w:num>
  <w:num w:numId="24" w16cid:durableId="1571766714">
    <w:abstractNumId w:val="2"/>
  </w:num>
  <w:num w:numId="25" w16cid:durableId="50227853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28EF"/>
    <w:rsid w:val="00011217"/>
    <w:rsid w:val="00047F6C"/>
    <w:rsid w:val="00067BC1"/>
    <w:rsid w:val="00073C04"/>
    <w:rsid w:val="00074B2B"/>
    <w:rsid w:val="00074CEB"/>
    <w:rsid w:val="000826D6"/>
    <w:rsid w:val="000862C2"/>
    <w:rsid w:val="00090CCC"/>
    <w:rsid w:val="000A4659"/>
    <w:rsid w:val="000C3125"/>
    <w:rsid w:val="000E1840"/>
    <w:rsid w:val="000F2AF1"/>
    <w:rsid w:val="00124A26"/>
    <w:rsid w:val="001372F1"/>
    <w:rsid w:val="0014596F"/>
    <w:rsid w:val="00160999"/>
    <w:rsid w:val="001678D7"/>
    <w:rsid w:val="00174619"/>
    <w:rsid w:val="00192953"/>
    <w:rsid w:val="001956BB"/>
    <w:rsid w:val="001959F5"/>
    <w:rsid w:val="001967CD"/>
    <w:rsid w:val="00197E4A"/>
    <w:rsid w:val="001B3856"/>
    <w:rsid w:val="001C3825"/>
    <w:rsid w:val="001F1BCC"/>
    <w:rsid w:val="0020557A"/>
    <w:rsid w:val="00207C7E"/>
    <w:rsid w:val="00214DA7"/>
    <w:rsid w:val="00270169"/>
    <w:rsid w:val="00272942"/>
    <w:rsid w:val="00276C7D"/>
    <w:rsid w:val="00293885"/>
    <w:rsid w:val="00295760"/>
    <w:rsid w:val="002A1631"/>
    <w:rsid w:val="002A1D36"/>
    <w:rsid w:val="002A3BF9"/>
    <w:rsid w:val="002A7335"/>
    <w:rsid w:val="002D0EB6"/>
    <w:rsid w:val="002F6546"/>
    <w:rsid w:val="00312C3E"/>
    <w:rsid w:val="00313861"/>
    <w:rsid w:val="0031627E"/>
    <w:rsid w:val="003166B7"/>
    <w:rsid w:val="0032237C"/>
    <w:rsid w:val="003349A6"/>
    <w:rsid w:val="003428EF"/>
    <w:rsid w:val="003478C2"/>
    <w:rsid w:val="003664C3"/>
    <w:rsid w:val="0037333C"/>
    <w:rsid w:val="003835A7"/>
    <w:rsid w:val="003A154B"/>
    <w:rsid w:val="003B2717"/>
    <w:rsid w:val="003B6EF2"/>
    <w:rsid w:val="003C0F5C"/>
    <w:rsid w:val="003C7125"/>
    <w:rsid w:val="003F63B9"/>
    <w:rsid w:val="00402370"/>
    <w:rsid w:val="004033CA"/>
    <w:rsid w:val="00415902"/>
    <w:rsid w:val="0043633F"/>
    <w:rsid w:val="004432C9"/>
    <w:rsid w:val="00443891"/>
    <w:rsid w:val="00444662"/>
    <w:rsid w:val="00446042"/>
    <w:rsid w:val="00462879"/>
    <w:rsid w:val="00465B88"/>
    <w:rsid w:val="0048102D"/>
    <w:rsid w:val="00486D7A"/>
    <w:rsid w:val="00495056"/>
    <w:rsid w:val="004B2048"/>
    <w:rsid w:val="004D770A"/>
    <w:rsid w:val="004E4E28"/>
    <w:rsid w:val="004E76CD"/>
    <w:rsid w:val="004F0323"/>
    <w:rsid w:val="004F6EFC"/>
    <w:rsid w:val="00506B7C"/>
    <w:rsid w:val="00510C87"/>
    <w:rsid w:val="005114AE"/>
    <w:rsid w:val="005117D8"/>
    <w:rsid w:val="0054494C"/>
    <w:rsid w:val="00544972"/>
    <w:rsid w:val="00546CF6"/>
    <w:rsid w:val="00546DBD"/>
    <w:rsid w:val="005802AF"/>
    <w:rsid w:val="005820D3"/>
    <w:rsid w:val="0058496E"/>
    <w:rsid w:val="005918FE"/>
    <w:rsid w:val="005A2141"/>
    <w:rsid w:val="005B258A"/>
    <w:rsid w:val="005C2986"/>
    <w:rsid w:val="005D38A2"/>
    <w:rsid w:val="005E0A2F"/>
    <w:rsid w:val="005E22CB"/>
    <w:rsid w:val="005E22DA"/>
    <w:rsid w:val="005E4813"/>
    <w:rsid w:val="00604621"/>
    <w:rsid w:val="00612E07"/>
    <w:rsid w:val="00630922"/>
    <w:rsid w:val="0065274D"/>
    <w:rsid w:val="006719BB"/>
    <w:rsid w:val="0068098A"/>
    <w:rsid w:val="006B1D30"/>
    <w:rsid w:val="006B6918"/>
    <w:rsid w:val="006C069D"/>
    <w:rsid w:val="006C2BDB"/>
    <w:rsid w:val="006F1663"/>
    <w:rsid w:val="006F7A6D"/>
    <w:rsid w:val="00735BBA"/>
    <w:rsid w:val="007457AC"/>
    <w:rsid w:val="00754986"/>
    <w:rsid w:val="00766081"/>
    <w:rsid w:val="00767DCF"/>
    <w:rsid w:val="00777557"/>
    <w:rsid w:val="00781561"/>
    <w:rsid w:val="00792957"/>
    <w:rsid w:val="0079564A"/>
    <w:rsid w:val="007D3194"/>
    <w:rsid w:val="007D50AD"/>
    <w:rsid w:val="007E6E8A"/>
    <w:rsid w:val="007F3E09"/>
    <w:rsid w:val="00804C33"/>
    <w:rsid w:val="00805CE1"/>
    <w:rsid w:val="00811658"/>
    <w:rsid w:val="00811C33"/>
    <w:rsid w:val="00825910"/>
    <w:rsid w:val="00831FD9"/>
    <w:rsid w:val="0083684F"/>
    <w:rsid w:val="00860358"/>
    <w:rsid w:val="00870828"/>
    <w:rsid w:val="008A07A1"/>
    <w:rsid w:val="008A7D35"/>
    <w:rsid w:val="008B516E"/>
    <w:rsid w:val="008F2509"/>
    <w:rsid w:val="00906178"/>
    <w:rsid w:val="009110D5"/>
    <w:rsid w:val="009244D5"/>
    <w:rsid w:val="00934322"/>
    <w:rsid w:val="00943E0D"/>
    <w:rsid w:val="00954985"/>
    <w:rsid w:val="00975D46"/>
    <w:rsid w:val="0098603A"/>
    <w:rsid w:val="0099016A"/>
    <w:rsid w:val="00995510"/>
    <w:rsid w:val="009B1483"/>
    <w:rsid w:val="009E30DE"/>
    <w:rsid w:val="00A13887"/>
    <w:rsid w:val="00A2178A"/>
    <w:rsid w:val="00A3370E"/>
    <w:rsid w:val="00A43F71"/>
    <w:rsid w:val="00A52BE2"/>
    <w:rsid w:val="00A57138"/>
    <w:rsid w:val="00A67DED"/>
    <w:rsid w:val="00A703C1"/>
    <w:rsid w:val="00A81841"/>
    <w:rsid w:val="00A821B9"/>
    <w:rsid w:val="00A82D71"/>
    <w:rsid w:val="00AA736B"/>
    <w:rsid w:val="00AC2CA8"/>
    <w:rsid w:val="00AD3162"/>
    <w:rsid w:val="00AF7751"/>
    <w:rsid w:val="00B01068"/>
    <w:rsid w:val="00B510A6"/>
    <w:rsid w:val="00B81A12"/>
    <w:rsid w:val="00B82E2A"/>
    <w:rsid w:val="00B84F5D"/>
    <w:rsid w:val="00BB1C11"/>
    <w:rsid w:val="00BC499D"/>
    <w:rsid w:val="00BC78FB"/>
    <w:rsid w:val="00BE1F16"/>
    <w:rsid w:val="00BE1FFD"/>
    <w:rsid w:val="00BF172A"/>
    <w:rsid w:val="00C45AB0"/>
    <w:rsid w:val="00C54EEA"/>
    <w:rsid w:val="00C55B4B"/>
    <w:rsid w:val="00C70334"/>
    <w:rsid w:val="00C83211"/>
    <w:rsid w:val="00C955A1"/>
    <w:rsid w:val="00CA48DC"/>
    <w:rsid w:val="00CB18AC"/>
    <w:rsid w:val="00CB6C58"/>
    <w:rsid w:val="00CC43F5"/>
    <w:rsid w:val="00CE0C71"/>
    <w:rsid w:val="00D03C37"/>
    <w:rsid w:val="00D044A6"/>
    <w:rsid w:val="00D0768D"/>
    <w:rsid w:val="00D079BB"/>
    <w:rsid w:val="00D151A9"/>
    <w:rsid w:val="00D15A2B"/>
    <w:rsid w:val="00D26AD4"/>
    <w:rsid w:val="00D2701E"/>
    <w:rsid w:val="00D70E58"/>
    <w:rsid w:val="00D71446"/>
    <w:rsid w:val="00D82A33"/>
    <w:rsid w:val="00D82C64"/>
    <w:rsid w:val="00D82CFB"/>
    <w:rsid w:val="00DB0DD7"/>
    <w:rsid w:val="00DC214A"/>
    <w:rsid w:val="00DC2F8B"/>
    <w:rsid w:val="00DC4FF9"/>
    <w:rsid w:val="00E102ED"/>
    <w:rsid w:val="00E16ACB"/>
    <w:rsid w:val="00E311CF"/>
    <w:rsid w:val="00E32141"/>
    <w:rsid w:val="00E37036"/>
    <w:rsid w:val="00E52306"/>
    <w:rsid w:val="00E63775"/>
    <w:rsid w:val="00E758FC"/>
    <w:rsid w:val="00E97DAC"/>
    <w:rsid w:val="00EA7BE6"/>
    <w:rsid w:val="00EB00C5"/>
    <w:rsid w:val="00EB18B0"/>
    <w:rsid w:val="00EC1192"/>
    <w:rsid w:val="00EC6E45"/>
    <w:rsid w:val="00ED33C1"/>
    <w:rsid w:val="00ED5322"/>
    <w:rsid w:val="00ED56EC"/>
    <w:rsid w:val="00ED6499"/>
    <w:rsid w:val="00EF07A9"/>
    <w:rsid w:val="00EF1D5E"/>
    <w:rsid w:val="00EF69CA"/>
    <w:rsid w:val="00F035EB"/>
    <w:rsid w:val="00F05A23"/>
    <w:rsid w:val="00F46A11"/>
    <w:rsid w:val="00F57997"/>
    <w:rsid w:val="00F60F0E"/>
    <w:rsid w:val="00F65214"/>
    <w:rsid w:val="00F76039"/>
    <w:rsid w:val="00F76275"/>
    <w:rsid w:val="00F813C3"/>
    <w:rsid w:val="00F9259B"/>
    <w:rsid w:val="00F93E05"/>
    <w:rsid w:val="00FB3040"/>
    <w:rsid w:val="00FC3741"/>
    <w:rsid w:val="00FD4FEE"/>
    <w:rsid w:val="00FE4207"/>
    <w:rsid w:val="00FF2FE2"/>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122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19BB"/>
  </w:style>
  <w:style w:type="paragraph" w:styleId="Heading1">
    <w:name w:val="heading 1"/>
    <w:basedOn w:val="Normal"/>
    <w:next w:val="Normal"/>
    <w:link w:val="Heading1Char"/>
    <w:uiPriority w:val="9"/>
    <w:qFormat/>
    <w:rsid w:val="003428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428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428E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428E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428E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428E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428E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428E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428E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28E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428E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428E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428E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428E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428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428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428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428EF"/>
    <w:rPr>
      <w:rFonts w:eastAsiaTheme="majorEastAsia" w:cstheme="majorBidi"/>
      <w:color w:val="272727" w:themeColor="text1" w:themeTint="D8"/>
    </w:rPr>
  </w:style>
  <w:style w:type="paragraph" w:styleId="Title">
    <w:name w:val="Title"/>
    <w:basedOn w:val="Normal"/>
    <w:next w:val="Normal"/>
    <w:link w:val="TitleChar"/>
    <w:uiPriority w:val="10"/>
    <w:qFormat/>
    <w:rsid w:val="003428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428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28E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428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428EF"/>
    <w:pPr>
      <w:spacing w:before="160"/>
      <w:jc w:val="center"/>
    </w:pPr>
    <w:rPr>
      <w:i/>
      <w:iCs/>
      <w:color w:val="404040" w:themeColor="text1" w:themeTint="BF"/>
    </w:rPr>
  </w:style>
  <w:style w:type="character" w:customStyle="1" w:styleId="QuoteChar">
    <w:name w:val="Quote Char"/>
    <w:basedOn w:val="DefaultParagraphFont"/>
    <w:link w:val="Quote"/>
    <w:uiPriority w:val="29"/>
    <w:rsid w:val="003428EF"/>
    <w:rPr>
      <w:i/>
      <w:iCs/>
      <w:color w:val="404040" w:themeColor="text1" w:themeTint="BF"/>
    </w:rPr>
  </w:style>
  <w:style w:type="paragraph" w:styleId="ListParagraph">
    <w:name w:val="List Paragraph"/>
    <w:basedOn w:val="Normal"/>
    <w:uiPriority w:val="34"/>
    <w:qFormat/>
    <w:rsid w:val="003428EF"/>
    <w:pPr>
      <w:ind w:left="720"/>
      <w:contextualSpacing/>
    </w:pPr>
  </w:style>
  <w:style w:type="character" w:styleId="IntenseEmphasis">
    <w:name w:val="Intense Emphasis"/>
    <w:basedOn w:val="DefaultParagraphFont"/>
    <w:uiPriority w:val="21"/>
    <w:qFormat/>
    <w:rsid w:val="003428EF"/>
    <w:rPr>
      <w:i/>
      <w:iCs/>
      <w:color w:val="0F4761" w:themeColor="accent1" w:themeShade="BF"/>
    </w:rPr>
  </w:style>
  <w:style w:type="paragraph" w:styleId="IntenseQuote">
    <w:name w:val="Intense Quote"/>
    <w:basedOn w:val="Normal"/>
    <w:next w:val="Normal"/>
    <w:link w:val="IntenseQuoteChar"/>
    <w:uiPriority w:val="30"/>
    <w:qFormat/>
    <w:rsid w:val="003428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428EF"/>
    <w:rPr>
      <w:i/>
      <w:iCs/>
      <w:color w:val="0F4761" w:themeColor="accent1" w:themeShade="BF"/>
    </w:rPr>
  </w:style>
  <w:style w:type="character" w:styleId="IntenseReference">
    <w:name w:val="Intense Reference"/>
    <w:basedOn w:val="DefaultParagraphFont"/>
    <w:uiPriority w:val="32"/>
    <w:qFormat/>
    <w:rsid w:val="003428EF"/>
    <w:rPr>
      <w:b/>
      <w:bCs/>
      <w:smallCaps/>
      <w:color w:val="0F4761" w:themeColor="accent1" w:themeShade="BF"/>
      <w:spacing w:val="5"/>
    </w:rPr>
  </w:style>
  <w:style w:type="character" w:styleId="Hyperlink">
    <w:name w:val="Hyperlink"/>
    <w:basedOn w:val="DefaultParagraphFont"/>
    <w:uiPriority w:val="99"/>
    <w:unhideWhenUsed/>
    <w:rsid w:val="001678D7"/>
    <w:rPr>
      <w:color w:val="467886" w:themeColor="hyperlink"/>
      <w:u w:val="single"/>
    </w:rPr>
  </w:style>
  <w:style w:type="character" w:customStyle="1" w:styleId="UnresolvedMention1">
    <w:name w:val="Unresolved Mention1"/>
    <w:basedOn w:val="DefaultParagraphFont"/>
    <w:uiPriority w:val="99"/>
    <w:semiHidden/>
    <w:unhideWhenUsed/>
    <w:rsid w:val="001678D7"/>
    <w:rPr>
      <w:color w:val="605E5C"/>
      <w:shd w:val="clear" w:color="auto" w:fill="E1DFDD"/>
    </w:rPr>
  </w:style>
  <w:style w:type="paragraph" w:styleId="Revision">
    <w:name w:val="Revision"/>
    <w:hidden/>
    <w:uiPriority w:val="99"/>
    <w:semiHidden/>
    <w:rsid w:val="00EA7BE6"/>
    <w:pPr>
      <w:spacing w:after="0" w:line="240" w:lineRule="auto"/>
    </w:pPr>
  </w:style>
  <w:style w:type="paragraph" w:styleId="Header">
    <w:name w:val="header"/>
    <w:basedOn w:val="Normal"/>
    <w:link w:val="HeaderChar"/>
    <w:uiPriority w:val="99"/>
    <w:unhideWhenUsed/>
    <w:rsid w:val="00804C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4C33"/>
  </w:style>
  <w:style w:type="paragraph" w:styleId="Footer">
    <w:name w:val="footer"/>
    <w:basedOn w:val="Normal"/>
    <w:link w:val="FooterChar"/>
    <w:uiPriority w:val="99"/>
    <w:unhideWhenUsed/>
    <w:rsid w:val="00804C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4C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ccat.int/Documents/Recs/compendiopdf-s/2025-11-s.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iccat.int/Documents/Recs/compendiopdf-s/2025-11-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CC5470-EB22-4DC0-9F9A-44F4DFFC4A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2468</Words>
  <Characters>14071</Characters>
  <Application>Microsoft Office Word</Application>
  <DocSecurity>4</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2026-10-20T10:00:00Z</dcterms:created>
  <dcterms:modified xsi:type="dcterms:W3CDTF">2026-10-20T10:00:00Z</dcterms:modified>
</cp:coreProperties>
</file>