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3AC33" w14:textId="2ACA0CCB" w:rsidR="001B3856" w:rsidRPr="00CD1C20" w:rsidRDefault="001B3856" w:rsidP="001B3856">
      <w:pPr>
        <w:spacing w:line="240" w:lineRule="exact"/>
        <w:jc w:val="right"/>
        <w:rPr>
          <w:rFonts w:ascii="Cambria" w:hAnsi="Cambria"/>
          <w:b/>
          <w:bCs/>
          <w:sz w:val="20"/>
          <w:szCs w:val="20"/>
        </w:rPr>
      </w:pPr>
      <w:r w:rsidRPr="00CD1C20">
        <w:rPr>
          <w:rFonts w:ascii="Cambria" w:hAnsi="Cambria"/>
          <w:b/>
          <w:bCs/>
          <w:sz w:val="20"/>
          <w:szCs w:val="20"/>
        </w:rPr>
        <w:t>Original : anglais</w:t>
      </w:r>
    </w:p>
    <w:p w14:paraId="55B6FA0D" w14:textId="482767E8" w:rsidR="00995510" w:rsidRPr="00CD1C20" w:rsidRDefault="001B3856" w:rsidP="001A2B3E">
      <w:pPr>
        <w:tabs>
          <w:tab w:val="left" w:pos="1455"/>
        </w:tabs>
        <w:spacing w:after="0" w:line="240" w:lineRule="auto"/>
        <w:jc w:val="center"/>
        <w:rPr>
          <w:rFonts w:ascii="Cambria" w:hAnsi="Cambria"/>
          <w:b/>
          <w:bCs/>
          <w:sz w:val="20"/>
          <w:szCs w:val="20"/>
        </w:rPr>
      </w:pPr>
      <w:r w:rsidRPr="00CD1C20">
        <w:rPr>
          <w:rFonts w:ascii="Cambria" w:hAnsi="Cambria"/>
          <w:b/>
          <w:bCs/>
          <w:sz w:val="20"/>
          <w:szCs w:val="20"/>
        </w:rPr>
        <w:t>Mise à jour sur l’état actuel du mécanisme de communication avec le</w:t>
      </w:r>
    </w:p>
    <w:p w14:paraId="7B518336" w14:textId="1A234266" w:rsidR="001B3856" w:rsidRPr="00CD1C20" w:rsidRDefault="001B3856" w:rsidP="00995510">
      <w:pPr>
        <w:spacing w:after="0" w:line="240" w:lineRule="auto"/>
        <w:jc w:val="center"/>
        <w:rPr>
          <w:rFonts w:ascii="Cambria" w:hAnsi="Cambria"/>
          <w:sz w:val="20"/>
          <w:szCs w:val="20"/>
        </w:rPr>
      </w:pPr>
      <w:r w:rsidRPr="00CD1C20">
        <w:rPr>
          <w:rFonts w:ascii="Cambria" w:hAnsi="Cambria"/>
          <w:b/>
          <w:bCs/>
          <w:sz w:val="20"/>
          <w:szCs w:val="20"/>
        </w:rPr>
        <w:t>Système mondial d'échange d'information (GIES) de la FAO</w:t>
      </w:r>
    </w:p>
    <w:p w14:paraId="0123AADA" w14:textId="24599599" w:rsidR="001B3856" w:rsidRPr="00CD1C20" w:rsidRDefault="001B3856" w:rsidP="00995510">
      <w:pPr>
        <w:spacing w:after="0" w:line="240" w:lineRule="auto"/>
        <w:jc w:val="center"/>
        <w:rPr>
          <w:rFonts w:ascii="Cambria" w:hAnsi="Cambria"/>
          <w:i/>
          <w:iCs/>
          <w:sz w:val="20"/>
          <w:szCs w:val="20"/>
        </w:rPr>
      </w:pPr>
      <w:r w:rsidRPr="00CD1C20">
        <w:rPr>
          <w:rFonts w:ascii="Cambria" w:hAnsi="Cambria"/>
          <w:i/>
          <w:iCs/>
          <w:sz w:val="20"/>
          <w:szCs w:val="20"/>
        </w:rPr>
        <w:t>(Document soumis par le Secrétariat de l’ICCAT)</w:t>
      </w:r>
    </w:p>
    <w:p w14:paraId="70A0FF6E" w14:textId="77777777" w:rsidR="004033CA" w:rsidRPr="00CD1C20" w:rsidRDefault="004033CA" w:rsidP="0020557A">
      <w:pPr>
        <w:spacing w:after="0" w:line="240" w:lineRule="auto"/>
        <w:rPr>
          <w:rFonts w:ascii="Cambria" w:hAnsi="Cambria"/>
          <w:b/>
          <w:bCs/>
          <w:sz w:val="20"/>
          <w:szCs w:val="20"/>
        </w:rPr>
      </w:pPr>
    </w:p>
    <w:p w14:paraId="4659A8CA" w14:textId="616EF97B" w:rsidR="006B1D30" w:rsidRPr="00CD1C20" w:rsidRDefault="006B1D30" w:rsidP="0020557A">
      <w:pPr>
        <w:spacing w:after="0" w:line="240" w:lineRule="auto"/>
        <w:rPr>
          <w:rFonts w:ascii="Cambria" w:hAnsi="Cambria"/>
          <w:b/>
          <w:bCs/>
          <w:sz w:val="20"/>
          <w:szCs w:val="20"/>
        </w:rPr>
      </w:pPr>
      <w:r w:rsidRPr="00CD1C20">
        <w:rPr>
          <w:rFonts w:ascii="Cambria" w:hAnsi="Cambria"/>
          <w:b/>
          <w:bCs/>
          <w:sz w:val="20"/>
          <w:szCs w:val="20"/>
        </w:rPr>
        <w:t>Contexte et mandat</w:t>
      </w:r>
    </w:p>
    <w:p w14:paraId="43EC6D6E" w14:textId="77777777" w:rsidR="00FF2FE2" w:rsidRPr="00CD1C20" w:rsidRDefault="00FF2FE2" w:rsidP="0020557A">
      <w:pPr>
        <w:spacing w:after="0" w:line="240" w:lineRule="auto"/>
        <w:rPr>
          <w:rFonts w:ascii="Cambria" w:hAnsi="Cambria"/>
          <w:b/>
          <w:bCs/>
          <w:sz w:val="20"/>
          <w:szCs w:val="20"/>
        </w:rPr>
      </w:pPr>
    </w:p>
    <w:p w14:paraId="78AD38C0" w14:textId="6FDA10DA" w:rsidR="006B1D30" w:rsidRPr="00CD1C20" w:rsidRDefault="006B1D30" w:rsidP="00AC2CA8">
      <w:pPr>
        <w:spacing w:after="0" w:line="240" w:lineRule="auto"/>
        <w:jc w:val="both"/>
        <w:rPr>
          <w:rFonts w:ascii="Cambria" w:hAnsi="Cambria"/>
          <w:sz w:val="20"/>
          <w:szCs w:val="20"/>
        </w:rPr>
      </w:pPr>
      <w:r w:rsidRPr="00CD1C20">
        <w:rPr>
          <w:rFonts w:ascii="Cambria" w:hAnsi="Cambria"/>
          <w:sz w:val="20"/>
          <w:szCs w:val="20"/>
        </w:rPr>
        <w:t>Conformément au paragraphe 11 de la</w:t>
      </w:r>
      <w:hyperlink r:id="rId8" w:history="1">
        <w:r w:rsidRPr="00CD1C20">
          <w:rPr>
            <w:rStyle w:val="Lienhypertexte"/>
            <w:rFonts w:ascii="Cambria" w:hAnsi="Cambria"/>
            <w:i/>
            <w:iCs/>
            <w:sz w:val="20"/>
            <w:szCs w:val="20"/>
            <w:u w:val="none"/>
          </w:rPr>
          <w:t xml:space="preserve"> Recommandation de l’ICCAT remplaçant la Recommandation 23-17 concernant des mesures du ressort de l’État du port visant à prévenir, contrecarrer et éliminer la pêche illicite, non déclarée et non règlementée (</w:t>
        </w:r>
        <w:proofErr w:type="spellStart"/>
        <w:r w:rsidRPr="00CD1C20">
          <w:rPr>
            <w:rStyle w:val="Lienhypertexte"/>
            <w:rFonts w:ascii="Cambria" w:hAnsi="Cambria"/>
            <w:i/>
            <w:iCs/>
            <w:sz w:val="20"/>
            <w:szCs w:val="20"/>
            <w:u w:val="none"/>
          </w:rPr>
          <w:t>IUU</w:t>
        </w:r>
        <w:proofErr w:type="spellEnd"/>
        <w:r w:rsidRPr="00CD1C20">
          <w:rPr>
            <w:rStyle w:val="Lienhypertexte"/>
            <w:rFonts w:ascii="Cambria" w:hAnsi="Cambria"/>
            <w:i/>
            <w:iCs/>
            <w:sz w:val="20"/>
            <w:szCs w:val="20"/>
            <w:u w:val="none"/>
          </w:rPr>
          <w:t>)</w:t>
        </w:r>
      </w:hyperlink>
      <w:r w:rsidRPr="00CD1C20">
        <w:rPr>
          <w:rFonts w:ascii="Cambria" w:hAnsi="Cambria"/>
          <w:i/>
          <w:sz w:val="20"/>
          <w:szCs w:val="20"/>
        </w:rPr>
        <w:t xml:space="preserve"> </w:t>
      </w:r>
      <w:r w:rsidRPr="00CD1C20">
        <w:rPr>
          <w:rFonts w:ascii="Cambria" w:hAnsi="Cambria"/>
          <w:sz w:val="20"/>
          <w:szCs w:val="20"/>
        </w:rPr>
        <w:t>(Rec. 25-11), le Secrétariat de l'ICCAT est tenu d’examiner les options potentielles d’accès et/ou de partage des informations pertinentes avec le Système mondial d'échange d'information (GIES) de la FAO dans le but d'éviter la duplication des exigences en matière de déclaration pour les CPC qui sont également signataires de l’Accord relatif aux mesures du ressort de l’État du port (PSMA). Cela revêt une importance particulière étant donné que l'ICCAT ne dispose pas d'un système électronique centralisé ni d'une plateforme dédiée à la saisie et à l'échange de données relatives au PSMA et qu’en date de 2026, environ 75 % des CPC de l'ICCAT (45 sur 60) sont également Parties au PSMA. Le Secrétariat de l’ICCAT a donc été chargé de présenter ses conclusions lors de la 19e réunion du Groupe de travail chargé d’élaborer des mesures de contrôle intégré (IMM) (Bruxelles, Belgique, du 1er au 5 juin 2026).</w:t>
      </w:r>
    </w:p>
    <w:p w14:paraId="02D4086D" w14:textId="77777777" w:rsidR="00FF2FE2" w:rsidRPr="00CD1C20" w:rsidRDefault="00FF2FE2" w:rsidP="00AC2CA8">
      <w:pPr>
        <w:spacing w:after="0" w:line="240" w:lineRule="auto"/>
        <w:jc w:val="both"/>
        <w:rPr>
          <w:rFonts w:ascii="Cambria" w:hAnsi="Cambria"/>
          <w:sz w:val="20"/>
          <w:szCs w:val="20"/>
        </w:rPr>
      </w:pPr>
    </w:p>
    <w:p w14:paraId="287D9A00" w14:textId="52660507" w:rsidR="0037333C" w:rsidRPr="00CD1C20" w:rsidRDefault="0037333C" w:rsidP="00E32141">
      <w:pPr>
        <w:spacing w:after="0" w:line="240" w:lineRule="auto"/>
        <w:contextualSpacing/>
        <w:jc w:val="both"/>
        <w:rPr>
          <w:rFonts w:ascii="Cambria" w:hAnsi="Cambria"/>
          <w:sz w:val="20"/>
          <w:szCs w:val="20"/>
        </w:rPr>
      </w:pPr>
      <w:r w:rsidRPr="00CD1C20">
        <w:rPr>
          <w:rFonts w:ascii="Cambria" w:hAnsi="Cambria"/>
          <w:sz w:val="20"/>
          <w:szCs w:val="20"/>
        </w:rPr>
        <w:t>Au cours de cette réunion, le Groupe de travail a examiné quatre options potentielles pour l'exécution de ce mandat : (i) le développement d’un nouveau système par un prestataire externe ; (ii) le développement d’un nouveau module de l’</w:t>
      </w:r>
      <w:proofErr w:type="spellStart"/>
      <w:r w:rsidRPr="00CD1C20">
        <w:rPr>
          <w:rFonts w:ascii="Cambria" w:hAnsi="Cambria"/>
          <w:sz w:val="20"/>
          <w:szCs w:val="20"/>
        </w:rPr>
        <w:t>IOMS</w:t>
      </w:r>
      <w:proofErr w:type="spellEnd"/>
      <w:r w:rsidRPr="00CD1C20">
        <w:rPr>
          <w:rFonts w:ascii="Cambria" w:hAnsi="Cambria"/>
          <w:sz w:val="20"/>
          <w:szCs w:val="20"/>
        </w:rPr>
        <w:t xml:space="preserve"> par l’équipe de l'</w:t>
      </w:r>
      <w:proofErr w:type="spellStart"/>
      <w:r w:rsidRPr="00CD1C20">
        <w:rPr>
          <w:rFonts w:ascii="Cambria" w:hAnsi="Cambria"/>
          <w:sz w:val="20"/>
          <w:szCs w:val="20"/>
        </w:rPr>
        <w:t>IOMS</w:t>
      </w:r>
      <w:proofErr w:type="spellEnd"/>
      <w:r w:rsidRPr="00CD1C20">
        <w:rPr>
          <w:rFonts w:ascii="Cambria" w:hAnsi="Cambria"/>
          <w:sz w:val="20"/>
          <w:szCs w:val="20"/>
        </w:rPr>
        <w:t> ; (iii) l’adaptation du GIES de la FAO ; ou (iv) l’adaptation du système e-</w:t>
      </w:r>
      <w:proofErr w:type="spellStart"/>
      <w:r w:rsidRPr="00CD1C20">
        <w:rPr>
          <w:rFonts w:ascii="Cambria" w:hAnsi="Cambria"/>
          <w:sz w:val="20"/>
          <w:szCs w:val="20"/>
        </w:rPr>
        <w:t>PSM</w:t>
      </w:r>
      <w:proofErr w:type="spellEnd"/>
      <w:r w:rsidRPr="00CD1C20">
        <w:rPr>
          <w:rFonts w:ascii="Cambria" w:hAnsi="Cambria"/>
          <w:sz w:val="20"/>
          <w:szCs w:val="20"/>
        </w:rPr>
        <w:t xml:space="preserve"> de la CTOI. Le développement d’un système entièrement nouveau a été écarté et considéré comme l’approche la moins privilégiée, alors que le Groupe a préféré se baser sur des solutions existantes, en particulier le GIES de la FAO ou le système e-</w:t>
      </w:r>
      <w:proofErr w:type="spellStart"/>
      <w:r w:rsidRPr="00CD1C20">
        <w:rPr>
          <w:rFonts w:ascii="Cambria" w:hAnsi="Cambria"/>
          <w:sz w:val="20"/>
          <w:szCs w:val="20"/>
        </w:rPr>
        <w:t>PSM</w:t>
      </w:r>
      <w:proofErr w:type="spellEnd"/>
      <w:r w:rsidRPr="00CD1C20">
        <w:rPr>
          <w:rFonts w:ascii="Cambria" w:hAnsi="Cambria"/>
          <w:sz w:val="20"/>
          <w:szCs w:val="20"/>
        </w:rPr>
        <w:t xml:space="preserve"> de la CTOI et les adapter aux besoins spécifiques de l’ICCAT.</w:t>
      </w:r>
    </w:p>
    <w:p w14:paraId="34B84178" w14:textId="77777777" w:rsidR="00546CF6" w:rsidRPr="00CD1C20" w:rsidRDefault="00546CF6" w:rsidP="00E32141">
      <w:pPr>
        <w:spacing w:after="0" w:line="240" w:lineRule="auto"/>
        <w:contextualSpacing/>
        <w:jc w:val="both"/>
        <w:rPr>
          <w:rFonts w:ascii="Cambria" w:hAnsi="Cambria"/>
          <w:sz w:val="20"/>
          <w:szCs w:val="20"/>
        </w:rPr>
      </w:pPr>
    </w:p>
    <w:p w14:paraId="03C39446" w14:textId="2882E784" w:rsidR="00546CF6" w:rsidRPr="00CD1C20" w:rsidRDefault="00546CF6" w:rsidP="00E32141">
      <w:pPr>
        <w:spacing w:after="0" w:line="240" w:lineRule="auto"/>
        <w:contextualSpacing/>
        <w:jc w:val="both"/>
        <w:rPr>
          <w:rFonts w:ascii="Cambria" w:hAnsi="Cambria"/>
          <w:sz w:val="20"/>
          <w:szCs w:val="20"/>
        </w:rPr>
      </w:pPr>
      <w:r w:rsidRPr="00CD1C20">
        <w:rPr>
          <w:rFonts w:ascii="Cambria" w:hAnsi="Cambria"/>
          <w:sz w:val="20"/>
          <w:szCs w:val="20"/>
        </w:rPr>
        <w:t>En ce qui concerne l’option de la FAO, deux modalités de partage possibles ont été présentées : une utilisation directe du GIES de la FAO par l’ICCAT ou la mise à disposition d’une version du système pour utilisation interne par l’ICCAT. Comme mentionné, l’utilisation directe du GIES de la FAO n'engendrerait aucun coût de déploiement, d’hébergement, de développement ou de maintenance pour l’ICCAT. Toutefois, compte tenu du fait qu’un certain nombre de CPC de l’ICCAT ne sont pas Parties au PSMA, que la marge de personnalisation serait réduite et que la propriété continuerait à appartenir à la FAO, cette option a été écartée en faveur d’une version personnalisées du GIES adaptée aux besoins spécifiques de l’ICCAT, à condition que l’ICCAT garde l’entière propriété de cette version et reste libre de modifier le code source en tant que de besoin, sans aucune autre obligation envers la FAO. Par conséquent, la mise à disposition d’une version du GIES appartenant à l’ICCAT a suscité un plus grand intérêt, tout en donnant lieu à des demandes de précisions complémentaires sur plusieurs aspects, notamment sur la propriété et les modalités de gouvernance et la participation des CPC qui ne sont pas Parties au PSMA.</w:t>
      </w:r>
    </w:p>
    <w:p w14:paraId="71CDC6D3" w14:textId="77777777" w:rsidR="00074B2B" w:rsidRPr="00CD1C20" w:rsidRDefault="00074B2B" w:rsidP="00E32141">
      <w:pPr>
        <w:spacing w:after="0" w:line="240" w:lineRule="auto"/>
        <w:contextualSpacing/>
        <w:jc w:val="both"/>
        <w:rPr>
          <w:rFonts w:ascii="Cambria" w:hAnsi="Cambria"/>
          <w:sz w:val="20"/>
          <w:szCs w:val="20"/>
        </w:rPr>
      </w:pPr>
    </w:p>
    <w:p w14:paraId="54356433" w14:textId="3A87C3BC" w:rsidR="00011217" w:rsidRPr="00CD1C20" w:rsidRDefault="00074B2B" w:rsidP="00E32141">
      <w:pPr>
        <w:spacing w:after="0" w:line="240" w:lineRule="auto"/>
        <w:jc w:val="both"/>
        <w:rPr>
          <w:rFonts w:ascii="Cambria" w:hAnsi="Cambria"/>
          <w:b/>
          <w:bCs/>
          <w:sz w:val="20"/>
          <w:szCs w:val="20"/>
        </w:rPr>
      </w:pPr>
      <w:r w:rsidRPr="00CD1C20">
        <w:rPr>
          <w:rFonts w:ascii="Cambria" w:hAnsi="Cambria"/>
          <w:sz w:val="20"/>
          <w:szCs w:val="20"/>
        </w:rPr>
        <w:t xml:space="preserve">Faisant suite à ces discussions, il a été demandé au Secrétariat de l'ICCAT de poursuivre le dialogue avec la FAO en vue de clarifier les implications techniques, de gouvernance et de coûts de l’utilisation d’une version personnalisée du GIES et d’en faire rapport au </w:t>
      </w:r>
      <w:proofErr w:type="spellStart"/>
      <w:r w:rsidRPr="00CD1C20">
        <w:rPr>
          <w:rFonts w:ascii="Cambria" w:hAnsi="Cambria"/>
          <w:sz w:val="20"/>
          <w:szCs w:val="20"/>
        </w:rPr>
        <w:t>PWG</w:t>
      </w:r>
      <w:proofErr w:type="spellEnd"/>
      <w:r w:rsidRPr="00CD1C20">
        <w:rPr>
          <w:rFonts w:ascii="Cambria" w:hAnsi="Cambria"/>
          <w:sz w:val="20"/>
          <w:szCs w:val="20"/>
        </w:rPr>
        <w:t xml:space="preserve"> en novembre 2026. Le présent document actualise donc le document IMM_18/i2026, fait rapport sur le résultat des échanges ultérieurs avec la FAO et vise à permettre un examen plus approfondi de cette question par le </w:t>
      </w:r>
      <w:proofErr w:type="spellStart"/>
      <w:r w:rsidRPr="00CD1C20">
        <w:rPr>
          <w:rFonts w:ascii="Cambria" w:hAnsi="Cambria"/>
          <w:sz w:val="20"/>
          <w:szCs w:val="20"/>
        </w:rPr>
        <w:t>PWG</w:t>
      </w:r>
      <w:proofErr w:type="spellEnd"/>
      <w:r w:rsidRPr="00CD1C20">
        <w:rPr>
          <w:rFonts w:ascii="Cambria" w:hAnsi="Cambria"/>
          <w:sz w:val="20"/>
          <w:szCs w:val="20"/>
        </w:rPr>
        <w:t xml:space="preserve"> en novembre 2026, afin de prendre une décision finale sur l’option la plus appropriée.</w:t>
      </w:r>
    </w:p>
    <w:p w14:paraId="6ECA35A1" w14:textId="77777777" w:rsidR="00F05A23" w:rsidRPr="00CD1C20" w:rsidRDefault="00F05A23" w:rsidP="00AC2CA8">
      <w:pPr>
        <w:spacing w:after="0" w:line="240" w:lineRule="auto"/>
        <w:jc w:val="both"/>
        <w:rPr>
          <w:rFonts w:ascii="Cambria" w:hAnsi="Cambria"/>
          <w:b/>
          <w:bCs/>
          <w:sz w:val="20"/>
          <w:szCs w:val="20"/>
        </w:rPr>
      </w:pPr>
    </w:p>
    <w:p w14:paraId="7BEFD728" w14:textId="426B89AE" w:rsidR="006B1D30" w:rsidRPr="00CD1C20" w:rsidRDefault="006B1D30" w:rsidP="00AC2CA8">
      <w:pPr>
        <w:spacing w:after="0" w:line="240" w:lineRule="auto"/>
        <w:jc w:val="both"/>
        <w:rPr>
          <w:rFonts w:ascii="Cambria" w:hAnsi="Cambria"/>
          <w:b/>
          <w:bCs/>
          <w:sz w:val="20"/>
          <w:szCs w:val="20"/>
        </w:rPr>
      </w:pPr>
      <w:r w:rsidRPr="00CD1C20">
        <w:rPr>
          <w:rFonts w:ascii="Cambria" w:hAnsi="Cambria"/>
          <w:b/>
          <w:bCs/>
          <w:sz w:val="20"/>
          <w:szCs w:val="20"/>
        </w:rPr>
        <w:t>Travaux intersessions et conclusions</w:t>
      </w:r>
    </w:p>
    <w:p w14:paraId="2665533A" w14:textId="77777777" w:rsidR="00FF2FE2" w:rsidRPr="00CD1C20" w:rsidRDefault="00FF2FE2" w:rsidP="00AC2CA8">
      <w:pPr>
        <w:spacing w:after="0" w:line="240" w:lineRule="auto"/>
        <w:jc w:val="both"/>
        <w:rPr>
          <w:rFonts w:ascii="Cambria" w:hAnsi="Cambria"/>
          <w:b/>
          <w:bCs/>
          <w:sz w:val="20"/>
          <w:szCs w:val="20"/>
        </w:rPr>
      </w:pPr>
    </w:p>
    <w:p w14:paraId="1AABF495" w14:textId="528A65D6" w:rsidR="00AA736B" w:rsidRPr="00CD1C20" w:rsidRDefault="003B6EF2" w:rsidP="00AC2CA8">
      <w:pPr>
        <w:spacing w:after="0" w:line="240" w:lineRule="auto"/>
        <w:jc w:val="both"/>
        <w:rPr>
          <w:rFonts w:ascii="Cambria" w:hAnsi="Cambria"/>
          <w:sz w:val="20"/>
          <w:szCs w:val="20"/>
        </w:rPr>
      </w:pPr>
      <w:r w:rsidRPr="00CD1C20">
        <w:rPr>
          <w:rFonts w:ascii="Cambria" w:hAnsi="Cambria"/>
          <w:sz w:val="20"/>
          <w:szCs w:val="20"/>
        </w:rPr>
        <w:t>Faisant suite à des consultations bilatérales tenues avec le personnel de la FAO chargé du PSMA concernant les préoccupations exprimées par l’IMM quant à l’utilisation d’une version personnalisée du GIES de la FAO, les informations recueillies sont résumées ci-dessous :</w:t>
      </w:r>
    </w:p>
    <w:p w14:paraId="7D827983" w14:textId="77777777" w:rsidR="00AA736B" w:rsidRPr="00CD1C20" w:rsidRDefault="00AA736B" w:rsidP="00AC2CA8">
      <w:pPr>
        <w:spacing w:after="0" w:line="240" w:lineRule="auto"/>
        <w:jc w:val="both"/>
        <w:rPr>
          <w:rFonts w:ascii="Cambria" w:hAnsi="Cambria"/>
          <w:sz w:val="20"/>
          <w:szCs w:val="20"/>
        </w:rPr>
      </w:pPr>
    </w:p>
    <w:p w14:paraId="37C64106" w14:textId="5D10F473" w:rsidR="00792957" w:rsidRPr="00CD1C20" w:rsidRDefault="00792957" w:rsidP="00E102ED">
      <w:pPr>
        <w:pStyle w:val="Paragraphedeliste"/>
        <w:numPr>
          <w:ilvl w:val="0"/>
          <w:numId w:val="16"/>
        </w:numPr>
        <w:spacing w:after="0" w:line="240" w:lineRule="auto"/>
        <w:ind w:left="851" w:hanging="425"/>
        <w:jc w:val="both"/>
        <w:rPr>
          <w:rFonts w:ascii="Cambria" w:hAnsi="Cambria"/>
          <w:sz w:val="20"/>
          <w:szCs w:val="20"/>
        </w:rPr>
      </w:pPr>
      <w:r w:rsidRPr="00CD1C20">
        <w:rPr>
          <w:rFonts w:ascii="Cambria" w:hAnsi="Cambria"/>
          <w:sz w:val="20"/>
          <w:szCs w:val="20"/>
        </w:rPr>
        <w:t xml:space="preserve">Propriété : La FAO mettrait à la disposition de l’ICCAT une version du GIES à titre gratuit dans le cadre d’un accord de licence. La FAO-PSMA fournirait gratuitement le logiciel avec une personnalisation de base. L’ICCAT conserverait l’entière propriété de cette version et serait libre de modifier le code source en tant que de besoin. La seule restriction concernerait les droits d’auteur du code source original qui resteraient la propriété de la FAO. En termes pratiques, cela </w:t>
      </w:r>
      <w:r w:rsidRPr="00CD1C20">
        <w:rPr>
          <w:rFonts w:ascii="Cambria" w:hAnsi="Cambria"/>
          <w:sz w:val="20"/>
          <w:szCs w:val="20"/>
        </w:rPr>
        <w:lastRenderedPageBreak/>
        <w:t>signifierait que l’ICCAT ne pourrait pas partager le code source original avec une tierce partie sans l’accord préalable de la FAO.</w:t>
      </w:r>
    </w:p>
    <w:p w14:paraId="33B8B99F" w14:textId="77777777" w:rsidR="005E4813" w:rsidRPr="00CD1C20" w:rsidRDefault="00825910" w:rsidP="00E102ED">
      <w:pPr>
        <w:pStyle w:val="Paragraphedeliste"/>
        <w:numPr>
          <w:ilvl w:val="0"/>
          <w:numId w:val="16"/>
        </w:numPr>
        <w:spacing w:after="0" w:line="240" w:lineRule="auto"/>
        <w:ind w:left="851" w:hanging="425"/>
        <w:jc w:val="both"/>
        <w:rPr>
          <w:rFonts w:ascii="Cambria" w:hAnsi="Cambria"/>
          <w:sz w:val="20"/>
          <w:szCs w:val="20"/>
        </w:rPr>
      </w:pPr>
      <w:r w:rsidRPr="00CD1C20">
        <w:rPr>
          <w:rFonts w:ascii="Cambria" w:hAnsi="Cambria"/>
          <w:sz w:val="20"/>
          <w:szCs w:val="20"/>
        </w:rPr>
        <w:t xml:space="preserve">Gouvernance : L’ICCAT en conserverait la pleine gouvernance. Après la transmission du code, l’ICCAT serait responsable du déploiement, de l’hébergement, de la personnalisation supplémentaire, de la maintenance et du développement du système. </w:t>
      </w:r>
    </w:p>
    <w:p w14:paraId="12498E01" w14:textId="7F0DECF9" w:rsidR="007457AC" w:rsidRPr="00CD1C20" w:rsidRDefault="005E4813" w:rsidP="00E102ED">
      <w:pPr>
        <w:pStyle w:val="Paragraphedeliste"/>
        <w:numPr>
          <w:ilvl w:val="0"/>
          <w:numId w:val="16"/>
        </w:numPr>
        <w:spacing w:after="0" w:line="240" w:lineRule="auto"/>
        <w:ind w:left="851" w:hanging="425"/>
        <w:jc w:val="both"/>
        <w:rPr>
          <w:rFonts w:ascii="Cambria" w:hAnsi="Cambria"/>
          <w:sz w:val="20"/>
          <w:szCs w:val="20"/>
        </w:rPr>
      </w:pPr>
      <w:r w:rsidRPr="00CD1C20">
        <w:rPr>
          <w:rFonts w:ascii="Cambria" w:hAnsi="Cambria"/>
          <w:sz w:val="20"/>
          <w:szCs w:val="20"/>
        </w:rPr>
        <w:t>Rôle de la FAO : Après la mise à disposition et la personnalisation initiale de la version du GIES, la participation de la FAO se limiterait à une assistance technique pour son déploiement et l'interconnexion avec le GIES, ainsi qu’à un soutien complémentaire sur demande, sous réserve de ressources disponibles. En outre, la FAO propose de mettre à disposition, gratuitement, toute modification ultérieure ou nouvelle fonctionnalité développée après avoir fourni la version.</w:t>
      </w:r>
    </w:p>
    <w:p w14:paraId="665533AE" w14:textId="6A57A995" w:rsidR="00825910" w:rsidRPr="00CD1C20" w:rsidRDefault="00825910" w:rsidP="00E102ED">
      <w:pPr>
        <w:pStyle w:val="Paragraphedeliste"/>
        <w:numPr>
          <w:ilvl w:val="0"/>
          <w:numId w:val="16"/>
        </w:numPr>
        <w:spacing w:after="0" w:line="240" w:lineRule="auto"/>
        <w:ind w:left="851" w:hanging="425"/>
        <w:jc w:val="both"/>
        <w:rPr>
          <w:rFonts w:ascii="Cambria" w:hAnsi="Cambria"/>
          <w:sz w:val="20"/>
          <w:szCs w:val="20"/>
        </w:rPr>
      </w:pPr>
      <w:r w:rsidRPr="00CD1C20">
        <w:rPr>
          <w:rFonts w:ascii="Cambria" w:hAnsi="Cambria"/>
          <w:sz w:val="20"/>
          <w:szCs w:val="20"/>
        </w:rPr>
        <w:t>CPC qui ne sont pas Parties au PSMA : L’ICCAT établirait les règles de gestion régissant les droits d’accès, y compris quelles entités peuvent soumettre ou consulter les informations et quelles données seraient transférées au GIES de la FAO. Toutes les CPC pourraient soumettre des informations indépendamment de leur statut vis-à-vis du PSMA mais seules les informations soumises par des Parties au PSMA seraient partagées avec le GIES de la FAO.</w:t>
      </w:r>
    </w:p>
    <w:p w14:paraId="4A21FABA" w14:textId="14EAB36D" w:rsidR="00A3370E" w:rsidRPr="00CD1C20" w:rsidRDefault="00312C3E" w:rsidP="00E102ED">
      <w:pPr>
        <w:pStyle w:val="Paragraphedeliste"/>
        <w:numPr>
          <w:ilvl w:val="0"/>
          <w:numId w:val="16"/>
        </w:numPr>
        <w:spacing w:after="0" w:line="240" w:lineRule="auto"/>
        <w:ind w:left="851" w:hanging="425"/>
        <w:jc w:val="both"/>
        <w:rPr>
          <w:rFonts w:ascii="Cambria" w:hAnsi="Cambria"/>
          <w:sz w:val="20"/>
          <w:szCs w:val="20"/>
        </w:rPr>
      </w:pPr>
      <w:r w:rsidRPr="00CD1C20">
        <w:rPr>
          <w:rFonts w:ascii="Cambria" w:hAnsi="Cambria"/>
          <w:sz w:val="20"/>
          <w:szCs w:val="20"/>
        </w:rPr>
        <w:t>Responsabilité financière et maintenance : L’ICCAT assumerait tous les coûts associés à la personnalisation ultérieure, au développement, à la gestion et à la maintenance, relevant de l’entière responsabilité de l’ICCAT.</w:t>
      </w:r>
    </w:p>
    <w:p w14:paraId="0E311EDF" w14:textId="77777777" w:rsidR="00ED56EC" w:rsidRPr="00CD1C20" w:rsidRDefault="00ED56EC" w:rsidP="00ED56EC">
      <w:pPr>
        <w:spacing w:after="0" w:line="240" w:lineRule="auto"/>
        <w:jc w:val="both"/>
        <w:rPr>
          <w:rFonts w:ascii="Cambria" w:hAnsi="Cambria"/>
          <w:sz w:val="20"/>
          <w:szCs w:val="20"/>
        </w:rPr>
      </w:pPr>
    </w:p>
    <w:p w14:paraId="4B28326C" w14:textId="14A485E1" w:rsidR="00A67DED" w:rsidRPr="00CD1C20" w:rsidRDefault="00A57138" w:rsidP="00A57138">
      <w:pPr>
        <w:spacing w:after="0" w:line="240" w:lineRule="auto"/>
        <w:jc w:val="both"/>
        <w:rPr>
          <w:rFonts w:ascii="Cambria" w:hAnsi="Cambria"/>
          <w:sz w:val="20"/>
          <w:szCs w:val="20"/>
        </w:rPr>
        <w:sectPr w:rsidR="00A67DED" w:rsidRPr="00CD1C20" w:rsidSect="004E4E28">
          <w:headerReference w:type="default" r:id="rId9"/>
          <w:footerReference w:type="default" r:id="rId10"/>
          <w:pgSz w:w="11907" w:h="16840" w:code="9"/>
          <w:pgMar w:top="1418" w:right="1418" w:bottom="1418" w:left="1418" w:header="851" w:footer="1134" w:gutter="0"/>
          <w:cols w:space="720"/>
          <w:docGrid w:linePitch="360"/>
        </w:sectPr>
      </w:pPr>
      <w:r w:rsidRPr="00CD1C20">
        <w:rPr>
          <w:rFonts w:ascii="Cambria" w:hAnsi="Cambria"/>
          <w:sz w:val="20"/>
          <w:szCs w:val="20"/>
        </w:rPr>
        <w:t xml:space="preserve">Sur la base de ces consultations, le Secrétariat de l’ICCAT a actualisé le résumé comparatif présenté ci-dessous au </w:t>
      </w:r>
      <w:r w:rsidRPr="00CD1C20">
        <w:rPr>
          <w:rFonts w:ascii="Cambria" w:hAnsi="Cambria"/>
          <w:b/>
          <w:sz w:val="20"/>
          <w:szCs w:val="20"/>
        </w:rPr>
        <w:t xml:space="preserve">tableau </w:t>
      </w:r>
      <w:r w:rsidRPr="00CD1C20">
        <w:rPr>
          <w:rFonts w:ascii="Cambria" w:hAnsi="Cambria"/>
          <w:b/>
          <w:bCs/>
          <w:sz w:val="20"/>
          <w:szCs w:val="20"/>
        </w:rPr>
        <w:t>1</w:t>
      </w:r>
      <w:r w:rsidRPr="00CD1C20">
        <w:rPr>
          <w:rFonts w:ascii="Cambria" w:hAnsi="Cambria"/>
          <w:sz w:val="20"/>
          <w:szCs w:val="20"/>
        </w:rPr>
        <w:t xml:space="preserve">, complété par le </w:t>
      </w:r>
      <w:r w:rsidRPr="00CD1C20">
        <w:rPr>
          <w:rFonts w:ascii="Cambria" w:hAnsi="Cambria"/>
          <w:b/>
          <w:sz w:val="20"/>
          <w:szCs w:val="20"/>
        </w:rPr>
        <w:t xml:space="preserve">tableau </w:t>
      </w:r>
      <w:r w:rsidRPr="00CD1C20">
        <w:rPr>
          <w:rFonts w:ascii="Cambria" w:hAnsi="Cambria"/>
          <w:b/>
          <w:bCs/>
          <w:sz w:val="20"/>
          <w:szCs w:val="20"/>
        </w:rPr>
        <w:t>2</w:t>
      </w:r>
      <w:r w:rsidRPr="00CD1C20">
        <w:rPr>
          <w:rFonts w:ascii="Cambria" w:hAnsi="Cambria"/>
          <w:sz w:val="20"/>
          <w:szCs w:val="20"/>
        </w:rPr>
        <w:t>. Conjointement, ces tableaux donnent un aperçu exhaustif des deux options restantes : (iii) le GIES de la FAO et (iv) l’e-</w:t>
      </w:r>
      <w:proofErr w:type="spellStart"/>
      <w:r w:rsidRPr="00CD1C20">
        <w:rPr>
          <w:rFonts w:ascii="Cambria" w:hAnsi="Cambria"/>
          <w:sz w:val="20"/>
          <w:szCs w:val="20"/>
        </w:rPr>
        <w:t>PSM</w:t>
      </w:r>
      <w:proofErr w:type="spellEnd"/>
      <w:r w:rsidRPr="00CD1C20">
        <w:rPr>
          <w:rFonts w:ascii="Cambria" w:hAnsi="Cambria"/>
          <w:sz w:val="20"/>
          <w:szCs w:val="20"/>
        </w:rPr>
        <w:t xml:space="preserve"> de la CTOI, en couvrant leurs principales caractéristiques, les exigences techniques, les avantages et les limites.</w:t>
      </w:r>
    </w:p>
    <w:p w14:paraId="3743F0CD" w14:textId="7E635F00" w:rsidR="00A67DED" w:rsidRPr="00CD1C20" w:rsidRDefault="00A67DED" w:rsidP="00D03C37">
      <w:pPr>
        <w:spacing w:after="0" w:line="240" w:lineRule="auto"/>
        <w:ind w:left="360" w:hanging="360"/>
        <w:rPr>
          <w:rFonts w:ascii="Cambria" w:hAnsi="Cambria"/>
          <w:sz w:val="20"/>
          <w:szCs w:val="20"/>
        </w:rPr>
      </w:pPr>
      <w:r w:rsidRPr="00CD1C20">
        <w:rPr>
          <w:rFonts w:ascii="Cambria" w:hAnsi="Cambria"/>
          <w:b/>
          <w:bCs/>
          <w:sz w:val="20"/>
          <w:szCs w:val="20"/>
        </w:rPr>
        <w:lastRenderedPageBreak/>
        <w:t>Tableau 1</w:t>
      </w:r>
      <w:r w:rsidRPr="00CD1C20">
        <w:rPr>
          <w:rFonts w:ascii="Cambria" w:hAnsi="Cambria"/>
          <w:sz w:val="20"/>
          <w:szCs w:val="20"/>
        </w:rPr>
        <w:t xml:space="preserve">. ICCAT – Comparaison préliminaire des solutions d'échange de données sur les </w:t>
      </w:r>
      <w:proofErr w:type="spellStart"/>
      <w:r w:rsidRPr="00CD1C20">
        <w:rPr>
          <w:rFonts w:ascii="Cambria" w:hAnsi="Cambria"/>
          <w:sz w:val="20"/>
          <w:szCs w:val="20"/>
        </w:rPr>
        <w:t>PSM</w:t>
      </w:r>
      <w:proofErr w:type="spellEnd"/>
      <w:r w:rsidRPr="00CD1C20">
        <w:rPr>
          <w:rFonts w:ascii="Cambria" w:hAnsi="Cambria"/>
          <w:sz w:val="20"/>
          <w:szCs w:val="20"/>
        </w:rPr>
        <w:t>.</w:t>
      </w:r>
    </w:p>
    <w:tbl>
      <w:tblPr>
        <w:tblW w:w="14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1469"/>
        <w:gridCol w:w="10605"/>
        <w:gridCol w:w="8"/>
      </w:tblGrid>
      <w:tr w:rsidR="000A4659" w:rsidRPr="00CD1C20" w14:paraId="518EE984" w14:textId="77777777" w:rsidTr="00AF7751">
        <w:trPr>
          <w:gridAfter w:val="1"/>
          <w:wAfter w:w="8" w:type="dxa"/>
          <w:trHeight w:val="288"/>
        </w:trPr>
        <w:tc>
          <w:tcPr>
            <w:tcW w:w="2065" w:type="dxa"/>
            <w:shd w:val="clear" w:color="auto" w:fill="000000" w:themeFill="text1"/>
            <w:noWrap/>
            <w:vAlign w:val="center"/>
            <w:hideMark/>
          </w:tcPr>
          <w:p w14:paraId="0279AF60" w14:textId="77777777" w:rsidR="000A4659" w:rsidRPr="00CD1C20" w:rsidRDefault="000A4659" w:rsidP="0020557A">
            <w:pPr>
              <w:spacing w:after="0" w:line="240" w:lineRule="auto"/>
              <w:rPr>
                <w:rFonts w:ascii="Cambria" w:eastAsia="Times New Roman" w:hAnsi="Cambria" w:cs="Calibri"/>
                <w:b/>
                <w:bCs/>
                <w:color w:val="FFFFFF" w:themeColor="background1"/>
                <w:kern w:val="0"/>
                <w:sz w:val="20"/>
                <w:szCs w:val="20"/>
                <w14:ligatures w14:val="none"/>
              </w:rPr>
            </w:pPr>
            <w:r w:rsidRPr="00CD1C20">
              <w:rPr>
                <w:rFonts w:ascii="Cambria" w:hAnsi="Cambria"/>
                <w:b/>
                <w:bCs/>
                <w:color w:val="FFFFFF" w:themeColor="background1"/>
                <w:sz w:val="20"/>
                <w:szCs w:val="20"/>
              </w:rPr>
              <w:t>Critère</w:t>
            </w:r>
          </w:p>
        </w:tc>
        <w:tc>
          <w:tcPr>
            <w:tcW w:w="1469" w:type="dxa"/>
            <w:shd w:val="clear" w:color="auto" w:fill="000000" w:themeFill="text1"/>
            <w:vAlign w:val="center"/>
            <w:hideMark/>
          </w:tcPr>
          <w:p w14:paraId="11499A4B" w14:textId="77777777" w:rsidR="000A4659" w:rsidRPr="00CD1C20" w:rsidRDefault="000A4659" w:rsidP="0020557A">
            <w:pPr>
              <w:spacing w:after="0" w:line="240" w:lineRule="auto"/>
              <w:rPr>
                <w:rFonts w:ascii="Cambria" w:eastAsia="Times New Roman" w:hAnsi="Cambria" w:cs="Calibri"/>
                <w:b/>
                <w:bCs/>
                <w:color w:val="FFFFFF" w:themeColor="background1"/>
                <w:kern w:val="0"/>
                <w:sz w:val="20"/>
                <w:szCs w:val="20"/>
                <w14:ligatures w14:val="none"/>
              </w:rPr>
            </w:pPr>
            <w:r w:rsidRPr="00CD1C20">
              <w:rPr>
                <w:rFonts w:ascii="Cambria" w:hAnsi="Cambria"/>
                <w:b/>
                <w:bCs/>
                <w:color w:val="FFFFFF" w:themeColor="background1"/>
                <w:sz w:val="20"/>
                <w:szCs w:val="20"/>
              </w:rPr>
              <w:t>Options</w:t>
            </w:r>
          </w:p>
        </w:tc>
        <w:tc>
          <w:tcPr>
            <w:tcW w:w="10605" w:type="dxa"/>
            <w:shd w:val="clear" w:color="auto" w:fill="000000" w:themeFill="text1"/>
            <w:vAlign w:val="center"/>
            <w:hideMark/>
          </w:tcPr>
          <w:p w14:paraId="4FB0ED5D" w14:textId="77777777" w:rsidR="000A4659" w:rsidRPr="00CD1C20" w:rsidRDefault="000A4659" w:rsidP="0020557A">
            <w:pPr>
              <w:spacing w:after="0" w:line="240" w:lineRule="auto"/>
              <w:rPr>
                <w:rFonts w:ascii="Cambria" w:eastAsia="Times New Roman" w:hAnsi="Cambria" w:cs="Calibri"/>
                <w:b/>
                <w:bCs/>
                <w:color w:val="FFFFFF" w:themeColor="background1"/>
                <w:kern w:val="0"/>
                <w:sz w:val="20"/>
                <w:szCs w:val="20"/>
                <w14:ligatures w14:val="none"/>
              </w:rPr>
            </w:pPr>
            <w:r w:rsidRPr="00CD1C20">
              <w:rPr>
                <w:rFonts w:ascii="Cambria" w:hAnsi="Cambria"/>
                <w:b/>
                <w:bCs/>
                <w:color w:val="FFFFFF" w:themeColor="background1"/>
                <w:sz w:val="20"/>
                <w:szCs w:val="20"/>
              </w:rPr>
              <w:t>Observations</w:t>
            </w:r>
          </w:p>
        </w:tc>
      </w:tr>
      <w:tr w:rsidR="000A4659" w:rsidRPr="00CD1C20" w14:paraId="68D7B869" w14:textId="77777777" w:rsidTr="006C2BDB">
        <w:trPr>
          <w:trHeight w:val="288"/>
        </w:trPr>
        <w:tc>
          <w:tcPr>
            <w:tcW w:w="14147" w:type="dxa"/>
            <w:gridSpan w:val="4"/>
            <w:shd w:val="clear" w:color="auto" w:fill="D9D9D9" w:themeFill="background1" w:themeFillShade="D9"/>
            <w:noWrap/>
            <w:vAlign w:val="center"/>
            <w:hideMark/>
          </w:tcPr>
          <w:p w14:paraId="38F9F924" w14:textId="5EEC9A5E" w:rsidR="000A4659" w:rsidRPr="00CD1C20" w:rsidRDefault="000A4659" w:rsidP="0020557A">
            <w:pPr>
              <w:spacing w:after="0" w:line="240" w:lineRule="auto"/>
              <w:rPr>
                <w:rFonts w:ascii="Cambria" w:eastAsia="Times New Roman" w:hAnsi="Cambria" w:cs="Times New Roman"/>
                <w:b/>
                <w:bCs/>
                <w:kern w:val="0"/>
                <w:sz w:val="20"/>
                <w:szCs w:val="20"/>
                <w14:ligatures w14:val="none"/>
              </w:rPr>
            </w:pPr>
            <w:r w:rsidRPr="00CD1C20">
              <w:rPr>
                <w:rFonts w:ascii="Cambria" w:hAnsi="Cambria"/>
                <w:b/>
                <w:bCs/>
                <w:color w:val="000000"/>
                <w:sz w:val="20"/>
                <w:szCs w:val="20"/>
              </w:rPr>
              <w:t>MODALITÉS DE PARTAGE ET ADÉQUATION FONCTIONNELLE</w:t>
            </w:r>
          </w:p>
        </w:tc>
      </w:tr>
      <w:tr w:rsidR="000A4659" w:rsidRPr="00CD1C20" w14:paraId="4515B2E7" w14:textId="77777777" w:rsidTr="001956BB">
        <w:trPr>
          <w:gridAfter w:val="1"/>
          <w:wAfter w:w="8" w:type="dxa"/>
          <w:trHeight w:val="678"/>
        </w:trPr>
        <w:tc>
          <w:tcPr>
            <w:tcW w:w="2065" w:type="dxa"/>
            <w:vMerge w:val="restart"/>
            <w:noWrap/>
            <w:vAlign w:val="center"/>
            <w:hideMark/>
          </w:tcPr>
          <w:p w14:paraId="4A18980E" w14:textId="0DE6CFAA" w:rsidR="000A4659" w:rsidRPr="00CD1C20" w:rsidRDefault="00FE4207" w:rsidP="0020557A">
            <w:pPr>
              <w:spacing w:after="0" w:line="240" w:lineRule="auto"/>
              <w:rPr>
                <w:rFonts w:ascii="Cambria" w:eastAsia="Times New Roman" w:hAnsi="Cambria" w:cs="Times New Roman"/>
                <w:kern w:val="0"/>
                <w:sz w:val="20"/>
                <w:szCs w:val="20"/>
                <w14:ligatures w14:val="none"/>
              </w:rPr>
            </w:pPr>
            <w:r w:rsidRPr="00CD1C20">
              <w:rPr>
                <w:rFonts w:ascii="Cambria" w:hAnsi="Cambria"/>
                <w:sz w:val="20"/>
                <w:szCs w:val="20"/>
              </w:rPr>
              <w:t>Modalités de partage</w:t>
            </w:r>
          </w:p>
        </w:tc>
        <w:tc>
          <w:tcPr>
            <w:tcW w:w="1469" w:type="dxa"/>
            <w:noWrap/>
            <w:vAlign w:val="center"/>
            <w:hideMark/>
          </w:tcPr>
          <w:p w14:paraId="2C8E4035" w14:textId="3073807B" w:rsidR="000A4659" w:rsidRPr="00CD1C20" w:rsidRDefault="00AF7751" w:rsidP="0020557A">
            <w:pPr>
              <w:spacing w:after="0" w:line="240" w:lineRule="auto"/>
              <w:jc w:val="center"/>
              <w:rPr>
                <w:rFonts w:ascii="Cambria" w:eastAsia="Times New Roman" w:hAnsi="Cambria" w:cs="Calibri"/>
                <w:color w:val="000000"/>
                <w:kern w:val="0"/>
                <w:sz w:val="20"/>
                <w:szCs w:val="20"/>
                <w14:ligatures w14:val="none"/>
              </w:rPr>
            </w:pPr>
            <w:r w:rsidRPr="00CD1C20">
              <w:rPr>
                <w:rFonts w:ascii="Cambria" w:hAnsi="Cambria"/>
                <w:sz w:val="20"/>
                <w:szCs w:val="20"/>
              </w:rPr>
              <w:t>GIES de la FAO</w:t>
            </w:r>
          </w:p>
        </w:tc>
        <w:tc>
          <w:tcPr>
            <w:tcW w:w="10605" w:type="dxa"/>
            <w:vAlign w:val="center"/>
            <w:hideMark/>
          </w:tcPr>
          <w:p w14:paraId="6841F30A" w14:textId="0DED91CA" w:rsidR="000A4659" w:rsidRPr="00CD1C20" w:rsidRDefault="000A4659" w:rsidP="001956BB">
            <w:pPr>
              <w:spacing w:before="120" w:after="12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La FAO mettrait une version du GIES à la disposition de l’ICCAT et se chargerait de sa personnalisation de base</w:t>
            </w:r>
            <w:r w:rsidR="009B5CAA" w:rsidRPr="00CD1C20">
              <w:rPr>
                <w:rFonts w:ascii="Cambria" w:hAnsi="Cambria"/>
                <w:color w:val="000000"/>
                <w:sz w:val="20"/>
                <w:szCs w:val="20"/>
              </w:rPr>
              <w:t xml:space="preserve">. </w:t>
            </w:r>
            <w:proofErr w:type="gramStart"/>
            <w:r w:rsidRPr="00CD1C20">
              <w:rPr>
                <w:rFonts w:ascii="Cambria" w:hAnsi="Cambria"/>
                <w:color w:val="000000"/>
                <w:sz w:val="20"/>
                <w:szCs w:val="20"/>
              </w:rPr>
              <w:t>Après</w:t>
            </w:r>
            <w:proofErr w:type="gramEnd"/>
            <w:r w:rsidRPr="00CD1C20">
              <w:rPr>
                <w:rFonts w:ascii="Cambria" w:hAnsi="Cambria"/>
                <w:color w:val="000000"/>
                <w:sz w:val="20"/>
                <w:szCs w:val="20"/>
              </w:rPr>
              <w:t xml:space="preserve"> la transmission du code, l’ICCAT sera entièrement responsable du déploiement, de l’hébergement, de la personnalisation supplémentaire, de la maintenance et du développement du système. La FAO ne s’attacherait qu’à apporter une assistance technique dans la mesure du possible.</w:t>
            </w:r>
          </w:p>
        </w:tc>
      </w:tr>
      <w:tr w:rsidR="000A4659" w:rsidRPr="00CD1C20" w14:paraId="000315E7" w14:textId="77777777" w:rsidTr="00AF7751">
        <w:trPr>
          <w:gridAfter w:val="1"/>
          <w:wAfter w:w="8" w:type="dxa"/>
          <w:trHeight w:val="323"/>
        </w:trPr>
        <w:tc>
          <w:tcPr>
            <w:tcW w:w="2065" w:type="dxa"/>
            <w:vMerge/>
            <w:noWrap/>
            <w:vAlign w:val="center"/>
            <w:hideMark/>
          </w:tcPr>
          <w:p w14:paraId="1A39A1FC" w14:textId="77777777" w:rsidR="000A4659" w:rsidRPr="00CD1C20" w:rsidRDefault="000A4659" w:rsidP="0020557A">
            <w:pPr>
              <w:spacing w:after="0" w:line="240" w:lineRule="auto"/>
              <w:rPr>
                <w:rFonts w:ascii="Cambria" w:eastAsia="Times New Roman" w:hAnsi="Cambria" w:cs="Times New Roman"/>
                <w:kern w:val="0"/>
                <w:sz w:val="20"/>
                <w:szCs w:val="20"/>
                <w14:ligatures w14:val="none"/>
              </w:rPr>
            </w:pPr>
          </w:p>
        </w:tc>
        <w:tc>
          <w:tcPr>
            <w:tcW w:w="1469" w:type="dxa"/>
            <w:noWrap/>
            <w:vAlign w:val="center"/>
            <w:hideMark/>
          </w:tcPr>
          <w:p w14:paraId="3007F7EC" w14:textId="0394A35E" w:rsidR="000A4659" w:rsidRPr="00CD1C20" w:rsidRDefault="00AF7751" w:rsidP="00B6319D">
            <w:pPr>
              <w:spacing w:after="0" w:line="240" w:lineRule="auto"/>
              <w:jc w:val="both"/>
              <w:rPr>
                <w:rFonts w:ascii="Cambria" w:eastAsia="Times New Roman" w:hAnsi="Cambria" w:cs="Calibri"/>
                <w:color w:val="000000"/>
                <w:kern w:val="0"/>
                <w:sz w:val="20"/>
                <w:szCs w:val="20"/>
                <w14:ligatures w14:val="none"/>
              </w:rPr>
            </w:pPr>
            <w:proofErr w:type="gramStart"/>
            <w:r w:rsidRPr="00CD1C20">
              <w:rPr>
                <w:rFonts w:ascii="Cambria" w:hAnsi="Cambria"/>
                <w:sz w:val="20"/>
                <w:szCs w:val="20"/>
              </w:rPr>
              <w:t>e</w:t>
            </w:r>
            <w:proofErr w:type="gramEnd"/>
            <w:r w:rsidRPr="00CD1C20">
              <w:rPr>
                <w:rFonts w:ascii="Cambria" w:hAnsi="Cambria"/>
                <w:sz w:val="20"/>
                <w:szCs w:val="20"/>
              </w:rPr>
              <w:t>-</w:t>
            </w:r>
            <w:proofErr w:type="spellStart"/>
            <w:r w:rsidRPr="00CD1C20">
              <w:rPr>
                <w:rFonts w:ascii="Cambria" w:hAnsi="Cambria"/>
                <w:sz w:val="20"/>
                <w:szCs w:val="20"/>
              </w:rPr>
              <w:t>PSM</w:t>
            </w:r>
            <w:proofErr w:type="spellEnd"/>
            <w:r w:rsidRPr="00CD1C20">
              <w:rPr>
                <w:rFonts w:ascii="Cambria" w:hAnsi="Cambria"/>
                <w:sz w:val="20"/>
                <w:szCs w:val="20"/>
              </w:rPr>
              <w:t xml:space="preserve"> de la CTOI</w:t>
            </w:r>
          </w:p>
        </w:tc>
        <w:tc>
          <w:tcPr>
            <w:tcW w:w="10605" w:type="dxa"/>
            <w:vAlign w:val="center"/>
            <w:hideMark/>
          </w:tcPr>
          <w:p w14:paraId="3CBED521" w14:textId="218D07F3" w:rsidR="000A4659" w:rsidRPr="00CD1C20" w:rsidRDefault="000A4659" w:rsidP="0083684F">
            <w:pPr>
              <w:spacing w:before="120" w:after="12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La modalité proposée par la CTOI prévoit la transmission d'une version de l’e-</w:t>
            </w:r>
            <w:proofErr w:type="spellStart"/>
            <w:r w:rsidRPr="00CD1C20">
              <w:rPr>
                <w:rFonts w:ascii="Cambria" w:hAnsi="Cambria"/>
                <w:color w:val="000000"/>
                <w:sz w:val="20"/>
                <w:szCs w:val="20"/>
              </w:rPr>
              <w:t>PSM</w:t>
            </w:r>
            <w:proofErr w:type="spellEnd"/>
            <w:r w:rsidRPr="00CD1C20">
              <w:rPr>
                <w:rFonts w:ascii="Cambria" w:hAnsi="Cambria"/>
                <w:color w:val="000000"/>
                <w:sz w:val="20"/>
                <w:szCs w:val="20"/>
              </w:rPr>
              <w:t>. Tous les coûts consécutifs seraient assumés par l’ICCAT car la CTOI ne s’engage pas à couvrir les coûts.</w:t>
            </w:r>
          </w:p>
        </w:tc>
      </w:tr>
      <w:tr w:rsidR="00AF7751" w:rsidRPr="00CD1C20" w14:paraId="70D7CC88" w14:textId="77777777" w:rsidTr="00AF7751">
        <w:trPr>
          <w:gridAfter w:val="1"/>
          <w:wAfter w:w="8" w:type="dxa"/>
          <w:trHeight w:val="288"/>
        </w:trPr>
        <w:tc>
          <w:tcPr>
            <w:tcW w:w="2065" w:type="dxa"/>
            <w:vMerge w:val="restart"/>
            <w:noWrap/>
            <w:vAlign w:val="center"/>
            <w:hideMark/>
          </w:tcPr>
          <w:p w14:paraId="766CB0C8" w14:textId="77777777" w:rsidR="00AF7751" w:rsidRPr="00CD1C20" w:rsidRDefault="00AF7751" w:rsidP="00AF7751">
            <w:pPr>
              <w:spacing w:after="0" w:line="240" w:lineRule="auto"/>
              <w:rPr>
                <w:rFonts w:ascii="Cambria" w:eastAsia="Times New Roman" w:hAnsi="Cambria" w:cs="Calibri"/>
                <w:kern w:val="0"/>
                <w:sz w:val="20"/>
                <w:szCs w:val="20"/>
                <w14:ligatures w14:val="none"/>
              </w:rPr>
            </w:pPr>
            <w:r w:rsidRPr="00CD1C20">
              <w:rPr>
                <w:rFonts w:ascii="Cambria" w:hAnsi="Cambria"/>
                <w:sz w:val="20"/>
                <w:szCs w:val="20"/>
              </w:rPr>
              <w:t>Couverture fonctionnelle</w:t>
            </w:r>
          </w:p>
        </w:tc>
        <w:tc>
          <w:tcPr>
            <w:tcW w:w="1469" w:type="dxa"/>
            <w:noWrap/>
            <w:vAlign w:val="center"/>
            <w:hideMark/>
          </w:tcPr>
          <w:p w14:paraId="42C6EB85" w14:textId="0F58BF8B" w:rsidR="00AF7751" w:rsidRPr="00CD1C20" w:rsidRDefault="00AF7751" w:rsidP="00AF7751">
            <w:pPr>
              <w:spacing w:after="0" w:line="240" w:lineRule="auto"/>
              <w:jc w:val="center"/>
              <w:rPr>
                <w:rFonts w:ascii="Cambria" w:eastAsia="Times New Roman" w:hAnsi="Cambria" w:cs="Calibri"/>
                <w:color w:val="000000"/>
                <w:kern w:val="0"/>
                <w:sz w:val="20"/>
                <w:szCs w:val="20"/>
                <w14:ligatures w14:val="none"/>
              </w:rPr>
            </w:pPr>
            <w:r w:rsidRPr="00CD1C20">
              <w:rPr>
                <w:rFonts w:ascii="Cambria" w:hAnsi="Cambria"/>
                <w:sz w:val="20"/>
                <w:szCs w:val="20"/>
              </w:rPr>
              <w:t>GIES de la FAO</w:t>
            </w:r>
          </w:p>
        </w:tc>
        <w:tc>
          <w:tcPr>
            <w:tcW w:w="10605" w:type="dxa"/>
            <w:vAlign w:val="center"/>
            <w:hideMark/>
          </w:tcPr>
          <w:p w14:paraId="64461D1D" w14:textId="3731AD37" w:rsidR="00AF7751" w:rsidRPr="00CD1C20" w:rsidRDefault="00AF7751" w:rsidP="0083684F">
            <w:pPr>
              <w:spacing w:before="120" w:after="12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 xml:space="preserve">Le GIES offre une communication en temps opportun entre les parties prenantes concernées au sujet des points focaux nationaux et des ports désignés, des rapports d'inspection portuaire, des demandes préalables d'entrée en port (ARPE), des refus d'entrée et d'utilisation des ports, ainsi que des formulaires permettant de signaler toute mesure prise par un État du port ou un État du pavillon. Il comprend en outre d'autres fonctionnalités à l’appui de l’analyse des risques, comme le profil des navires, la fonction GIES Analytics, un service de messagerie en direct, l’UN/FLUX, des formulaires de déclaration des débarquements et des transbordements, ainsi qu'une section consacrée aux entités ayant fait l'objet d'une notification dans les formulaires publiés. </w:t>
            </w:r>
          </w:p>
        </w:tc>
      </w:tr>
      <w:tr w:rsidR="00AF7751" w:rsidRPr="00CD1C20" w14:paraId="2CF3765D" w14:textId="77777777" w:rsidTr="00AF7751">
        <w:trPr>
          <w:gridAfter w:val="1"/>
          <w:wAfter w:w="8" w:type="dxa"/>
          <w:trHeight w:val="864"/>
        </w:trPr>
        <w:tc>
          <w:tcPr>
            <w:tcW w:w="2065" w:type="dxa"/>
            <w:vMerge/>
            <w:noWrap/>
            <w:vAlign w:val="center"/>
            <w:hideMark/>
          </w:tcPr>
          <w:p w14:paraId="1A278879" w14:textId="77777777" w:rsidR="00AF7751" w:rsidRPr="00CD1C20" w:rsidRDefault="00AF7751" w:rsidP="00AF7751">
            <w:pPr>
              <w:spacing w:after="0" w:line="240" w:lineRule="auto"/>
              <w:rPr>
                <w:rFonts w:ascii="Cambria" w:eastAsia="Times New Roman" w:hAnsi="Cambria" w:cs="Calibri"/>
                <w:kern w:val="0"/>
                <w:sz w:val="20"/>
                <w:szCs w:val="20"/>
                <w14:ligatures w14:val="none"/>
              </w:rPr>
            </w:pPr>
          </w:p>
        </w:tc>
        <w:tc>
          <w:tcPr>
            <w:tcW w:w="1469" w:type="dxa"/>
            <w:noWrap/>
            <w:vAlign w:val="center"/>
            <w:hideMark/>
          </w:tcPr>
          <w:p w14:paraId="79AB3BEE" w14:textId="784C10A8" w:rsidR="00AF7751" w:rsidRPr="00CD1C20" w:rsidRDefault="00AF7751" w:rsidP="00B6319D">
            <w:pPr>
              <w:spacing w:after="0" w:line="240" w:lineRule="auto"/>
              <w:jc w:val="both"/>
              <w:rPr>
                <w:rFonts w:ascii="Cambria" w:eastAsia="Times New Roman" w:hAnsi="Cambria" w:cs="Calibri"/>
                <w:color w:val="000000"/>
                <w:kern w:val="0"/>
                <w:sz w:val="20"/>
                <w:szCs w:val="20"/>
                <w14:ligatures w14:val="none"/>
              </w:rPr>
            </w:pPr>
            <w:proofErr w:type="gramStart"/>
            <w:r w:rsidRPr="00CD1C20">
              <w:rPr>
                <w:rFonts w:ascii="Cambria" w:hAnsi="Cambria"/>
                <w:sz w:val="20"/>
                <w:szCs w:val="20"/>
              </w:rPr>
              <w:t>e</w:t>
            </w:r>
            <w:proofErr w:type="gramEnd"/>
            <w:r w:rsidRPr="00CD1C20">
              <w:rPr>
                <w:rFonts w:ascii="Cambria" w:hAnsi="Cambria"/>
                <w:sz w:val="20"/>
                <w:szCs w:val="20"/>
              </w:rPr>
              <w:t>-</w:t>
            </w:r>
            <w:proofErr w:type="spellStart"/>
            <w:r w:rsidRPr="00CD1C20">
              <w:rPr>
                <w:rFonts w:ascii="Cambria" w:hAnsi="Cambria"/>
                <w:sz w:val="20"/>
                <w:szCs w:val="20"/>
              </w:rPr>
              <w:t>PSM</w:t>
            </w:r>
            <w:proofErr w:type="spellEnd"/>
            <w:r w:rsidRPr="00CD1C20">
              <w:rPr>
                <w:rFonts w:ascii="Cambria" w:hAnsi="Cambria"/>
                <w:sz w:val="20"/>
                <w:szCs w:val="20"/>
              </w:rPr>
              <w:t xml:space="preserve"> de la CTOI</w:t>
            </w:r>
          </w:p>
        </w:tc>
        <w:tc>
          <w:tcPr>
            <w:tcW w:w="10605" w:type="dxa"/>
            <w:vAlign w:val="center"/>
            <w:hideMark/>
          </w:tcPr>
          <w:p w14:paraId="39271F95" w14:textId="2A27A512" w:rsidR="00AF7751" w:rsidRPr="00CD1C20" w:rsidRDefault="00AF7751" w:rsidP="0083684F">
            <w:pPr>
              <w:spacing w:before="120" w:after="12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Le système e-</w:t>
            </w:r>
            <w:proofErr w:type="spellStart"/>
            <w:r w:rsidRPr="00CD1C20">
              <w:rPr>
                <w:rFonts w:ascii="Cambria" w:hAnsi="Cambria"/>
                <w:color w:val="000000"/>
                <w:sz w:val="20"/>
                <w:szCs w:val="20"/>
              </w:rPr>
              <w:t>PSM</w:t>
            </w:r>
            <w:proofErr w:type="spellEnd"/>
            <w:r w:rsidRPr="00CD1C20">
              <w:rPr>
                <w:rFonts w:ascii="Cambria" w:hAnsi="Cambria"/>
                <w:color w:val="000000"/>
                <w:sz w:val="20"/>
                <w:szCs w:val="20"/>
              </w:rPr>
              <w:t xml:space="preserve"> de la CTOI offre un processus opérationnel pour la soumission et le traitement des ARPE, des décisions d'entrée au port, des rapports d'inspection au port, des demandes d'informations complémentaires, ainsi que des communications connexes entre les États du port, les États du pavillon et les autres utilisateurs concernés. De plus, le système e-</w:t>
            </w:r>
            <w:proofErr w:type="spellStart"/>
            <w:r w:rsidRPr="00CD1C20">
              <w:rPr>
                <w:rFonts w:ascii="Cambria" w:hAnsi="Cambria"/>
                <w:color w:val="000000"/>
                <w:sz w:val="20"/>
                <w:szCs w:val="20"/>
              </w:rPr>
              <w:t>PSM</w:t>
            </w:r>
            <w:proofErr w:type="spellEnd"/>
            <w:r w:rsidRPr="00CD1C20">
              <w:rPr>
                <w:rFonts w:ascii="Cambria" w:hAnsi="Cambria"/>
                <w:color w:val="000000"/>
                <w:sz w:val="20"/>
                <w:szCs w:val="20"/>
              </w:rPr>
              <w:t xml:space="preserve"> de la CTOI intègre des formulaires de débarquement et de transbordement ainsi que des fonctionnalités telles que l'évaluation préliminaire des risques et une application de rapports d'inspection portuaire hors ligne qui permet aux inspecteurs portuaires de numériser et de transmettre les rapports d’inspection au port par voie électronique.</w:t>
            </w:r>
          </w:p>
        </w:tc>
      </w:tr>
      <w:tr w:rsidR="00AF7751" w:rsidRPr="00CD1C20" w14:paraId="3C1B2A17" w14:textId="77777777" w:rsidTr="00AF7751">
        <w:trPr>
          <w:gridAfter w:val="1"/>
          <w:wAfter w:w="8" w:type="dxa"/>
          <w:trHeight w:val="288"/>
        </w:trPr>
        <w:tc>
          <w:tcPr>
            <w:tcW w:w="2065" w:type="dxa"/>
            <w:vMerge w:val="restart"/>
            <w:noWrap/>
            <w:vAlign w:val="center"/>
            <w:hideMark/>
          </w:tcPr>
          <w:p w14:paraId="1F08AF4A" w14:textId="77777777" w:rsidR="00AF7751" w:rsidRPr="00CD1C20" w:rsidRDefault="00AF7751" w:rsidP="00AF7751">
            <w:pPr>
              <w:spacing w:after="0" w:line="240" w:lineRule="auto"/>
              <w:rPr>
                <w:rFonts w:ascii="Cambria" w:eastAsia="Times New Roman" w:hAnsi="Cambria" w:cs="Calibri"/>
                <w:kern w:val="0"/>
                <w:sz w:val="20"/>
                <w:szCs w:val="20"/>
                <w14:ligatures w14:val="none"/>
              </w:rPr>
            </w:pPr>
            <w:r w:rsidRPr="00CD1C20">
              <w:rPr>
                <w:rFonts w:ascii="Cambria" w:hAnsi="Cambria"/>
                <w:sz w:val="20"/>
                <w:szCs w:val="20"/>
              </w:rPr>
              <w:t>Technologie / architecture</w:t>
            </w:r>
          </w:p>
        </w:tc>
        <w:tc>
          <w:tcPr>
            <w:tcW w:w="1469" w:type="dxa"/>
            <w:noWrap/>
            <w:vAlign w:val="center"/>
            <w:hideMark/>
          </w:tcPr>
          <w:p w14:paraId="2B3978C9" w14:textId="0C47CA5E" w:rsidR="00AF7751" w:rsidRPr="00CD1C20" w:rsidRDefault="00AF7751" w:rsidP="00AF7751">
            <w:pPr>
              <w:spacing w:after="0" w:line="240" w:lineRule="auto"/>
              <w:jc w:val="center"/>
              <w:rPr>
                <w:rFonts w:ascii="Cambria" w:eastAsia="Times New Roman" w:hAnsi="Cambria" w:cs="Calibri"/>
                <w:color w:val="000000"/>
                <w:kern w:val="0"/>
                <w:sz w:val="20"/>
                <w:szCs w:val="20"/>
                <w14:ligatures w14:val="none"/>
              </w:rPr>
            </w:pPr>
            <w:r w:rsidRPr="00CD1C20">
              <w:rPr>
                <w:rFonts w:ascii="Cambria" w:hAnsi="Cambria"/>
                <w:sz w:val="20"/>
                <w:szCs w:val="20"/>
              </w:rPr>
              <w:t>GIES de la FAO</w:t>
            </w:r>
          </w:p>
        </w:tc>
        <w:tc>
          <w:tcPr>
            <w:tcW w:w="10605" w:type="dxa"/>
            <w:vAlign w:val="center"/>
            <w:hideMark/>
          </w:tcPr>
          <w:p w14:paraId="56DB74C2" w14:textId="63D80A5D" w:rsidR="00AF7751" w:rsidRPr="00CD1C20" w:rsidRDefault="00AF7751" w:rsidP="0083684F">
            <w:pPr>
              <w:spacing w:before="120" w:after="12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 xml:space="preserve">La pile technologique du GIES présente une structure </w:t>
            </w:r>
            <w:proofErr w:type="spellStart"/>
            <w:r w:rsidRPr="00CD1C20">
              <w:rPr>
                <w:rFonts w:ascii="Cambria" w:hAnsi="Cambria"/>
                <w:color w:val="000000"/>
                <w:sz w:val="20"/>
                <w:szCs w:val="20"/>
              </w:rPr>
              <w:t>back-end</w:t>
            </w:r>
            <w:proofErr w:type="spellEnd"/>
            <w:r w:rsidRPr="00CD1C20">
              <w:rPr>
                <w:rFonts w:ascii="Cambria" w:hAnsi="Cambria"/>
                <w:color w:val="000000"/>
                <w:sz w:val="20"/>
                <w:szCs w:val="20"/>
              </w:rPr>
              <w:t>/</w:t>
            </w:r>
            <w:proofErr w:type="spellStart"/>
            <w:r w:rsidRPr="00CD1C20">
              <w:rPr>
                <w:rFonts w:ascii="Cambria" w:hAnsi="Cambria"/>
                <w:color w:val="000000"/>
                <w:sz w:val="20"/>
                <w:szCs w:val="20"/>
              </w:rPr>
              <w:t>front-end</w:t>
            </w:r>
            <w:proofErr w:type="spellEnd"/>
            <w:r w:rsidRPr="00CD1C20">
              <w:rPr>
                <w:rFonts w:ascii="Cambria" w:hAnsi="Cambria"/>
                <w:color w:val="000000"/>
                <w:sz w:val="20"/>
                <w:szCs w:val="20"/>
              </w:rPr>
              <w:t xml:space="preserve"> claire, reposant sur des technologies modernes, stables et largement utilisées, ainsi que sur une base de données relationnelle standard bénéficiant d'un bon support technique. Il offre une large prise en charge multilingue, une interface de programmation d'applications (API) et la prise en charge de l’UN/FLUX pour assurer l'interopérabilité. Bien que son architecture « modulaire-monolithique » soit plus facile à déployer, à entretenir et à gérer, elle peut offrir moins de flexibilité qu'un système entièrement découplé.</w:t>
            </w:r>
          </w:p>
        </w:tc>
      </w:tr>
      <w:tr w:rsidR="00AF7751" w:rsidRPr="00CD1C20" w14:paraId="4226BD92" w14:textId="77777777" w:rsidTr="00AF7751">
        <w:trPr>
          <w:gridAfter w:val="1"/>
          <w:wAfter w:w="8" w:type="dxa"/>
          <w:trHeight w:val="288"/>
        </w:trPr>
        <w:tc>
          <w:tcPr>
            <w:tcW w:w="2065" w:type="dxa"/>
            <w:vMerge/>
            <w:noWrap/>
            <w:vAlign w:val="center"/>
            <w:hideMark/>
          </w:tcPr>
          <w:p w14:paraId="722D73DB" w14:textId="77777777" w:rsidR="00AF7751" w:rsidRPr="00CD1C20" w:rsidRDefault="00AF7751" w:rsidP="00AF7751">
            <w:pPr>
              <w:spacing w:after="0" w:line="240" w:lineRule="auto"/>
              <w:rPr>
                <w:rFonts w:ascii="Cambria" w:eastAsia="Times New Roman" w:hAnsi="Cambria" w:cs="Times New Roman"/>
                <w:kern w:val="0"/>
                <w:sz w:val="20"/>
                <w:szCs w:val="20"/>
                <w14:ligatures w14:val="none"/>
              </w:rPr>
            </w:pPr>
          </w:p>
        </w:tc>
        <w:tc>
          <w:tcPr>
            <w:tcW w:w="1469" w:type="dxa"/>
            <w:noWrap/>
            <w:vAlign w:val="center"/>
            <w:hideMark/>
          </w:tcPr>
          <w:p w14:paraId="54C29B02" w14:textId="1E351973" w:rsidR="00AF7751" w:rsidRPr="00CD1C20" w:rsidRDefault="00AF7751" w:rsidP="00FE7653">
            <w:pPr>
              <w:spacing w:after="0" w:line="240" w:lineRule="auto"/>
              <w:jc w:val="both"/>
              <w:rPr>
                <w:rFonts w:ascii="Cambria" w:eastAsia="Times New Roman" w:hAnsi="Cambria" w:cs="Calibri"/>
                <w:color w:val="000000"/>
                <w:kern w:val="0"/>
                <w:sz w:val="20"/>
                <w:szCs w:val="20"/>
                <w14:ligatures w14:val="none"/>
              </w:rPr>
            </w:pPr>
            <w:proofErr w:type="gramStart"/>
            <w:r w:rsidRPr="00CD1C20">
              <w:rPr>
                <w:rFonts w:ascii="Cambria" w:hAnsi="Cambria"/>
                <w:sz w:val="20"/>
                <w:szCs w:val="20"/>
              </w:rPr>
              <w:t>e</w:t>
            </w:r>
            <w:proofErr w:type="gramEnd"/>
            <w:r w:rsidRPr="00CD1C20">
              <w:rPr>
                <w:rFonts w:ascii="Cambria" w:hAnsi="Cambria"/>
                <w:sz w:val="20"/>
                <w:szCs w:val="20"/>
              </w:rPr>
              <w:t>-</w:t>
            </w:r>
            <w:proofErr w:type="spellStart"/>
            <w:r w:rsidRPr="00CD1C20">
              <w:rPr>
                <w:rFonts w:ascii="Cambria" w:hAnsi="Cambria"/>
                <w:sz w:val="20"/>
                <w:szCs w:val="20"/>
              </w:rPr>
              <w:t>PSM</w:t>
            </w:r>
            <w:proofErr w:type="spellEnd"/>
            <w:r w:rsidRPr="00CD1C20">
              <w:rPr>
                <w:rFonts w:ascii="Cambria" w:hAnsi="Cambria"/>
                <w:sz w:val="20"/>
                <w:szCs w:val="20"/>
              </w:rPr>
              <w:t xml:space="preserve"> de la CTOI</w:t>
            </w:r>
          </w:p>
        </w:tc>
        <w:tc>
          <w:tcPr>
            <w:tcW w:w="10605" w:type="dxa"/>
            <w:vAlign w:val="center"/>
            <w:hideMark/>
          </w:tcPr>
          <w:p w14:paraId="48C17EB5" w14:textId="39657E99" w:rsidR="00AF7751" w:rsidRPr="00CD1C20" w:rsidRDefault="00AF7751" w:rsidP="0083684F">
            <w:pPr>
              <w:spacing w:before="120" w:after="12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L'option e-</w:t>
            </w:r>
            <w:proofErr w:type="spellStart"/>
            <w:r w:rsidRPr="00CD1C20">
              <w:rPr>
                <w:rFonts w:ascii="Cambria" w:hAnsi="Cambria"/>
                <w:color w:val="000000"/>
                <w:sz w:val="20"/>
                <w:szCs w:val="20"/>
              </w:rPr>
              <w:t>PSM</w:t>
            </w:r>
            <w:proofErr w:type="spellEnd"/>
            <w:r w:rsidRPr="00CD1C20">
              <w:rPr>
                <w:rFonts w:ascii="Cambria" w:hAnsi="Cambria"/>
                <w:color w:val="000000"/>
                <w:sz w:val="20"/>
                <w:szCs w:val="20"/>
              </w:rPr>
              <w:t xml:space="preserve"> de la CTOI reste techniquement valable et a atteint sa maturité opérationnelle. Il présente d'importants atouts pratiques, notamment son processus de bout en bout pour les organisations régionales de gestion des pêches (</w:t>
            </w:r>
            <w:proofErr w:type="spellStart"/>
            <w:r w:rsidRPr="00CD1C20">
              <w:rPr>
                <w:rFonts w:ascii="Cambria" w:hAnsi="Cambria"/>
                <w:color w:val="000000"/>
                <w:sz w:val="20"/>
                <w:szCs w:val="20"/>
              </w:rPr>
              <w:t>ORGP</w:t>
            </w:r>
            <w:proofErr w:type="spellEnd"/>
            <w:r w:rsidRPr="00CD1C20">
              <w:rPr>
                <w:rFonts w:ascii="Cambria" w:hAnsi="Cambria"/>
                <w:color w:val="000000"/>
                <w:sz w:val="20"/>
                <w:szCs w:val="20"/>
              </w:rPr>
              <w:t xml:space="preserve">), ses faibles besoins en infrastructure et son application mobile permettant d'effectuer des inspections hors ligne. Cependant, son architecture est plus traditionnelle, plus monolithique, moins clairement axée sur les API et moins flexible </w:t>
            </w:r>
            <w:r w:rsidRPr="00CD1C20">
              <w:rPr>
                <w:rFonts w:ascii="Cambria" w:hAnsi="Cambria"/>
                <w:color w:val="000000"/>
                <w:sz w:val="20"/>
                <w:szCs w:val="20"/>
              </w:rPr>
              <w:lastRenderedPageBreak/>
              <w:t>en vue d'une personnalisation future. Elle peut néanmoins s'avérer fiable et plus facile à mettre en œuvre dans des environnements où la connectivité ou les ressources sont limitées.</w:t>
            </w:r>
          </w:p>
        </w:tc>
      </w:tr>
      <w:tr w:rsidR="00AF7751" w:rsidRPr="00CD1C20" w14:paraId="5EB6D07E" w14:textId="77777777" w:rsidTr="00AF7751">
        <w:trPr>
          <w:gridAfter w:val="1"/>
          <w:wAfter w:w="8" w:type="dxa"/>
          <w:trHeight w:val="288"/>
        </w:trPr>
        <w:tc>
          <w:tcPr>
            <w:tcW w:w="2065" w:type="dxa"/>
            <w:vMerge w:val="restart"/>
            <w:noWrap/>
            <w:vAlign w:val="center"/>
            <w:hideMark/>
          </w:tcPr>
          <w:p w14:paraId="76ED9693" w14:textId="77777777" w:rsidR="00AF7751" w:rsidRPr="00CD1C20" w:rsidRDefault="00AF7751" w:rsidP="00AF7751">
            <w:pPr>
              <w:spacing w:after="0" w:line="240" w:lineRule="auto"/>
              <w:rPr>
                <w:rFonts w:ascii="Cambria" w:eastAsia="Times New Roman" w:hAnsi="Cambria" w:cs="Calibri"/>
                <w:kern w:val="0"/>
                <w:sz w:val="20"/>
                <w:szCs w:val="20"/>
                <w14:ligatures w14:val="none"/>
              </w:rPr>
            </w:pPr>
            <w:r w:rsidRPr="00CD1C20">
              <w:rPr>
                <w:rFonts w:ascii="Cambria" w:hAnsi="Cambria"/>
                <w:sz w:val="20"/>
                <w:szCs w:val="20"/>
              </w:rPr>
              <w:lastRenderedPageBreak/>
              <w:t>Intégration et interopérabilité</w:t>
            </w:r>
          </w:p>
        </w:tc>
        <w:tc>
          <w:tcPr>
            <w:tcW w:w="1469" w:type="dxa"/>
            <w:noWrap/>
            <w:vAlign w:val="center"/>
            <w:hideMark/>
          </w:tcPr>
          <w:p w14:paraId="13B66B88" w14:textId="3F421956" w:rsidR="00AF7751" w:rsidRPr="00CD1C20" w:rsidRDefault="00AF7751" w:rsidP="00AF7751">
            <w:pPr>
              <w:spacing w:after="0" w:line="240" w:lineRule="auto"/>
              <w:jc w:val="center"/>
              <w:rPr>
                <w:rFonts w:ascii="Cambria" w:eastAsia="Times New Roman" w:hAnsi="Cambria" w:cs="Calibri"/>
                <w:color w:val="000000"/>
                <w:kern w:val="0"/>
                <w:sz w:val="20"/>
                <w:szCs w:val="20"/>
                <w14:ligatures w14:val="none"/>
              </w:rPr>
            </w:pPr>
            <w:r w:rsidRPr="00CD1C20">
              <w:rPr>
                <w:rFonts w:ascii="Cambria" w:hAnsi="Cambria"/>
                <w:sz w:val="20"/>
                <w:szCs w:val="20"/>
              </w:rPr>
              <w:t>GIES de la FAO</w:t>
            </w:r>
          </w:p>
        </w:tc>
        <w:tc>
          <w:tcPr>
            <w:tcW w:w="10605" w:type="dxa"/>
            <w:vAlign w:val="center"/>
            <w:hideMark/>
          </w:tcPr>
          <w:p w14:paraId="58480A0F" w14:textId="59DD9FDE" w:rsidR="00AF7751" w:rsidRPr="00CD1C20" w:rsidRDefault="00C70334" w:rsidP="00CA48DC">
            <w:pPr>
              <w:spacing w:after="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La version personnalisée du GIES serait entièrement compatible avec le GIES de la FAO et s'y connecterait facilement via API ou FLUX, car les deux systèmes partageraient le même code source. De plus, il serait également possible d'établir un lien entre la version GIES et l'</w:t>
            </w:r>
            <w:proofErr w:type="spellStart"/>
            <w:r w:rsidRPr="00CD1C20">
              <w:rPr>
                <w:rFonts w:ascii="Cambria" w:hAnsi="Cambria"/>
                <w:color w:val="000000"/>
                <w:sz w:val="20"/>
                <w:szCs w:val="20"/>
              </w:rPr>
              <w:t>IOMS</w:t>
            </w:r>
            <w:proofErr w:type="spellEnd"/>
            <w:r w:rsidRPr="00CD1C20">
              <w:rPr>
                <w:rFonts w:ascii="Cambria" w:hAnsi="Cambria"/>
                <w:color w:val="000000"/>
                <w:sz w:val="20"/>
                <w:szCs w:val="20"/>
              </w:rPr>
              <w:t>.</w:t>
            </w:r>
          </w:p>
        </w:tc>
      </w:tr>
      <w:tr w:rsidR="00AF7751" w:rsidRPr="00CD1C20" w14:paraId="5D69A72F" w14:textId="77777777" w:rsidTr="00AF7751">
        <w:trPr>
          <w:gridAfter w:val="1"/>
          <w:wAfter w:w="8" w:type="dxa"/>
          <w:trHeight w:val="288"/>
        </w:trPr>
        <w:tc>
          <w:tcPr>
            <w:tcW w:w="2065" w:type="dxa"/>
            <w:vMerge/>
            <w:noWrap/>
            <w:vAlign w:val="center"/>
            <w:hideMark/>
          </w:tcPr>
          <w:p w14:paraId="31A04B09" w14:textId="77777777" w:rsidR="00AF7751" w:rsidRPr="00CD1C20" w:rsidRDefault="00AF7751" w:rsidP="00AF7751">
            <w:pPr>
              <w:spacing w:after="0" w:line="240" w:lineRule="auto"/>
              <w:rPr>
                <w:rFonts w:ascii="Cambria" w:eastAsia="Times New Roman" w:hAnsi="Cambria" w:cs="Times New Roman"/>
                <w:kern w:val="0"/>
                <w:sz w:val="20"/>
                <w:szCs w:val="20"/>
                <w14:ligatures w14:val="none"/>
              </w:rPr>
            </w:pPr>
          </w:p>
        </w:tc>
        <w:tc>
          <w:tcPr>
            <w:tcW w:w="1469" w:type="dxa"/>
            <w:noWrap/>
            <w:vAlign w:val="center"/>
            <w:hideMark/>
          </w:tcPr>
          <w:p w14:paraId="6D6B5D6D" w14:textId="761E0958" w:rsidR="00AF7751" w:rsidRPr="00CD1C20" w:rsidRDefault="00AF7751" w:rsidP="00FE7653">
            <w:pPr>
              <w:spacing w:after="0" w:line="240" w:lineRule="auto"/>
              <w:jc w:val="both"/>
              <w:rPr>
                <w:rFonts w:ascii="Cambria" w:eastAsia="Times New Roman" w:hAnsi="Cambria" w:cs="Calibri"/>
                <w:color w:val="000000"/>
                <w:kern w:val="0"/>
                <w:sz w:val="20"/>
                <w:szCs w:val="20"/>
                <w14:ligatures w14:val="none"/>
              </w:rPr>
            </w:pPr>
            <w:proofErr w:type="gramStart"/>
            <w:r w:rsidRPr="00CD1C20">
              <w:rPr>
                <w:rFonts w:ascii="Cambria" w:hAnsi="Cambria"/>
                <w:sz w:val="20"/>
                <w:szCs w:val="20"/>
              </w:rPr>
              <w:t>e</w:t>
            </w:r>
            <w:proofErr w:type="gramEnd"/>
            <w:r w:rsidRPr="00CD1C20">
              <w:rPr>
                <w:rFonts w:ascii="Cambria" w:hAnsi="Cambria"/>
                <w:sz w:val="20"/>
                <w:szCs w:val="20"/>
              </w:rPr>
              <w:t>-</w:t>
            </w:r>
            <w:proofErr w:type="spellStart"/>
            <w:r w:rsidRPr="00CD1C20">
              <w:rPr>
                <w:rFonts w:ascii="Cambria" w:hAnsi="Cambria"/>
                <w:sz w:val="20"/>
                <w:szCs w:val="20"/>
              </w:rPr>
              <w:t>PSM</w:t>
            </w:r>
            <w:proofErr w:type="spellEnd"/>
            <w:r w:rsidRPr="00CD1C20">
              <w:rPr>
                <w:rFonts w:ascii="Cambria" w:hAnsi="Cambria"/>
                <w:sz w:val="20"/>
                <w:szCs w:val="20"/>
              </w:rPr>
              <w:t xml:space="preserve"> de la CTOI</w:t>
            </w:r>
          </w:p>
        </w:tc>
        <w:tc>
          <w:tcPr>
            <w:tcW w:w="10605" w:type="dxa"/>
            <w:vAlign w:val="center"/>
            <w:hideMark/>
          </w:tcPr>
          <w:p w14:paraId="4AEC118A" w14:textId="0C8EF2E4" w:rsidR="00AF7751" w:rsidRPr="00CD1C20" w:rsidRDefault="00AF7751" w:rsidP="0083684F">
            <w:pPr>
              <w:spacing w:before="120" w:after="12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L'e-</w:t>
            </w:r>
            <w:proofErr w:type="spellStart"/>
            <w:r w:rsidRPr="00CD1C20">
              <w:rPr>
                <w:rFonts w:ascii="Cambria" w:hAnsi="Cambria"/>
                <w:color w:val="000000"/>
                <w:sz w:val="20"/>
                <w:szCs w:val="20"/>
              </w:rPr>
              <w:t>PSM</w:t>
            </w:r>
            <w:proofErr w:type="spellEnd"/>
            <w:r w:rsidRPr="00CD1C20">
              <w:rPr>
                <w:rFonts w:ascii="Cambria" w:hAnsi="Cambria"/>
                <w:color w:val="000000"/>
                <w:sz w:val="20"/>
                <w:szCs w:val="20"/>
              </w:rPr>
              <w:t xml:space="preserve"> de la CTOI comprend des modules d</w:t>
            </w:r>
            <w:proofErr w:type="gramStart"/>
            <w:r w:rsidRPr="00CD1C20">
              <w:rPr>
                <w:rFonts w:ascii="Cambria" w:hAnsi="Cambria"/>
                <w:color w:val="000000"/>
                <w:sz w:val="20"/>
                <w:szCs w:val="20"/>
              </w:rPr>
              <w:t>'«</w:t>
            </w:r>
            <w:proofErr w:type="gramEnd"/>
            <w:r w:rsidRPr="00CD1C20">
              <w:rPr>
                <w:rFonts w:ascii="Cambria" w:hAnsi="Cambria"/>
                <w:color w:val="000000"/>
                <w:sz w:val="20"/>
                <w:szCs w:val="20"/>
              </w:rPr>
              <w:t xml:space="preserve"> échange de données » permettant de se connecter à des systèmes externes. La version du système développée par l’ICCAT comprendra une connexion directe au système GIES de la FAO afin de faciliter l'échange structuré de données pour la déclaration opérationnelle du PSMA. Les données transmises au GIES de la FAO comprendront les rapports d'inspection portuaire, l’ARPE et les refus d'entrée au port. Une connexion à l'</w:t>
            </w:r>
            <w:proofErr w:type="spellStart"/>
            <w:r w:rsidRPr="00CD1C20">
              <w:rPr>
                <w:rFonts w:ascii="Cambria" w:hAnsi="Cambria"/>
                <w:color w:val="000000"/>
                <w:sz w:val="20"/>
                <w:szCs w:val="20"/>
              </w:rPr>
              <w:t>IOMS</w:t>
            </w:r>
            <w:proofErr w:type="spellEnd"/>
            <w:r w:rsidRPr="00CD1C20">
              <w:rPr>
                <w:rFonts w:ascii="Cambria" w:hAnsi="Cambria"/>
                <w:color w:val="000000"/>
                <w:sz w:val="20"/>
                <w:szCs w:val="20"/>
              </w:rPr>
              <w:t xml:space="preserve"> pourrait être adaptée.</w:t>
            </w:r>
          </w:p>
        </w:tc>
      </w:tr>
      <w:tr w:rsidR="000A4659" w:rsidRPr="00CD1C20" w14:paraId="1AD1F17C" w14:textId="77777777" w:rsidTr="006C2BDB">
        <w:trPr>
          <w:trHeight w:val="288"/>
        </w:trPr>
        <w:tc>
          <w:tcPr>
            <w:tcW w:w="14147" w:type="dxa"/>
            <w:gridSpan w:val="4"/>
            <w:shd w:val="clear" w:color="auto" w:fill="D9D9D9" w:themeFill="background1" w:themeFillShade="D9"/>
            <w:noWrap/>
            <w:vAlign w:val="center"/>
            <w:hideMark/>
          </w:tcPr>
          <w:p w14:paraId="38AB330B" w14:textId="3C0AE8FA" w:rsidR="000A4659" w:rsidRPr="00CD1C20" w:rsidRDefault="000A4659" w:rsidP="00B84F5D">
            <w:pPr>
              <w:spacing w:after="0" w:line="240" w:lineRule="auto"/>
              <w:jc w:val="both"/>
              <w:rPr>
                <w:rFonts w:ascii="Cambria" w:eastAsia="Times New Roman" w:hAnsi="Cambria" w:cs="Times New Roman"/>
                <w:b/>
                <w:bCs/>
                <w:kern w:val="0"/>
                <w:sz w:val="20"/>
                <w:szCs w:val="20"/>
                <w14:ligatures w14:val="none"/>
              </w:rPr>
            </w:pPr>
            <w:r w:rsidRPr="00CD1C20">
              <w:rPr>
                <w:rFonts w:ascii="Cambria" w:hAnsi="Cambria"/>
                <w:b/>
                <w:bCs/>
                <w:sz w:val="20"/>
                <w:szCs w:val="20"/>
              </w:rPr>
              <w:t>GOUVERNANCE, CONFIDENTIALITÉ</w:t>
            </w:r>
          </w:p>
        </w:tc>
      </w:tr>
      <w:tr w:rsidR="00AF7751" w:rsidRPr="00CD1C20" w14:paraId="53DF6D28" w14:textId="77777777" w:rsidTr="00AF7751">
        <w:trPr>
          <w:gridAfter w:val="1"/>
          <w:wAfter w:w="8" w:type="dxa"/>
          <w:trHeight w:val="288"/>
        </w:trPr>
        <w:tc>
          <w:tcPr>
            <w:tcW w:w="2065" w:type="dxa"/>
            <w:vMerge w:val="restart"/>
            <w:noWrap/>
            <w:vAlign w:val="center"/>
            <w:hideMark/>
          </w:tcPr>
          <w:p w14:paraId="770E060E" w14:textId="77777777" w:rsidR="00AF7751" w:rsidRPr="00CD1C20" w:rsidRDefault="00AF7751" w:rsidP="00AF7751">
            <w:pPr>
              <w:spacing w:after="0" w:line="240" w:lineRule="auto"/>
              <w:rPr>
                <w:rFonts w:ascii="Cambria" w:eastAsia="Times New Roman" w:hAnsi="Cambria" w:cs="Calibri"/>
                <w:kern w:val="0"/>
                <w:sz w:val="20"/>
                <w:szCs w:val="20"/>
                <w14:ligatures w14:val="none"/>
              </w:rPr>
            </w:pPr>
            <w:r w:rsidRPr="00CD1C20">
              <w:rPr>
                <w:rFonts w:ascii="Cambria" w:hAnsi="Cambria"/>
                <w:sz w:val="20"/>
                <w:szCs w:val="20"/>
              </w:rPr>
              <w:t>Propriété du système et des données</w:t>
            </w:r>
          </w:p>
        </w:tc>
        <w:tc>
          <w:tcPr>
            <w:tcW w:w="1469" w:type="dxa"/>
            <w:noWrap/>
            <w:vAlign w:val="center"/>
            <w:hideMark/>
          </w:tcPr>
          <w:p w14:paraId="700B43FE" w14:textId="3C0EDECC" w:rsidR="00AF7751" w:rsidRPr="00CD1C20" w:rsidRDefault="00AF7751" w:rsidP="00AF7751">
            <w:pPr>
              <w:spacing w:after="0" w:line="240" w:lineRule="auto"/>
              <w:jc w:val="center"/>
              <w:rPr>
                <w:rFonts w:ascii="Cambria" w:eastAsia="Times New Roman" w:hAnsi="Cambria" w:cs="Calibri"/>
                <w:color w:val="000000"/>
                <w:kern w:val="0"/>
                <w:sz w:val="20"/>
                <w:szCs w:val="20"/>
                <w14:ligatures w14:val="none"/>
              </w:rPr>
            </w:pPr>
            <w:r w:rsidRPr="00CD1C20">
              <w:rPr>
                <w:rFonts w:ascii="Cambria" w:hAnsi="Cambria"/>
                <w:sz w:val="20"/>
                <w:szCs w:val="20"/>
              </w:rPr>
              <w:t>GIES de la FAO</w:t>
            </w:r>
          </w:p>
        </w:tc>
        <w:tc>
          <w:tcPr>
            <w:tcW w:w="10605" w:type="dxa"/>
            <w:vAlign w:val="center"/>
            <w:hideMark/>
          </w:tcPr>
          <w:p w14:paraId="7B3C503F" w14:textId="79597A7D" w:rsidR="00AF7751" w:rsidRPr="00CD1C20" w:rsidRDefault="002F6546" w:rsidP="00FE7653">
            <w:pPr>
              <w:spacing w:after="12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 xml:space="preserve">L’ICCAT conserverait l’entière propriété de la version personnalisée du GIES. </w:t>
            </w:r>
          </w:p>
        </w:tc>
      </w:tr>
      <w:tr w:rsidR="00AF7751" w:rsidRPr="00CD1C20" w14:paraId="0714AD8F" w14:textId="77777777" w:rsidTr="00AF7751">
        <w:trPr>
          <w:gridAfter w:val="1"/>
          <w:wAfter w:w="8" w:type="dxa"/>
          <w:trHeight w:val="288"/>
        </w:trPr>
        <w:tc>
          <w:tcPr>
            <w:tcW w:w="2065" w:type="dxa"/>
            <w:vMerge/>
            <w:noWrap/>
            <w:vAlign w:val="center"/>
            <w:hideMark/>
          </w:tcPr>
          <w:p w14:paraId="60A0BBE3" w14:textId="77777777" w:rsidR="00AF7751" w:rsidRPr="00CD1C20" w:rsidRDefault="00AF7751" w:rsidP="00AF7751">
            <w:pPr>
              <w:spacing w:after="0" w:line="240" w:lineRule="auto"/>
              <w:rPr>
                <w:rFonts w:ascii="Cambria" w:eastAsia="Times New Roman" w:hAnsi="Cambria" w:cs="Calibri"/>
                <w:kern w:val="0"/>
                <w:sz w:val="20"/>
                <w:szCs w:val="20"/>
                <w14:ligatures w14:val="none"/>
              </w:rPr>
            </w:pPr>
          </w:p>
        </w:tc>
        <w:tc>
          <w:tcPr>
            <w:tcW w:w="1469" w:type="dxa"/>
            <w:noWrap/>
            <w:vAlign w:val="center"/>
            <w:hideMark/>
          </w:tcPr>
          <w:p w14:paraId="1154CD02" w14:textId="78BD019F" w:rsidR="00AF7751" w:rsidRPr="00CD1C20" w:rsidRDefault="00AF7751" w:rsidP="00FE7653">
            <w:pPr>
              <w:spacing w:after="0" w:line="240" w:lineRule="auto"/>
              <w:jc w:val="both"/>
              <w:rPr>
                <w:rFonts w:ascii="Cambria" w:eastAsia="Times New Roman" w:hAnsi="Cambria" w:cs="Calibri"/>
                <w:color w:val="000000"/>
                <w:kern w:val="0"/>
                <w:sz w:val="20"/>
                <w:szCs w:val="20"/>
                <w14:ligatures w14:val="none"/>
              </w:rPr>
            </w:pPr>
            <w:proofErr w:type="gramStart"/>
            <w:r w:rsidRPr="00CD1C20">
              <w:rPr>
                <w:rFonts w:ascii="Cambria" w:hAnsi="Cambria"/>
                <w:sz w:val="20"/>
                <w:szCs w:val="20"/>
              </w:rPr>
              <w:t>e</w:t>
            </w:r>
            <w:proofErr w:type="gramEnd"/>
            <w:r w:rsidRPr="00CD1C20">
              <w:rPr>
                <w:rFonts w:ascii="Cambria" w:hAnsi="Cambria"/>
                <w:sz w:val="20"/>
                <w:szCs w:val="20"/>
              </w:rPr>
              <w:t>-</w:t>
            </w:r>
            <w:proofErr w:type="spellStart"/>
            <w:r w:rsidRPr="00CD1C20">
              <w:rPr>
                <w:rFonts w:ascii="Cambria" w:hAnsi="Cambria"/>
                <w:sz w:val="20"/>
                <w:szCs w:val="20"/>
              </w:rPr>
              <w:t>PSM</w:t>
            </w:r>
            <w:proofErr w:type="spellEnd"/>
            <w:r w:rsidRPr="00CD1C20">
              <w:rPr>
                <w:rFonts w:ascii="Cambria" w:hAnsi="Cambria"/>
                <w:sz w:val="20"/>
                <w:szCs w:val="20"/>
              </w:rPr>
              <w:t xml:space="preserve"> de la CTOI</w:t>
            </w:r>
          </w:p>
        </w:tc>
        <w:tc>
          <w:tcPr>
            <w:tcW w:w="10605" w:type="dxa"/>
            <w:vAlign w:val="center"/>
            <w:hideMark/>
          </w:tcPr>
          <w:p w14:paraId="7D497B86" w14:textId="70E109CC" w:rsidR="00AF7751" w:rsidRPr="00CD1C20" w:rsidRDefault="00AF7751" w:rsidP="0083684F">
            <w:pPr>
              <w:spacing w:before="120" w:after="12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 xml:space="preserve">L'ICCAT conserverait l’entière propriété. </w:t>
            </w:r>
          </w:p>
        </w:tc>
      </w:tr>
      <w:tr w:rsidR="00AF7751" w:rsidRPr="00CD1C20" w14:paraId="499D9263" w14:textId="77777777" w:rsidTr="00AF7751">
        <w:trPr>
          <w:gridAfter w:val="1"/>
          <w:wAfter w:w="8" w:type="dxa"/>
          <w:trHeight w:val="288"/>
        </w:trPr>
        <w:tc>
          <w:tcPr>
            <w:tcW w:w="2065" w:type="dxa"/>
            <w:vMerge w:val="restart"/>
            <w:noWrap/>
            <w:vAlign w:val="center"/>
            <w:hideMark/>
          </w:tcPr>
          <w:p w14:paraId="6F5CAF9A" w14:textId="77777777" w:rsidR="00AF7751" w:rsidRPr="00CD1C20" w:rsidRDefault="00AF7751" w:rsidP="00AF7751">
            <w:pPr>
              <w:spacing w:after="0" w:line="240" w:lineRule="auto"/>
              <w:rPr>
                <w:rFonts w:ascii="Cambria" w:eastAsia="Times New Roman" w:hAnsi="Cambria" w:cs="Calibri"/>
                <w:kern w:val="0"/>
                <w:sz w:val="20"/>
                <w:szCs w:val="20"/>
                <w14:ligatures w14:val="none"/>
              </w:rPr>
            </w:pPr>
            <w:r w:rsidRPr="00CD1C20">
              <w:rPr>
                <w:rFonts w:ascii="Cambria" w:hAnsi="Cambria"/>
                <w:sz w:val="20"/>
                <w:szCs w:val="20"/>
              </w:rPr>
              <w:t>Confidentialité des données et normes de sécurité</w:t>
            </w:r>
          </w:p>
        </w:tc>
        <w:tc>
          <w:tcPr>
            <w:tcW w:w="1469" w:type="dxa"/>
            <w:noWrap/>
            <w:vAlign w:val="center"/>
            <w:hideMark/>
          </w:tcPr>
          <w:p w14:paraId="51C99A42" w14:textId="669A3490" w:rsidR="00AF7751" w:rsidRPr="00CD1C20" w:rsidRDefault="00AF7751" w:rsidP="00AF7751">
            <w:pPr>
              <w:spacing w:after="0" w:line="240" w:lineRule="auto"/>
              <w:jc w:val="center"/>
              <w:rPr>
                <w:rFonts w:ascii="Cambria" w:eastAsia="Times New Roman" w:hAnsi="Cambria" w:cs="Calibri"/>
                <w:color w:val="000000"/>
                <w:kern w:val="0"/>
                <w:sz w:val="20"/>
                <w:szCs w:val="20"/>
                <w14:ligatures w14:val="none"/>
              </w:rPr>
            </w:pPr>
            <w:r w:rsidRPr="00CD1C20">
              <w:rPr>
                <w:rFonts w:ascii="Cambria" w:hAnsi="Cambria"/>
                <w:sz w:val="20"/>
                <w:szCs w:val="20"/>
              </w:rPr>
              <w:t>GIES de la FAO</w:t>
            </w:r>
          </w:p>
        </w:tc>
        <w:tc>
          <w:tcPr>
            <w:tcW w:w="10605" w:type="dxa"/>
            <w:vAlign w:val="center"/>
            <w:hideMark/>
          </w:tcPr>
          <w:p w14:paraId="3E2FC4CC" w14:textId="33B481C0" w:rsidR="00AF7751" w:rsidRPr="00CD1C20" w:rsidRDefault="00AF7751" w:rsidP="0083684F">
            <w:pPr>
              <w:spacing w:before="120" w:after="12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 xml:space="preserve">Dans le système GIES de la FAO, les données transmises restent la propriété et sous le contrôle des parties prenantes qui les ont fournies et des destinataires autorisés. L'accès est basé sur </w:t>
            </w:r>
            <w:r w:rsidR="00FE7653" w:rsidRPr="00CD1C20">
              <w:rPr>
                <w:rFonts w:ascii="Cambria" w:hAnsi="Cambria"/>
                <w:color w:val="000000"/>
                <w:sz w:val="20"/>
                <w:szCs w:val="20"/>
              </w:rPr>
              <w:t>d</w:t>
            </w:r>
            <w:r w:rsidRPr="00CD1C20">
              <w:rPr>
                <w:rFonts w:ascii="Cambria" w:hAnsi="Cambria"/>
                <w:color w:val="000000"/>
                <w:sz w:val="20"/>
                <w:szCs w:val="20"/>
              </w:rPr>
              <w:t xml:space="preserve">es rôles et limité aux parties prenantes concernées. Les informations sont protégées selon le principe du « besoin de connaître » ; et les mesures de protection de la confidentialité et de la vie privée sont clairement décrites. L’ICCAT établirait les règles de gestion pour indiquer quelles entités ont le droit de soumettre et/ou de consulter les informations, qu’elles soient ou non des Parties au PSMA, et déterminerait également quelles informations sont automatiquement transmises au GIES. </w:t>
            </w:r>
          </w:p>
        </w:tc>
      </w:tr>
      <w:tr w:rsidR="00AF7751" w:rsidRPr="00CD1C20" w14:paraId="7F9C2EE6" w14:textId="77777777" w:rsidTr="00AF7751">
        <w:trPr>
          <w:gridAfter w:val="1"/>
          <w:wAfter w:w="8" w:type="dxa"/>
          <w:trHeight w:val="288"/>
        </w:trPr>
        <w:tc>
          <w:tcPr>
            <w:tcW w:w="2065" w:type="dxa"/>
            <w:vMerge/>
            <w:noWrap/>
            <w:vAlign w:val="center"/>
            <w:hideMark/>
          </w:tcPr>
          <w:p w14:paraId="1F31AB76" w14:textId="77777777" w:rsidR="00AF7751" w:rsidRPr="00CD1C20" w:rsidRDefault="00AF7751" w:rsidP="00AF7751">
            <w:pPr>
              <w:spacing w:after="0" w:line="240" w:lineRule="auto"/>
              <w:rPr>
                <w:rFonts w:ascii="Cambria" w:eastAsia="Times New Roman" w:hAnsi="Cambria" w:cs="Times New Roman"/>
                <w:kern w:val="0"/>
                <w:sz w:val="20"/>
                <w:szCs w:val="20"/>
                <w14:ligatures w14:val="none"/>
              </w:rPr>
            </w:pPr>
          </w:p>
        </w:tc>
        <w:tc>
          <w:tcPr>
            <w:tcW w:w="1469" w:type="dxa"/>
            <w:noWrap/>
            <w:vAlign w:val="center"/>
            <w:hideMark/>
          </w:tcPr>
          <w:p w14:paraId="4F8B7EA5" w14:textId="621A48E5" w:rsidR="00AF7751" w:rsidRPr="00CD1C20" w:rsidRDefault="00AF7751" w:rsidP="00FE7653">
            <w:pPr>
              <w:spacing w:after="0" w:line="240" w:lineRule="auto"/>
              <w:jc w:val="both"/>
              <w:rPr>
                <w:rFonts w:ascii="Cambria" w:eastAsia="Times New Roman" w:hAnsi="Cambria" w:cs="Calibri"/>
                <w:color w:val="000000"/>
                <w:kern w:val="0"/>
                <w:sz w:val="20"/>
                <w:szCs w:val="20"/>
                <w14:ligatures w14:val="none"/>
              </w:rPr>
            </w:pPr>
            <w:proofErr w:type="gramStart"/>
            <w:r w:rsidRPr="00CD1C20">
              <w:rPr>
                <w:rFonts w:ascii="Cambria" w:hAnsi="Cambria"/>
                <w:sz w:val="20"/>
                <w:szCs w:val="20"/>
              </w:rPr>
              <w:t>e</w:t>
            </w:r>
            <w:proofErr w:type="gramEnd"/>
            <w:r w:rsidRPr="00CD1C20">
              <w:rPr>
                <w:rFonts w:ascii="Cambria" w:hAnsi="Cambria"/>
                <w:sz w:val="20"/>
                <w:szCs w:val="20"/>
              </w:rPr>
              <w:t>-</w:t>
            </w:r>
            <w:proofErr w:type="spellStart"/>
            <w:r w:rsidRPr="00CD1C20">
              <w:rPr>
                <w:rFonts w:ascii="Cambria" w:hAnsi="Cambria"/>
                <w:sz w:val="20"/>
                <w:szCs w:val="20"/>
              </w:rPr>
              <w:t>PSM</w:t>
            </w:r>
            <w:proofErr w:type="spellEnd"/>
            <w:r w:rsidRPr="00CD1C20">
              <w:rPr>
                <w:rFonts w:ascii="Cambria" w:hAnsi="Cambria"/>
                <w:sz w:val="20"/>
                <w:szCs w:val="20"/>
              </w:rPr>
              <w:t xml:space="preserve"> de la CTOI</w:t>
            </w:r>
          </w:p>
        </w:tc>
        <w:tc>
          <w:tcPr>
            <w:tcW w:w="10605" w:type="dxa"/>
            <w:vAlign w:val="center"/>
            <w:hideMark/>
          </w:tcPr>
          <w:p w14:paraId="3586634C" w14:textId="256B6670" w:rsidR="00AF7751" w:rsidRPr="00CD1C20" w:rsidRDefault="00AF7751" w:rsidP="00FE7653">
            <w:pPr>
              <w:spacing w:before="120" w:after="12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À l'instar du système GIES de la FAO, le système e-</w:t>
            </w:r>
            <w:proofErr w:type="spellStart"/>
            <w:r w:rsidRPr="00CD1C20">
              <w:rPr>
                <w:rFonts w:ascii="Cambria" w:hAnsi="Cambria"/>
                <w:color w:val="000000"/>
                <w:sz w:val="20"/>
                <w:szCs w:val="20"/>
              </w:rPr>
              <w:t>PSM</w:t>
            </w:r>
            <w:proofErr w:type="spellEnd"/>
            <w:r w:rsidRPr="00CD1C20">
              <w:rPr>
                <w:rFonts w:ascii="Cambria" w:hAnsi="Cambria"/>
                <w:color w:val="000000"/>
                <w:sz w:val="20"/>
                <w:szCs w:val="20"/>
              </w:rPr>
              <w:t xml:space="preserve"> de la CTOI intègre un modèle d'autorisation opérationnelle dans son processus de travail, qui devra peut-être être repensé ou adapté pour l'ICCAT.</w:t>
            </w:r>
          </w:p>
        </w:tc>
      </w:tr>
      <w:tr w:rsidR="000A4659" w:rsidRPr="00CD1C20" w14:paraId="0F9F5ADA" w14:textId="77777777" w:rsidTr="006C2BDB">
        <w:trPr>
          <w:trHeight w:val="288"/>
        </w:trPr>
        <w:tc>
          <w:tcPr>
            <w:tcW w:w="14147" w:type="dxa"/>
            <w:gridSpan w:val="4"/>
            <w:shd w:val="clear" w:color="auto" w:fill="D9D9D9" w:themeFill="background1" w:themeFillShade="D9"/>
            <w:noWrap/>
            <w:vAlign w:val="center"/>
            <w:hideMark/>
          </w:tcPr>
          <w:p w14:paraId="2B5FA73B" w14:textId="3A15E99E" w:rsidR="000A4659" w:rsidRPr="00CD1C20" w:rsidRDefault="000A4659" w:rsidP="0083684F">
            <w:pPr>
              <w:spacing w:before="120" w:after="120" w:line="240" w:lineRule="auto"/>
              <w:jc w:val="both"/>
              <w:rPr>
                <w:rFonts w:ascii="Cambria" w:eastAsia="Times New Roman" w:hAnsi="Cambria" w:cs="Times New Roman"/>
                <w:b/>
                <w:bCs/>
                <w:kern w:val="0"/>
                <w:sz w:val="20"/>
                <w:szCs w:val="20"/>
                <w14:ligatures w14:val="none"/>
              </w:rPr>
            </w:pPr>
            <w:r w:rsidRPr="00CD1C20">
              <w:rPr>
                <w:rFonts w:ascii="Cambria" w:hAnsi="Cambria"/>
                <w:b/>
                <w:bCs/>
                <w:color w:val="000000"/>
                <w:sz w:val="20"/>
                <w:szCs w:val="20"/>
              </w:rPr>
              <w:t>COÛTS ET CALENDRIER</w:t>
            </w:r>
          </w:p>
        </w:tc>
      </w:tr>
      <w:tr w:rsidR="00AF7751" w:rsidRPr="00CD1C20" w14:paraId="5631A65E" w14:textId="77777777" w:rsidTr="00AF7751">
        <w:trPr>
          <w:gridAfter w:val="1"/>
          <w:wAfter w:w="8" w:type="dxa"/>
          <w:trHeight w:val="288"/>
        </w:trPr>
        <w:tc>
          <w:tcPr>
            <w:tcW w:w="2065" w:type="dxa"/>
            <w:vMerge w:val="restart"/>
            <w:noWrap/>
            <w:vAlign w:val="center"/>
            <w:hideMark/>
          </w:tcPr>
          <w:p w14:paraId="4813D1E9" w14:textId="77777777" w:rsidR="00AF7751" w:rsidRPr="00CD1C20" w:rsidRDefault="00AF7751" w:rsidP="00AF7751">
            <w:pPr>
              <w:spacing w:after="0" w:line="240" w:lineRule="auto"/>
              <w:rPr>
                <w:rFonts w:ascii="Cambria" w:eastAsia="Times New Roman" w:hAnsi="Cambria" w:cs="Calibri"/>
                <w:kern w:val="0"/>
                <w:sz w:val="20"/>
                <w:szCs w:val="20"/>
                <w14:ligatures w14:val="none"/>
              </w:rPr>
            </w:pPr>
            <w:r w:rsidRPr="00CD1C20">
              <w:rPr>
                <w:rFonts w:ascii="Cambria" w:hAnsi="Cambria"/>
                <w:sz w:val="20"/>
                <w:szCs w:val="20"/>
              </w:rPr>
              <w:t>Coût estimé de la mise en œuvre</w:t>
            </w:r>
          </w:p>
        </w:tc>
        <w:tc>
          <w:tcPr>
            <w:tcW w:w="1469" w:type="dxa"/>
            <w:noWrap/>
            <w:vAlign w:val="center"/>
            <w:hideMark/>
          </w:tcPr>
          <w:p w14:paraId="3B68C544" w14:textId="59379818" w:rsidR="00AF7751" w:rsidRPr="00CD1C20" w:rsidRDefault="00AF7751" w:rsidP="00AF7751">
            <w:pPr>
              <w:spacing w:after="0" w:line="240" w:lineRule="auto"/>
              <w:jc w:val="center"/>
              <w:rPr>
                <w:rFonts w:ascii="Cambria" w:eastAsia="Times New Roman" w:hAnsi="Cambria" w:cs="Calibri"/>
                <w:color w:val="000000"/>
                <w:kern w:val="0"/>
                <w:sz w:val="20"/>
                <w:szCs w:val="20"/>
                <w14:ligatures w14:val="none"/>
              </w:rPr>
            </w:pPr>
            <w:r w:rsidRPr="00CD1C20">
              <w:rPr>
                <w:rFonts w:ascii="Cambria" w:hAnsi="Cambria"/>
                <w:sz w:val="20"/>
                <w:szCs w:val="20"/>
              </w:rPr>
              <w:t>GIES de la FAO</w:t>
            </w:r>
          </w:p>
        </w:tc>
        <w:tc>
          <w:tcPr>
            <w:tcW w:w="10605" w:type="dxa"/>
            <w:vAlign w:val="center"/>
            <w:hideMark/>
          </w:tcPr>
          <w:p w14:paraId="3D649194" w14:textId="0361C28D" w:rsidR="00AF7751" w:rsidRPr="00CD1C20" w:rsidRDefault="00CA48DC" w:rsidP="00766741">
            <w:pPr>
              <w:spacing w:before="120" w:after="120"/>
              <w:rPr>
                <w:rFonts w:ascii="Cambria" w:eastAsia="Times New Roman" w:hAnsi="Cambria" w:cs="Calibri"/>
                <w:color w:val="000000"/>
                <w:kern w:val="0"/>
                <w:sz w:val="20"/>
                <w:szCs w:val="20"/>
                <w14:ligatures w14:val="none"/>
              </w:rPr>
            </w:pPr>
            <w:r w:rsidRPr="00CD1C20">
              <w:rPr>
                <w:rFonts w:ascii="Cambria" w:hAnsi="Cambria"/>
                <w:color w:val="000000"/>
                <w:sz w:val="20"/>
                <w:szCs w:val="20"/>
              </w:rPr>
              <w:t xml:space="preserve">Une fois le code GIES soumis et la personnalisation de base effectuée, l’ICCAT assumera tous les coûts dont le déploiement / la mise en œuvre. </w:t>
            </w:r>
          </w:p>
        </w:tc>
      </w:tr>
      <w:tr w:rsidR="00AF7751" w:rsidRPr="00CD1C20" w14:paraId="0A765448" w14:textId="77777777" w:rsidTr="00AF7751">
        <w:trPr>
          <w:gridAfter w:val="1"/>
          <w:wAfter w:w="8" w:type="dxa"/>
          <w:trHeight w:val="576"/>
        </w:trPr>
        <w:tc>
          <w:tcPr>
            <w:tcW w:w="2065" w:type="dxa"/>
            <w:vMerge/>
            <w:noWrap/>
            <w:vAlign w:val="center"/>
            <w:hideMark/>
          </w:tcPr>
          <w:p w14:paraId="23943259" w14:textId="77777777" w:rsidR="00AF7751" w:rsidRPr="00CD1C20" w:rsidRDefault="00AF7751" w:rsidP="00AF7751">
            <w:pPr>
              <w:spacing w:after="0" w:line="240" w:lineRule="auto"/>
              <w:rPr>
                <w:rFonts w:ascii="Cambria" w:eastAsia="Times New Roman" w:hAnsi="Cambria" w:cs="Calibri"/>
                <w:kern w:val="0"/>
                <w:sz w:val="20"/>
                <w:szCs w:val="20"/>
                <w14:ligatures w14:val="none"/>
              </w:rPr>
            </w:pPr>
          </w:p>
        </w:tc>
        <w:tc>
          <w:tcPr>
            <w:tcW w:w="1469" w:type="dxa"/>
            <w:noWrap/>
            <w:vAlign w:val="center"/>
            <w:hideMark/>
          </w:tcPr>
          <w:p w14:paraId="075C541B" w14:textId="58715777" w:rsidR="00AF7751" w:rsidRPr="00CD1C20" w:rsidRDefault="00AF7751" w:rsidP="00766741">
            <w:pPr>
              <w:spacing w:after="0" w:line="240" w:lineRule="auto"/>
              <w:jc w:val="both"/>
              <w:rPr>
                <w:rFonts w:ascii="Cambria" w:eastAsia="Times New Roman" w:hAnsi="Cambria" w:cs="Calibri"/>
                <w:color w:val="000000"/>
                <w:kern w:val="0"/>
                <w:sz w:val="20"/>
                <w:szCs w:val="20"/>
                <w14:ligatures w14:val="none"/>
              </w:rPr>
            </w:pPr>
            <w:proofErr w:type="gramStart"/>
            <w:r w:rsidRPr="00CD1C20">
              <w:rPr>
                <w:rFonts w:ascii="Cambria" w:hAnsi="Cambria"/>
                <w:sz w:val="20"/>
                <w:szCs w:val="20"/>
              </w:rPr>
              <w:t>e</w:t>
            </w:r>
            <w:proofErr w:type="gramEnd"/>
            <w:r w:rsidRPr="00CD1C20">
              <w:rPr>
                <w:rFonts w:ascii="Cambria" w:hAnsi="Cambria"/>
                <w:sz w:val="20"/>
                <w:szCs w:val="20"/>
              </w:rPr>
              <w:t>-</w:t>
            </w:r>
            <w:proofErr w:type="spellStart"/>
            <w:r w:rsidRPr="00CD1C20">
              <w:rPr>
                <w:rFonts w:ascii="Cambria" w:hAnsi="Cambria"/>
                <w:sz w:val="20"/>
                <w:szCs w:val="20"/>
              </w:rPr>
              <w:t>PSM</w:t>
            </w:r>
            <w:proofErr w:type="spellEnd"/>
            <w:r w:rsidRPr="00CD1C20">
              <w:rPr>
                <w:rFonts w:ascii="Cambria" w:hAnsi="Cambria"/>
                <w:sz w:val="20"/>
                <w:szCs w:val="20"/>
              </w:rPr>
              <w:t xml:space="preserve"> de la CTOI</w:t>
            </w:r>
          </w:p>
        </w:tc>
        <w:tc>
          <w:tcPr>
            <w:tcW w:w="10605" w:type="dxa"/>
            <w:vAlign w:val="center"/>
            <w:hideMark/>
          </w:tcPr>
          <w:p w14:paraId="7C134621" w14:textId="76C3A1E8" w:rsidR="00AF7751" w:rsidRPr="00CD1C20" w:rsidRDefault="00AF7751" w:rsidP="0083684F">
            <w:pPr>
              <w:spacing w:before="120" w:after="12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En ce qui concerne l'adaptation de l'e-</w:t>
            </w:r>
            <w:proofErr w:type="spellStart"/>
            <w:r w:rsidRPr="00CD1C20">
              <w:rPr>
                <w:rFonts w:ascii="Cambria" w:hAnsi="Cambria"/>
                <w:color w:val="000000"/>
                <w:sz w:val="20"/>
                <w:szCs w:val="20"/>
              </w:rPr>
              <w:t>PSM</w:t>
            </w:r>
            <w:proofErr w:type="spellEnd"/>
            <w:r w:rsidRPr="00CD1C20">
              <w:rPr>
                <w:rFonts w:ascii="Cambria" w:hAnsi="Cambria"/>
                <w:color w:val="000000"/>
                <w:sz w:val="20"/>
                <w:szCs w:val="20"/>
              </w:rPr>
              <w:t xml:space="preserve"> de la CTOI, les coûts seraient pris en charge par l’ICCAT. D'après les informations fournies, une personnalisation minimale nécessiterait environ 40 jours de travail par des consultants sur une période de 11 à 15 semaines, comprenant l'analyse et les ateliers, l'adaptation et la configuration, l'installation ainsi que la formation des principaux utilisateurs du Secrétariat.</w:t>
            </w:r>
          </w:p>
        </w:tc>
      </w:tr>
      <w:tr w:rsidR="00AF7751" w:rsidRPr="00CD1C20" w14:paraId="32F42E61" w14:textId="77777777" w:rsidTr="00AF7751">
        <w:trPr>
          <w:gridAfter w:val="1"/>
          <w:wAfter w:w="8" w:type="dxa"/>
          <w:trHeight w:val="288"/>
        </w:trPr>
        <w:tc>
          <w:tcPr>
            <w:tcW w:w="2065" w:type="dxa"/>
            <w:vMerge w:val="restart"/>
            <w:noWrap/>
            <w:vAlign w:val="center"/>
            <w:hideMark/>
          </w:tcPr>
          <w:p w14:paraId="233006BA" w14:textId="7A9A4CB8" w:rsidR="00AF7751" w:rsidRPr="00CD1C20" w:rsidRDefault="00AF7751" w:rsidP="00AF7751">
            <w:pPr>
              <w:spacing w:after="0" w:line="240" w:lineRule="auto"/>
              <w:rPr>
                <w:rFonts w:ascii="Cambria" w:eastAsia="Times New Roman" w:hAnsi="Cambria" w:cs="Calibri"/>
                <w:kern w:val="0"/>
                <w:sz w:val="20"/>
                <w:szCs w:val="20"/>
                <w14:ligatures w14:val="none"/>
              </w:rPr>
            </w:pPr>
            <w:r w:rsidRPr="00CD1C20">
              <w:rPr>
                <w:rFonts w:ascii="Cambria" w:hAnsi="Cambria"/>
                <w:sz w:val="20"/>
                <w:szCs w:val="20"/>
              </w:rPr>
              <w:lastRenderedPageBreak/>
              <w:t>Coûts annuels estimés de mise en œuvre opérationnelle et de maintenance</w:t>
            </w:r>
          </w:p>
        </w:tc>
        <w:tc>
          <w:tcPr>
            <w:tcW w:w="1469" w:type="dxa"/>
            <w:noWrap/>
            <w:vAlign w:val="center"/>
            <w:hideMark/>
          </w:tcPr>
          <w:p w14:paraId="047EE551" w14:textId="2C4A18BE" w:rsidR="00AF7751" w:rsidRPr="00CD1C20" w:rsidRDefault="00AF7751" w:rsidP="00AF7751">
            <w:pPr>
              <w:spacing w:after="0" w:line="240" w:lineRule="auto"/>
              <w:jc w:val="center"/>
              <w:rPr>
                <w:rFonts w:ascii="Cambria" w:eastAsia="Times New Roman" w:hAnsi="Cambria" w:cs="Calibri"/>
                <w:color w:val="000000"/>
                <w:kern w:val="0"/>
                <w:sz w:val="20"/>
                <w:szCs w:val="20"/>
                <w14:ligatures w14:val="none"/>
              </w:rPr>
            </w:pPr>
            <w:r w:rsidRPr="00CD1C20">
              <w:rPr>
                <w:rFonts w:ascii="Cambria" w:hAnsi="Cambria"/>
                <w:sz w:val="20"/>
                <w:szCs w:val="20"/>
              </w:rPr>
              <w:t>GIES de la FAO</w:t>
            </w:r>
          </w:p>
        </w:tc>
        <w:tc>
          <w:tcPr>
            <w:tcW w:w="10605" w:type="dxa"/>
            <w:vAlign w:val="center"/>
            <w:hideMark/>
          </w:tcPr>
          <w:p w14:paraId="132FFC71" w14:textId="0F354B92" w:rsidR="00AF7751" w:rsidRPr="00CD1C20" w:rsidRDefault="004E76CD" w:rsidP="00CA48DC">
            <w:pPr>
              <w:spacing w:before="120" w:after="12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 xml:space="preserve">L’ICCAT devrait couvrir tous les coûts. Étant donné que l’ICCAT manque de personnel et de capacité interne pour gérer la maintenance logicielle et le développement en interne, ces tâches devraient être externalisées et confiées à un prestataire externe. À cet égard, la FAO a évoqué la possibilité de recruter le développeur initial du GIES (soit directement soit par l’intermédiaire de la FAO), ce qui offrirait d’importants avantages en termes de continuité du système, d’expertise technique et de coût-efficacité. Les coûts estimés dépendraient du prestataire de services. Les frais d’hébergement dans le cloud devraient être de l’ordre de 1.000 – 2.300 USD/an. La FAO propose néanmoins de fournir gratuitement le code de toute nouvelle fonctionnalité développée après avoir fourni la version à l’ICCAT à intégrer le cas échéant. Les coûts de maintenance seraient environ de 2 jours de travail en moyenne/mois par un développeur. </w:t>
            </w:r>
          </w:p>
        </w:tc>
      </w:tr>
      <w:tr w:rsidR="00AF7751" w:rsidRPr="00CD1C20" w14:paraId="318BA62C" w14:textId="77777777" w:rsidTr="00AF7751">
        <w:trPr>
          <w:gridAfter w:val="1"/>
          <w:wAfter w:w="8" w:type="dxa"/>
          <w:trHeight w:val="288"/>
        </w:trPr>
        <w:tc>
          <w:tcPr>
            <w:tcW w:w="2065" w:type="dxa"/>
            <w:vMerge/>
            <w:noWrap/>
            <w:vAlign w:val="center"/>
            <w:hideMark/>
          </w:tcPr>
          <w:p w14:paraId="1B12EC17" w14:textId="77777777" w:rsidR="00AF7751" w:rsidRPr="00CD1C20" w:rsidRDefault="00AF7751" w:rsidP="00AF7751">
            <w:pPr>
              <w:spacing w:after="0" w:line="240" w:lineRule="auto"/>
              <w:rPr>
                <w:rFonts w:ascii="Cambria" w:eastAsia="Times New Roman" w:hAnsi="Cambria" w:cs="Calibri"/>
                <w:kern w:val="0"/>
                <w:sz w:val="20"/>
                <w:szCs w:val="20"/>
                <w14:ligatures w14:val="none"/>
              </w:rPr>
            </w:pPr>
          </w:p>
        </w:tc>
        <w:tc>
          <w:tcPr>
            <w:tcW w:w="1469" w:type="dxa"/>
            <w:noWrap/>
            <w:vAlign w:val="center"/>
            <w:hideMark/>
          </w:tcPr>
          <w:p w14:paraId="3FF7FBD5" w14:textId="385A1FB0" w:rsidR="00AF7751" w:rsidRPr="00CD1C20" w:rsidRDefault="00AF7751" w:rsidP="0028798C">
            <w:pPr>
              <w:spacing w:after="0" w:line="240" w:lineRule="auto"/>
              <w:jc w:val="both"/>
              <w:rPr>
                <w:rFonts w:ascii="Cambria" w:eastAsia="Times New Roman" w:hAnsi="Cambria" w:cs="Calibri"/>
                <w:color w:val="000000"/>
                <w:kern w:val="0"/>
                <w:sz w:val="20"/>
                <w:szCs w:val="20"/>
                <w14:ligatures w14:val="none"/>
              </w:rPr>
            </w:pPr>
            <w:proofErr w:type="gramStart"/>
            <w:r w:rsidRPr="00CD1C20">
              <w:rPr>
                <w:rFonts w:ascii="Cambria" w:hAnsi="Cambria"/>
                <w:sz w:val="20"/>
                <w:szCs w:val="20"/>
              </w:rPr>
              <w:t>e</w:t>
            </w:r>
            <w:proofErr w:type="gramEnd"/>
            <w:r w:rsidRPr="00CD1C20">
              <w:rPr>
                <w:rFonts w:ascii="Cambria" w:hAnsi="Cambria"/>
                <w:sz w:val="20"/>
                <w:szCs w:val="20"/>
              </w:rPr>
              <w:t>-</w:t>
            </w:r>
            <w:proofErr w:type="spellStart"/>
            <w:r w:rsidRPr="00CD1C20">
              <w:rPr>
                <w:rFonts w:ascii="Cambria" w:hAnsi="Cambria"/>
                <w:sz w:val="20"/>
                <w:szCs w:val="20"/>
              </w:rPr>
              <w:t>PSM</w:t>
            </w:r>
            <w:proofErr w:type="spellEnd"/>
            <w:r w:rsidRPr="00CD1C20">
              <w:rPr>
                <w:rFonts w:ascii="Cambria" w:hAnsi="Cambria"/>
                <w:sz w:val="20"/>
                <w:szCs w:val="20"/>
              </w:rPr>
              <w:t xml:space="preserve"> de la CTOI</w:t>
            </w:r>
          </w:p>
        </w:tc>
        <w:tc>
          <w:tcPr>
            <w:tcW w:w="10605" w:type="dxa"/>
            <w:vAlign w:val="center"/>
            <w:hideMark/>
          </w:tcPr>
          <w:p w14:paraId="2784ED2D" w14:textId="54C048FB" w:rsidR="00AF7751" w:rsidRPr="00CD1C20" w:rsidRDefault="00AF7751" w:rsidP="0083684F">
            <w:pPr>
              <w:spacing w:before="120" w:after="12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Pour l'e-</w:t>
            </w:r>
            <w:proofErr w:type="spellStart"/>
            <w:r w:rsidRPr="00CD1C20">
              <w:rPr>
                <w:rFonts w:ascii="Cambria" w:hAnsi="Cambria"/>
                <w:color w:val="000000"/>
                <w:sz w:val="20"/>
                <w:szCs w:val="20"/>
              </w:rPr>
              <w:t>PSM</w:t>
            </w:r>
            <w:proofErr w:type="spellEnd"/>
            <w:r w:rsidRPr="00CD1C20">
              <w:rPr>
                <w:rFonts w:ascii="Cambria" w:hAnsi="Cambria"/>
                <w:color w:val="000000"/>
                <w:sz w:val="20"/>
                <w:szCs w:val="20"/>
              </w:rPr>
              <w:t xml:space="preserve"> de la CTOI, il n'y aurait aucun coût de licence, le logiciel étant gratuit, et l'hébergement dans le cloud reviendrait à environ 700 USD/an. Il faudrait compter environ 50 jours de travail</w:t>
            </w:r>
            <w:r w:rsidR="00CD1C20" w:rsidRPr="00CD1C20">
              <w:rPr>
                <w:rFonts w:ascii="Cambria" w:hAnsi="Cambria"/>
                <w:color w:val="000000"/>
                <w:sz w:val="20"/>
                <w:szCs w:val="20"/>
              </w:rPr>
              <w:t>/an</w:t>
            </w:r>
            <w:r w:rsidRPr="00CD1C20">
              <w:rPr>
                <w:rFonts w:ascii="Cambria" w:hAnsi="Cambria"/>
                <w:color w:val="000000"/>
                <w:sz w:val="20"/>
                <w:szCs w:val="20"/>
              </w:rPr>
              <w:t xml:space="preserve"> par des développeurs pour assurer le soutien technique, l'optimisation et les améliorations.</w:t>
            </w:r>
          </w:p>
        </w:tc>
      </w:tr>
      <w:tr w:rsidR="00AF7751" w:rsidRPr="00CD1C20" w14:paraId="3788D597" w14:textId="77777777" w:rsidTr="00AF7751">
        <w:trPr>
          <w:gridAfter w:val="1"/>
          <w:wAfter w:w="8" w:type="dxa"/>
          <w:trHeight w:val="288"/>
        </w:trPr>
        <w:tc>
          <w:tcPr>
            <w:tcW w:w="2065" w:type="dxa"/>
            <w:vMerge w:val="restart"/>
            <w:noWrap/>
            <w:vAlign w:val="center"/>
            <w:hideMark/>
          </w:tcPr>
          <w:p w14:paraId="1A1AFFCF" w14:textId="77777777" w:rsidR="00AF7751" w:rsidRPr="00CD1C20" w:rsidRDefault="00AF7751" w:rsidP="00AF7751">
            <w:pPr>
              <w:spacing w:after="0" w:line="240" w:lineRule="auto"/>
              <w:rPr>
                <w:rFonts w:ascii="Cambria" w:eastAsia="Times New Roman" w:hAnsi="Cambria" w:cs="Calibri"/>
                <w:kern w:val="0"/>
                <w:sz w:val="20"/>
                <w:szCs w:val="20"/>
                <w14:ligatures w14:val="none"/>
              </w:rPr>
            </w:pPr>
            <w:r w:rsidRPr="00CD1C20">
              <w:rPr>
                <w:rFonts w:ascii="Cambria" w:hAnsi="Cambria"/>
                <w:sz w:val="20"/>
                <w:szCs w:val="20"/>
              </w:rPr>
              <w:t>Durée estimée jusqu'au déploiement complet</w:t>
            </w:r>
          </w:p>
        </w:tc>
        <w:tc>
          <w:tcPr>
            <w:tcW w:w="1469" w:type="dxa"/>
            <w:noWrap/>
            <w:vAlign w:val="center"/>
            <w:hideMark/>
          </w:tcPr>
          <w:p w14:paraId="18D46E43" w14:textId="75E49002" w:rsidR="00AF7751" w:rsidRPr="00CD1C20" w:rsidRDefault="00AF7751" w:rsidP="00AF7751">
            <w:pPr>
              <w:spacing w:after="0" w:line="240" w:lineRule="auto"/>
              <w:jc w:val="center"/>
              <w:rPr>
                <w:rFonts w:ascii="Cambria" w:eastAsia="Times New Roman" w:hAnsi="Cambria" w:cs="Calibri"/>
                <w:color w:val="000000"/>
                <w:kern w:val="0"/>
                <w:sz w:val="20"/>
                <w:szCs w:val="20"/>
                <w14:ligatures w14:val="none"/>
              </w:rPr>
            </w:pPr>
            <w:r w:rsidRPr="00CD1C20">
              <w:rPr>
                <w:rFonts w:ascii="Cambria" w:hAnsi="Cambria"/>
                <w:sz w:val="20"/>
                <w:szCs w:val="20"/>
              </w:rPr>
              <w:t>GIES de la FAO</w:t>
            </w:r>
          </w:p>
        </w:tc>
        <w:tc>
          <w:tcPr>
            <w:tcW w:w="10605" w:type="dxa"/>
            <w:vAlign w:val="center"/>
            <w:hideMark/>
          </w:tcPr>
          <w:p w14:paraId="2896AD73" w14:textId="3002ECB8" w:rsidR="00AF7751" w:rsidRPr="00CD1C20" w:rsidRDefault="00CA48DC" w:rsidP="00CA48DC">
            <w:pPr>
              <w:spacing w:before="120" w:after="12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 xml:space="preserve">Elle dépendrait de l’adaptation supplémentaire de la version personnalisée du GIES qui pourrait être requise, mais la durée de déploiement devrait être très brève. </w:t>
            </w:r>
          </w:p>
        </w:tc>
      </w:tr>
      <w:tr w:rsidR="00AF7751" w:rsidRPr="00CD1C20" w14:paraId="2E559A87" w14:textId="77777777" w:rsidTr="00AF7751">
        <w:trPr>
          <w:gridAfter w:val="1"/>
          <w:wAfter w:w="8" w:type="dxa"/>
          <w:trHeight w:val="576"/>
        </w:trPr>
        <w:tc>
          <w:tcPr>
            <w:tcW w:w="2065" w:type="dxa"/>
            <w:vMerge/>
            <w:noWrap/>
            <w:vAlign w:val="center"/>
            <w:hideMark/>
          </w:tcPr>
          <w:p w14:paraId="46866572" w14:textId="77777777" w:rsidR="00AF7751" w:rsidRPr="00CD1C20" w:rsidRDefault="00AF7751" w:rsidP="00AF7751">
            <w:pPr>
              <w:spacing w:after="0" w:line="240" w:lineRule="auto"/>
              <w:rPr>
                <w:rFonts w:ascii="Cambria" w:eastAsia="Times New Roman" w:hAnsi="Cambria" w:cs="Times New Roman"/>
                <w:kern w:val="0"/>
                <w:sz w:val="20"/>
                <w:szCs w:val="20"/>
                <w14:ligatures w14:val="none"/>
              </w:rPr>
            </w:pPr>
          </w:p>
        </w:tc>
        <w:tc>
          <w:tcPr>
            <w:tcW w:w="1469" w:type="dxa"/>
            <w:noWrap/>
            <w:vAlign w:val="center"/>
            <w:hideMark/>
          </w:tcPr>
          <w:p w14:paraId="2CEEB0F7" w14:textId="747E6565" w:rsidR="00AF7751" w:rsidRPr="00CD1C20" w:rsidRDefault="00AF7751" w:rsidP="0028798C">
            <w:pPr>
              <w:spacing w:after="0" w:line="240" w:lineRule="auto"/>
              <w:jc w:val="both"/>
              <w:rPr>
                <w:rFonts w:ascii="Cambria" w:eastAsia="Times New Roman" w:hAnsi="Cambria" w:cs="Calibri"/>
                <w:color w:val="000000"/>
                <w:kern w:val="0"/>
                <w:sz w:val="20"/>
                <w:szCs w:val="20"/>
                <w14:ligatures w14:val="none"/>
              </w:rPr>
            </w:pPr>
            <w:proofErr w:type="gramStart"/>
            <w:r w:rsidRPr="00CD1C20">
              <w:rPr>
                <w:rFonts w:ascii="Cambria" w:hAnsi="Cambria"/>
                <w:sz w:val="20"/>
                <w:szCs w:val="20"/>
              </w:rPr>
              <w:t>e</w:t>
            </w:r>
            <w:proofErr w:type="gramEnd"/>
            <w:r w:rsidRPr="00CD1C20">
              <w:rPr>
                <w:rFonts w:ascii="Cambria" w:hAnsi="Cambria"/>
                <w:sz w:val="20"/>
                <w:szCs w:val="20"/>
              </w:rPr>
              <w:t>-</w:t>
            </w:r>
            <w:proofErr w:type="spellStart"/>
            <w:r w:rsidRPr="00CD1C20">
              <w:rPr>
                <w:rFonts w:ascii="Cambria" w:hAnsi="Cambria"/>
                <w:sz w:val="20"/>
                <w:szCs w:val="20"/>
              </w:rPr>
              <w:t>PSM</w:t>
            </w:r>
            <w:proofErr w:type="spellEnd"/>
            <w:r w:rsidRPr="00CD1C20">
              <w:rPr>
                <w:rFonts w:ascii="Cambria" w:hAnsi="Cambria"/>
                <w:sz w:val="20"/>
                <w:szCs w:val="20"/>
              </w:rPr>
              <w:t xml:space="preserve"> de la CTOI</w:t>
            </w:r>
          </w:p>
        </w:tc>
        <w:tc>
          <w:tcPr>
            <w:tcW w:w="10605" w:type="dxa"/>
            <w:vAlign w:val="center"/>
            <w:hideMark/>
          </w:tcPr>
          <w:p w14:paraId="5C07B272" w14:textId="05FA7733" w:rsidR="00AF7751" w:rsidRPr="00CD1C20" w:rsidRDefault="00AF7751" w:rsidP="00AF7751">
            <w:pPr>
              <w:spacing w:after="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Le délai estimé pour la mise en œuvre complète est de 11 à 15 semaines, sur la base d'environ 40 jours de travail de consultants.</w:t>
            </w:r>
          </w:p>
        </w:tc>
      </w:tr>
    </w:tbl>
    <w:p w14:paraId="33A17A4E" w14:textId="77777777" w:rsidR="00486D7A" w:rsidRPr="00CD1C20" w:rsidRDefault="00486D7A">
      <w:pPr>
        <w:rPr>
          <w:rFonts w:ascii="Cambria" w:hAnsi="Cambria"/>
        </w:rPr>
      </w:pPr>
    </w:p>
    <w:p w14:paraId="19608122" w14:textId="45408334" w:rsidR="00486D7A" w:rsidRPr="00CD1C20" w:rsidRDefault="00486D7A" w:rsidP="00D03C37">
      <w:pPr>
        <w:spacing w:after="0" w:line="240" w:lineRule="auto"/>
        <w:ind w:left="360" w:hanging="360"/>
        <w:rPr>
          <w:rFonts w:ascii="Cambria" w:hAnsi="Cambria"/>
          <w:sz w:val="20"/>
          <w:szCs w:val="20"/>
        </w:rPr>
      </w:pPr>
      <w:r w:rsidRPr="00CD1C20">
        <w:rPr>
          <w:rFonts w:ascii="Cambria" w:hAnsi="Cambria"/>
          <w:b/>
          <w:bCs/>
          <w:sz w:val="20"/>
          <w:szCs w:val="20"/>
        </w:rPr>
        <w:t>Tableau 2</w:t>
      </w:r>
      <w:r w:rsidRPr="00CD1C20">
        <w:rPr>
          <w:rFonts w:ascii="Cambria" w:hAnsi="Cambria"/>
          <w:sz w:val="20"/>
          <w:szCs w:val="20"/>
        </w:rPr>
        <w:t>. Aperçu des principaux avantages et inconvénients extraits pour le GIES de la FAO et l’e-</w:t>
      </w:r>
      <w:proofErr w:type="spellStart"/>
      <w:r w:rsidRPr="00CD1C20">
        <w:rPr>
          <w:rFonts w:ascii="Cambria" w:hAnsi="Cambria"/>
          <w:sz w:val="20"/>
          <w:szCs w:val="20"/>
        </w:rPr>
        <w:t>PSM</w:t>
      </w:r>
      <w:proofErr w:type="spellEnd"/>
      <w:r w:rsidRPr="00CD1C20">
        <w:rPr>
          <w:rFonts w:ascii="Cambria" w:hAnsi="Cambria"/>
          <w:sz w:val="20"/>
          <w:szCs w:val="20"/>
        </w:rPr>
        <w:t xml:space="preserve"> de la CTOI.</w:t>
      </w:r>
    </w:p>
    <w:tbl>
      <w:tblPr>
        <w:tblW w:w="14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1469"/>
        <w:gridCol w:w="10605"/>
        <w:gridCol w:w="8"/>
      </w:tblGrid>
      <w:tr w:rsidR="000A4659" w:rsidRPr="00CD1C20" w14:paraId="6188EE3E" w14:textId="77777777" w:rsidTr="00486D7A">
        <w:trPr>
          <w:trHeight w:val="288"/>
        </w:trPr>
        <w:tc>
          <w:tcPr>
            <w:tcW w:w="14147" w:type="dxa"/>
            <w:gridSpan w:val="4"/>
            <w:shd w:val="clear" w:color="auto" w:fill="000000" w:themeFill="text1"/>
            <w:noWrap/>
            <w:vAlign w:val="center"/>
            <w:hideMark/>
          </w:tcPr>
          <w:p w14:paraId="1CAADA64" w14:textId="308BF4E1" w:rsidR="000A4659" w:rsidRPr="00CD1C20" w:rsidRDefault="000A4659" w:rsidP="0020557A">
            <w:pPr>
              <w:spacing w:after="0" w:line="240" w:lineRule="auto"/>
              <w:rPr>
                <w:rFonts w:ascii="Cambria" w:eastAsia="Times New Roman" w:hAnsi="Cambria" w:cs="Times New Roman"/>
                <w:b/>
                <w:bCs/>
                <w:kern w:val="0"/>
                <w:sz w:val="20"/>
                <w:szCs w:val="20"/>
                <w14:ligatures w14:val="none"/>
              </w:rPr>
            </w:pPr>
            <w:r w:rsidRPr="00CD1C20">
              <w:rPr>
                <w:rFonts w:ascii="Cambria" w:hAnsi="Cambria"/>
                <w:b/>
                <w:bCs/>
                <w:color w:val="FFFFFF" w:themeColor="background1"/>
                <w:sz w:val="20"/>
                <w:szCs w:val="20"/>
              </w:rPr>
              <w:t>GLOBALEMENT</w:t>
            </w:r>
          </w:p>
        </w:tc>
      </w:tr>
      <w:tr w:rsidR="00AF7751" w:rsidRPr="00CD1C20" w14:paraId="69416AED" w14:textId="77777777" w:rsidTr="00AF7751">
        <w:trPr>
          <w:gridAfter w:val="1"/>
          <w:wAfter w:w="8" w:type="dxa"/>
          <w:trHeight w:val="548"/>
        </w:trPr>
        <w:tc>
          <w:tcPr>
            <w:tcW w:w="2065" w:type="dxa"/>
            <w:vMerge w:val="restart"/>
            <w:noWrap/>
            <w:vAlign w:val="center"/>
            <w:hideMark/>
          </w:tcPr>
          <w:p w14:paraId="795D9777" w14:textId="77777777" w:rsidR="00AF7751" w:rsidRPr="00CD1C20" w:rsidRDefault="00AF7751" w:rsidP="00AF7751">
            <w:pPr>
              <w:spacing w:after="0" w:line="240" w:lineRule="auto"/>
              <w:rPr>
                <w:rFonts w:ascii="Cambria" w:eastAsia="Times New Roman" w:hAnsi="Cambria" w:cs="Calibri"/>
                <w:color w:val="000000"/>
                <w:kern w:val="0"/>
                <w:sz w:val="20"/>
                <w:szCs w:val="20"/>
                <w14:ligatures w14:val="none"/>
              </w:rPr>
            </w:pPr>
            <w:r w:rsidRPr="00CD1C20">
              <w:rPr>
                <w:rFonts w:ascii="Cambria" w:hAnsi="Cambria"/>
                <w:color w:val="000000"/>
                <w:sz w:val="20"/>
                <w:szCs w:val="20"/>
              </w:rPr>
              <w:t>Principaux avantages</w:t>
            </w:r>
          </w:p>
        </w:tc>
        <w:tc>
          <w:tcPr>
            <w:tcW w:w="1469" w:type="dxa"/>
            <w:noWrap/>
            <w:vAlign w:val="center"/>
            <w:hideMark/>
          </w:tcPr>
          <w:p w14:paraId="16889649" w14:textId="24D94021" w:rsidR="00AF7751" w:rsidRPr="00CD1C20" w:rsidRDefault="00AF7751" w:rsidP="00AF7751">
            <w:pPr>
              <w:spacing w:after="0" w:line="240" w:lineRule="auto"/>
              <w:jc w:val="center"/>
              <w:rPr>
                <w:rFonts w:ascii="Cambria" w:eastAsia="Times New Roman" w:hAnsi="Cambria" w:cs="Calibri"/>
                <w:color w:val="000000"/>
                <w:kern w:val="0"/>
                <w:sz w:val="20"/>
                <w:szCs w:val="20"/>
                <w14:ligatures w14:val="none"/>
              </w:rPr>
            </w:pPr>
            <w:r w:rsidRPr="00CD1C20">
              <w:rPr>
                <w:rFonts w:ascii="Cambria" w:hAnsi="Cambria"/>
                <w:sz w:val="20"/>
                <w:szCs w:val="20"/>
              </w:rPr>
              <w:t>GIES de la FAO</w:t>
            </w:r>
          </w:p>
        </w:tc>
        <w:tc>
          <w:tcPr>
            <w:tcW w:w="10605" w:type="dxa"/>
            <w:vAlign w:val="center"/>
            <w:hideMark/>
          </w:tcPr>
          <w:p w14:paraId="29B82309" w14:textId="640CEAF5" w:rsidR="00AF7751" w:rsidRPr="00CD1C20" w:rsidRDefault="00AF7751" w:rsidP="001956BB">
            <w:pPr>
              <w:pStyle w:val="Paragraphedeliste"/>
              <w:numPr>
                <w:ilvl w:val="0"/>
                <w:numId w:val="11"/>
              </w:numPr>
              <w:spacing w:before="120" w:after="12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 xml:space="preserve">Une </w:t>
            </w:r>
            <w:r w:rsidR="00D005A9" w:rsidRPr="00CD1C20">
              <w:rPr>
                <w:rFonts w:ascii="Cambria" w:hAnsi="Cambria"/>
                <w:color w:val="000000"/>
                <w:sz w:val="20"/>
                <w:szCs w:val="20"/>
              </w:rPr>
              <w:t>version</w:t>
            </w:r>
            <w:r w:rsidRPr="00CD1C20">
              <w:rPr>
                <w:rFonts w:ascii="Cambria" w:hAnsi="Cambria"/>
                <w:color w:val="000000"/>
                <w:sz w:val="20"/>
                <w:szCs w:val="20"/>
              </w:rPr>
              <w:t xml:space="preserve"> du système GIES pourrait être facilement mise à disposition et fournie gratuitement à l’ICCAT et la personnalisation initiale serait couverte.</w:t>
            </w:r>
          </w:p>
          <w:p w14:paraId="5B58844A" w14:textId="01242484" w:rsidR="00AF7751" w:rsidRPr="00CD1C20" w:rsidRDefault="004F0323" w:rsidP="001956BB">
            <w:pPr>
              <w:pStyle w:val="Paragraphedeliste"/>
              <w:numPr>
                <w:ilvl w:val="0"/>
                <w:numId w:val="11"/>
              </w:numPr>
              <w:spacing w:before="120" w:after="12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Compatibilité totale avec le GIES et bon potentiel d’interopérabilité avec l’</w:t>
            </w:r>
            <w:proofErr w:type="spellStart"/>
            <w:r w:rsidRPr="00CD1C20">
              <w:rPr>
                <w:rFonts w:ascii="Cambria" w:hAnsi="Cambria"/>
                <w:color w:val="000000"/>
                <w:sz w:val="20"/>
                <w:szCs w:val="20"/>
              </w:rPr>
              <w:t>IOMS</w:t>
            </w:r>
            <w:proofErr w:type="spellEnd"/>
            <w:r w:rsidRPr="00CD1C20">
              <w:rPr>
                <w:rFonts w:ascii="Cambria" w:hAnsi="Cambria"/>
                <w:color w:val="000000"/>
                <w:sz w:val="20"/>
                <w:szCs w:val="20"/>
              </w:rPr>
              <w:t>.</w:t>
            </w:r>
          </w:p>
          <w:p w14:paraId="6DD7FF8B" w14:textId="77777777" w:rsidR="00AF7751" w:rsidRPr="00CD1C20" w:rsidRDefault="00AF7751" w:rsidP="001956BB">
            <w:pPr>
              <w:pStyle w:val="Paragraphedeliste"/>
              <w:numPr>
                <w:ilvl w:val="0"/>
                <w:numId w:val="11"/>
              </w:numPr>
              <w:spacing w:before="120" w:after="12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Une pile technologique moderne et largement recommandable.</w:t>
            </w:r>
          </w:p>
          <w:p w14:paraId="12737095" w14:textId="77777777" w:rsidR="00AF7751" w:rsidRPr="00CD1C20" w:rsidRDefault="00AF7751" w:rsidP="001956BB">
            <w:pPr>
              <w:pStyle w:val="Paragraphedeliste"/>
              <w:numPr>
                <w:ilvl w:val="0"/>
                <w:numId w:val="11"/>
              </w:numPr>
              <w:spacing w:before="120" w:after="12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Une couverture multilingue étendue : anglais, français, espagnol, arabe, russe et chinois.</w:t>
            </w:r>
          </w:p>
          <w:p w14:paraId="10FA3149" w14:textId="7B103F07" w:rsidR="00AF7751" w:rsidRPr="00CD1C20" w:rsidRDefault="00CB18AC" w:rsidP="001956BB">
            <w:pPr>
              <w:pStyle w:val="Paragraphedeliste"/>
              <w:numPr>
                <w:ilvl w:val="0"/>
                <w:numId w:val="11"/>
              </w:numPr>
              <w:spacing w:before="120" w:after="12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Des règles opérationnelles pourraient permettre aux CPC de l'ICCAT non signataires de l'Accord PSMA d'utiliser le système dans le cadre de l'ICCAT.</w:t>
            </w:r>
          </w:p>
        </w:tc>
      </w:tr>
      <w:tr w:rsidR="00AF7751" w:rsidRPr="00CD1C20" w14:paraId="01E3A9A9" w14:textId="77777777" w:rsidTr="00AF7751">
        <w:trPr>
          <w:gridAfter w:val="1"/>
          <w:wAfter w:w="8" w:type="dxa"/>
          <w:trHeight w:val="1475"/>
        </w:trPr>
        <w:tc>
          <w:tcPr>
            <w:tcW w:w="2065" w:type="dxa"/>
            <w:vMerge/>
            <w:noWrap/>
            <w:vAlign w:val="center"/>
            <w:hideMark/>
          </w:tcPr>
          <w:p w14:paraId="2F9C06F2" w14:textId="77777777" w:rsidR="00AF7751" w:rsidRPr="00CD1C20" w:rsidRDefault="00AF7751" w:rsidP="00AF7751">
            <w:pPr>
              <w:spacing w:after="0" w:line="240" w:lineRule="auto"/>
              <w:rPr>
                <w:rFonts w:ascii="Cambria" w:eastAsia="Times New Roman" w:hAnsi="Cambria" w:cs="Times New Roman"/>
                <w:kern w:val="0"/>
                <w:sz w:val="20"/>
                <w:szCs w:val="20"/>
                <w14:ligatures w14:val="none"/>
              </w:rPr>
            </w:pPr>
          </w:p>
        </w:tc>
        <w:tc>
          <w:tcPr>
            <w:tcW w:w="1469" w:type="dxa"/>
            <w:noWrap/>
            <w:vAlign w:val="center"/>
            <w:hideMark/>
          </w:tcPr>
          <w:p w14:paraId="0FC34829" w14:textId="5E9EB36F" w:rsidR="00AF7751" w:rsidRPr="00CD1C20" w:rsidRDefault="00AF7751" w:rsidP="00D005A9">
            <w:pPr>
              <w:spacing w:after="0" w:line="240" w:lineRule="auto"/>
              <w:jc w:val="both"/>
              <w:rPr>
                <w:rFonts w:ascii="Cambria" w:eastAsia="Times New Roman" w:hAnsi="Cambria" w:cs="Calibri"/>
                <w:color w:val="000000"/>
                <w:kern w:val="0"/>
                <w:sz w:val="20"/>
                <w:szCs w:val="20"/>
                <w14:ligatures w14:val="none"/>
              </w:rPr>
            </w:pPr>
            <w:proofErr w:type="gramStart"/>
            <w:r w:rsidRPr="00CD1C20">
              <w:rPr>
                <w:rFonts w:ascii="Cambria" w:hAnsi="Cambria"/>
                <w:sz w:val="20"/>
                <w:szCs w:val="20"/>
              </w:rPr>
              <w:t>e</w:t>
            </w:r>
            <w:proofErr w:type="gramEnd"/>
            <w:r w:rsidRPr="00CD1C20">
              <w:rPr>
                <w:rFonts w:ascii="Cambria" w:hAnsi="Cambria"/>
                <w:sz w:val="20"/>
                <w:szCs w:val="20"/>
              </w:rPr>
              <w:t>-</w:t>
            </w:r>
            <w:proofErr w:type="spellStart"/>
            <w:r w:rsidRPr="00CD1C20">
              <w:rPr>
                <w:rFonts w:ascii="Cambria" w:hAnsi="Cambria"/>
                <w:sz w:val="20"/>
                <w:szCs w:val="20"/>
              </w:rPr>
              <w:t>PSM</w:t>
            </w:r>
            <w:proofErr w:type="spellEnd"/>
            <w:r w:rsidRPr="00CD1C20">
              <w:rPr>
                <w:rFonts w:ascii="Cambria" w:hAnsi="Cambria"/>
                <w:sz w:val="20"/>
                <w:szCs w:val="20"/>
              </w:rPr>
              <w:t xml:space="preserve"> de la CTOI</w:t>
            </w:r>
          </w:p>
        </w:tc>
        <w:tc>
          <w:tcPr>
            <w:tcW w:w="10605" w:type="dxa"/>
            <w:vAlign w:val="center"/>
            <w:hideMark/>
          </w:tcPr>
          <w:p w14:paraId="3B29A6FC" w14:textId="77777777" w:rsidR="00AF7751" w:rsidRPr="00CD1C20" w:rsidRDefault="00AF7751" w:rsidP="00AF7751">
            <w:pPr>
              <w:pStyle w:val="Paragraphedeliste"/>
              <w:numPr>
                <w:ilvl w:val="0"/>
                <w:numId w:val="10"/>
              </w:numPr>
              <w:spacing w:after="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 xml:space="preserve">Processus opérationnel rôdé, fondé sur les </w:t>
            </w:r>
            <w:proofErr w:type="spellStart"/>
            <w:r w:rsidRPr="00CD1C20">
              <w:rPr>
                <w:rFonts w:ascii="Cambria" w:hAnsi="Cambria"/>
                <w:color w:val="000000"/>
                <w:sz w:val="20"/>
                <w:szCs w:val="20"/>
              </w:rPr>
              <w:t>ORGP</w:t>
            </w:r>
            <w:proofErr w:type="spellEnd"/>
            <w:r w:rsidRPr="00CD1C20">
              <w:rPr>
                <w:rFonts w:ascii="Cambria" w:hAnsi="Cambria"/>
                <w:color w:val="000000"/>
                <w:sz w:val="20"/>
                <w:szCs w:val="20"/>
              </w:rPr>
              <w:t>, déjà utilisé dans le cadre des mesures du ressort de l'État du port.</w:t>
            </w:r>
          </w:p>
          <w:p w14:paraId="47F7E099" w14:textId="77777777" w:rsidR="00AF7751" w:rsidRPr="00CD1C20" w:rsidRDefault="00AF7751" w:rsidP="00AF7751">
            <w:pPr>
              <w:pStyle w:val="Paragraphedeliste"/>
              <w:numPr>
                <w:ilvl w:val="0"/>
                <w:numId w:val="10"/>
              </w:numPr>
              <w:spacing w:after="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Comprend un module d'évaluation des risques destiné à faciliter les décisions d’entrée aux ports, ainsi qu'une application mobile d'inspection portuaire hors ligne, particulièrement utile pour les ports où la connexion Internet est limitée.</w:t>
            </w:r>
          </w:p>
          <w:p w14:paraId="0B701943" w14:textId="77777777" w:rsidR="00AF7751" w:rsidRPr="00CD1C20" w:rsidRDefault="00AF7751" w:rsidP="00AF7751">
            <w:pPr>
              <w:pStyle w:val="Paragraphedeliste"/>
              <w:numPr>
                <w:ilvl w:val="0"/>
                <w:numId w:val="10"/>
              </w:numPr>
              <w:spacing w:after="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Relié au registre des navires autorisés de la CTOI et, par conséquent, potentiellement adaptable au registre des navires de l’ICCAT.</w:t>
            </w:r>
          </w:p>
          <w:p w14:paraId="51B402FE" w14:textId="6685E459" w:rsidR="00AF7751" w:rsidRPr="00CD1C20" w:rsidRDefault="00AF7751" w:rsidP="00AF7751">
            <w:pPr>
              <w:pStyle w:val="Paragraphedeliste"/>
              <w:numPr>
                <w:ilvl w:val="0"/>
                <w:numId w:val="12"/>
              </w:numPr>
              <w:spacing w:after="0" w:line="240" w:lineRule="auto"/>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Faibles besoins en infrastructure et absence de frais de licence logicielle.</w:t>
            </w:r>
          </w:p>
        </w:tc>
      </w:tr>
      <w:tr w:rsidR="00AF7751" w:rsidRPr="00CD1C20" w14:paraId="4899DB40" w14:textId="77777777" w:rsidTr="005117D8">
        <w:trPr>
          <w:gridAfter w:val="1"/>
          <w:wAfter w:w="8" w:type="dxa"/>
          <w:trHeight w:val="724"/>
        </w:trPr>
        <w:tc>
          <w:tcPr>
            <w:tcW w:w="2065" w:type="dxa"/>
            <w:vMerge w:val="restart"/>
            <w:noWrap/>
            <w:vAlign w:val="center"/>
            <w:hideMark/>
          </w:tcPr>
          <w:p w14:paraId="447A67CF" w14:textId="77777777" w:rsidR="00AF7751" w:rsidRPr="00CD1C20" w:rsidRDefault="00AF7751" w:rsidP="00AF7751">
            <w:pPr>
              <w:spacing w:after="0" w:line="240" w:lineRule="auto"/>
              <w:rPr>
                <w:rFonts w:ascii="Cambria" w:eastAsia="Times New Roman" w:hAnsi="Cambria" w:cs="Calibri"/>
                <w:color w:val="000000"/>
                <w:kern w:val="0"/>
                <w:sz w:val="20"/>
                <w:szCs w:val="20"/>
                <w14:ligatures w14:val="none"/>
              </w:rPr>
            </w:pPr>
            <w:r w:rsidRPr="00CD1C20">
              <w:rPr>
                <w:rFonts w:ascii="Cambria" w:hAnsi="Cambria"/>
                <w:color w:val="000000"/>
                <w:sz w:val="20"/>
                <w:szCs w:val="20"/>
              </w:rPr>
              <w:lastRenderedPageBreak/>
              <w:t>Principaux inconvénients</w:t>
            </w:r>
          </w:p>
        </w:tc>
        <w:tc>
          <w:tcPr>
            <w:tcW w:w="1469" w:type="dxa"/>
            <w:noWrap/>
            <w:vAlign w:val="center"/>
            <w:hideMark/>
          </w:tcPr>
          <w:p w14:paraId="26ED3A9B" w14:textId="2A07A90C" w:rsidR="00AF7751" w:rsidRPr="00CD1C20" w:rsidRDefault="00AF7751" w:rsidP="00AF7751">
            <w:pPr>
              <w:spacing w:after="0" w:line="240" w:lineRule="auto"/>
              <w:jc w:val="center"/>
              <w:rPr>
                <w:rFonts w:ascii="Cambria" w:eastAsia="Times New Roman" w:hAnsi="Cambria" w:cs="Calibri"/>
                <w:color w:val="000000"/>
                <w:kern w:val="0"/>
                <w:sz w:val="20"/>
                <w:szCs w:val="20"/>
                <w14:ligatures w14:val="none"/>
              </w:rPr>
            </w:pPr>
            <w:r w:rsidRPr="00CD1C20">
              <w:rPr>
                <w:rFonts w:ascii="Cambria" w:hAnsi="Cambria"/>
                <w:sz w:val="20"/>
                <w:szCs w:val="20"/>
              </w:rPr>
              <w:t>GIES de la FAO</w:t>
            </w:r>
          </w:p>
        </w:tc>
        <w:tc>
          <w:tcPr>
            <w:tcW w:w="10605" w:type="dxa"/>
            <w:vAlign w:val="center"/>
            <w:hideMark/>
          </w:tcPr>
          <w:p w14:paraId="62646175" w14:textId="77777777" w:rsidR="00AF7751" w:rsidRPr="00CD1C20" w:rsidRDefault="00AF7751" w:rsidP="00AF7751">
            <w:pPr>
              <w:pStyle w:val="Paragraphedeliste"/>
              <w:numPr>
                <w:ilvl w:val="0"/>
                <w:numId w:val="9"/>
              </w:numPr>
              <w:spacing w:after="0" w:line="240" w:lineRule="auto"/>
              <w:rPr>
                <w:rFonts w:ascii="Cambria" w:eastAsia="Times New Roman" w:hAnsi="Cambria" w:cs="Calibri"/>
                <w:color w:val="000000"/>
                <w:kern w:val="0"/>
                <w:sz w:val="20"/>
                <w:szCs w:val="20"/>
                <w14:ligatures w14:val="none"/>
              </w:rPr>
            </w:pPr>
            <w:r w:rsidRPr="00CD1C20">
              <w:rPr>
                <w:rFonts w:ascii="Cambria" w:hAnsi="Cambria"/>
                <w:color w:val="000000"/>
                <w:sz w:val="20"/>
                <w:szCs w:val="20"/>
              </w:rPr>
              <w:t>Certaines exigences spécifiques à l’ICCAT peuvent nécessiter des modules supplémentaires ou des adaptations.</w:t>
            </w:r>
          </w:p>
          <w:p w14:paraId="75EE0DF1" w14:textId="17954CED" w:rsidR="00CB18AC" w:rsidRPr="00CD1C20" w:rsidRDefault="00CB18AC" w:rsidP="00AF7751">
            <w:pPr>
              <w:pStyle w:val="Paragraphedeliste"/>
              <w:numPr>
                <w:ilvl w:val="0"/>
                <w:numId w:val="9"/>
              </w:numPr>
              <w:spacing w:after="0" w:line="240" w:lineRule="auto"/>
              <w:rPr>
                <w:rFonts w:ascii="Cambria" w:eastAsia="Times New Roman" w:hAnsi="Cambria" w:cs="Calibri"/>
                <w:color w:val="000000"/>
                <w:kern w:val="0"/>
                <w:sz w:val="20"/>
                <w:szCs w:val="20"/>
                <w14:ligatures w14:val="none"/>
              </w:rPr>
            </w:pPr>
            <w:r w:rsidRPr="00CD1C20">
              <w:rPr>
                <w:rFonts w:ascii="Cambria" w:hAnsi="Cambria"/>
                <w:color w:val="000000"/>
                <w:sz w:val="20"/>
                <w:szCs w:val="20"/>
              </w:rPr>
              <w:t>Pas aussi avancé que l’e-</w:t>
            </w:r>
            <w:proofErr w:type="spellStart"/>
            <w:r w:rsidRPr="00CD1C20">
              <w:rPr>
                <w:rFonts w:ascii="Cambria" w:hAnsi="Cambria"/>
                <w:color w:val="000000"/>
                <w:sz w:val="20"/>
                <w:szCs w:val="20"/>
              </w:rPr>
              <w:t>PSM</w:t>
            </w:r>
            <w:proofErr w:type="spellEnd"/>
            <w:r w:rsidRPr="00CD1C20">
              <w:rPr>
                <w:rFonts w:ascii="Cambria" w:hAnsi="Cambria"/>
                <w:color w:val="000000"/>
                <w:sz w:val="20"/>
                <w:szCs w:val="20"/>
              </w:rPr>
              <w:t xml:space="preserve"> de la CTOI.</w:t>
            </w:r>
          </w:p>
        </w:tc>
      </w:tr>
      <w:tr w:rsidR="00AF7751" w:rsidRPr="0005238E" w14:paraId="04440771" w14:textId="77777777" w:rsidTr="00AF7751">
        <w:trPr>
          <w:gridAfter w:val="1"/>
          <w:wAfter w:w="8" w:type="dxa"/>
          <w:trHeight w:val="1728"/>
        </w:trPr>
        <w:tc>
          <w:tcPr>
            <w:tcW w:w="2065" w:type="dxa"/>
            <w:vMerge/>
            <w:noWrap/>
            <w:vAlign w:val="center"/>
            <w:hideMark/>
          </w:tcPr>
          <w:p w14:paraId="41AD58B8" w14:textId="77777777" w:rsidR="00AF7751" w:rsidRPr="00CD1C20" w:rsidRDefault="00AF7751" w:rsidP="00AF7751">
            <w:pPr>
              <w:spacing w:after="0" w:line="240" w:lineRule="auto"/>
              <w:rPr>
                <w:rFonts w:ascii="Cambria" w:eastAsia="Times New Roman" w:hAnsi="Cambria" w:cs="Times New Roman"/>
                <w:kern w:val="0"/>
                <w:sz w:val="20"/>
                <w:szCs w:val="20"/>
                <w14:ligatures w14:val="none"/>
              </w:rPr>
            </w:pPr>
          </w:p>
        </w:tc>
        <w:tc>
          <w:tcPr>
            <w:tcW w:w="1469" w:type="dxa"/>
            <w:noWrap/>
            <w:vAlign w:val="center"/>
            <w:hideMark/>
          </w:tcPr>
          <w:p w14:paraId="32316B6D" w14:textId="0956A1E3" w:rsidR="00AF7751" w:rsidRPr="00CD1C20" w:rsidRDefault="00AF7751" w:rsidP="00D005A9">
            <w:pPr>
              <w:spacing w:after="0" w:line="240" w:lineRule="auto"/>
              <w:jc w:val="both"/>
              <w:rPr>
                <w:rFonts w:ascii="Cambria" w:eastAsia="Times New Roman" w:hAnsi="Cambria" w:cs="Calibri"/>
                <w:color w:val="000000"/>
                <w:kern w:val="0"/>
                <w:sz w:val="20"/>
                <w:szCs w:val="20"/>
                <w14:ligatures w14:val="none"/>
              </w:rPr>
            </w:pPr>
            <w:proofErr w:type="gramStart"/>
            <w:r w:rsidRPr="00CD1C20">
              <w:rPr>
                <w:rFonts w:ascii="Cambria" w:hAnsi="Cambria"/>
                <w:sz w:val="20"/>
                <w:szCs w:val="20"/>
              </w:rPr>
              <w:t>e</w:t>
            </w:r>
            <w:proofErr w:type="gramEnd"/>
            <w:r w:rsidRPr="00CD1C20">
              <w:rPr>
                <w:rFonts w:ascii="Cambria" w:hAnsi="Cambria"/>
                <w:sz w:val="20"/>
                <w:szCs w:val="20"/>
              </w:rPr>
              <w:t>-</w:t>
            </w:r>
            <w:proofErr w:type="spellStart"/>
            <w:r w:rsidRPr="00CD1C20">
              <w:rPr>
                <w:rFonts w:ascii="Cambria" w:hAnsi="Cambria"/>
                <w:sz w:val="20"/>
                <w:szCs w:val="20"/>
              </w:rPr>
              <w:t>PSM</w:t>
            </w:r>
            <w:proofErr w:type="spellEnd"/>
            <w:r w:rsidRPr="00CD1C20">
              <w:rPr>
                <w:rFonts w:ascii="Cambria" w:hAnsi="Cambria"/>
                <w:sz w:val="20"/>
                <w:szCs w:val="20"/>
              </w:rPr>
              <w:t xml:space="preserve"> de la CTOI</w:t>
            </w:r>
          </w:p>
        </w:tc>
        <w:tc>
          <w:tcPr>
            <w:tcW w:w="10605" w:type="dxa"/>
            <w:vAlign w:val="center"/>
            <w:hideMark/>
          </w:tcPr>
          <w:p w14:paraId="2649AA56" w14:textId="2B95D93A" w:rsidR="00CB18AC" w:rsidRPr="00CD1C20" w:rsidRDefault="00CB18AC" w:rsidP="005117D8">
            <w:pPr>
              <w:pStyle w:val="Paragraphedeliste"/>
              <w:numPr>
                <w:ilvl w:val="0"/>
                <w:numId w:val="6"/>
              </w:numPr>
              <w:spacing w:after="0" w:line="240" w:lineRule="auto"/>
              <w:ind w:left="357" w:hanging="357"/>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Certaines exigences spécifiques à l’ICCAT peuvent nécessiter des modules supplémentaires ou des adaptations.</w:t>
            </w:r>
          </w:p>
          <w:p w14:paraId="6135963D" w14:textId="4E2BC5B5" w:rsidR="00AF7751" w:rsidRPr="00CD1C20" w:rsidRDefault="00AF7751" w:rsidP="005117D8">
            <w:pPr>
              <w:pStyle w:val="Paragraphedeliste"/>
              <w:numPr>
                <w:ilvl w:val="0"/>
                <w:numId w:val="6"/>
              </w:numPr>
              <w:spacing w:after="0" w:line="240" w:lineRule="auto"/>
              <w:ind w:left="357" w:hanging="357"/>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 xml:space="preserve">Une </w:t>
            </w:r>
            <w:r w:rsidR="00D005A9" w:rsidRPr="00CD1C20">
              <w:rPr>
                <w:rFonts w:ascii="Cambria" w:hAnsi="Cambria"/>
                <w:color w:val="000000"/>
                <w:sz w:val="20"/>
                <w:szCs w:val="20"/>
              </w:rPr>
              <w:t>obsolescence logicielle et de maintenance</w:t>
            </w:r>
            <w:r w:rsidR="00D005A9" w:rsidRPr="00CD1C20">
              <w:rPr>
                <w:rFonts w:ascii="Cambria" w:hAnsi="Cambria"/>
                <w:color w:val="000000"/>
                <w:sz w:val="20"/>
                <w:szCs w:val="20"/>
              </w:rPr>
              <w:t>, une</w:t>
            </w:r>
            <w:r w:rsidR="00D005A9" w:rsidRPr="00CD1C20">
              <w:rPr>
                <w:rFonts w:ascii="Cambria" w:hAnsi="Cambria"/>
                <w:color w:val="000000"/>
                <w:sz w:val="20"/>
                <w:szCs w:val="20"/>
              </w:rPr>
              <w:t xml:space="preserve"> </w:t>
            </w:r>
            <w:r w:rsidRPr="00CD1C20">
              <w:rPr>
                <w:rFonts w:ascii="Cambria" w:hAnsi="Cambria"/>
                <w:color w:val="000000"/>
                <w:sz w:val="20"/>
                <w:szCs w:val="20"/>
              </w:rPr>
              <w:t xml:space="preserve">architecture monolithique plus traditionnelle sans distinction claire entre le </w:t>
            </w:r>
            <w:proofErr w:type="spellStart"/>
            <w:r w:rsidRPr="00CD1C20">
              <w:rPr>
                <w:rFonts w:ascii="Cambria" w:hAnsi="Cambria"/>
                <w:color w:val="000000"/>
                <w:sz w:val="20"/>
                <w:szCs w:val="20"/>
              </w:rPr>
              <w:t>front-end</w:t>
            </w:r>
            <w:proofErr w:type="spellEnd"/>
            <w:r w:rsidRPr="00CD1C20">
              <w:rPr>
                <w:rFonts w:ascii="Cambria" w:hAnsi="Cambria"/>
                <w:color w:val="000000"/>
                <w:sz w:val="20"/>
                <w:szCs w:val="20"/>
              </w:rPr>
              <w:t xml:space="preserve"> et le </w:t>
            </w:r>
            <w:proofErr w:type="spellStart"/>
            <w:r w:rsidRPr="00CD1C20">
              <w:rPr>
                <w:rFonts w:ascii="Cambria" w:hAnsi="Cambria"/>
                <w:color w:val="000000"/>
                <w:sz w:val="20"/>
                <w:szCs w:val="20"/>
              </w:rPr>
              <w:t>back-end</w:t>
            </w:r>
            <w:proofErr w:type="spellEnd"/>
            <w:r w:rsidRPr="00CD1C20">
              <w:rPr>
                <w:rFonts w:ascii="Cambria" w:hAnsi="Cambria"/>
                <w:color w:val="000000"/>
                <w:sz w:val="20"/>
                <w:szCs w:val="20"/>
              </w:rPr>
              <w:t>.</w:t>
            </w:r>
          </w:p>
          <w:p w14:paraId="5FD18AD5" w14:textId="3180EB23" w:rsidR="00AF7751" w:rsidRPr="00CD1C20" w:rsidRDefault="00AF7751" w:rsidP="005117D8">
            <w:pPr>
              <w:pStyle w:val="Paragraphedeliste"/>
              <w:numPr>
                <w:ilvl w:val="0"/>
                <w:numId w:val="6"/>
              </w:numPr>
              <w:spacing w:after="0" w:line="240" w:lineRule="auto"/>
              <w:ind w:left="357" w:hanging="357"/>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 xml:space="preserve">Les API sont principalement destinées aux applications mobiles, et non à l'intégration </w:t>
            </w:r>
            <w:r w:rsidR="006D2930" w:rsidRPr="00CD1C20">
              <w:rPr>
                <w:rFonts w:ascii="Cambria" w:hAnsi="Cambria"/>
                <w:color w:val="000000"/>
                <w:sz w:val="20"/>
                <w:szCs w:val="20"/>
              </w:rPr>
              <w:t xml:space="preserve">du </w:t>
            </w:r>
            <w:r w:rsidRPr="00CD1C20">
              <w:rPr>
                <w:rFonts w:ascii="Cambria" w:hAnsi="Cambria"/>
                <w:color w:val="000000"/>
                <w:sz w:val="20"/>
                <w:szCs w:val="20"/>
              </w:rPr>
              <w:t>système en général.</w:t>
            </w:r>
          </w:p>
          <w:p w14:paraId="04C80412" w14:textId="17D5DD96" w:rsidR="00AF7751" w:rsidRPr="00CD1C20" w:rsidRDefault="00AF7751" w:rsidP="005117D8">
            <w:pPr>
              <w:pStyle w:val="Paragraphedeliste"/>
              <w:numPr>
                <w:ilvl w:val="0"/>
                <w:numId w:val="6"/>
              </w:numPr>
              <w:spacing w:after="0" w:line="240" w:lineRule="auto"/>
              <w:ind w:left="357" w:hanging="357"/>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Ce système est très spécifique à la CTOI</w:t>
            </w:r>
            <w:r w:rsidR="0005238E" w:rsidRPr="00CD1C20">
              <w:rPr>
                <w:rFonts w:ascii="Cambria" w:hAnsi="Cambria"/>
                <w:color w:val="000000"/>
                <w:sz w:val="20"/>
                <w:szCs w:val="20"/>
              </w:rPr>
              <w:t xml:space="preserve"> </w:t>
            </w:r>
            <w:r w:rsidRPr="00CD1C20">
              <w:rPr>
                <w:rFonts w:ascii="Cambria" w:hAnsi="Cambria"/>
                <w:color w:val="000000"/>
                <w:sz w:val="20"/>
                <w:szCs w:val="20"/>
              </w:rPr>
              <w:t>; il nécessiterait une adaptation des flux de travail, des listes de référence, des règles de gestion des risques, des autorisations et des liens entre le registre des navires.</w:t>
            </w:r>
          </w:p>
          <w:p w14:paraId="2CF3139C" w14:textId="0850CF3B" w:rsidR="00AF7751" w:rsidRPr="00CD1C20" w:rsidRDefault="00AF7751" w:rsidP="005117D8">
            <w:pPr>
              <w:pStyle w:val="Paragraphedeliste"/>
              <w:numPr>
                <w:ilvl w:val="0"/>
                <w:numId w:val="8"/>
              </w:numPr>
              <w:spacing w:after="0" w:line="240" w:lineRule="auto"/>
              <w:ind w:left="357" w:hanging="357"/>
              <w:jc w:val="both"/>
              <w:rPr>
                <w:rFonts w:ascii="Cambria" w:eastAsia="Times New Roman" w:hAnsi="Cambria" w:cs="Calibri"/>
                <w:color w:val="000000"/>
                <w:kern w:val="0"/>
                <w:sz w:val="20"/>
                <w:szCs w:val="20"/>
                <w14:ligatures w14:val="none"/>
              </w:rPr>
            </w:pPr>
            <w:r w:rsidRPr="00CD1C20">
              <w:rPr>
                <w:rFonts w:ascii="Cambria" w:hAnsi="Cambria"/>
                <w:color w:val="000000"/>
                <w:sz w:val="20"/>
                <w:szCs w:val="20"/>
              </w:rPr>
              <w:t>Actuellement disponible uniquement en anglais et en français ; l'ajout de l'espagnol nécessiterait des modifications structurelles supplémentaires.</w:t>
            </w:r>
          </w:p>
        </w:tc>
      </w:tr>
    </w:tbl>
    <w:p w14:paraId="0E3B5B2F" w14:textId="77777777" w:rsidR="00495056" w:rsidRPr="0005238E" w:rsidRDefault="00495056" w:rsidP="0020557A">
      <w:pPr>
        <w:spacing w:after="0" w:line="240" w:lineRule="auto"/>
        <w:rPr>
          <w:rFonts w:ascii="Cambria" w:hAnsi="Cambria"/>
          <w:sz w:val="20"/>
          <w:szCs w:val="20"/>
        </w:rPr>
      </w:pPr>
    </w:p>
    <w:sectPr w:rsidR="00495056" w:rsidRPr="0005238E" w:rsidSect="00811658">
      <w:pgSz w:w="16840" w:h="11907" w:orient="landscape"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0E361" w14:textId="77777777" w:rsidR="00313687" w:rsidRDefault="00313687" w:rsidP="00804C33">
      <w:pPr>
        <w:spacing w:after="0" w:line="240" w:lineRule="auto"/>
      </w:pPr>
      <w:r>
        <w:separator/>
      </w:r>
    </w:p>
  </w:endnote>
  <w:endnote w:type="continuationSeparator" w:id="0">
    <w:p w14:paraId="65644535" w14:textId="77777777" w:rsidR="00313687" w:rsidRDefault="00313687" w:rsidP="00804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85A53" w14:textId="77777777" w:rsidR="004E4E28" w:rsidRPr="005D38A2" w:rsidRDefault="004E4E28" w:rsidP="00766081">
    <w:pPr>
      <w:tabs>
        <w:tab w:val="center" w:pos="4535"/>
        <w:tab w:val="center" w:pos="4680"/>
        <w:tab w:val="left" w:pos="6150"/>
        <w:tab w:val="right" w:pos="9360"/>
      </w:tabs>
      <w:spacing w:after="0" w:line="240" w:lineRule="auto"/>
      <w:jc w:val="center"/>
      <w:rPr>
        <w:rFonts w:ascii="Cambria" w:eastAsia="Times New Roman" w:hAnsi="Cambria" w:cs="Calibri"/>
        <w:sz w:val="20"/>
      </w:rPr>
    </w:pPr>
    <w:r w:rsidRPr="005D38A2">
      <w:rPr>
        <w:rFonts w:ascii="Cambria" w:eastAsia="Times New Roman" w:hAnsi="Cambria" w:cs="Calibri"/>
        <w:sz w:val="20"/>
        <w:szCs w:val="20"/>
      </w:rPr>
      <w:fldChar w:fldCharType="begin"/>
    </w:r>
    <w:r w:rsidRPr="005D38A2">
      <w:rPr>
        <w:rFonts w:ascii="Cambria" w:eastAsia="Times New Roman" w:hAnsi="Cambria" w:cs="Calibri"/>
        <w:sz w:val="20"/>
        <w:szCs w:val="20"/>
      </w:rPr>
      <w:instrText xml:space="preserve"> PAGE </w:instrText>
    </w:r>
    <w:r w:rsidRPr="005D38A2">
      <w:rPr>
        <w:rFonts w:ascii="Cambria" w:eastAsia="Times New Roman" w:hAnsi="Cambria" w:cs="Calibri"/>
        <w:sz w:val="20"/>
        <w:szCs w:val="20"/>
      </w:rPr>
      <w:fldChar w:fldCharType="separate"/>
    </w:r>
    <w:r w:rsidRPr="005D38A2">
      <w:rPr>
        <w:rFonts w:ascii="Cambria" w:eastAsia="Times New Roman" w:hAnsi="Cambria" w:cs="Calibri"/>
        <w:sz w:val="20"/>
        <w:szCs w:val="20"/>
      </w:rPr>
      <w:t>1</w:t>
    </w:r>
    <w:r w:rsidRPr="005D38A2">
      <w:rPr>
        <w:rFonts w:ascii="Cambria" w:eastAsia="Times New Roman" w:hAnsi="Cambria" w:cs="Calibri"/>
        <w:sz w:val="20"/>
        <w:szCs w:val="20"/>
      </w:rPr>
      <w:fldChar w:fldCharType="end"/>
    </w:r>
    <w:r>
      <w:rPr>
        <w:rFonts w:ascii="Cambria" w:hAnsi="Cambria"/>
        <w:sz w:val="20"/>
        <w:szCs w:val="20"/>
      </w:rPr>
      <w:t xml:space="preserve"> / </w:t>
    </w:r>
    <w:r w:rsidRPr="005D38A2">
      <w:rPr>
        <w:rFonts w:ascii="Cambria" w:eastAsia="Times New Roman" w:hAnsi="Cambria" w:cs="Calibri"/>
        <w:sz w:val="20"/>
        <w:szCs w:val="20"/>
      </w:rPr>
      <w:fldChar w:fldCharType="begin"/>
    </w:r>
    <w:r w:rsidRPr="005D38A2">
      <w:rPr>
        <w:rFonts w:ascii="Cambria" w:eastAsia="Times New Roman" w:hAnsi="Cambria" w:cs="Calibri"/>
        <w:sz w:val="20"/>
        <w:szCs w:val="20"/>
      </w:rPr>
      <w:instrText xml:space="preserve"> NUMPAGES  </w:instrText>
    </w:r>
    <w:r w:rsidRPr="005D38A2">
      <w:rPr>
        <w:rFonts w:ascii="Cambria" w:eastAsia="Times New Roman" w:hAnsi="Cambria" w:cs="Calibri"/>
        <w:sz w:val="20"/>
        <w:szCs w:val="20"/>
      </w:rPr>
      <w:fldChar w:fldCharType="separate"/>
    </w:r>
    <w:r w:rsidRPr="005D38A2">
      <w:rPr>
        <w:rFonts w:ascii="Cambria" w:eastAsia="Times New Roman" w:hAnsi="Cambria" w:cs="Calibri"/>
        <w:sz w:val="20"/>
        <w:szCs w:val="20"/>
      </w:rPr>
      <w:t>2</w:t>
    </w:r>
    <w:r w:rsidRPr="005D38A2">
      <w:rPr>
        <w:rFonts w:ascii="Cambria" w:eastAsia="Times New Roman" w:hAnsi="Cambria"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4FE9F" w14:textId="77777777" w:rsidR="00313687" w:rsidRDefault="00313687" w:rsidP="00804C33">
      <w:pPr>
        <w:spacing w:after="0" w:line="240" w:lineRule="auto"/>
      </w:pPr>
      <w:r>
        <w:separator/>
      </w:r>
    </w:p>
  </w:footnote>
  <w:footnote w:type="continuationSeparator" w:id="0">
    <w:p w14:paraId="5467062B" w14:textId="77777777" w:rsidR="00313687" w:rsidRDefault="00313687" w:rsidP="00804C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2994A" w14:textId="7716E3B3" w:rsidR="00805CE1" w:rsidRPr="00805CE1" w:rsidRDefault="00805CE1" w:rsidP="00805CE1">
    <w:pPr>
      <w:widowControl w:val="0"/>
      <w:tabs>
        <w:tab w:val="center" w:pos="4680"/>
        <w:tab w:val="left" w:pos="6520"/>
        <w:tab w:val="right" w:pos="9360"/>
        <w:tab w:val="right" w:pos="14240"/>
      </w:tabs>
      <w:autoSpaceDE w:val="0"/>
      <w:autoSpaceDN w:val="0"/>
      <w:spacing w:after="0" w:line="240" w:lineRule="auto"/>
      <w:jc w:val="right"/>
      <w:rPr>
        <w:rFonts w:ascii="Cambria" w:eastAsia="Calibri" w:hAnsi="Cambria" w:cs="Cambria"/>
        <w:b/>
        <w:bCs/>
        <w:kern w:val="0"/>
        <w:sz w:val="20"/>
        <w:szCs w:val="20"/>
        <w14:ligatures w14:val="none"/>
      </w:rPr>
    </w:pPr>
    <w:r>
      <w:rPr>
        <w:rFonts w:ascii="Cambria" w:hAnsi="Cambria"/>
        <w:b/>
        <w:bCs/>
        <w:sz w:val="20"/>
        <w:szCs w:val="20"/>
      </w:rPr>
      <w:t>PWG_411/2026</w:t>
    </w:r>
  </w:p>
  <w:p w14:paraId="753F9EBF" w14:textId="6DB8DB02" w:rsidR="00805CE1" w:rsidRPr="00805CE1" w:rsidRDefault="0005238E" w:rsidP="00805CE1">
    <w:pPr>
      <w:widowControl w:val="0"/>
      <w:tabs>
        <w:tab w:val="left" w:pos="7320"/>
      </w:tabs>
      <w:autoSpaceDE w:val="0"/>
      <w:autoSpaceDN w:val="0"/>
      <w:spacing w:after="0" w:line="240" w:lineRule="exact"/>
      <w:jc w:val="right"/>
      <w:rPr>
        <w:rFonts w:ascii="Aptos" w:eastAsia="MS Mincho" w:hAnsi="Aptos" w:cs="Arial"/>
        <w:kern w:val="0"/>
        <w:sz w:val="24"/>
        <w:szCs w:val="24"/>
        <w14:ligatures w14:val="none"/>
      </w:rPr>
    </w:pPr>
    <w:r>
      <w:rPr>
        <w:rFonts w:ascii="Cambria" w:eastAsia="Cambria" w:hAnsi="Cambria" w:cs="Cambria"/>
        <w:b/>
        <w:bCs/>
        <w:sz w:val="16"/>
        <w:szCs w:val="16"/>
      </w:rPr>
      <w:fldChar w:fldCharType="begin"/>
    </w:r>
    <w:r>
      <w:rPr>
        <w:rFonts w:ascii="Cambria" w:eastAsia="Cambria" w:hAnsi="Cambria" w:cs="Cambria"/>
        <w:b/>
        <w:bCs/>
        <w:sz w:val="16"/>
        <w:szCs w:val="16"/>
      </w:rPr>
      <w:instrText xml:space="preserve"> TIME  \@ "dd/MM/yyyy HH:mm" </w:instrText>
    </w:r>
    <w:r>
      <w:rPr>
        <w:rFonts w:ascii="Cambria" w:eastAsia="Cambria" w:hAnsi="Cambria" w:cs="Cambria"/>
        <w:b/>
        <w:bCs/>
        <w:sz w:val="16"/>
        <w:szCs w:val="16"/>
      </w:rPr>
      <w:fldChar w:fldCharType="separate"/>
    </w:r>
    <w:r w:rsidR="001A2B3E">
      <w:rPr>
        <w:rFonts w:ascii="Cambria" w:eastAsia="Cambria" w:hAnsi="Cambria" w:cs="Cambria"/>
        <w:b/>
        <w:bCs/>
        <w:noProof/>
        <w:sz w:val="16"/>
        <w:szCs w:val="16"/>
      </w:rPr>
      <w:t>20/10/2026 11:11</w:t>
    </w:r>
    <w:r>
      <w:rPr>
        <w:rFonts w:ascii="Cambria" w:eastAsia="Cambria" w:hAnsi="Cambria" w:cs="Cambria"/>
        <w:b/>
        <w:bCs/>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5E29"/>
    <w:multiLevelType w:val="hybridMultilevel"/>
    <w:tmpl w:val="4434DA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A53F1A"/>
    <w:multiLevelType w:val="hybridMultilevel"/>
    <w:tmpl w:val="D9DEC7A8"/>
    <w:lvl w:ilvl="0" w:tplc="FDC63998">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E97123"/>
    <w:multiLevelType w:val="hybridMultilevel"/>
    <w:tmpl w:val="11009D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E00EC2"/>
    <w:multiLevelType w:val="multilevel"/>
    <w:tmpl w:val="C298F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2F515E"/>
    <w:multiLevelType w:val="hybridMultilevel"/>
    <w:tmpl w:val="856E3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8176EE"/>
    <w:multiLevelType w:val="hybridMultilevel"/>
    <w:tmpl w:val="5FAE316E"/>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D3A6007"/>
    <w:multiLevelType w:val="hybridMultilevel"/>
    <w:tmpl w:val="FEC0C30E"/>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EA84F2D"/>
    <w:multiLevelType w:val="hybridMultilevel"/>
    <w:tmpl w:val="8EA266F6"/>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D76306"/>
    <w:multiLevelType w:val="hybridMultilevel"/>
    <w:tmpl w:val="6660EC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1B85205"/>
    <w:multiLevelType w:val="hybridMultilevel"/>
    <w:tmpl w:val="8F9A9A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3203DDC"/>
    <w:multiLevelType w:val="hybridMultilevel"/>
    <w:tmpl w:val="12C695BE"/>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B330717"/>
    <w:multiLevelType w:val="multilevel"/>
    <w:tmpl w:val="52AE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5758D8"/>
    <w:multiLevelType w:val="hybridMultilevel"/>
    <w:tmpl w:val="4C061010"/>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7AB5356"/>
    <w:multiLevelType w:val="hybridMultilevel"/>
    <w:tmpl w:val="F38E44D2"/>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3D884813"/>
    <w:multiLevelType w:val="hybridMultilevel"/>
    <w:tmpl w:val="6438175A"/>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E71253B"/>
    <w:multiLevelType w:val="hybridMultilevel"/>
    <w:tmpl w:val="F3243F0A"/>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16" w15:restartNumberingAfterBreak="0">
    <w:nsid w:val="3ECA06D2"/>
    <w:multiLevelType w:val="hybridMultilevel"/>
    <w:tmpl w:val="5DB6A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46339A"/>
    <w:multiLevelType w:val="hybridMultilevel"/>
    <w:tmpl w:val="066CCE78"/>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39F71AC"/>
    <w:multiLevelType w:val="hybridMultilevel"/>
    <w:tmpl w:val="502E5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92EE6"/>
    <w:multiLevelType w:val="hybridMultilevel"/>
    <w:tmpl w:val="AB94E2F6"/>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22404E7"/>
    <w:multiLevelType w:val="hybridMultilevel"/>
    <w:tmpl w:val="2ACAEF2C"/>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38B10D7"/>
    <w:multiLevelType w:val="multilevel"/>
    <w:tmpl w:val="05FAB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9963D8"/>
    <w:multiLevelType w:val="hybridMultilevel"/>
    <w:tmpl w:val="6660EC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4860BB4"/>
    <w:multiLevelType w:val="hybridMultilevel"/>
    <w:tmpl w:val="5A501B50"/>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32522353">
    <w:abstractNumId w:val="11"/>
  </w:num>
  <w:num w:numId="2" w16cid:durableId="835729594">
    <w:abstractNumId w:val="15"/>
  </w:num>
  <w:num w:numId="3" w16cid:durableId="1264144977">
    <w:abstractNumId w:val="3"/>
  </w:num>
  <w:num w:numId="4" w16cid:durableId="106238074">
    <w:abstractNumId w:val="21"/>
  </w:num>
  <w:num w:numId="5" w16cid:durableId="505900069">
    <w:abstractNumId w:val="4"/>
  </w:num>
  <w:num w:numId="6" w16cid:durableId="1474131777">
    <w:abstractNumId w:val="19"/>
  </w:num>
  <w:num w:numId="7" w16cid:durableId="542714651">
    <w:abstractNumId w:val="23"/>
  </w:num>
  <w:num w:numId="8" w16cid:durableId="1864901080">
    <w:abstractNumId w:val="5"/>
  </w:num>
  <w:num w:numId="9" w16cid:durableId="204417330">
    <w:abstractNumId w:val="12"/>
  </w:num>
  <w:num w:numId="10" w16cid:durableId="1496920578">
    <w:abstractNumId w:val="17"/>
  </w:num>
  <w:num w:numId="11" w16cid:durableId="223492121">
    <w:abstractNumId w:val="20"/>
  </w:num>
  <w:num w:numId="12" w16cid:durableId="1734349298">
    <w:abstractNumId w:val="6"/>
  </w:num>
  <w:num w:numId="13" w16cid:durableId="884636147">
    <w:abstractNumId w:val="10"/>
  </w:num>
  <w:num w:numId="14" w16cid:durableId="1374387133">
    <w:abstractNumId w:val="18"/>
  </w:num>
  <w:num w:numId="15" w16cid:durableId="1449010348">
    <w:abstractNumId w:val="7"/>
  </w:num>
  <w:num w:numId="16" w16cid:durableId="1830170453">
    <w:abstractNumId w:val="1"/>
  </w:num>
  <w:num w:numId="17" w16cid:durableId="21360184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3728299">
    <w:abstractNumId w:val="9"/>
  </w:num>
  <w:num w:numId="19" w16cid:durableId="1373576279">
    <w:abstractNumId w:val="13"/>
  </w:num>
  <w:num w:numId="20" w16cid:durableId="1507868877">
    <w:abstractNumId w:val="16"/>
  </w:num>
  <w:num w:numId="21" w16cid:durableId="32506626">
    <w:abstractNumId w:val="0"/>
  </w:num>
  <w:num w:numId="22" w16cid:durableId="541675850">
    <w:abstractNumId w:val="22"/>
  </w:num>
  <w:num w:numId="23" w16cid:durableId="928541109">
    <w:abstractNumId w:val="8"/>
  </w:num>
  <w:num w:numId="24" w16cid:durableId="198472948">
    <w:abstractNumId w:val="2"/>
  </w:num>
  <w:num w:numId="25" w16cid:durableId="9265783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8EF"/>
    <w:rsid w:val="00011217"/>
    <w:rsid w:val="0005238E"/>
    <w:rsid w:val="00067BC1"/>
    <w:rsid w:val="00073C04"/>
    <w:rsid w:val="00074B2B"/>
    <w:rsid w:val="00074CEB"/>
    <w:rsid w:val="000826D6"/>
    <w:rsid w:val="000862C2"/>
    <w:rsid w:val="00090CCC"/>
    <w:rsid w:val="000A4659"/>
    <w:rsid w:val="000C3125"/>
    <w:rsid w:val="000E1840"/>
    <w:rsid w:val="000F2AF1"/>
    <w:rsid w:val="00124A26"/>
    <w:rsid w:val="0014596F"/>
    <w:rsid w:val="00160999"/>
    <w:rsid w:val="001678D7"/>
    <w:rsid w:val="00174619"/>
    <w:rsid w:val="00192953"/>
    <w:rsid w:val="001956BB"/>
    <w:rsid w:val="001959F5"/>
    <w:rsid w:val="001967CD"/>
    <w:rsid w:val="00197E4A"/>
    <w:rsid w:val="001A2B3E"/>
    <w:rsid w:val="001B3856"/>
    <w:rsid w:val="001C3825"/>
    <w:rsid w:val="001F1BCC"/>
    <w:rsid w:val="0020557A"/>
    <w:rsid w:val="00207C7E"/>
    <w:rsid w:val="00214DA7"/>
    <w:rsid w:val="00270169"/>
    <w:rsid w:val="00272942"/>
    <w:rsid w:val="00276C7D"/>
    <w:rsid w:val="0028798C"/>
    <w:rsid w:val="00293885"/>
    <w:rsid w:val="00295760"/>
    <w:rsid w:val="002A1D36"/>
    <w:rsid w:val="002A3BF9"/>
    <w:rsid w:val="002A7335"/>
    <w:rsid w:val="002D0EB6"/>
    <w:rsid w:val="002F6546"/>
    <w:rsid w:val="00312C3E"/>
    <w:rsid w:val="00313687"/>
    <w:rsid w:val="00313861"/>
    <w:rsid w:val="0031627E"/>
    <w:rsid w:val="003166B7"/>
    <w:rsid w:val="0032237C"/>
    <w:rsid w:val="003349A6"/>
    <w:rsid w:val="003428EF"/>
    <w:rsid w:val="003478C2"/>
    <w:rsid w:val="003664C3"/>
    <w:rsid w:val="0037333C"/>
    <w:rsid w:val="003835A7"/>
    <w:rsid w:val="003A154B"/>
    <w:rsid w:val="003B2717"/>
    <w:rsid w:val="003B6EF2"/>
    <w:rsid w:val="003C0F5C"/>
    <w:rsid w:val="003C7125"/>
    <w:rsid w:val="003F63B9"/>
    <w:rsid w:val="00402370"/>
    <w:rsid w:val="004033CA"/>
    <w:rsid w:val="00415902"/>
    <w:rsid w:val="0043633F"/>
    <w:rsid w:val="004432C9"/>
    <w:rsid w:val="00443891"/>
    <w:rsid w:val="00444662"/>
    <w:rsid w:val="00446042"/>
    <w:rsid w:val="00462879"/>
    <w:rsid w:val="0048102D"/>
    <w:rsid w:val="00486D7A"/>
    <w:rsid w:val="00495056"/>
    <w:rsid w:val="004B2048"/>
    <w:rsid w:val="004D770A"/>
    <w:rsid w:val="004E4E28"/>
    <w:rsid w:val="004E76CD"/>
    <w:rsid w:val="004F0323"/>
    <w:rsid w:val="004F6EFC"/>
    <w:rsid w:val="00506B7C"/>
    <w:rsid w:val="005114AE"/>
    <w:rsid w:val="005117D8"/>
    <w:rsid w:val="0054494C"/>
    <w:rsid w:val="00544972"/>
    <w:rsid w:val="00546CF6"/>
    <w:rsid w:val="00546DBD"/>
    <w:rsid w:val="005802AF"/>
    <w:rsid w:val="005820D3"/>
    <w:rsid w:val="0058496E"/>
    <w:rsid w:val="005918FE"/>
    <w:rsid w:val="005A2141"/>
    <w:rsid w:val="005B258A"/>
    <w:rsid w:val="005C2986"/>
    <w:rsid w:val="005D38A2"/>
    <w:rsid w:val="005E0A2F"/>
    <w:rsid w:val="005E22CB"/>
    <w:rsid w:val="005E4813"/>
    <w:rsid w:val="00604621"/>
    <w:rsid w:val="00612E07"/>
    <w:rsid w:val="00630922"/>
    <w:rsid w:val="0065274D"/>
    <w:rsid w:val="0068098A"/>
    <w:rsid w:val="006B1D30"/>
    <w:rsid w:val="006B6918"/>
    <w:rsid w:val="006C2BDB"/>
    <w:rsid w:val="006D2930"/>
    <w:rsid w:val="006F1663"/>
    <w:rsid w:val="006F7A6D"/>
    <w:rsid w:val="007457AC"/>
    <w:rsid w:val="00754986"/>
    <w:rsid w:val="00766081"/>
    <w:rsid w:val="00766741"/>
    <w:rsid w:val="00767DCF"/>
    <w:rsid w:val="00777557"/>
    <w:rsid w:val="00781561"/>
    <w:rsid w:val="00792957"/>
    <w:rsid w:val="0079564A"/>
    <w:rsid w:val="007D3194"/>
    <w:rsid w:val="007D50AD"/>
    <w:rsid w:val="007E1898"/>
    <w:rsid w:val="007E6E8A"/>
    <w:rsid w:val="007F3E09"/>
    <w:rsid w:val="00804C33"/>
    <w:rsid w:val="00805CE1"/>
    <w:rsid w:val="00811658"/>
    <w:rsid w:val="00811C33"/>
    <w:rsid w:val="00825910"/>
    <w:rsid w:val="0083684F"/>
    <w:rsid w:val="00860358"/>
    <w:rsid w:val="00870828"/>
    <w:rsid w:val="008A07A1"/>
    <w:rsid w:val="008B516E"/>
    <w:rsid w:val="008F2509"/>
    <w:rsid w:val="00906178"/>
    <w:rsid w:val="009110D5"/>
    <w:rsid w:val="009244D5"/>
    <w:rsid w:val="00934322"/>
    <w:rsid w:val="00943E0D"/>
    <w:rsid w:val="00954985"/>
    <w:rsid w:val="00975D46"/>
    <w:rsid w:val="0098603A"/>
    <w:rsid w:val="0099016A"/>
    <w:rsid w:val="00995510"/>
    <w:rsid w:val="009B1483"/>
    <w:rsid w:val="009B5CAA"/>
    <w:rsid w:val="009E30DE"/>
    <w:rsid w:val="00A13887"/>
    <w:rsid w:val="00A2178A"/>
    <w:rsid w:val="00A3370E"/>
    <w:rsid w:val="00A43F71"/>
    <w:rsid w:val="00A52BE2"/>
    <w:rsid w:val="00A57138"/>
    <w:rsid w:val="00A67DED"/>
    <w:rsid w:val="00A703C1"/>
    <w:rsid w:val="00A81841"/>
    <w:rsid w:val="00A821B9"/>
    <w:rsid w:val="00A942EA"/>
    <w:rsid w:val="00AA736B"/>
    <w:rsid w:val="00AC2CA8"/>
    <w:rsid w:val="00AD3162"/>
    <w:rsid w:val="00AF7751"/>
    <w:rsid w:val="00B01068"/>
    <w:rsid w:val="00B510A6"/>
    <w:rsid w:val="00B6319D"/>
    <w:rsid w:val="00B81A12"/>
    <w:rsid w:val="00B82E2A"/>
    <w:rsid w:val="00B84F5D"/>
    <w:rsid w:val="00BB1C11"/>
    <w:rsid w:val="00BC78FB"/>
    <w:rsid w:val="00BE1FFD"/>
    <w:rsid w:val="00BF172A"/>
    <w:rsid w:val="00C54EEA"/>
    <w:rsid w:val="00C55B4B"/>
    <w:rsid w:val="00C70334"/>
    <w:rsid w:val="00C83211"/>
    <w:rsid w:val="00C955A1"/>
    <w:rsid w:val="00CA48DC"/>
    <w:rsid w:val="00CB18AC"/>
    <w:rsid w:val="00CB6C58"/>
    <w:rsid w:val="00CC43F5"/>
    <w:rsid w:val="00CD1C20"/>
    <w:rsid w:val="00CE0C71"/>
    <w:rsid w:val="00D005A9"/>
    <w:rsid w:val="00D03C37"/>
    <w:rsid w:val="00D044A6"/>
    <w:rsid w:val="00D0768D"/>
    <w:rsid w:val="00D079BB"/>
    <w:rsid w:val="00D151A9"/>
    <w:rsid w:val="00D15A2B"/>
    <w:rsid w:val="00D177BD"/>
    <w:rsid w:val="00D26AD4"/>
    <w:rsid w:val="00D2701E"/>
    <w:rsid w:val="00D70E58"/>
    <w:rsid w:val="00D71446"/>
    <w:rsid w:val="00D82A33"/>
    <w:rsid w:val="00D82C64"/>
    <w:rsid w:val="00D82CFB"/>
    <w:rsid w:val="00DB0DD7"/>
    <w:rsid w:val="00DC214A"/>
    <w:rsid w:val="00DC2F8B"/>
    <w:rsid w:val="00DC4FF9"/>
    <w:rsid w:val="00E102ED"/>
    <w:rsid w:val="00E16ACB"/>
    <w:rsid w:val="00E311CF"/>
    <w:rsid w:val="00E32141"/>
    <w:rsid w:val="00E37036"/>
    <w:rsid w:val="00E52306"/>
    <w:rsid w:val="00E63775"/>
    <w:rsid w:val="00E758FC"/>
    <w:rsid w:val="00E97DAC"/>
    <w:rsid w:val="00EA7BE6"/>
    <w:rsid w:val="00EB00C5"/>
    <w:rsid w:val="00EB18B0"/>
    <w:rsid w:val="00EC1192"/>
    <w:rsid w:val="00ED33C1"/>
    <w:rsid w:val="00ED5322"/>
    <w:rsid w:val="00ED56EC"/>
    <w:rsid w:val="00ED6499"/>
    <w:rsid w:val="00EF07A9"/>
    <w:rsid w:val="00EF1D5E"/>
    <w:rsid w:val="00EF69CA"/>
    <w:rsid w:val="00F035EB"/>
    <w:rsid w:val="00F05A23"/>
    <w:rsid w:val="00F46A11"/>
    <w:rsid w:val="00F57997"/>
    <w:rsid w:val="00F60F0E"/>
    <w:rsid w:val="00F76039"/>
    <w:rsid w:val="00F813C3"/>
    <w:rsid w:val="00F93E05"/>
    <w:rsid w:val="00FB3040"/>
    <w:rsid w:val="00FC3741"/>
    <w:rsid w:val="00FD4FEE"/>
    <w:rsid w:val="00FE4207"/>
    <w:rsid w:val="00FE7653"/>
    <w:rsid w:val="00FF2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6F3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428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428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428E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428E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428E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428E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428E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428E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428E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28E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428E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428E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428E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428E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428E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428E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428E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428EF"/>
    <w:rPr>
      <w:rFonts w:eastAsiaTheme="majorEastAsia" w:cstheme="majorBidi"/>
      <w:color w:val="272727" w:themeColor="text1" w:themeTint="D8"/>
    </w:rPr>
  </w:style>
  <w:style w:type="paragraph" w:styleId="Titre">
    <w:name w:val="Title"/>
    <w:basedOn w:val="Normal"/>
    <w:next w:val="Normal"/>
    <w:link w:val="TitreCar"/>
    <w:uiPriority w:val="10"/>
    <w:qFormat/>
    <w:rsid w:val="003428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428E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428E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428E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428EF"/>
    <w:pPr>
      <w:spacing w:before="160"/>
      <w:jc w:val="center"/>
    </w:pPr>
    <w:rPr>
      <w:i/>
      <w:iCs/>
      <w:color w:val="404040" w:themeColor="text1" w:themeTint="BF"/>
    </w:rPr>
  </w:style>
  <w:style w:type="character" w:customStyle="1" w:styleId="CitationCar">
    <w:name w:val="Citation Car"/>
    <w:basedOn w:val="Policepardfaut"/>
    <w:link w:val="Citation"/>
    <w:uiPriority w:val="29"/>
    <w:rsid w:val="003428EF"/>
    <w:rPr>
      <w:i/>
      <w:iCs/>
      <w:color w:val="404040" w:themeColor="text1" w:themeTint="BF"/>
    </w:rPr>
  </w:style>
  <w:style w:type="paragraph" w:styleId="Paragraphedeliste">
    <w:name w:val="List Paragraph"/>
    <w:basedOn w:val="Normal"/>
    <w:uiPriority w:val="34"/>
    <w:qFormat/>
    <w:rsid w:val="003428EF"/>
    <w:pPr>
      <w:ind w:left="720"/>
      <w:contextualSpacing/>
    </w:pPr>
  </w:style>
  <w:style w:type="character" w:styleId="Accentuationintense">
    <w:name w:val="Intense Emphasis"/>
    <w:basedOn w:val="Policepardfaut"/>
    <w:uiPriority w:val="21"/>
    <w:qFormat/>
    <w:rsid w:val="003428EF"/>
    <w:rPr>
      <w:i/>
      <w:iCs/>
      <w:color w:val="0F4761" w:themeColor="accent1" w:themeShade="BF"/>
    </w:rPr>
  </w:style>
  <w:style w:type="paragraph" w:styleId="Citationintense">
    <w:name w:val="Intense Quote"/>
    <w:basedOn w:val="Normal"/>
    <w:next w:val="Normal"/>
    <w:link w:val="CitationintenseCar"/>
    <w:uiPriority w:val="30"/>
    <w:qFormat/>
    <w:rsid w:val="003428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428EF"/>
    <w:rPr>
      <w:i/>
      <w:iCs/>
      <w:color w:val="0F4761" w:themeColor="accent1" w:themeShade="BF"/>
    </w:rPr>
  </w:style>
  <w:style w:type="character" w:styleId="Rfrenceintense">
    <w:name w:val="Intense Reference"/>
    <w:basedOn w:val="Policepardfaut"/>
    <w:uiPriority w:val="32"/>
    <w:qFormat/>
    <w:rsid w:val="003428EF"/>
    <w:rPr>
      <w:b/>
      <w:bCs/>
      <w:smallCaps/>
      <w:color w:val="0F4761" w:themeColor="accent1" w:themeShade="BF"/>
      <w:spacing w:val="5"/>
    </w:rPr>
  </w:style>
  <w:style w:type="character" w:styleId="Lienhypertexte">
    <w:name w:val="Hyperlink"/>
    <w:basedOn w:val="Policepardfaut"/>
    <w:uiPriority w:val="99"/>
    <w:unhideWhenUsed/>
    <w:rsid w:val="001678D7"/>
    <w:rPr>
      <w:color w:val="467886" w:themeColor="hyperlink"/>
      <w:u w:val="single"/>
    </w:rPr>
  </w:style>
  <w:style w:type="character" w:styleId="Mentionnonrsolue">
    <w:name w:val="Unresolved Mention"/>
    <w:basedOn w:val="Policepardfaut"/>
    <w:uiPriority w:val="99"/>
    <w:semiHidden/>
    <w:unhideWhenUsed/>
    <w:rsid w:val="001678D7"/>
    <w:rPr>
      <w:color w:val="605E5C"/>
      <w:shd w:val="clear" w:color="auto" w:fill="E1DFDD"/>
    </w:rPr>
  </w:style>
  <w:style w:type="paragraph" w:styleId="Rvision">
    <w:name w:val="Revision"/>
    <w:hidden/>
    <w:uiPriority w:val="99"/>
    <w:semiHidden/>
    <w:rsid w:val="00EA7BE6"/>
    <w:pPr>
      <w:spacing w:after="0" w:line="240" w:lineRule="auto"/>
    </w:pPr>
  </w:style>
  <w:style w:type="paragraph" w:styleId="En-tte">
    <w:name w:val="header"/>
    <w:basedOn w:val="Normal"/>
    <w:link w:val="En-tteCar"/>
    <w:uiPriority w:val="99"/>
    <w:unhideWhenUsed/>
    <w:rsid w:val="00804C33"/>
    <w:pPr>
      <w:tabs>
        <w:tab w:val="center" w:pos="4680"/>
        <w:tab w:val="right" w:pos="9360"/>
      </w:tabs>
      <w:spacing w:after="0" w:line="240" w:lineRule="auto"/>
    </w:pPr>
  </w:style>
  <w:style w:type="character" w:customStyle="1" w:styleId="En-tteCar">
    <w:name w:val="En-tête Car"/>
    <w:basedOn w:val="Policepardfaut"/>
    <w:link w:val="En-tte"/>
    <w:uiPriority w:val="99"/>
    <w:rsid w:val="00804C33"/>
  </w:style>
  <w:style w:type="paragraph" w:styleId="Pieddepage">
    <w:name w:val="footer"/>
    <w:basedOn w:val="Normal"/>
    <w:link w:val="PieddepageCar"/>
    <w:uiPriority w:val="99"/>
    <w:unhideWhenUsed/>
    <w:rsid w:val="00804C33"/>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804C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f/2025-11-f.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C5470-EB22-4DC0-9F9A-44F4DFFC4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2604</Words>
  <Characters>14325</Characters>
  <Application>Microsoft Office Word</Application>
  <DocSecurity>0</DocSecurity>
  <Lines>119</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2026-10-15T12:44:00Z</dcterms:created>
  <dcterms:modified xsi:type="dcterms:W3CDTF">2026-10-20T09:43:00Z</dcterms:modified>
</cp:coreProperties>
</file>