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B1D1B" w14:textId="5030817D" w:rsidR="00341303" w:rsidRPr="00B00089" w:rsidRDefault="00341303" w:rsidP="00341303">
      <w:pPr>
        <w:spacing w:after="0" w:line="240" w:lineRule="auto"/>
        <w:jc w:val="right"/>
        <w:rPr>
          <w:rFonts w:ascii="Cambria" w:hAnsi="Cambria"/>
          <w:b/>
          <w:color w:val="000000" w:themeColor="text1"/>
          <w:sz w:val="20"/>
        </w:rPr>
      </w:pPr>
      <w:r w:rsidRPr="00B00089">
        <w:rPr>
          <w:rFonts w:ascii="Cambria" w:hAnsi="Cambria"/>
          <w:b/>
          <w:color w:val="000000" w:themeColor="text1"/>
          <w:sz w:val="20"/>
        </w:rPr>
        <w:t>Original: inglés</w:t>
      </w:r>
    </w:p>
    <w:p w14:paraId="56E64D0C" w14:textId="77777777" w:rsidR="00341303" w:rsidRPr="00B00089" w:rsidRDefault="00341303" w:rsidP="00341303">
      <w:pPr>
        <w:spacing w:after="0" w:line="240" w:lineRule="auto"/>
        <w:jc w:val="right"/>
        <w:rPr>
          <w:rFonts w:ascii="Cambria" w:hAnsi="Cambria"/>
          <w:b/>
          <w:color w:val="000000" w:themeColor="text1"/>
          <w:sz w:val="20"/>
        </w:rPr>
      </w:pPr>
    </w:p>
    <w:p w14:paraId="68D4C349" w14:textId="3A6AC718" w:rsidR="00806318" w:rsidRPr="00B00089" w:rsidRDefault="4BC23E5B" w:rsidP="00741B44">
      <w:pPr>
        <w:spacing w:after="0" w:line="240" w:lineRule="auto"/>
        <w:jc w:val="center"/>
        <w:rPr>
          <w:rFonts w:ascii="Cambria" w:hAnsi="Cambria"/>
          <w:b/>
          <w:color w:val="000000" w:themeColor="text1"/>
          <w:sz w:val="20"/>
        </w:rPr>
      </w:pPr>
      <w:r w:rsidRPr="00B00089">
        <w:rPr>
          <w:rFonts w:ascii="Cambria" w:hAnsi="Cambria"/>
          <w:b/>
          <w:color w:val="000000" w:themeColor="text1"/>
          <w:sz w:val="20"/>
        </w:rPr>
        <w:t>Informe sobre la implementación de la derogación para la validación de los BCD</w:t>
      </w:r>
    </w:p>
    <w:p w14:paraId="5BE1767F" w14:textId="47A4E134" w:rsidR="00806318" w:rsidRPr="00B00089" w:rsidRDefault="4BC23E5B" w:rsidP="00741B44">
      <w:pPr>
        <w:spacing w:after="0" w:line="240" w:lineRule="auto"/>
        <w:jc w:val="center"/>
        <w:rPr>
          <w:rFonts w:ascii="Cambria" w:hAnsi="Cambria"/>
          <w:b/>
          <w:color w:val="000000" w:themeColor="text1"/>
          <w:sz w:val="20"/>
        </w:rPr>
      </w:pPr>
      <w:r w:rsidRPr="00B00089">
        <w:rPr>
          <w:rFonts w:ascii="Cambria" w:hAnsi="Cambria"/>
          <w:b/>
          <w:color w:val="000000" w:themeColor="text1"/>
          <w:sz w:val="20"/>
        </w:rPr>
        <w:t xml:space="preserve">para el comercio de atún rojo entre los Estados miembros de la UE en </w:t>
      </w:r>
      <w:r w:rsidR="00200610" w:rsidRPr="00B00089">
        <w:rPr>
          <w:rFonts w:ascii="Cambria" w:hAnsi="Cambria"/>
          <w:b/>
          <w:color w:val="000000" w:themeColor="text1"/>
          <w:sz w:val="20"/>
        </w:rPr>
        <w:t>202</w:t>
      </w:r>
      <w:r w:rsidR="00200610">
        <w:rPr>
          <w:rFonts w:ascii="Cambria" w:hAnsi="Cambria"/>
          <w:b/>
          <w:color w:val="000000" w:themeColor="text1"/>
          <w:sz w:val="20"/>
        </w:rPr>
        <w:t>5</w:t>
      </w:r>
      <w:r w:rsidR="00200610" w:rsidRPr="00B00089">
        <w:rPr>
          <w:rFonts w:ascii="Cambria" w:hAnsi="Cambria"/>
          <w:b/>
          <w:color w:val="000000" w:themeColor="text1"/>
          <w:sz w:val="20"/>
        </w:rPr>
        <w:t xml:space="preserve"> </w:t>
      </w:r>
    </w:p>
    <w:p w14:paraId="4E0CB13E" w14:textId="5C26A617" w:rsidR="009E4402" w:rsidRPr="00B00089" w:rsidRDefault="4BC23E5B" w:rsidP="00741B44">
      <w:pPr>
        <w:spacing w:after="0" w:line="240" w:lineRule="auto"/>
        <w:jc w:val="center"/>
        <w:rPr>
          <w:rFonts w:ascii="Cambria" w:eastAsia="Times New Roman" w:hAnsi="Cambria" w:cs="Times New Roman"/>
          <w:b/>
          <w:bCs/>
          <w:color w:val="000000" w:themeColor="text1"/>
          <w:sz w:val="20"/>
          <w:szCs w:val="20"/>
        </w:rPr>
      </w:pPr>
      <w:r w:rsidRPr="00B00089">
        <w:rPr>
          <w:rFonts w:ascii="Cambria" w:hAnsi="Cambria"/>
          <w:b/>
          <w:color w:val="000000" w:themeColor="text1"/>
          <w:sz w:val="20"/>
        </w:rPr>
        <w:t xml:space="preserve">(párrafo 5b de la Recomendación 24-16 de ICCAT) </w:t>
      </w:r>
    </w:p>
    <w:p w14:paraId="69C2F03C" w14:textId="42EBB533" w:rsidR="4BC23E5B" w:rsidRPr="00B00089" w:rsidRDefault="4BC23E5B" w:rsidP="00741B44">
      <w:pPr>
        <w:spacing w:after="0" w:line="240" w:lineRule="auto"/>
        <w:jc w:val="center"/>
        <w:rPr>
          <w:rFonts w:ascii="Cambria" w:eastAsia="Times New Roman" w:hAnsi="Cambria" w:cs="Times New Roman"/>
          <w:b/>
          <w:bCs/>
          <w:color w:val="000000" w:themeColor="text1"/>
          <w:sz w:val="20"/>
          <w:szCs w:val="20"/>
        </w:rPr>
      </w:pPr>
    </w:p>
    <w:p w14:paraId="5858B356" w14:textId="64FFC314" w:rsidR="4BC23E5B" w:rsidRPr="00B00089" w:rsidRDefault="4BC23E5B" w:rsidP="00741B44">
      <w:pPr>
        <w:keepNext/>
        <w:spacing w:after="0" w:line="240" w:lineRule="auto"/>
        <w:jc w:val="center"/>
        <w:rPr>
          <w:rFonts w:ascii="Cambria" w:eastAsia="Times New Roman" w:hAnsi="Cambria" w:cs="Times New Roman"/>
          <w:i/>
          <w:iCs/>
          <w:color w:val="000000" w:themeColor="text1"/>
          <w:sz w:val="20"/>
          <w:szCs w:val="20"/>
        </w:rPr>
      </w:pPr>
      <w:r w:rsidRPr="00B00089">
        <w:rPr>
          <w:rFonts w:ascii="Cambria" w:hAnsi="Cambria"/>
          <w:i/>
          <w:color w:val="000000" w:themeColor="text1"/>
          <w:sz w:val="20"/>
        </w:rPr>
        <w:t>(</w:t>
      </w:r>
      <w:r w:rsidR="00341303" w:rsidRPr="00B00089">
        <w:rPr>
          <w:rFonts w:ascii="Cambria" w:hAnsi="Cambria"/>
          <w:i/>
          <w:color w:val="000000" w:themeColor="text1"/>
          <w:sz w:val="20"/>
        </w:rPr>
        <w:t>p</w:t>
      </w:r>
      <w:r w:rsidRPr="00B00089">
        <w:rPr>
          <w:rFonts w:ascii="Cambria" w:hAnsi="Cambria"/>
          <w:i/>
          <w:color w:val="000000" w:themeColor="text1"/>
          <w:sz w:val="20"/>
        </w:rPr>
        <w:t>resent</w:t>
      </w:r>
      <w:r w:rsidR="00341303" w:rsidRPr="00B00089">
        <w:rPr>
          <w:rFonts w:ascii="Cambria" w:hAnsi="Cambria"/>
          <w:i/>
          <w:color w:val="000000" w:themeColor="text1"/>
          <w:sz w:val="20"/>
        </w:rPr>
        <w:t xml:space="preserve">ado por </w:t>
      </w:r>
      <w:r w:rsidRPr="00B00089">
        <w:rPr>
          <w:rFonts w:ascii="Cambria" w:hAnsi="Cambria"/>
          <w:i/>
          <w:color w:val="000000" w:themeColor="text1"/>
          <w:sz w:val="20"/>
        </w:rPr>
        <w:t xml:space="preserve">la </w:t>
      </w:r>
      <w:r w:rsidR="00341303" w:rsidRPr="00B00089">
        <w:rPr>
          <w:rFonts w:ascii="Cambria" w:hAnsi="Cambria"/>
          <w:i/>
          <w:color w:val="000000" w:themeColor="text1"/>
          <w:sz w:val="20"/>
        </w:rPr>
        <w:t>Unión Europea</w:t>
      </w:r>
      <w:r w:rsidRPr="00B00089">
        <w:rPr>
          <w:rFonts w:ascii="Cambria" w:hAnsi="Cambria"/>
          <w:i/>
          <w:color w:val="000000" w:themeColor="text1"/>
          <w:sz w:val="20"/>
        </w:rPr>
        <w:t>)</w:t>
      </w:r>
    </w:p>
    <w:p w14:paraId="10207FBA" w14:textId="77777777" w:rsidR="00741B44" w:rsidRPr="00B00089" w:rsidRDefault="00741B44" w:rsidP="00741B44">
      <w:pPr>
        <w:keepNext/>
        <w:spacing w:after="0" w:line="240" w:lineRule="auto"/>
        <w:jc w:val="center"/>
        <w:rPr>
          <w:rFonts w:ascii="Cambria" w:eastAsia="Times New Roman" w:hAnsi="Cambria" w:cs="Times New Roman"/>
          <w:b/>
          <w:bCs/>
          <w:color w:val="000000" w:themeColor="text1"/>
          <w:sz w:val="20"/>
          <w:szCs w:val="20"/>
        </w:rPr>
      </w:pPr>
    </w:p>
    <w:p w14:paraId="7A3F7E00" w14:textId="526ECB64" w:rsidR="4BC23E5B" w:rsidRPr="00B00089" w:rsidRDefault="007E7AC9" w:rsidP="00741B44">
      <w:pPr>
        <w:pStyle w:val="Prrafodelista"/>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B00089">
        <w:rPr>
          <w:rFonts w:ascii="Cambria" w:hAnsi="Cambria"/>
          <w:b/>
          <w:color w:val="000000" w:themeColor="text1"/>
          <w:sz w:val="20"/>
        </w:rPr>
        <w:t>Introducción</w:t>
      </w:r>
    </w:p>
    <w:p w14:paraId="42BEEBB3" w14:textId="77777777" w:rsidR="007E7AC9" w:rsidRPr="00B00089" w:rsidRDefault="007E7AC9" w:rsidP="00741B44">
      <w:pPr>
        <w:keepNext/>
        <w:spacing w:after="0" w:line="240" w:lineRule="auto"/>
        <w:jc w:val="both"/>
        <w:rPr>
          <w:rFonts w:ascii="Cambria" w:eastAsia="Times New Roman" w:hAnsi="Cambria" w:cs="Times New Roman"/>
          <w:color w:val="000000" w:themeColor="text1"/>
          <w:sz w:val="20"/>
          <w:szCs w:val="20"/>
        </w:rPr>
      </w:pPr>
    </w:p>
    <w:p w14:paraId="31A45D16" w14:textId="600BA957" w:rsidR="4BC23E5B" w:rsidRPr="00B00089" w:rsidRDefault="4BC23E5B" w:rsidP="00741B44">
      <w:pPr>
        <w:keepNext/>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Al igual que otras Partes contratantes (CPC) de ICCAT, la Unión Europea (UE) </w:t>
      </w:r>
      <w:r w:rsidR="00341303" w:rsidRPr="00B00089">
        <w:rPr>
          <w:rFonts w:ascii="Cambria" w:hAnsi="Cambria"/>
          <w:color w:val="000000" w:themeColor="text1"/>
          <w:sz w:val="20"/>
        </w:rPr>
        <w:t xml:space="preserve">implementa </w:t>
      </w:r>
      <w:r w:rsidRPr="00B00089">
        <w:rPr>
          <w:rFonts w:ascii="Cambria" w:hAnsi="Cambria"/>
          <w:color w:val="000000" w:themeColor="text1"/>
          <w:sz w:val="20"/>
        </w:rPr>
        <w:t>el sistema eBCD desde el 26 de mayo de 2016 para el atún rojo (BFT) capturado por los cerqueros y almadrabas y desde el 1 de julio de 2016 para los peces capturados por otros artes. Todos los operadores implementan el sistema en su totalidad desde enero de 2017.</w:t>
      </w:r>
    </w:p>
    <w:p w14:paraId="0A3D8F94" w14:textId="77777777" w:rsidR="007E7AC9" w:rsidRPr="00B00089" w:rsidRDefault="007E7AC9" w:rsidP="00741B44">
      <w:pPr>
        <w:keepNext/>
        <w:spacing w:after="0" w:line="240" w:lineRule="auto"/>
        <w:jc w:val="both"/>
        <w:rPr>
          <w:rFonts w:ascii="Cambria" w:eastAsia="Times New Roman" w:hAnsi="Cambria" w:cs="Times New Roman"/>
          <w:b/>
          <w:bCs/>
          <w:color w:val="000000" w:themeColor="text1"/>
          <w:sz w:val="20"/>
          <w:szCs w:val="20"/>
        </w:rPr>
      </w:pPr>
    </w:p>
    <w:p w14:paraId="0E740359" w14:textId="5CE82537" w:rsidR="00C34E8E" w:rsidRPr="00B00089" w:rsidRDefault="0735E4F6" w:rsidP="00741B44">
      <w:pPr>
        <w:keepNext/>
        <w:spacing w:after="0" w:line="240" w:lineRule="auto"/>
        <w:jc w:val="both"/>
        <w:rPr>
          <w:rFonts w:ascii="Cambria" w:eastAsia="Times New Roman" w:hAnsi="Cambria" w:cs="Times New Roman"/>
          <w:b/>
          <w:bCs/>
          <w:color w:val="000000" w:themeColor="text1"/>
          <w:sz w:val="20"/>
          <w:szCs w:val="20"/>
        </w:rPr>
      </w:pPr>
      <w:r w:rsidRPr="00B00089">
        <w:rPr>
          <w:rFonts w:ascii="Cambria" w:hAnsi="Cambria"/>
          <w:color w:val="000000" w:themeColor="text1"/>
          <w:sz w:val="20"/>
        </w:rPr>
        <w:t xml:space="preserve">El párrafo 5b de la Recomendación 24-16 establece una derogación para la validación </w:t>
      </w:r>
      <w:r w:rsidR="00E45ABE" w:rsidRPr="00B00089">
        <w:rPr>
          <w:rFonts w:ascii="Cambria" w:hAnsi="Cambria"/>
          <w:color w:val="000000" w:themeColor="text1"/>
          <w:sz w:val="20"/>
        </w:rPr>
        <w:t xml:space="preserve">de los BCD para </w:t>
      </w:r>
      <w:r w:rsidR="00674213">
        <w:rPr>
          <w:rFonts w:ascii="Cambria" w:hAnsi="Cambria"/>
          <w:color w:val="000000" w:themeColor="text1"/>
          <w:sz w:val="20"/>
        </w:rPr>
        <w:t>las operaciones comerciales</w:t>
      </w:r>
      <w:r w:rsidRPr="00B00089">
        <w:rPr>
          <w:rFonts w:ascii="Cambria" w:hAnsi="Cambria"/>
          <w:color w:val="000000" w:themeColor="text1"/>
          <w:sz w:val="20"/>
        </w:rPr>
        <w:t xml:space="preserve"> de atún rojo entre los Estados miembros de la UE</w:t>
      </w:r>
      <w:r w:rsidR="00137A6D" w:rsidRPr="00137A6D">
        <w:rPr>
          <w:rFonts w:ascii="Cambria" w:hAnsi="Cambria"/>
          <w:color w:val="000000" w:themeColor="text1"/>
          <w:sz w:val="20"/>
        </w:rPr>
        <w:t xml:space="preserve"> </w:t>
      </w:r>
      <w:r w:rsidR="00137A6D">
        <w:rPr>
          <w:rFonts w:ascii="Cambria" w:hAnsi="Cambria"/>
          <w:color w:val="000000" w:themeColor="text1"/>
          <w:sz w:val="20"/>
        </w:rPr>
        <w:t>cuando sea en forma de filetes (FL) u otros (OT)</w:t>
      </w:r>
      <w:r w:rsidR="00E45ABE" w:rsidRPr="00B00089">
        <w:rPr>
          <w:rFonts w:ascii="Cambria" w:hAnsi="Cambria"/>
          <w:color w:val="000000" w:themeColor="text1"/>
          <w:sz w:val="20"/>
        </w:rPr>
        <w:t>.</w:t>
      </w:r>
      <w:r w:rsidRPr="00B00089">
        <w:rPr>
          <w:rFonts w:ascii="Cambria" w:hAnsi="Cambria"/>
          <w:color w:val="000000" w:themeColor="text1"/>
          <w:sz w:val="20"/>
        </w:rPr>
        <w:t xml:space="preserve"> La </w:t>
      </w:r>
      <w:r w:rsidR="00E45ABE" w:rsidRPr="00B00089">
        <w:rPr>
          <w:rFonts w:ascii="Cambria" w:hAnsi="Cambria"/>
          <w:color w:val="000000" w:themeColor="text1"/>
          <w:sz w:val="20"/>
        </w:rPr>
        <w:t xml:space="preserve">UE </w:t>
      </w:r>
      <w:r w:rsidRPr="00B00089">
        <w:rPr>
          <w:rFonts w:ascii="Cambria" w:hAnsi="Cambria"/>
          <w:color w:val="000000" w:themeColor="text1"/>
          <w:sz w:val="20"/>
        </w:rPr>
        <w:t xml:space="preserve">debe informar a la Comisión sobre la implementación de esta </w:t>
      </w:r>
      <w:r w:rsidR="00E45ABE" w:rsidRPr="00B00089">
        <w:rPr>
          <w:rFonts w:ascii="Cambria" w:hAnsi="Cambria"/>
          <w:color w:val="000000" w:themeColor="text1"/>
          <w:sz w:val="20"/>
        </w:rPr>
        <w:t>derogación</w:t>
      </w:r>
      <w:r w:rsidRPr="00B00089">
        <w:rPr>
          <w:rFonts w:ascii="Cambria" w:hAnsi="Cambria"/>
          <w:color w:val="000000" w:themeColor="text1"/>
          <w:sz w:val="20"/>
        </w:rPr>
        <w:t xml:space="preserve"> antes del 1 de octubre de cada año, aunque las estadísticas que figuran en este informe no pueden generarse mediante el sistema eBCD ni ponerse automáticamente a disposición de toda la Comisión de ICCAT y las CPC para su consulta. </w:t>
      </w:r>
    </w:p>
    <w:p w14:paraId="10C54E86" w14:textId="77777777" w:rsidR="00C34E8E" w:rsidRPr="00B00089" w:rsidRDefault="00C34E8E" w:rsidP="00741B44">
      <w:pPr>
        <w:pStyle w:val="Prrafodelista"/>
        <w:keepNext/>
        <w:spacing w:after="0" w:line="240" w:lineRule="auto"/>
        <w:jc w:val="both"/>
        <w:rPr>
          <w:rFonts w:ascii="Cambria" w:eastAsia="Times New Roman" w:hAnsi="Cambria" w:cs="Times New Roman"/>
          <w:b/>
          <w:bCs/>
          <w:color w:val="000000" w:themeColor="text1"/>
          <w:sz w:val="20"/>
          <w:szCs w:val="20"/>
        </w:rPr>
      </w:pPr>
    </w:p>
    <w:p w14:paraId="4E85FB57" w14:textId="77777777" w:rsidR="00001C64" w:rsidRPr="00B00089" w:rsidRDefault="00001C64" w:rsidP="00741B44">
      <w:pPr>
        <w:pStyle w:val="Prrafodelista"/>
        <w:keepNext/>
        <w:spacing w:after="0" w:line="240" w:lineRule="auto"/>
        <w:jc w:val="both"/>
        <w:rPr>
          <w:rFonts w:ascii="Cambria" w:eastAsia="Times New Roman" w:hAnsi="Cambria" w:cs="Times New Roman"/>
          <w:b/>
          <w:bCs/>
          <w:color w:val="000000" w:themeColor="text1"/>
          <w:sz w:val="20"/>
          <w:szCs w:val="20"/>
        </w:rPr>
      </w:pPr>
    </w:p>
    <w:p w14:paraId="1BA86DFA" w14:textId="50E890B0" w:rsidR="4BC23E5B" w:rsidRPr="00B00089" w:rsidRDefault="00AA2A52" w:rsidP="00AA2A52">
      <w:pPr>
        <w:pStyle w:val="Prrafodelista"/>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B00089">
        <w:rPr>
          <w:rFonts w:ascii="Cambria" w:hAnsi="Cambria"/>
          <w:b/>
          <w:color w:val="000000" w:themeColor="text1"/>
          <w:sz w:val="20"/>
        </w:rPr>
        <w:t>Derogación con arreglo al párrafo 5b de la Recomendación 24-16 de ICCAT</w:t>
      </w:r>
    </w:p>
    <w:p w14:paraId="411F0AD0"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54C8FAFA" w14:textId="34782B71" w:rsidR="4BC23E5B" w:rsidRPr="00B00089" w:rsidRDefault="4BC23E5B"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Los datos presentados a continuación corresponden al periodo comprendido entre el 1 de enero</w:t>
      </w:r>
      <w:r w:rsidR="00CD5DC6">
        <w:rPr>
          <w:rFonts w:ascii="Cambria" w:hAnsi="Cambria"/>
          <w:color w:val="000000" w:themeColor="text1"/>
          <w:sz w:val="20"/>
        </w:rPr>
        <w:t xml:space="preserve"> de 2025</w:t>
      </w:r>
      <w:r w:rsidRPr="00B00089">
        <w:rPr>
          <w:rFonts w:ascii="Cambria" w:hAnsi="Cambria"/>
          <w:color w:val="000000" w:themeColor="text1"/>
          <w:sz w:val="20"/>
        </w:rPr>
        <w:t xml:space="preserve"> y el 31 de diciembre de </w:t>
      </w:r>
      <w:r w:rsidR="00137A6D" w:rsidRPr="00B00089">
        <w:rPr>
          <w:rFonts w:ascii="Cambria" w:hAnsi="Cambria"/>
          <w:color w:val="000000" w:themeColor="text1"/>
          <w:sz w:val="20"/>
        </w:rPr>
        <w:t>202</w:t>
      </w:r>
      <w:r w:rsidR="00137A6D">
        <w:rPr>
          <w:rFonts w:ascii="Cambria" w:hAnsi="Cambria"/>
          <w:color w:val="000000" w:themeColor="text1"/>
          <w:sz w:val="20"/>
        </w:rPr>
        <w:t>5</w:t>
      </w:r>
      <w:r w:rsidRPr="00B00089">
        <w:rPr>
          <w:rFonts w:ascii="Cambria" w:hAnsi="Cambria"/>
          <w:color w:val="000000" w:themeColor="text1"/>
          <w:sz w:val="20"/>
        </w:rPr>
        <w:t xml:space="preserve">. Estos datos se extrajeron mediante la funcionalidad del sistema eBCD. </w:t>
      </w:r>
    </w:p>
    <w:p w14:paraId="01D5CBE8"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621B9235" w14:textId="16F671C4" w:rsidR="4BC23E5B" w:rsidRPr="00B00089" w:rsidRDefault="0735E4F6"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El alcance de este informe se ha restringido a los eventos comerciales de los Estados miembros de la UE vendedores, para evitar la duplicación, y porque el Estado miembro vendedor es responsable de la validación en el eBCD.</w:t>
      </w:r>
    </w:p>
    <w:p w14:paraId="462EE6BC"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2AB09F67" w14:textId="5B657A11" w:rsidR="1C116FD1" w:rsidRPr="00B00089" w:rsidRDefault="1C116FD1"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En </w:t>
      </w:r>
      <w:r w:rsidR="00045258" w:rsidRPr="00B00089">
        <w:rPr>
          <w:rFonts w:ascii="Cambria" w:hAnsi="Cambria"/>
          <w:color w:val="000000" w:themeColor="text1"/>
          <w:sz w:val="20"/>
        </w:rPr>
        <w:t>202</w:t>
      </w:r>
      <w:r w:rsidR="00045258">
        <w:rPr>
          <w:rFonts w:ascii="Cambria" w:hAnsi="Cambria"/>
          <w:color w:val="000000" w:themeColor="text1"/>
          <w:sz w:val="20"/>
        </w:rPr>
        <w:t>5</w:t>
      </w:r>
      <w:r w:rsidRPr="00B00089">
        <w:rPr>
          <w:rFonts w:ascii="Cambria" w:hAnsi="Cambria"/>
          <w:color w:val="000000" w:themeColor="text1"/>
          <w:sz w:val="20"/>
        </w:rPr>
        <w:t xml:space="preserve">, los Estados miembros de la UE registraron </w:t>
      </w:r>
      <w:r w:rsidR="00C76D5B" w:rsidRPr="00A3160D">
        <w:rPr>
          <w:rFonts w:ascii="Cambria" w:hAnsi="Cambria"/>
          <w:sz w:val="20"/>
        </w:rPr>
        <w:t>220</w:t>
      </w:r>
      <w:r w:rsidR="00C76D5B">
        <w:rPr>
          <w:rFonts w:ascii="Cambria" w:hAnsi="Cambria"/>
          <w:sz w:val="20"/>
        </w:rPr>
        <w:t>.</w:t>
      </w:r>
      <w:r w:rsidR="00C76D5B" w:rsidRPr="00A3160D">
        <w:rPr>
          <w:rFonts w:ascii="Cambria" w:hAnsi="Cambria"/>
          <w:sz w:val="20"/>
        </w:rPr>
        <w:t>371</w:t>
      </w:r>
      <w:r w:rsidRPr="00B00089">
        <w:rPr>
          <w:rFonts w:ascii="Cambria" w:hAnsi="Cambria"/>
          <w:color w:val="000000" w:themeColor="text1"/>
          <w:sz w:val="20"/>
        </w:rPr>
        <w:t> eventos comerciales</w:t>
      </w:r>
      <w:r w:rsidRPr="00B00089">
        <w:rPr>
          <w:rStyle w:val="Refdenotaalpie"/>
          <w:rFonts w:ascii="Cambria" w:eastAsia="Times New Roman" w:hAnsi="Cambria" w:cs="Times New Roman"/>
          <w:color w:val="000000" w:themeColor="text1"/>
          <w:sz w:val="20"/>
          <w:szCs w:val="20"/>
        </w:rPr>
        <w:footnoteReference w:id="1"/>
      </w:r>
      <w:r w:rsidRPr="00B00089">
        <w:rPr>
          <w:rFonts w:ascii="Cambria" w:hAnsi="Cambria"/>
          <w:color w:val="000000" w:themeColor="text1"/>
          <w:sz w:val="20"/>
        </w:rPr>
        <w:t xml:space="preserve"> en el sistema eBCD que implicaron </w:t>
      </w:r>
      <w:r w:rsidR="00AB16F3">
        <w:rPr>
          <w:rFonts w:ascii="Cambria" w:hAnsi="Cambria"/>
          <w:color w:val="000000" w:themeColor="text1"/>
          <w:sz w:val="20"/>
        </w:rPr>
        <w:t>43.866</w:t>
      </w:r>
      <w:r w:rsidR="00CD5DC6">
        <w:rPr>
          <w:rFonts w:ascii="Cambria" w:hAnsi="Cambria"/>
          <w:color w:val="000000" w:themeColor="text1"/>
          <w:sz w:val="20"/>
        </w:rPr>
        <w:t> </w:t>
      </w:r>
      <w:r w:rsidRPr="00B00089">
        <w:rPr>
          <w:rFonts w:ascii="Cambria" w:hAnsi="Cambria"/>
          <w:color w:val="000000" w:themeColor="text1"/>
          <w:sz w:val="20"/>
        </w:rPr>
        <w:t>t. El Reglamento (UE) 640/2010</w:t>
      </w:r>
      <w:r w:rsidRPr="00B00089">
        <w:rPr>
          <w:rStyle w:val="Refdenotaalpie"/>
          <w:rFonts w:ascii="Cambria" w:eastAsia="Times New Roman" w:hAnsi="Cambria" w:cs="Times New Roman"/>
          <w:color w:val="000000" w:themeColor="text1"/>
          <w:sz w:val="20"/>
          <w:szCs w:val="20"/>
        </w:rPr>
        <w:footnoteReference w:id="2"/>
      </w:r>
      <w:r w:rsidRPr="00B00089">
        <w:rPr>
          <w:rFonts w:ascii="Cambria" w:hAnsi="Cambria"/>
          <w:color w:val="000000" w:themeColor="text1"/>
          <w:sz w:val="20"/>
        </w:rPr>
        <w:t xml:space="preserve"> establece la obligación de registrar los eventos comerciales dentro de los territorios de los Estados miembros de la UE</w:t>
      </w:r>
      <w:r w:rsidR="00C13C0D">
        <w:rPr>
          <w:rFonts w:ascii="Cambria" w:hAnsi="Cambria"/>
          <w:color w:val="000000" w:themeColor="text1"/>
          <w:sz w:val="20"/>
        </w:rPr>
        <w:t>: ello representa el 78 % del total de l</w:t>
      </w:r>
      <w:r w:rsidR="002F664E">
        <w:rPr>
          <w:rFonts w:ascii="Cambria" w:hAnsi="Cambria"/>
          <w:color w:val="000000" w:themeColor="text1"/>
          <w:sz w:val="20"/>
        </w:rPr>
        <w:t>o</w:t>
      </w:r>
      <w:r w:rsidR="00C13C0D">
        <w:rPr>
          <w:rFonts w:ascii="Cambria" w:hAnsi="Cambria"/>
          <w:color w:val="000000" w:themeColor="text1"/>
          <w:sz w:val="20"/>
        </w:rPr>
        <w:t xml:space="preserve">s </w:t>
      </w:r>
      <w:r w:rsidR="002F664E">
        <w:rPr>
          <w:rFonts w:ascii="Cambria" w:hAnsi="Cambria"/>
          <w:color w:val="000000" w:themeColor="text1"/>
          <w:sz w:val="20"/>
        </w:rPr>
        <w:t>eventos</w:t>
      </w:r>
      <w:r w:rsidR="00C13C0D">
        <w:rPr>
          <w:rFonts w:ascii="Cambria" w:hAnsi="Cambria"/>
          <w:color w:val="000000" w:themeColor="text1"/>
          <w:sz w:val="20"/>
        </w:rPr>
        <w:t xml:space="preserve"> comerciales registrad</w:t>
      </w:r>
      <w:r w:rsidR="002F664E">
        <w:rPr>
          <w:rFonts w:ascii="Cambria" w:hAnsi="Cambria"/>
          <w:color w:val="000000" w:themeColor="text1"/>
          <w:sz w:val="20"/>
        </w:rPr>
        <w:t>o</w:t>
      </w:r>
      <w:r w:rsidR="00C13C0D">
        <w:rPr>
          <w:rFonts w:ascii="Cambria" w:hAnsi="Cambria"/>
          <w:color w:val="000000" w:themeColor="text1"/>
          <w:sz w:val="20"/>
        </w:rPr>
        <w:t>s en el eBCD por la UE (172.</w:t>
      </w:r>
      <w:r w:rsidR="00BF51EA">
        <w:rPr>
          <w:rFonts w:ascii="Cambria" w:hAnsi="Cambria"/>
          <w:color w:val="000000" w:themeColor="text1"/>
          <w:sz w:val="20"/>
        </w:rPr>
        <w:t>2</w:t>
      </w:r>
      <w:r w:rsidR="00C13C0D">
        <w:rPr>
          <w:rFonts w:ascii="Cambria" w:hAnsi="Cambria"/>
          <w:color w:val="000000" w:themeColor="text1"/>
          <w:sz w:val="20"/>
        </w:rPr>
        <w:t>80).</w:t>
      </w:r>
      <w:r w:rsidRPr="00B00089">
        <w:rPr>
          <w:rFonts w:ascii="Cambria" w:hAnsi="Cambria"/>
          <w:color w:val="000000" w:themeColor="text1"/>
          <w:sz w:val="20"/>
        </w:rPr>
        <w:t xml:space="preserve"> El resto de </w:t>
      </w:r>
      <w:r w:rsidR="00CE659D" w:rsidRPr="00B00089">
        <w:rPr>
          <w:rFonts w:ascii="Cambria" w:hAnsi="Cambria"/>
          <w:color w:val="000000" w:themeColor="text1"/>
          <w:sz w:val="20"/>
        </w:rPr>
        <w:t>l</w:t>
      </w:r>
      <w:r w:rsidR="00CE659D">
        <w:rPr>
          <w:rFonts w:ascii="Cambria" w:hAnsi="Cambria"/>
          <w:color w:val="000000" w:themeColor="text1"/>
          <w:sz w:val="20"/>
        </w:rPr>
        <w:t>o</w:t>
      </w:r>
      <w:r w:rsidR="00CE659D" w:rsidRPr="00B00089">
        <w:rPr>
          <w:rFonts w:ascii="Cambria" w:hAnsi="Cambria"/>
          <w:color w:val="000000" w:themeColor="text1"/>
          <w:sz w:val="20"/>
        </w:rPr>
        <w:t xml:space="preserve">s </w:t>
      </w:r>
      <w:r w:rsidR="00CE659D">
        <w:rPr>
          <w:rFonts w:ascii="Cambria" w:hAnsi="Cambria"/>
          <w:color w:val="000000" w:themeColor="text1"/>
          <w:sz w:val="20"/>
        </w:rPr>
        <w:t>eventos</w:t>
      </w:r>
      <w:r w:rsidR="00CE659D" w:rsidRPr="00B00089">
        <w:rPr>
          <w:rFonts w:ascii="Cambria" w:hAnsi="Cambria"/>
          <w:color w:val="000000" w:themeColor="text1"/>
          <w:sz w:val="20"/>
        </w:rPr>
        <w:t xml:space="preserve"> </w:t>
      </w:r>
      <w:r w:rsidRPr="00B00089">
        <w:rPr>
          <w:rFonts w:ascii="Cambria" w:hAnsi="Cambria"/>
          <w:color w:val="000000" w:themeColor="text1"/>
          <w:sz w:val="20"/>
        </w:rPr>
        <w:t xml:space="preserve">comerciales incluyen </w:t>
      </w:r>
      <w:r w:rsidR="00C13C0D">
        <w:rPr>
          <w:rFonts w:ascii="Cambria" w:hAnsi="Cambria"/>
          <w:color w:val="000000" w:themeColor="text1"/>
          <w:sz w:val="20"/>
        </w:rPr>
        <w:t>16.394</w:t>
      </w:r>
      <w:r w:rsidRPr="00B00089">
        <w:rPr>
          <w:rFonts w:ascii="Cambria" w:hAnsi="Cambria"/>
          <w:color w:val="000000" w:themeColor="text1"/>
          <w:sz w:val="20"/>
        </w:rPr>
        <w:t xml:space="preserve"> exportaciones a otros países no pertenecientes a la UE (ya sean CPC de ICCAT o no) (</w:t>
      </w:r>
      <w:r w:rsidR="00402201">
        <w:rPr>
          <w:rFonts w:ascii="Cambria" w:hAnsi="Cambria"/>
          <w:color w:val="000000" w:themeColor="text1"/>
          <w:sz w:val="20"/>
        </w:rPr>
        <w:t>7</w:t>
      </w:r>
      <w:r w:rsidR="00402201" w:rsidRPr="00B00089">
        <w:rPr>
          <w:rFonts w:ascii="Cambria" w:hAnsi="Cambria"/>
          <w:color w:val="000000" w:themeColor="text1"/>
          <w:sz w:val="20"/>
        </w:rPr>
        <w:t> </w:t>
      </w:r>
      <w:r w:rsidRPr="00B00089">
        <w:rPr>
          <w:rFonts w:ascii="Cambria" w:hAnsi="Cambria"/>
          <w:color w:val="000000" w:themeColor="text1"/>
          <w:sz w:val="20"/>
        </w:rPr>
        <w:t xml:space="preserve">%), y </w:t>
      </w:r>
      <w:r w:rsidR="00402201">
        <w:rPr>
          <w:rFonts w:ascii="Cambria" w:hAnsi="Cambria"/>
          <w:color w:val="000000" w:themeColor="text1"/>
          <w:sz w:val="20"/>
        </w:rPr>
        <w:t>31.699</w:t>
      </w:r>
      <w:r w:rsidRPr="00B00089">
        <w:rPr>
          <w:rFonts w:ascii="Cambria" w:hAnsi="Cambria"/>
          <w:color w:val="000000" w:themeColor="text1"/>
          <w:sz w:val="20"/>
        </w:rPr>
        <w:t xml:space="preserve"> </w:t>
      </w:r>
      <w:r w:rsidR="00CE659D">
        <w:rPr>
          <w:rFonts w:ascii="Cambria" w:hAnsi="Cambria"/>
          <w:color w:val="000000" w:themeColor="text1"/>
          <w:sz w:val="20"/>
        </w:rPr>
        <w:t>eventos</w:t>
      </w:r>
      <w:r w:rsidR="00CE659D" w:rsidRPr="00B00089">
        <w:rPr>
          <w:rFonts w:ascii="Cambria" w:hAnsi="Cambria"/>
          <w:color w:val="000000" w:themeColor="text1"/>
          <w:sz w:val="20"/>
        </w:rPr>
        <w:t xml:space="preserve"> </w:t>
      </w:r>
      <w:r w:rsidRPr="00B00089">
        <w:rPr>
          <w:rFonts w:ascii="Cambria" w:hAnsi="Cambria"/>
          <w:color w:val="000000" w:themeColor="text1"/>
          <w:sz w:val="20"/>
        </w:rPr>
        <w:t>comerciales entre los Estados miembros de la UE (</w:t>
      </w:r>
      <w:r w:rsidR="00402201">
        <w:rPr>
          <w:rFonts w:ascii="Cambria" w:hAnsi="Cambria"/>
          <w:color w:val="000000" w:themeColor="text1"/>
          <w:sz w:val="20"/>
        </w:rPr>
        <w:t>1</w:t>
      </w:r>
      <w:r w:rsidR="00402201" w:rsidRPr="00B00089">
        <w:rPr>
          <w:rFonts w:ascii="Cambria" w:hAnsi="Cambria"/>
          <w:color w:val="000000" w:themeColor="text1"/>
          <w:sz w:val="20"/>
        </w:rPr>
        <w:t>4 </w:t>
      </w:r>
      <w:r w:rsidRPr="00B00089">
        <w:rPr>
          <w:rFonts w:ascii="Cambria" w:hAnsi="Cambria"/>
          <w:color w:val="000000" w:themeColor="text1"/>
          <w:sz w:val="20"/>
        </w:rPr>
        <w:t xml:space="preserve">%). </w:t>
      </w:r>
    </w:p>
    <w:p w14:paraId="636C92AA"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7951CF13" w14:textId="6C79EF3C" w:rsidR="1C116FD1" w:rsidRPr="00B00089" w:rsidRDefault="1C116FD1"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Las cantidades </w:t>
      </w:r>
      <w:r w:rsidR="00402201">
        <w:rPr>
          <w:rFonts w:ascii="Cambria" w:hAnsi="Cambria"/>
          <w:color w:val="000000" w:themeColor="text1"/>
          <w:sz w:val="20"/>
        </w:rPr>
        <w:t>comercializadas</w:t>
      </w:r>
      <w:r w:rsidRPr="00B00089">
        <w:rPr>
          <w:rFonts w:ascii="Cambria" w:hAnsi="Cambria"/>
          <w:color w:val="000000" w:themeColor="text1"/>
          <w:sz w:val="20"/>
        </w:rPr>
        <w:t xml:space="preserve"> ascendieron a</w:t>
      </w:r>
      <w:r w:rsidR="00402201">
        <w:rPr>
          <w:rFonts w:ascii="Cambria" w:hAnsi="Cambria"/>
          <w:color w:val="000000" w:themeColor="text1"/>
          <w:sz w:val="20"/>
        </w:rPr>
        <w:t xml:space="preserve"> un total de</w:t>
      </w:r>
      <w:r w:rsidRPr="00B00089">
        <w:rPr>
          <w:rFonts w:ascii="Cambria" w:hAnsi="Cambria"/>
          <w:color w:val="000000" w:themeColor="text1"/>
          <w:sz w:val="20"/>
        </w:rPr>
        <w:t xml:space="preserve"> </w:t>
      </w:r>
      <w:r w:rsidR="00402201">
        <w:rPr>
          <w:rFonts w:ascii="Cambria" w:hAnsi="Cambria"/>
          <w:color w:val="000000" w:themeColor="text1"/>
          <w:sz w:val="20"/>
        </w:rPr>
        <w:t>14</w:t>
      </w:r>
      <w:r w:rsidR="003C7861">
        <w:rPr>
          <w:rFonts w:ascii="Cambria" w:hAnsi="Cambria"/>
          <w:color w:val="000000" w:themeColor="text1"/>
          <w:sz w:val="20"/>
        </w:rPr>
        <w:t>.342</w:t>
      </w:r>
      <w:r w:rsidRPr="00B00089">
        <w:rPr>
          <w:rFonts w:ascii="Cambria" w:hAnsi="Cambria"/>
          <w:color w:val="000000" w:themeColor="text1"/>
          <w:sz w:val="20"/>
        </w:rPr>
        <w:t xml:space="preserve"> t para el comercio interno </w:t>
      </w:r>
      <w:r w:rsidR="003C7861" w:rsidRPr="00B00089">
        <w:rPr>
          <w:rFonts w:ascii="Cambria" w:hAnsi="Cambria"/>
          <w:color w:val="000000" w:themeColor="text1"/>
          <w:sz w:val="20"/>
        </w:rPr>
        <w:t>(</w:t>
      </w:r>
      <w:r w:rsidR="003C7861">
        <w:rPr>
          <w:rFonts w:ascii="Cambria" w:hAnsi="Cambria"/>
          <w:color w:val="000000" w:themeColor="text1"/>
          <w:sz w:val="20"/>
        </w:rPr>
        <w:t>33</w:t>
      </w:r>
      <w:r w:rsidR="003C7861" w:rsidRPr="00B00089">
        <w:rPr>
          <w:rFonts w:ascii="Cambria" w:hAnsi="Cambria"/>
          <w:color w:val="000000" w:themeColor="text1"/>
          <w:sz w:val="20"/>
        </w:rPr>
        <w:t xml:space="preserve"> %) </w:t>
      </w:r>
      <w:r w:rsidRPr="00B00089">
        <w:rPr>
          <w:rFonts w:ascii="Cambria" w:hAnsi="Cambria"/>
          <w:color w:val="000000" w:themeColor="text1"/>
          <w:sz w:val="20"/>
        </w:rPr>
        <w:t xml:space="preserve">y </w:t>
      </w:r>
      <w:r w:rsidR="003C7861">
        <w:rPr>
          <w:rFonts w:ascii="Cambria" w:hAnsi="Cambria"/>
          <w:color w:val="000000" w:themeColor="text1"/>
          <w:sz w:val="20"/>
        </w:rPr>
        <w:t>a 26.901</w:t>
      </w:r>
      <w:r w:rsidR="00CD5DC6">
        <w:rPr>
          <w:rFonts w:ascii="Cambria" w:hAnsi="Cambria"/>
          <w:color w:val="000000" w:themeColor="text1"/>
          <w:sz w:val="20"/>
        </w:rPr>
        <w:t> </w:t>
      </w:r>
      <w:r w:rsidRPr="00B00089">
        <w:rPr>
          <w:rFonts w:ascii="Cambria" w:hAnsi="Cambria"/>
          <w:color w:val="000000" w:themeColor="text1"/>
          <w:sz w:val="20"/>
        </w:rPr>
        <w:t>t (</w:t>
      </w:r>
      <w:r w:rsidR="006C1FD0">
        <w:rPr>
          <w:rFonts w:ascii="Cambria" w:hAnsi="Cambria"/>
          <w:color w:val="000000" w:themeColor="text1"/>
          <w:sz w:val="20"/>
        </w:rPr>
        <w:t>61</w:t>
      </w:r>
      <w:r w:rsidR="006C1FD0" w:rsidRPr="00B00089">
        <w:rPr>
          <w:rFonts w:ascii="Cambria" w:hAnsi="Cambria"/>
          <w:color w:val="000000" w:themeColor="text1"/>
          <w:sz w:val="20"/>
        </w:rPr>
        <w:t> </w:t>
      </w:r>
      <w:r w:rsidRPr="00B00089">
        <w:rPr>
          <w:rFonts w:ascii="Cambria" w:hAnsi="Cambria"/>
          <w:color w:val="000000" w:themeColor="text1"/>
          <w:sz w:val="20"/>
        </w:rPr>
        <w:t xml:space="preserve">%) para las exportaciones. Las operaciones comerciales entre los Estados miembros de la UE ascendieron a </w:t>
      </w:r>
      <w:r w:rsidR="006C1FD0">
        <w:rPr>
          <w:rFonts w:ascii="Cambria" w:hAnsi="Cambria"/>
          <w:color w:val="000000" w:themeColor="text1"/>
          <w:sz w:val="20"/>
        </w:rPr>
        <w:t>2.623</w:t>
      </w:r>
      <w:r w:rsidRPr="00B00089">
        <w:rPr>
          <w:rFonts w:ascii="Cambria" w:hAnsi="Cambria"/>
          <w:color w:val="000000" w:themeColor="text1"/>
          <w:sz w:val="20"/>
        </w:rPr>
        <w:t xml:space="preserve"> t, lo que representa el </w:t>
      </w:r>
      <w:r w:rsidR="006C1FD0">
        <w:rPr>
          <w:rFonts w:ascii="Cambria" w:hAnsi="Cambria"/>
          <w:color w:val="000000" w:themeColor="text1"/>
          <w:sz w:val="20"/>
        </w:rPr>
        <w:t>6</w:t>
      </w:r>
      <w:r w:rsidR="006C1FD0" w:rsidRPr="00B00089">
        <w:rPr>
          <w:rFonts w:ascii="Cambria" w:hAnsi="Cambria"/>
          <w:color w:val="000000" w:themeColor="text1"/>
          <w:sz w:val="20"/>
        </w:rPr>
        <w:t> </w:t>
      </w:r>
      <w:r w:rsidRPr="00B00089">
        <w:rPr>
          <w:rFonts w:ascii="Cambria" w:hAnsi="Cambria"/>
          <w:color w:val="000000" w:themeColor="text1"/>
          <w:sz w:val="20"/>
        </w:rPr>
        <w:t>% del peso total comercializado (</w:t>
      </w:r>
      <w:r w:rsidRPr="00B00089">
        <w:rPr>
          <w:rFonts w:ascii="Cambria" w:hAnsi="Cambria"/>
          <w:b/>
          <w:bCs/>
          <w:color w:val="000000" w:themeColor="text1"/>
          <w:sz w:val="20"/>
        </w:rPr>
        <w:t>Figura 1</w:t>
      </w:r>
      <w:r w:rsidRPr="00B00089">
        <w:rPr>
          <w:rFonts w:ascii="Cambria" w:hAnsi="Cambria"/>
          <w:color w:val="000000" w:themeColor="text1"/>
          <w:sz w:val="20"/>
        </w:rPr>
        <w:t>).</w:t>
      </w:r>
    </w:p>
    <w:p w14:paraId="0F8CA766" w14:textId="71620027" w:rsidR="31DB0E87" w:rsidRPr="00B00089" w:rsidRDefault="31DB0E87" w:rsidP="00741B44">
      <w:pPr>
        <w:spacing w:after="0" w:line="240" w:lineRule="auto"/>
        <w:jc w:val="center"/>
        <w:rPr>
          <w:rFonts w:ascii="Cambria" w:hAnsi="Cambria"/>
          <w:sz w:val="20"/>
          <w:szCs w:val="20"/>
        </w:rPr>
      </w:pPr>
    </w:p>
    <w:p w14:paraId="2FC4FFCD" w14:textId="17E26316" w:rsidR="009A0055" w:rsidRDefault="00C6666C" w:rsidP="00741B44">
      <w:pPr>
        <w:spacing w:after="0" w:line="240" w:lineRule="auto"/>
        <w:jc w:val="both"/>
        <w:rPr>
          <w:rFonts w:ascii="Cambria" w:hAnsi="Cambria"/>
          <w:i/>
          <w:color w:val="000000" w:themeColor="text1"/>
          <w:sz w:val="20"/>
        </w:rPr>
      </w:pPr>
      <w:r w:rsidRPr="00A3160D">
        <w:rPr>
          <w:rFonts w:ascii="Cambria" w:hAnsi="Cambria"/>
          <w:noProof/>
          <w:sz w:val="20"/>
        </w:rPr>
        <w:lastRenderedPageBreak/>
        <w:drawing>
          <wp:anchor distT="0" distB="0" distL="114300" distR="114300" simplePos="0" relativeHeight="251658240" behindDoc="0" locked="0" layoutInCell="1" allowOverlap="1" wp14:anchorId="63000B39" wp14:editId="621B4A4C">
            <wp:simplePos x="0" y="0"/>
            <wp:positionH relativeFrom="column">
              <wp:posOffset>602791</wp:posOffset>
            </wp:positionH>
            <wp:positionV relativeFrom="paragraph">
              <wp:posOffset>105</wp:posOffset>
            </wp:positionV>
            <wp:extent cx="4474800" cy="3240000"/>
            <wp:effectExtent l="0" t="0" r="2540" b="17780"/>
            <wp:wrapTopAndBottom/>
            <wp:docPr id="1325926953" name="Chart 1">
              <a:extLst xmlns:a="http://schemas.openxmlformats.org/drawingml/2006/main">
                <a:ext uri="{FF2B5EF4-FFF2-40B4-BE49-F238E27FC236}">
                  <a16:creationId xmlns:a16="http://schemas.microsoft.com/office/drawing/2014/main" id="{E665544E-9022-32A4-020A-4F1A2BEEC5B7}"/>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AC85EEF" w14:textId="77777777" w:rsidR="00C6666C" w:rsidRPr="00B00089" w:rsidRDefault="00C6666C" w:rsidP="00741B44">
      <w:pPr>
        <w:spacing w:after="0" w:line="240" w:lineRule="auto"/>
        <w:jc w:val="both"/>
        <w:rPr>
          <w:rFonts w:ascii="Cambria" w:hAnsi="Cambria"/>
          <w:i/>
          <w:color w:val="000000" w:themeColor="text1"/>
          <w:sz w:val="20"/>
        </w:rPr>
      </w:pPr>
    </w:p>
    <w:p w14:paraId="26D3209E" w14:textId="127E5A8C" w:rsidR="4F76BCD6" w:rsidRPr="00B00089" w:rsidRDefault="4F76BCD6" w:rsidP="00741B44">
      <w:pPr>
        <w:spacing w:after="0" w:line="240" w:lineRule="auto"/>
        <w:jc w:val="both"/>
        <w:rPr>
          <w:rFonts w:ascii="Cambria" w:eastAsia="Times New Roman" w:hAnsi="Cambria" w:cs="Times New Roman"/>
          <w:sz w:val="20"/>
          <w:szCs w:val="20"/>
        </w:rPr>
      </w:pPr>
      <w:r w:rsidRPr="00B00089">
        <w:rPr>
          <w:rFonts w:ascii="Cambria" w:hAnsi="Cambria"/>
          <w:i/>
          <w:color w:val="000000" w:themeColor="text1"/>
          <w:sz w:val="20"/>
        </w:rPr>
        <w:t xml:space="preserve">Exportaciones: </w:t>
      </w:r>
      <w:r w:rsidR="008C1C88">
        <w:rPr>
          <w:rFonts w:ascii="Cambria" w:hAnsi="Cambria"/>
          <w:i/>
          <w:color w:val="000000" w:themeColor="text1"/>
          <w:sz w:val="20"/>
        </w:rPr>
        <w:t>eventos</w:t>
      </w:r>
      <w:r w:rsidR="008C1C88" w:rsidRPr="00B00089">
        <w:rPr>
          <w:rFonts w:ascii="Cambria" w:hAnsi="Cambria"/>
          <w:i/>
          <w:color w:val="000000" w:themeColor="text1"/>
          <w:sz w:val="20"/>
        </w:rPr>
        <w:t xml:space="preserve"> </w:t>
      </w:r>
      <w:r w:rsidRPr="00B00089">
        <w:rPr>
          <w:rFonts w:ascii="Cambria" w:hAnsi="Cambria"/>
          <w:i/>
          <w:color w:val="000000" w:themeColor="text1"/>
          <w:sz w:val="20"/>
        </w:rPr>
        <w:t xml:space="preserve">comerciales desde la UE a otras CPC. </w:t>
      </w:r>
      <w:r w:rsidR="006C1FD0">
        <w:rPr>
          <w:rFonts w:ascii="Cambria" w:hAnsi="Cambria"/>
          <w:i/>
          <w:color w:val="000000" w:themeColor="text1"/>
          <w:sz w:val="20"/>
        </w:rPr>
        <w:t>Comercio</w:t>
      </w:r>
      <w:r w:rsidRPr="00B00089">
        <w:rPr>
          <w:rFonts w:ascii="Cambria" w:hAnsi="Cambria"/>
          <w:i/>
          <w:color w:val="000000" w:themeColor="text1"/>
          <w:sz w:val="20"/>
        </w:rPr>
        <w:t xml:space="preserve"> entre EM-UE: </w:t>
      </w:r>
      <w:r w:rsidR="008C1C88">
        <w:rPr>
          <w:rFonts w:ascii="Cambria" w:hAnsi="Cambria"/>
          <w:i/>
          <w:color w:val="000000" w:themeColor="text1"/>
          <w:sz w:val="20"/>
        </w:rPr>
        <w:t>eventos</w:t>
      </w:r>
      <w:r w:rsidR="008C1C88" w:rsidRPr="00B00089">
        <w:rPr>
          <w:rFonts w:ascii="Cambria" w:hAnsi="Cambria"/>
          <w:i/>
          <w:color w:val="000000" w:themeColor="text1"/>
          <w:sz w:val="20"/>
        </w:rPr>
        <w:t xml:space="preserve"> </w:t>
      </w:r>
      <w:r w:rsidRPr="00B00089">
        <w:rPr>
          <w:rFonts w:ascii="Cambria" w:hAnsi="Cambria"/>
          <w:i/>
          <w:color w:val="000000" w:themeColor="text1"/>
          <w:sz w:val="20"/>
        </w:rPr>
        <w:t xml:space="preserve">comerciales entre Estados miembros de la UE. </w:t>
      </w:r>
      <w:r w:rsidR="00FD64EB">
        <w:rPr>
          <w:rFonts w:ascii="Cambria" w:hAnsi="Cambria"/>
          <w:i/>
          <w:color w:val="000000" w:themeColor="text1"/>
          <w:sz w:val="20"/>
        </w:rPr>
        <w:t>Comercio</w:t>
      </w:r>
      <w:r w:rsidRPr="00B00089">
        <w:rPr>
          <w:rFonts w:ascii="Cambria" w:hAnsi="Cambria"/>
          <w:i/>
          <w:color w:val="000000" w:themeColor="text1"/>
          <w:sz w:val="20"/>
        </w:rPr>
        <w:t xml:space="preserve"> </w:t>
      </w:r>
      <w:r w:rsidR="00FD64EB" w:rsidRPr="00B00089">
        <w:rPr>
          <w:rFonts w:ascii="Cambria" w:hAnsi="Cambria"/>
          <w:i/>
          <w:color w:val="000000" w:themeColor="text1"/>
          <w:sz w:val="20"/>
        </w:rPr>
        <w:t>intern</w:t>
      </w:r>
      <w:r w:rsidR="00FD64EB">
        <w:rPr>
          <w:rFonts w:ascii="Cambria" w:hAnsi="Cambria"/>
          <w:i/>
          <w:color w:val="000000" w:themeColor="text1"/>
          <w:sz w:val="20"/>
        </w:rPr>
        <w:t>o</w:t>
      </w:r>
      <w:r w:rsidRPr="00B00089">
        <w:rPr>
          <w:rFonts w:ascii="Cambria" w:hAnsi="Cambria"/>
          <w:i/>
          <w:color w:val="000000" w:themeColor="text1"/>
          <w:sz w:val="20"/>
        </w:rPr>
        <w:t xml:space="preserve">: </w:t>
      </w:r>
      <w:r w:rsidR="00FD64EB">
        <w:rPr>
          <w:rFonts w:ascii="Cambria" w:hAnsi="Cambria"/>
          <w:i/>
          <w:color w:val="000000" w:themeColor="text1"/>
          <w:sz w:val="20"/>
        </w:rPr>
        <w:t>comercio</w:t>
      </w:r>
      <w:r w:rsidRPr="00B00089">
        <w:rPr>
          <w:rFonts w:ascii="Cambria" w:hAnsi="Cambria"/>
          <w:i/>
          <w:color w:val="000000" w:themeColor="text1"/>
          <w:sz w:val="20"/>
        </w:rPr>
        <w:t xml:space="preserve"> dentro de los territorios de los Estados miembros de la UE.</w:t>
      </w:r>
    </w:p>
    <w:p w14:paraId="3EF4493E"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0F133028" w14:textId="1B91400D" w:rsidR="289210A1" w:rsidRPr="00B00089" w:rsidRDefault="4F76BCD6" w:rsidP="00741B44">
      <w:pPr>
        <w:spacing w:after="0" w:line="240" w:lineRule="auto"/>
        <w:jc w:val="both"/>
        <w:rPr>
          <w:rFonts w:ascii="Cambria" w:eastAsia="Times New Roman" w:hAnsi="Cambria" w:cs="Times New Roman"/>
          <w:sz w:val="20"/>
          <w:szCs w:val="20"/>
        </w:rPr>
      </w:pPr>
      <w:r w:rsidRPr="00B00089">
        <w:rPr>
          <w:rFonts w:ascii="Cambria" w:hAnsi="Cambria"/>
          <w:color w:val="000000" w:themeColor="text1"/>
          <w:sz w:val="20"/>
        </w:rPr>
        <w:t xml:space="preserve">El </w:t>
      </w:r>
      <w:r w:rsidR="00561A2E" w:rsidRPr="00B00089">
        <w:rPr>
          <w:rFonts w:ascii="Cambria" w:hAnsi="Cambria"/>
          <w:color w:val="000000" w:themeColor="text1"/>
          <w:sz w:val="20"/>
        </w:rPr>
        <w:t>4</w:t>
      </w:r>
      <w:r w:rsidR="00561A2E">
        <w:rPr>
          <w:rFonts w:ascii="Cambria" w:hAnsi="Cambria"/>
          <w:color w:val="000000" w:themeColor="text1"/>
          <w:sz w:val="20"/>
        </w:rPr>
        <w:t>5</w:t>
      </w:r>
      <w:r w:rsidR="00561A2E" w:rsidRPr="00B00089">
        <w:rPr>
          <w:rFonts w:ascii="Cambria" w:hAnsi="Cambria"/>
          <w:color w:val="000000" w:themeColor="text1"/>
          <w:sz w:val="20"/>
        </w:rPr>
        <w:t> </w:t>
      </w:r>
      <w:r w:rsidRPr="00B00089">
        <w:rPr>
          <w:rFonts w:ascii="Cambria" w:hAnsi="Cambria"/>
          <w:color w:val="000000" w:themeColor="text1"/>
          <w:sz w:val="20"/>
        </w:rPr>
        <w:t>% (</w:t>
      </w:r>
      <w:r w:rsidR="00561A2E">
        <w:rPr>
          <w:rFonts w:ascii="Cambria" w:hAnsi="Cambria"/>
          <w:color w:val="000000" w:themeColor="text1"/>
          <w:sz w:val="20"/>
        </w:rPr>
        <w:t>98</w:t>
      </w:r>
      <w:r w:rsidRPr="00B00089">
        <w:rPr>
          <w:rFonts w:ascii="Cambria" w:hAnsi="Cambria"/>
          <w:color w:val="000000" w:themeColor="text1"/>
          <w:sz w:val="20"/>
        </w:rPr>
        <w:t xml:space="preserve">.926) del total de </w:t>
      </w:r>
      <w:r w:rsidR="00943548">
        <w:rPr>
          <w:rFonts w:ascii="Cambria" w:hAnsi="Cambria"/>
          <w:color w:val="000000" w:themeColor="text1"/>
          <w:sz w:val="20"/>
        </w:rPr>
        <w:t>los eventos</w:t>
      </w:r>
      <w:r w:rsidR="003247AB" w:rsidRPr="00B00089">
        <w:rPr>
          <w:rFonts w:ascii="Cambria" w:hAnsi="Cambria"/>
          <w:color w:val="000000" w:themeColor="text1"/>
          <w:sz w:val="20"/>
        </w:rPr>
        <w:t xml:space="preserve"> comerciales</w:t>
      </w:r>
      <w:r w:rsidRPr="00B00089">
        <w:rPr>
          <w:rFonts w:ascii="Cambria" w:hAnsi="Cambria"/>
          <w:color w:val="000000" w:themeColor="text1"/>
          <w:sz w:val="20"/>
        </w:rPr>
        <w:t xml:space="preserve"> fue validado, y el </w:t>
      </w:r>
      <w:r w:rsidR="00561A2E" w:rsidRPr="00B00089">
        <w:rPr>
          <w:rFonts w:ascii="Cambria" w:hAnsi="Cambria"/>
          <w:color w:val="000000" w:themeColor="text1"/>
          <w:sz w:val="20"/>
        </w:rPr>
        <w:t>5</w:t>
      </w:r>
      <w:r w:rsidR="00561A2E">
        <w:rPr>
          <w:rFonts w:ascii="Cambria" w:hAnsi="Cambria"/>
          <w:color w:val="000000" w:themeColor="text1"/>
          <w:sz w:val="20"/>
        </w:rPr>
        <w:t>5</w:t>
      </w:r>
      <w:r w:rsidR="00561A2E" w:rsidRPr="00B00089">
        <w:rPr>
          <w:rFonts w:ascii="Cambria" w:hAnsi="Cambria"/>
          <w:color w:val="000000" w:themeColor="text1"/>
          <w:sz w:val="20"/>
        </w:rPr>
        <w:t> </w:t>
      </w:r>
      <w:r w:rsidRPr="00B00089">
        <w:rPr>
          <w:rFonts w:ascii="Cambria" w:hAnsi="Cambria"/>
          <w:color w:val="000000" w:themeColor="text1"/>
          <w:sz w:val="20"/>
        </w:rPr>
        <w:t>% (</w:t>
      </w:r>
      <w:r w:rsidR="00561A2E" w:rsidRPr="00B00089">
        <w:rPr>
          <w:rFonts w:ascii="Cambria" w:hAnsi="Cambria"/>
          <w:color w:val="000000" w:themeColor="text1"/>
          <w:sz w:val="20"/>
        </w:rPr>
        <w:t>12</w:t>
      </w:r>
      <w:r w:rsidR="00561A2E">
        <w:rPr>
          <w:rFonts w:ascii="Cambria" w:hAnsi="Cambria"/>
          <w:color w:val="000000" w:themeColor="text1"/>
          <w:sz w:val="20"/>
        </w:rPr>
        <w:t>0</w:t>
      </w:r>
      <w:r w:rsidRPr="00B00089">
        <w:rPr>
          <w:rFonts w:ascii="Cambria" w:hAnsi="Cambria"/>
          <w:color w:val="000000" w:themeColor="text1"/>
          <w:sz w:val="20"/>
        </w:rPr>
        <w:t>.</w:t>
      </w:r>
      <w:r w:rsidR="00561A2E">
        <w:rPr>
          <w:rFonts w:ascii="Cambria" w:hAnsi="Cambria"/>
          <w:color w:val="000000" w:themeColor="text1"/>
          <w:sz w:val="20"/>
        </w:rPr>
        <w:t>861</w:t>
      </w:r>
      <w:r w:rsidRPr="00B00089">
        <w:rPr>
          <w:rFonts w:ascii="Cambria" w:hAnsi="Cambria"/>
          <w:color w:val="000000" w:themeColor="text1"/>
          <w:sz w:val="20"/>
        </w:rPr>
        <w:t xml:space="preserve">) quedó exento de validación, para una cantidad de </w:t>
      </w:r>
      <w:r w:rsidR="00561A2E">
        <w:rPr>
          <w:rFonts w:ascii="Cambria" w:hAnsi="Cambria"/>
          <w:color w:val="000000" w:themeColor="text1"/>
          <w:sz w:val="20"/>
        </w:rPr>
        <w:t>35.124</w:t>
      </w:r>
      <w:r w:rsidRPr="00B00089">
        <w:rPr>
          <w:rFonts w:ascii="Cambria" w:hAnsi="Cambria"/>
          <w:color w:val="000000" w:themeColor="text1"/>
          <w:sz w:val="20"/>
        </w:rPr>
        <w:t> t (</w:t>
      </w:r>
      <w:r w:rsidR="00561A2E" w:rsidRPr="00B00089">
        <w:rPr>
          <w:rFonts w:ascii="Cambria" w:hAnsi="Cambria"/>
          <w:color w:val="000000" w:themeColor="text1"/>
          <w:sz w:val="20"/>
        </w:rPr>
        <w:t>8</w:t>
      </w:r>
      <w:r w:rsidR="00561A2E">
        <w:rPr>
          <w:rFonts w:ascii="Cambria" w:hAnsi="Cambria"/>
          <w:color w:val="000000" w:themeColor="text1"/>
          <w:sz w:val="20"/>
        </w:rPr>
        <w:t>0</w:t>
      </w:r>
      <w:r w:rsidR="00561A2E" w:rsidRPr="00B00089">
        <w:rPr>
          <w:rFonts w:ascii="Cambria" w:hAnsi="Cambria"/>
          <w:color w:val="000000" w:themeColor="text1"/>
          <w:sz w:val="20"/>
        </w:rPr>
        <w:t> </w:t>
      </w:r>
      <w:r w:rsidRPr="00B00089">
        <w:rPr>
          <w:rFonts w:ascii="Cambria" w:hAnsi="Cambria"/>
          <w:color w:val="000000" w:themeColor="text1"/>
          <w:sz w:val="20"/>
        </w:rPr>
        <w:t xml:space="preserve">%) y </w:t>
      </w:r>
      <w:r w:rsidR="00561A2E">
        <w:rPr>
          <w:rFonts w:ascii="Cambria" w:hAnsi="Cambria"/>
          <w:color w:val="000000" w:themeColor="text1"/>
          <w:sz w:val="20"/>
        </w:rPr>
        <w:t>8.701</w:t>
      </w:r>
      <w:r w:rsidRPr="00B00089">
        <w:rPr>
          <w:rFonts w:ascii="Cambria" w:hAnsi="Cambria"/>
          <w:color w:val="000000" w:themeColor="text1"/>
          <w:sz w:val="20"/>
        </w:rPr>
        <w:t xml:space="preserve"> t (</w:t>
      </w:r>
      <w:r w:rsidR="00561A2E">
        <w:rPr>
          <w:rFonts w:ascii="Cambria" w:hAnsi="Cambria"/>
          <w:color w:val="000000" w:themeColor="text1"/>
          <w:sz w:val="20"/>
        </w:rPr>
        <w:t>20</w:t>
      </w:r>
      <w:r w:rsidR="00561A2E" w:rsidRPr="00B00089">
        <w:rPr>
          <w:rFonts w:ascii="Cambria" w:hAnsi="Cambria"/>
          <w:color w:val="000000" w:themeColor="text1"/>
          <w:sz w:val="20"/>
        </w:rPr>
        <w:t> </w:t>
      </w:r>
      <w:r w:rsidRPr="00B00089">
        <w:rPr>
          <w:rFonts w:ascii="Cambria" w:hAnsi="Cambria"/>
          <w:color w:val="000000" w:themeColor="text1"/>
          <w:sz w:val="20"/>
        </w:rPr>
        <w:t>%) respectivamente (</w:t>
      </w:r>
      <w:r w:rsidRPr="00B00089">
        <w:rPr>
          <w:rFonts w:ascii="Cambria" w:hAnsi="Cambria"/>
          <w:b/>
          <w:bCs/>
          <w:color w:val="000000" w:themeColor="text1"/>
          <w:sz w:val="20"/>
        </w:rPr>
        <w:t>Figura 2</w:t>
      </w:r>
      <w:r w:rsidRPr="00B00089">
        <w:rPr>
          <w:rFonts w:ascii="Cambria" w:hAnsi="Cambria"/>
          <w:color w:val="000000" w:themeColor="text1"/>
          <w:sz w:val="20"/>
        </w:rPr>
        <w:t xml:space="preserve">). </w:t>
      </w:r>
      <w:r w:rsidR="00561A2E">
        <w:rPr>
          <w:rFonts w:ascii="Cambria" w:hAnsi="Cambria"/>
          <w:color w:val="000000" w:themeColor="text1"/>
          <w:sz w:val="20"/>
        </w:rPr>
        <w:t>L</w:t>
      </w:r>
      <w:r w:rsidRPr="00B00089">
        <w:rPr>
          <w:rFonts w:ascii="Cambria" w:hAnsi="Cambria"/>
          <w:color w:val="000000" w:themeColor="text1"/>
          <w:sz w:val="20"/>
        </w:rPr>
        <w:t>as exenciones incluyen</w:t>
      </w:r>
      <w:r w:rsidR="00561A2E">
        <w:rPr>
          <w:rFonts w:ascii="Cambria" w:hAnsi="Cambria"/>
          <w:color w:val="000000" w:themeColor="text1"/>
          <w:sz w:val="20"/>
        </w:rPr>
        <w:t xml:space="preserve"> el comercio entre los Estados miembros,</w:t>
      </w:r>
      <w:r w:rsidRPr="00B00089">
        <w:rPr>
          <w:rFonts w:ascii="Cambria" w:hAnsi="Cambria"/>
          <w:color w:val="000000" w:themeColor="text1"/>
          <w:sz w:val="20"/>
        </w:rPr>
        <w:t xml:space="preserve"> la derogación con arreglo al párrafo</w:t>
      </w:r>
      <w:r w:rsidR="003247AB" w:rsidRPr="00B00089">
        <w:rPr>
          <w:rFonts w:ascii="Cambria" w:hAnsi="Cambria"/>
          <w:color w:val="000000" w:themeColor="text1"/>
          <w:sz w:val="20"/>
        </w:rPr>
        <w:t> </w:t>
      </w:r>
      <w:r w:rsidRPr="00B00089">
        <w:rPr>
          <w:rFonts w:ascii="Cambria" w:hAnsi="Cambria"/>
          <w:color w:val="000000" w:themeColor="text1"/>
          <w:sz w:val="20"/>
        </w:rPr>
        <w:t xml:space="preserve">5b de la Recomendación 24-16 </w:t>
      </w:r>
      <w:r w:rsidR="00561A2E">
        <w:rPr>
          <w:rFonts w:ascii="Cambria" w:hAnsi="Cambria"/>
          <w:color w:val="000000" w:themeColor="text1"/>
          <w:sz w:val="20"/>
        </w:rPr>
        <w:t>y la derogación</w:t>
      </w:r>
      <w:r w:rsidRPr="00B00089">
        <w:rPr>
          <w:rFonts w:ascii="Cambria" w:hAnsi="Cambria"/>
          <w:color w:val="000000" w:themeColor="text1"/>
          <w:sz w:val="20"/>
        </w:rPr>
        <w:t xml:space="preserve"> para el pescado marcado </w:t>
      </w:r>
      <w:r w:rsidR="00E55AB5">
        <w:rPr>
          <w:rFonts w:ascii="Cambria" w:hAnsi="Cambria"/>
          <w:color w:val="000000" w:themeColor="text1"/>
          <w:sz w:val="20"/>
        </w:rPr>
        <w:t>de conformidad con e</w:t>
      </w:r>
      <w:r w:rsidRPr="00B00089">
        <w:rPr>
          <w:rFonts w:ascii="Cambria" w:hAnsi="Cambria"/>
          <w:color w:val="000000" w:themeColor="text1"/>
          <w:sz w:val="20"/>
        </w:rPr>
        <w:t>l párrafo 5d de la Recomendación 24-16.</w:t>
      </w:r>
    </w:p>
    <w:p w14:paraId="78923914" w14:textId="0E3CB296" w:rsidR="00AA2A52" w:rsidRPr="00B00089" w:rsidRDefault="00B146A9" w:rsidP="00741B44">
      <w:pPr>
        <w:spacing w:after="0" w:line="240" w:lineRule="auto"/>
        <w:jc w:val="both"/>
        <w:rPr>
          <w:rFonts w:ascii="Cambria" w:eastAsia="Times New Roman" w:hAnsi="Cambria" w:cs="Times New Roman"/>
          <w:sz w:val="20"/>
          <w:szCs w:val="20"/>
        </w:rPr>
      </w:pPr>
      <w:r w:rsidRPr="00A3160D">
        <w:rPr>
          <w:rFonts w:ascii="Cambria" w:hAnsi="Cambria"/>
          <w:noProof/>
          <w:sz w:val="20"/>
        </w:rPr>
        <w:drawing>
          <wp:anchor distT="0" distB="0" distL="114300" distR="114300" simplePos="0" relativeHeight="251659264" behindDoc="0" locked="0" layoutInCell="1" allowOverlap="1" wp14:anchorId="7B4F6569" wp14:editId="1E69F2F0">
            <wp:simplePos x="0" y="0"/>
            <wp:positionH relativeFrom="column">
              <wp:posOffset>642059</wp:posOffset>
            </wp:positionH>
            <wp:positionV relativeFrom="paragraph">
              <wp:posOffset>285326</wp:posOffset>
            </wp:positionV>
            <wp:extent cx="4363085" cy="3239770"/>
            <wp:effectExtent l="0" t="0" r="18415" b="17780"/>
            <wp:wrapTopAndBottom/>
            <wp:docPr id="513653965" name="Chart 1">
              <a:extLst xmlns:a="http://schemas.openxmlformats.org/drawingml/2006/main">
                <a:ext uri="{FF2B5EF4-FFF2-40B4-BE49-F238E27FC236}">
                  <a16:creationId xmlns:a16="http://schemas.microsoft.com/office/drawing/2014/main" id="{F9034091-F8C8-56E7-643C-F0353330730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B93710B" w14:textId="0DA5EF8C" w:rsidR="3352C9AE" w:rsidRPr="00B00089" w:rsidRDefault="3352C9AE" w:rsidP="00741B44">
      <w:pPr>
        <w:spacing w:after="0" w:line="240" w:lineRule="auto"/>
        <w:jc w:val="center"/>
        <w:rPr>
          <w:rFonts w:ascii="Cambria" w:hAnsi="Cambria"/>
          <w:sz w:val="20"/>
          <w:szCs w:val="20"/>
        </w:rPr>
      </w:pPr>
    </w:p>
    <w:p w14:paraId="2B16997A" w14:textId="5D7936EB" w:rsidR="00C34E8E" w:rsidRDefault="00C34E8E" w:rsidP="00741B44">
      <w:pPr>
        <w:spacing w:after="0" w:line="240" w:lineRule="auto"/>
        <w:jc w:val="both"/>
        <w:rPr>
          <w:rFonts w:ascii="Cambria" w:eastAsia="Times New Roman" w:hAnsi="Cambria" w:cs="Times New Roman"/>
          <w:color w:val="000000" w:themeColor="text1"/>
          <w:sz w:val="20"/>
          <w:szCs w:val="20"/>
        </w:rPr>
      </w:pPr>
    </w:p>
    <w:p w14:paraId="1E2387B3" w14:textId="6DB25095" w:rsidR="002850ED" w:rsidRDefault="002850ED" w:rsidP="00741B44">
      <w:pPr>
        <w:spacing w:after="0" w:line="240" w:lineRule="auto"/>
        <w:jc w:val="both"/>
        <w:rPr>
          <w:rFonts w:ascii="Cambria" w:eastAsia="Times New Roman" w:hAnsi="Cambria" w:cs="Times New Roman"/>
          <w:color w:val="000000" w:themeColor="text1"/>
          <w:sz w:val="20"/>
          <w:szCs w:val="20"/>
        </w:rPr>
      </w:pPr>
    </w:p>
    <w:p w14:paraId="1770549A" w14:textId="77777777" w:rsidR="00D66D0B" w:rsidRPr="00B00089" w:rsidRDefault="00D66D0B" w:rsidP="00741B44">
      <w:pPr>
        <w:spacing w:after="0" w:line="240" w:lineRule="auto"/>
        <w:jc w:val="both"/>
        <w:rPr>
          <w:rFonts w:ascii="Cambria" w:eastAsia="Times New Roman" w:hAnsi="Cambria" w:cs="Times New Roman"/>
          <w:color w:val="000000" w:themeColor="text1"/>
          <w:sz w:val="20"/>
          <w:szCs w:val="20"/>
        </w:rPr>
      </w:pPr>
    </w:p>
    <w:p w14:paraId="32F09B31" w14:textId="286E31F0" w:rsidR="3352C9AE" w:rsidRPr="00B00089" w:rsidRDefault="3352C9AE"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En cuanto a los eventos comerciales exentos de validación</w:t>
      </w:r>
      <w:r w:rsidRPr="00B00089">
        <w:rPr>
          <w:rStyle w:val="Refdenotaalpie"/>
          <w:rFonts w:ascii="Cambria" w:eastAsia="Times New Roman" w:hAnsi="Cambria" w:cs="Times New Roman"/>
          <w:color w:val="000000" w:themeColor="text1"/>
          <w:sz w:val="20"/>
          <w:szCs w:val="20"/>
        </w:rPr>
        <w:footnoteReference w:id="3"/>
      </w:r>
      <w:r w:rsidRPr="00B00089">
        <w:rPr>
          <w:rFonts w:ascii="Cambria" w:hAnsi="Cambria"/>
          <w:color w:val="000000" w:themeColor="text1"/>
          <w:sz w:val="20"/>
        </w:rPr>
        <w:t xml:space="preserve">, </w:t>
      </w:r>
      <w:r w:rsidR="00E55AB5">
        <w:rPr>
          <w:rFonts w:ascii="Cambria" w:hAnsi="Cambria"/>
          <w:color w:val="000000" w:themeColor="text1"/>
          <w:sz w:val="20"/>
        </w:rPr>
        <w:t>9.218</w:t>
      </w:r>
      <w:r w:rsidRPr="00B00089">
        <w:rPr>
          <w:rFonts w:ascii="Cambria" w:hAnsi="Cambria"/>
          <w:color w:val="000000" w:themeColor="text1"/>
          <w:sz w:val="20"/>
        </w:rPr>
        <w:t xml:space="preserve"> </w:t>
      </w:r>
      <w:r w:rsidR="00F64C89">
        <w:rPr>
          <w:rFonts w:ascii="Cambria" w:hAnsi="Cambria"/>
          <w:color w:val="000000" w:themeColor="text1"/>
          <w:sz w:val="20"/>
        </w:rPr>
        <w:t xml:space="preserve">se adscribían a la </w:t>
      </w:r>
      <w:r w:rsidRPr="00B00089">
        <w:rPr>
          <w:rFonts w:ascii="Cambria" w:hAnsi="Cambria"/>
          <w:color w:val="000000" w:themeColor="text1"/>
          <w:sz w:val="20"/>
        </w:rPr>
        <w:t>derogación con arreglo al párr</w:t>
      </w:r>
      <w:r w:rsidR="00B32A15">
        <w:rPr>
          <w:rFonts w:ascii="Cambria" w:hAnsi="Cambria"/>
          <w:color w:val="000000" w:themeColor="text1"/>
          <w:sz w:val="20"/>
        </w:rPr>
        <w:t>afo</w:t>
      </w:r>
      <w:r w:rsidRPr="00B00089">
        <w:rPr>
          <w:rFonts w:ascii="Cambria" w:hAnsi="Cambria"/>
          <w:color w:val="000000" w:themeColor="text1"/>
          <w:sz w:val="20"/>
        </w:rPr>
        <w:t xml:space="preserve"> 5b) (</w:t>
      </w:r>
      <w:r w:rsidR="00F64C89">
        <w:rPr>
          <w:rFonts w:ascii="Cambria" w:hAnsi="Cambria"/>
          <w:color w:val="000000" w:themeColor="text1"/>
          <w:sz w:val="20"/>
        </w:rPr>
        <w:t>8</w:t>
      </w:r>
      <w:r w:rsidR="00F64C89" w:rsidRPr="00B00089">
        <w:rPr>
          <w:rFonts w:ascii="Cambria" w:hAnsi="Cambria"/>
          <w:color w:val="000000" w:themeColor="text1"/>
          <w:sz w:val="20"/>
        </w:rPr>
        <w:t> </w:t>
      </w:r>
      <w:r w:rsidRPr="00B00089">
        <w:rPr>
          <w:rFonts w:ascii="Cambria" w:hAnsi="Cambria"/>
          <w:color w:val="000000" w:themeColor="text1"/>
          <w:sz w:val="20"/>
        </w:rPr>
        <w:t xml:space="preserve">%) con una cantidad de </w:t>
      </w:r>
      <w:r w:rsidR="00F64C89">
        <w:rPr>
          <w:rFonts w:ascii="Cambria" w:hAnsi="Cambria"/>
          <w:color w:val="000000" w:themeColor="text1"/>
          <w:sz w:val="20"/>
        </w:rPr>
        <w:t>327</w:t>
      </w:r>
      <w:r w:rsidRPr="00B00089">
        <w:rPr>
          <w:rFonts w:ascii="Cambria" w:hAnsi="Cambria"/>
          <w:color w:val="000000" w:themeColor="text1"/>
          <w:sz w:val="20"/>
        </w:rPr>
        <w:t> t. Los demás eventos exentos están relacionados con el comercio interno (</w:t>
      </w:r>
      <w:r w:rsidRPr="00B00089">
        <w:rPr>
          <w:rFonts w:ascii="Cambria" w:hAnsi="Cambria"/>
          <w:b/>
          <w:bCs/>
          <w:color w:val="000000" w:themeColor="text1"/>
          <w:sz w:val="20"/>
        </w:rPr>
        <w:t>Figura 3</w:t>
      </w:r>
      <w:r w:rsidRPr="00B00089">
        <w:rPr>
          <w:rFonts w:ascii="Cambria" w:hAnsi="Cambria"/>
          <w:color w:val="000000" w:themeColor="text1"/>
          <w:sz w:val="20"/>
        </w:rPr>
        <w:t xml:space="preserve">). </w:t>
      </w:r>
    </w:p>
    <w:p w14:paraId="370DFA06" w14:textId="4CFC3AEB" w:rsidR="5E68D399" w:rsidRPr="00B00089" w:rsidRDefault="003F0338" w:rsidP="00741B44">
      <w:pPr>
        <w:spacing w:after="0" w:line="240" w:lineRule="auto"/>
        <w:jc w:val="center"/>
        <w:rPr>
          <w:rFonts w:ascii="Cambria" w:hAnsi="Cambria"/>
          <w:sz w:val="20"/>
          <w:szCs w:val="20"/>
        </w:rPr>
      </w:pPr>
      <w:r w:rsidRPr="00A3160D">
        <w:rPr>
          <w:rFonts w:ascii="Cambria" w:hAnsi="Cambria"/>
          <w:noProof/>
          <w:sz w:val="20"/>
        </w:rPr>
        <w:drawing>
          <wp:anchor distT="0" distB="0" distL="114300" distR="114300" simplePos="0" relativeHeight="251660288" behindDoc="0" locked="0" layoutInCell="1" allowOverlap="1" wp14:anchorId="6E71E55F" wp14:editId="036D1859">
            <wp:simplePos x="0" y="0"/>
            <wp:positionH relativeFrom="margin">
              <wp:align>center</wp:align>
            </wp:positionH>
            <wp:positionV relativeFrom="paragraph">
              <wp:posOffset>164150</wp:posOffset>
            </wp:positionV>
            <wp:extent cx="4597200" cy="3240000"/>
            <wp:effectExtent l="0" t="0" r="13335" b="17780"/>
            <wp:wrapTopAndBottom/>
            <wp:docPr id="101660359" name="Chart 1">
              <a:extLst xmlns:a="http://schemas.openxmlformats.org/drawingml/2006/main">
                <a:ext uri="{FF2B5EF4-FFF2-40B4-BE49-F238E27FC236}">
                  <a16:creationId xmlns:a16="http://schemas.microsoft.com/office/drawing/2014/main" id="{FC338FB7-B02A-E7DF-83AE-59817C31253F}"/>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B6A269A" w14:textId="4D944A89" w:rsidR="09A42DB3" w:rsidRDefault="09A42DB3" w:rsidP="00741B44">
      <w:pPr>
        <w:spacing w:after="0" w:line="240" w:lineRule="auto"/>
        <w:jc w:val="both"/>
        <w:rPr>
          <w:rFonts w:ascii="Cambria" w:hAnsi="Cambria"/>
          <w:i/>
          <w:color w:val="000000" w:themeColor="text1"/>
          <w:sz w:val="20"/>
        </w:rPr>
      </w:pPr>
    </w:p>
    <w:p w14:paraId="77EB546A" w14:textId="77777777" w:rsidR="00F74DD7" w:rsidRPr="00B00089" w:rsidRDefault="00F74DD7" w:rsidP="00741B44">
      <w:pPr>
        <w:spacing w:after="0" w:line="240" w:lineRule="auto"/>
        <w:jc w:val="both"/>
        <w:rPr>
          <w:rFonts w:ascii="Cambria" w:eastAsia="Times New Roman" w:hAnsi="Cambria" w:cs="Times New Roman"/>
          <w:color w:val="000000" w:themeColor="text1"/>
          <w:sz w:val="20"/>
          <w:szCs w:val="20"/>
        </w:rPr>
      </w:pPr>
    </w:p>
    <w:p w14:paraId="750575D6" w14:textId="45D08B74" w:rsidR="09A42DB3" w:rsidRPr="00B00089" w:rsidRDefault="09A42DB3"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La cantidad media fue de </w:t>
      </w:r>
      <w:r w:rsidR="00F64C89">
        <w:rPr>
          <w:rFonts w:ascii="Cambria" w:hAnsi="Cambria"/>
          <w:color w:val="000000" w:themeColor="text1"/>
          <w:sz w:val="20"/>
        </w:rPr>
        <w:t>72</w:t>
      </w:r>
      <w:r w:rsidR="00F64C89" w:rsidRPr="00B00089">
        <w:rPr>
          <w:rFonts w:ascii="Cambria" w:hAnsi="Cambria"/>
          <w:color w:val="000000" w:themeColor="text1"/>
          <w:sz w:val="20"/>
        </w:rPr>
        <w:t> </w:t>
      </w:r>
      <w:r w:rsidRPr="00B00089">
        <w:rPr>
          <w:rFonts w:ascii="Cambria" w:hAnsi="Cambria"/>
          <w:color w:val="000000" w:themeColor="text1"/>
          <w:sz w:val="20"/>
        </w:rPr>
        <w:t xml:space="preserve">kg para </w:t>
      </w:r>
      <w:r w:rsidR="00F64C89">
        <w:rPr>
          <w:rFonts w:ascii="Cambria" w:hAnsi="Cambria"/>
          <w:color w:val="000000" w:themeColor="text1"/>
          <w:sz w:val="20"/>
        </w:rPr>
        <w:t xml:space="preserve">los eventos </w:t>
      </w:r>
      <w:r w:rsidRPr="00B00089">
        <w:rPr>
          <w:rFonts w:ascii="Cambria" w:hAnsi="Cambria"/>
          <w:color w:val="000000" w:themeColor="text1"/>
          <w:sz w:val="20"/>
        </w:rPr>
        <w:t xml:space="preserve">comerciales </w:t>
      </w:r>
      <w:r w:rsidR="001D566C" w:rsidRPr="00B00089">
        <w:rPr>
          <w:rFonts w:ascii="Cambria" w:hAnsi="Cambria"/>
          <w:color w:val="000000" w:themeColor="text1"/>
          <w:sz w:val="20"/>
        </w:rPr>
        <w:t>exent</w:t>
      </w:r>
      <w:r w:rsidR="001D566C">
        <w:rPr>
          <w:rFonts w:ascii="Cambria" w:hAnsi="Cambria"/>
          <w:color w:val="000000" w:themeColor="text1"/>
          <w:sz w:val="20"/>
        </w:rPr>
        <w:t>o</w:t>
      </w:r>
      <w:r w:rsidR="001D566C" w:rsidRPr="00B00089">
        <w:rPr>
          <w:rFonts w:ascii="Cambria" w:hAnsi="Cambria"/>
          <w:color w:val="000000" w:themeColor="text1"/>
          <w:sz w:val="20"/>
        </w:rPr>
        <w:t xml:space="preserve">s </w:t>
      </w:r>
      <w:r w:rsidRPr="00B00089">
        <w:rPr>
          <w:rFonts w:ascii="Cambria" w:hAnsi="Cambria"/>
          <w:color w:val="000000" w:themeColor="text1"/>
          <w:sz w:val="20"/>
        </w:rPr>
        <w:t>de validación debido a la derogación con arreglo al párrafo 5b (</w:t>
      </w:r>
      <w:r w:rsidRPr="00B00089">
        <w:rPr>
          <w:rFonts w:ascii="Cambria" w:hAnsi="Cambria"/>
          <w:b/>
          <w:bCs/>
          <w:color w:val="000000" w:themeColor="text1"/>
          <w:sz w:val="20"/>
        </w:rPr>
        <w:t>Figura 4</w:t>
      </w:r>
      <w:r w:rsidRPr="00B00089">
        <w:rPr>
          <w:rFonts w:ascii="Cambria" w:hAnsi="Cambria"/>
          <w:color w:val="000000" w:themeColor="text1"/>
          <w:sz w:val="20"/>
        </w:rPr>
        <w:t>).</w:t>
      </w:r>
    </w:p>
    <w:p w14:paraId="757B6049" w14:textId="1CFEAAC7" w:rsidR="00AA2A52" w:rsidRDefault="00F76361" w:rsidP="00741B44">
      <w:pPr>
        <w:spacing w:after="0" w:line="240" w:lineRule="auto"/>
        <w:jc w:val="both"/>
        <w:rPr>
          <w:rFonts w:ascii="Cambria" w:eastAsia="Times New Roman" w:hAnsi="Cambria" w:cs="Times New Roman"/>
          <w:i/>
          <w:iCs/>
          <w:color w:val="000000" w:themeColor="text1"/>
          <w:sz w:val="20"/>
          <w:szCs w:val="20"/>
        </w:rPr>
      </w:pPr>
      <w:r w:rsidRPr="00A3160D">
        <w:rPr>
          <w:rFonts w:ascii="Cambria" w:hAnsi="Cambria"/>
          <w:noProof/>
          <w:sz w:val="20"/>
        </w:rPr>
        <w:drawing>
          <wp:anchor distT="0" distB="0" distL="114300" distR="114300" simplePos="0" relativeHeight="251661312" behindDoc="0" locked="0" layoutInCell="1" allowOverlap="1" wp14:anchorId="6397F09E" wp14:editId="2D346ECA">
            <wp:simplePos x="0" y="0"/>
            <wp:positionH relativeFrom="column">
              <wp:posOffset>989353</wp:posOffset>
            </wp:positionH>
            <wp:positionV relativeFrom="paragraph">
              <wp:posOffset>266275</wp:posOffset>
            </wp:positionV>
            <wp:extent cx="3996000" cy="3240000"/>
            <wp:effectExtent l="0" t="0" r="5080" b="17780"/>
            <wp:wrapTopAndBottom/>
            <wp:docPr id="579217517" name="Chart 1">
              <a:extLst xmlns:a="http://schemas.openxmlformats.org/drawingml/2006/main">
                <a:ext uri="{FF2B5EF4-FFF2-40B4-BE49-F238E27FC236}">
                  <a16:creationId xmlns:a16="http://schemas.microsoft.com/office/drawing/2014/main" id="{217E3D65-CC10-44A8-FEBE-C184A2BB53D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0773795" w14:textId="085416E3" w:rsidR="00374B9C" w:rsidRPr="00B00089" w:rsidRDefault="00374B9C" w:rsidP="00741B44">
      <w:pPr>
        <w:spacing w:after="0" w:line="240" w:lineRule="auto"/>
        <w:jc w:val="both"/>
        <w:rPr>
          <w:rFonts w:ascii="Cambria" w:eastAsia="Times New Roman" w:hAnsi="Cambria" w:cs="Times New Roman"/>
          <w:i/>
          <w:iCs/>
          <w:color w:val="000000" w:themeColor="text1"/>
          <w:sz w:val="20"/>
          <w:szCs w:val="20"/>
        </w:rPr>
      </w:pPr>
    </w:p>
    <w:p w14:paraId="591986C4" w14:textId="63CC9577" w:rsidR="297D4CAF" w:rsidRPr="00B00089" w:rsidRDefault="297D4CAF"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En el </w:t>
      </w:r>
      <w:r w:rsidRPr="00B00089">
        <w:rPr>
          <w:rFonts w:ascii="Cambria" w:hAnsi="Cambria"/>
          <w:b/>
          <w:bCs/>
          <w:color w:val="000000" w:themeColor="text1"/>
          <w:sz w:val="20"/>
        </w:rPr>
        <w:t>Anexo</w:t>
      </w:r>
      <w:r w:rsidRPr="00B00089">
        <w:rPr>
          <w:rFonts w:ascii="Cambria" w:hAnsi="Cambria"/>
          <w:color w:val="000000" w:themeColor="text1"/>
          <w:sz w:val="20"/>
        </w:rPr>
        <w:t xml:space="preserve"> se facilitan detalles adicionales de los Estados miembros de la UE.</w:t>
      </w:r>
    </w:p>
    <w:p w14:paraId="3D0A3E03" w14:textId="5BBE66F8" w:rsidR="313C39DB" w:rsidRPr="00B00089" w:rsidRDefault="313C39DB" w:rsidP="00AA2A52">
      <w:pPr>
        <w:pStyle w:val="Prrafodelista"/>
        <w:keepNext/>
        <w:numPr>
          <w:ilvl w:val="0"/>
          <w:numId w:val="1"/>
        </w:numPr>
        <w:spacing w:after="0" w:line="240" w:lineRule="auto"/>
        <w:ind w:left="426" w:hanging="426"/>
        <w:rPr>
          <w:rFonts w:ascii="Cambria" w:eastAsia="Times New Roman" w:hAnsi="Cambria" w:cs="Times New Roman"/>
          <w:b/>
          <w:bCs/>
          <w:color w:val="000000" w:themeColor="text1"/>
          <w:sz w:val="20"/>
          <w:szCs w:val="20"/>
        </w:rPr>
      </w:pPr>
      <w:r w:rsidRPr="00B00089">
        <w:rPr>
          <w:rFonts w:ascii="Cambria" w:hAnsi="Cambria"/>
          <w:b/>
          <w:color w:val="000000" w:themeColor="text1"/>
          <w:sz w:val="20"/>
        </w:rPr>
        <w:lastRenderedPageBreak/>
        <w:t>Verificaciones</w:t>
      </w:r>
    </w:p>
    <w:p w14:paraId="692BFFD7" w14:textId="77777777" w:rsidR="00AA2A52" w:rsidRPr="00B00089" w:rsidRDefault="00AA2A52" w:rsidP="00AA2A52">
      <w:pPr>
        <w:pStyle w:val="Prrafodelista"/>
        <w:keepNext/>
        <w:spacing w:after="0" w:line="240" w:lineRule="auto"/>
        <w:ind w:left="426"/>
        <w:rPr>
          <w:rFonts w:ascii="Cambria" w:eastAsia="Times New Roman" w:hAnsi="Cambria" w:cs="Times New Roman"/>
          <w:b/>
          <w:bCs/>
          <w:color w:val="000000" w:themeColor="text1"/>
          <w:sz w:val="20"/>
          <w:szCs w:val="20"/>
        </w:rPr>
      </w:pPr>
    </w:p>
    <w:p w14:paraId="28297592" w14:textId="06CFB50F" w:rsidR="313C39DB" w:rsidRPr="00B00089" w:rsidRDefault="00E174EF" w:rsidP="00741B44">
      <w:pPr>
        <w:spacing w:after="0" w:line="240" w:lineRule="auto"/>
        <w:jc w:val="both"/>
        <w:rPr>
          <w:rFonts w:ascii="Cambria" w:eastAsia="Times New Roman" w:hAnsi="Cambria" w:cs="Times New Roman"/>
          <w:color w:val="000000" w:themeColor="text1"/>
          <w:sz w:val="20"/>
          <w:szCs w:val="20"/>
        </w:rPr>
      </w:pPr>
      <w:r>
        <w:rPr>
          <w:rFonts w:ascii="Cambria" w:hAnsi="Cambria"/>
          <w:color w:val="000000" w:themeColor="text1"/>
          <w:sz w:val="20"/>
        </w:rPr>
        <w:t>C</w:t>
      </w:r>
      <w:r w:rsidR="313C39DB" w:rsidRPr="00B00089">
        <w:rPr>
          <w:rFonts w:ascii="Cambria" w:hAnsi="Cambria"/>
          <w:color w:val="000000" w:themeColor="text1"/>
          <w:sz w:val="20"/>
        </w:rPr>
        <w:t xml:space="preserve">omo parte del procedimiento estándar de validación, las autoridades de control realizan verificaciones y comprobaciones cruzadas de todos los documentos pertinentes, incluidos los datos del cuaderno de pesca, las declaraciones de desembarque, las notas de venta, las autorizaciones de ICCAT, etc. De conformidad con la legislación de la UE, las autoridades de control realizan verificaciones e inspecciones físicas en el desembarque, en el mercado interno y en la entrada en los Estados miembros de la UE sobre la base de una evaluación de riesgos. Todas las capturas se pesan en el momento del desembarque utilizando balanzas certificadas y calibradas. </w:t>
      </w:r>
    </w:p>
    <w:p w14:paraId="72C27D6D"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54B951CA" w14:textId="6961BE56" w:rsidR="00806318" w:rsidRPr="00B00089" w:rsidRDefault="313C39DB" w:rsidP="00741B44">
      <w:pPr>
        <w:spacing w:after="0" w:line="240" w:lineRule="auto"/>
        <w:jc w:val="both"/>
        <w:rPr>
          <w:rFonts w:ascii="Cambria" w:hAnsi="Cambria"/>
          <w:color w:val="000000" w:themeColor="text1"/>
          <w:sz w:val="20"/>
        </w:rPr>
      </w:pPr>
      <w:r w:rsidRPr="00B00089">
        <w:rPr>
          <w:rFonts w:ascii="Cambria" w:hAnsi="Cambria"/>
          <w:color w:val="000000" w:themeColor="text1"/>
          <w:sz w:val="20"/>
        </w:rPr>
        <w:t xml:space="preserve">En </w:t>
      </w:r>
      <w:r w:rsidR="00E174EF">
        <w:rPr>
          <w:rFonts w:ascii="Cambria" w:hAnsi="Cambria"/>
          <w:color w:val="000000" w:themeColor="text1"/>
          <w:sz w:val="20"/>
        </w:rPr>
        <w:t>los</w:t>
      </w:r>
      <w:r w:rsidR="00E174EF" w:rsidRPr="00B00089">
        <w:rPr>
          <w:rFonts w:ascii="Cambria" w:hAnsi="Cambria"/>
          <w:color w:val="000000" w:themeColor="text1"/>
          <w:sz w:val="20"/>
        </w:rPr>
        <w:t xml:space="preserve"> </w:t>
      </w:r>
      <w:r w:rsidRPr="00B00089">
        <w:rPr>
          <w:rFonts w:ascii="Cambria" w:hAnsi="Cambria"/>
          <w:color w:val="000000" w:themeColor="text1"/>
          <w:sz w:val="20"/>
        </w:rPr>
        <w:t>punto</w:t>
      </w:r>
      <w:r w:rsidR="00E174EF">
        <w:rPr>
          <w:rFonts w:ascii="Cambria" w:hAnsi="Cambria"/>
          <w:color w:val="000000" w:themeColor="text1"/>
          <w:sz w:val="20"/>
        </w:rPr>
        <w:t>s</w:t>
      </w:r>
      <w:r w:rsidRPr="00B00089">
        <w:rPr>
          <w:rFonts w:ascii="Cambria" w:hAnsi="Cambria"/>
          <w:color w:val="000000" w:themeColor="text1"/>
          <w:sz w:val="20"/>
        </w:rPr>
        <w:t xml:space="preserve"> de salida y entrada de la UE, las verificaciones incluyen comprobaciones cruzadas de los eBCD mediante conocimientos de embarque y notas de venta, así como verificaciones físicas. Las importaciones a la Unión Europea siguen los procedimientos aduaneros. </w:t>
      </w:r>
    </w:p>
    <w:p w14:paraId="6A21B5D9" w14:textId="4297CDA7" w:rsidR="313C39DB" w:rsidRPr="00B00089" w:rsidRDefault="313C39DB"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 </w:t>
      </w:r>
    </w:p>
    <w:p w14:paraId="67624835" w14:textId="34EEE234" w:rsidR="313C39DB" w:rsidRPr="00B00089" w:rsidRDefault="313C39DB"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Se realizó una verificación cruzada de todos los eBCD sujetos a validación. Incluso cuando no se requiere validación, las autoridades de control realizan comprobaciones cruzadas con las declaraciones de capturas y la información de los eBCD en conjunción con otros Estados miembros interesados, lo que permite una vigilancia eficaz de las operaciones exentas de validación. Además, las autoridades de control verifican la validación de captura o los detalles de las marcas, analizan la coherencia de las fechas de los mensajes de validación, así como los posibles mensajes de alerta en el eBCD. </w:t>
      </w:r>
    </w:p>
    <w:p w14:paraId="17F8657E"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7B7DF0A9" w14:textId="0AD88F34" w:rsidR="313C39DB" w:rsidRPr="00B00089" w:rsidRDefault="313C39DB"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Las funciones de extracción de datos, comprobaciones cruzadas y verificación en el sistema eBCD en sí mismo permiten a los Estados miembros de la UE establecer procedimientos de evaluación del riesgo mejorados para concentrarse específicamente en operaciones comerciales con miras a su verificación cruzada y comprobación.</w:t>
      </w:r>
    </w:p>
    <w:p w14:paraId="3839D4E9"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13F9002E"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73B04E2F" w14:textId="7088B2BE" w:rsidR="54E8B0A9" w:rsidRPr="00B00089" w:rsidRDefault="54E8B0A9" w:rsidP="00D41A11">
      <w:pPr>
        <w:pStyle w:val="Ttulo1"/>
        <w:numPr>
          <w:ilvl w:val="0"/>
          <w:numId w:val="3"/>
        </w:numPr>
        <w:spacing w:before="0" w:after="0" w:line="240" w:lineRule="auto"/>
        <w:jc w:val="both"/>
        <w:rPr>
          <w:rFonts w:ascii="Cambria" w:eastAsia="Times New Roman" w:hAnsi="Cambria" w:cs="Times New Roman"/>
          <w:b/>
          <w:bCs/>
          <w:color w:val="000000" w:themeColor="text1"/>
          <w:sz w:val="20"/>
          <w:szCs w:val="20"/>
        </w:rPr>
      </w:pPr>
      <w:r w:rsidRPr="00B00089">
        <w:rPr>
          <w:rFonts w:ascii="Cambria" w:hAnsi="Cambria"/>
          <w:b/>
          <w:color w:val="000000" w:themeColor="text1"/>
          <w:sz w:val="20"/>
        </w:rPr>
        <w:t>Conclusión</w:t>
      </w:r>
    </w:p>
    <w:p w14:paraId="13B0A674"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3CFAB1FD" w14:textId="05F86B2D" w:rsidR="54E8B0A9" w:rsidRPr="00B00089" w:rsidRDefault="54E8B0A9"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El número de eventos comerciales afectados por la derogación del párrafo 5b de la Recomendación 24-16 es significativo, pero se trata en la mayoría de los casos de pequeñas cantidades de atún de rojo, ya que se trata de presentaciones en filetes (FL) y otras (OT). Además, el </w:t>
      </w:r>
      <w:r w:rsidR="009F0C2D" w:rsidRPr="00B00089">
        <w:rPr>
          <w:rFonts w:ascii="Cambria" w:hAnsi="Cambria"/>
          <w:color w:val="000000" w:themeColor="text1"/>
          <w:sz w:val="20"/>
        </w:rPr>
        <w:t>7</w:t>
      </w:r>
      <w:r w:rsidR="009F0C2D">
        <w:rPr>
          <w:rFonts w:ascii="Cambria" w:hAnsi="Cambria"/>
          <w:color w:val="000000" w:themeColor="text1"/>
          <w:sz w:val="20"/>
        </w:rPr>
        <w:t>8</w:t>
      </w:r>
      <w:r w:rsidR="009F0C2D" w:rsidRPr="00B00089">
        <w:rPr>
          <w:rFonts w:ascii="Cambria" w:hAnsi="Cambria"/>
          <w:color w:val="000000" w:themeColor="text1"/>
          <w:sz w:val="20"/>
        </w:rPr>
        <w:t> </w:t>
      </w:r>
      <w:r w:rsidRPr="00B00089">
        <w:rPr>
          <w:rFonts w:ascii="Cambria" w:hAnsi="Cambria"/>
          <w:color w:val="000000" w:themeColor="text1"/>
          <w:sz w:val="20"/>
        </w:rPr>
        <w:t>% de l</w:t>
      </w:r>
      <w:r w:rsidR="009F0C2D">
        <w:rPr>
          <w:rFonts w:ascii="Cambria" w:hAnsi="Cambria"/>
          <w:color w:val="000000" w:themeColor="text1"/>
          <w:sz w:val="20"/>
        </w:rPr>
        <w:t>os eventos</w:t>
      </w:r>
      <w:r w:rsidR="000D47B6">
        <w:rPr>
          <w:rFonts w:ascii="Cambria" w:hAnsi="Cambria"/>
          <w:color w:val="000000" w:themeColor="text1"/>
          <w:sz w:val="20"/>
        </w:rPr>
        <w:t xml:space="preserve"> </w:t>
      </w:r>
      <w:r w:rsidRPr="00B00089">
        <w:rPr>
          <w:rFonts w:ascii="Cambria" w:hAnsi="Cambria"/>
          <w:color w:val="000000" w:themeColor="text1"/>
          <w:sz w:val="20"/>
        </w:rPr>
        <w:t xml:space="preserve">comerciales </w:t>
      </w:r>
      <w:r w:rsidR="009F0C2D" w:rsidRPr="00B00089">
        <w:rPr>
          <w:rFonts w:ascii="Cambria" w:hAnsi="Cambria"/>
          <w:color w:val="000000" w:themeColor="text1"/>
          <w:sz w:val="20"/>
        </w:rPr>
        <w:t>registrad</w:t>
      </w:r>
      <w:r w:rsidR="009F0C2D">
        <w:rPr>
          <w:rFonts w:ascii="Cambria" w:hAnsi="Cambria"/>
          <w:color w:val="000000" w:themeColor="text1"/>
          <w:sz w:val="20"/>
        </w:rPr>
        <w:t>o</w:t>
      </w:r>
      <w:r w:rsidR="009F0C2D" w:rsidRPr="00B00089">
        <w:rPr>
          <w:rFonts w:ascii="Cambria" w:hAnsi="Cambria"/>
          <w:color w:val="000000" w:themeColor="text1"/>
          <w:sz w:val="20"/>
        </w:rPr>
        <w:t xml:space="preserve">s </w:t>
      </w:r>
      <w:r w:rsidRPr="00B00089">
        <w:rPr>
          <w:rFonts w:ascii="Cambria" w:hAnsi="Cambria"/>
          <w:color w:val="000000" w:themeColor="text1"/>
          <w:sz w:val="20"/>
        </w:rPr>
        <w:t xml:space="preserve">por la UE son </w:t>
      </w:r>
      <w:r w:rsidR="00BD6246">
        <w:rPr>
          <w:rFonts w:ascii="Cambria" w:hAnsi="Cambria"/>
          <w:color w:val="000000" w:themeColor="text1"/>
          <w:sz w:val="20"/>
        </w:rPr>
        <w:t>eventos</w:t>
      </w:r>
      <w:r w:rsidR="00BD6246" w:rsidRPr="00B00089">
        <w:rPr>
          <w:rFonts w:ascii="Cambria" w:hAnsi="Cambria"/>
          <w:color w:val="000000" w:themeColor="text1"/>
          <w:sz w:val="20"/>
        </w:rPr>
        <w:t xml:space="preserve"> </w:t>
      </w:r>
      <w:r w:rsidRPr="00B00089">
        <w:rPr>
          <w:rFonts w:ascii="Cambria" w:hAnsi="Cambria"/>
          <w:color w:val="000000" w:themeColor="text1"/>
          <w:sz w:val="20"/>
        </w:rPr>
        <w:t>comerciales intern</w:t>
      </w:r>
      <w:r w:rsidR="00642BE0">
        <w:rPr>
          <w:rFonts w:ascii="Cambria" w:hAnsi="Cambria"/>
          <w:color w:val="000000" w:themeColor="text1"/>
          <w:sz w:val="20"/>
        </w:rPr>
        <w:t>o</w:t>
      </w:r>
      <w:r w:rsidRPr="00B00089">
        <w:rPr>
          <w:rFonts w:ascii="Cambria" w:hAnsi="Cambria"/>
          <w:color w:val="000000" w:themeColor="text1"/>
          <w:sz w:val="20"/>
        </w:rPr>
        <w:t xml:space="preserve">s dentro de </w:t>
      </w:r>
      <w:r w:rsidR="002E64B5">
        <w:rPr>
          <w:rFonts w:ascii="Cambria" w:hAnsi="Cambria"/>
          <w:color w:val="000000" w:themeColor="text1"/>
          <w:sz w:val="20"/>
        </w:rPr>
        <w:t>un mismo</w:t>
      </w:r>
      <w:r w:rsidR="000D47B6">
        <w:rPr>
          <w:rFonts w:ascii="Cambria" w:hAnsi="Cambria"/>
          <w:color w:val="000000" w:themeColor="text1"/>
          <w:sz w:val="20"/>
        </w:rPr>
        <w:t xml:space="preserve"> </w:t>
      </w:r>
      <w:r w:rsidRPr="00B00089">
        <w:rPr>
          <w:rFonts w:ascii="Cambria" w:hAnsi="Cambria"/>
          <w:color w:val="000000" w:themeColor="text1"/>
          <w:sz w:val="20"/>
        </w:rPr>
        <w:t>Estado miembro</w:t>
      </w:r>
      <w:r w:rsidR="000D47B6">
        <w:rPr>
          <w:rFonts w:ascii="Cambria" w:hAnsi="Cambria"/>
          <w:color w:val="000000" w:themeColor="text1"/>
          <w:sz w:val="20"/>
        </w:rPr>
        <w:t xml:space="preserve"> </w:t>
      </w:r>
      <w:r w:rsidRPr="00B00089">
        <w:rPr>
          <w:rFonts w:ascii="Cambria" w:hAnsi="Cambria"/>
          <w:color w:val="000000" w:themeColor="text1"/>
          <w:sz w:val="20"/>
        </w:rPr>
        <w:t xml:space="preserve">de la UE que contribuyen a la trazabilidad del pescado a lo largo de la cadena. </w:t>
      </w:r>
    </w:p>
    <w:p w14:paraId="263CB866" w14:textId="77777777" w:rsidR="00AA2A52" w:rsidRPr="00B00089" w:rsidRDefault="00AA2A52" w:rsidP="00741B44">
      <w:pPr>
        <w:spacing w:after="0" w:line="240" w:lineRule="auto"/>
        <w:jc w:val="both"/>
        <w:rPr>
          <w:rFonts w:ascii="Cambria" w:eastAsia="Times New Roman" w:hAnsi="Cambria" w:cs="Times New Roman"/>
          <w:color w:val="000000" w:themeColor="text1"/>
          <w:sz w:val="20"/>
          <w:szCs w:val="20"/>
        </w:rPr>
      </w:pPr>
    </w:p>
    <w:p w14:paraId="0F2C4E6A" w14:textId="560838AD" w:rsidR="54E8B0A9" w:rsidRPr="00B00089" w:rsidRDefault="54E8B0A9" w:rsidP="00741B44">
      <w:pPr>
        <w:spacing w:after="0" w:line="240" w:lineRule="auto"/>
        <w:jc w:val="both"/>
        <w:rPr>
          <w:rFonts w:ascii="Cambria" w:eastAsia="Times New Roman" w:hAnsi="Cambria" w:cs="Times New Roman"/>
          <w:color w:val="000000" w:themeColor="text1"/>
          <w:sz w:val="20"/>
          <w:szCs w:val="20"/>
        </w:rPr>
      </w:pPr>
      <w:r w:rsidRPr="00B00089">
        <w:rPr>
          <w:rFonts w:ascii="Cambria" w:hAnsi="Cambria"/>
          <w:color w:val="000000" w:themeColor="text1"/>
          <w:sz w:val="20"/>
        </w:rPr>
        <w:t xml:space="preserve">La derogación prevista en el párrafo 5b de la Recomendación 24-16 elimina una importante carga administrativa relacionada con la validación y contribuye a lograr una mayor igualdad de condiciones entre la UE y las demás CPC de ICCAT y, además, es coherente con el principio de mercado interior </w:t>
      </w:r>
      <w:r w:rsidR="00124EDF" w:rsidRPr="00B00089">
        <w:rPr>
          <w:rFonts w:ascii="Cambria" w:hAnsi="Cambria"/>
          <w:color w:val="000000" w:themeColor="text1"/>
          <w:sz w:val="20"/>
        </w:rPr>
        <w:t xml:space="preserve">único </w:t>
      </w:r>
      <w:r w:rsidRPr="00B00089">
        <w:rPr>
          <w:rFonts w:ascii="Cambria" w:hAnsi="Cambria"/>
          <w:color w:val="000000" w:themeColor="text1"/>
          <w:sz w:val="20"/>
        </w:rPr>
        <w:t>de la UE. Es importante señalar que</w:t>
      </w:r>
      <w:r w:rsidR="002E64B5">
        <w:rPr>
          <w:rFonts w:ascii="Cambria" w:hAnsi="Cambria"/>
          <w:color w:val="000000" w:themeColor="text1"/>
          <w:sz w:val="20"/>
        </w:rPr>
        <w:t>,</w:t>
      </w:r>
      <w:r w:rsidRPr="00B00089">
        <w:rPr>
          <w:rFonts w:ascii="Cambria" w:hAnsi="Cambria"/>
          <w:color w:val="000000" w:themeColor="text1"/>
          <w:sz w:val="20"/>
        </w:rPr>
        <w:t xml:space="preserve"> desde que se concedió esta derogación a la UE</w:t>
      </w:r>
      <w:r w:rsidR="002E64B5">
        <w:rPr>
          <w:rFonts w:ascii="Cambria" w:hAnsi="Cambria"/>
          <w:color w:val="000000" w:themeColor="text1"/>
          <w:sz w:val="20"/>
        </w:rPr>
        <w:t>,</w:t>
      </w:r>
      <w:r w:rsidRPr="00B00089">
        <w:rPr>
          <w:rFonts w:ascii="Cambria" w:hAnsi="Cambria"/>
          <w:color w:val="000000" w:themeColor="text1"/>
          <w:sz w:val="20"/>
        </w:rPr>
        <w:t xml:space="preserve"> no hay información sobre un posible impacto negativo de estas medidas en la trazabilidad de los productos de atún rojo, teniendo especialmente en cuenta que todas las operaciones comerciales iniciales están validadas. </w:t>
      </w:r>
    </w:p>
    <w:p w14:paraId="75B4733A" w14:textId="5BDE20EA" w:rsidR="54E8B0A9" w:rsidRPr="00B00089" w:rsidRDefault="54E8B0A9" w:rsidP="00741B44">
      <w:pPr>
        <w:spacing w:after="0" w:line="240" w:lineRule="auto"/>
        <w:jc w:val="both"/>
        <w:rPr>
          <w:rFonts w:ascii="Cambria" w:eastAsia="Times New Roman" w:hAnsi="Cambria" w:cs="Times New Roman"/>
          <w:color w:val="000000" w:themeColor="text1"/>
          <w:sz w:val="20"/>
          <w:szCs w:val="20"/>
        </w:rPr>
      </w:pPr>
    </w:p>
    <w:p w14:paraId="6E25F306" w14:textId="1D0AABEC" w:rsidR="5FEF55A3" w:rsidRPr="00B00089" w:rsidRDefault="5FEF55A3" w:rsidP="00741B44">
      <w:pPr>
        <w:spacing w:after="0" w:line="240" w:lineRule="auto"/>
        <w:rPr>
          <w:rFonts w:ascii="Cambria" w:hAnsi="Cambria"/>
          <w:sz w:val="20"/>
          <w:szCs w:val="20"/>
        </w:rPr>
      </w:pPr>
    </w:p>
    <w:p w14:paraId="3B8C2520" w14:textId="77777777" w:rsidR="00AB5452" w:rsidRDefault="00AB5452">
      <w:pPr>
        <w:sectPr w:rsidR="00AB5452" w:rsidSect="001D5290">
          <w:headerReference w:type="default" r:id="rId11"/>
          <w:footerReference w:type="default" r:id="rId12"/>
          <w:pgSz w:w="11907" w:h="16840" w:code="9"/>
          <w:pgMar w:top="1418" w:right="1418" w:bottom="1418" w:left="1418" w:header="851" w:footer="1134" w:gutter="0"/>
          <w:cols w:space="720"/>
          <w:docGrid w:linePitch="360"/>
        </w:sectPr>
      </w:pPr>
    </w:p>
    <w:p w14:paraId="3CD3DDB0" w14:textId="027AF7E7" w:rsidR="46ABD34F" w:rsidRPr="00B00089" w:rsidRDefault="46ABD34F" w:rsidP="00AA2A52">
      <w:pPr>
        <w:spacing w:after="0" w:line="240" w:lineRule="auto"/>
        <w:jc w:val="right"/>
        <w:rPr>
          <w:rFonts w:ascii="Cambria" w:eastAsia="Times New Roman" w:hAnsi="Cambria" w:cs="Times New Roman"/>
          <w:color w:val="000000" w:themeColor="text1"/>
          <w:sz w:val="20"/>
          <w:szCs w:val="20"/>
        </w:rPr>
      </w:pPr>
      <w:r w:rsidRPr="00B00089">
        <w:rPr>
          <w:rFonts w:ascii="Cambria" w:hAnsi="Cambria"/>
          <w:b/>
          <w:color w:val="000000" w:themeColor="text1"/>
          <w:sz w:val="20"/>
        </w:rPr>
        <w:lastRenderedPageBreak/>
        <w:t>Anexo</w:t>
      </w:r>
    </w:p>
    <w:p w14:paraId="2E2E265A" w14:textId="77777777" w:rsidR="00B16C9B" w:rsidRDefault="46ABD34F" w:rsidP="00741B44">
      <w:pPr>
        <w:spacing w:after="0" w:line="240" w:lineRule="auto"/>
        <w:jc w:val="center"/>
        <w:rPr>
          <w:rFonts w:ascii="Cambria" w:hAnsi="Cambria"/>
          <w:b/>
          <w:color w:val="000000" w:themeColor="text1"/>
          <w:sz w:val="20"/>
        </w:rPr>
      </w:pPr>
      <w:r w:rsidRPr="00B00089">
        <w:rPr>
          <w:rFonts w:ascii="Cambria" w:hAnsi="Cambria"/>
          <w:b/>
          <w:color w:val="000000" w:themeColor="text1"/>
          <w:sz w:val="20"/>
        </w:rPr>
        <w:t>Información detallada por Estado miembro de la UE</w:t>
      </w:r>
    </w:p>
    <w:tbl>
      <w:tblPr>
        <w:tblW w:w="5000" w:type="pct"/>
        <w:tblCellMar>
          <w:left w:w="70" w:type="dxa"/>
          <w:right w:w="70" w:type="dxa"/>
        </w:tblCellMar>
        <w:tblLook w:val="04A0" w:firstRow="1" w:lastRow="0" w:firstColumn="1" w:lastColumn="0" w:noHBand="0" w:noVBand="1"/>
      </w:tblPr>
      <w:tblGrid>
        <w:gridCol w:w="1495"/>
        <w:gridCol w:w="940"/>
        <w:gridCol w:w="917"/>
        <w:gridCol w:w="1408"/>
        <w:gridCol w:w="1269"/>
        <w:gridCol w:w="1078"/>
        <w:gridCol w:w="1269"/>
        <w:gridCol w:w="940"/>
        <w:gridCol w:w="1269"/>
        <w:gridCol w:w="1408"/>
        <w:gridCol w:w="1078"/>
        <w:gridCol w:w="918"/>
      </w:tblGrid>
      <w:tr w:rsidR="00B16C9B" w:rsidRPr="00A51C55" w14:paraId="5C3A8550" w14:textId="77777777" w:rsidTr="009C3056">
        <w:trPr>
          <w:trHeight w:val="360"/>
        </w:trPr>
        <w:tc>
          <w:tcPr>
            <w:tcW w:w="1075" w:type="dxa"/>
            <w:tcBorders>
              <w:top w:val="single" w:sz="8" w:space="0" w:color="auto"/>
              <w:left w:val="single" w:sz="8" w:space="0" w:color="auto"/>
              <w:bottom w:val="nil"/>
              <w:right w:val="single" w:sz="4" w:space="0" w:color="auto"/>
            </w:tcBorders>
            <w:noWrap/>
            <w:vAlign w:val="bottom"/>
            <w:hideMark/>
          </w:tcPr>
          <w:p w14:paraId="04E64E5B" w14:textId="77777777" w:rsidR="00B16C9B" w:rsidRPr="00A51C55" w:rsidRDefault="00B16C9B" w:rsidP="002D7F4E">
            <w:pPr>
              <w:spacing w:after="0"/>
              <w:rPr>
                <w:rFonts w:ascii="Cambria" w:hAnsi="Cambria"/>
                <w:i/>
                <w:iCs/>
                <w:color w:val="000000"/>
                <w:sz w:val="18"/>
                <w:szCs w:val="18"/>
              </w:rPr>
            </w:pPr>
            <w:r w:rsidRPr="00A51C55">
              <w:rPr>
                <w:rFonts w:ascii="Cambria" w:hAnsi="Cambria"/>
                <w:i/>
                <w:iCs/>
                <w:color w:val="000000"/>
                <w:sz w:val="18"/>
                <w:szCs w:val="18"/>
              </w:rPr>
              <w:t> </w:t>
            </w:r>
          </w:p>
        </w:tc>
        <w:tc>
          <w:tcPr>
            <w:tcW w:w="676" w:type="dxa"/>
            <w:tcBorders>
              <w:top w:val="single" w:sz="8" w:space="0" w:color="auto"/>
              <w:left w:val="nil"/>
              <w:bottom w:val="nil"/>
              <w:right w:val="single" w:sz="4" w:space="0" w:color="auto"/>
            </w:tcBorders>
            <w:noWrap/>
            <w:vAlign w:val="center"/>
            <w:hideMark/>
          </w:tcPr>
          <w:p w14:paraId="1258A02D"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CYP</w:t>
            </w:r>
          </w:p>
        </w:tc>
        <w:tc>
          <w:tcPr>
            <w:tcW w:w="659" w:type="dxa"/>
            <w:tcBorders>
              <w:top w:val="single" w:sz="8" w:space="0" w:color="auto"/>
              <w:left w:val="nil"/>
              <w:bottom w:val="nil"/>
              <w:right w:val="single" w:sz="4" w:space="0" w:color="auto"/>
            </w:tcBorders>
            <w:noWrap/>
            <w:vAlign w:val="center"/>
            <w:hideMark/>
          </w:tcPr>
          <w:p w14:paraId="6D058AC7"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DNK</w:t>
            </w:r>
          </w:p>
        </w:tc>
        <w:tc>
          <w:tcPr>
            <w:tcW w:w="866" w:type="dxa"/>
            <w:tcBorders>
              <w:top w:val="single" w:sz="8" w:space="0" w:color="auto"/>
              <w:left w:val="nil"/>
              <w:bottom w:val="nil"/>
              <w:right w:val="single" w:sz="4" w:space="0" w:color="auto"/>
            </w:tcBorders>
            <w:noWrap/>
            <w:vAlign w:val="center"/>
            <w:hideMark/>
          </w:tcPr>
          <w:p w14:paraId="08A9E97C"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 xml:space="preserve">ESP </w:t>
            </w:r>
          </w:p>
        </w:tc>
        <w:tc>
          <w:tcPr>
            <w:tcW w:w="782" w:type="dxa"/>
            <w:tcBorders>
              <w:top w:val="single" w:sz="8" w:space="0" w:color="auto"/>
              <w:left w:val="nil"/>
              <w:bottom w:val="nil"/>
              <w:right w:val="single" w:sz="4" w:space="0" w:color="auto"/>
            </w:tcBorders>
            <w:noWrap/>
            <w:vAlign w:val="center"/>
            <w:hideMark/>
          </w:tcPr>
          <w:p w14:paraId="796EF0D1"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FRA</w:t>
            </w:r>
          </w:p>
        </w:tc>
        <w:tc>
          <w:tcPr>
            <w:tcW w:w="664" w:type="dxa"/>
            <w:tcBorders>
              <w:top w:val="single" w:sz="8" w:space="0" w:color="auto"/>
              <w:left w:val="nil"/>
              <w:bottom w:val="nil"/>
              <w:right w:val="single" w:sz="4" w:space="0" w:color="auto"/>
            </w:tcBorders>
            <w:noWrap/>
            <w:vAlign w:val="center"/>
            <w:hideMark/>
          </w:tcPr>
          <w:p w14:paraId="301979AA"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 xml:space="preserve">GRC </w:t>
            </w:r>
          </w:p>
        </w:tc>
        <w:tc>
          <w:tcPr>
            <w:tcW w:w="782" w:type="dxa"/>
            <w:tcBorders>
              <w:top w:val="single" w:sz="8" w:space="0" w:color="auto"/>
              <w:left w:val="nil"/>
              <w:bottom w:val="nil"/>
              <w:right w:val="single" w:sz="4" w:space="0" w:color="auto"/>
            </w:tcBorders>
            <w:noWrap/>
            <w:vAlign w:val="center"/>
            <w:hideMark/>
          </w:tcPr>
          <w:p w14:paraId="5C5D2C6C"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HRV</w:t>
            </w:r>
          </w:p>
        </w:tc>
        <w:tc>
          <w:tcPr>
            <w:tcW w:w="580" w:type="dxa"/>
            <w:tcBorders>
              <w:top w:val="single" w:sz="8" w:space="0" w:color="auto"/>
              <w:left w:val="nil"/>
              <w:bottom w:val="nil"/>
              <w:right w:val="single" w:sz="4" w:space="0" w:color="auto"/>
            </w:tcBorders>
            <w:noWrap/>
            <w:vAlign w:val="center"/>
            <w:hideMark/>
          </w:tcPr>
          <w:p w14:paraId="7D7E17E1"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IRL</w:t>
            </w:r>
          </w:p>
        </w:tc>
        <w:tc>
          <w:tcPr>
            <w:tcW w:w="782" w:type="dxa"/>
            <w:tcBorders>
              <w:top w:val="single" w:sz="8" w:space="0" w:color="auto"/>
              <w:left w:val="nil"/>
              <w:bottom w:val="nil"/>
              <w:right w:val="single" w:sz="4" w:space="0" w:color="auto"/>
            </w:tcBorders>
            <w:noWrap/>
            <w:vAlign w:val="center"/>
            <w:hideMark/>
          </w:tcPr>
          <w:p w14:paraId="6966FB1C"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ITA</w:t>
            </w:r>
          </w:p>
        </w:tc>
        <w:tc>
          <w:tcPr>
            <w:tcW w:w="866" w:type="dxa"/>
            <w:tcBorders>
              <w:top w:val="single" w:sz="8" w:space="0" w:color="auto"/>
              <w:left w:val="nil"/>
              <w:bottom w:val="nil"/>
              <w:right w:val="single" w:sz="4" w:space="0" w:color="auto"/>
            </w:tcBorders>
            <w:noWrap/>
            <w:vAlign w:val="center"/>
            <w:hideMark/>
          </w:tcPr>
          <w:p w14:paraId="2EBC626D"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MLT</w:t>
            </w:r>
          </w:p>
        </w:tc>
        <w:tc>
          <w:tcPr>
            <w:tcW w:w="664" w:type="dxa"/>
            <w:tcBorders>
              <w:top w:val="single" w:sz="8" w:space="0" w:color="auto"/>
              <w:left w:val="nil"/>
              <w:bottom w:val="nil"/>
              <w:right w:val="single" w:sz="4" w:space="0" w:color="auto"/>
            </w:tcBorders>
            <w:noWrap/>
            <w:vAlign w:val="center"/>
            <w:hideMark/>
          </w:tcPr>
          <w:p w14:paraId="0C18AFBD"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PRT</w:t>
            </w:r>
          </w:p>
        </w:tc>
        <w:tc>
          <w:tcPr>
            <w:tcW w:w="660" w:type="dxa"/>
            <w:tcBorders>
              <w:top w:val="single" w:sz="8" w:space="0" w:color="auto"/>
              <w:left w:val="nil"/>
              <w:bottom w:val="nil"/>
              <w:right w:val="single" w:sz="4" w:space="0" w:color="auto"/>
            </w:tcBorders>
            <w:noWrap/>
            <w:vAlign w:val="center"/>
            <w:hideMark/>
          </w:tcPr>
          <w:p w14:paraId="2A1AABB8" w14:textId="77777777" w:rsidR="00B16C9B" w:rsidRPr="00A51C55" w:rsidRDefault="00B16C9B" w:rsidP="002D7F4E">
            <w:pPr>
              <w:spacing w:after="0"/>
              <w:jc w:val="center"/>
              <w:rPr>
                <w:rFonts w:ascii="Cambria" w:hAnsi="Cambria"/>
                <w:i/>
                <w:iCs/>
                <w:color w:val="000000"/>
                <w:sz w:val="18"/>
                <w:szCs w:val="18"/>
              </w:rPr>
            </w:pPr>
            <w:r w:rsidRPr="00A51C55">
              <w:rPr>
                <w:rFonts w:ascii="Cambria" w:hAnsi="Cambria"/>
                <w:i/>
                <w:iCs/>
                <w:color w:val="000000"/>
                <w:sz w:val="18"/>
                <w:szCs w:val="18"/>
              </w:rPr>
              <w:t>SVN</w:t>
            </w:r>
          </w:p>
        </w:tc>
      </w:tr>
      <w:tr w:rsidR="00194D43" w:rsidRPr="00A51C55" w14:paraId="3DB48C65"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4C19353D" w14:textId="3C994963"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N.º eventos comerciales</w:t>
            </w:r>
          </w:p>
        </w:tc>
        <w:tc>
          <w:tcPr>
            <w:tcW w:w="676" w:type="dxa"/>
            <w:tcBorders>
              <w:top w:val="single" w:sz="8" w:space="0" w:color="auto"/>
              <w:left w:val="nil"/>
              <w:bottom w:val="single" w:sz="4" w:space="0" w:color="auto"/>
              <w:right w:val="single" w:sz="4" w:space="0" w:color="auto"/>
            </w:tcBorders>
            <w:noWrap/>
            <w:vAlign w:val="bottom"/>
            <w:hideMark/>
          </w:tcPr>
          <w:p w14:paraId="7E1C4391" w14:textId="7183920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111</w:t>
            </w:r>
          </w:p>
        </w:tc>
        <w:tc>
          <w:tcPr>
            <w:tcW w:w="659" w:type="dxa"/>
            <w:tcBorders>
              <w:top w:val="single" w:sz="8" w:space="0" w:color="auto"/>
              <w:left w:val="nil"/>
              <w:bottom w:val="single" w:sz="4" w:space="0" w:color="auto"/>
              <w:right w:val="single" w:sz="4" w:space="0" w:color="auto"/>
            </w:tcBorders>
            <w:noWrap/>
            <w:vAlign w:val="bottom"/>
            <w:hideMark/>
          </w:tcPr>
          <w:p w14:paraId="1D590CC9" w14:textId="5F8587B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21</w:t>
            </w:r>
          </w:p>
        </w:tc>
        <w:tc>
          <w:tcPr>
            <w:tcW w:w="866" w:type="dxa"/>
            <w:tcBorders>
              <w:top w:val="single" w:sz="8" w:space="0" w:color="auto"/>
              <w:left w:val="nil"/>
              <w:bottom w:val="single" w:sz="4" w:space="0" w:color="auto"/>
              <w:right w:val="single" w:sz="4" w:space="0" w:color="auto"/>
            </w:tcBorders>
            <w:noWrap/>
            <w:vAlign w:val="bottom"/>
            <w:hideMark/>
          </w:tcPr>
          <w:p w14:paraId="7C4C3F47" w14:textId="20B4061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97</w:t>
            </w:r>
            <w:r w:rsidR="004B4E72" w:rsidRPr="00A51C55">
              <w:rPr>
                <w:rFonts w:ascii="Cambria" w:hAnsi="Cambria"/>
                <w:color w:val="000000"/>
                <w:sz w:val="18"/>
                <w:szCs w:val="18"/>
              </w:rPr>
              <w:t>.</w:t>
            </w:r>
            <w:r w:rsidRPr="00A51C55">
              <w:rPr>
                <w:rFonts w:ascii="Cambria" w:hAnsi="Cambria"/>
                <w:color w:val="000000"/>
                <w:sz w:val="18"/>
                <w:szCs w:val="18"/>
              </w:rPr>
              <w:t>710</w:t>
            </w:r>
          </w:p>
        </w:tc>
        <w:tc>
          <w:tcPr>
            <w:tcW w:w="782" w:type="dxa"/>
            <w:tcBorders>
              <w:top w:val="single" w:sz="8" w:space="0" w:color="auto"/>
              <w:left w:val="nil"/>
              <w:bottom w:val="single" w:sz="4" w:space="0" w:color="auto"/>
              <w:right w:val="single" w:sz="4" w:space="0" w:color="auto"/>
            </w:tcBorders>
            <w:noWrap/>
            <w:vAlign w:val="bottom"/>
            <w:hideMark/>
          </w:tcPr>
          <w:p w14:paraId="142472D8" w14:textId="355A8A4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23</w:t>
            </w:r>
            <w:r w:rsidR="004B4E72" w:rsidRPr="00A51C55">
              <w:rPr>
                <w:rFonts w:ascii="Cambria" w:hAnsi="Cambria"/>
                <w:color w:val="000000"/>
                <w:sz w:val="18"/>
                <w:szCs w:val="18"/>
              </w:rPr>
              <w:t>.</w:t>
            </w:r>
            <w:r w:rsidRPr="00A51C55">
              <w:rPr>
                <w:rFonts w:ascii="Cambria" w:hAnsi="Cambria"/>
                <w:color w:val="000000"/>
                <w:sz w:val="18"/>
                <w:szCs w:val="18"/>
              </w:rPr>
              <w:t>418</w:t>
            </w:r>
          </w:p>
        </w:tc>
        <w:tc>
          <w:tcPr>
            <w:tcW w:w="664" w:type="dxa"/>
            <w:tcBorders>
              <w:top w:val="single" w:sz="8" w:space="0" w:color="auto"/>
              <w:left w:val="nil"/>
              <w:bottom w:val="single" w:sz="4" w:space="0" w:color="auto"/>
              <w:right w:val="single" w:sz="4" w:space="0" w:color="auto"/>
            </w:tcBorders>
            <w:noWrap/>
            <w:vAlign w:val="bottom"/>
            <w:hideMark/>
          </w:tcPr>
          <w:p w14:paraId="5556793F" w14:textId="6D78A60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w:t>
            </w:r>
            <w:r w:rsidR="004B4E72" w:rsidRPr="00A51C55">
              <w:rPr>
                <w:rFonts w:ascii="Cambria" w:hAnsi="Cambria"/>
                <w:color w:val="000000"/>
                <w:sz w:val="18"/>
                <w:szCs w:val="18"/>
              </w:rPr>
              <w:t>.</w:t>
            </w:r>
            <w:r w:rsidRPr="00A51C55">
              <w:rPr>
                <w:rFonts w:ascii="Cambria" w:hAnsi="Cambria"/>
                <w:color w:val="000000"/>
                <w:sz w:val="18"/>
                <w:szCs w:val="18"/>
              </w:rPr>
              <w:t>492</w:t>
            </w:r>
          </w:p>
        </w:tc>
        <w:tc>
          <w:tcPr>
            <w:tcW w:w="782" w:type="dxa"/>
            <w:tcBorders>
              <w:top w:val="single" w:sz="8" w:space="0" w:color="auto"/>
              <w:left w:val="nil"/>
              <w:bottom w:val="single" w:sz="4" w:space="0" w:color="auto"/>
              <w:right w:val="single" w:sz="4" w:space="0" w:color="auto"/>
            </w:tcBorders>
            <w:noWrap/>
            <w:vAlign w:val="bottom"/>
            <w:hideMark/>
          </w:tcPr>
          <w:p w14:paraId="7176493D" w14:textId="488656A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w:t>
            </w:r>
            <w:r w:rsidR="004B4E72" w:rsidRPr="00A51C55">
              <w:rPr>
                <w:rFonts w:ascii="Cambria" w:hAnsi="Cambria"/>
                <w:color w:val="000000"/>
                <w:sz w:val="18"/>
                <w:szCs w:val="18"/>
              </w:rPr>
              <w:t>.</w:t>
            </w:r>
            <w:r w:rsidRPr="00A51C55">
              <w:rPr>
                <w:rFonts w:ascii="Cambria" w:hAnsi="Cambria"/>
                <w:color w:val="000000"/>
                <w:sz w:val="18"/>
                <w:szCs w:val="18"/>
              </w:rPr>
              <w:t>076</w:t>
            </w:r>
          </w:p>
        </w:tc>
        <w:tc>
          <w:tcPr>
            <w:tcW w:w="580" w:type="dxa"/>
            <w:tcBorders>
              <w:top w:val="single" w:sz="8" w:space="0" w:color="auto"/>
              <w:left w:val="nil"/>
              <w:bottom w:val="single" w:sz="4" w:space="0" w:color="auto"/>
              <w:right w:val="single" w:sz="4" w:space="0" w:color="auto"/>
            </w:tcBorders>
            <w:noWrap/>
            <w:vAlign w:val="bottom"/>
            <w:hideMark/>
          </w:tcPr>
          <w:p w14:paraId="61E4A3D1" w14:textId="64B60A2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166</w:t>
            </w:r>
          </w:p>
        </w:tc>
        <w:tc>
          <w:tcPr>
            <w:tcW w:w="782" w:type="dxa"/>
            <w:tcBorders>
              <w:top w:val="single" w:sz="8" w:space="0" w:color="auto"/>
              <w:left w:val="nil"/>
              <w:bottom w:val="single" w:sz="4" w:space="0" w:color="auto"/>
              <w:right w:val="single" w:sz="4" w:space="0" w:color="auto"/>
            </w:tcBorders>
            <w:noWrap/>
            <w:vAlign w:val="bottom"/>
            <w:hideMark/>
          </w:tcPr>
          <w:p w14:paraId="1B6D701B" w14:textId="36B10FD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84</w:t>
            </w:r>
            <w:r w:rsidR="004B4E72" w:rsidRPr="00A51C55">
              <w:rPr>
                <w:rFonts w:ascii="Cambria" w:hAnsi="Cambria"/>
                <w:color w:val="000000"/>
                <w:sz w:val="18"/>
                <w:szCs w:val="18"/>
              </w:rPr>
              <w:t>.</w:t>
            </w:r>
            <w:r w:rsidRPr="00A51C55">
              <w:rPr>
                <w:rFonts w:ascii="Cambria" w:hAnsi="Cambria"/>
                <w:color w:val="000000"/>
                <w:sz w:val="18"/>
                <w:szCs w:val="18"/>
              </w:rPr>
              <w:t>980</w:t>
            </w:r>
          </w:p>
        </w:tc>
        <w:tc>
          <w:tcPr>
            <w:tcW w:w="866" w:type="dxa"/>
            <w:tcBorders>
              <w:top w:val="single" w:sz="8" w:space="0" w:color="auto"/>
              <w:left w:val="nil"/>
              <w:bottom w:val="single" w:sz="4" w:space="0" w:color="auto"/>
              <w:right w:val="single" w:sz="4" w:space="0" w:color="auto"/>
            </w:tcBorders>
            <w:noWrap/>
            <w:vAlign w:val="bottom"/>
            <w:hideMark/>
          </w:tcPr>
          <w:p w14:paraId="507273DB" w14:textId="41B9FE2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771</w:t>
            </w:r>
          </w:p>
        </w:tc>
        <w:tc>
          <w:tcPr>
            <w:tcW w:w="664" w:type="dxa"/>
            <w:tcBorders>
              <w:top w:val="single" w:sz="8" w:space="0" w:color="auto"/>
              <w:left w:val="nil"/>
              <w:bottom w:val="single" w:sz="4" w:space="0" w:color="auto"/>
              <w:right w:val="single" w:sz="4" w:space="0" w:color="auto"/>
            </w:tcBorders>
            <w:noWrap/>
            <w:vAlign w:val="bottom"/>
            <w:hideMark/>
          </w:tcPr>
          <w:p w14:paraId="51D36D4D" w14:textId="1758F85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548</w:t>
            </w:r>
          </w:p>
        </w:tc>
        <w:tc>
          <w:tcPr>
            <w:tcW w:w="660" w:type="dxa"/>
            <w:tcBorders>
              <w:top w:val="single" w:sz="8" w:space="0" w:color="auto"/>
              <w:left w:val="nil"/>
              <w:bottom w:val="single" w:sz="4" w:space="0" w:color="auto"/>
              <w:right w:val="single" w:sz="4" w:space="0" w:color="auto"/>
            </w:tcBorders>
            <w:noWrap/>
            <w:vAlign w:val="bottom"/>
            <w:hideMark/>
          </w:tcPr>
          <w:p w14:paraId="37150D86" w14:textId="4B3BDBF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78</w:t>
            </w:r>
          </w:p>
        </w:tc>
      </w:tr>
      <w:tr w:rsidR="00194D43" w:rsidRPr="00A51C55" w14:paraId="173485DD"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527AD9CE" w14:textId="481741A0"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4E0288E1" w14:textId="588C9FA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89</w:t>
            </w:r>
            <w:r w:rsidR="004B4E72" w:rsidRPr="00A51C55">
              <w:rPr>
                <w:rFonts w:ascii="Cambria" w:hAnsi="Cambria"/>
                <w:color w:val="000000"/>
                <w:sz w:val="18"/>
                <w:szCs w:val="18"/>
              </w:rPr>
              <w:t>.</w:t>
            </w:r>
            <w:r w:rsidRPr="00A51C55">
              <w:rPr>
                <w:rFonts w:ascii="Cambria" w:hAnsi="Cambria"/>
                <w:color w:val="000000"/>
                <w:sz w:val="18"/>
                <w:szCs w:val="18"/>
              </w:rPr>
              <w:t>722</w:t>
            </w:r>
          </w:p>
        </w:tc>
        <w:tc>
          <w:tcPr>
            <w:tcW w:w="659" w:type="dxa"/>
            <w:tcBorders>
              <w:top w:val="nil"/>
              <w:left w:val="nil"/>
              <w:bottom w:val="single" w:sz="4" w:space="0" w:color="auto"/>
              <w:right w:val="single" w:sz="4" w:space="0" w:color="auto"/>
            </w:tcBorders>
            <w:noWrap/>
            <w:vAlign w:val="bottom"/>
            <w:hideMark/>
          </w:tcPr>
          <w:p w14:paraId="5249FFCC" w14:textId="1918694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065</w:t>
            </w:r>
          </w:p>
        </w:tc>
        <w:tc>
          <w:tcPr>
            <w:tcW w:w="866" w:type="dxa"/>
            <w:tcBorders>
              <w:top w:val="nil"/>
              <w:left w:val="nil"/>
              <w:bottom w:val="single" w:sz="4" w:space="0" w:color="auto"/>
              <w:right w:val="single" w:sz="4" w:space="0" w:color="auto"/>
            </w:tcBorders>
            <w:noWrap/>
            <w:vAlign w:val="bottom"/>
            <w:hideMark/>
          </w:tcPr>
          <w:p w14:paraId="7BE709B3" w14:textId="0626C2F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16</w:t>
            </w:r>
            <w:r w:rsidR="004B4E72" w:rsidRPr="00A51C55">
              <w:rPr>
                <w:rFonts w:ascii="Cambria" w:hAnsi="Cambria"/>
                <w:color w:val="000000"/>
                <w:sz w:val="18"/>
                <w:szCs w:val="18"/>
              </w:rPr>
              <w:t>.</w:t>
            </w:r>
            <w:r w:rsidRPr="00A51C55">
              <w:rPr>
                <w:rFonts w:ascii="Cambria" w:hAnsi="Cambria"/>
                <w:color w:val="000000"/>
                <w:sz w:val="18"/>
                <w:szCs w:val="18"/>
              </w:rPr>
              <w:t>903</w:t>
            </w:r>
            <w:r w:rsidR="004B4E72" w:rsidRPr="00A51C55">
              <w:rPr>
                <w:rFonts w:ascii="Cambria" w:hAnsi="Cambria"/>
                <w:color w:val="000000"/>
                <w:sz w:val="18"/>
                <w:szCs w:val="18"/>
              </w:rPr>
              <w:t>.</w:t>
            </w:r>
            <w:r w:rsidRPr="00A51C55">
              <w:rPr>
                <w:rFonts w:ascii="Cambria" w:hAnsi="Cambria"/>
                <w:color w:val="000000"/>
                <w:sz w:val="18"/>
                <w:szCs w:val="18"/>
              </w:rPr>
              <w:t>727</w:t>
            </w:r>
          </w:p>
        </w:tc>
        <w:tc>
          <w:tcPr>
            <w:tcW w:w="782" w:type="dxa"/>
            <w:tcBorders>
              <w:top w:val="nil"/>
              <w:left w:val="nil"/>
              <w:bottom w:val="single" w:sz="4" w:space="0" w:color="auto"/>
              <w:right w:val="single" w:sz="4" w:space="0" w:color="auto"/>
            </w:tcBorders>
            <w:noWrap/>
            <w:vAlign w:val="bottom"/>
            <w:hideMark/>
          </w:tcPr>
          <w:p w14:paraId="696C1B00" w14:textId="1811E30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613</w:t>
            </w:r>
            <w:r w:rsidR="004B4E72" w:rsidRPr="00A51C55">
              <w:rPr>
                <w:rFonts w:ascii="Cambria" w:hAnsi="Cambria"/>
                <w:color w:val="000000"/>
                <w:sz w:val="18"/>
                <w:szCs w:val="18"/>
              </w:rPr>
              <w:t>.</w:t>
            </w:r>
            <w:r w:rsidRPr="00A51C55">
              <w:rPr>
                <w:rFonts w:ascii="Cambria" w:hAnsi="Cambria"/>
                <w:color w:val="000000"/>
                <w:sz w:val="18"/>
                <w:szCs w:val="18"/>
              </w:rPr>
              <w:t>117</w:t>
            </w:r>
          </w:p>
        </w:tc>
        <w:tc>
          <w:tcPr>
            <w:tcW w:w="664" w:type="dxa"/>
            <w:tcBorders>
              <w:top w:val="nil"/>
              <w:left w:val="nil"/>
              <w:bottom w:val="single" w:sz="4" w:space="0" w:color="auto"/>
              <w:right w:val="single" w:sz="4" w:space="0" w:color="auto"/>
            </w:tcBorders>
            <w:noWrap/>
            <w:vAlign w:val="bottom"/>
            <w:hideMark/>
          </w:tcPr>
          <w:p w14:paraId="7354BC51" w14:textId="014076D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374</w:t>
            </w:r>
            <w:r w:rsidR="004B4E72" w:rsidRPr="00A51C55">
              <w:rPr>
                <w:rFonts w:ascii="Cambria" w:hAnsi="Cambria"/>
                <w:color w:val="000000"/>
                <w:sz w:val="18"/>
                <w:szCs w:val="18"/>
              </w:rPr>
              <w:t>.</w:t>
            </w:r>
            <w:r w:rsidRPr="00A51C55">
              <w:rPr>
                <w:rFonts w:ascii="Cambria" w:hAnsi="Cambria"/>
                <w:color w:val="000000"/>
                <w:sz w:val="18"/>
                <w:szCs w:val="18"/>
              </w:rPr>
              <w:t>352</w:t>
            </w:r>
          </w:p>
        </w:tc>
        <w:tc>
          <w:tcPr>
            <w:tcW w:w="782" w:type="dxa"/>
            <w:tcBorders>
              <w:top w:val="nil"/>
              <w:left w:val="nil"/>
              <w:bottom w:val="single" w:sz="4" w:space="0" w:color="auto"/>
              <w:right w:val="single" w:sz="4" w:space="0" w:color="auto"/>
            </w:tcBorders>
            <w:noWrap/>
            <w:vAlign w:val="bottom"/>
            <w:hideMark/>
          </w:tcPr>
          <w:p w14:paraId="14C97028" w14:textId="211AE48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w:t>
            </w:r>
            <w:r w:rsidR="004B4E72" w:rsidRPr="00A51C55">
              <w:rPr>
                <w:rFonts w:ascii="Cambria" w:hAnsi="Cambria"/>
                <w:color w:val="000000"/>
                <w:sz w:val="18"/>
                <w:szCs w:val="18"/>
              </w:rPr>
              <w:t>.</w:t>
            </w:r>
            <w:r w:rsidRPr="00A51C55">
              <w:rPr>
                <w:rFonts w:ascii="Cambria" w:hAnsi="Cambria"/>
                <w:color w:val="000000"/>
                <w:sz w:val="18"/>
                <w:szCs w:val="18"/>
              </w:rPr>
              <w:t>160</w:t>
            </w:r>
            <w:r w:rsidR="004B4E72" w:rsidRPr="00A51C55">
              <w:rPr>
                <w:rFonts w:ascii="Cambria" w:hAnsi="Cambria"/>
                <w:color w:val="000000"/>
                <w:sz w:val="18"/>
                <w:szCs w:val="18"/>
              </w:rPr>
              <w:t>.</w:t>
            </w:r>
            <w:r w:rsidRPr="00A51C55">
              <w:rPr>
                <w:rFonts w:ascii="Cambria" w:hAnsi="Cambria"/>
                <w:color w:val="000000"/>
                <w:sz w:val="18"/>
                <w:szCs w:val="18"/>
              </w:rPr>
              <w:t>987</w:t>
            </w:r>
          </w:p>
        </w:tc>
        <w:tc>
          <w:tcPr>
            <w:tcW w:w="580" w:type="dxa"/>
            <w:tcBorders>
              <w:top w:val="nil"/>
              <w:left w:val="nil"/>
              <w:bottom w:val="single" w:sz="4" w:space="0" w:color="auto"/>
              <w:right w:val="single" w:sz="4" w:space="0" w:color="auto"/>
            </w:tcBorders>
            <w:noWrap/>
            <w:vAlign w:val="bottom"/>
            <w:hideMark/>
          </w:tcPr>
          <w:p w14:paraId="0EE06468" w14:textId="1FBDD62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25</w:t>
            </w:r>
            <w:r w:rsidR="004B4E72" w:rsidRPr="00A51C55">
              <w:rPr>
                <w:rFonts w:ascii="Cambria" w:hAnsi="Cambria"/>
                <w:color w:val="000000"/>
                <w:sz w:val="18"/>
                <w:szCs w:val="18"/>
              </w:rPr>
              <w:t>.</w:t>
            </w:r>
            <w:r w:rsidRPr="00A51C55">
              <w:rPr>
                <w:rFonts w:ascii="Cambria" w:hAnsi="Cambria"/>
                <w:color w:val="000000"/>
                <w:sz w:val="18"/>
                <w:szCs w:val="18"/>
              </w:rPr>
              <w:t>402</w:t>
            </w:r>
          </w:p>
        </w:tc>
        <w:tc>
          <w:tcPr>
            <w:tcW w:w="782" w:type="dxa"/>
            <w:tcBorders>
              <w:top w:val="nil"/>
              <w:left w:val="nil"/>
              <w:bottom w:val="single" w:sz="4" w:space="0" w:color="auto"/>
              <w:right w:val="single" w:sz="4" w:space="0" w:color="auto"/>
            </w:tcBorders>
            <w:noWrap/>
            <w:vAlign w:val="bottom"/>
            <w:hideMark/>
          </w:tcPr>
          <w:p w14:paraId="5178B442" w14:textId="50CD639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620</w:t>
            </w:r>
            <w:r w:rsidR="004B4E72" w:rsidRPr="00A51C55">
              <w:rPr>
                <w:rFonts w:ascii="Cambria" w:hAnsi="Cambria"/>
                <w:color w:val="000000"/>
                <w:sz w:val="18"/>
                <w:szCs w:val="18"/>
              </w:rPr>
              <w:t>.</w:t>
            </w:r>
            <w:r w:rsidRPr="00A51C55">
              <w:rPr>
                <w:rFonts w:ascii="Cambria" w:hAnsi="Cambria"/>
                <w:color w:val="000000"/>
                <w:sz w:val="18"/>
                <w:szCs w:val="18"/>
              </w:rPr>
              <w:t>892</w:t>
            </w:r>
          </w:p>
        </w:tc>
        <w:tc>
          <w:tcPr>
            <w:tcW w:w="866" w:type="dxa"/>
            <w:tcBorders>
              <w:top w:val="nil"/>
              <w:left w:val="nil"/>
              <w:bottom w:val="single" w:sz="4" w:space="0" w:color="auto"/>
              <w:right w:val="single" w:sz="4" w:space="0" w:color="auto"/>
            </w:tcBorders>
            <w:noWrap/>
            <w:vAlign w:val="bottom"/>
            <w:hideMark/>
          </w:tcPr>
          <w:p w14:paraId="1EA836F3" w14:textId="727313C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w:t>
            </w:r>
            <w:r w:rsidR="004B4E72" w:rsidRPr="00A51C55">
              <w:rPr>
                <w:rFonts w:ascii="Cambria" w:hAnsi="Cambria"/>
                <w:color w:val="000000"/>
                <w:sz w:val="18"/>
                <w:szCs w:val="18"/>
              </w:rPr>
              <w:t>.</w:t>
            </w:r>
            <w:r w:rsidRPr="00A51C55">
              <w:rPr>
                <w:rFonts w:ascii="Cambria" w:hAnsi="Cambria"/>
                <w:color w:val="000000"/>
                <w:sz w:val="18"/>
                <w:szCs w:val="18"/>
              </w:rPr>
              <w:t>258</w:t>
            </w:r>
            <w:r w:rsidR="004B4E72" w:rsidRPr="00A51C55">
              <w:rPr>
                <w:rFonts w:ascii="Cambria" w:hAnsi="Cambria"/>
                <w:color w:val="000000"/>
                <w:sz w:val="18"/>
                <w:szCs w:val="18"/>
              </w:rPr>
              <w:t>.</w:t>
            </w:r>
            <w:r w:rsidRPr="00A51C55">
              <w:rPr>
                <w:rFonts w:ascii="Cambria" w:hAnsi="Cambria"/>
                <w:color w:val="000000"/>
                <w:sz w:val="18"/>
                <w:szCs w:val="18"/>
              </w:rPr>
              <w:t>707</w:t>
            </w:r>
          </w:p>
        </w:tc>
        <w:tc>
          <w:tcPr>
            <w:tcW w:w="664" w:type="dxa"/>
            <w:tcBorders>
              <w:top w:val="nil"/>
              <w:left w:val="nil"/>
              <w:bottom w:val="single" w:sz="4" w:space="0" w:color="auto"/>
              <w:right w:val="single" w:sz="4" w:space="0" w:color="auto"/>
            </w:tcBorders>
            <w:noWrap/>
            <w:vAlign w:val="bottom"/>
            <w:hideMark/>
          </w:tcPr>
          <w:p w14:paraId="3650BC21" w14:textId="43CB839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807</w:t>
            </w:r>
            <w:r w:rsidR="004B4E72" w:rsidRPr="00A51C55">
              <w:rPr>
                <w:rFonts w:ascii="Cambria" w:hAnsi="Cambria"/>
                <w:color w:val="000000"/>
                <w:sz w:val="18"/>
                <w:szCs w:val="18"/>
              </w:rPr>
              <w:t>.</w:t>
            </w:r>
            <w:r w:rsidRPr="00A51C55">
              <w:rPr>
                <w:rFonts w:ascii="Cambria" w:hAnsi="Cambria"/>
                <w:color w:val="000000"/>
                <w:sz w:val="18"/>
                <w:szCs w:val="18"/>
              </w:rPr>
              <w:t>954</w:t>
            </w:r>
          </w:p>
        </w:tc>
        <w:tc>
          <w:tcPr>
            <w:tcW w:w="660" w:type="dxa"/>
            <w:tcBorders>
              <w:top w:val="nil"/>
              <w:left w:val="nil"/>
              <w:bottom w:val="single" w:sz="4" w:space="0" w:color="auto"/>
              <w:right w:val="single" w:sz="4" w:space="0" w:color="auto"/>
            </w:tcBorders>
            <w:noWrap/>
            <w:vAlign w:val="bottom"/>
            <w:hideMark/>
          </w:tcPr>
          <w:p w14:paraId="524E0C23" w14:textId="5272CC6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w:t>
            </w:r>
            <w:r w:rsidR="004B4E72" w:rsidRPr="00A51C55">
              <w:rPr>
                <w:rFonts w:ascii="Cambria" w:hAnsi="Cambria"/>
                <w:color w:val="000000"/>
                <w:sz w:val="18"/>
                <w:szCs w:val="18"/>
              </w:rPr>
              <w:t>.</w:t>
            </w:r>
            <w:r w:rsidRPr="00A51C55">
              <w:rPr>
                <w:rFonts w:ascii="Cambria" w:hAnsi="Cambria"/>
                <w:color w:val="000000"/>
                <w:sz w:val="18"/>
                <w:szCs w:val="18"/>
              </w:rPr>
              <w:t>609</w:t>
            </w:r>
          </w:p>
        </w:tc>
      </w:tr>
      <w:tr w:rsidR="00194D43" w:rsidRPr="00A51C55" w14:paraId="7B400A25"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55003F62" w14:textId="34E3F13A"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Exportación (EXP)</w:t>
            </w:r>
          </w:p>
        </w:tc>
        <w:tc>
          <w:tcPr>
            <w:tcW w:w="676" w:type="dxa"/>
            <w:tcBorders>
              <w:top w:val="single" w:sz="8" w:space="0" w:color="auto"/>
              <w:left w:val="nil"/>
              <w:bottom w:val="single" w:sz="4" w:space="0" w:color="auto"/>
              <w:right w:val="single" w:sz="4" w:space="0" w:color="auto"/>
            </w:tcBorders>
            <w:noWrap/>
            <w:vAlign w:val="bottom"/>
            <w:hideMark/>
          </w:tcPr>
          <w:p w14:paraId="058C731D"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659" w:type="dxa"/>
            <w:tcBorders>
              <w:top w:val="single" w:sz="8" w:space="0" w:color="auto"/>
              <w:left w:val="nil"/>
              <w:bottom w:val="single" w:sz="4" w:space="0" w:color="auto"/>
              <w:right w:val="single" w:sz="4" w:space="0" w:color="auto"/>
            </w:tcBorders>
            <w:noWrap/>
            <w:vAlign w:val="bottom"/>
            <w:hideMark/>
          </w:tcPr>
          <w:p w14:paraId="7828D136" w14:textId="25D61DC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w:t>
            </w:r>
          </w:p>
        </w:tc>
        <w:tc>
          <w:tcPr>
            <w:tcW w:w="866" w:type="dxa"/>
            <w:tcBorders>
              <w:top w:val="single" w:sz="8" w:space="0" w:color="auto"/>
              <w:left w:val="nil"/>
              <w:bottom w:val="single" w:sz="4" w:space="0" w:color="auto"/>
              <w:right w:val="single" w:sz="4" w:space="0" w:color="auto"/>
            </w:tcBorders>
            <w:noWrap/>
            <w:vAlign w:val="bottom"/>
            <w:hideMark/>
          </w:tcPr>
          <w:p w14:paraId="50EEEEDD" w14:textId="2241B0D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12</w:t>
            </w:r>
            <w:r w:rsidR="004B4E72" w:rsidRPr="00A51C55">
              <w:rPr>
                <w:rFonts w:ascii="Cambria" w:hAnsi="Cambria"/>
                <w:color w:val="000000"/>
                <w:sz w:val="18"/>
                <w:szCs w:val="18"/>
              </w:rPr>
              <w:t>.</w:t>
            </w:r>
            <w:r w:rsidRPr="00A51C55">
              <w:rPr>
                <w:rFonts w:ascii="Cambria" w:hAnsi="Cambria"/>
                <w:color w:val="000000"/>
                <w:sz w:val="18"/>
                <w:szCs w:val="18"/>
              </w:rPr>
              <w:t>569</w:t>
            </w:r>
          </w:p>
        </w:tc>
        <w:tc>
          <w:tcPr>
            <w:tcW w:w="782" w:type="dxa"/>
            <w:tcBorders>
              <w:top w:val="single" w:sz="8" w:space="0" w:color="auto"/>
              <w:left w:val="nil"/>
              <w:bottom w:val="single" w:sz="4" w:space="0" w:color="auto"/>
              <w:right w:val="single" w:sz="4" w:space="0" w:color="auto"/>
            </w:tcBorders>
            <w:noWrap/>
            <w:vAlign w:val="bottom"/>
            <w:hideMark/>
          </w:tcPr>
          <w:p w14:paraId="794E8400" w14:textId="4D29F58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123</w:t>
            </w:r>
          </w:p>
        </w:tc>
        <w:tc>
          <w:tcPr>
            <w:tcW w:w="664" w:type="dxa"/>
            <w:tcBorders>
              <w:top w:val="single" w:sz="8" w:space="0" w:color="auto"/>
              <w:left w:val="nil"/>
              <w:bottom w:val="single" w:sz="4" w:space="0" w:color="auto"/>
              <w:right w:val="single" w:sz="4" w:space="0" w:color="auto"/>
            </w:tcBorders>
            <w:noWrap/>
            <w:vAlign w:val="bottom"/>
            <w:hideMark/>
          </w:tcPr>
          <w:p w14:paraId="542AED88" w14:textId="5DBC480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777</w:t>
            </w:r>
          </w:p>
        </w:tc>
        <w:tc>
          <w:tcPr>
            <w:tcW w:w="782" w:type="dxa"/>
            <w:tcBorders>
              <w:top w:val="single" w:sz="8" w:space="0" w:color="auto"/>
              <w:left w:val="nil"/>
              <w:bottom w:val="single" w:sz="4" w:space="0" w:color="auto"/>
              <w:right w:val="single" w:sz="4" w:space="0" w:color="auto"/>
            </w:tcBorders>
            <w:noWrap/>
            <w:vAlign w:val="bottom"/>
            <w:hideMark/>
          </w:tcPr>
          <w:p w14:paraId="0DE76C3A" w14:textId="1B25140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724</w:t>
            </w:r>
          </w:p>
        </w:tc>
        <w:tc>
          <w:tcPr>
            <w:tcW w:w="580" w:type="dxa"/>
            <w:tcBorders>
              <w:top w:val="single" w:sz="8" w:space="0" w:color="auto"/>
              <w:left w:val="nil"/>
              <w:bottom w:val="single" w:sz="4" w:space="0" w:color="auto"/>
              <w:right w:val="single" w:sz="4" w:space="0" w:color="auto"/>
            </w:tcBorders>
            <w:noWrap/>
            <w:vAlign w:val="bottom"/>
            <w:hideMark/>
          </w:tcPr>
          <w:p w14:paraId="022F9D2E"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 xml:space="preserve">- </w:t>
            </w:r>
          </w:p>
        </w:tc>
        <w:tc>
          <w:tcPr>
            <w:tcW w:w="782" w:type="dxa"/>
            <w:tcBorders>
              <w:top w:val="single" w:sz="8" w:space="0" w:color="auto"/>
              <w:left w:val="nil"/>
              <w:bottom w:val="single" w:sz="4" w:space="0" w:color="auto"/>
              <w:right w:val="single" w:sz="4" w:space="0" w:color="auto"/>
            </w:tcBorders>
            <w:noWrap/>
            <w:vAlign w:val="bottom"/>
            <w:hideMark/>
          </w:tcPr>
          <w:p w14:paraId="77AD9259" w14:textId="0CC35AB6"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443</w:t>
            </w:r>
          </w:p>
        </w:tc>
        <w:tc>
          <w:tcPr>
            <w:tcW w:w="866" w:type="dxa"/>
            <w:tcBorders>
              <w:top w:val="single" w:sz="8" w:space="0" w:color="auto"/>
              <w:left w:val="nil"/>
              <w:bottom w:val="single" w:sz="4" w:space="0" w:color="auto"/>
              <w:right w:val="single" w:sz="4" w:space="0" w:color="auto"/>
            </w:tcBorders>
            <w:noWrap/>
            <w:vAlign w:val="bottom"/>
            <w:hideMark/>
          </w:tcPr>
          <w:p w14:paraId="58D459B8" w14:textId="3D7BB40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607</w:t>
            </w:r>
          </w:p>
        </w:tc>
        <w:tc>
          <w:tcPr>
            <w:tcW w:w="664" w:type="dxa"/>
            <w:tcBorders>
              <w:top w:val="single" w:sz="8" w:space="0" w:color="auto"/>
              <w:left w:val="nil"/>
              <w:bottom w:val="single" w:sz="4" w:space="0" w:color="auto"/>
              <w:right w:val="single" w:sz="4" w:space="0" w:color="auto"/>
            </w:tcBorders>
            <w:noWrap/>
            <w:vAlign w:val="bottom"/>
            <w:hideMark/>
          </w:tcPr>
          <w:p w14:paraId="6582BC49" w14:textId="4DB7894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136</w:t>
            </w:r>
          </w:p>
        </w:tc>
        <w:tc>
          <w:tcPr>
            <w:tcW w:w="660" w:type="dxa"/>
            <w:tcBorders>
              <w:top w:val="single" w:sz="8" w:space="0" w:color="auto"/>
              <w:left w:val="nil"/>
              <w:bottom w:val="single" w:sz="4" w:space="0" w:color="auto"/>
              <w:right w:val="single" w:sz="4" w:space="0" w:color="auto"/>
            </w:tcBorders>
            <w:noWrap/>
            <w:vAlign w:val="bottom"/>
            <w:hideMark/>
          </w:tcPr>
          <w:p w14:paraId="637E318E"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r>
      <w:tr w:rsidR="00194D43" w:rsidRPr="00A51C55" w14:paraId="6AB46409"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62D22D6B" w14:textId="44B7480E"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34254501"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659" w:type="dxa"/>
            <w:tcBorders>
              <w:top w:val="nil"/>
              <w:left w:val="nil"/>
              <w:bottom w:val="single" w:sz="4" w:space="0" w:color="auto"/>
              <w:right w:val="single" w:sz="4" w:space="0" w:color="auto"/>
            </w:tcBorders>
            <w:noWrap/>
            <w:vAlign w:val="bottom"/>
            <w:hideMark/>
          </w:tcPr>
          <w:p w14:paraId="14D4F6C1" w14:textId="13C00AA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510</w:t>
            </w:r>
          </w:p>
        </w:tc>
        <w:tc>
          <w:tcPr>
            <w:tcW w:w="866" w:type="dxa"/>
            <w:tcBorders>
              <w:top w:val="nil"/>
              <w:left w:val="nil"/>
              <w:bottom w:val="single" w:sz="4" w:space="0" w:color="auto"/>
              <w:right w:val="single" w:sz="4" w:space="0" w:color="auto"/>
            </w:tcBorders>
            <w:noWrap/>
            <w:vAlign w:val="bottom"/>
            <w:hideMark/>
          </w:tcPr>
          <w:p w14:paraId="490B1737" w14:textId="449B455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w:t>
            </w:r>
            <w:r w:rsidR="004B4E72" w:rsidRPr="00A51C55">
              <w:rPr>
                <w:rFonts w:ascii="Cambria" w:hAnsi="Cambria"/>
                <w:color w:val="000000"/>
                <w:sz w:val="18"/>
                <w:szCs w:val="18"/>
              </w:rPr>
              <w:t>.</w:t>
            </w:r>
            <w:r w:rsidRPr="00A51C55">
              <w:rPr>
                <w:rFonts w:ascii="Cambria" w:hAnsi="Cambria"/>
                <w:color w:val="000000"/>
                <w:sz w:val="18"/>
                <w:szCs w:val="18"/>
              </w:rPr>
              <w:t>488</w:t>
            </w:r>
            <w:r w:rsidR="004B4E72" w:rsidRPr="00A51C55">
              <w:rPr>
                <w:rFonts w:ascii="Cambria" w:hAnsi="Cambria"/>
                <w:color w:val="000000"/>
                <w:sz w:val="18"/>
                <w:szCs w:val="18"/>
              </w:rPr>
              <w:t>.</w:t>
            </w:r>
            <w:r w:rsidRPr="00A51C55">
              <w:rPr>
                <w:rFonts w:ascii="Cambria" w:hAnsi="Cambria"/>
                <w:color w:val="000000"/>
                <w:sz w:val="18"/>
                <w:szCs w:val="18"/>
              </w:rPr>
              <w:t>355</w:t>
            </w:r>
          </w:p>
        </w:tc>
        <w:tc>
          <w:tcPr>
            <w:tcW w:w="782" w:type="dxa"/>
            <w:tcBorders>
              <w:top w:val="nil"/>
              <w:left w:val="nil"/>
              <w:bottom w:val="single" w:sz="4" w:space="0" w:color="auto"/>
              <w:right w:val="single" w:sz="4" w:space="0" w:color="auto"/>
            </w:tcBorders>
            <w:noWrap/>
            <w:vAlign w:val="bottom"/>
            <w:hideMark/>
          </w:tcPr>
          <w:p w14:paraId="49866F4C" w14:textId="54F48B9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808</w:t>
            </w:r>
          </w:p>
        </w:tc>
        <w:tc>
          <w:tcPr>
            <w:tcW w:w="664" w:type="dxa"/>
            <w:tcBorders>
              <w:top w:val="nil"/>
              <w:left w:val="nil"/>
              <w:bottom w:val="single" w:sz="4" w:space="0" w:color="auto"/>
              <w:right w:val="single" w:sz="4" w:space="0" w:color="auto"/>
            </w:tcBorders>
            <w:noWrap/>
            <w:vAlign w:val="bottom"/>
            <w:hideMark/>
          </w:tcPr>
          <w:p w14:paraId="45689A0A" w14:textId="42731B8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73</w:t>
            </w:r>
            <w:r w:rsidR="004B4E72" w:rsidRPr="00A51C55">
              <w:rPr>
                <w:rFonts w:ascii="Cambria" w:hAnsi="Cambria"/>
                <w:color w:val="000000"/>
                <w:sz w:val="18"/>
                <w:szCs w:val="18"/>
              </w:rPr>
              <w:t>.</w:t>
            </w:r>
            <w:r w:rsidRPr="00A51C55">
              <w:rPr>
                <w:rFonts w:ascii="Cambria" w:hAnsi="Cambria"/>
                <w:color w:val="000000"/>
                <w:sz w:val="18"/>
                <w:szCs w:val="18"/>
              </w:rPr>
              <w:t>287</w:t>
            </w:r>
          </w:p>
        </w:tc>
        <w:tc>
          <w:tcPr>
            <w:tcW w:w="782" w:type="dxa"/>
            <w:tcBorders>
              <w:top w:val="nil"/>
              <w:left w:val="nil"/>
              <w:bottom w:val="single" w:sz="4" w:space="0" w:color="auto"/>
              <w:right w:val="single" w:sz="4" w:space="0" w:color="auto"/>
            </w:tcBorders>
            <w:noWrap/>
            <w:vAlign w:val="bottom"/>
            <w:hideMark/>
          </w:tcPr>
          <w:p w14:paraId="58EA4CE5" w14:textId="4950F92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w:t>
            </w:r>
            <w:r w:rsidR="004B4E72" w:rsidRPr="00A51C55">
              <w:rPr>
                <w:rFonts w:ascii="Cambria" w:hAnsi="Cambria"/>
                <w:color w:val="000000"/>
                <w:sz w:val="18"/>
                <w:szCs w:val="18"/>
              </w:rPr>
              <w:t>.</w:t>
            </w:r>
            <w:r w:rsidRPr="00A51C55">
              <w:rPr>
                <w:rFonts w:ascii="Cambria" w:hAnsi="Cambria"/>
                <w:color w:val="000000"/>
                <w:sz w:val="18"/>
                <w:szCs w:val="18"/>
              </w:rPr>
              <w:t>856</w:t>
            </w:r>
            <w:r w:rsidR="004B4E72" w:rsidRPr="00A51C55">
              <w:rPr>
                <w:rFonts w:ascii="Cambria" w:hAnsi="Cambria"/>
                <w:color w:val="000000"/>
                <w:sz w:val="18"/>
                <w:szCs w:val="18"/>
              </w:rPr>
              <w:t>.</w:t>
            </w:r>
            <w:r w:rsidRPr="00A51C55">
              <w:rPr>
                <w:rFonts w:ascii="Cambria" w:hAnsi="Cambria"/>
                <w:color w:val="000000"/>
                <w:sz w:val="18"/>
                <w:szCs w:val="18"/>
              </w:rPr>
              <w:t>298</w:t>
            </w:r>
          </w:p>
        </w:tc>
        <w:tc>
          <w:tcPr>
            <w:tcW w:w="580" w:type="dxa"/>
            <w:tcBorders>
              <w:top w:val="nil"/>
              <w:left w:val="nil"/>
              <w:bottom w:val="single" w:sz="4" w:space="0" w:color="auto"/>
              <w:right w:val="single" w:sz="4" w:space="0" w:color="auto"/>
            </w:tcBorders>
            <w:noWrap/>
            <w:vAlign w:val="bottom"/>
            <w:hideMark/>
          </w:tcPr>
          <w:p w14:paraId="2F94D02C"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782" w:type="dxa"/>
            <w:tcBorders>
              <w:top w:val="nil"/>
              <w:left w:val="nil"/>
              <w:bottom w:val="single" w:sz="4" w:space="0" w:color="auto"/>
              <w:right w:val="single" w:sz="4" w:space="0" w:color="auto"/>
            </w:tcBorders>
            <w:noWrap/>
            <w:vAlign w:val="bottom"/>
            <w:hideMark/>
          </w:tcPr>
          <w:p w14:paraId="7B02FFCC" w14:textId="00549E7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27</w:t>
            </w:r>
            <w:r w:rsidR="004B4E72" w:rsidRPr="00A51C55">
              <w:rPr>
                <w:rFonts w:ascii="Cambria" w:hAnsi="Cambria"/>
                <w:color w:val="000000"/>
                <w:sz w:val="18"/>
                <w:szCs w:val="18"/>
              </w:rPr>
              <w:t>.</w:t>
            </w:r>
            <w:r w:rsidRPr="00A51C55">
              <w:rPr>
                <w:rFonts w:ascii="Cambria" w:hAnsi="Cambria"/>
                <w:color w:val="000000"/>
                <w:sz w:val="18"/>
                <w:szCs w:val="18"/>
              </w:rPr>
              <w:t>725</w:t>
            </w:r>
          </w:p>
        </w:tc>
        <w:tc>
          <w:tcPr>
            <w:tcW w:w="866" w:type="dxa"/>
            <w:tcBorders>
              <w:top w:val="nil"/>
              <w:left w:val="nil"/>
              <w:bottom w:val="single" w:sz="4" w:space="0" w:color="auto"/>
              <w:right w:val="single" w:sz="4" w:space="0" w:color="auto"/>
            </w:tcBorders>
            <w:noWrap/>
            <w:vAlign w:val="bottom"/>
            <w:hideMark/>
          </w:tcPr>
          <w:p w14:paraId="3D1C30D1" w14:textId="2A9DBC7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14</w:t>
            </w:r>
            <w:r w:rsidR="004B4E72" w:rsidRPr="00A51C55">
              <w:rPr>
                <w:rFonts w:ascii="Cambria" w:hAnsi="Cambria"/>
                <w:color w:val="000000"/>
                <w:sz w:val="18"/>
                <w:szCs w:val="18"/>
              </w:rPr>
              <w:t>.</w:t>
            </w:r>
            <w:r w:rsidRPr="00A51C55">
              <w:rPr>
                <w:rFonts w:ascii="Cambria" w:hAnsi="Cambria"/>
                <w:color w:val="000000"/>
                <w:sz w:val="18"/>
                <w:szCs w:val="18"/>
              </w:rPr>
              <w:t>915</w:t>
            </w:r>
            <w:r w:rsidR="004B4E72" w:rsidRPr="00A51C55">
              <w:rPr>
                <w:rFonts w:ascii="Cambria" w:hAnsi="Cambria"/>
                <w:color w:val="000000"/>
                <w:sz w:val="18"/>
                <w:szCs w:val="18"/>
              </w:rPr>
              <w:t>.</w:t>
            </w:r>
            <w:r w:rsidRPr="00A51C55">
              <w:rPr>
                <w:rFonts w:ascii="Cambria" w:hAnsi="Cambria"/>
                <w:color w:val="000000"/>
                <w:sz w:val="18"/>
                <w:szCs w:val="18"/>
              </w:rPr>
              <w:t>597</w:t>
            </w:r>
          </w:p>
        </w:tc>
        <w:tc>
          <w:tcPr>
            <w:tcW w:w="664" w:type="dxa"/>
            <w:tcBorders>
              <w:top w:val="nil"/>
              <w:left w:val="nil"/>
              <w:bottom w:val="single" w:sz="4" w:space="0" w:color="auto"/>
              <w:right w:val="single" w:sz="4" w:space="0" w:color="auto"/>
            </w:tcBorders>
            <w:noWrap/>
            <w:vAlign w:val="bottom"/>
            <w:hideMark/>
          </w:tcPr>
          <w:p w14:paraId="7D899791" w14:textId="151A3CD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535</w:t>
            </w:r>
            <w:r w:rsidR="004B4E72" w:rsidRPr="00A51C55">
              <w:rPr>
                <w:rFonts w:ascii="Cambria" w:hAnsi="Cambria"/>
                <w:color w:val="000000"/>
                <w:sz w:val="18"/>
                <w:szCs w:val="18"/>
              </w:rPr>
              <w:t>.</w:t>
            </w:r>
            <w:r w:rsidRPr="00A51C55">
              <w:rPr>
                <w:rFonts w:ascii="Cambria" w:hAnsi="Cambria"/>
                <w:color w:val="000000"/>
                <w:sz w:val="18"/>
                <w:szCs w:val="18"/>
              </w:rPr>
              <w:t>982</w:t>
            </w:r>
          </w:p>
        </w:tc>
        <w:tc>
          <w:tcPr>
            <w:tcW w:w="660" w:type="dxa"/>
            <w:tcBorders>
              <w:top w:val="nil"/>
              <w:left w:val="nil"/>
              <w:bottom w:val="single" w:sz="4" w:space="0" w:color="auto"/>
              <w:right w:val="single" w:sz="4" w:space="0" w:color="auto"/>
            </w:tcBorders>
            <w:noWrap/>
            <w:vAlign w:val="bottom"/>
            <w:hideMark/>
          </w:tcPr>
          <w:p w14:paraId="2288871F"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r>
      <w:tr w:rsidR="00194D43" w:rsidRPr="00A51C55" w14:paraId="39386B15"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256E9AD1" w14:textId="47E40AAC"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Comercio interior (INT)</w:t>
            </w:r>
          </w:p>
        </w:tc>
        <w:tc>
          <w:tcPr>
            <w:tcW w:w="676" w:type="dxa"/>
            <w:tcBorders>
              <w:top w:val="single" w:sz="8" w:space="0" w:color="auto"/>
              <w:left w:val="nil"/>
              <w:bottom w:val="single" w:sz="4" w:space="0" w:color="auto"/>
              <w:right w:val="single" w:sz="4" w:space="0" w:color="auto"/>
            </w:tcBorders>
            <w:noWrap/>
            <w:vAlign w:val="bottom"/>
            <w:hideMark/>
          </w:tcPr>
          <w:p w14:paraId="1F360CD5" w14:textId="496464C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58</w:t>
            </w:r>
          </w:p>
        </w:tc>
        <w:tc>
          <w:tcPr>
            <w:tcW w:w="659" w:type="dxa"/>
            <w:tcBorders>
              <w:top w:val="single" w:sz="8" w:space="0" w:color="auto"/>
              <w:left w:val="nil"/>
              <w:bottom w:val="single" w:sz="4" w:space="0" w:color="auto"/>
              <w:right w:val="single" w:sz="4" w:space="0" w:color="auto"/>
            </w:tcBorders>
            <w:noWrap/>
            <w:vAlign w:val="bottom"/>
            <w:hideMark/>
          </w:tcPr>
          <w:p w14:paraId="77971719" w14:textId="2B7C140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p>
        </w:tc>
        <w:tc>
          <w:tcPr>
            <w:tcW w:w="866" w:type="dxa"/>
            <w:tcBorders>
              <w:top w:val="single" w:sz="8" w:space="0" w:color="auto"/>
              <w:left w:val="nil"/>
              <w:bottom w:val="single" w:sz="4" w:space="0" w:color="auto"/>
              <w:right w:val="single" w:sz="4" w:space="0" w:color="auto"/>
            </w:tcBorders>
            <w:noWrap/>
            <w:vAlign w:val="bottom"/>
            <w:hideMark/>
          </w:tcPr>
          <w:p w14:paraId="7A5E2479" w14:textId="5218CDD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62</w:t>
            </w:r>
            <w:r w:rsidR="004B4E72" w:rsidRPr="00A51C55">
              <w:rPr>
                <w:rFonts w:ascii="Cambria" w:hAnsi="Cambria"/>
                <w:color w:val="000000"/>
                <w:sz w:val="18"/>
                <w:szCs w:val="18"/>
              </w:rPr>
              <w:t>.</w:t>
            </w:r>
            <w:r w:rsidRPr="00A51C55">
              <w:rPr>
                <w:rFonts w:ascii="Cambria" w:hAnsi="Cambria"/>
                <w:color w:val="000000"/>
                <w:sz w:val="18"/>
                <w:szCs w:val="18"/>
              </w:rPr>
              <w:t>440</w:t>
            </w:r>
          </w:p>
        </w:tc>
        <w:tc>
          <w:tcPr>
            <w:tcW w:w="782" w:type="dxa"/>
            <w:tcBorders>
              <w:top w:val="single" w:sz="8" w:space="0" w:color="auto"/>
              <w:left w:val="nil"/>
              <w:bottom w:val="single" w:sz="4" w:space="0" w:color="auto"/>
              <w:right w:val="single" w:sz="4" w:space="0" w:color="auto"/>
            </w:tcBorders>
            <w:noWrap/>
            <w:vAlign w:val="bottom"/>
            <w:hideMark/>
          </w:tcPr>
          <w:p w14:paraId="08AA22AF" w14:textId="1C9DC2F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20</w:t>
            </w:r>
            <w:r w:rsidR="004B4E72" w:rsidRPr="00A51C55">
              <w:rPr>
                <w:rFonts w:ascii="Cambria" w:hAnsi="Cambria"/>
                <w:color w:val="000000"/>
                <w:sz w:val="18"/>
                <w:szCs w:val="18"/>
              </w:rPr>
              <w:t>.</w:t>
            </w:r>
            <w:r w:rsidRPr="00A51C55">
              <w:rPr>
                <w:rFonts w:ascii="Cambria" w:hAnsi="Cambria"/>
                <w:color w:val="000000"/>
                <w:sz w:val="18"/>
                <w:szCs w:val="18"/>
              </w:rPr>
              <w:t>365</w:t>
            </w:r>
          </w:p>
        </w:tc>
        <w:tc>
          <w:tcPr>
            <w:tcW w:w="664" w:type="dxa"/>
            <w:tcBorders>
              <w:top w:val="single" w:sz="8" w:space="0" w:color="auto"/>
              <w:left w:val="nil"/>
              <w:bottom w:val="single" w:sz="4" w:space="0" w:color="auto"/>
              <w:right w:val="single" w:sz="4" w:space="0" w:color="auto"/>
            </w:tcBorders>
            <w:noWrap/>
            <w:vAlign w:val="bottom"/>
            <w:hideMark/>
          </w:tcPr>
          <w:p w14:paraId="02013645" w14:textId="6B4E56D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361</w:t>
            </w:r>
          </w:p>
        </w:tc>
        <w:tc>
          <w:tcPr>
            <w:tcW w:w="782" w:type="dxa"/>
            <w:tcBorders>
              <w:top w:val="single" w:sz="8" w:space="0" w:color="auto"/>
              <w:left w:val="nil"/>
              <w:bottom w:val="single" w:sz="4" w:space="0" w:color="auto"/>
              <w:right w:val="single" w:sz="4" w:space="0" w:color="auto"/>
            </w:tcBorders>
            <w:noWrap/>
            <w:vAlign w:val="bottom"/>
            <w:hideMark/>
          </w:tcPr>
          <w:p w14:paraId="038BAC5E" w14:textId="3766B51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754</w:t>
            </w:r>
          </w:p>
        </w:tc>
        <w:tc>
          <w:tcPr>
            <w:tcW w:w="580" w:type="dxa"/>
            <w:tcBorders>
              <w:top w:val="single" w:sz="8" w:space="0" w:color="auto"/>
              <w:left w:val="nil"/>
              <w:bottom w:val="single" w:sz="4" w:space="0" w:color="auto"/>
              <w:right w:val="single" w:sz="4" w:space="0" w:color="auto"/>
            </w:tcBorders>
            <w:noWrap/>
            <w:vAlign w:val="bottom"/>
            <w:hideMark/>
          </w:tcPr>
          <w:p w14:paraId="20604794" w14:textId="7A3E5A1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w:t>
            </w:r>
          </w:p>
        </w:tc>
        <w:tc>
          <w:tcPr>
            <w:tcW w:w="782" w:type="dxa"/>
            <w:tcBorders>
              <w:top w:val="single" w:sz="8" w:space="0" w:color="auto"/>
              <w:left w:val="nil"/>
              <w:bottom w:val="single" w:sz="4" w:space="0" w:color="auto"/>
              <w:right w:val="single" w:sz="4" w:space="0" w:color="auto"/>
            </w:tcBorders>
            <w:noWrap/>
            <w:vAlign w:val="bottom"/>
            <w:hideMark/>
          </w:tcPr>
          <w:p w14:paraId="28A6B06E" w14:textId="45124426"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82</w:t>
            </w:r>
            <w:r w:rsidR="004B4E72" w:rsidRPr="00A51C55">
              <w:rPr>
                <w:rFonts w:ascii="Cambria" w:hAnsi="Cambria"/>
                <w:color w:val="000000"/>
                <w:sz w:val="18"/>
                <w:szCs w:val="18"/>
              </w:rPr>
              <w:t>.</w:t>
            </w:r>
            <w:r w:rsidRPr="00A51C55">
              <w:rPr>
                <w:rFonts w:ascii="Cambria" w:hAnsi="Cambria"/>
                <w:color w:val="000000"/>
                <w:sz w:val="18"/>
                <w:szCs w:val="18"/>
              </w:rPr>
              <w:t>749</w:t>
            </w:r>
          </w:p>
        </w:tc>
        <w:tc>
          <w:tcPr>
            <w:tcW w:w="866" w:type="dxa"/>
            <w:tcBorders>
              <w:top w:val="single" w:sz="8" w:space="0" w:color="auto"/>
              <w:left w:val="nil"/>
              <w:bottom w:val="single" w:sz="4" w:space="0" w:color="auto"/>
              <w:right w:val="single" w:sz="4" w:space="0" w:color="auto"/>
            </w:tcBorders>
            <w:noWrap/>
            <w:vAlign w:val="bottom"/>
            <w:hideMark/>
          </w:tcPr>
          <w:p w14:paraId="1DCB34FB" w14:textId="68CD36F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496</w:t>
            </w:r>
          </w:p>
        </w:tc>
        <w:tc>
          <w:tcPr>
            <w:tcW w:w="664" w:type="dxa"/>
            <w:tcBorders>
              <w:top w:val="single" w:sz="8" w:space="0" w:color="auto"/>
              <w:left w:val="nil"/>
              <w:bottom w:val="single" w:sz="4" w:space="0" w:color="auto"/>
              <w:right w:val="single" w:sz="4" w:space="0" w:color="auto"/>
            </w:tcBorders>
            <w:noWrap/>
            <w:vAlign w:val="bottom"/>
            <w:hideMark/>
          </w:tcPr>
          <w:p w14:paraId="17BC482E" w14:textId="42DC5E2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033</w:t>
            </w:r>
          </w:p>
        </w:tc>
        <w:tc>
          <w:tcPr>
            <w:tcW w:w="660" w:type="dxa"/>
            <w:tcBorders>
              <w:top w:val="single" w:sz="8" w:space="0" w:color="auto"/>
              <w:left w:val="nil"/>
              <w:bottom w:val="single" w:sz="4" w:space="0" w:color="auto"/>
              <w:right w:val="single" w:sz="4" w:space="0" w:color="auto"/>
            </w:tcBorders>
            <w:noWrap/>
            <w:vAlign w:val="bottom"/>
            <w:hideMark/>
          </w:tcPr>
          <w:p w14:paraId="2D29D761" w14:textId="1E51CAC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w:t>
            </w:r>
          </w:p>
        </w:tc>
      </w:tr>
      <w:tr w:rsidR="00194D43" w:rsidRPr="00A51C55" w14:paraId="16AF1E84"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4470E7B9" w14:textId="76FEBF71"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3A767355" w14:textId="6A30AFB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223</w:t>
            </w:r>
          </w:p>
        </w:tc>
        <w:tc>
          <w:tcPr>
            <w:tcW w:w="659" w:type="dxa"/>
            <w:tcBorders>
              <w:top w:val="nil"/>
              <w:left w:val="nil"/>
              <w:bottom w:val="single" w:sz="4" w:space="0" w:color="auto"/>
              <w:right w:val="single" w:sz="4" w:space="0" w:color="auto"/>
            </w:tcBorders>
            <w:noWrap/>
            <w:vAlign w:val="bottom"/>
            <w:hideMark/>
          </w:tcPr>
          <w:p w14:paraId="6D335686" w14:textId="68D10E9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704</w:t>
            </w:r>
          </w:p>
        </w:tc>
        <w:tc>
          <w:tcPr>
            <w:tcW w:w="866" w:type="dxa"/>
            <w:tcBorders>
              <w:top w:val="nil"/>
              <w:left w:val="nil"/>
              <w:bottom w:val="single" w:sz="4" w:space="0" w:color="auto"/>
              <w:right w:val="single" w:sz="4" w:space="0" w:color="auto"/>
            </w:tcBorders>
            <w:noWrap/>
            <w:vAlign w:val="bottom"/>
            <w:hideMark/>
          </w:tcPr>
          <w:p w14:paraId="658B39EE" w14:textId="37288E6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9</w:t>
            </w:r>
            <w:r w:rsidR="004B4E72" w:rsidRPr="00A51C55">
              <w:rPr>
                <w:rFonts w:ascii="Cambria" w:hAnsi="Cambria"/>
                <w:color w:val="000000"/>
                <w:sz w:val="18"/>
                <w:szCs w:val="18"/>
              </w:rPr>
              <w:t>.</w:t>
            </w:r>
            <w:r w:rsidRPr="00A51C55">
              <w:rPr>
                <w:rFonts w:ascii="Cambria" w:hAnsi="Cambria"/>
                <w:color w:val="000000"/>
                <w:sz w:val="18"/>
                <w:szCs w:val="18"/>
              </w:rPr>
              <w:t>254</w:t>
            </w:r>
            <w:r w:rsidR="004B4E72" w:rsidRPr="00A51C55">
              <w:rPr>
                <w:rFonts w:ascii="Cambria" w:hAnsi="Cambria"/>
                <w:color w:val="000000"/>
                <w:sz w:val="18"/>
                <w:szCs w:val="18"/>
              </w:rPr>
              <w:t>.</w:t>
            </w:r>
            <w:r w:rsidRPr="00A51C55">
              <w:rPr>
                <w:rFonts w:ascii="Cambria" w:hAnsi="Cambria"/>
                <w:color w:val="000000"/>
                <w:sz w:val="18"/>
                <w:szCs w:val="18"/>
              </w:rPr>
              <w:t>427</w:t>
            </w:r>
          </w:p>
        </w:tc>
        <w:tc>
          <w:tcPr>
            <w:tcW w:w="782" w:type="dxa"/>
            <w:tcBorders>
              <w:top w:val="nil"/>
              <w:left w:val="nil"/>
              <w:bottom w:val="single" w:sz="4" w:space="0" w:color="auto"/>
              <w:right w:val="single" w:sz="4" w:space="0" w:color="auto"/>
            </w:tcBorders>
            <w:noWrap/>
            <w:vAlign w:val="bottom"/>
            <w:hideMark/>
          </w:tcPr>
          <w:p w14:paraId="293A44FE" w14:textId="29EC6C2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101</w:t>
            </w:r>
            <w:r w:rsidR="004B4E72" w:rsidRPr="00A51C55">
              <w:rPr>
                <w:rFonts w:ascii="Cambria" w:hAnsi="Cambria"/>
                <w:color w:val="000000"/>
                <w:sz w:val="18"/>
                <w:szCs w:val="18"/>
              </w:rPr>
              <w:t>.</w:t>
            </w:r>
            <w:r w:rsidRPr="00A51C55">
              <w:rPr>
                <w:rFonts w:ascii="Cambria" w:hAnsi="Cambria"/>
                <w:color w:val="000000"/>
                <w:sz w:val="18"/>
                <w:szCs w:val="18"/>
              </w:rPr>
              <w:t>870</w:t>
            </w:r>
          </w:p>
        </w:tc>
        <w:tc>
          <w:tcPr>
            <w:tcW w:w="664" w:type="dxa"/>
            <w:tcBorders>
              <w:top w:val="nil"/>
              <w:left w:val="nil"/>
              <w:bottom w:val="single" w:sz="4" w:space="0" w:color="auto"/>
              <w:right w:val="single" w:sz="4" w:space="0" w:color="auto"/>
            </w:tcBorders>
            <w:noWrap/>
            <w:vAlign w:val="bottom"/>
            <w:hideMark/>
          </w:tcPr>
          <w:p w14:paraId="3B757C78" w14:textId="6DFCC58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75</w:t>
            </w:r>
            <w:r w:rsidR="004B4E72" w:rsidRPr="00A51C55">
              <w:rPr>
                <w:rFonts w:ascii="Cambria" w:hAnsi="Cambria"/>
                <w:color w:val="000000"/>
                <w:sz w:val="18"/>
                <w:szCs w:val="18"/>
              </w:rPr>
              <w:t>.</w:t>
            </w:r>
            <w:r w:rsidRPr="00A51C55">
              <w:rPr>
                <w:rFonts w:ascii="Cambria" w:hAnsi="Cambria"/>
                <w:color w:val="000000"/>
                <w:sz w:val="18"/>
                <w:szCs w:val="18"/>
              </w:rPr>
              <w:t>993</w:t>
            </w:r>
          </w:p>
        </w:tc>
        <w:tc>
          <w:tcPr>
            <w:tcW w:w="782" w:type="dxa"/>
            <w:tcBorders>
              <w:top w:val="nil"/>
              <w:left w:val="nil"/>
              <w:bottom w:val="single" w:sz="4" w:space="0" w:color="auto"/>
              <w:right w:val="single" w:sz="4" w:space="0" w:color="auto"/>
            </w:tcBorders>
            <w:noWrap/>
            <w:vAlign w:val="bottom"/>
            <w:hideMark/>
          </w:tcPr>
          <w:p w14:paraId="2534EA47" w14:textId="1532342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247</w:t>
            </w:r>
            <w:r w:rsidR="004B4E72" w:rsidRPr="00A51C55">
              <w:rPr>
                <w:rFonts w:ascii="Cambria" w:hAnsi="Cambria"/>
                <w:color w:val="000000"/>
                <w:sz w:val="18"/>
                <w:szCs w:val="18"/>
              </w:rPr>
              <w:t>.</w:t>
            </w:r>
            <w:r w:rsidRPr="00A51C55">
              <w:rPr>
                <w:rFonts w:ascii="Cambria" w:hAnsi="Cambria"/>
                <w:color w:val="000000"/>
                <w:sz w:val="18"/>
                <w:szCs w:val="18"/>
              </w:rPr>
              <w:t>555</w:t>
            </w:r>
          </w:p>
        </w:tc>
        <w:tc>
          <w:tcPr>
            <w:tcW w:w="580" w:type="dxa"/>
            <w:tcBorders>
              <w:top w:val="nil"/>
              <w:left w:val="nil"/>
              <w:bottom w:val="single" w:sz="4" w:space="0" w:color="auto"/>
              <w:right w:val="single" w:sz="4" w:space="0" w:color="auto"/>
            </w:tcBorders>
            <w:noWrap/>
            <w:vAlign w:val="bottom"/>
            <w:hideMark/>
          </w:tcPr>
          <w:p w14:paraId="7A0C61BB" w14:textId="4207252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173</w:t>
            </w:r>
          </w:p>
        </w:tc>
        <w:tc>
          <w:tcPr>
            <w:tcW w:w="782" w:type="dxa"/>
            <w:tcBorders>
              <w:top w:val="nil"/>
              <w:left w:val="nil"/>
              <w:bottom w:val="single" w:sz="4" w:space="0" w:color="auto"/>
              <w:right w:val="single" w:sz="4" w:space="0" w:color="auto"/>
            </w:tcBorders>
            <w:noWrap/>
            <w:vAlign w:val="bottom"/>
            <w:hideMark/>
          </w:tcPr>
          <w:p w14:paraId="480E4F20" w14:textId="27299F2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331</w:t>
            </w:r>
            <w:r w:rsidR="004B4E72" w:rsidRPr="00A51C55">
              <w:rPr>
                <w:rFonts w:ascii="Cambria" w:hAnsi="Cambria"/>
                <w:color w:val="000000"/>
                <w:sz w:val="18"/>
                <w:szCs w:val="18"/>
              </w:rPr>
              <w:t>.</w:t>
            </w:r>
            <w:r w:rsidRPr="00A51C55">
              <w:rPr>
                <w:rFonts w:ascii="Cambria" w:hAnsi="Cambria"/>
                <w:color w:val="000000"/>
                <w:sz w:val="18"/>
                <w:szCs w:val="18"/>
              </w:rPr>
              <w:t>752</w:t>
            </w:r>
          </w:p>
        </w:tc>
        <w:tc>
          <w:tcPr>
            <w:tcW w:w="866" w:type="dxa"/>
            <w:tcBorders>
              <w:top w:val="nil"/>
              <w:left w:val="nil"/>
              <w:bottom w:val="single" w:sz="4" w:space="0" w:color="auto"/>
              <w:right w:val="single" w:sz="4" w:space="0" w:color="auto"/>
            </w:tcBorders>
            <w:noWrap/>
            <w:vAlign w:val="bottom"/>
            <w:hideMark/>
          </w:tcPr>
          <w:p w14:paraId="67FE52C4" w14:textId="02CBDF1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191</w:t>
            </w:r>
            <w:r w:rsidR="004B4E72" w:rsidRPr="00A51C55">
              <w:rPr>
                <w:rFonts w:ascii="Cambria" w:hAnsi="Cambria"/>
                <w:color w:val="000000"/>
                <w:sz w:val="18"/>
                <w:szCs w:val="18"/>
              </w:rPr>
              <w:t>.</w:t>
            </w:r>
            <w:r w:rsidRPr="00A51C55">
              <w:rPr>
                <w:rFonts w:ascii="Cambria" w:hAnsi="Cambria"/>
                <w:color w:val="000000"/>
                <w:sz w:val="18"/>
                <w:szCs w:val="18"/>
              </w:rPr>
              <w:t>561</w:t>
            </w:r>
          </w:p>
        </w:tc>
        <w:tc>
          <w:tcPr>
            <w:tcW w:w="664" w:type="dxa"/>
            <w:tcBorders>
              <w:top w:val="nil"/>
              <w:left w:val="nil"/>
              <w:bottom w:val="single" w:sz="4" w:space="0" w:color="auto"/>
              <w:right w:val="single" w:sz="4" w:space="0" w:color="auto"/>
            </w:tcBorders>
            <w:noWrap/>
            <w:vAlign w:val="bottom"/>
            <w:hideMark/>
          </w:tcPr>
          <w:p w14:paraId="22BA28BC" w14:textId="623AE84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131</w:t>
            </w:r>
            <w:r w:rsidR="004B4E72" w:rsidRPr="00A51C55">
              <w:rPr>
                <w:rFonts w:ascii="Cambria" w:hAnsi="Cambria"/>
                <w:color w:val="000000"/>
                <w:sz w:val="18"/>
                <w:szCs w:val="18"/>
              </w:rPr>
              <w:t>.</w:t>
            </w:r>
            <w:r w:rsidRPr="00A51C55">
              <w:rPr>
                <w:rFonts w:ascii="Cambria" w:hAnsi="Cambria"/>
                <w:color w:val="000000"/>
                <w:sz w:val="18"/>
                <w:szCs w:val="18"/>
              </w:rPr>
              <w:t>653</w:t>
            </w:r>
          </w:p>
        </w:tc>
        <w:tc>
          <w:tcPr>
            <w:tcW w:w="660" w:type="dxa"/>
            <w:tcBorders>
              <w:top w:val="nil"/>
              <w:left w:val="nil"/>
              <w:bottom w:val="single" w:sz="4" w:space="0" w:color="auto"/>
              <w:right w:val="single" w:sz="4" w:space="0" w:color="auto"/>
            </w:tcBorders>
            <w:noWrap/>
            <w:vAlign w:val="bottom"/>
            <w:hideMark/>
          </w:tcPr>
          <w:p w14:paraId="5AB96D9E" w14:textId="08ED9AA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309</w:t>
            </w:r>
          </w:p>
        </w:tc>
      </w:tr>
      <w:tr w:rsidR="00194D43" w:rsidRPr="00A51C55" w14:paraId="2B422BD2"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573278CE" w14:textId="6871999E"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Comercio en la UE (STA)</w:t>
            </w:r>
          </w:p>
        </w:tc>
        <w:tc>
          <w:tcPr>
            <w:tcW w:w="676" w:type="dxa"/>
            <w:tcBorders>
              <w:top w:val="single" w:sz="8" w:space="0" w:color="auto"/>
              <w:left w:val="nil"/>
              <w:bottom w:val="single" w:sz="4" w:space="0" w:color="auto"/>
              <w:right w:val="single" w:sz="4" w:space="0" w:color="auto"/>
            </w:tcBorders>
            <w:noWrap/>
            <w:vAlign w:val="bottom"/>
            <w:hideMark/>
          </w:tcPr>
          <w:p w14:paraId="46516248" w14:textId="6B2AF61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53</w:t>
            </w:r>
          </w:p>
        </w:tc>
        <w:tc>
          <w:tcPr>
            <w:tcW w:w="659" w:type="dxa"/>
            <w:tcBorders>
              <w:top w:val="single" w:sz="8" w:space="0" w:color="auto"/>
              <w:left w:val="nil"/>
              <w:bottom w:val="single" w:sz="4" w:space="0" w:color="auto"/>
              <w:right w:val="single" w:sz="4" w:space="0" w:color="auto"/>
            </w:tcBorders>
            <w:noWrap/>
            <w:vAlign w:val="bottom"/>
            <w:hideMark/>
          </w:tcPr>
          <w:p w14:paraId="3B345021" w14:textId="76EC880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p>
        </w:tc>
        <w:tc>
          <w:tcPr>
            <w:tcW w:w="866" w:type="dxa"/>
            <w:tcBorders>
              <w:top w:val="single" w:sz="8" w:space="0" w:color="auto"/>
              <w:left w:val="nil"/>
              <w:bottom w:val="single" w:sz="4" w:space="0" w:color="auto"/>
              <w:right w:val="single" w:sz="4" w:space="0" w:color="auto"/>
            </w:tcBorders>
            <w:noWrap/>
            <w:vAlign w:val="bottom"/>
            <w:hideMark/>
          </w:tcPr>
          <w:p w14:paraId="60F2D203" w14:textId="587E0E0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22</w:t>
            </w:r>
            <w:r w:rsidR="004B4E72" w:rsidRPr="00A51C55">
              <w:rPr>
                <w:rFonts w:ascii="Cambria" w:hAnsi="Cambria"/>
                <w:color w:val="000000"/>
                <w:sz w:val="18"/>
                <w:szCs w:val="18"/>
              </w:rPr>
              <w:t>.</w:t>
            </w:r>
            <w:r w:rsidRPr="00A51C55">
              <w:rPr>
                <w:rFonts w:ascii="Cambria" w:hAnsi="Cambria"/>
                <w:color w:val="000000"/>
                <w:sz w:val="18"/>
                <w:szCs w:val="18"/>
              </w:rPr>
              <w:t>701</w:t>
            </w:r>
          </w:p>
        </w:tc>
        <w:tc>
          <w:tcPr>
            <w:tcW w:w="782" w:type="dxa"/>
            <w:tcBorders>
              <w:top w:val="single" w:sz="8" w:space="0" w:color="auto"/>
              <w:left w:val="nil"/>
              <w:bottom w:val="single" w:sz="4" w:space="0" w:color="auto"/>
              <w:right w:val="single" w:sz="4" w:space="0" w:color="auto"/>
            </w:tcBorders>
            <w:noWrap/>
            <w:vAlign w:val="bottom"/>
            <w:hideMark/>
          </w:tcPr>
          <w:p w14:paraId="5E6F96A1" w14:textId="1D015DF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930</w:t>
            </w:r>
          </w:p>
        </w:tc>
        <w:tc>
          <w:tcPr>
            <w:tcW w:w="664" w:type="dxa"/>
            <w:tcBorders>
              <w:top w:val="single" w:sz="8" w:space="0" w:color="auto"/>
              <w:left w:val="nil"/>
              <w:bottom w:val="single" w:sz="4" w:space="0" w:color="auto"/>
              <w:right w:val="single" w:sz="4" w:space="0" w:color="auto"/>
            </w:tcBorders>
            <w:noWrap/>
            <w:vAlign w:val="bottom"/>
            <w:hideMark/>
          </w:tcPr>
          <w:p w14:paraId="79F27AA6" w14:textId="7E2999E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354</w:t>
            </w:r>
          </w:p>
        </w:tc>
        <w:tc>
          <w:tcPr>
            <w:tcW w:w="782" w:type="dxa"/>
            <w:tcBorders>
              <w:top w:val="single" w:sz="8" w:space="0" w:color="auto"/>
              <w:left w:val="nil"/>
              <w:bottom w:val="single" w:sz="4" w:space="0" w:color="auto"/>
              <w:right w:val="single" w:sz="4" w:space="0" w:color="auto"/>
            </w:tcBorders>
            <w:noWrap/>
            <w:vAlign w:val="bottom"/>
            <w:hideMark/>
          </w:tcPr>
          <w:p w14:paraId="66581C2D" w14:textId="2E04833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598</w:t>
            </w:r>
          </w:p>
        </w:tc>
        <w:tc>
          <w:tcPr>
            <w:tcW w:w="580" w:type="dxa"/>
            <w:tcBorders>
              <w:top w:val="single" w:sz="8" w:space="0" w:color="auto"/>
              <w:left w:val="nil"/>
              <w:bottom w:val="single" w:sz="4" w:space="0" w:color="auto"/>
              <w:right w:val="single" w:sz="4" w:space="0" w:color="auto"/>
            </w:tcBorders>
            <w:noWrap/>
            <w:vAlign w:val="bottom"/>
            <w:hideMark/>
          </w:tcPr>
          <w:p w14:paraId="5D3DDD83" w14:textId="3CF2146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151</w:t>
            </w:r>
          </w:p>
        </w:tc>
        <w:tc>
          <w:tcPr>
            <w:tcW w:w="782" w:type="dxa"/>
            <w:tcBorders>
              <w:top w:val="single" w:sz="8" w:space="0" w:color="auto"/>
              <w:left w:val="nil"/>
              <w:bottom w:val="single" w:sz="4" w:space="0" w:color="auto"/>
              <w:right w:val="single" w:sz="4" w:space="0" w:color="auto"/>
            </w:tcBorders>
            <w:noWrap/>
            <w:vAlign w:val="bottom"/>
            <w:hideMark/>
          </w:tcPr>
          <w:p w14:paraId="2967CB66" w14:textId="3295EEA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788</w:t>
            </w:r>
          </w:p>
        </w:tc>
        <w:tc>
          <w:tcPr>
            <w:tcW w:w="866" w:type="dxa"/>
            <w:tcBorders>
              <w:top w:val="single" w:sz="8" w:space="0" w:color="auto"/>
              <w:left w:val="nil"/>
              <w:bottom w:val="single" w:sz="4" w:space="0" w:color="auto"/>
              <w:right w:val="single" w:sz="4" w:space="0" w:color="auto"/>
            </w:tcBorders>
            <w:noWrap/>
            <w:vAlign w:val="bottom"/>
            <w:hideMark/>
          </w:tcPr>
          <w:p w14:paraId="0DF2D59C" w14:textId="7ED0FD6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670</w:t>
            </w:r>
          </w:p>
        </w:tc>
        <w:tc>
          <w:tcPr>
            <w:tcW w:w="664" w:type="dxa"/>
            <w:tcBorders>
              <w:top w:val="single" w:sz="8" w:space="0" w:color="auto"/>
              <w:left w:val="nil"/>
              <w:bottom w:val="single" w:sz="4" w:space="0" w:color="auto"/>
              <w:right w:val="single" w:sz="4" w:space="0" w:color="auto"/>
            </w:tcBorders>
            <w:noWrap/>
            <w:vAlign w:val="bottom"/>
            <w:hideMark/>
          </w:tcPr>
          <w:p w14:paraId="37F97513" w14:textId="520E048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379</w:t>
            </w:r>
          </w:p>
        </w:tc>
        <w:tc>
          <w:tcPr>
            <w:tcW w:w="660" w:type="dxa"/>
            <w:tcBorders>
              <w:top w:val="single" w:sz="8" w:space="0" w:color="auto"/>
              <w:left w:val="nil"/>
              <w:bottom w:val="single" w:sz="4" w:space="0" w:color="auto"/>
              <w:right w:val="single" w:sz="4" w:space="0" w:color="auto"/>
            </w:tcBorders>
            <w:noWrap/>
            <w:vAlign w:val="bottom"/>
            <w:hideMark/>
          </w:tcPr>
          <w:p w14:paraId="780D249A" w14:textId="4B45DBC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72</w:t>
            </w:r>
          </w:p>
        </w:tc>
      </w:tr>
      <w:tr w:rsidR="00194D43" w:rsidRPr="00A51C55" w14:paraId="2F09840F"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2497E524" w14:textId="6BC1685A"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723E6559" w14:textId="15DD17B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86</w:t>
            </w:r>
            <w:r w:rsidR="004B4E72" w:rsidRPr="00A51C55">
              <w:rPr>
                <w:rFonts w:ascii="Cambria" w:hAnsi="Cambria"/>
                <w:color w:val="000000"/>
                <w:sz w:val="18"/>
                <w:szCs w:val="18"/>
              </w:rPr>
              <w:t>.</w:t>
            </w:r>
            <w:r w:rsidRPr="00A51C55">
              <w:rPr>
                <w:rFonts w:ascii="Cambria" w:hAnsi="Cambria"/>
                <w:color w:val="000000"/>
                <w:sz w:val="18"/>
                <w:szCs w:val="18"/>
              </w:rPr>
              <w:t>499</w:t>
            </w:r>
          </w:p>
        </w:tc>
        <w:tc>
          <w:tcPr>
            <w:tcW w:w="659" w:type="dxa"/>
            <w:tcBorders>
              <w:top w:val="nil"/>
              <w:left w:val="nil"/>
              <w:bottom w:val="single" w:sz="4" w:space="0" w:color="auto"/>
              <w:right w:val="single" w:sz="4" w:space="0" w:color="auto"/>
            </w:tcBorders>
            <w:noWrap/>
            <w:vAlign w:val="bottom"/>
            <w:hideMark/>
          </w:tcPr>
          <w:p w14:paraId="5EC30E47" w14:textId="5DE3ADC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851</w:t>
            </w:r>
          </w:p>
        </w:tc>
        <w:tc>
          <w:tcPr>
            <w:tcW w:w="866" w:type="dxa"/>
            <w:tcBorders>
              <w:top w:val="nil"/>
              <w:left w:val="nil"/>
              <w:bottom w:val="single" w:sz="4" w:space="0" w:color="auto"/>
              <w:right w:val="single" w:sz="4" w:space="0" w:color="auto"/>
            </w:tcBorders>
            <w:noWrap/>
            <w:vAlign w:val="bottom"/>
            <w:hideMark/>
          </w:tcPr>
          <w:p w14:paraId="7C0798E0" w14:textId="028DC2F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160</w:t>
            </w:r>
            <w:r w:rsidR="004B4E72" w:rsidRPr="00A51C55">
              <w:rPr>
                <w:rFonts w:ascii="Cambria" w:hAnsi="Cambria"/>
                <w:color w:val="000000"/>
                <w:sz w:val="18"/>
                <w:szCs w:val="18"/>
              </w:rPr>
              <w:t>.</w:t>
            </w:r>
            <w:r w:rsidRPr="00A51C55">
              <w:rPr>
                <w:rFonts w:ascii="Cambria" w:hAnsi="Cambria"/>
                <w:color w:val="000000"/>
                <w:sz w:val="18"/>
                <w:szCs w:val="18"/>
              </w:rPr>
              <w:t>945</w:t>
            </w:r>
          </w:p>
        </w:tc>
        <w:tc>
          <w:tcPr>
            <w:tcW w:w="782" w:type="dxa"/>
            <w:tcBorders>
              <w:top w:val="nil"/>
              <w:left w:val="nil"/>
              <w:bottom w:val="single" w:sz="4" w:space="0" w:color="auto"/>
              <w:right w:val="single" w:sz="4" w:space="0" w:color="auto"/>
            </w:tcBorders>
            <w:noWrap/>
            <w:vAlign w:val="bottom"/>
            <w:hideMark/>
          </w:tcPr>
          <w:p w14:paraId="4A80B678" w14:textId="137E6A1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508</w:t>
            </w:r>
            <w:r w:rsidR="004B4E72" w:rsidRPr="00A51C55">
              <w:rPr>
                <w:rFonts w:ascii="Cambria" w:hAnsi="Cambria"/>
                <w:color w:val="000000"/>
                <w:sz w:val="18"/>
                <w:szCs w:val="18"/>
              </w:rPr>
              <w:t>.</w:t>
            </w:r>
            <w:r w:rsidRPr="00A51C55">
              <w:rPr>
                <w:rFonts w:ascii="Cambria" w:hAnsi="Cambria"/>
                <w:color w:val="000000"/>
                <w:sz w:val="18"/>
                <w:szCs w:val="18"/>
              </w:rPr>
              <w:t>439</w:t>
            </w:r>
          </w:p>
        </w:tc>
        <w:tc>
          <w:tcPr>
            <w:tcW w:w="664" w:type="dxa"/>
            <w:tcBorders>
              <w:top w:val="nil"/>
              <w:left w:val="nil"/>
              <w:bottom w:val="single" w:sz="4" w:space="0" w:color="auto"/>
              <w:right w:val="single" w:sz="4" w:space="0" w:color="auto"/>
            </w:tcBorders>
            <w:noWrap/>
            <w:vAlign w:val="bottom"/>
            <w:hideMark/>
          </w:tcPr>
          <w:p w14:paraId="46E5056A" w14:textId="73B973D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225</w:t>
            </w:r>
            <w:r w:rsidR="004B4E72" w:rsidRPr="00A51C55">
              <w:rPr>
                <w:rFonts w:ascii="Cambria" w:hAnsi="Cambria"/>
                <w:color w:val="000000"/>
                <w:sz w:val="18"/>
                <w:szCs w:val="18"/>
              </w:rPr>
              <w:t>.</w:t>
            </w:r>
            <w:r w:rsidRPr="00A51C55">
              <w:rPr>
                <w:rFonts w:ascii="Cambria" w:hAnsi="Cambria"/>
                <w:color w:val="000000"/>
                <w:sz w:val="18"/>
                <w:szCs w:val="18"/>
              </w:rPr>
              <w:t>072</w:t>
            </w:r>
          </w:p>
        </w:tc>
        <w:tc>
          <w:tcPr>
            <w:tcW w:w="782" w:type="dxa"/>
            <w:tcBorders>
              <w:top w:val="nil"/>
              <w:left w:val="nil"/>
              <w:bottom w:val="single" w:sz="4" w:space="0" w:color="auto"/>
              <w:right w:val="single" w:sz="4" w:space="0" w:color="auto"/>
            </w:tcBorders>
            <w:noWrap/>
            <w:vAlign w:val="bottom"/>
            <w:hideMark/>
          </w:tcPr>
          <w:p w14:paraId="5B0D9BF5" w14:textId="2C9EBEE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57</w:t>
            </w:r>
            <w:r w:rsidR="004B4E72" w:rsidRPr="00A51C55">
              <w:rPr>
                <w:rFonts w:ascii="Cambria" w:hAnsi="Cambria"/>
                <w:color w:val="000000"/>
                <w:sz w:val="18"/>
                <w:szCs w:val="18"/>
              </w:rPr>
              <w:t>.</w:t>
            </w:r>
            <w:r w:rsidRPr="00A51C55">
              <w:rPr>
                <w:rFonts w:ascii="Cambria" w:hAnsi="Cambria"/>
                <w:color w:val="000000"/>
                <w:sz w:val="18"/>
                <w:szCs w:val="18"/>
              </w:rPr>
              <w:t>134</w:t>
            </w:r>
          </w:p>
        </w:tc>
        <w:tc>
          <w:tcPr>
            <w:tcW w:w="580" w:type="dxa"/>
            <w:tcBorders>
              <w:top w:val="nil"/>
              <w:left w:val="nil"/>
              <w:bottom w:val="single" w:sz="4" w:space="0" w:color="auto"/>
              <w:right w:val="single" w:sz="4" w:space="0" w:color="auto"/>
            </w:tcBorders>
            <w:noWrap/>
            <w:vAlign w:val="bottom"/>
            <w:hideMark/>
          </w:tcPr>
          <w:p w14:paraId="3424E7C9" w14:textId="610E60A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22</w:t>
            </w:r>
            <w:r w:rsidR="004B4E72" w:rsidRPr="00A51C55">
              <w:rPr>
                <w:rFonts w:ascii="Cambria" w:hAnsi="Cambria"/>
                <w:color w:val="000000"/>
                <w:sz w:val="18"/>
                <w:szCs w:val="18"/>
              </w:rPr>
              <w:t>.</w:t>
            </w:r>
            <w:r w:rsidRPr="00A51C55">
              <w:rPr>
                <w:rFonts w:ascii="Cambria" w:hAnsi="Cambria"/>
                <w:color w:val="000000"/>
                <w:sz w:val="18"/>
                <w:szCs w:val="18"/>
              </w:rPr>
              <w:t>229</w:t>
            </w:r>
          </w:p>
        </w:tc>
        <w:tc>
          <w:tcPr>
            <w:tcW w:w="782" w:type="dxa"/>
            <w:tcBorders>
              <w:top w:val="nil"/>
              <w:left w:val="nil"/>
              <w:bottom w:val="single" w:sz="4" w:space="0" w:color="auto"/>
              <w:right w:val="single" w:sz="4" w:space="0" w:color="auto"/>
            </w:tcBorders>
            <w:noWrap/>
            <w:vAlign w:val="bottom"/>
            <w:hideMark/>
          </w:tcPr>
          <w:p w14:paraId="06DCE570" w14:textId="7F9FFF5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261</w:t>
            </w:r>
            <w:r w:rsidR="004B4E72" w:rsidRPr="00A51C55">
              <w:rPr>
                <w:rFonts w:ascii="Cambria" w:hAnsi="Cambria"/>
                <w:color w:val="000000"/>
                <w:sz w:val="18"/>
                <w:szCs w:val="18"/>
              </w:rPr>
              <w:t>.</w:t>
            </w:r>
            <w:r w:rsidRPr="00A51C55">
              <w:rPr>
                <w:rFonts w:ascii="Cambria" w:hAnsi="Cambria"/>
                <w:color w:val="000000"/>
                <w:sz w:val="18"/>
                <w:szCs w:val="18"/>
              </w:rPr>
              <w:t>415</w:t>
            </w:r>
          </w:p>
        </w:tc>
        <w:tc>
          <w:tcPr>
            <w:tcW w:w="866" w:type="dxa"/>
            <w:tcBorders>
              <w:top w:val="nil"/>
              <w:left w:val="nil"/>
              <w:bottom w:val="single" w:sz="4" w:space="0" w:color="auto"/>
              <w:right w:val="single" w:sz="4" w:space="0" w:color="auto"/>
            </w:tcBorders>
            <w:noWrap/>
            <w:vAlign w:val="bottom"/>
            <w:hideMark/>
          </w:tcPr>
          <w:p w14:paraId="635A9DE0" w14:textId="3813069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151</w:t>
            </w:r>
            <w:r w:rsidR="004B4E72" w:rsidRPr="00A51C55">
              <w:rPr>
                <w:rFonts w:ascii="Cambria" w:hAnsi="Cambria"/>
                <w:color w:val="000000"/>
                <w:sz w:val="18"/>
                <w:szCs w:val="18"/>
              </w:rPr>
              <w:t>.</w:t>
            </w:r>
            <w:r w:rsidRPr="00A51C55">
              <w:rPr>
                <w:rFonts w:ascii="Cambria" w:hAnsi="Cambria"/>
                <w:color w:val="000000"/>
                <w:sz w:val="18"/>
                <w:szCs w:val="18"/>
              </w:rPr>
              <w:t>549</w:t>
            </w:r>
          </w:p>
        </w:tc>
        <w:tc>
          <w:tcPr>
            <w:tcW w:w="664" w:type="dxa"/>
            <w:tcBorders>
              <w:top w:val="nil"/>
              <w:left w:val="nil"/>
              <w:bottom w:val="single" w:sz="4" w:space="0" w:color="auto"/>
              <w:right w:val="single" w:sz="4" w:space="0" w:color="auto"/>
            </w:tcBorders>
            <w:noWrap/>
            <w:vAlign w:val="bottom"/>
            <w:hideMark/>
          </w:tcPr>
          <w:p w14:paraId="26679050" w14:textId="4CF1B1C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140</w:t>
            </w:r>
            <w:r w:rsidR="004B4E72" w:rsidRPr="00A51C55">
              <w:rPr>
                <w:rFonts w:ascii="Cambria" w:hAnsi="Cambria"/>
                <w:color w:val="000000"/>
                <w:sz w:val="18"/>
                <w:szCs w:val="18"/>
              </w:rPr>
              <w:t>.</w:t>
            </w:r>
            <w:r w:rsidRPr="00A51C55">
              <w:rPr>
                <w:rFonts w:ascii="Cambria" w:hAnsi="Cambria"/>
                <w:color w:val="000000"/>
                <w:sz w:val="18"/>
                <w:szCs w:val="18"/>
              </w:rPr>
              <w:t>319</w:t>
            </w:r>
          </w:p>
        </w:tc>
        <w:tc>
          <w:tcPr>
            <w:tcW w:w="660" w:type="dxa"/>
            <w:tcBorders>
              <w:top w:val="nil"/>
              <w:left w:val="nil"/>
              <w:bottom w:val="single" w:sz="4" w:space="0" w:color="auto"/>
              <w:right w:val="single" w:sz="4" w:space="0" w:color="auto"/>
            </w:tcBorders>
            <w:noWrap/>
            <w:vAlign w:val="bottom"/>
            <w:hideMark/>
          </w:tcPr>
          <w:p w14:paraId="6E182327" w14:textId="6F3E7CC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w:t>
            </w:r>
            <w:r w:rsidR="004B4E72" w:rsidRPr="00A51C55">
              <w:rPr>
                <w:rFonts w:ascii="Cambria" w:hAnsi="Cambria"/>
                <w:color w:val="000000"/>
                <w:sz w:val="18"/>
                <w:szCs w:val="18"/>
              </w:rPr>
              <w:t>.</w:t>
            </w:r>
            <w:r w:rsidRPr="00A51C55">
              <w:rPr>
                <w:rFonts w:ascii="Cambria" w:hAnsi="Cambria"/>
                <w:color w:val="000000"/>
                <w:sz w:val="18"/>
                <w:szCs w:val="18"/>
              </w:rPr>
              <w:t>300</w:t>
            </w:r>
          </w:p>
        </w:tc>
      </w:tr>
      <w:tr w:rsidR="00194D43" w:rsidRPr="00A51C55" w14:paraId="666B6EB4"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1B1BF4B7" w14:textId="5DD928E3"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VAL</w:t>
            </w:r>
          </w:p>
        </w:tc>
        <w:tc>
          <w:tcPr>
            <w:tcW w:w="676" w:type="dxa"/>
            <w:tcBorders>
              <w:top w:val="single" w:sz="8" w:space="0" w:color="auto"/>
              <w:left w:val="nil"/>
              <w:bottom w:val="single" w:sz="4" w:space="0" w:color="auto"/>
              <w:right w:val="single" w:sz="4" w:space="0" w:color="auto"/>
            </w:tcBorders>
            <w:noWrap/>
            <w:vAlign w:val="bottom"/>
            <w:hideMark/>
          </w:tcPr>
          <w:p w14:paraId="1A87CBFA"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659" w:type="dxa"/>
            <w:tcBorders>
              <w:top w:val="single" w:sz="8" w:space="0" w:color="auto"/>
              <w:left w:val="nil"/>
              <w:bottom w:val="single" w:sz="4" w:space="0" w:color="auto"/>
              <w:right w:val="single" w:sz="4" w:space="0" w:color="auto"/>
            </w:tcBorders>
            <w:noWrap/>
            <w:vAlign w:val="bottom"/>
            <w:hideMark/>
          </w:tcPr>
          <w:p w14:paraId="66A8F1D6" w14:textId="7379772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12</w:t>
            </w:r>
          </w:p>
        </w:tc>
        <w:tc>
          <w:tcPr>
            <w:tcW w:w="866" w:type="dxa"/>
            <w:tcBorders>
              <w:top w:val="single" w:sz="8" w:space="0" w:color="auto"/>
              <w:left w:val="nil"/>
              <w:bottom w:val="single" w:sz="4" w:space="0" w:color="auto"/>
              <w:right w:val="single" w:sz="4" w:space="0" w:color="auto"/>
            </w:tcBorders>
            <w:noWrap/>
            <w:vAlign w:val="bottom"/>
            <w:hideMark/>
          </w:tcPr>
          <w:p w14:paraId="7A528B89" w14:textId="5B4EA76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24</w:t>
            </w:r>
            <w:r w:rsidR="004B4E72" w:rsidRPr="00A51C55">
              <w:rPr>
                <w:rFonts w:ascii="Cambria" w:hAnsi="Cambria"/>
                <w:color w:val="000000"/>
                <w:sz w:val="18"/>
                <w:szCs w:val="18"/>
              </w:rPr>
              <w:t>.</w:t>
            </w:r>
            <w:r w:rsidRPr="00A51C55">
              <w:rPr>
                <w:rFonts w:ascii="Cambria" w:hAnsi="Cambria"/>
                <w:color w:val="000000"/>
                <w:sz w:val="18"/>
                <w:szCs w:val="18"/>
              </w:rPr>
              <w:t>753</w:t>
            </w:r>
          </w:p>
        </w:tc>
        <w:tc>
          <w:tcPr>
            <w:tcW w:w="782" w:type="dxa"/>
            <w:tcBorders>
              <w:top w:val="single" w:sz="8" w:space="0" w:color="auto"/>
              <w:left w:val="nil"/>
              <w:bottom w:val="single" w:sz="4" w:space="0" w:color="auto"/>
              <w:right w:val="single" w:sz="4" w:space="0" w:color="auto"/>
            </w:tcBorders>
            <w:noWrap/>
            <w:vAlign w:val="bottom"/>
            <w:hideMark/>
          </w:tcPr>
          <w:p w14:paraId="4BBFFD15" w14:textId="1911CF6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p>
        </w:tc>
        <w:tc>
          <w:tcPr>
            <w:tcW w:w="664" w:type="dxa"/>
            <w:tcBorders>
              <w:top w:val="single" w:sz="8" w:space="0" w:color="auto"/>
              <w:left w:val="nil"/>
              <w:bottom w:val="single" w:sz="4" w:space="0" w:color="auto"/>
              <w:right w:val="single" w:sz="4" w:space="0" w:color="auto"/>
            </w:tcBorders>
            <w:noWrap/>
            <w:vAlign w:val="bottom"/>
            <w:hideMark/>
          </w:tcPr>
          <w:p w14:paraId="1F5CE147" w14:textId="7D86024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17</w:t>
            </w:r>
          </w:p>
        </w:tc>
        <w:tc>
          <w:tcPr>
            <w:tcW w:w="782" w:type="dxa"/>
            <w:tcBorders>
              <w:top w:val="single" w:sz="8" w:space="0" w:color="auto"/>
              <w:left w:val="nil"/>
              <w:bottom w:val="single" w:sz="4" w:space="0" w:color="auto"/>
              <w:right w:val="single" w:sz="4" w:space="0" w:color="auto"/>
            </w:tcBorders>
            <w:noWrap/>
            <w:vAlign w:val="bottom"/>
            <w:hideMark/>
          </w:tcPr>
          <w:p w14:paraId="493B21AE" w14:textId="1843D66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w:t>
            </w:r>
            <w:r w:rsidR="004B4E72" w:rsidRPr="00A51C55">
              <w:rPr>
                <w:rFonts w:ascii="Cambria" w:hAnsi="Cambria"/>
                <w:color w:val="000000"/>
                <w:sz w:val="18"/>
                <w:szCs w:val="18"/>
              </w:rPr>
              <w:t>.</w:t>
            </w:r>
            <w:r w:rsidRPr="00A51C55">
              <w:rPr>
                <w:rFonts w:ascii="Cambria" w:hAnsi="Cambria"/>
                <w:color w:val="000000"/>
                <w:sz w:val="18"/>
                <w:szCs w:val="18"/>
              </w:rPr>
              <w:t>618</w:t>
            </w:r>
          </w:p>
        </w:tc>
        <w:tc>
          <w:tcPr>
            <w:tcW w:w="580" w:type="dxa"/>
            <w:tcBorders>
              <w:top w:val="single" w:sz="8" w:space="0" w:color="auto"/>
              <w:left w:val="nil"/>
              <w:bottom w:val="single" w:sz="4" w:space="0" w:color="auto"/>
              <w:right w:val="single" w:sz="4" w:space="0" w:color="auto"/>
            </w:tcBorders>
            <w:noWrap/>
            <w:vAlign w:val="bottom"/>
            <w:hideMark/>
          </w:tcPr>
          <w:p w14:paraId="7C87F596"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782" w:type="dxa"/>
            <w:tcBorders>
              <w:top w:val="single" w:sz="8" w:space="0" w:color="auto"/>
              <w:left w:val="nil"/>
              <w:bottom w:val="single" w:sz="4" w:space="0" w:color="auto"/>
              <w:right w:val="single" w:sz="4" w:space="0" w:color="auto"/>
            </w:tcBorders>
            <w:noWrap/>
            <w:vAlign w:val="bottom"/>
            <w:hideMark/>
          </w:tcPr>
          <w:p w14:paraId="06E5727B" w14:textId="17EA72D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65</w:t>
            </w:r>
            <w:r w:rsidR="004B4E72" w:rsidRPr="00A51C55">
              <w:rPr>
                <w:rFonts w:ascii="Cambria" w:hAnsi="Cambria"/>
                <w:color w:val="000000"/>
                <w:sz w:val="18"/>
                <w:szCs w:val="18"/>
              </w:rPr>
              <w:t>.</w:t>
            </w:r>
            <w:r w:rsidRPr="00A51C55">
              <w:rPr>
                <w:rFonts w:ascii="Cambria" w:hAnsi="Cambria"/>
                <w:color w:val="000000"/>
                <w:sz w:val="18"/>
                <w:szCs w:val="18"/>
              </w:rPr>
              <w:t>486</w:t>
            </w:r>
          </w:p>
        </w:tc>
        <w:tc>
          <w:tcPr>
            <w:tcW w:w="866" w:type="dxa"/>
            <w:tcBorders>
              <w:top w:val="single" w:sz="8" w:space="0" w:color="auto"/>
              <w:left w:val="nil"/>
              <w:bottom w:val="single" w:sz="4" w:space="0" w:color="auto"/>
              <w:right w:val="single" w:sz="4" w:space="0" w:color="auto"/>
            </w:tcBorders>
            <w:noWrap/>
            <w:vAlign w:val="bottom"/>
            <w:hideMark/>
          </w:tcPr>
          <w:p w14:paraId="2B659D3F" w14:textId="521C04A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753</w:t>
            </w:r>
          </w:p>
        </w:tc>
        <w:tc>
          <w:tcPr>
            <w:tcW w:w="664" w:type="dxa"/>
            <w:tcBorders>
              <w:top w:val="single" w:sz="8" w:space="0" w:color="auto"/>
              <w:left w:val="nil"/>
              <w:bottom w:val="single" w:sz="4" w:space="0" w:color="auto"/>
              <w:right w:val="single" w:sz="4" w:space="0" w:color="auto"/>
            </w:tcBorders>
            <w:noWrap/>
            <w:vAlign w:val="bottom"/>
            <w:hideMark/>
          </w:tcPr>
          <w:p w14:paraId="744E3514" w14:textId="19AE6316"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208</w:t>
            </w:r>
          </w:p>
        </w:tc>
        <w:tc>
          <w:tcPr>
            <w:tcW w:w="660" w:type="dxa"/>
            <w:tcBorders>
              <w:top w:val="single" w:sz="8" w:space="0" w:color="auto"/>
              <w:left w:val="nil"/>
              <w:bottom w:val="single" w:sz="4" w:space="0" w:color="auto"/>
              <w:right w:val="single" w:sz="4" w:space="0" w:color="auto"/>
            </w:tcBorders>
            <w:noWrap/>
            <w:vAlign w:val="bottom"/>
            <w:hideMark/>
          </w:tcPr>
          <w:p w14:paraId="77572D22" w14:textId="4C63548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77</w:t>
            </w:r>
          </w:p>
        </w:tc>
      </w:tr>
      <w:tr w:rsidR="00194D43" w:rsidRPr="00A51C55" w14:paraId="015462B1"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4282EB3F" w14:textId="499D15B3"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3387B364"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659" w:type="dxa"/>
            <w:tcBorders>
              <w:top w:val="nil"/>
              <w:left w:val="nil"/>
              <w:bottom w:val="single" w:sz="4" w:space="0" w:color="auto"/>
              <w:right w:val="single" w:sz="4" w:space="0" w:color="auto"/>
            </w:tcBorders>
            <w:noWrap/>
            <w:vAlign w:val="bottom"/>
            <w:hideMark/>
          </w:tcPr>
          <w:p w14:paraId="77F9E58E" w14:textId="4CD85E2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480</w:t>
            </w:r>
          </w:p>
        </w:tc>
        <w:tc>
          <w:tcPr>
            <w:tcW w:w="866" w:type="dxa"/>
            <w:tcBorders>
              <w:top w:val="nil"/>
              <w:left w:val="nil"/>
              <w:bottom w:val="single" w:sz="4" w:space="0" w:color="auto"/>
              <w:right w:val="single" w:sz="4" w:space="0" w:color="auto"/>
            </w:tcBorders>
            <w:noWrap/>
            <w:vAlign w:val="bottom"/>
            <w:hideMark/>
          </w:tcPr>
          <w:p w14:paraId="48E87DCF" w14:textId="23A169B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10</w:t>
            </w:r>
            <w:r w:rsidR="004B4E72" w:rsidRPr="00A51C55">
              <w:rPr>
                <w:rFonts w:ascii="Cambria" w:hAnsi="Cambria"/>
                <w:color w:val="000000"/>
                <w:sz w:val="18"/>
                <w:szCs w:val="18"/>
              </w:rPr>
              <w:t>.</w:t>
            </w:r>
            <w:r w:rsidRPr="00A51C55">
              <w:rPr>
                <w:rFonts w:ascii="Cambria" w:hAnsi="Cambria"/>
                <w:color w:val="000000"/>
                <w:sz w:val="18"/>
                <w:szCs w:val="18"/>
              </w:rPr>
              <w:t>802</w:t>
            </w:r>
            <w:r w:rsidR="004B4E72" w:rsidRPr="00A51C55">
              <w:rPr>
                <w:rFonts w:ascii="Cambria" w:hAnsi="Cambria"/>
                <w:color w:val="000000"/>
                <w:sz w:val="18"/>
                <w:szCs w:val="18"/>
              </w:rPr>
              <w:t>.</w:t>
            </w:r>
            <w:r w:rsidRPr="00A51C55">
              <w:rPr>
                <w:rFonts w:ascii="Cambria" w:hAnsi="Cambria"/>
                <w:color w:val="000000"/>
                <w:sz w:val="18"/>
                <w:szCs w:val="18"/>
              </w:rPr>
              <w:t>019</w:t>
            </w:r>
          </w:p>
        </w:tc>
        <w:tc>
          <w:tcPr>
            <w:tcW w:w="782" w:type="dxa"/>
            <w:tcBorders>
              <w:top w:val="nil"/>
              <w:left w:val="nil"/>
              <w:bottom w:val="single" w:sz="4" w:space="0" w:color="auto"/>
              <w:right w:val="single" w:sz="4" w:space="0" w:color="auto"/>
            </w:tcBorders>
            <w:noWrap/>
            <w:vAlign w:val="bottom"/>
            <w:hideMark/>
          </w:tcPr>
          <w:p w14:paraId="1A2F468B" w14:textId="02627AD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115</w:t>
            </w:r>
          </w:p>
        </w:tc>
        <w:tc>
          <w:tcPr>
            <w:tcW w:w="664" w:type="dxa"/>
            <w:tcBorders>
              <w:top w:val="nil"/>
              <w:left w:val="nil"/>
              <w:bottom w:val="single" w:sz="4" w:space="0" w:color="auto"/>
              <w:right w:val="single" w:sz="4" w:space="0" w:color="auto"/>
            </w:tcBorders>
            <w:noWrap/>
            <w:vAlign w:val="bottom"/>
            <w:hideMark/>
          </w:tcPr>
          <w:p w14:paraId="22B1FBE5" w14:textId="171025C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23</w:t>
            </w:r>
            <w:r w:rsidR="004B4E72" w:rsidRPr="00A51C55">
              <w:rPr>
                <w:rFonts w:ascii="Cambria" w:hAnsi="Cambria"/>
                <w:color w:val="000000"/>
                <w:sz w:val="18"/>
                <w:szCs w:val="18"/>
              </w:rPr>
              <w:t>.</w:t>
            </w:r>
            <w:r w:rsidRPr="00A51C55">
              <w:rPr>
                <w:rFonts w:ascii="Cambria" w:hAnsi="Cambria"/>
                <w:color w:val="000000"/>
                <w:sz w:val="18"/>
                <w:szCs w:val="18"/>
              </w:rPr>
              <w:t>025</w:t>
            </w:r>
          </w:p>
        </w:tc>
        <w:tc>
          <w:tcPr>
            <w:tcW w:w="782" w:type="dxa"/>
            <w:tcBorders>
              <w:top w:val="nil"/>
              <w:left w:val="nil"/>
              <w:bottom w:val="single" w:sz="4" w:space="0" w:color="auto"/>
              <w:right w:val="single" w:sz="4" w:space="0" w:color="auto"/>
            </w:tcBorders>
            <w:noWrap/>
            <w:vAlign w:val="bottom"/>
            <w:hideMark/>
          </w:tcPr>
          <w:p w14:paraId="211938EA" w14:textId="61865E0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w:t>
            </w:r>
            <w:r w:rsidR="004B4E72" w:rsidRPr="00A51C55">
              <w:rPr>
                <w:rFonts w:ascii="Cambria" w:hAnsi="Cambria"/>
                <w:color w:val="000000"/>
                <w:sz w:val="18"/>
                <w:szCs w:val="18"/>
              </w:rPr>
              <w:t>.</w:t>
            </w:r>
            <w:r w:rsidRPr="00A51C55">
              <w:rPr>
                <w:rFonts w:ascii="Cambria" w:hAnsi="Cambria"/>
                <w:color w:val="000000"/>
                <w:sz w:val="18"/>
                <w:szCs w:val="18"/>
              </w:rPr>
              <w:t>140</w:t>
            </w:r>
            <w:r w:rsidR="004B4E72" w:rsidRPr="00A51C55">
              <w:rPr>
                <w:rFonts w:ascii="Cambria" w:hAnsi="Cambria"/>
                <w:color w:val="000000"/>
                <w:sz w:val="18"/>
                <w:szCs w:val="18"/>
              </w:rPr>
              <w:t>.</w:t>
            </w:r>
            <w:r w:rsidRPr="00A51C55">
              <w:rPr>
                <w:rFonts w:ascii="Cambria" w:hAnsi="Cambria"/>
                <w:color w:val="000000"/>
                <w:sz w:val="18"/>
                <w:szCs w:val="18"/>
              </w:rPr>
              <w:t>343</w:t>
            </w:r>
          </w:p>
        </w:tc>
        <w:tc>
          <w:tcPr>
            <w:tcW w:w="580" w:type="dxa"/>
            <w:tcBorders>
              <w:top w:val="nil"/>
              <w:left w:val="nil"/>
              <w:bottom w:val="single" w:sz="4" w:space="0" w:color="auto"/>
              <w:right w:val="single" w:sz="4" w:space="0" w:color="auto"/>
            </w:tcBorders>
            <w:noWrap/>
            <w:vAlign w:val="bottom"/>
            <w:hideMark/>
          </w:tcPr>
          <w:p w14:paraId="5FA92FBD"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782" w:type="dxa"/>
            <w:tcBorders>
              <w:top w:val="nil"/>
              <w:left w:val="nil"/>
              <w:bottom w:val="single" w:sz="4" w:space="0" w:color="auto"/>
              <w:right w:val="single" w:sz="4" w:space="0" w:color="auto"/>
            </w:tcBorders>
            <w:noWrap/>
            <w:vAlign w:val="bottom"/>
            <w:hideMark/>
          </w:tcPr>
          <w:p w14:paraId="7899517B" w14:textId="7AD1DA0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r w:rsidR="004B4E72" w:rsidRPr="00A51C55">
              <w:rPr>
                <w:rFonts w:ascii="Cambria" w:hAnsi="Cambria"/>
                <w:color w:val="000000"/>
                <w:sz w:val="18"/>
                <w:szCs w:val="18"/>
              </w:rPr>
              <w:t>.</w:t>
            </w:r>
            <w:r w:rsidRPr="00A51C55">
              <w:rPr>
                <w:rFonts w:ascii="Cambria" w:hAnsi="Cambria"/>
                <w:color w:val="000000"/>
                <w:sz w:val="18"/>
                <w:szCs w:val="18"/>
              </w:rPr>
              <w:t>116</w:t>
            </w:r>
            <w:r w:rsidR="004B4E72" w:rsidRPr="00A51C55">
              <w:rPr>
                <w:rFonts w:ascii="Cambria" w:hAnsi="Cambria"/>
                <w:color w:val="000000"/>
                <w:sz w:val="18"/>
                <w:szCs w:val="18"/>
              </w:rPr>
              <w:t>.</w:t>
            </w:r>
            <w:r w:rsidRPr="00A51C55">
              <w:rPr>
                <w:rFonts w:ascii="Cambria" w:hAnsi="Cambria"/>
                <w:color w:val="000000"/>
                <w:sz w:val="18"/>
                <w:szCs w:val="18"/>
              </w:rPr>
              <w:t>699</w:t>
            </w:r>
          </w:p>
        </w:tc>
        <w:tc>
          <w:tcPr>
            <w:tcW w:w="866" w:type="dxa"/>
            <w:tcBorders>
              <w:top w:val="nil"/>
              <w:left w:val="nil"/>
              <w:bottom w:val="single" w:sz="4" w:space="0" w:color="auto"/>
              <w:right w:val="single" w:sz="4" w:space="0" w:color="auto"/>
            </w:tcBorders>
            <w:noWrap/>
            <w:vAlign w:val="bottom"/>
            <w:hideMark/>
          </w:tcPr>
          <w:p w14:paraId="2CD7C423" w14:textId="5FA6342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15</w:t>
            </w:r>
            <w:r w:rsidR="004B4E72" w:rsidRPr="00A51C55">
              <w:rPr>
                <w:rFonts w:ascii="Cambria" w:hAnsi="Cambria"/>
                <w:color w:val="000000"/>
                <w:sz w:val="18"/>
                <w:szCs w:val="18"/>
              </w:rPr>
              <w:t>.</w:t>
            </w:r>
            <w:r w:rsidRPr="00A51C55">
              <w:rPr>
                <w:rFonts w:ascii="Cambria" w:hAnsi="Cambria"/>
                <w:color w:val="000000"/>
                <w:sz w:val="18"/>
                <w:szCs w:val="18"/>
              </w:rPr>
              <w:t>245</w:t>
            </w:r>
            <w:r w:rsidR="004B4E72" w:rsidRPr="00A51C55">
              <w:rPr>
                <w:rFonts w:ascii="Cambria" w:hAnsi="Cambria"/>
                <w:color w:val="000000"/>
                <w:sz w:val="18"/>
                <w:szCs w:val="18"/>
              </w:rPr>
              <w:t>.</w:t>
            </w:r>
            <w:r w:rsidRPr="00A51C55">
              <w:rPr>
                <w:rFonts w:ascii="Cambria" w:hAnsi="Cambria"/>
                <w:color w:val="000000"/>
                <w:sz w:val="18"/>
                <w:szCs w:val="18"/>
              </w:rPr>
              <w:t>909</w:t>
            </w:r>
          </w:p>
        </w:tc>
        <w:tc>
          <w:tcPr>
            <w:tcW w:w="664" w:type="dxa"/>
            <w:tcBorders>
              <w:top w:val="nil"/>
              <w:left w:val="nil"/>
              <w:bottom w:val="single" w:sz="4" w:space="0" w:color="auto"/>
              <w:right w:val="single" w:sz="4" w:space="0" w:color="auto"/>
            </w:tcBorders>
            <w:noWrap/>
            <w:vAlign w:val="bottom"/>
            <w:hideMark/>
          </w:tcPr>
          <w:p w14:paraId="6C8C2E48" w14:textId="062CA97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787</w:t>
            </w:r>
            <w:r w:rsidR="004B4E72" w:rsidRPr="00A51C55">
              <w:rPr>
                <w:rFonts w:ascii="Cambria" w:hAnsi="Cambria"/>
                <w:color w:val="000000"/>
                <w:sz w:val="18"/>
                <w:szCs w:val="18"/>
              </w:rPr>
              <w:t>.</w:t>
            </w:r>
            <w:r w:rsidRPr="00A51C55">
              <w:rPr>
                <w:rFonts w:ascii="Cambria" w:hAnsi="Cambria"/>
                <w:color w:val="000000"/>
                <w:sz w:val="18"/>
                <w:szCs w:val="18"/>
              </w:rPr>
              <w:t>254</w:t>
            </w:r>
          </w:p>
        </w:tc>
        <w:tc>
          <w:tcPr>
            <w:tcW w:w="660" w:type="dxa"/>
            <w:tcBorders>
              <w:top w:val="nil"/>
              <w:left w:val="nil"/>
              <w:bottom w:val="single" w:sz="4" w:space="0" w:color="auto"/>
              <w:right w:val="single" w:sz="4" w:space="0" w:color="auto"/>
            </w:tcBorders>
            <w:noWrap/>
            <w:vAlign w:val="bottom"/>
            <w:hideMark/>
          </w:tcPr>
          <w:p w14:paraId="58D86981" w14:textId="7A6D40F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w:t>
            </w:r>
            <w:r w:rsidR="004B4E72" w:rsidRPr="00A51C55">
              <w:rPr>
                <w:rFonts w:ascii="Cambria" w:hAnsi="Cambria"/>
                <w:color w:val="000000"/>
                <w:sz w:val="18"/>
                <w:szCs w:val="18"/>
              </w:rPr>
              <w:t>.</w:t>
            </w:r>
            <w:r w:rsidRPr="00A51C55">
              <w:rPr>
                <w:rFonts w:ascii="Cambria" w:hAnsi="Cambria"/>
                <w:color w:val="000000"/>
                <w:sz w:val="18"/>
                <w:szCs w:val="18"/>
              </w:rPr>
              <w:t>581</w:t>
            </w:r>
          </w:p>
        </w:tc>
      </w:tr>
      <w:tr w:rsidR="00194D43" w:rsidRPr="00A51C55" w14:paraId="259A326E"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1D5AD833" w14:textId="4A5821F1"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EXE</w:t>
            </w:r>
          </w:p>
        </w:tc>
        <w:tc>
          <w:tcPr>
            <w:tcW w:w="676" w:type="dxa"/>
            <w:tcBorders>
              <w:top w:val="single" w:sz="8" w:space="0" w:color="auto"/>
              <w:left w:val="nil"/>
              <w:bottom w:val="single" w:sz="4" w:space="0" w:color="auto"/>
              <w:right w:val="single" w:sz="4" w:space="0" w:color="auto"/>
            </w:tcBorders>
            <w:noWrap/>
            <w:vAlign w:val="bottom"/>
            <w:hideMark/>
          </w:tcPr>
          <w:p w14:paraId="4124E356" w14:textId="35D1CDF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110</w:t>
            </w:r>
          </w:p>
        </w:tc>
        <w:tc>
          <w:tcPr>
            <w:tcW w:w="659" w:type="dxa"/>
            <w:tcBorders>
              <w:top w:val="single" w:sz="8" w:space="0" w:color="auto"/>
              <w:left w:val="nil"/>
              <w:bottom w:val="single" w:sz="4" w:space="0" w:color="auto"/>
              <w:right w:val="single" w:sz="4" w:space="0" w:color="auto"/>
            </w:tcBorders>
            <w:noWrap/>
            <w:vAlign w:val="bottom"/>
            <w:hideMark/>
          </w:tcPr>
          <w:p w14:paraId="3F32322C" w14:textId="4895CC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5</w:t>
            </w:r>
          </w:p>
        </w:tc>
        <w:tc>
          <w:tcPr>
            <w:tcW w:w="866" w:type="dxa"/>
            <w:tcBorders>
              <w:top w:val="single" w:sz="8" w:space="0" w:color="auto"/>
              <w:left w:val="nil"/>
              <w:bottom w:val="single" w:sz="4" w:space="0" w:color="auto"/>
              <w:right w:val="single" w:sz="4" w:space="0" w:color="auto"/>
            </w:tcBorders>
            <w:noWrap/>
            <w:vAlign w:val="bottom"/>
            <w:hideMark/>
          </w:tcPr>
          <w:p w14:paraId="03BB8E91" w14:textId="40639D4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72</w:t>
            </w:r>
            <w:r w:rsidR="004B4E72" w:rsidRPr="00A51C55">
              <w:rPr>
                <w:rFonts w:ascii="Cambria" w:hAnsi="Cambria"/>
                <w:color w:val="000000"/>
                <w:sz w:val="18"/>
                <w:szCs w:val="18"/>
              </w:rPr>
              <w:t>.</w:t>
            </w:r>
            <w:r w:rsidRPr="00A51C55">
              <w:rPr>
                <w:rFonts w:ascii="Cambria" w:hAnsi="Cambria"/>
                <w:color w:val="000000"/>
                <w:sz w:val="18"/>
                <w:szCs w:val="18"/>
              </w:rPr>
              <w:t>946</w:t>
            </w:r>
          </w:p>
        </w:tc>
        <w:tc>
          <w:tcPr>
            <w:tcW w:w="782" w:type="dxa"/>
            <w:tcBorders>
              <w:top w:val="single" w:sz="8" w:space="0" w:color="auto"/>
              <w:left w:val="nil"/>
              <w:bottom w:val="single" w:sz="4" w:space="0" w:color="auto"/>
              <w:right w:val="single" w:sz="4" w:space="0" w:color="auto"/>
            </w:tcBorders>
            <w:noWrap/>
            <w:vAlign w:val="bottom"/>
            <w:hideMark/>
          </w:tcPr>
          <w:p w14:paraId="4D58F637" w14:textId="6F69941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23</w:t>
            </w:r>
            <w:r w:rsidR="004B4E72" w:rsidRPr="00A51C55">
              <w:rPr>
                <w:rFonts w:ascii="Cambria" w:hAnsi="Cambria"/>
                <w:color w:val="000000"/>
                <w:sz w:val="18"/>
                <w:szCs w:val="18"/>
              </w:rPr>
              <w:t>.</w:t>
            </w:r>
            <w:r w:rsidRPr="00A51C55">
              <w:rPr>
                <w:rFonts w:ascii="Cambria" w:hAnsi="Cambria"/>
                <w:color w:val="000000"/>
                <w:sz w:val="18"/>
                <w:szCs w:val="18"/>
              </w:rPr>
              <w:t>368</w:t>
            </w:r>
          </w:p>
        </w:tc>
        <w:tc>
          <w:tcPr>
            <w:tcW w:w="664" w:type="dxa"/>
            <w:tcBorders>
              <w:top w:val="single" w:sz="8" w:space="0" w:color="auto"/>
              <w:left w:val="nil"/>
              <w:bottom w:val="single" w:sz="4" w:space="0" w:color="auto"/>
              <w:right w:val="single" w:sz="4" w:space="0" w:color="auto"/>
            </w:tcBorders>
            <w:noWrap/>
            <w:vAlign w:val="bottom"/>
            <w:hideMark/>
          </w:tcPr>
          <w:p w14:paraId="68EA75E4" w14:textId="5A2242C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w:t>
            </w:r>
            <w:r w:rsidR="004B4E72" w:rsidRPr="00A51C55">
              <w:rPr>
                <w:rFonts w:ascii="Cambria" w:hAnsi="Cambria"/>
                <w:color w:val="000000"/>
                <w:sz w:val="18"/>
                <w:szCs w:val="18"/>
              </w:rPr>
              <w:t>.</w:t>
            </w:r>
            <w:r w:rsidRPr="00A51C55">
              <w:rPr>
                <w:rFonts w:ascii="Cambria" w:hAnsi="Cambria"/>
                <w:color w:val="000000"/>
                <w:sz w:val="18"/>
                <w:szCs w:val="18"/>
              </w:rPr>
              <w:t>470</w:t>
            </w:r>
          </w:p>
        </w:tc>
        <w:tc>
          <w:tcPr>
            <w:tcW w:w="782" w:type="dxa"/>
            <w:tcBorders>
              <w:top w:val="single" w:sz="8" w:space="0" w:color="auto"/>
              <w:left w:val="nil"/>
              <w:bottom w:val="single" w:sz="4" w:space="0" w:color="auto"/>
              <w:right w:val="single" w:sz="4" w:space="0" w:color="auto"/>
            </w:tcBorders>
            <w:noWrap/>
            <w:vAlign w:val="bottom"/>
            <w:hideMark/>
          </w:tcPr>
          <w:p w14:paraId="05B9AAD6" w14:textId="1F35484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255</w:t>
            </w:r>
          </w:p>
        </w:tc>
        <w:tc>
          <w:tcPr>
            <w:tcW w:w="580" w:type="dxa"/>
            <w:tcBorders>
              <w:top w:val="single" w:sz="8" w:space="0" w:color="auto"/>
              <w:left w:val="nil"/>
              <w:bottom w:val="single" w:sz="4" w:space="0" w:color="auto"/>
              <w:right w:val="single" w:sz="4" w:space="0" w:color="auto"/>
            </w:tcBorders>
            <w:noWrap/>
            <w:vAlign w:val="bottom"/>
            <w:hideMark/>
          </w:tcPr>
          <w:p w14:paraId="3EDB82A6" w14:textId="0E3B97A5"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165</w:t>
            </w:r>
          </w:p>
        </w:tc>
        <w:tc>
          <w:tcPr>
            <w:tcW w:w="782" w:type="dxa"/>
            <w:tcBorders>
              <w:top w:val="single" w:sz="8" w:space="0" w:color="auto"/>
              <w:left w:val="nil"/>
              <w:bottom w:val="single" w:sz="4" w:space="0" w:color="auto"/>
              <w:right w:val="single" w:sz="4" w:space="0" w:color="auto"/>
            </w:tcBorders>
            <w:noWrap/>
            <w:vAlign w:val="bottom"/>
            <w:hideMark/>
          </w:tcPr>
          <w:p w14:paraId="062FE8E9" w14:textId="6D20612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19</w:t>
            </w:r>
            <w:r w:rsidR="004B4E72" w:rsidRPr="00A51C55">
              <w:rPr>
                <w:rFonts w:ascii="Cambria" w:hAnsi="Cambria"/>
                <w:color w:val="000000"/>
                <w:sz w:val="18"/>
                <w:szCs w:val="18"/>
              </w:rPr>
              <w:t>.</w:t>
            </w:r>
            <w:r w:rsidRPr="00A51C55">
              <w:rPr>
                <w:rFonts w:ascii="Cambria" w:hAnsi="Cambria"/>
                <w:color w:val="000000"/>
                <w:sz w:val="18"/>
                <w:szCs w:val="18"/>
              </w:rPr>
              <w:t>191</w:t>
            </w:r>
          </w:p>
        </w:tc>
        <w:tc>
          <w:tcPr>
            <w:tcW w:w="866" w:type="dxa"/>
            <w:tcBorders>
              <w:top w:val="single" w:sz="8" w:space="0" w:color="auto"/>
              <w:left w:val="nil"/>
              <w:bottom w:val="single" w:sz="4" w:space="0" w:color="auto"/>
              <w:right w:val="single" w:sz="4" w:space="0" w:color="auto"/>
            </w:tcBorders>
            <w:noWrap/>
            <w:vAlign w:val="bottom"/>
            <w:hideMark/>
          </w:tcPr>
          <w:p w14:paraId="7706D482" w14:textId="727AD3E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10</w:t>
            </w:r>
          </w:p>
        </w:tc>
        <w:tc>
          <w:tcPr>
            <w:tcW w:w="664" w:type="dxa"/>
            <w:tcBorders>
              <w:top w:val="single" w:sz="8" w:space="0" w:color="auto"/>
              <w:left w:val="nil"/>
              <w:bottom w:val="single" w:sz="4" w:space="0" w:color="auto"/>
              <w:right w:val="single" w:sz="4" w:space="0" w:color="auto"/>
            </w:tcBorders>
            <w:noWrap/>
            <w:vAlign w:val="bottom"/>
            <w:hideMark/>
          </w:tcPr>
          <w:p w14:paraId="5C138353" w14:textId="41339228"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340</w:t>
            </w:r>
          </w:p>
        </w:tc>
        <w:tc>
          <w:tcPr>
            <w:tcW w:w="660" w:type="dxa"/>
            <w:tcBorders>
              <w:top w:val="single" w:sz="8" w:space="0" w:color="auto"/>
              <w:left w:val="nil"/>
              <w:bottom w:val="single" w:sz="4" w:space="0" w:color="auto"/>
              <w:right w:val="single" w:sz="4" w:space="0" w:color="auto"/>
            </w:tcBorders>
            <w:noWrap/>
            <w:vAlign w:val="bottom"/>
            <w:hideMark/>
          </w:tcPr>
          <w:p w14:paraId="73A1E9FB" w14:textId="289A441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p>
        </w:tc>
      </w:tr>
      <w:tr w:rsidR="00194D43" w:rsidRPr="00A51C55" w14:paraId="54429411"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278D5D56" w14:textId="51BF13BD"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hideMark/>
          </w:tcPr>
          <w:p w14:paraId="754268A2" w14:textId="3A6B3DE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89</w:t>
            </w:r>
            <w:r w:rsidR="004B4E72" w:rsidRPr="00A51C55">
              <w:rPr>
                <w:rFonts w:ascii="Cambria" w:hAnsi="Cambria"/>
                <w:color w:val="000000"/>
                <w:sz w:val="18"/>
                <w:szCs w:val="18"/>
              </w:rPr>
              <w:t>.</w:t>
            </w:r>
            <w:r w:rsidRPr="00A51C55">
              <w:rPr>
                <w:rFonts w:ascii="Cambria" w:hAnsi="Cambria"/>
                <w:color w:val="000000"/>
                <w:sz w:val="18"/>
                <w:szCs w:val="18"/>
              </w:rPr>
              <w:t>701</w:t>
            </w:r>
          </w:p>
        </w:tc>
        <w:tc>
          <w:tcPr>
            <w:tcW w:w="659" w:type="dxa"/>
            <w:tcBorders>
              <w:top w:val="nil"/>
              <w:left w:val="nil"/>
              <w:bottom w:val="single" w:sz="4" w:space="0" w:color="auto"/>
              <w:right w:val="single" w:sz="4" w:space="0" w:color="auto"/>
            </w:tcBorders>
            <w:noWrap/>
            <w:vAlign w:val="bottom"/>
            <w:hideMark/>
          </w:tcPr>
          <w:p w14:paraId="0FB4F821" w14:textId="3F31F2B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729</w:t>
            </w:r>
          </w:p>
        </w:tc>
        <w:tc>
          <w:tcPr>
            <w:tcW w:w="866" w:type="dxa"/>
            <w:tcBorders>
              <w:top w:val="nil"/>
              <w:left w:val="nil"/>
              <w:bottom w:val="single" w:sz="4" w:space="0" w:color="auto"/>
              <w:right w:val="single" w:sz="4" w:space="0" w:color="auto"/>
            </w:tcBorders>
            <w:noWrap/>
            <w:vAlign w:val="bottom"/>
            <w:hideMark/>
          </w:tcPr>
          <w:p w14:paraId="2C9FC568" w14:textId="4BAF6941"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6</w:t>
            </w:r>
            <w:r w:rsidR="004B4E72" w:rsidRPr="00A51C55">
              <w:rPr>
                <w:rFonts w:ascii="Cambria" w:hAnsi="Cambria"/>
                <w:color w:val="000000"/>
                <w:sz w:val="18"/>
                <w:szCs w:val="18"/>
              </w:rPr>
              <w:t>.</w:t>
            </w:r>
            <w:r w:rsidRPr="00A51C55">
              <w:rPr>
                <w:rFonts w:ascii="Cambria" w:hAnsi="Cambria"/>
                <w:color w:val="000000"/>
                <w:sz w:val="18"/>
                <w:szCs w:val="18"/>
              </w:rPr>
              <w:t>098</w:t>
            </w:r>
            <w:r w:rsidR="004B4E72" w:rsidRPr="00A51C55">
              <w:rPr>
                <w:rFonts w:ascii="Cambria" w:hAnsi="Cambria"/>
                <w:color w:val="000000"/>
                <w:sz w:val="18"/>
                <w:szCs w:val="18"/>
              </w:rPr>
              <w:t>.</w:t>
            </w:r>
            <w:r w:rsidRPr="00A51C55">
              <w:rPr>
                <w:rFonts w:ascii="Cambria" w:hAnsi="Cambria"/>
                <w:color w:val="000000"/>
                <w:sz w:val="18"/>
                <w:szCs w:val="18"/>
              </w:rPr>
              <w:t>763</w:t>
            </w:r>
          </w:p>
        </w:tc>
        <w:tc>
          <w:tcPr>
            <w:tcW w:w="782" w:type="dxa"/>
            <w:tcBorders>
              <w:top w:val="nil"/>
              <w:left w:val="nil"/>
              <w:bottom w:val="single" w:sz="4" w:space="0" w:color="auto"/>
              <w:right w:val="single" w:sz="4" w:space="0" w:color="auto"/>
            </w:tcBorders>
            <w:noWrap/>
            <w:vAlign w:val="bottom"/>
            <w:hideMark/>
          </w:tcPr>
          <w:p w14:paraId="08650233" w14:textId="2365D24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r w:rsidR="004B4E72" w:rsidRPr="00A51C55">
              <w:rPr>
                <w:rFonts w:ascii="Cambria" w:hAnsi="Cambria"/>
                <w:color w:val="000000"/>
                <w:sz w:val="18"/>
                <w:szCs w:val="18"/>
              </w:rPr>
              <w:t>.</w:t>
            </w:r>
            <w:r w:rsidRPr="00A51C55">
              <w:rPr>
                <w:rFonts w:ascii="Cambria" w:hAnsi="Cambria"/>
                <w:color w:val="000000"/>
                <w:sz w:val="18"/>
                <w:szCs w:val="18"/>
              </w:rPr>
              <w:t>611</w:t>
            </w:r>
            <w:r w:rsidR="004B4E72" w:rsidRPr="00A51C55">
              <w:rPr>
                <w:rFonts w:ascii="Cambria" w:hAnsi="Cambria"/>
                <w:color w:val="000000"/>
                <w:sz w:val="18"/>
                <w:szCs w:val="18"/>
              </w:rPr>
              <w:t>.</w:t>
            </w:r>
            <w:r w:rsidRPr="00A51C55">
              <w:rPr>
                <w:rFonts w:ascii="Cambria" w:hAnsi="Cambria"/>
                <w:color w:val="000000"/>
                <w:sz w:val="18"/>
                <w:szCs w:val="18"/>
              </w:rPr>
              <w:t>081</w:t>
            </w:r>
          </w:p>
        </w:tc>
        <w:tc>
          <w:tcPr>
            <w:tcW w:w="664" w:type="dxa"/>
            <w:tcBorders>
              <w:top w:val="nil"/>
              <w:left w:val="nil"/>
              <w:bottom w:val="single" w:sz="4" w:space="0" w:color="auto"/>
              <w:right w:val="single" w:sz="4" w:space="0" w:color="auto"/>
            </w:tcBorders>
            <w:noWrap/>
            <w:vAlign w:val="bottom"/>
            <w:hideMark/>
          </w:tcPr>
          <w:p w14:paraId="261202B8" w14:textId="187462E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350</w:t>
            </w:r>
            <w:r w:rsidR="004B4E72" w:rsidRPr="00A51C55">
              <w:rPr>
                <w:rFonts w:ascii="Cambria" w:hAnsi="Cambria"/>
                <w:color w:val="000000"/>
                <w:sz w:val="18"/>
                <w:szCs w:val="18"/>
              </w:rPr>
              <w:t>.</w:t>
            </w:r>
            <w:r w:rsidRPr="00A51C55">
              <w:rPr>
                <w:rFonts w:ascii="Cambria" w:hAnsi="Cambria"/>
                <w:color w:val="000000"/>
                <w:sz w:val="18"/>
                <w:szCs w:val="18"/>
              </w:rPr>
              <w:t>833</w:t>
            </w:r>
          </w:p>
        </w:tc>
        <w:tc>
          <w:tcPr>
            <w:tcW w:w="782" w:type="dxa"/>
            <w:tcBorders>
              <w:top w:val="nil"/>
              <w:left w:val="nil"/>
              <w:bottom w:val="single" w:sz="4" w:space="0" w:color="auto"/>
              <w:right w:val="single" w:sz="4" w:space="0" w:color="auto"/>
            </w:tcBorders>
            <w:noWrap/>
            <w:vAlign w:val="bottom"/>
            <w:hideMark/>
          </w:tcPr>
          <w:p w14:paraId="1BFF1C6C" w14:textId="44038B84"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w:t>
            </w:r>
            <w:r w:rsidR="004B4E72" w:rsidRPr="00A51C55">
              <w:rPr>
                <w:rFonts w:ascii="Cambria" w:hAnsi="Cambria"/>
                <w:color w:val="000000"/>
                <w:sz w:val="18"/>
                <w:szCs w:val="18"/>
              </w:rPr>
              <w:t>.</w:t>
            </w:r>
            <w:r w:rsidRPr="00A51C55">
              <w:rPr>
                <w:rFonts w:ascii="Cambria" w:hAnsi="Cambria"/>
                <w:color w:val="000000"/>
                <w:sz w:val="18"/>
                <w:szCs w:val="18"/>
              </w:rPr>
              <w:t>710</w:t>
            </w:r>
          </w:p>
        </w:tc>
        <w:tc>
          <w:tcPr>
            <w:tcW w:w="580" w:type="dxa"/>
            <w:tcBorders>
              <w:top w:val="nil"/>
              <w:left w:val="nil"/>
              <w:bottom w:val="single" w:sz="4" w:space="0" w:color="auto"/>
              <w:right w:val="single" w:sz="4" w:space="0" w:color="auto"/>
            </w:tcBorders>
            <w:noWrap/>
            <w:vAlign w:val="bottom"/>
            <w:hideMark/>
          </w:tcPr>
          <w:p w14:paraId="24F20AF7" w14:textId="570C1EF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25</w:t>
            </w:r>
            <w:r w:rsidR="004B4E72" w:rsidRPr="00A51C55">
              <w:rPr>
                <w:rFonts w:ascii="Cambria" w:hAnsi="Cambria"/>
                <w:color w:val="000000"/>
                <w:sz w:val="18"/>
                <w:szCs w:val="18"/>
              </w:rPr>
              <w:t>.</w:t>
            </w:r>
            <w:r w:rsidRPr="00A51C55">
              <w:rPr>
                <w:rFonts w:ascii="Cambria" w:hAnsi="Cambria"/>
                <w:color w:val="000000"/>
                <w:sz w:val="18"/>
                <w:szCs w:val="18"/>
              </w:rPr>
              <w:t>141</w:t>
            </w:r>
          </w:p>
        </w:tc>
        <w:tc>
          <w:tcPr>
            <w:tcW w:w="782" w:type="dxa"/>
            <w:tcBorders>
              <w:top w:val="nil"/>
              <w:left w:val="nil"/>
              <w:bottom w:val="single" w:sz="4" w:space="0" w:color="auto"/>
              <w:right w:val="single" w:sz="4" w:space="0" w:color="auto"/>
            </w:tcBorders>
            <w:noWrap/>
            <w:vAlign w:val="bottom"/>
            <w:hideMark/>
          </w:tcPr>
          <w:p w14:paraId="749B7441" w14:textId="070DE08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494</w:t>
            </w:r>
            <w:r w:rsidR="004B4E72" w:rsidRPr="00A51C55">
              <w:rPr>
                <w:rFonts w:ascii="Cambria" w:hAnsi="Cambria"/>
                <w:color w:val="000000"/>
                <w:sz w:val="18"/>
                <w:szCs w:val="18"/>
              </w:rPr>
              <w:t>.</w:t>
            </w:r>
            <w:r w:rsidRPr="00A51C55">
              <w:rPr>
                <w:rFonts w:ascii="Cambria" w:hAnsi="Cambria"/>
                <w:color w:val="000000"/>
                <w:sz w:val="18"/>
                <w:szCs w:val="18"/>
              </w:rPr>
              <w:t>569</w:t>
            </w:r>
          </w:p>
        </w:tc>
        <w:tc>
          <w:tcPr>
            <w:tcW w:w="866" w:type="dxa"/>
            <w:tcBorders>
              <w:top w:val="nil"/>
              <w:left w:val="nil"/>
              <w:bottom w:val="single" w:sz="4" w:space="0" w:color="auto"/>
              <w:right w:val="single" w:sz="4" w:space="0" w:color="auto"/>
            </w:tcBorders>
            <w:noWrap/>
            <w:vAlign w:val="bottom"/>
            <w:hideMark/>
          </w:tcPr>
          <w:p w14:paraId="0AC7C93E" w14:textId="4E929F5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839</w:t>
            </w:r>
          </w:p>
        </w:tc>
        <w:tc>
          <w:tcPr>
            <w:tcW w:w="664" w:type="dxa"/>
            <w:tcBorders>
              <w:top w:val="nil"/>
              <w:left w:val="nil"/>
              <w:bottom w:val="single" w:sz="4" w:space="0" w:color="auto"/>
              <w:right w:val="single" w:sz="4" w:space="0" w:color="auto"/>
            </w:tcBorders>
            <w:noWrap/>
            <w:vAlign w:val="bottom"/>
            <w:hideMark/>
          </w:tcPr>
          <w:p w14:paraId="2D800B18" w14:textId="69F8485D"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20</w:t>
            </w:r>
            <w:r w:rsidR="004B4E72" w:rsidRPr="00A51C55">
              <w:rPr>
                <w:rFonts w:ascii="Cambria" w:hAnsi="Cambria"/>
                <w:color w:val="000000"/>
                <w:sz w:val="18"/>
                <w:szCs w:val="18"/>
              </w:rPr>
              <w:t>.</w:t>
            </w:r>
            <w:r w:rsidRPr="00A51C55">
              <w:rPr>
                <w:rFonts w:ascii="Cambria" w:hAnsi="Cambria"/>
                <w:color w:val="000000"/>
                <w:sz w:val="18"/>
                <w:szCs w:val="18"/>
              </w:rPr>
              <w:t>700</w:t>
            </w:r>
          </w:p>
        </w:tc>
        <w:tc>
          <w:tcPr>
            <w:tcW w:w="660" w:type="dxa"/>
            <w:tcBorders>
              <w:top w:val="nil"/>
              <w:left w:val="nil"/>
              <w:bottom w:val="single" w:sz="4" w:space="0" w:color="auto"/>
              <w:right w:val="single" w:sz="4" w:space="0" w:color="auto"/>
            </w:tcBorders>
            <w:noWrap/>
            <w:vAlign w:val="bottom"/>
            <w:hideMark/>
          </w:tcPr>
          <w:p w14:paraId="24365AB5" w14:textId="74FCFD9C"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28</w:t>
            </w:r>
          </w:p>
        </w:tc>
      </w:tr>
      <w:tr w:rsidR="00194D43" w:rsidRPr="00A51C55" w14:paraId="16FEDF90" w14:textId="77777777" w:rsidTr="009C3056">
        <w:trPr>
          <w:trHeight w:val="360"/>
        </w:trPr>
        <w:tc>
          <w:tcPr>
            <w:tcW w:w="1075" w:type="dxa"/>
            <w:tcBorders>
              <w:top w:val="single" w:sz="8" w:space="0" w:color="auto"/>
              <w:left w:val="single" w:sz="8" w:space="0" w:color="auto"/>
              <w:bottom w:val="single" w:sz="4" w:space="0" w:color="auto"/>
              <w:right w:val="single" w:sz="4" w:space="0" w:color="auto"/>
            </w:tcBorders>
            <w:vAlign w:val="center"/>
            <w:hideMark/>
          </w:tcPr>
          <w:p w14:paraId="19372080" w14:textId="01CF7101"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EXE STA*</w:t>
            </w:r>
          </w:p>
        </w:tc>
        <w:tc>
          <w:tcPr>
            <w:tcW w:w="676" w:type="dxa"/>
            <w:tcBorders>
              <w:top w:val="single" w:sz="8" w:space="0" w:color="auto"/>
              <w:left w:val="nil"/>
              <w:bottom w:val="single" w:sz="4" w:space="0" w:color="auto"/>
              <w:right w:val="single" w:sz="4" w:space="0" w:color="auto"/>
            </w:tcBorders>
            <w:noWrap/>
            <w:vAlign w:val="bottom"/>
          </w:tcPr>
          <w:p w14:paraId="72E69D8C" w14:textId="77777777" w:rsidR="00194D43" w:rsidRPr="00A51C55" w:rsidRDefault="00194D43" w:rsidP="00194D43">
            <w:pPr>
              <w:spacing w:after="0"/>
              <w:jc w:val="right"/>
              <w:rPr>
                <w:rFonts w:ascii="Cambria" w:hAnsi="Cambria"/>
                <w:color w:val="000000"/>
                <w:sz w:val="18"/>
                <w:szCs w:val="18"/>
              </w:rPr>
            </w:pPr>
          </w:p>
        </w:tc>
        <w:tc>
          <w:tcPr>
            <w:tcW w:w="659" w:type="dxa"/>
            <w:tcBorders>
              <w:top w:val="single" w:sz="8" w:space="0" w:color="auto"/>
              <w:left w:val="nil"/>
              <w:bottom w:val="single" w:sz="4" w:space="0" w:color="auto"/>
              <w:right w:val="single" w:sz="4" w:space="0" w:color="auto"/>
            </w:tcBorders>
            <w:noWrap/>
            <w:vAlign w:val="bottom"/>
            <w:hideMark/>
          </w:tcPr>
          <w:p w14:paraId="1436F5E7"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866" w:type="dxa"/>
            <w:tcBorders>
              <w:top w:val="single" w:sz="8" w:space="0" w:color="auto"/>
              <w:left w:val="nil"/>
              <w:bottom w:val="single" w:sz="4" w:space="0" w:color="auto"/>
              <w:right w:val="single" w:sz="4" w:space="0" w:color="auto"/>
            </w:tcBorders>
            <w:noWrap/>
            <w:vAlign w:val="bottom"/>
            <w:hideMark/>
          </w:tcPr>
          <w:p w14:paraId="1B846414" w14:textId="3D1437D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9</w:t>
            </w:r>
            <w:r w:rsidR="004B4E72" w:rsidRPr="00A51C55">
              <w:rPr>
                <w:rFonts w:ascii="Cambria" w:hAnsi="Cambria"/>
                <w:color w:val="000000"/>
                <w:sz w:val="18"/>
                <w:szCs w:val="18"/>
              </w:rPr>
              <w:t>.</w:t>
            </w:r>
            <w:r w:rsidRPr="00A51C55">
              <w:rPr>
                <w:rFonts w:ascii="Cambria" w:hAnsi="Cambria"/>
                <w:color w:val="000000"/>
                <w:sz w:val="18"/>
                <w:szCs w:val="18"/>
              </w:rPr>
              <w:t>013</w:t>
            </w:r>
          </w:p>
        </w:tc>
        <w:tc>
          <w:tcPr>
            <w:tcW w:w="782" w:type="dxa"/>
            <w:tcBorders>
              <w:top w:val="single" w:sz="8" w:space="0" w:color="auto"/>
              <w:left w:val="nil"/>
              <w:bottom w:val="single" w:sz="4" w:space="0" w:color="auto"/>
              <w:right w:val="single" w:sz="4" w:space="0" w:color="auto"/>
            </w:tcBorders>
            <w:noWrap/>
            <w:vAlign w:val="bottom"/>
            <w:hideMark/>
          </w:tcPr>
          <w:p w14:paraId="41001FD8" w14:textId="143FFA2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163</w:t>
            </w:r>
          </w:p>
        </w:tc>
        <w:tc>
          <w:tcPr>
            <w:tcW w:w="664" w:type="dxa"/>
            <w:tcBorders>
              <w:top w:val="single" w:sz="8" w:space="0" w:color="auto"/>
              <w:left w:val="nil"/>
              <w:bottom w:val="single" w:sz="4" w:space="0" w:color="auto"/>
              <w:right w:val="single" w:sz="4" w:space="0" w:color="auto"/>
            </w:tcBorders>
            <w:noWrap/>
            <w:vAlign w:val="bottom"/>
            <w:hideMark/>
          </w:tcPr>
          <w:p w14:paraId="3CD26D5F" w14:textId="7A38909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w:t>
            </w:r>
          </w:p>
        </w:tc>
        <w:tc>
          <w:tcPr>
            <w:tcW w:w="782" w:type="dxa"/>
            <w:tcBorders>
              <w:top w:val="single" w:sz="8" w:space="0" w:color="auto"/>
              <w:left w:val="nil"/>
              <w:bottom w:val="single" w:sz="4" w:space="0" w:color="auto"/>
              <w:right w:val="single" w:sz="4" w:space="0" w:color="auto"/>
            </w:tcBorders>
            <w:noWrap/>
            <w:vAlign w:val="bottom"/>
            <w:hideMark/>
          </w:tcPr>
          <w:p w14:paraId="6FBAAF6C" w14:textId="670F1F2E"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w:t>
            </w:r>
          </w:p>
        </w:tc>
        <w:tc>
          <w:tcPr>
            <w:tcW w:w="580" w:type="dxa"/>
            <w:tcBorders>
              <w:top w:val="single" w:sz="8" w:space="0" w:color="auto"/>
              <w:left w:val="nil"/>
              <w:bottom w:val="single" w:sz="4" w:space="0" w:color="auto"/>
              <w:right w:val="single" w:sz="4" w:space="0" w:color="auto"/>
            </w:tcBorders>
            <w:noWrap/>
            <w:vAlign w:val="bottom"/>
            <w:hideMark/>
          </w:tcPr>
          <w:p w14:paraId="67E8C13C"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782" w:type="dxa"/>
            <w:tcBorders>
              <w:top w:val="single" w:sz="8" w:space="0" w:color="auto"/>
              <w:left w:val="nil"/>
              <w:bottom w:val="single" w:sz="4" w:space="0" w:color="auto"/>
              <w:right w:val="single" w:sz="4" w:space="0" w:color="auto"/>
            </w:tcBorders>
            <w:noWrap/>
            <w:vAlign w:val="bottom"/>
            <w:hideMark/>
          </w:tcPr>
          <w:p w14:paraId="674A1680" w14:textId="4A2C2883"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21</w:t>
            </w:r>
          </w:p>
        </w:tc>
        <w:tc>
          <w:tcPr>
            <w:tcW w:w="866" w:type="dxa"/>
            <w:tcBorders>
              <w:top w:val="single" w:sz="8" w:space="0" w:color="auto"/>
              <w:left w:val="nil"/>
              <w:bottom w:val="single" w:sz="4" w:space="0" w:color="auto"/>
              <w:right w:val="single" w:sz="4" w:space="0" w:color="auto"/>
            </w:tcBorders>
            <w:noWrap/>
            <w:vAlign w:val="bottom"/>
            <w:hideMark/>
          </w:tcPr>
          <w:p w14:paraId="204E286F" w14:textId="2DEBEA9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10</w:t>
            </w:r>
          </w:p>
        </w:tc>
        <w:tc>
          <w:tcPr>
            <w:tcW w:w="664" w:type="dxa"/>
            <w:tcBorders>
              <w:top w:val="single" w:sz="8" w:space="0" w:color="auto"/>
              <w:left w:val="nil"/>
              <w:bottom w:val="single" w:sz="4" w:space="0" w:color="auto"/>
              <w:right w:val="single" w:sz="4" w:space="0" w:color="auto"/>
            </w:tcBorders>
            <w:noWrap/>
            <w:vAlign w:val="bottom"/>
            <w:hideMark/>
          </w:tcPr>
          <w:p w14:paraId="7171EE6E" w14:textId="509637EA"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7</w:t>
            </w:r>
          </w:p>
        </w:tc>
        <w:tc>
          <w:tcPr>
            <w:tcW w:w="660" w:type="dxa"/>
            <w:tcBorders>
              <w:top w:val="single" w:sz="8" w:space="0" w:color="auto"/>
              <w:left w:val="nil"/>
              <w:bottom w:val="single" w:sz="4" w:space="0" w:color="auto"/>
              <w:right w:val="single" w:sz="4" w:space="0" w:color="auto"/>
            </w:tcBorders>
            <w:noWrap/>
            <w:vAlign w:val="bottom"/>
            <w:hideMark/>
          </w:tcPr>
          <w:p w14:paraId="3AD4F66F"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r>
      <w:tr w:rsidR="00194D43" w:rsidRPr="00A51C55" w14:paraId="3B31566A" w14:textId="77777777" w:rsidTr="009C3056">
        <w:trPr>
          <w:trHeight w:val="360"/>
        </w:trPr>
        <w:tc>
          <w:tcPr>
            <w:tcW w:w="1075" w:type="dxa"/>
            <w:tcBorders>
              <w:top w:val="nil"/>
              <w:left w:val="single" w:sz="8" w:space="0" w:color="auto"/>
              <w:bottom w:val="single" w:sz="4" w:space="0" w:color="auto"/>
              <w:right w:val="single" w:sz="4" w:space="0" w:color="auto"/>
            </w:tcBorders>
            <w:vAlign w:val="center"/>
            <w:hideMark/>
          </w:tcPr>
          <w:p w14:paraId="4AD3459E" w14:textId="393ACDB1" w:rsidR="00194D43" w:rsidRPr="00A51C55" w:rsidRDefault="00194D43" w:rsidP="00194D43">
            <w:pPr>
              <w:spacing w:after="0"/>
              <w:rPr>
                <w:rFonts w:ascii="Cambria" w:hAnsi="Cambria"/>
                <w:color w:val="000000"/>
                <w:sz w:val="18"/>
                <w:szCs w:val="18"/>
              </w:rPr>
            </w:pPr>
            <w:r w:rsidRPr="00A51C55">
              <w:rPr>
                <w:rFonts w:ascii="Cambria" w:hAnsi="Cambria"/>
                <w:color w:val="000000" w:themeColor="text1"/>
                <w:sz w:val="18"/>
                <w:szCs w:val="18"/>
              </w:rPr>
              <w:t>Kg</w:t>
            </w:r>
          </w:p>
        </w:tc>
        <w:tc>
          <w:tcPr>
            <w:tcW w:w="676" w:type="dxa"/>
            <w:tcBorders>
              <w:top w:val="nil"/>
              <w:left w:val="nil"/>
              <w:bottom w:val="single" w:sz="4" w:space="0" w:color="auto"/>
              <w:right w:val="single" w:sz="4" w:space="0" w:color="auto"/>
            </w:tcBorders>
            <w:noWrap/>
            <w:vAlign w:val="bottom"/>
          </w:tcPr>
          <w:p w14:paraId="2622A1FB" w14:textId="77777777" w:rsidR="00194D43" w:rsidRPr="00A51C55" w:rsidRDefault="00194D43" w:rsidP="00194D43">
            <w:pPr>
              <w:spacing w:after="0"/>
              <w:jc w:val="right"/>
              <w:rPr>
                <w:rFonts w:ascii="Cambria" w:hAnsi="Cambria"/>
                <w:color w:val="000000"/>
                <w:sz w:val="18"/>
                <w:szCs w:val="18"/>
              </w:rPr>
            </w:pPr>
          </w:p>
        </w:tc>
        <w:tc>
          <w:tcPr>
            <w:tcW w:w="659" w:type="dxa"/>
            <w:tcBorders>
              <w:top w:val="nil"/>
              <w:left w:val="nil"/>
              <w:bottom w:val="single" w:sz="4" w:space="0" w:color="auto"/>
              <w:right w:val="single" w:sz="4" w:space="0" w:color="auto"/>
            </w:tcBorders>
            <w:noWrap/>
            <w:vAlign w:val="bottom"/>
            <w:hideMark/>
          </w:tcPr>
          <w:p w14:paraId="19ACDD06"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866" w:type="dxa"/>
            <w:tcBorders>
              <w:top w:val="nil"/>
              <w:left w:val="nil"/>
              <w:bottom w:val="single" w:sz="4" w:space="0" w:color="auto"/>
              <w:right w:val="single" w:sz="4" w:space="0" w:color="auto"/>
            </w:tcBorders>
            <w:noWrap/>
            <w:vAlign w:val="bottom"/>
            <w:hideMark/>
          </w:tcPr>
          <w:p w14:paraId="17A7E38F" w14:textId="779227F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323</w:t>
            </w:r>
            <w:r w:rsidR="004B4E72" w:rsidRPr="00A51C55">
              <w:rPr>
                <w:rFonts w:ascii="Cambria" w:hAnsi="Cambria"/>
                <w:color w:val="000000"/>
                <w:sz w:val="18"/>
                <w:szCs w:val="18"/>
              </w:rPr>
              <w:t>.</w:t>
            </w:r>
            <w:r w:rsidRPr="00A51C55">
              <w:rPr>
                <w:rFonts w:ascii="Cambria" w:hAnsi="Cambria"/>
                <w:color w:val="000000"/>
                <w:sz w:val="18"/>
                <w:szCs w:val="18"/>
              </w:rPr>
              <w:t>320</w:t>
            </w:r>
          </w:p>
        </w:tc>
        <w:tc>
          <w:tcPr>
            <w:tcW w:w="782" w:type="dxa"/>
            <w:tcBorders>
              <w:top w:val="nil"/>
              <w:left w:val="nil"/>
              <w:bottom w:val="single" w:sz="4" w:space="0" w:color="auto"/>
              <w:right w:val="single" w:sz="4" w:space="0" w:color="auto"/>
            </w:tcBorders>
            <w:noWrap/>
            <w:vAlign w:val="bottom"/>
            <w:hideMark/>
          </w:tcPr>
          <w:p w14:paraId="1ED19727" w14:textId="756D8622"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w:t>
            </w:r>
            <w:r w:rsidR="004B4E72" w:rsidRPr="00A51C55">
              <w:rPr>
                <w:rFonts w:ascii="Cambria" w:hAnsi="Cambria"/>
                <w:color w:val="000000"/>
                <w:sz w:val="18"/>
                <w:szCs w:val="18"/>
              </w:rPr>
              <w:t>.</w:t>
            </w:r>
            <w:r w:rsidRPr="00A51C55">
              <w:rPr>
                <w:rFonts w:ascii="Cambria" w:hAnsi="Cambria"/>
                <w:color w:val="000000"/>
                <w:sz w:val="18"/>
                <w:szCs w:val="18"/>
              </w:rPr>
              <w:t>178</w:t>
            </w:r>
          </w:p>
        </w:tc>
        <w:tc>
          <w:tcPr>
            <w:tcW w:w="664" w:type="dxa"/>
            <w:tcBorders>
              <w:top w:val="nil"/>
              <w:left w:val="nil"/>
              <w:bottom w:val="single" w:sz="4" w:space="0" w:color="auto"/>
              <w:right w:val="single" w:sz="4" w:space="0" w:color="auto"/>
            </w:tcBorders>
            <w:noWrap/>
            <w:vAlign w:val="bottom"/>
            <w:hideMark/>
          </w:tcPr>
          <w:p w14:paraId="69A08177" w14:textId="05BFB4E0"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224</w:t>
            </w:r>
          </w:p>
        </w:tc>
        <w:tc>
          <w:tcPr>
            <w:tcW w:w="782" w:type="dxa"/>
            <w:tcBorders>
              <w:top w:val="nil"/>
              <w:left w:val="nil"/>
              <w:bottom w:val="single" w:sz="4" w:space="0" w:color="auto"/>
              <w:right w:val="single" w:sz="4" w:space="0" w:color="auto"/>
            </w:tcBorders>
            <w:noWrap/>
            <w:vAlign w:val="bottom"/>
            <w:hideMark/>
          </w:tcPr>
          <w:p w14:paraId="4D93AB50" w14:textId="268AA5D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w:t>
            </w:r>
          </w:p>
        </w:tc>
        <w:tc>
          <w:tcPr>
            <w:tcW w:w="580" w:type="dxa"/>
            <w:tcBorders>
              <w:top w:val="nil"/>
              <w:left w:val="nil"/>
              <w:bottom w:val="single" w:sz="4" w:space="0" w:color="auto"/>
              <w:right w:val="single" w:sz="4" w:space="0" w:color="auto"/>
            </w:tcBorders>
            <w:noWrap/>
            <w:vAlign w:val="bottom"/>
            <w:hideMark/>
          </w:tcPr>
          <w:p w14:paraId="35200A48"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c>
          <w:tcPr>
            <w:tcW w:w="782" w:type="dxa"/>
            <w:tcBorders>
              <w:top w:val="nil"/>
              <w:left w:val="nil"/>
              <w:bottom w:val="single" w:sz="4" w:space="0" w:color="auto"/>
              <w:right w:val="single" w:sz="4" w:space="0" w:color="auto"/>
            </w:tcBorders>
            <w:noWrap/>
            <w:vAlign w:val="bottom"/>
            <w:hideMark/>
          </w:tcPr>
          <w:p w14:paraId="29374D6A" w14:textId="30098A0B"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352</w:t>
            </w:r>
          </w:p>
        </w:tc>
        <w:tc>
          <w:tcPr>
            <w:tcW w:w="866" w:type="dxa"/>
            <w:tcBorders>
              <w:top w:val="nil"/>
              <w:left w:val="nil"/>
              <w:bottom w:val="single" w:sz="4" w:space="0" w:color="auto"/>
              <w:right w:val="single" w:sz="4" w:space="0" w:color="auto"/>
            </w:tcBorders>
            <w:noWrap/>
            <w:vAlign w:val="bottom"/>
            <w:hideMark/>
          </w:tcPr>
          <w:p w14:paraId="49A1AC81" w14:textId="79018669"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839</w:t>
            </w:r>
          </w:p>
        </w:tc>
        <w:tc>
          <w:tcPr>
            <w:tcW w:w="664" w:type="dxa"/>
            <w:tcBorders>
              <w:top w:val="nil"/>
              <w:left w:val="nil"/>
              <w:bottom w:val="single" w:sz="4" w:space="0" w:color="auto"/>
              <w:right w:val="single" w:sz="4" w:space="0" w:color="auto"/>
            </w:tcBorders>
            <w:noWrap/>
            <w:vAlign w:val="bottom"/>
            <w:hideMark/>
          </w:tcPr>
          <w:p w14:paraId="5A63B843" w14:textId="4A8E4FBF"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121</w:t>
            </w:r>
          </w:p>
        </w:tc>
        <w:tc>
          <w:tcPr>
            <w:tcW w:w="660" w:type="dxa"/>
            <w:tcBorders>
              <w:top w:val="nil"/>
              <w:left w:val="nil"/>
              <w:bottom w:val="single" w:sz="4" w:space="0" w:color="auto"/>
              <w:right w:val="single" w:sz="4" w:space="0" w:color="auto"/>
            </w:tcBorders>
            <w:noWrap/>
            <w:vAlign w:val="bottom"/>
            <w:hideMark/>
          </w:tcPr>
          <w:p w14:paraId="3EA0D5A8" w14:textId="77777777" w:rsidR="00194D43" w:rsidRPr="00A51C55" w:rsidRDefault="00194D43" w:rsidP="00194D43">
            <w:pPr>
              <w:spacing w:after="0"/>
              <w:jc w:val="right"/>
              <w:rPr>
                <w:rFonts w:ascii="Cambria" w:hAnsi="Cambria"/>
                <w:color w:val="000000"/>
                <w:sz w:val="18"/>
                <w:szCs w:val="18"/>
              </w:rPr>
            </w:pPr>
            <w:r w:rsidRPr="00A51C55">
              <w:rPr>
                <w:rFonts w:ascii="Cambria" w:hAnsi="Cambria"/>
                <w:color w:val="000000"/>
                <w:sz w:val="18"/>
                <w:szCs w:val="18"/>
              </w:rPr>
              <w:t>-</w:t>
            </w:r>
          </w:p>
        </w:tc>
      </w:tr>
    </w:tbl>
    <w:p w14:paraId="759A0381" w14:textId="7DBB54E0" w:rsidR="5FEF55A3" w:rsidRDefault="00B00089" w:rsidP="00741B44">
      <w:pPr>
        <w:spacing w:after="0" w:line="240" w:lineRule="auto"/>
        <w:jc w:val="both"/>
        <w:rPr>
          <w:rFonts w:ascii="Cambria" w:eastAsia="Times New Roman" w:hAnsi="Cambria" w:cs="Times New Roman"/>
          <w:color w:val="000000" w:themeColor="text1"/>
          <w:sz w:val="16"/>
          <w:szCs w:val="16"/>
        </w:rPr>
      </w:pPr>
      <w:r w:rsidRPr="00B00089">
        <w:rPr>
          <w:rFonts w:ascii="Cambria" w:eastAsia="Times New Roman" w:hAnsi="Cambria" w:cs="Times New Roman"/>
          <w:color w:val="000000" w:themeColor="text1"/>
          <w:sz w:val="16"/>
          <w:szCs w:val="16"/>
        </w:rPr>
        <w:t xml:space="preserve">* </w:t>
      </w:r>
      <w:r w:rsidR="000112D9">
        <w:rPr>
          <w:rFonts w:ascii="Cambria" w:eastAsia="Times New Roman" w:hAnsi="Cambria" w:cs="Times New Roman"/>
          <w:color w:val="000000" w:themeColor="text1"/>
          <w:sz w:val="16"/>
          <w:szCs w:val="16"/>
        </w:rPr>
        <w:t>E</w:t>
      </w:r>
      <w:r w:rsidR="009A01D8">
        <w:rPr>
          <w:rFonts w:ascii="Cambria" w:eastAsia="Times New Roman" w:hAnsi="Cambria" w:cs="Times New Roman"/>
          <w:color w:val="000000" w:themeColor="text1"/>
          <w:sz w:val="16"/>
          <w:szCs w:val="16"/>
        </w:rPr>
        <w:t>xento de</w:t>
      </w:r>
      <w:r w:rsidR="00DD6F61">
        <w:rPr>
          <w:rFonts w:ascii="Cambria" w:eastAsia="Times New Roman" w:hAnsi="Cambria" w:cs="Times New Roman"/>
          <w:color w:val="000000" w:themeColor="text1"/>
          <w:sz w:val="16"/>
          <w:szCs w:val="16"/>
        </w:rPr>
        <w:t xml:space="preserve"> validación </w:t>
      </w:r>
      <w:r w:rsidR="000112D9">
        <w:rPr>
          <w:rFonts w:ascii="Cambria" w:eastAsia="Times New Roman" w:hAnsi="Cambria" w:cs="Times New Roman"/>
          <w:color w:val="000000" w:themeColor="text1"/>
          <w:sz w:val="16"/>
          <w:szCs w:val="16"/>
        </w:rPr>
        <w:t xml:space="preserve">en el eBCD </w:t>
      </w:r>
      <w:r w:rsidR="00CF74E3">
        <w:rPr>
          <w:rFonts w:ascii="Cambria" w:eastAsia="Times New Roman" w:hAnsi="Cambria" w:cs="Times New Roman"/>
          <w:color w:val="000000" w:themeColor="text1"/>
          <w:sz w:val="16"/>
          <w:szCs w:val="16"/>
        </w:rPr>
        <w:t xml:space="preserve">debido a los FL </w:t>
      </w:r>
      <w:r w:rsidR="00436892">
        <w:rPr>
          <w:rFonts w:ascii="Cambria" w:eastAsia="Times New Roman" w:hAnsi="Cambria" w:cs="Times New Roman"/>
          <w:color w:val="000000" w:themeColor="text1"/>
          <w:sz w:val="16"/>
          <w:szCs w:val="16"/>
        </w:rPr>
        <w:t>y</w:t>
      </w:r>
      <w:r w:rsidR="00CF74E3">
        <w:rPr>
          <w:rFonts w:ascii="Cambria" w:eastAsia="Times New Roman" w:hAnsi="Cambria" w:cs="Times New Roman"/>
          <w:color w:val="000000" w:themeColor="text1"/>
          <w:sz w:val="16"/>
          <w:szCs w:val="16"/>
        </w:rPr>
        <w:t xml:space="preserve"> OT entre </w:t>
      </w:r>
      <w:r w:rsidR="00377818">
        <w:rPr>
          <w:rFonts w:ascii="Cambria" w:eastAsia="Times New Roman" w:hAnsi="Cambria" w:cs="Times New Roman"/>
          <w:color w:val="000000" w:themeColor="text1"/>
          <w:sz w:val="16"/>
          <w:szCs w:val="16"/>
        </w:rPr>
        <w:t>Estados miembros</w:t>
      </w:r>
      <w:r w:rsidR="00CF74E3">
        <w:rPr>
          <w:rFonts w:ascii="Cambria" w:eastAsia="Times New Roman" w:hAnsi="Cambria" w:cs="Times New Roman"/>
          <w:color w:val="000000" w:themeColor="text1"/>
          <w:sz w:val="16"/>
          <w:szCs w:val="16"/>
        </w:rPr>
        <w:t xml:space="preserve"> (</w:t>
      </w:r>
      <w:r w:rsidRPr="00B00089">
        <w:rPr>
          <w:rFonts w:ascii="Cambria" w:eastAsia="Times New Roman" w:hAnsi="Cambria" w:cs="Times New Roman"/>
          <w:color w:val="000000" w:themeColor="text1"/>
          <w:sz w:val="16"/>
          <w:szCs w:val="16"/>
        </w:rPr>
        <w:t>derogación prevista en el párrafo 5b).</w:t>
      </w:r>
    </w:p>
    <w:p w14:paraId="70FC9F26" w14:textId="77777777" w:rsidR="00B00089" w:rsidRDefault="00B00089" w:rsidP="00741B44">
      <w:pPr>
        <w:spacing w:after="0" w:line="240" w:lineRule="auto"/>
        <w:jc w:val="both"/>
        <w:rPr>
          <w:rFonts w:ascii="Cambria" w:eastAsia="Times New Roman" w:hAnsi="Cambria" w:cs="Times New Roman"/>
          <w:color w:val="000000" w:themeColor="text1"/>
          <w:sz w:val="16"/>
          <w:szCs w:val="16"/>
        </w:rPr>
      </w:pPr>
    </w:p>
    <w:sectPr w:rsidR="00B00089" w:rsidSect="00AB5452">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3F0C4" w14:textId="77777777" w:rsidR="006C3687" w:rsidRDefault="006C3687">
      <w:pPr>
        <w:spacing w:after="0" w:line="240" w:lineRule="auto"/>
      </w:pPr>
      <w:r>
        <w:separator/>
      </w:r>
    </w:p>
  </w:endnote>
  <w:endnote w:type="continuationSeparator" w:id="0">
    <w:p w14:paraId="2B35FF12" w14:textId="77777777" w:rsidR="006C3687" w:rsidRDefault="006C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42E3" w14:textId="3FEF1672" w:rsidR="00741B44" w:rsidRPr="00FA4F73" w:rsidRDefault="00741B44" w:rsidP="00942903">
    <w:pPr>
      <w:tabs>
        <w:tab w:val="center" w:pos="4535"/>
        <w:tab w:val="center" w:pos="4680"/>
        <w:tab w:val="left" w:pos="6150"/>
        <w:tab w:val="right" w:pos="9360"/>
      </w:tabs>
      <w:spacing w:after="0" w:line="240" w:lineRule="auto"/>
      <w:jc w:val="center"/>
      <w:rPr>
        <w:rFonts w:ascii="Cambria" w:hAnsi="Cambria"/>
        <w:sz w:val="20"/>
      </w:rPr>
    </w:pPr>
    <w:r w:rsidRPr="00FA4F73">
      <w:rPr>
        <w:rFonts w:ascii="Cambria" w:eastAsia="Calibri" w:hAnsi="Cambria" w:cs="Calibri"/>
        <w:sz w:val="20"/>
      </w:rPr>
      <w:fldChar w:fldCharType="begin"/>
    </w:r>
    <w:r w:rsidRPr="00FA4F73">
      <w:rPr>
        <w:rFonts w:ascii="Cambria" w:eastAsia="Calibri" w:hAnsi="Cambria" w:cs="Calibri"/>
        <w:sz w:val="20"/>
      </w:rPr>
      <w:instrText xml:space="preserve"> PAGE </w:instrText>
    </w:r>
    <w:r w:rsidRPr="00FA4F73">
      <w:rPr>
        <w:rFonts w:ascii="Cambria" w:eastAsia="Calibri" w:hAnsi="Cambria" w:cs="Calibri"/>
        <w:sz w:val="20"/>
      </w:rPr>
      <w:fldChar w:fldCharType="separate"/>
    </w:r>
    <w:r w:rsidRPr="00FA4F73">
      <w:rPr>
        <w:rFonts w:ascii="Cambria" w:eastAsia="Calibri" w:hAnsi="Cambria" w:cs="Calibri"/>
        <w:sz w:val="20"/>
      </w:rPr>
      <w:t>1</w:t>
    </w:r>
    <w:r w:rsidRPr="00FA4F73">
      <w:rPr>
        <w:rFonts w:ascii="Cambria" w:eastAsia="Calibri" w:hAnsi="Cambria" w:cs="Calibri"/>
        <w:sz w:val="20"/>
      </w:rPr>
      <w:fldChar w:fldCharType="end"/>
    </w:r>
    <w:r>
      <w:rPr>
        <w:rFonts w:ascii="Cambria" w:hAnsi="Cambria"/>
        <w:sz w:val="20"/>
      </w:rPr>
      <w:t xml:space="preserve"> / </w:t>
    </w:r>
    <w:r w:rsidRPr="00FA4F73">
      <w:rPr>
        <w:rFonts w:ascii="Cambria" w:eastAsia="Calibri" w:hAnsi="Cambria" w:cs="Calibri"/>
        <w:sz w:val="20"/>
      </w:rPr>
      <w:fldChar w:fldCharType="begin"/>
    </w:r>
    <w:r w:rsidRPr="00FA4F73">
      <w:rPr>
        <w:rFonts w:ascii="Cambria" w:eastAsia="Calibri" w:hAnsi="Cambria" w:cs="Calibri"/>
        <w:sz w:val="20"/>
      </w:rPr>
      <w:instrText xml:space="preserve"> NUMPAGES  </w:instrText>
    </w:r>
    <w:r w:rsidRPr="00FA4F73">
      <w:rPr>
        <w:rFonts w:ascii="Cambria" w:eastAsia="Calibri" w:hAnsi="Cambria" w:cs="Calibri"/>
        <w:sz w:val="20"/>
      </w:rPr>
      <w:fldChar w:fldCharType="separate"/>
    </w:r>
    <w:r w:rsidRPr="00FA4F73">
      <w:rPr>
        <w:rFonts w:ascii="Cambria" w:eastAsia="Calibri" w:hAnsi="Cambria" w:cs="Calibri"/>
        <w:sz w:val="20"/>
      </w:rPr>
      <w:t>8</w:t>
    </w:r>
    <w:r w:rsidRPr="00FA4F73">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F5FEA" w14:textId="77777777" w:rsidR="006C3687" w:rsidRDefault="006C3687">
      <w:pPr>
        <w:spacing w:after="0" w:line="240" w:lineRule="auto"/>
      </w:pPr>
      <w:r>
        <w:separator/>
      </w:r>
    </w:p>
  </w:footnote>
  <w:footnote w:type="continuationSeparator" w:id="0">
    <w:p w14:paraId="668A107F" w14:textId="77777777" w:rsidR="006C3687" w:rsidRDefault="006C3687">
      <w:pPr>
        <w:spacing w:after="0" w:line="240" w:lineRule="auto"/>
      </w:pPr>
      <w:r>
        <w:continuationSeparator/>
      </w:r>
    </w:p>
  </w:footnote>
  <w:footnote w:id="1">
    <w:p w14:paraId="27992AF2" w14:textId="17E717A1" w:rsidR="5FEF55A3" w:rsidRPr="00AA2A52" w:rsidRDefault="5FEF55A3" w:rsidP="00942903">
      <w:pPr>
        <w:pStyle w:val="Textonotapie"/>
        <w:jc w:val="both"/>
        <w:rPr>
          <w:rFonts w:ascii="Cambria" w:hAnsi="Cambria"/>
          <w:sz w:val="16"/>
          <w:szCs w:val="16"/>
        </w:rPr>
      </w:pPr>
      <w:r>
        <w:rPr>
          <w:rStyle w:val="Refdenotaalpie"/>
          <w:rFonts w:ascii="Cambria" w:hAnsi="Cambria"/>
          <w:sz w:val="16"/>
          <w:szCs w:val="16"/>
        </w:rPr>
        <w:footnoteRef/>
      </w:r>
      <w:r>
        <w:rPr>
          <w:rFonts w:ascii="Cambria" w:hAnsi="Cambria"/>
          <w:color w:val="000000" w:themeColor="text1"/>
          <w:sz w:val="16"/>
        </w:rPr>
        <w:t xml:space="preserve">Incluye </w:t>
      </w:r>
      <w:r w:rsidR="005E7703">
        <w:rPr>
          <w:rFonts w:ascii="Cambria" w:hAnsi="Cambria"/>
          <w:color w:val="000000" w:themeColor="text1"/>
          <w:sz w:val="16"/>
        </w:rPr>
        <w:t>eventos</w:t>
      </w:r>
      <w:r>
        <w:rPr>
          <w:rFonts w:ascii="Cambria" w:hAnsi="Cambria"/>
          <w:color w:val="000000" w:themeColor="text1"/>
          <w:sz w:val="16"/>
        </w:rPr>
        <w:t xml:space="preserve"> comerciales entre los Estados miembros de la UE, </w:t>
      </w:r>
      <w:r w:rsidR="005E7703">
        <w:rPr>
          <w:rFonts w:ascii="Cambria" w:hAnsi="Cambria"/>
          <w:color w:val="000000" w:themeColor="text1"/>
          <w:sz w:val="16"/>
        </w:rPr>
        <w:t>eventos</w:t>
      </w:r>
      <w:r>
        <w:rPr>
          <w:rFonts w:ascii="Cambria" w:hAnsi="Cambria"/>
          <w:color w:val="000000" w:themeColor="text1"/>
          <w:sz w:val="16"/>
        </w:rPr>
        <w:t xml:space="preserve"> comerciales de peces marcados y </w:t>
      </w:r>
      <w:r w:rsidR="005E7703">
        <w:rPr>
          <w:rFonts w:ascii="Cambria" w:hAnsi="Cambria"/>
          <w:color w:val="000000" w:themeColor="text1"/>
          <w:sz w:val="16"/>
        </w:rPr>
        <w:t>eventos</w:t>
      </w:r>
      <w:r>
        <w:rPr>
          <w:rFonts w:ascii="Cambria" w:hAnsi="Cambria"/>
          <w:color w:val="000000" w:themeColor="text1"/>
          <w:sz w:val="16"/>
        </w:rPr>
        <w:t xml:space="preserve"> comerciales intern</w:t>
      </w:r>
      <w:r w:rsidR="005E7703">
        <w:rPr>
          <w:rFonts w:ascii="Cambria" w:hAnsi="Cambria"/>
          <w:color w:val="000000" w:themeColor="text1"/>
          <w:sz w:val="16"/>
        </w:rPr>
        <w:t>o</w:t>
      </w:r>
      <w:r>
        <w:rPr>
          <w:rFonts w:ascii="Cambria" w:hAnsi="Cambria"/>
          <w:color w:val="000000" w:themeColor="text1"/>
          <w:sz w:val="16"/>
        </w:rPr>
        <w:t>s de peces no marcados.</w:t>
      </w:r>
    </w:p>
  </w:footnote>
  <w:footnote w:id="2">
    <w:p w14:paraId="33795562" w14:textId="6B2C08FC" w:rsidR="5FEF55A3" w:rsidRDefault="5FEF55A3" w:rsidP="00942903">
      <w:pPr>
        <w:pStyle w:val="Textonotapie"/>
        <w:jc w:val="both"/>
      </w:pPr>
      <w:r>
        <w:rPr>
          <w:rStyle w:val="Refdenotaalpie"/>
          <w:rFonts w:ascii="Cambria" w:hAnsi="Cambria"/>
          <w:sz w:val="16"/>
          <w:szCs w:val="16"/>
        </w:rPr>
        <w:footnoteRef/>
      </w:r>
      <w:r>
        <w:rPr>
          <w:rFonts w:ascii="Cambria" w:hAnsi="Cambria"/>
          <w:color w:val="000000" w:themeColor="text1"/>
          <w:sz w:val="16"/>
        </w:rPr>
        <w:t>Reglamento (UE) n.º 640/2010 del Parlamento europeo y del Consejo de 7 de julio de 2010, por el que se establece un programa de documentación de capturas de atún rojo (</w:t>
      </w:r>
      <w:r>
        <w:rPr>
          <w:rFonts w:ascii="Cambria" w:hAnsi="Cambria"/>
          <w:i/>
          <w:iCs/>
          <w:color w:val="000000" w:themeColor="text1"/>
          <w:sz w:val="16"/>
        </w:rPr>
        <w:t>Thunnus thynnus</w:t>
      </w:r>
      <w:r>
        <w:rPr>
          <w:rFonts w:ascii="Cambria" w:hAnsi="Cambria"/>
          <w:sz w:val="16"/>
        </w:rPr>
        <w:t>)</w:t>
      </w:r>
      <w:r w:rsidR="0026568C">
        <w:rPr>
          <w:rFonts w:ascii="Cambria" w:hAnsi="Cambria"/>
          <w:sz w:val="16"/>
        </w:rPr>
        <w:t>.</w:t>
      </w:r>
    </w:p>
  </w:footnote>
  <w:footnote w:id="3">
    <w:p w14:paraId="1C1C0327" w14:textId="53BB908B" w:rsidR="5FEF55A3" w:rsidRPr="00806318" w:rsidRDefault="5FEF55A3" w:rsidP="00C34E8E">
      <w:pPr>
        <w:pStyle w:val="Textonotapie"/>
        <w:jc w:val="both"/>
        <w:rPr>
          <w:rFonts w:ascii="Cambria" w:hAnsi="Cambria"/>
          <w:sz w:val="16"/>
          <w:szCs w:val="16"/>
        </w:rPr>
      </w:pPr>
      <w:r w:rsidRPr="00806318">
        <w:rPr>
          <w:rStyle w:val="Refdenotaalpie"/>
          <w:rFonts w:ascii="Cambria" w:hAnsi="Cambria"/>
          <w:sz w:val="16"/>
          <w:szCs w:val="16"/>
        </w:rPr>
        <w:footnoteRef/>
      </w:r>
      <w:r w:rsidRPr="00806318">
        <w:rPr>
          <w:rFonts w:ascii="Cambria" w:hAnsi="Cambria"/>
          <w:color w:val="000000" w:themeColor="text1"/>
          <w:sz w:val="16"/>
          <w:szCs w:val="16"/>
        </w:rPr>
        <w:t>El pescado marcado podría referirse tanto al comercio entre los Estados miembros de la UE como al comercio interno dentro de un Estado miembro de la UE; número de eventos comerciales equivale a uno o varios peces marcados.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3D1D" w14:textId="16B41FD8" w:rsidR="00091A6F" w:rsidRPr="00091A6F" w:rsidRDefault="00091A6F" w:rsidP="00091A6F">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PWG_410/</w:t>
    </w:r>
    <w:r w:rsidR="00B40338">
      <w:rPr>
        <w:rFonts w:ascii="Cambria" w:hAnsi="Cambria"/>
        <w:b/>
        <w:sz w:val="20"/>
      </w:rPr>
      <w:t>202</w:t>
    </w:r>
    <w:r w:rsidR="00B40338">
      <w:rPr>
        <w:rFonts w:ascii="Cambria" w:hAnsi="Cambria"/>
        <w:b/>
        <w:sz w:val="20"/>
      </w:rPr>
      <w:t>6</w:t>
    </w:r>
  </w:p>
  <w:p w14:paraId="4CF186ED" w14:textId="1E426D1A" w:rsidR="00091A6F" w:rsidRPr="00341303" w:rsidRDefault="00091A6F" w:rsidP="00341303">
    <w:pPr>
      <w:widowControl w:val="0"/>
      <w:tabs>
        <w:tab w:val="left" w:pos="7320"/>
      </w:tabs>
      <w:autoSpaceDE w:val="0"/>
      <w:autoSpaceDN w:val="0"/>
      <w:spacing w:after="0" w:line="240" w:lineRule="exact"/>
      <w:jc w:val="right"/>
      <w:rPr>
        <w:rFonts w:ascii="Cambria" w:eastAsia="Cambria" w:hAnsi="Cambria" w:cs="Cambria"/>
        <w:sz w:val="22"/>
        <w:szCs w:val="22"/>
      </w:rPr>
    </w:pPr>
    <w:r w:rsidRPr="00091A6F">
      <w:rPr>
        <w:rFonts w:ascii="Cambria" w:eastAsia="Cambria" w:hAnsi="Cambria" w:cs="Cambria"/>
        <w:b/>
        <w:sz w:val="16"/>
      </w:rPr>
      <w:fldChar w:fldCharType="begin"/>
    </w:r>
    <w:r w:rsidRPr="00091A6F">
      <w:rPr>
        <w:rFonts w:ascii="Cambria" w:eastAsia="Cambria" w:hAnsi="Cambria" w:cs="Cambria"/>
        <w:b/>
        <w:sz w:val="16"/>
      </w:rPr>
      <w:instrText xml:space="preserve"> TIME \@ "dd/MM/yyyy H:mm" </w:instrText>
    </w:r>
    <w:r w:rsidRPr="00091A6F">
      <w:rPr>
        <w:rFonts w:ascii="Cambria" w:eastAsia="Cambria" w:hAnsi="Cambria" w:cs="Cambria"/>
        <w:b/>
        <w:sz w:val="16"/>
      </w:rPr>
      <w:fldChar w:fldCharType="separate"/>
    </w:r>
    <w:r w:rsidR="00AD6279">
      <w:rPr>
        <w:rFonts w:ascii="Cambria" w:eastAsia="Cambria" w:hAnsi="Cambria" w:cs="Cambria"/>
        <w:b/>
        <w:noProof/>
        <w:sz w:val="16"/>
      </w:rPr>
      <w:t>02/10/2026 8:50</w:t>
    </w:r>
    <w:r w:rsidRPr="00091A6F">
      <w:rPr>
        <w:rFonts w:ascii="Cambria" w:eastAsia="Cambria" w:hAnsi="Cambria" w:cs="Cambria"/>
        <w:b/>
        <w:bCs/>
        <w:sz w:val="16"/>
        <w:szCs w:val="16"/>
        <w:lang w:val="es-ES_tradnl" w:eastAsia="en-US"/>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7283"/>
    <w:multiLevelType w:val="hybridMultilevel"/>
    <w:tmpl w:val="7188FE1A"/>
    <w:lvl w:ilvl="0" w:tplc="F8E4FEB6">
      <w:start w:val="1"/>
      <w:numFmt w:val="decimal"/>
      <w:lvlText w:val="%1."/>
      <w:lvlJc w:val="left"/>
      <w:pPr>
        <w:ind w:left="720" w:hanging="360"/>
      </w:pPr>
    </w:lvl>
    <w:lvl w:ilvl="1" w:tplc="35103036">
      <w:start w:val="1"/>
      <w:numFmt w:val="lowerLetter"/>
      <w:lvlText w:val="%2."/>
      <w:lvlJc w:val="left"/>
      <w:pPr>
        <w:ind w:left="1440" w:hanging="360"/>
      </w:pPr>
    </w:lvl>
    <w:lvl w:ilvl="2" w:tplc="12BCF700">
      <w:start w:val="1"/>
      <w:numFmt w:val="lowerRoman"/>
      <w:lvlText w:val="%3."/>
      <w:lvlJc w:val="right"/>
      <w:pPr>
        <w:ind w:left="2160" w:hanging="180"/>
      </w:pPr>
    </w:lvl>
    <w:lvl w:ilvl="3" w:tplc="74EAC8DA">
      <w:start w:val="1"/>
      <w:numFmt w:val="decimal"/>
      <w:lvlText w:val="%4."/>
      <w:lvlJc w:val="left"/>
      <w:pPr>
        <w:ind w:left="2880" w:hanging="360"/>
      </w:pPr>
    </w:lvl>
    <w:lvl w:ilvl="4" w:tplc="CD444898">
      <w:start w:val="1"/>
      <w:numFmt w:val="lowerLetter"/>
      <w:lvlText w:val="%5."/>
      <w:lvlJc w:val="left"/>
      <w:pPr>
        <w:ind w:left="3600" w:hanging="360"/>
      </w:pPr>
    </w:lvl>
    <w:lvl w:ilvl="5" w:tplc="83026504">
      <w:start w:val="1"/>
      <w:numFmt w:val="lowerRoman"/>
      <w:lvlText w:val="%6."/>
      <w:lvlJc w:val="right"/>
      <w:pPr>
        <w:ind w:left="4320" w:hanging="180"/>
      </w:pPr>
    </w:lvl>
    <w:lvl w:ilvl="6" w:tplc="B33A60C8">
      <w:start w:val="1"/>
      <w:numFmt w:val="decimal"/>
      <w:lvlText w:val="%7."/>
      <w:lvlJc w:val="left"/>
      <w:pPr>
        <w:ind w:left="5040" w:hanging="360"/>
      </w:pPr>
    </w:lvl>
    <w:lvl w:ilvl="7" w:tplc="5046ECC6">
      <w:start w:val="1"/>
      <w:numFmt w:val="lowerLetter"/>
      <w:lvlText w:val="%8."/>
      <w:lvlJc w:val="left"/>
      <w:pPr>
        <w:ind w:left="5760" w:hanging="360"/>
      </w:pPr>
    </w:lvl>
    <w:lvl w:ilvl="8" w:tplc="2CFAC524">
      <w:start w:val="1"/>
      <w:numFmt w:val="lowerRoman"/>
      <w:lvlText w:val="%9."/>
      <w:lvlJc w:val="right"/>
      <w:pPr>
        <w:ind w:left="6480" w:hanging="180"/>
      </w:pPr>
    </w:lvl>
  </w:abstractNum>
  <w:abstractNum w:abstractNumId="1" w15:restartNumberingAfterBreak="0">
    <w:nsid w:val="1B0B82B6"/>
    <w:multiLevelType w:val="multilevel"/>
    <w:tmpl w:val="E1DA129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1C975AF2"/>
    <w:multiLevelType w:val="multilevel"/>
    <w:tmpl w:val="6414AE1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18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240" w:hanging="360"/>
      </w:pPr>
      <w:rPr>
        <w:rFonts w:hint="default"/>
      </w:rPr>
    </w:lvl>
    <w:lvl w:ilvl="5">
      <w:start w:val="1"/>
      <w:numFmt w:val="decimal"/>
      <w:lvlText w:val="%1.%2.%3.%4.%5.%6."/>
      <w:lvlJc w:val="left"/>
      <w:pPr>
        <w:ind w:left="3960" w:hanging="180"/>
      </w:pPr>
      <w:rPr>
        <w:rFonts w:hint="default"/>
      </w:rPr>
    </w:lvl>
    <w:lvl w:ilvl="6">
      <w:start w:val="1"/>
      <w:numFmt w:val="decimal"/>
      <w:lvlText w:val="%1.%2.%3.%4.%5.%6.%7."/>
      <w:lvlJc w:val="left"/>
      <w:pPr>
        <w:ind w:left="4680" w:hanging="360"/>
      </w:pPr>
      <w:rPr>
        <w:rFonts w:hint="default"/>
      </w:rPr>
    </w:lvl>
    <w:lvl w:ilvl="7">
      <w:start w:val="1"/>
      <w:numFmt w:val="decimal"/>
      <w:lvlText w:val="%1.%2.%3.%4.%5.%6.%7.%8."/>
      <w:lvlJc w:val="left"/>
      <w:pPr>
        <w:ind w:left="5400" w:hanging="360"/>
      </w:pPr>
      <w:rPr>
        <w:rFonts w:hint="default"/>
      </w:rPr>
    </w:lvl>
    <w:lvl w:ilvl="8">
      <w:start w:val="1"/>
      <w:numFmt w:val="decimal"/>
      <w:lvlText w:val="%1.%2.%3.%4.%5.%6.%7.%8.%9."/>
      <w:lvlJc w:val="left"/>
      <w:pPr>
        <w:ind w:left="6120" w:hanging="180"/>
      </w:pPr>
      <w:rPr>
        <w:rFonts w:hint="default"/>
      </w:rPr>
    </w:lvl>
  </w:abstractNum>
  <w:abstractNum w:abstractNumId="3" w15:restartNumberingAfterBreak="0">
    <w:nsid w:val="32688969"/>
    <w:multiLevelType w:val="hybridMultilevel"/>
    <w:tmpl w:val="73CA8132"/>
    <w:lvl w:ilvl="0" w:tplc="FBFC9D76">
      <w:start w:val="1"/>
      <w:numFmt w:val="bullet"/>
      <w:lvlText w:val=""/>
      <w:lvlJc w:val="left"/>
      <w:pPr>
        <w:ind w:left="720" w:hanging="360"/>
      </w:pPr>
      <w:rPr>
        <w:rFonts w:ascii="Symbol" w:hAnsi="Symbol" w:hint="default"/>
      </w:rPr>
    </w:lvl>
    <w:lvl w:ilvl="1" w:tplc="322C27D0">
      <w:start w:val="1"/>
      <w:numFmt w:val="bullet"/>
      <w:lvlText w:val="o"/>
      <w:lvlJc w:val="left"/>
      <w:pPr>
        <w:ind w:left="1440" w:hanging="360"/>
      </w:pPr>
      <w:rPr>
        <w:rFonts w:ascii="Courier New" w:hAnsi="Courier New" w:hint="default"/>
      </w:rPr>
    </w:lvl>
    <w:lvl w:ilvl="2" w:tplc="E10C4480">
      <w:start w:val="1"/>
      <w:numFmt w:val="bullet"/>
      <w:lvlText w:val=""/>
      <w:lvlJc w:val="left"/>
      <w:pPr>
        <w:ind w:left="2160" w:hanging="360"/>
      </w:pPr>
      <w:rPr>
        <w:rFonts w:ascii="Wingdings" w:hAnsi="Wingdings" w:hint="default"/>
      </w:rPr>
    </w:lvl>
    <w:lvl w:ilvl="3" w:tplc="36E0A558">
      <w:start w:val="1"/>
      <w:numFmt w:val="bullet"/>
      <w:lvlText w:val=""/>
      <w:lvlJc w:val="left"/>
      <w:pPr>
        <w:ind w:left="2880" w:hanging="360"/>
      </w:pPr>
      <w:rPr>
        <w:rFonts w:ascii="Symbol" w:hAnsi="Symbol" w:hint="default"/>
      </w:rPr>
    </w:lvl>
    <w:lvl w:ilvl="4" w:tplc="9F80A218">
      <w:start w:val="1"/>
      <w:numFmt w:val="bullet"/>
      <w:lvlText w:val="o"/>
      <w:lvlJc w:val="left"/>
      <w:pPr>
        <w:ind w:left="3600" w:hanging="360"/>
      </w:pPr>
      <w:rPr>
        <w:rFonts w:ascii="Courier New" w:hAnsi="Courier New" w:hint="default"/>
      </w:rPr>
    </w:lvl>
    <w:lvl w:ilvl="5" w:tplc="EE38870C">
      <w:start w:val="1"/>
      <w:numFmt w:val="bullet"/>
      <w:lvlText w:val=""/>
      <w:lvlJc w:val="left"/>
      <w:pPr>
        <w:ind w:left="4320" w:hanging="360"/>
      </w:pPr>
      <w:rPr>
        <w:rFonts w:ascii="Wingdings" w:hAnsi="Wingdings" w:hint="default"/>
      </w:rPr>
    </w:lvl>
    <w:lvl w:ilvl="6" w:tplc="7B0AACBA">
      <w:start w:val="1"/>
      <w:numFmt w:val="bullet"/>
      <w:lvlText w:val=""/>
      <w:lvlJc w:val="left"/>
      <w:pPr>
        <w:ind w:left="5040" w:hanging="360"/>
      </w:pPr>
      <w:rPr>
        <w:rFonts w:ascii="Symbol" w:hAnsi="Symbol" w:hint="default"/>
      </w:rPr>
    </w:lvl>
    <w:lvl w:ilvl="7" w:tplc="EC6C7984">
      <w:start w:val="1"/>
      <w:numFmt w:val="bullet"/>
      <w:lvlText w:val="o"/>
      <w:lvlJc w:val="left"/>
      <w:pPr>
        <w:ind w:left="5760" w:hanging="360"/>
      </w:pPr>
      <w:rPr>
        <w:rFonts w:ascii="Courier New" w:hAnsi="Courier New" w:hint="default"/>
      </w:rPr>
    </w:lvl>
    <w:lvl w:ilvl="8" w:tplc="50762144">
      <w:start w:val="1"/>
      <w:numFmt w:val="bullet"/>
      <w:lvlText w:val=""/>
      <w:lvlJc w:val="left"/>
      <w:pPr>
        <w:ind w:left="6480" w:hanging="360"/>
      </w:pPr>
      <w:rPr>
        <w:rFonts w:ascii="Wingdings" w:hAnsi="Wingdings" w:hint="default"/>
      </w:rPr>
    </w:lvl>
  </w:abstractNum>
  <w:abstractNum w:abstractNumId="4" w15:restartNumberingAfterBreak="0">
    <w:nsid w:val="6526FA96"/>
    <w:multiLevelType w:val="multilevel"/>
    <w:tmpl w:val="6144D7CE"/>
    <w:lvl w:ilvl="0">
      <w:start w:val="5"/>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965165075">
    <w:abstractNumId w:val="0"/>
  </w:num>
  <w:num w:numId="2" w16cid:durableId="254172006">
    <w:abstractNumId w:val="4"/>
  </w:num>
  <w:num w:numId="3" w16cid:durableId="1551457161">
    <w:abstractNumId w:val="2"/>
  </w:num>
  <w:num w:numId="4" w16cid:durableId="1010525336">
    <w:abstractNumId w:val="1"/>
  </w:num>
  <w:num w:numId="5" w16cid:durableId="897739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54AE19"/>
    <w:rsid w:val="00001C64"/>
    <w:rsid w:val="000112D9"/>
    <w:rsid w:val="000124CC"/>
    <w:rsid w:val="00045258"/>
    <w:rsid w:val="00045769"/>
    <w:rsid w:val="000643BF"/>
    <w:rsid w:val="00074638"/>
    <w:rsid w:val="00091A6F"/>
    <w:rsid w:val="00096837"/>
    <w:rsid w:val="000D47B6"/>
    <w:rsid w:val="00124EDF"/>
    <w:rsid w:val="00137A6D"/>
    <w:rsid w:val="00194D43"/>
    <w:rsid w:val="001D5290"/>
    <w:rsid w:val="001D566C"/>
    <w:rsid w:val="00200610"/>
    <w:rsid w:val="00206A1C"/>
    <w:rsid w:val="0026568C"/>
    <w:rsid w:val="002850ED"/>
    <w:rsid w:val="002E64B5"/>
    <w:rsid w:val="002F664E"/>
    <w:rsid w:val="003247AB"/>
    <w:rsid w:val="00327BAC"/>
    <w:rsid w:val="00341303"/>
    <w:rsid w:val="0036614E"/>
    <w:rsid w:val="00374B9C"/>
    <w:rsid w:val="00377818"/>
    <w:rsid w:val="003B6CEC"/>
    <w:rsid w:val="003C7861"/>
    <w:rsid w:val="003F0338"/>
    <w:rsid w:val="00402201"/>
    <w:rsid w:val="00405299"/>
    <w:rsid w:val="00414F61"/>
    <w:rsid w:val="00436892"/>
    <w:rsid w:val="004B4E72"/>
    <w:rsid w:val="00561A2E"/>
    <w:rsid w:val="005E7703"/>
    <w:rsid w:val="00642BE0"/>
    <w:rsid w:val="00674213"/>
    <w:rsid w:val="006871F4"/>
    <w:rsid w:val="006C1FD0"/>
    <w:rsid w:val="006C3687"/>
    <w:rsid w:val="00735BF9"/>
    <w:rsid w:val="00741B44"/>
    <w:rsid w:val="00744A7A"/>
    <w:rsid w:val="00760445"/>
    <w:rsid w:val="00791C65"/>
    <w:rsid w:val="007E7AC9"/>
    <w:rsid w:val="00806318"/>
    <w:rsid w:val="00807A50"/>
    <w:rsid w:val="008207DB"/>
    <w:rsid w:val="00864C91"/>
    <w:rsid w:val="008657CE"/>
    <w:rsid w:val="008905F5"/>
    <w:rsid w:val="008C1C88"/>
    <w:rsid w:val="008D7DB8"/>
    <w:rsid w:val="00914CC6"/>
    <w:rsid w:val="00942903"/>
    <w:rsid w:val="00943548"/>
    <w:rsid w:val="009A0055"/>
    <w:rsid w:val="009A01D8"/>
    <w:rsid w:val="009A0ED8"/>
    <w:rsid w:val="009A4EEB"/>
    <w:rsid w:val="009C3056"/>
    <w:rsid w:val="009E4402"/>
    <w:rsid w:val="009F0C2D"/>
    <w:rsid w:val="00A35C76"/>
    <w:rsid w:val="00A51C55"/>
    <w:rsid w:val="00A86A40"/>
    <w:rsid w:val="00AA2A52"/>
    <w:rsid w:val="00AB16F3"/>
    <w:rsid w:val="00AB296B"/>
    <w:rsid w:val="00AB5452"/>
    <w:rsid w:val="00AD6279"/>
    <w:rsid w:val="00AF6E38"/>
    <w:rsid w:val="00B00089"/>
    <w:rsid w:val="00B146A9"/>
    <w:rsid w:val="00B16C9B"/>
    <w:rsid w:val="00B32A15"/>
    <w:rsid w:val="00B40338"/>
    <w:rsid w:val="00B700DE"/>
    <w:rsid w:val="00BD6246"/>
    <w:rsid w:val="00BF51EA"/>
    <w:rsid w:val="00C13C0D"/>
    <w:rsid w:val="00C34E8E"/>
    <w:rsid w:val="00C479A0"/>
    <w:rsid w:val="00C6666C"/>
    <w:rsid w:val="00C73846"/>
    <w:rsid w:val="00C76D5B"/>
    <w:rsid w:val="00C7E3B2"/>
    <w:rsid w:val="00CC05AB"/>
    <w:rsid w:val="00CD5DC6"/>
    <w:rsid w:val="00CE659D"/>
    <w:rsid w:val="00CF74E3"/>
    <w:rsid w:val="00D41A11"/>
    <w:rsid w:val="00D66D0B"/>
    <w:rsid w:val="00DD6F61"/>
    <w:rsid w:val="00DE7BB9"/>
    <w:rsid w:val="00E174EF"/>
    <w:rsid w:val="00E40A76"/>
    <w:rsid w:val="00E45ABE"/>
    <w:rsid w:val="00E522FD"/>
    <w:rsid w:val="00E55AB5"/>
    <w:rsid w:val="00F11A7C"/>
    <w:rsid w:val="00F37BC8"/>
    <w:rsid w:val="00F54767"/>
    <w:rsid w:val="00F64C89"/>
    <w:rsid w:val="00F74DD7"/>
    <w:rsid w:val="00F76361"/>
    <w:rsid w:val="00F83D59"/>
    <w:rsid w:val="00FA4F73"/>
    <w:rsid w:val="00FC6EE2"/>
    <w:rsid w:val="00FD64EB"/>
    <w:rsid w:val="0164B6DB"/>
    <w:rsid w:val="029CC5D0"/>
    <w:rsid w:val="02AD7A3D"/>
    <w:rsid w:val="02C08927"/>
    <w:rsid w:val="035018AD"/>
    <w:rsid w:val="0362A356"/>
    <w:rsid w:val="036B0123"/>
    <w:rsid w:val="041CAFA6"/>
    <w:rsid w:val="041CE8BF"/>
    <w:rsid w:val="046B7AFE"/>
    <w:rsid w:val="05779752"/>
    <w:rsid w:val="0735E4F6"/>
    <w:rsid w:val="09A42DB3"/>
    <w:rsid w:val="0A727C19"/>
    <w:rsid w:val="0AD25D9B"/>
    <w:rsid w:val="0AF5315A"/>
    <w:rsid w:val="0C31B13D"/>
    <w:rsid w:val="0C5781F6"/>
    <w:rsid w:val="0CCD29B8"/>
    <w:rsid w:val="0CE8B054"/>
    <w:rsid w:val="0FB9728E"/>
    <w:rsid w:val="103C752E"/>
    <w:rsid w:val="107A3E20"/>
    <w:rsid w:val="10D27DA6"/>
    <w:rsid w:val="120CFA72"/>
    <w:rsid w:val="122C6A29"/>
    <w:rsid w:val="14AB76DB"/>
    <w:rsid w:val="14D25308"/>
    <w:rsid w:val="15BE6DB0"/>
    <w:rsid w:val="1635E60A"/>
    <w:rsid w:val="16452D5A"/>
    <w:rsid w:val="17AAB8FD"/>
    <w:rsid w:val="17DC8F4B"/>
    <w:rsid w:val="17EE37FF"/>
    <w:rsid w:val="184E8880"/>
    <w:rsid w:val="197D19D6"/>
    <w:rsid w:val="1A718A07"/>
    <w:rsid w:val="1AF170D1"/>
    <w:rsid w:val="1BE597C1"/>
    <w:rsid w:val="1C116FD1"/>
    <w:rsid w:val="1DB7A903"/>
    <w:rsid w:val="1E242695"/>
    <w:rsid w:val="231FE4A4"/>
    <w:rsid w:val="238DAB01"/>
    <w:rsid w:val="23ABF753"/>
    <w:rsid w:val="247E4AD8"/>
    <w:rsid w:val="24A1203D"/>
    <w:rsid w:val="2503A96C"/>
    <w:rsid w:val="264D8613"/>
    <w:rsid w:val="26BC4020"/>
    <w:rsid w:val="27AC1A03"/>
    <w:rsid w:val="28173ABD"/>
    <w:rsid w:val="284BCC11"/>
    <w:rsid w:val="2876E044"/>
    <w:rsid w:val="289210A1"/>
    <w:rsid w:val="297D4CAF"/>
    <w:rsid w:val="29A8F332"/>
    <w:rsid w:val="2C40A7F2"/>
    <w:rsid w:val="2CDBC568"/>
    <w:rsid w:val="2D1B0279"/>
    <w:rsid w:val="2D3A7EB5"/>
    <w:rsid w:val="2D5B001A"/>
    <w:rsid w:val="2DE1C514"/>
    <w:rsid w:val="2E43F3A3"/>
    <w:rsid w:val="2E4BB501"/>
    <w:rsid w:val="3021CC41"/>
    <w:rsid w:val="305ACE52"/>
    <w:rsid w:val="30F8CE66"/>
    <w:rsid w:val="313C39DB"/>
    <w:rsid w:val="31B93373"/>
    <w:rsid w:val="31DB0E87"/>
    <w:rsid w:val="3293AB9F"/>
    <w:rsid w:val="3352C9AE"/>
    <w:rsid w:val="338EF059"/>
    <w:rsid w:val="3449EE7C"/>
    <w:rsid w:val="35E24147"/>
    <w:rsid w:val="360DA119"/>
    <w:rsid w:val="361FA1CD"/>
    <w:rsid w:val="3637E44F"/>
    <w:rsid w:val="371E1094"/>
    <w:rsid w:val="373E697A"/>
    <w:rsid w:val="375FF729"/>
    <w:rsid w:val="37F2E016"/>
    <w:rsid w:val="38B94812"/>
    <w:rsid w:val="38F98508"/>
    <w:rsid w:val="391C4DFD"/>
    <w:rsid w:val="3B0E07F1"/>
    <w:rsid w:val="3B317381"/>
    <w:rsid w:val="3B70CFFC"/>
    <w:rsid w:val="3BFF3D14"/>
    <w:rsid w:val="3C344F06"/>
    <w:rsid w:val="3DE9B5D1"/>
    <w:rsid w:val="3E0261A9"/>
    <w:rsid w:val="3E479B51"/>
    <w:rsid w:val="3F94BB57"/>
    <w:rsid w:val="4089222D"/>
    <w:rsid w:val="4208B6EB"/>
    <w:rsid w:val="421F661D"/>
    <w:rsid w:val="42F2B46A"/>
    <w:rsid w:val="433EAA74"/>
    <w:rsid w:val="434F26D9"/>
    <w:rsid w:val="4351A5A3"/>
    <w:rsid w:val="43D879DE"/>
    <w:rsid w:val="43E423AC"/>
    <w:rsid w:val="447A54B2"/>
    <w:rsid w:val="452B8730"/>
    <w:rsid w:val="465044CD"/>
    <w:rsid w:val="46ABD34F"/>
    <w:rsid w:val="4709CB73"/>
    <w:rsid w:val="4877DAA3"/>
    <w:rsid w:val="49069F4C"/>
    <w:rsid w:val="494BB9BF"/>
    <w:rsid w:val="49A0EBDE"/>
    <w:rsid w:val="4A231918"/>
    <w:rsid w:val="4A626DC6"/>
    <w:rsid w:val="4A62A9A7"/>
    <w:rsid w:val="4B22F411"/>
    <w:rsid w:val="4BC23E5B"/>
    <w:rsid w:val="4C034F66"/>
    <w:rsid w:val="4C59C722"/>
    <w:rsid w:val="4CA30852"/>
    <w:rsid w:val="4E69E803"/>
    <w:rsid w:val="4F6DFDF6"/>
    <w:rsid w:val="4F76BCD6"/>
    <w:rsid w:val="50DADD18"/>
    <w:rsid w:val="526669E2"/>
    <w:rsid w:val="53488235"/>
    <w:rsid w:val="5388768B"/>
    <w:rsid w:val="53E4A7C0"/>
    <w:rsid w:val="54438448"/>
    <w:rsid w:val="54E8B0A9"/>
    <w:rsid w:val="5517905B"/>
    <w:rsid w:val="55B72B15"/>
    <w:rsid w:val="561A7B4A"/>
    <w:rsid w:val="56A1392D"/>
    <w:rsid w:val="58AE07EB"/>
    <w:rsid w:val="59A0B4CF"/>
    <w:rsid w:val="5BEAF884"/>
    <w:rsid w:val="5C143CDA"/>
    <w:rsid w:val="5C5477FD"/>
    <w:rsid w:val="5C60A672"/>
    <w:rsid w:val="5C94368E"/>
    <w:rsid w:val="5CA05036"/>
    <w:rsid w:val="5DCB4C9A"/>
    <w:rsid w:val="5E68D399"/>
    <w:rsid w:val="5E7AD693"/>
    <w:rsid w:val="5F4EFFA5"/>
    <w:rsid w:val="5F8AE4BD"/>
    <w:rsid w:val="5FD9157A"/>
    <w:rsid w:val="5FEF55A3"/>
    <w:rsid w:val="6055C090"/>
    <w:rsid w:val="61142022"/>
    <w:rsid w:val="61EE10AD"/>
    <w:rsid w:val="620325BF"/>
    <w:rsid w:val="624E55B3"/>
    <w:rsid w:val="6272449C"/>
    <w:rsid w:val="62961F71"/>
    <w:rsid w:val="631F0DB2"/>
    <w:rsid w:val="6476A0F3"/>
    <w:rsid w:val="6624B695"/>
    <w:rsid w:val="666C897D"/>
    <w:rsid w:val="676384AA"/>
    <w:rsid w:val="68566F55"/>
    <w:rsid w:val="6884E9C5"/>
    <w:rsid w:val="692F0395"/>
    <w:rsid w:val="692F7E41"/>
    <w:rsid w:val="6941F390"/>
    <w:rsid w:val="6954AE19"/>
    <w:rsid w:val="6B5B37FA"/>
    <w:rsid w:val="6C2C0044"/>
    <w:rsid w:val="6CCEA143"/>
    <w:rsid w:val="6D52B617"/>
    <w:rsid w:val="6E053065"/>
    <w:rsid w:val="7019A3E1"/>
    <w:rsid w:val="7118582E"/>
    <w:rsid w:val="71582869"/>
    <w:rsid w:val="71E9245E"/>
    <w:rsid w:val="73014B68"/>
    <w:rsid w:val="731B1337"/>
    <w:rsid w:val="73247B8D"/>
    <w:rsid w:val="75D20F95"/>
    <w:rsid w:val="766ED076"/>
    <w:rsid w:val="766FD795"/>
    <w:rsid w:val="77DE265B"/>
    <w:rsid w:val="78DFF35A"/>
    <w:rsid w:val="7928127A"/>
    <w:rsid w:val="797E3ADF"/>
    <w:rsid w:val="799A3007"/>
    <w:rsid w:val="79B7AF9A"/>
    <w:rsid w:val="7AB41A4E"/>
    <w:rsid w:val="7B234100"/>
    <w:rsid w:val="7BF38B66"/>
    <w:rsid w:val="7C4648C3"/>
    <w:rsid w:val="7FCC0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4AE19"/>
  <w15:chartTrackingRefBased/>
  <w15:docId w15:val="{73673305-5C65-47F8-BE8F-566A5B7C7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F6DFDF6"/>
  </w:style>
  <w:style w:type="paragraph" w:styleId="Ttulo1">
    <w:name w:val="heading 1"/>
    <w:basedOn w:val="Normal"/>
    <w:next w:val="Normal"/>
    <w:uiPriority w:val="9"/>
    <w:qFormat/>
    <w:rsid w:val="4F6DFD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4F6DFDF6"/>
    <w:pPr>
      <w:ind w:left="720"/>
      <w:contextualSpacing/>
    </w:pPr>
  </w:style>
  <w:style w:type="paragraph" w:customStyle="1" w:styleId="ZFlag">
    <w:name w:val="Z_Flag"/>
    <w:basedOn w:val="Normal"/>
    <w:next w:val="Normal"/>
    <w:uiPriority w:val="99"/>
    <w:semiHidden/>
    <w:rsid w:val="4F6DFDF6"/>
    <w:pPr>
      <w:widowControl w:val="0"/>
      <w:spacing w:after="0"/>
      <w:ind w:right="85"/>
      <w:jc w:val="both"/>
    </w:pPr>
    <w:rPr>
      <w:rFonts w:ascii="Times New Roman" w:eastAsia="Times New Roman" w:hAnsi="Times New Roman" w:cs="Times New Roman"/>
    </w:rPr>
  </w:style>
  <w:style w:type="paragraph" w:customStyle="1" w:styleId="ZCom">
    <w:name w:val="Z_Com"/>
    <w:basedOn w:val="Normal"/>
    <w:next w:val="Normal"/>
    <w:uiPriority w:val="99"/>
    <w:semiHidden/>
    <w:rsid w:val="4F6DFDF6"/>
    <w:pPr>
      <w:widowControl w:val="0"/>
      <w:spacing w:before="90" w:after="0"/>
      <w:ind w:right="85"/>
      <w:jc w:val="both"/>
    </w:pPr>
    <w:rPr>
      <w:rFonts w:ascii="Times New Roman" w:eastAsia="Times New Roman" w:hAnsi="Times New Roman" w:cs="Times New Roman"/>
    </w:rPr>
  </w:style>
  <w:style w:type="paragraph" w:customStyle="1" w:styleId="ZDGName">
    <w:name w:val="Z_DGName"/>
    <w:basedOn w:val="Normal"/>
    <w:uiPriority w:val="99"/>
    <w:semiHidden/>
    <w:rsid w:val="4F6DFDF6"/>
    <w:pPr>
      <w:widowControl w:val="0"/>
      <w:spacing w:after="0"/>
      <w:ind w:right="85"/>
    </w:pPr>
    <w:rPr>
      <w:rFonts w:ascii="Times New Roman" w:eastAsia="Times New Roman" w:hAnsi="Times New Roman" w:cs="Times New Roman"/>
      <w:sz w:val="16"/>
      <w:szCs w:val="16"/>
    </w:rPr>
  </w:style>
  <w:style w:type="paragraph" w:customStyle="1" w:styleId="SubTitle1">
    <w:name w:val="SubTitle 1"/>
    <w:basedOn w:val="Normal"/>
    <w:uiPriority w:val="1"/>
    <w:rsid w:val="4F6DFDF6"/>
    <w:pPr>
      <w:spacing w:after="240"/>
      <w:jc w:val="center"/>
    </w:pPr>
    <w:rPr>
      <w:rFonts w:ascii="Times New Roman" w:eastAsia="Times New Roman" w:hAnsi="Times New Roman" w:cs="Times New Roman"/>
      <w:b/>
      <w:bCs/>
      <w:sz w:val="40"/>
      <w:szCs w:val="40"/>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nculo">
    <w:name w:val="Hyperlink"/>
    <w:basedOn w:val="Fuentedeprrafopredeter"/>
    <w:uiPriority w:val="99"/>
    <w:unhideWhenUsed/>
    <w:rsid w:val="5FEF55A3"/>
    <w:rPr>
      <w:color w:val="467886"/>
      <w:u w:val="single"/>
    </w:rPr>
  </w:style>
  <w:style w:type="paragraph" w:styleId="Textonotapie">
    <w:name w:val="footnote text"/>
    <w:basedOn w:val="Normal"/>
    <w:uiPriority w:val="99"/>
    <w:semiHidden/>
    <w:unhideWhenUsed/>
    <w:rsid w:val="5FEF55A3"/>
    <w:pPr>
      <w:spacing w:after="0" w:line="240" w:lineRule="auto"/>
    </w:pPr>
    <w:rPr>
      <w:sz w:val="20"/>
      <w:szCs w:val="20"/>
    </w:rPr>
  </w:style>
  <w:style w:type="paragraph" w:customStyle="1" w:styleId="Text1">
    <w:name w:val="Text 1"/>
    <w:basedOn w:val="Normal"/>
    <w:uiPriority w:val="90"/>
    <w:qFormat/>
    <w:rsid w:val="5FEF55A3"/>
    <w:pPr>
      <w:spacing w:after="240"/>
      <w:ind w:left="482"/>
      <w:jc w:val="both"/>
    </w:pPr>
    <w:rPr>
      <w:rFonts w:ascii="Times New Roman" w:eastAsia="Times New Roman" w:hAnsi="Times New Roman" w:cs="Times New Roman"/>
    </w:rPr>
  </w:style>
  <w:style w:type="character" w:styleId="Refdenotaalpie">
    <w:name w:val="footnote reference"/>
    <w:basedOn w:val="Fuentedeprrafopredeter"/>
    <w:uiPriority w:val="99"/>
    <w:semiHidden/>
    <w:unhideWhenUsed/>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lang w:val="es-ES"/>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C34E8E"/>
    <w:pPr>
      <w:spacing w:after="0" w:line="240" w:lineRule="auto"/>
    </w:pPr>
  </w:style>
  <w:style w:type="paragraph" w:styleId="Encabezado">
    <w:name w:val="header"/>
    <w:basedOn w:val="Normal"/>
    <w:link w:val="EncabezadoCar"/>
    <w:uiPriority w:val="99"/>
    <w:unhideWhenUsed/>
    <w:rsid w:val="00091A6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91A6F"/>
    <w:rPr>
      <w:lang w:val="es-ES"/>
    </w:rPr>
  </w:style>
  <w:style w:type="paragraph" w:styleId="Piedepgina">
    <w:name w:val="footer"/>
    <w:basedOn w:val="Normal"/>
    <w:link w:val="PiedepginaCar"/>
    <w:uiPriority w:val="99"/>
    <w:unhideWhenUsed/>
    <w:rsid w:val="00091A6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91A6F"/>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sharepoint.com/teams/GRP-MAREB2/Shared%20Documents/RFMOs/ICCAT/e%20-%20Reporting%20obligations/5.eBCD/2026/Derogation%20report%202025%20-%20data%20from%20ebcd.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1 - EU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'2025'!$Q$2</c:f>
              <c:strCache>
                <c:ptCount val="1"/>
                <c:pt idx="0">
                  <c:v>Exports (outside EU)</c:v>
                </c:pt>
              </c:strCache>
            </c:strRef>
          </c:tx>
          <c:spPr>
            <a:solidFill>
              <a:schemeClr val="accent6"/>
            </a:solidFill>
            <a:ln>
              <a:noFill/>
            </a:ln>
            <a:effectLst/>
          </c:spPr>
          <c:invertIfNegative val="0"/>
          <c:cat>
            <c:strRef>
              <c:f>'2025'!$R$1:$S$1</c:f>
              <c:strCache>
                <c:ptCount val="2"/>
                <c:pt idx="0">
                  <c:v>Nbr events</c:v>
                </c:pt>
                <c:pt idx="1">
                  <c:v>Weight (t)</c:v>
                </c:pt>
              </c:strCache>
            </c:strRef>
          </c:cat>
          <c:val>
            <c:numRef>
              <c:f>'2025'!$R$2:$S$2</c:f>
              <c:numCache>
                <c:formatCode>_-* #,##0_-;\-* #,##0_-;_-* "-"??_-;_-@_-</c:formatCode>
                <c:ptCount val="2"/>
                <c:pt idx="0">
                  <c:v>16394</c:v>
                </c:pt>
                <c:pt idx="1">
                  <c:v>26900.561726</c:v>
                </c:pt>
              </c:numCache>
            </c:numRef>
          </c:val>
          <c:extLst>
            <c:ext xmlns:c16="http://schemas.microsoft.com/office/drawing/2014/chart" uri="{C3380CC4-5D6E-409C-BE32-E72D297353CC}">
              <c16:uniqueId val="{00000000-FA47-4BF3-86B0-4FC79C575202}"/>
            </c:ext>
          </c:extLst>
        </c:ser>
        <c:ser>
          <c:idx val="1"/>
          <c:order val="1"/>
          <c:tx>
            <c:strRef>
              <c:f>'2025'!$Q$3</c:f>
              <c:strCache>
                <c:ptCount val="1"/>
                <c:pt idx="0">
                  <c:v>Internal trade</c:v>
                </c:pt>
              </c:strCache>
            </c:strRef>
          </c:tx>
          <c:spPr>
            <a:solidFill>
              <a:schemeClr val="accent5"/>
            </a:solidFill>
            <a:ln>
              <a:noFill/>
            </a:ln>
            <a:effectLst/>
          </c:spPr>
          <c:invertIfNegative val="0"/>
          <c:cat>
            <c:strRef>
              <c:f>'2025'!$R$1:$S$1</c:f>
              <c:strCache>
                <c:ptCount val="2"/>
                <c:pt idx="0">
                  <c:v>Nbr events</c:v>
                </c:pt>
                <c:pt idx="1">
                  <c:v>Weight (t)</c:v>
                </c:pt>
              </c:strCache>
            </c:strRef>
          </c:cat>
          <c:val>
            <c:numRef>
              <c:f>'2025'!$R$3:$S$3</c:f>
              <c:numCache>
                <c:formatCode>_-* #,##0_-;\-* #,##0_-;_-* "-"??_-;_-@_-</c:formatCode>
                <c:ptCount val="2"/>
                <c:pt idx="0">
                  <c:v>172278</c:v>
                </c:pt>
                <c:pt idx="1">
                  <c:v>14342.220379000002</c:v>
                </c:pt>
              </c:numCache>
            </c:numRef>
          </c:val>
          <c:extLst>
            <c:ext xmlns:c16="http://schemas.microsoft.com/office/drawing/2014/chart" uri="{C3380CC4-5D6E-409C-BE32-E72D297353CC}">
              <c16:uniqueId val="{00000001-FA47-4BF3-86B0-4FC79C575202}"/>
            </c:ext>
          </c:extLst>
        </c:ser>
        <c:ser>
          <c:idx val="2"/>
          <c:order val="2"/>
          <c:tx>
            <c:strRef>
              <c:f>'2025'!$Q$4</c:f>
              <c:strCache>
                <c:ptCount val="1"/>
                <c:pt idx="0">
                  <c:v>Trade between EU MS</c:v>
                </c:pt>
              </c:strCache>
            </c:strRef>
          </c:tx>
          <c:spPr>
            <a:solidFill>
              <a:schemeClr val="accent4"/>
            </a:solidFill>
            <a:ln>
              <a:noFill/>
            </a:ln>
            <a:effectLst/>
          </c:spPr>
          <c:invertIfNegative val="0"/>
          <c:cat>
            <c:strRef>
              <c:f>'2025'!$R$1:$S$1</c:f>
              <c:strCache>
                <c:ptCount val="2"/>
                <c:pt idx="0">
                  <c:v>Nbr events</c:v>
                </c:pt>
                <c:pt idx="1">
                  <c:v>Weight (t)</c:v>
                </c:pt>
              </c:strCache>
            </c:strRef>
          </c:cat>
          <c:val>
            <c:numRef>
              <c:f>'2025'!$R$4:$S$4</c:f>
              <c:numCache>
                <c:formatCode>_-* #,##0_-;\-* #,##0_-;_-* "-"??_-;_-@_-</c:formatCode>
                <c:ptCount val="2"/>
                <c:pt idx="0">
                  <c:v>31699</c:v>
                </c:pt>
                <c:pt idx="1">
                  <c:v>2622.7503859999997</c:v>
                </c:pt>
              </c:numCache>
            </c:numRef>
          </c:val>
          <c:extLst>
            <c:ext xmlns:c16="http://schemas.microsoft.com/office/drawing/2014/chart" uri="{C3380CC4-5D6E-409C-BE32-E72D297353CC}">
              <c16:uniqueId val="{00000002-FA47-4BF3-86B0-4FC79C575202}"/>
            </c:ext>
          </c:extLst>
        </c:ser>
        <c:dLbls>
          <c:showLegendKey val="0"/>
          <c:showVal val="0"/>
          <c:showCatName val="0"/>
          <c:showSerName val="0"/>
          <c:showPercent val="0"/>
          <c:showBubbleSize val="0"/>
        </c:dLbls>
        <c:gapWidth val="150"/>
        <c:overlap val="100"/>
        <c:axId val="607556160"/>
        <c:axId val="430535760"/>
      </c:barChart>
      <c:catAx>
        <c:axId val="60755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0535760"/>
        <c:crosses val="autoZero"/>
        <c:auto val="1"/>
        <c:lblAlgn val="ctr"/>
        <c:lblOffset val="100"/>
        <c:noMultiLvlLbl val="0"/>
      </c:catAx>
      <c:valAx>
        <c:axId val="430535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607556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  FigurE 2 - exempted trade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'2025'!$Q$8</c:f>
              <c:strCache>
                <c:ptCount val="1"/>
                <c:pt idx="0">
                  <c:v>Validated</c:v>
                </c:pt>
              </c:strCache>
            </c:strRef>
          </c:tx>
          <c:spPr>
            <a:solidFill>
              <a:schemeClr val="accent1"/>
            </a:solidFill>
            <a:ln>
              <a:noFill/>
            </a:ln>
            <a:effectLst/>
          </c:spPr>
          <c:invertIfNegative val="0"/>
          <c:cat>
            <c:strRef>
              <c:f>'2025'!$R$7:$S$7</c:f>
              <c:strCache>
                <c:ptCount val="2"/>
                <c:pt idx="0">
                  <c:v>Nbr events</c:v>
                </c:pt>
                <c:pt idx="1">
                  <c:v>Weight (t)</c:v>
                </c:pt>
              </c:strCache>
            </c:strRef>
          </c:cat>
          <c:val>
            <c:numRef>
              <c:f>'2025'!$R$8:$S$8</c:f>
              <c:numCache>
                <c:formatCode>_-* #,##0_-;\-* #,##0_-;_-* "-"??_-;_-@_-</c:formatCode>
                <c:ptCount val="2"/>
                <c:pt idx="0">
                  <c:v>98926</c:v>
                </c:pt>
                <c:pt idx="1">
                  <c:v>35124.425416999999</c:v>
                </c:pt>
              </c:numCache>
            </c:numRef>
          </c:val>
          <c:extLst>
            <c:ext xmlns:c16="http://schemas.microsoft.com/office/drawing/2014/chart" uri="{C3380CC4-5D6E-409C-BE32-E72D297353CC}">
              <c16:uniqueId val="{00000000-0374-4B00-931F-B0C8D07EE70C}"/>
            </c:ext>
          </c:extLst>
        </c:ser>
        <c:ser>
          <c:idx val="1"/>
          <c:order val="1"/>
          <c:tx>
            <c:strRef>
              <c:f>'2025'!$Q$9</c:f>
              <c:strCache>
                <c:ptCount val="1"/>
                <c:pt idx="0">
                  <c:v>Exempted</c:v>
                </c:pt>
              </c:strCache>
            </c:strRef>
          </c:tx>
          <c:spPr>
            <a:solidFill>
              <a:schemeClr val="accent2"/>
            </a:solidFill>
            <a:ln>
              <a:noFill/>
            </a:ln>
            <a:effectLst/>
          </c:spPr>
          <c:invertIfNegative val="0"/>
          <c:cat>
            <c:strRef>
              <c:f>'2025'!$R$7:$S$7</c:f>
              <c:strCache>
                <c:ptCount val="2"/>
                <c:pt idx="0">
                  <c:v>Nbr events</c:v>
                </c:pt>
                <c:pt idx="1">
                  <c:v>Weight (t)</c:v>
                </c:pt>
              </c:strCache>
            </c:strRef>
          </c:cat>
          <c:val>
            <c:numRef>
              <c:f>'2025'!$R$9:$S$9</c:f>
              <c:numCache>
                <c:formatCode>_-* #,##0_-;\-* #,##0_-;_-* "-"??_-;_-@_-</c:formatCode>
                <c:ptCount val="2"/>
                <c:pt idx="0">
                  <c:v>120861</c:v>
                </c:pt>
                <c:pt idx="1">
                  <c:v>8701.094833000001</c:v>
                </c:pt>
              </c:numCache>
            </c:numRef>
          </c:val>
          <c:extLst>
            <c:ext xmlns:c16="http://schemas.microsoft.com/office/drawing/2014/chart" uri="{C3380CC4-5D6E-409C-BE32-E72D297353CC}">
              <c16:uniqueId val="{00000001-0374-4B00-931F-B0C8D07EE70C}"/>
            </c:ext>
          </c:extLst>
        </c:ser>
        <c:dLbls>
          <c:showLegendKey val="0"/>
          <c:showVal val="0"/>
          <c:showCatName val="0"/>
          <c:showSerName val="0"/>
          <c:showPercent val="0"/>
          <c:showBubbleSize val="0"/>
        </c:dLbls>
        <c:gapWidth val="219"/>
        <c:overlap val="100"/>
        <c:axId val="581095952"/>
        <c:axId val="1332709200"/>
      </c:barChart>
      <c:catAx>
        <c:axId val="58109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32709200"/>
        <c:crosses val="autoZero"/>
        <c:auto val="1"/>
        <c:lblAlgn val="ctr"/>
        <c:lblOffset val="100"/>
        <c:noMultiLvlLbl val="0"/>
      </c:catAx>
      <c:valAx>
        <c:axId val="1332709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8109595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rPr>
              <a:t>Figure 3 - Exempted trade between EU Member States in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'2025'!$Q$12</c:f>
              <c:strCache>
                <c:ptCount val="1"/>
                <c:pt idx="0">
                  <c:v>Trade between EU MS</c:v>
                </c:pt>
              </c:strCache>
            </c:strRef>
          </c:tx>
          <c:spPr>
            <a:solidFill>
              <a:schemeClr val="accent5">
                <a:tint val="65000"/>
              </a:schemeClr>
            </a:solidFill>
            <a:ln>
              <a:noFill/>
            </a:ln>
            <a:effectLst/>
          </c:spPr>
          <c:invertIfNegative val="0"/>
          <c:cat>
            <c:strRef>
              <c:f>'2025'!$R$11:$S$11</c:f>
              <c:strCache>
                <c:ptCount val="2"/>
                <c:pt idx="0">
                  <c:v>Nbr exempted trade</c:v>
                </c:pt>
                <c:pt idx="1">
                  <c:v>Quantites exempted (t)</c:v>
                </c:pt>
              </c:strCache>
            </c:strRef>
          </c:cat>
          <c:val>
            <c:numRef>
              <c:f>'2025'!$R$12:$S$12</c:f>
              <c:numCache>
                <c:formatCode>_-* #,##0_-;\-* #,##0_-;_-* "-"??_-;_-@_-</c:formatCode>
                <c:ptCount val="2"/>
                <c:pt idx="0">
                  <c:v>9218</c:v>
                </c:pt>
                <c:pt idx="1">
                  <c:v>327.04103200000003</c:v>
                </c:pt>
              </c:numCache>
            </c:numRef>
          </c:val>
          <c:extLst>
            <c:ext xmlns:c16="http://schemas.microsoft.com/office/drawing/2014/chart" uri="{C3380CC4-5D6E-409C-BE32-E72D297353CC}">
              <c16:uniqueId val="{00000000-0AA9-4A41-BABB-403D649048BA}"/>
            </c:ext>
          </c:extLst>
        </c:ser>
        <c:ser>
          <c:idx val="2"/>
          <c:order val="2"/>
          <c:tx>
            <c:strRef>
              <c:f>'2025'!$Q$14</c:f>
              <c:strCache>
                <c:ptCount val="1"/>
                <c:pt idx="0">
                  <c:v>Internal trade</c:v>
                </c:pt>
              </c:strCache>
            </c:strRef>
          </c:tx>
          <c:spPr>
            <a:solidFill>
              <a:schemeClr val="accent5">
                <a:shade val="65000"/>
              </a:schemeClr>
            </a:solidFill>
            <a:ln>
              <a:noFill/>
            </a:ln>
            <a:effectLst/>
          </c:spPr>
          <c:invertIfNegative val="0"/>
          <c:cat>
            <c:strRef>
              <c:f>'2025'!$R$11:$S$11</c:f>
              <c:strCache>
                <c:ptCount val="2"/>
                <c:pt idx="0">
                  <c:v>Nbr exempted trade</c:v>
                </c:pt>
                <c:pt idx="1">
                  <c:v>Quantites exempted (t)</c:v>
                </c:pt>
              </c:strCache>
            </c:strRef>
          </c:cat>
          <c:val>
            <c:numRef>
              <c:f>'2025'!$R$14:$S$14</c:f>
              <c:numCache>
                <c:formatCode>_-* #,##0_-;\-* #,##0_-;_-* "-"??_-;_-@_-</c:formatCode>
                <c:ptCount val="2"/>
                <c:pt idx="0">
                  <c:v>103406</c:v>
                </c:pt>
                <c:pt idx="1">
                  <c:v>5037.5061090000017</c:v>
                </c:pt>
              </c:numCache>
            </c:numRef>
          </c:val>
          <c:extLst>
            <c:ext xmlns:c16="http://schemas.microsoft.com/office/drawing/2014/chart" uri="{C3380CC4-5D6E-409C-BE32-E72D297353CC}">
              <c16:uniqueId val="{00000001-0AA9-4A41-BABB-403D649048BA}"/>
            </c:ext>
          </c:extLst>
        </c:ser>
        <c:dLbls>
          <c:showLegendKey val="0"/>
          <c:showVal val="0"/>
          <c:showCatName val="0"/>
          <c:showSerName val="0"/>
          <c:showPercent val="0"/>
          <c:showBubbleSize val="0"/>
        </c:dLbls>
        <c:gapWidth val="219"/>
        <c:overlap val="100"/>
        <c:axId val="722159424"/>
        <c:axId val="730136464"/>
        <c:extLst>
          <c:ext xmlns:c15="http://schemas.microsoft.com/office/drawing/2012/chart" uri="{02D57815-91ED-43cb-92C2-25804820EDAC}">
            <c15:filteredBarSeries>
              <c15:ser>
                <c:idx val="1"/>
                <c:order val="1"/>
                <c:tx>
                  <c:strRef>
                    <c:extLst>
                      <c:ext uri="{02D57815-91ED-43cb-92C2-25804820EDAC}">
                        <c15:formulaRef>
                          <c15:sqref>'2025'!$Q$13</c15:sqref>
                        </c15:formulaRef>
                      </c:ext>
                    </c:extLst>
                    <c:strCache>
                      <c:ptCount val="1"/>
                      <c:pt idx="0">
                        <c:v>Tagged fish</c:v>
                      </c:pt>
                    </c:strCache>
                  </c:strRef>
                </c:tx>
                <c:spPr>
                  <a:solidFill>
                    <a:schemeClr val="accent5"/>
                  </a:solidFill>
                  <a:ln>
                    <a:noFill/>
                  </a:ln>
                  <a:effectLst/>
                </c:spPr>
                <c:invertIfNegative val="0"/>
                <c:cat>
                  <c:strRef>
                    <c:extLst>
                      <c:ext uri="{02D57815-91ED-43cb-92C2-25804820EDAC}">
                        <c15:formulaRef>
                          <c15:sqref>'2025'!$R$11:$S$11</c15:sqref>
                        </c15:formulaRef>
                      </c:ext>
                    </c:extLst>
                    <c:strCache>
                      <c:ptCount val="2"/>
                      <c:pt idx="0">
                        <c:v>Nbr exempted trade</c:v>
                      </c:pt>
                      <c:pt idx="1">
                        <c:v>Quantites exempted (t)</c:v>
                      </c:pt>
                    </c:strCache>
                  </c:strRef>
                </c:cat>
                <c:val>
                  <c:numRef>
                    <c:extLst>
                      <c:ext uri="{02D57815-91ED-43cb-92C2-25804820EDAC}">
                        <c15:formulaRef>
                          <c15:sqref>'2025'!$R$13:$S$13</c15:sqref>
                        </c15:formulaRef>
                      </c:ext>
                    </c:extLst>
                    <c:numCache>
                      <c:formatCode>_-* #,##0_-;\-* #,##0_-;_-* "-"??_-;_-@_-</c:formatCode>
                      <c:ptCount val="2"/>
                      <c:pt idx="0">
                        <c:v>8237</c:v>
                      </c:pt>
                      <c:pt idx="1">
                        <c:v>3336.5476920000006</c:v>
                      </c:pt>
                    </c:numCache>
                  </c:numRef>
                </c:val>
                <c:extLst>
                  <c:ext xmlns:c16="http://schemas.microsoft.com/office/drawing/2014/chart" uri="{C3380CC4-5D6E-409C-BE32-E72D297353CC}">
                    <c16:uniqueId val="{00000002-0AA9-4A41-BABB-403D649048BA}"/>
                  </c:ext>
                </c:extLst>
              </c15:ser>
            </c15:filteredBarSeries>
          </c:ext>
        </c:extLst>
      </c:barChart>
      <c:catAx>
        <c:axId val="72215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136464"/>
        <c:crosses val="autoZero"/>
        <c:auto val="1"/>
        <c:lblAlgn val="ctr"/>
        <c:lblOffset val="100"/>
        <c:noMultiLvlLbl val="0"/>
      </c:catAx>
      <c:valAx>
        <c:axId val="7301364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594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cap="all" spc="120" normalizeH="0" baseline="0">
                <a:solidFill>
                  <a:sysClr val="windowText" lastClr="000000">
                    <a:lumMod val="65000"/>
                    <a:lumOff val="35000"/>
                  </a:sysClr>
                </a:solidFill>
                <a:effectLst/>
              </a:rPr>
              <a:t>Figure 4 - Average quantity (Kg) in 2025</a:t>
            </a:r>
            <a:endParaRPr lang="en-US" sz="1200" b="1" i="0" u="none" strike="noStrike" kern="1200" cap="all" spc="120" normalizeH="0" baseline="0">
              <a:solidFill>
                <a:sysClr val="windowText" lastClr="000000">
                  <a:lumMod val="65000"/>
                  <a:lumOff val="35000"/>
                </a:sysClr>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'2025'!$R$20</c:f>
              <c:strCache>
                <c:ptCount val="1"/>
                <c:pt idx="0">
                  <c:v>Average weight (kg)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'2025'!$Q$21:$Q$27</c:f>
              <c:strCache>
                <c:ptCount val="7"/>
                <c:pt idx="0">
                  <c:v>Exports (outside EU)</c:v>
                </c:pt>
                <c:pt idx="1">
                  <c:v>Internal trade</c:v>
                </c:pt>
                <c:pt idx="2">
                  <c:v>Trade between EU MS</c:v>
                </c:pt>
                <c:pt idx="3">
                  <c:v>Validated</c:v>
                </c:pt>
                <c:pt idx="4">
                  <c:v>Exempted</c:v>
                </c:pt>
                <c:pt idx="5">
                  <c:v>Derog 5b)</c:v>
                </c:pt>
                <c:pt idx="6">
                  <c:v>Derog 5d) (tagged)</c:v>
                </c:pt>
              </c:strCache>
            </c:strRef>
          </c:cat>
          <c:val>
            <c:numRef>
              <c:f>'2025'!$R$21:$R$27</c:f>
              <c:numCache>
                <c:formatCode>0.00</c:formatCode>
                <c:ptCount val="7"/>
                <c:pt idx="0">
                  <c:v>1640.8784754178355</c:v>
                </c:pt>
                <c:pt idx="1">
                  <c:v>83.250446249666226</c:v>
                </c:pt>
                <c:pt idx="2">
                  <c:v>82.739215306476538</c:v>
                </c:pt>
                <c:pt idx="3">
                  <c:v>355.0575724986353</c:v>
                </c:pt>
                <c:pt idx="4">
                  <c:v>71.99257686929613</c:v>
                </c:pt>
                <c:pt idx="5">
                  <c:v>35.478523757865041</c:v>
                </c:pt>
                <c:pt idx="6">
                  <c:v>405.06831273521919</c:v>
                </c:pt>
              </c:numCache>
            </c:numRef>
          </c:val>
          <c:extLst>
            <c:ext xmlns:c16="http://schemas.microsoft.com/office/drawing/2014/chart" uri="{C3380CC4-5D6E-409C-BE32-E72D297353CC}">
              <c16:uniqueId val="{00000000-4441-4E07-BAA2-89E0E6DCBEA7}"/>
            </c:ext>
          </c:extLst>
        </c:ser>
        <c:dLbls>
          <c:dLblPos val="outEnd"/>
          <c:showLegendKey val="0"/>
          <c:showVal val="1"/>
          <c:showCatName val="0"/>
          <c:showSerName val="0"/>
          <c:showPercent val="0"/>
          <c:showBubbleSize val="0"/>
        </c:dLbls>
        <c:gapWidth val="219"/>
        <c:overlap val="-27"/>
        <c:axId val="722176128"/>
        <c:axId val="730211344"/>
      </c:barChart>
      <c:catAx>
        <c:axId val="72217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30211344"/>
        <c:crosses val="autoZero"/>
        <c:auto val="1"/>
        <c:lblAlgn val="ctr"/>
        <c:lblOffset val="100"/>
        <c:noMultiLvlLbl val="0"/>
      </c:catAx>
      <c:valAx>
        <c:axId val="730211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7221761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5">
  <a:schemeClr val="accent5"/>
</cs:colorStyle>
</file>

<file path=word/charts/colors4.xml><?xml version="1.0" encoding="utf-8"?>
<cs:colorStyle xmlns:cs="http://schemas.microsoft.com/office/drawing/2012/chartStyle" xmlns:a="http://schemas.openxmlformats.org/drawingml/2006/main" meth="withinLinearReversed" id="23">
  <a:schemeClr val="accent3"/>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1208</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Mariu Arias</cp:lastModifiedBy>
  <cp:revision>28</cp:revision>
  <dcterms:created xsi:type="dcterms:W3CDTF">2026-10-02T06:50:00Z</dcterms:created>
  <dcterms:modified xsi:type="dcterms:W3CDTF">2026-10-02T07:39:00Z</dcterms:modified>
</cp:coreProperties>
</file>