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47A6F" w14:textId="2D1D9643" w:rsidR="004170B7" w:rsidRDefault="004170B7" w:rsidP="004170B7">
      <w:pPr>
        <w:pStyle w:val="Heading2"/>
        <w:spacing w:before="0" w:after="0" w:line="240" w:lineRule="auto"/>
        <w:jc w:val="right"/>
        <w:rPr>
          <w:rFonts w:ascii="Cambria" w:hAnsi="Cambria"/>
          <w:b/>
          <w:color w:val="auto"/>
          <w:sz w:val="20"/>
        </w:rPr>
      </w:pPr>
      <w:r>
        <w:rPr>
          <w:rFonts w:ascii="Cambria" w:hAnsi="Cambria"/>
          <w:b/>
          <w:color w:val="auto"/>
          <w:sz w:val="20"/>
        </w:rPr>
        <w:t>Original : anglais</w:t>
      </w:r>
    </w:p>
    <w:p w14:paraId="1851DB14" w14:textId="77777777" w:rsidR="004170B7" w:rsidRDefault="004170B7" w:rsidP="009861E0">
      <w:pPr>
        <w:pStyle w:val="Heading2"/>
        <w:spacing w:before="0" w:after="0" w:line="240" w:lineRule="auto"/>
        <w:jc w:val="center"/>
        <w:rPr>
          <w:rFonts w:ascii="Cambria" w:hAnsi="Cambria"/>
          <w:b/>
          <w:color w:val="auto"/>
          <w:sz w:val="20"/>
        </w:rPr>
      </w:pPr>
    </w:p>
    <w:p w14:paraId="693F3B72" w14:textId="2019C972" w:rsidR="009861E0" w:rsidRPr="001F2AF6" w:rsidRDefault="009861E0" w:rsidP="009861E0">
      <w:pPr>
        <w:pStyle w:val="Heading2"/>
        <w:spacing w:before="0" w:after="0" w:line="240" w:lineRule="auto"/>
        <w:jc w:val="center"/>
        <w:rPr>
          <w:rFonts w:ascii="Cambria" w:hAnsi="Cambria"/>
          <w:b/>
          <w:bCs/>
          <w:color w:val="auto"/>
          <w:sz w:val="20"/>
          <w:szCs w:val="20"/>
        </w:rPr>
      </w:pPr>
      <w:r w:rsidRPr="001F2AF6">
        <w:rPr>
          <w:rFonts w:ascii="Cambria" w:hAnsi="Cambria"/>
          <w:b/>
          <w:color w:val="auto"/>
          <w:sz w:val="20"/>
        </w:rPr>
        <w:t xml:space="preserve">Projet de rapport du Président de la deuxième réunion du </w:t>
      </w:r>
    </w:p>
    <w:p w14:paraId="39D87EFF" w14:textId="77777777" w:rsidR="009861E0" w:rsidRPr="001F2AF6" w:rsidRDefault="009861E0" w:rsidP="009861E0">
      <w:pPr>
        <w:pStyle w:val="Heading2"/>
        <w:spacing w:before="0" w:after="0" w:line="240" w:lineRule="auto"/>
        <w:jc w:val="center"/>
        <w:rPr>
          <w:rFonts w:ascii="Cambria" w:hAnsi="Cambria"/>
          <w:b/>
          <w:bCs/>
          <w:color w:val="auto"/>
          <w:sz w:val="20"/>
          <w:szCs w:val="20"/>
        </w:rPr>
      </w:pPr>
      <w:r w:rsidRPr="001F2AF6">
        <w:rPr>
          <w:rFonts w:ascii="Cambria" w:hAnsi="Cambria"/>
          <w:b/>
          <w:color w:val="auto"/>
          <w:sz w:val="20"/>
        </w:rPr>
        <w:t>Groupe de travail permanent sur les systèmes de documentation des captures (CDS WG)</w:t>
      </w:r>
    </w:p>
    <w:p w14:paraId="418CDCC5" w14:textId="77777777" w:rsidR="009861E0" w:rsidRPr="001F2AF6" w:rsidRDefault="009861E0" w:rsidP="009861E0">
      <w:pPr>
        <w:pStyle w:val="Heading2"/>
        <w:spacing w:before="0" w:after="0" w:line="240" w:lineRule="auto"/>
        <w:jc w:val="center"/>
        <w:rPr>
          <w:rFonts w:ascii="Cambria" w:hAnsi="Cambria"/>
          <w:i/>
          <w:iCs/>
          <w:color w:val="auto"/>
          <w:sz w:val="20"/>
          <w:szCs w:val="20"/>
        </w:rPr>
      </w:pPr>
      <w:r w:rsidRPr="001F2AF6">
        <w:rPr>
          <w:rFonts w:ascii="Cambria" w:hAnsi="Cambria"/>
          <w:i/>
          <w:color w:val="auto"/>
          <w:sz w:val="20"/>
        </w:rPr>
        <w:t>(en ligne, 2-3 septembre 2026)</w:t>
      </w:r>
    </w:p>
    <w:p w14:paraId="53FE4D21" w14:textId="77777777" w:rsidR="009861E0" w:rsidRPr="001F2AF6" w:rsidRDefault="009861E0" w:rsidP="009861E0">
      <w:pPr>
        <w:spacing w:line="240" w:lineRule="auto"/>
        <w:jc w:val="both"/>
        <w:rPr>
          <w:szCs w:val="20"/>
        </w:rPr>
      </w:pPr>
    </w:p>
    <w:p w14:paraId="5DE1C37A" w14:textId="77777777" w:rsidR="009861E0" w:rsidRPr="001F2AF6" w:rsidRDefault="009861E0" w:rsidP="009861E0">
      <w:pPr>
        <w:spacing w:line="240" w:lineRule="auto"/>
        <w:jc w:val="both"/>
        <w:rPr>
          <w:szCs w:val="20"/>
        </w:rPr>
      </w:pPr>
    </w:p>
    <w:p w14:paraId="39150D04" w14:textId="77777777"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t>Ouverture de la réunion</w:t>
      </w:r>
    </w:p>
    <w:p w14:paraId="77A1294B" w14:textId="77777777" w:rsidR="009861E0" w:rsidRPr="001F2AF6" w:rsidRDefault="009861E0" w:rsidP="009861E0">
      <w:pPr>
        <w:spacing w:line="240" w:lineRule="auto"/>
        <w:ind w:left="0" w:firstLine="0"/>
        <w:jc w:val="both"/>
        <w:rPr>
          <w:color w:val="FF0000"/>
          <w:szCs w:val="20"/>
          <w:lang w:val="en-GB"/>
        </w:rPr>
      </w:pPr>
    </w:p>
    <w:p w14:paraId="7CBA1016" w14:textId="77777777" w:rsidR="009861E0" w:rsidRPr="001F2AF6" w:rsidRDefault="009861E0" w:rsidP="009861E0">
      <w:pPr>
        <w:spacing w:line="240" w:lineRule="auto"/>
        <w:jc w:val="both"/>
        <w:rPr>
          <w:szCs w:val="20"/>
        </w:rPr>
      </w:pPr>
      <w:r w:rsidRPr="001F2AF6">
        <w:t>Le Président, M. Neil Ansell, et le Secrétaire exécutif ont ouvert la réunion et souhaité la bienvenue aux participants.</w:t>
      </w:r>
    </w:p>
    <w:p w14:paraId="0908274A" w14:textId="77777777" w:rsidR="009861E0" w:rsidRPr="001F2AF6" w:rsidRDefault="009861E0" w:rsidP="009861E0">
      <w:pPr>
        <w:spacing w:line="240" w:lineRule="auto"/>
        <w:jc w:val="both"/>
        <w:rPr>
          <w:szCs w:val="20"/>
        </w:rPr>
      </w:pPr>
    </w:p>
    <w:p w14:paraId="18D7E8C6" w14:textId="77777777" w:rsidR="009861E0" w:rsidRPr="001F2AF6" w:rsidRDefault="009861E0" w:rsidP="009861E0">
      <w:pPr>
        <w:spacing w:line="240" w:lineRule="auto"/>
        <w:jc w:val="both"/>
        <w:rPr>
          <w:szCs w:val="20"/>
        </w:rPr>
      </w:pPr>
    </w:p>
    <w:p w14:paraId="2E09B1D2" w14:textId="77777777"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t>Désignation du rapporteur</w:t>
      </w:r>
    </w:p>
    <w:p w14:paraId="44F7A07A" w14:textId="77777777" w:rsidR="009861E0" w:rsidRPr="001F2AF6" w:rsidRDefault="009861E0" w:rsidP="009861E0">
      <w:pPr>
        <w:spacing w:line="240" w:lineRule="auto"/>
        <w:ind w:left="0" w:firstLine="0"/>
        <w:jc w:val="both"/>
        <w:rPr>
          <w:szCs w:val="20"/>
          <w:lang w:val="en-GB"/>
        </w:rPr>
      </w:pPr>
    </w:p>
    <w:p w14:paraId="6AD44454" w14:textId="77777777" w:rsidR="009861E0" w:rsidRPr="001F2AF6" w:rsidRDefault="009861E0" w:rsidP="009861E0">
      <w:pPr>
        <w:spacing w:line="240" w:lineRule="auto"/>
        <w:jc w:val="both"/>
        <w:rPr>
          <w:szCs w:val="20"/>
        </w:rPr>
      </w:pPr>
      <w:r w:rsidRPr="001F2AF6">
        <w:t>Le Secrétariat de l’ICCAT a accepté d'assumer cette responsabilité.</w:t>
      </w:r>
    </w:p>
    <w:p w14:paraId="6C4E4CD0" w14:textId="77777777" w:rsidR="009861E0" w:rsidRPr="001F2AF6" w:rsidRDefault="009861E0" w:rsidP="009861E0">
      <w:pPr>
        <w:spacing w:line="240" w:lineRule="auto"/>
        <w:jc w:val="both"/>
        <w:rPr>
          <w:rFonts w:eastAsiaTheme="majorEastAsia" w:cstheme="majorBidi"/>
          <w:b/>
          <w:bCs/>
          <w:szCs w:val="20"/>
        </w:rPr>
      </w:pPr>
    </w:p>
    <w:p w14:paraId="12E5C2F9" w14:textId="77777777" w:rsidR="009861E0" w:rsidRPr="001F2AF6" w:rsidRDefault="009861E0" w:rsidP="009861E0">
      <w:pPr>
        <w:spacing w:line="240" w:lineRule="auto"/>
        <w:jc w:val="both"/>
        <w:rPr>
          <w:rFonts w:eastAsiaTheme="majorEastAsia" w:cstheme="majorBidi"/>
          <w:b/>
          <w:bCs/>
          <w:szCs w:val="20"/>
        </w:rPr>
      </w:pPr>
    </w:p>
    <w:p w14:paraId="1375843B" w14:textId="77777777"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t>Adoption de l'ordre du jour</w:t>
      </w:r>
    </w:p>
    <w:p w14:paraId="1E5E80A3" w14:textId="77777777" w:rsidR="009861E0" w:rsidRPr="001F2AF6" w:rsidRDefault="009861E0" w:rsidP="009861E0">
      <w:pPr>
        <w:spacing w:line="240" w:lineRule="auto"/>
        <w:jc w:val="both"/>
        <w:rPr>
          <w:strike/>
          <w:color w:val="FF0000"/>
          <w:szCs w:val="20"/>
          <w:lang w:val="en-GB"/>
        </w:rPr>
      </w:pPr>
    </w:p>
    <w:p w14:paraId="2A799F58" w14:textId="77777777" w:rsidR="009861E0" w:rsidRPr="001F2AF6" w:rsidRDefault="009861E0" w:rsidP="009861E0">
      <w:pPr>
        <w:spacing w:line="240" w:lineRule="auto"/>
        <w:jc w:val="both"/>
        <w:rPr>
          <w:szCs w:val="20"/>
        </w:rPr>
      </w:pPr>
      <w:r w:rsidRPr="001F2AF6">
        <w:t xml:space="preserve">Le Président a présenté l'ordre du jour en soulignant que la réunion porterait  sur l'extension éventuelle du CDS et sur les conclusions de l'étude de faisabilité concernant la migration et la refonte de l’eBCD et l'intégration des espèces dans celui-ci.  </w:t>
      </w:r>
    </w:p>
    <w:p w14:paraId="16E2BA4E" w14:textId="77777777" w:rsidR="009861E0" w:rsidRPr="001F2AF6" w:rsidRDefault="009861E0" w:rsidP="009861E0">
      <w:pPr>
        <w:spacing w:line="240" w:lineRule="auto"/>
        <w:jc w:val="both"/>
        <w:rPr>
          <w:szCs w:val="20"/>
        </w:rPr>
      </w:pPr>
    </w:p>
    <w:p w14:paraId="1311F2D1" w14:textId="77777777" w:rsidR="009861E0" w:rsidRPr="001F2AF6" w:rsidRDefault="009861E0" w:rsidP="009861E0">
      <w:pPr>
        <w:spacing w:line="240" w:lineRule="auto"/>
        <w:jc w:val="both"/>
        <w:rPr>
          <w:szCs w:val="20"/>
        </w:rPr>
      </w:pPr>
      <w:r w:rsidRPr="001F2AF6">
        <w:t>Il a indiqué que le document « Mise en œuvre du système eBCD - État d'avancement du projet eBCD (août 2026) » [CDS_SEP_04/2026], qui fait le point sur les discussions et les développements relatifs à l'eBCD, serait examiné dans le cadre du point « Autres questions » de l'ordre du jour si le temps le permettait.  L'ordre du jour [CDS_SEP_01/2026] a été adopté sans modification et figure à l'</w:t>
      </w:r>
      <w:r w:rsidRPr="001F2AF6">
        <w:rPr>
          <w:b/>
          <w:bCs/>
        </w:rPr>
        <w:t>appendice 1.</w:t>
      </w:r>
      <w:r w:rsidRPr="001F2AF6">
        <w:t xml:space="preserve"> </w:t>
      </w:r>
    </w:p>
    <w:p w14:paraId="329D0369" w14:textId="77777777" w:rsidR="009861E0" w:rsidRPr="001F2AF6" w:rsidRDefault="009861E0" w:rsidP="009861E0">
      <w:pPr>
        <w:spacing w:line="240" w:lineRule="auto"/>
        <w:jc w:val="both"/>
        <w:rPr>
          <w:szCs w:val="20"/>
        </w:rPr>
      </w:pPr>
    </w:p>
    <w:p w14:paraId="4C98918F" w14:textId="77777777" w:rsidR="009861E0" w:rsidRPr="001F2AF6" w:rsidRDefault="009861E0" w:rsidP="009861E0">
      <w:pPr>
        <w:spacing w:line="240" w:lineRule="auto"/>
        <w:jc w:val="both"/>
        <w:rPr>
          <w:szCs w:val="20"/>
        </w:rPr>
      </w:pPr>
    </w:p>
    <w:p w14:paraId="1415008E" w14:textId="77777777"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t>Mise à jour et présentation de l’étude de faisabilité sur la migration technologique du système eBCD et les options d'extension à plusieurs autres espèces</w:t>
      </w:r>
    </w:p>
    <w:p w14:paraId="04C306C1" w14:textId="77777777" w:rsidR="009861E0" w:rsidRPr="001F2AF6" w:rsidRDefault="009861E0" w:rsidP="009861E0">
      <w:pPr>
        <w:spacing w:line="240" w:lineRule="auto"/>
        <w:ind w:left="0" w:firstLine="0"/>
        <w:jc w:val="both"/>
        <w:rPr>
          <w:szCs w:val="20"/>
        </w:rPr>
      </w:pPr>
    </w:p>
    <w:p w14:paraId="48E6D24F" w14:textId="677C78AC" w:rsidR="009861E0" w:rsidRPr="001F2AF6" w:rsidRDefault="009861E0" w:rsidP="009861E0">
      <w:pPr>
        <w:spacing w:line="240" w:lineRule="auto"/>
        <w:jc w:val="both"/>
        <w:rPr>
          <w:szCs w:val="20"/>
        </w:rPr>
      </w:pPr>
      <w:r w:rsidRPr="001F2AF6">
        <w:t>Bluefin Data a présenté les conclusions de l'étude de faisabilité, accompagnées du résumé exécutif (Étude de faisabilité pour la modernisation du système électronique de documentation des captures de thon rouge - Résumé exécutif [CDS_SEP_05_REV_1/2026]), du rapport détaillé (Étude de faisabilité pour la modernisation du système électronique de documentation des captures de thon rouge [CDS_SEP_06_REV_1/2026]) et de la présentation (Modernisation du système eBCD - Étude de faisabilité: Résultats, recommandations et décisions [CDS_SEP_07_REV_1/i2026]). L'étude a évalué l'état technique du système eBCD actuel, les approches de migration envisageables, la capacité d'un système modernisé à prendre en charge le thon rouge et d'autres espèces potentielles, ainsi que l'architecture proposée, l'approche de migration, le calendrier, les coûts et les principaux risques. Cette évaluation s'est appuyée sur un examen direct du code source et du schéma de la base de données, ainsi que sur les contributions du Secrétariat et de TRAGSA concernant le fonctionnement du système eBCD et les questions connexes. Bluefin Data a également précisé que ces travaux constituaient la première phase du processus et que le rapport final serait remis au Secrétariat en octobre 2026, avant la réunion de la Commission de novembre 2026.</w:t>
      </w:r>
    </w:p>
    <w:p w14:paraId="5A1F0361" w14:textId="77777777" w:rsidR="009861E0" w:rsidRPr="001F2AF6" w:rsidRDefault="009861E0" w:rsidP="009861E0">
      <w:pPr>
        <w:spacing w:line="240" w:lineRule="auto"/>
        <w:jc w:val="both"/>
        <w:rPr>
          <w:szCs w:val="20"/>
        </w:rPr>
      </w:pPr>
    </w:p>
    <w:p w14:paraId="72D1828B" w14:textId="77777777" w:rsidR="009861E0" w:rsidRPr="001F2AF6" w:rsidRDefault="009861E0" w:rsidP="009861E0">
      <w:pPr>
        <w:spacing w:line="240" w:lineRule="auto"/>
        <w:jc w:val="both"/>
        <w:rPr>
          <w:szCs w:val="20"/>
        </w:rPr>
      </w:pPr>
      <w:r w:rsidRPr="001F2AF6">
        <w:t xml:space="preserve">L'étude a conclu que le système eBCD devrait être repensé pour devenir un CDS unique et configurable, capable de prendre en charge le thon rouge et d'autres espèces envisagées, plutôt que de se contenter d'un simple changement de plateforme ou d'une refonte. Bluefin Data a expliqué que cette refonte n'impliquerait pas l'abandon du système existant : les données historiques, les règles opérationnelles et de validation, la documentation et le savoir-faire institutionnel seraient conservés, tandis que les composants techniques sous-jacents seraient remplacés. L'architecture recommandée comprendrait une interface utilisateur distincte, des systèmes modernes de sécurité et d'authentification, ainsi qu'un noyau commun pour la gestion des utilisateurs </w:t>
      </w:r>
      <w:r w:rsidRPr="001F2AF6">
        <w:lastRenderedPageBreak/>
        <w:t>et des CPC, les données relatives aux navires et les données de référence, les intégrations, la déclaration et l'analyse, avec des flux de travail configurables adaptés aux besoins de chaque espèce.</w:t>
      </w:r>
    </w:p>
    <w:p w14:paraId="08741E62" w14:textId="77777777" w:rsidR="005A6560" w:rsidRDefault="005A6560" w:rsidP="009861E0">
      <w:pPr>
        <w:spacing w:line="240" w:lineRule="auto"/>
        <w:jc w:val="both"/>
      </w:pPr>
    </w:p>
    <w:p w14:paraId="496EE84C" w14:textId="64BED812" w:rsidR="009861E0" w:rsidRPr="001F2AF6" w:rsidRDefault="009861E0" w:rsidP="009861E0">
      <w:pPr>
        <w:spacing w:line="240" w:lineRule="auto"/>
        <w:jc w:val="both"/>
      </w:pPr>
      <w:r w:rsidRPr="001F2AF6">
        <w:t>Bluefin Data a comparé deux modèles d'investissement. Selon les estimations, le modèle de flux de travail configurable qu'il a recommandé nécessiterait un investissement initial compris entre 2,2 et 2,8 millions d'euros, ainsi que des coûts annuels de fonctionnement et de maintenance compris entre 350.000 et 550.000 euros. Les changements s'inscrivant dans le cadre du modèle défini pourraient être mis en œuvre en quelques jours ou quelques semaines et pris en charge dans les coûts d'exploitation annuels. Le coût d'un modèle à flux de travail fixe avait été initialement estimé entre 1,6 et 2,1 millions d'euros, avec des coûts annuels de fonctionnement et de maintenance compris entre 350 000 et 750 000 euros. Dans le cadre de ce modèle, les modifications pourraient prendre des mois, voire des années, comprenant un cycle d’appel d’offres et de développement, et pourraient coûter entre 80.000 et 150.000 euros par modification. Bluefin Data a précisé que tous ces chiffres étaient des estimations destinées à étayer les décisions budgétaires et qu'ils devraient être affinés une fois que le champ et le modèle d’exécution auraient été définis.</w:t>
      </w:r>
    </w:p>
    <w:p w14:paraId="242FF3CA" w14:textId="77777777" w:rsidR="00C430AF" w:rsidRPr="001F2AF6" w:rsidRDefault="00C430AF" w:rsidP="009861E0">
      <w:pPr>
        <w:spacing w:line="240" w:lineRule="auto"/>
        <w:jc w:val="both"/>
        <w:rPr>
          <w:szCs w:val="20"/>
        </w:rPr>
      </w:pPr>
    </w:p>
    <w:p w14:paraId="3ED284C6" w14:textId="77777777" w:rsidR="009861E0" w:rsidRPr="001F2AF6" w:rsidRDefault="009861E0" w:rsidP="009861E0">
      <w:pPr>
        <w:spacing w:line="240" w:lineRule="auto"/>
        <w:jc w:val="both"/>
        <w:rPr>
          <w:szCs w:val="20"/>
        </w:rPr>
      </w:pPr>
      <w:r w:rsidRPr="001F2AF6">
        <w:t>La reconstruction proposée devait durer environ 24 à 35 mois et se dérouler par étapes. Le système eBCD actuel resterait opérationnel tout au long de la transition et jusqu'à ce que le système modernisé ait été validé, testé et accepté. La phase initiale serait axée sur la stabilisation, la préparation et l'analyse de la manière dont les utilisateurs interagissent avec les flux de travail existants, puis porterait sur le développement du système central, de l’interface de programmation d'application (API), de l'accès aux données, des règles opérationnelles, de la configuration multi-espèces et des intégrations avec l’ICCAT. Une interface utilisateur distincte, la migration des données, la formation et l'optimisation suivraient. Parmi les principaux risques identifiés figuraient la perte ou l'interprétation erronée des règles opérationnelles, les perturbations opérationnelles, l'élargissement de la portée du projet, les problèmes d'intégrité des données, ainsi que les retards liés au processus d’appel d’offres ou à la gouvernance. Les mesures d'atténuation proposées comprenaient la collecte des connaissances essentielles avant le développement, le maintien de la disponibilité du système existant, la définition de la portée initiale et la mise en place d'un contrôle formel des changements, le test et le rapprochement des données migrées, ainsi que la mise en place, dès le départ, de mécanismes de prise de décision et de gouvernance.</w:t>
      </w:r>
    </w:p>
    <w:p w14:paraId="2D3C7F9D" w14:textId="77777777" w:rsidR="009861E0" w:rsidRPr="001F2AF6" w:rsidRDefault="009861E0" w:rsidP="009861E0">
      <w:pPr>
        <w:spacing w:line="240" w:lineRule="auto"/>
        <w:jc w:val="both"/>
        <w:rPr>
          <w:szCs w:val="20"/>
        </w:rPr>
      </w:pPr>
    </w:p>
    <w:p w14:paraId="04F88228" w14:textId="77777777" w:rsidR="009861E0" w:rsidRPr="001F2AF6" w:rsidRDefault="009861E0" w:rsidP="009861E0">
      <w:pPr>
        <w:spacing w:line="240" w:lineRule="auto"/>
        <w:jc w:val="both"/>
        <w:rPr>
          <w:szCs w:val="20"/>
        </w:rPr>
      </w:pPr>
      <w:r w:rsidRPr="001F2AF6">
        <w:t>Bluefin Data a invité le CDS WG à examiner quatre choix principaux : s'il fallait reconstruire le système plutôt que de le migrer vers une nouvelle plateforme ou de le refactoriser ; s'il fallait mettre en place un seul CDS couvrant le thon rouge et d'autres espèces plutôt que des systèmes distincts ; l'équilibre entre l'investissement initial et le coût des modifications futures dans le cadre de flux de travail configurables ou fixes ; et le calendrier du processus d'appel d’offres ainsi que le modèle d’exécution, y compris les options de développement, de maintenance ou de services gérés en externe. Bluefin Data a souligné que la question n'était pas de savoir s'il fallait moderniser le système, mais quand, comment et dans quelles conditions le faire.</w:t>
      </w:r>
    </w:p>
    <w:p w14:paraId="4CA5DD05" w14:textId="77777777" w:rsidR="009861E0" w:rsidRPr="001F2AF6" w:rsidRDefault="009861E0" w:rsidP="009861E0">
      <w:pPr>
        <w:spacing w:line="240" w:lineRule="auto"/>
        <w:ind w:left="0" w:firstLine="0"/>
        <w:jc w:val="both"/>
        <w:rPr>
          <w:szCs w:val="20"/>
        </w:rPr>
      </w:pPr>
    </w:p>
    <w:p w14:paraId="121CF444" w14:textId="77777777" w:rsidR="009861E0" w:rsidRPr="001F2AF6" w:rsidRDefault="009861E0" w:rsidP="009861E0">
      <w:pPr>
        <w:spacing w:line="240" w:lineRule="auto"/>
        <w:jc w:val="both"/>
        <w:rPr>
          <w:szCs w:val="20"/>
        </w:rPr>
      </w:pPr>
      <w:r w:rsidRPr="001F2AF6">
        <w:t xml:space="preserve">Les États-Unis ont demandé combien de temps le système eBCD actuel devrait rester opérationnel et comment éviter qu’une telle obsolescence technologique ne se reproduise. </w:t>
      </w:r>
    </w:p>
    <w:p w14:paraId="7BD39A4F" w14:textId="77777777" w:rsidR="009861E0" w:rsidRPr="001F2AF6" w:rsidRDefault="009861E0" w:rsidP="009861E0">
      <w:pPr>
        <w:spacing w:line="240" w:lineRule="auto"/>
        <w:jc w:val="both"/>
        <w:rPr>
          <w:szCs w:val="20"/>
        </w:rPr>
      </w:pPr>
    </w:p>
    <w:p w14:paraId="7FD3BF15" w14:textId="77777777" w:rsidR="009861E0" w:rsidRPr="001F2AF6" w:rsidRDefault="009861E0" w:rsidP="009861E0">
      <w:pPr>
        <w:spacing w:line="240" w:lineRule="auto"/>
        <w:jc w:val="both"/>
        <w:rPr>
          <w:szCs w:val="20"/>
        </w:rPr>
      </w:pPr>
      <w:r w:rsidRPr="001F2AF6">
        <w:t>Bluefin Data a répondu qu'il était impossible de prévoir une date de fin fiable : le système restait opérationnel, mais, en raison de son ancienneté, le risque et la difficulté de détecter une panne augmentaient chaque année. Bluefin Data a expliqué que des mises à jour plus fréquentes, généralement intégrées à un programme de maintenance ou à un modèle de service, seraient nécessaires pour éviter que le nouveau système ne se retrouve dans une situation similaire.</w:t>
      </w:r>
    </w:p>
    <w:p w14:paraId="79568887" w14:textId="77777777" w:rsidR="009861E0" w:rsidRPr="001F2AF6" w:rsidRDefault="009861E0" w:rsidP="009861E0">
      <w:pPr>
        <w:spacing w:line="240" w:lineRule="auto"/>
        <w:jc w:val="both"/>
        <w:rPr>
          <w:szCs w:val="20"/>
        </w:rPr>
      </w:pPr>
    </w:p>
    <w:p w14:paraId="07C0A5A6" w14:textId="77777777" w:rsidR="009861E0" w:rsidRPr="001F2AF6" w:rsidRDefault="009861E0" w:rsidP="009861E0">
      <w:pPr>
        <w:spacing w:line="240" w:lineRule="auto"/>
        <w:jc w:val="both"/>
        <w:rPr>
          <w:szCs w:val="20"/>
        </w:rPr>
      </w:pPr>
      <w:r w:rsidRPr="001F2AF6">
        <w:t>Le Japon a également estimé qu'une modification du système était nécessaire et a demandé des précisions quant à la possibilité d'ajouter de nouvelles espèces à l'avenir sans frais supplémentaires.</w:t>
      </w:r>
    </w:p>
    <w:p w14:paraId="049F7580" w14:textId="77777777" w:rsidR="009861E0" w:rsidRPr="001F2AF6" w:rsidRDefault="009861E0" w:rsidP="009861E0">
      <w:pPr>
        <w:spacing w:line="240" w:lineRule="auto"/>
        <w:jc w:val="both"/>
        <w:rPr>
          <w:szCs w:val="20"/>
        </w:rPr>
      </w:pPr>
    </w:p>
    <w:p w14:paraId="746B58B5" w14:textId="77777777" w:rsidR="009861E0" w:rsidRPr="001F2AF6" w:rsidRDefault="009861E0" w:rsidP="009861E0">
      <w:pPr>
        <w:spacing w:line="240" w:lineRule="auto"/>
        <w:jc w:val="both"/>
        <w:rPr>
          <w:szCs w:val="20"/>
        </w:rPr>
      </w:pPr>
      <w:r w:rsidRPr="001F2AF6">
        <w:t>Bluefin Data a confirmé que les ajouts s'inscrivant dans le modèle de configuration prévu pouvaient être réalisés sans frais de programmation supplémentaires.</w:t>
      </w:r>
    </w:p>
    <w:p w14:paraId="55371435" w14:textId="77777777" w:rsidR="009861E0" w:rsidRPr="001F2AF6" w:rsidRDefault="009861E0" w:rsidP="009861E0">
      <w:pPr>
        <w:spacing w:line="240" w:lineRule="auto"/>
        <w:jc w:val="both"/>
        <w:rPr>
          <w:szCs w:val="20"/>
        </w:rPr>
      </w:pPr>
    </w:p>
    <w:p w14:paraId="3D0F2A38" w14:textId="77777777" w:rsidR="009861E0" w:rsidRPr="001F2AF6" w:rsidRDefault="009861E0" w:rsidP="009861E0">
      <w:pPr>
        <w:spacing w:line="240" w:lineRule="auto"/>
        <w:jc w:val="both"/>
        <w:rPr>
          <w:szCs w:val="20"/>
        </w:rPr>
      </w:pPr>
      <w:r w:rsidRPr="001F2AF6">
        <w:t xml:space="preserve">L'Union européenne (UE) a estimé que le système actuel n'était pas viable à long terme et a souligné l'importance de le maintenir opérationnel aussi longtemps que possible pendant la période de transition. L’UE </w:t>
      </w:r>
      <w:r w:rsidRPr="001F2AF6">
        <w:lastRenderedPageBreak/>
        <w:t>a demandé si les modifications de configuration pouvaient être gérées avec les ressources existantes du Secrétariat ou si elles nécessiteraient du personnel supplémentaire ou le recours à un prestataire externe.</w:t>
      </w:r>
    </w:p>
    <w:p w14:paraId="42F82218" w14:textId="77777777" w:rsidR="005A6560" w:rsidRDefault="005A6560" w:rsidP="009861E0">
      <w:pPr>
        <w:spacing w:line="240" w:lineRule="auto"/>
        <w:jc w:val="both"/>
      </w:pPr>
    </w:p>
    <w:p w14:paraId="0F45DB24" w14:textId="69BE4208" w:rsidR="009861E0" w:rsidRPr="001F2AF6" w:rsidRDefault="009861E0" w:rsidP="009861E0">
      <w:pPr>
        <w:spacing w:line="240" w:lineRule="auto"/>
        <w:jc w:val="both"/>
        <w:rPr>
          <w:szCs w:val="20"/>
        </w:rPr>
      </w:pPr>
      <w:r w:rsidRPr="001F2AF6">
        <w:t>Bluefin Data a présenté plusieurs modèles d’exécution, notamment le développement et la maintenance par un prestataire externe, la remise au Secrétariat en vue d'une maintenance ultérieure, ou encore un contrat de leasing ou de services gérés. Il a expliqué qu'un système configurable permettrait à un administrateur d'effectuer des modifications courantes qui, autrement, nécessiteraient l'intervention d'un programmeur, même si la responsabilité de ces modifications dépendrait du modèle d’exécution choisi.</w:t>
      </w:r>
    </w:p>
    <w:p w14:paraId="05F4B079" w14:textId="77777777" w:rsidR="009861E0" w:rsidRPr="001F2AF6" w:rsidRDefault="009861E0" w:rsidP="009861E0">
      <w:pPr>
        <w:spacing w:line="240" w:lineRule="auto"/>
        <w:jc w:val="both"/>
        <w:rPr>
          <w:szCs w:val="20"/>
        </w:rPr>
      </w:pPr>
    </w:p>
    <w:p w14:paraId="1722D4DF" w14:textId="77777777" w:rsidR="009861E0" w:rsidRPr="001F2AF6" w:rsidRDefault="009861E0" w:rsidP="009861E0">
      <w:pPr>
        <w:spacing w:line="240" w:lineRule="auto"/>
        <w:jc w:val="both"/>
        <w:rPr>
          <w:szCs w:val="20"/>
        </w:rPr>
      </w:pPr>
      <w:r w:rsidRPr="001F2AF6">
        <w:t>Le Secrétariat a précisé qu'il ne disposait pas actuellement du personnel technique nécessaire pour mener à bien un projet de développement ou de maintenance de cette envergure. Il a été noté que les administrateurs pouvaient adapter les flux de travail standard à d'autres espèces si ces flux s'inscrivaient dans le cadre de la configuration dynamique déjà mise en place. Toutefois, des modifications apportées aux Recommandations, des exigences exceptionnelles ou une espèce nécessitant un flux de travail sensiblement différent pourraient néanmoins entraîner des dépenses de développement supplémentaires, au-delà du soutien et de la maintenance annuels standard.</w:t>
      </w:r>
    </w:p>
    <w:p w14:paraId="2E4D2A5B" w14:textId="77777777" w:rsidR="009861E0" w:rsidRPr="001F2AF6" w:rsidRDefault="009861E0" w:rsidP="009861E0">
      <w:pPr>
        <w:spacing w:line="240" w:lineRule="auto"/>
        <w:jc w:val="both"/>
        <w:rPr>
          <w:szCs w:val="20"/>
        </w:rPr>
      </w:pPr>
    </w:p>
    <w:p w14:paraId="615EB980" w14:textId="77777777" w:rsidR="009861E0" w:rsidRPr="001F2AF6" w:rsidRDefault="009861E0" w:rsidP="009861E0">
      <w:pPr>
        <w:spacing w:line="240" w:lineRule="auto"/>
        <w:jc w:val="both"/>
        <w:rPr>
          <w:szCs w:val="20"/>
        </w:rPr>
      </w:pPr>
      <w:r w:rsidRPr="001F2AF6">
        <w:t xml:space="preserve">Pew a demandé si les travaux visant à étendre le CDS à d'autres espèces devraient attendre que le système reconstruit soit opérationnel. </w:t>
      </w:r>
    </w:p>
    <w:p w14:paraId="09FF588B" w14:textId="77777777" w:rsidR="009861E0" w:rsidRPr="001F2AF6" w:rsidRDefault="009861E0" w:rsidP="009861E0">
      <w:pPr>
        <w:spacing w:line="240" w:lineRule="auto"/>
        <w:jc w:val="both"/>
        <w:rPr>
          <w:szCs w:val="20"/>
        </w:rPr>
      </w:pPr>
    </w:p>
    <w:p w14:paraId="23F47556" w14:textId="77777777" w:rsidR="009861E0" w:rsidRPr="001F2AF6" w:rsidRDefault="009861E0" w:rsidP="009861E0">
      <w:pPr>
        <w:spacing w:line="240" w:lineRule="auto"/>
        <w:jc w:val="both"/>
        <w:rPr>
          <w:szCs w:val="20"/>
        </w:rPr>
      </w:pPr>
      <w:r w:rsidRPr="001F2AF6">
        <w:t>Bluefin Data a expliqué que ces deux volets pourraient être menés en parallèle et que des informations précoces sur les besoins liés à d'autres espèces faciliteraient la refonte, même si des travaux préparatoires et des discussions supplémentaires seraient nécessaires.</w:t>
      </w:r>
    </w:p>
    <w:p w14:paraId="7446177E" w14:textId="77777777" w:rsidR="009861E0" w:rsidRPr="001F2AF6" w:rsidRDefault="009861E0" w:rsidP="009861E0">
      <w:pPr>
        <w:spacing w:line="240" w:lineRule="auto"/>
        <w:jc w:val="both"/>
        <w:rPr>
          <w:szCs w:val="20"/>
        </w:rPr>
      </w:pPr>
    </w:p>
    <w:p w14:paraId="40001FE7" w14:textId="77777777" w:rsidR="009861E0" w:rsidRPr="001F2AF6" w:rsidRDefault="009861E0" w:rsidP="009861E0">
      <w:pPr>
        <w:spacing w:line="240" w:lineRule="auto"/>
        <w:jc w:val="both"/>
        <w:rPr>
          <w:szCs w:val="20"/>
        </w:rPr>
      </w:pPr>
      <w:r w:rsidRPr="001F2AF6">
        <w:t xml:space="preserve">Le Président a demandé quelle part des coûts estimés concernait exclusivement la refonte de l'eBCD pour le thon rouge et quelle part serait imputable à l'éventuelle inclusion d'autres espèces. </w:t>
      </w:r>
    </w:p>
    <w:p w14:paraId="5FD4C6BE" w14:textId="77777777" w:rsidR="009861E0" w:rsidRPr="001F2AF6" w:rsidRDefault="009861E0" w:rsidP="009861E0">
      <w:pPr>
        <w:spacing w:line="240" w:lineRule="auto"/>
        <w:jc w:val="both"/>
        <w:rPr>
          <w:szCs w:val="20"/>
        </w:rPr>
      </w:pPr>
    </w:p>
    <w:p w14:paraId="00D96176" w14:textId="77777777" w:rsidR="009861E0" w:rsidRPr="001F2AF6" w:rsidRDefault="009861E0" w:rsidP="009861E0">
      <w:pPr>
        <w:spacing w:line="240" w:lineRule="auto"/>
        <w:jc w:val="both"/>
        <w:rPr>
          <w:szCs w:val="20"/>
        </w:rPr>
      </w:pPr>
      <w:r w:rsidRPr="001F2AF6">
        <w:t>Bluefin Data a répondu que les économies réalisées grâce à un remplacement strict de l'eBCD par un système dédié à une seule espèce seraient limitées et ne justifieraient pas de renoncer à une plateforme configurable conçue pour le long terme.</w:t>
      </w:r>
    </w:p>
    <w:p w14:paraId="2E7C97B4" w14:textId="77777777" w:rsidR="009861E0" w:rsidRPr="001F2AF6" w:rsidRDefault="009861E0" w:rsidP="009861E0">
      <w:pPr>
        <w:spacing w:line="240" w:lineRule="auto"/>
        <w:jc w:val="both"/>
        <w:rPr>
          <w:szCs w:val="20"/>
        </w:rPr>
      </w:pPr>
    </w:p>
    <w:p w14:paraId="7CD491D4" w14:textId="77777777" w:rsidR="009861E0" w:rsidRPr="001F2AF6" w:rsidRDefault="009861E0" w:rsidP="009861E0">
      <w:pPr>
        <w:spacing w:line="240" w:lineRule="auto"/>
        <w:jc w:val="both"/>
        <w:rPr>
          <w:szCs w:val="20"/>
        </w:rPr>
      </w:pPr>
      <w:r w:rsidRPr="001F2AF6">
        <w:t xml:space="preserve">Le Japon a demandé si le système par espèce unique actuellement utilisé par la Commission pour la conservation du thon rouge du Sud (CCSBT) pouvait être adapté à l'ICCAT. </w:t>
      </w:r>
    </w:p>
    <w:p w14:paraId="01EB7BA0" w14:textId="77777777" w:rsidR="009861E0" w:rsidRPr="001F2AF6" w:rsidRDefault="009861E0" w:rsidP="009861E0">
      <w:pPr>
        <w:spacing w:line="240" w:lineRule="auto"/>
        <w:jc w:val="both"/>
        <w:rPr>
          <w:szCs w:val="20"/>
        </w:rPr>
      </w:pPr>
    </w:p>
    <w:p w14:paraId="41F25FE6" w14:textId="77777777" w:rsidR="009861E0" w:rsidRPr="001F2AF6" w:rsidRDefault="009861E0" w:rsidP="009861E0">
      <w:pPr>
        <w:spacing w:line="240" w:lineRule="auto"/>
        <w:jc w:val="both"/>
        <w:rPr>
          <w:szCs w:val="20"/>
        </w:rPr>
      </w:pPr>
      <w:r w:rsidRPr="001F2AF6">
        <w:t>Bluefin Data a déclaré ne pas connaître les fonctionnalités spécifiques de ce système, mais a fait remarquer que les options d’exécution envisageables pouvaient inclure la création et la maintenance d'un système dédié ou l'utilisation d'un système existant dans le cadre d'un contrat de leasing ou de prestation de services.</w:t>
      </w:r>
    </w:p>
    <w:p w14:paraId="0A55CBEF" w14:textId="77777777" w:rsidR="009861E0" w:rsidRPr="001F2AF6" w:rsidRDefault="009861E0" w:rsidP="009861E0">
      <w:pPr>
        <w:spacing w:line="240" w:lineRule="auto"/>
        <w:jc w:val="both"/>
        <w:rPr>
          <w:szCs w:val="20"/>
        </w:rPr>
      </w:pPr>
    </w:p>
    <w:p w14:paraId="187D3DFC" w14:textId="77777777" w:rsidR="009861E0" w:rsidRPr="001F2AF6" w:rsidRDefault="009861E0" w:rsidP="009861E0">
      <w:pPr>
        <w:spacing w:line="240" w:lineRule="auto"/>
        <w:jc w:val="both"/>
        <w:rPr>
          <w:szCs w:val="20"/>
        </w:rPr>
      </w:pPr>
      <w:r w:rsidRPr="001F2AF6">
        <w:t>Le Maroc a fait part de ses préoccupations concernant l'estimation de 2,2 à 2,8 millions d'euros pour le modèle configurable, soulignant que des questions importantes relatives aux conserveries, à la pêche artisanale et aux règles applicables à l'espadon et au thon obèse restaient en suspens. Il s'est demandé si la refonte pouvait commencer avant que ces éléments ne soient définis.</w:t>
      </w:r>
    </w:p>
    <w:p w14:paraId="17BF9BD4" w14:textId="77777777" w:rsidR="009861E0" w:rsidRPr="001F2AF6" w:rsidRDefault="009861E0" w:rsidP="009861E0">
      <w:pPr>
        <w:spacing w:line="240" w:lineRule="auto"/>
        <w:jc w:val="both"/>
        <w:rPr>
          <w:szCs w:val="20"/>
        </w:rPr>
      </w:pPr>
    </w:p>
    <w:p w14:paraId="2CC9DF18" w14:textId="77777777" w:rsidR="009861E0" w:rsidRPr="001F2AF6" w:rsidRDefault="009861E0" w:rsidP="009861E0">
      <w:pPr>
        <w:spacing w:line="240" w:lineRule="auto"/>
        <w:jc w:val="both"/>
        <w:rPr>
          <w:szCs w:val="20"/>
        </w:rPr>
      </w:pPr>
      <w:r w:rsidRPr="001F2AF6">
        <w:t>Bluefin Data a répondu que le processus pouvait démarrer même si toutes les réponses n'étaient pas encore disponibles et a réaffirmé sa recommandation en faveur d'un système configurable, capable de s'adapter au fil du temps aux changements concernant les espèces, les engins de pêche, les zones et d'autres exigences.</w:t>
      </w:r>
    </w:p>
    <w:p w14:paraId="578075B5" w14:textId="77777777" w:rsidR="009861E0" w:rsidRPr="001F2AF6" w:rsidRDefault="009861E0" w:rsidP="009861E0">
      <w:pPr>
        <w:spacing w:line="240" w:lineRule="auto"/>
        <w:ind w:left="0" w:firstLine="0"/>
        <w:jc w:val="both"/>
        <w:rPr>
          <w:szCs w:val="20"/>
        </w:rPr>
      </w:pPr>
    </w:p>
    <w:p w14:paraId="7630805C" w14:textId="77777777" w:rsidR="009861E0" w:rsidRPr="001F2AF6" w:rsidRDefault="009861E0" w:rsidP="009861E0">
      <w:pPr>
        <w:spacing w:line="240" w:lineRule="auto"/>
        <w:jc w:val="both"/>
        <w:rPr>
          <w:szCs w:val="20"/>
        </w:rPr>
      </w:pPr>
      <w:r w:rsidRPr="001F2AF6">
        <w:t>En conclusion de la discussion, le Président a résumé les points de vue du CDS WG et souligné l'importance d'assurer la continuité du système eBCD et de porter cette question à l'attention de la Commission, tout en précisant que plusieurs aspects de la refonte devraient faire l'objet de discussions tout au long de la mise en œuvre.</w:t>
      </w:r>
    </w:p>
    <w:p w14:paraId="3DB940EF" w14:textId="77777777" w:rsidR="009861E0" w:rsidRPr="001F2AF6" w:rsidRDefault="009861E0" w:rsidP="009861E0">
      <w:pPr>
        <w:spacing w:line="240" w:lineRule="auto"/>
        <w:jc w:val="both"/>
        <w:rPr>
          <w:szCs w:val="20"/>
        </w:rPr>
      </w:pPr>
    </w:p>
    <w:p w14:paraId="06FCDFE1" w14:textId="77777777" w:rsidR="009861E0" w:rsidRPr="001F2AF6" w:rsidRDefault="009861E0" w:rsidP="009861E0">
      <w:pPr>
        <w:spacing w:line="240" w:lineRule="auto"/>
        <w:jc w:val="both"/>
        <w:rPr>
          <w:szCs w:val="20"/>
        </w:rPr>
      </w:pPr>
      <w:r w:rsidRPr="001F2AF6">
        <w:t>Bluefin Data a confirmé que le rapport final serait remis début octobre 2026 et tiendrait compte des orientations et des questions formulées par le CDS WG.</w:t>
      </w:r>
    </w:p>
    <w:p w14:paraId="2E25600E" w14:textId="77777777" w:rsidR="009861E0" w:rsidRPr="001F2AF6" w:rsidRDefault="009861E0" w:rsidP="009861E0">
      <w:pPr>
        <w:spacing w:line="240" w:lineRule="auto"/>
        <w:jc w:val="both"/>
        <w:rPr>
          <w:szCs w:val="20"/>
        </w:rPr>
      </w:pPr>
    </w:p>
    <w:p w14:paraId="17A383BA" w14:textId="49D4C661"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lastRenderedPageBreak/>
        <w:t>Présentation du système CDS et familiarisation avec celui-ci, et objectif et implications de l'extension des Systèmes de documentation des captures (CDS) à l’ICCAT</w:t>
      </w:r>
    </w:p>
    <w:p w14:paraId="77012459" w14:textId="77777777" w:rsidR="009861E0" w:rsidRPr="001F2AF6" w:rsidRDefault="009861E0" w:rsidP="009861E0">
      <w:pPr>
        <w:spacing w:line="240" w:lineRule="auto"/>
        <w:jc w:val="both"/>
        <w:rPr>
          <w:szCs w:val="20"/>
        </w:rPr>
      </w:pPr>
    </w:p>
    <w:p w14:paraId="01DC69DD" w14:textId="77777777" w:rsidR="009861E0" w:rsidRPr="001F2AF6" w:rsidRDefault="009861E0" w:rsidP="009861E0">
      <w:pPr>
        <w:spacing w:line="240" w:lineRule="auto"/>
        <w:jc w:val="both"/>
        <w:rPr>
          <w:szCs w:val="20"/>
        </w:rPr>
      </w:pPr>
      <w:r w:rsidRPr="001F2AF6">
        <w:t>Le Japon a présenté le document intitulé « Mise en œuvre du système CDS pour les CPC de capture » [CDS_SEP_02/2026], qui avait été élaboré en réponse aux demandes formulées par les CPC de capture d’Amérique latine souhaitant obtenir des informations pratiques sur le fonctionnement du système CDS. Plusieurs de ces délégations n’ayant pas pu être présentes en raison d’une réunion de la Commission interaméricaine du thon tropical (IATTC) se tenant au même moment, le Japon a expliqué que cette présentation avait pour but de s’assurer que les CPC comprenaient bien les implications pratiques du remplacement des programmes de documents statistiques (SDP) existants pour le thon obèse et l’espadon par un CDS élargi.</w:t>
      </w:r>
    </w:p>
    <w:p w14:paraId="7FD5FCC0" w14:textId="77777777" w:rsidR="009861E0" w:rsidRPr="001F2AF6" w:rsidRDefault="009861E0" w:rsidP="009861E0">
      <w:pPr>
        <w:spacing w:line="240" w:lineRule="auto"/>
        <w:jc w:val="both"/>
        <w:rPr>
          <w:szCs w:val="20"/>
        </w:rPr>
      </w:pPr>
    </w:p>
    <w:p w14:paraId="4F4E5E2B" w14:textId="77777777" w:rsidR="009861E0" w:rsidRPr="001F2AF6" w:rsidRDefault="009861E0" w:rsidP="009861E0">
      <w:pPr>
        <w:spacing w:line="240" w:lineRule="auto"/>
        <w:jc w:val="both"/>
        <w:rPr>
          <w:szCs w:val="20"/>
        </w:rPr>
      </w:pPr>
      <w:r w:rsidRPr="001F2AF6">
        <w:t>Le Japon a exposé la principale différence entre ces deux approches. Dans le cadre des actuels programmes SDP, les documents relatifs au thon obèse et à l'espadon congelés sont établis lors de l'exportation ou de la réexportation du produit. Un CDS prendrait plutôt le relais dès le moment de la capture et assurerait une traçabilité de bout en bout tout au long des opérations suivantes, notamment le débarquement, l'exportation, l'importation et la réexportation, ainsi que le commerce intérieur. Les pêcheurs enregistreraient leurs prises et les autorités de l'État du pavillon valideraient ces informations ainsi que les transactions qui en découlent. Le Japon a expliqué que cela marquerait un changement fondamental, passant d’un système de documentation essentiellement fondé sur les échanges commerciaux à un système de traçabilité fondé sur les captures, ce qui favoriserait la traçabilité et les efforts de lutte contre la pêche illicite, non déclarée et non réglementée (IUU), tout en imposant des responsabilités supplémentaires aux pêcheurs et aux administrations.</w:t>
      </w:r>
    </w:p>
    <w:p w14:paraId="0C7F7150" w14:textId="77777777" w:rsidR="009861E0" w:rsidRPr="001F2AF6" w:rsidRDefault="009861E0" w:rsidP="009861E0">
      <w:pPr>
        <w:spacing w:line="240" w:lineRule="auto"/>
        <w:jc w:val="both"/>
        <w:rPr>
          <w:szCs w:val="20"/>
        </w:rPr>
      </w:pPr>
    </w:p>
    <w:p w14:paraId="102ACDCD" w14:textId="77777777" w:rsidR="009861E0" w:rsidRPr="001F2AF6" w:rsidRDefault="009861E0" w:rsidP="009861E0">
      <w:pPr>
        <w:spacing w:line="240" w:lineRule="auto"/>
        <w:jc w:val="both"/>
        <w:rPr>
          <w:szCs w:val="20"/>
        </w:rPr>
      </w:pPr>
      <w:r w:rsidRPr="001F2AF6">
        <w:t>Les informations à consigner pourraient inclure l'identification du navire et ses données d'immatriculation, les informations relatives aux quotas le cas échéant, la date, la zone et l'engin de pêche utilisés pour la capture, ainsi que des détails sur les poissons, tels que leur nombre, leur poids total et moyen, et les marques le cas échéant. Le Japon a fait remarquer que, compte tenu du nombre nettement plus élevé de spécimens de thon obèse et d’espadon, il conviendrait d’examiner si toutes les informations actuellement exigées pour le thon rouge étaient appropriées. Il a souligné que les pêcheurs et les administrations devraient avoir une compréhension claire des exigences et des responsabilités en matière de validation avant que tout système CDS élargi ne devienne opérationnel.</w:t>
      </w:r>
    </w:p>
    <w:p w14:paraId="5525ECBD" w14:textId="77777777" w:rsidR="009861E0" w:rsidRPr="001F2AF6" w:rsidRDefault="009861E0" w:rsidP="009861E0">
      <w:pPr>
        <w:spacing w:line="240" w:lineRule="auto"/>
        <w:jc w:val="both"/>
        <w:rPr>
          <w:szCs w:val="20"/>
        </w:rPr>
      </w:pPr>
    </w:p>
    <w:p w14:paraId="2AF80280" w14:textId="77777777" w:rsidR="009861E0" w:rsidRPr="001F2AF6" w:rsidRDefault="009861E0" w:rsidP="009861E0">
      <w:pPr>
        <w:spacing w:line="240" w:lineRule="auto"/>
        <w:jc w:val="both"/>
        <w:rPr>
          <w:szCs w:val="20"/>
        </w:rPr>
      </w:pPr>
    </w:p>
    <w:p w14:paraId="0784BB4D" w14:textId="77777777" w:rsidR="009861E0" w:rsidRPr="001F2AF6" w:rsidRDefault="009861E0" w:rsidP="009861E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1F2AF6">
        <w:rPr>
          <w:rFonts w:ascii="Cambria" w:hAnsi="Cambria"/>
          <w:b/>
          <w:color w:val="000000" w:themeColor="text1"/>
          <w:sz w:val="20"/>
        </w:rPr>
        <w:t>Poursuite des travaux visant à définir les éléments clés des CDS élargis qui pourraient être mis en place au sein de l’ICCAT</w:t>
      </w:r>
    </w:p>
    <w:p w14:paraId="0A122170" w14:textId="77777777" w:rsidR="009861E0" w:rsidRPr="001F2AF6" w:rsidRDefault="009861E0" w:rsidP="009861E0">
      <w:pPr>
        <w:spacing w:line="240" w:lineRule="auto"/>
        <w:jc w:val="both"/>
        <w:rPr>
          <w:szCs w:val="20"/>
        </w:rPr>
      </w:pPr>
    </w:p>
    <w:p w14:paraId="74997C75" w14:textId="77777777" w:rsidR="009861E0" w:rsidRPr="001F2AF6" w:rsidRDefault="009861E0" w:rsidP="009861E0">
      <w:pPr>
        <w:spacing w:line="240" w:lineRule="auto"/>
        <w:jc w:val="both"/>
        <w:rPr>
          <w:szCs w:val="20"/>
        </w:rPr>
      </w:pPr>
      <w:r w:rsidRPr="001F2AF6">
        <w:t>Le Japon a présenté le document « Points de décision clés sur les éléments techniques d'un nouveau système de documentation des captures (CDS) » [CDS_SEP_03/ 2026].</w:t>
      </w:r>
    </w:p>
    <w:p w14:paraId="3F488C3D" w14:textId="77777777" w:rsidR="009861E0" w:rsidRPr="001F2AF6" w:rsidRDefault="009861E0" w:rsidP="009861E0">
      <w:pPr>
        <w:spacing w:line="240" w:lineRule="auto"/>
        <w:jc w:val="both"/>
        <w:rPr>
          <w:szCs w:val="20"/>
        </w:rPr>
      </w:pPr>
    </w:p>
    <w:p w14:paraId="5D38E430" w14:textId="77777777" w:rsidR="009861E0" w:rsidRPr="001F2AF6" w:rsidRDefault="009861E0"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rPr>
        <w:t>Espèce cible</w:t>
      </w:r>
    </w:p>
    <w:p w14:paraId="6A96F215" w14:textId="77777777" w:rsidR="009861E0" w:rsidRPr="001F2AF6" w:rsidRDefault="009861E0" w:rsidP="009861E0"/>
    <w:p w14:paraId="3BD1F801" w14:textId="77777777" w:rsidR="009861E0" w:rsidRPr="001F2AF6" w:rsidRDefault="009861E0" w:rsidP="009861E0">
      <w:pPr>
        <w:spacing w:line="240" w:lineRule="auto"/>
        <w:jc w:val="both"/>
        <w:rPr>
          <w:szCs w:val="20"/>
        </w:rPr>
      </w:pPr>
      <w:r w:rsidRPr="001F2AF6">
        <w:t xml:space="preserve">Le Japon a pris note de l'accord déjà conclu concernant les deux espèces envisagées devant être couvertes par le CDS (le thon obèse et l'espadon), mais a proposé de reporter le choix immédiat quant à celle qui serait mise en œuvre en premier. Il a soutenu une approche permettant d'intégrer ultérieurement d'autres espèces dans le système, selon les décisions du CDS WG et de la Commission. </w:t>
      </w:r>
    </w:p>
    <w:p w14:paraId="0124192E" w14:textId="77777777" w:rsidR="009861E0" w:rsidRPr="001F2AF6" w:rsidRDefault="009861E0" w:rsidP="009861E0">
      <w:pPr>
        <w:spacing w:line="240" w:lineRule="auto"/>
        <w:jc w:val="both"/>
        <w:rPr>
          <w:szCs w:val="20"/>
        </w:rPr>
      </w:pPr>
    </w:p>
    <w:p w14:paraId="60E6B2E1" w14:textId="77777777" w:rsidR="009861E0" w:rsidRPr="001F2AF6" w:rsidRDefault="009861E0" w:rsidP="009861E0">
      <w:pPr>
        <w:spacing w:line="240" w:lineRule="auto"/>
        <w:jc w:val="both"/>
        <w:rPr>
          <w:szCs w:val="20"/>
        </w:rPr>
      </w:pPr>
      <w:r w:rsidRPr="001F2AF6">
        <w:t>Le CDS WG a décidé de poursuivre ses travaux sur cette base.</w:t>
      </w:r>
    </w:p>
    <w:p w14:paraId="0D695249" w14:textId="77777777" w:rsidR="009861E0" w:rsidRPr="001F2AF6" w:rsidRDefault="009861E0" w:rsidP="009861E0">
      <w:pPr>
        <w:spacing w:line="240" w:lineRule="auto"/>
        <w:jc w:val="both"/>
        <w:rPr>
          <w:szCs w:val="20"/>
        </w:rPr>
      </w:pPr>
    </w:p>
    <w:p w14:paraId="1C8672B8" w14:textId="77777777" w:rsidR="009861E0" w:rsidRPr="001F2AF6" w:rsidRDefault="009861E0"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rPr>
        <w:t>Types et présentations de produit cible</w:t>
      </w:r>
    </w:p>
    <w:p w14:paraId="6CEBB929" w14:textId="77777777" w:rsidR="009861E0" w:rsidRPr="001F2AF6" w:rsidRDefault="009861E0" w:rsidP="009861E0"/>
    <w:p w14:paraId="2A2B3C34" w14:textId="77777777" w:rsidR="009861E0" w:rsidRPr="001F2AF6" w:rsidRDefault="009861E0" w:rsidP="009861E0">
      <w:pPr>
        <w:spacing w:line="240" w:lineRule="auto"/>
        <w:jc w:val="both"/>
        <w:rPr>
          <w:szCs w:val="20"/>
        </w:rPr>
      </w:pPr>
      <w:r w:rsidRPr="001F2AF6">
        <w:t>Le Japon a fait part de ses réserves quant à l'inclusion des produits en conserve, invoquant les quantités relativement faibles en cause et la difficulté d'identifier les espèces à partir des codes de produits correspondants. Il a été suggéré que certains produits pourraient être examinés ultérieurement si leur inclusion s'avérait impossible.</w:t>
      </w:r>
    </w:p>
    <w:p w14:paraId="494AB521" w14:textId="4E4C4586" w:rsidR="009861E0" w:rsidRPr="001F2AF6" w:rsidRDefault="009861E0" w:rsidP="009861E0">
      <w:pPr>
        <w:spacing w:line="240" w:lineRule="auto"/>
        <w:jc w:val="both"/>
        <w:rPr>
          <w:szCs w:val="20"/>
        </w:rPr>
      </w:pPr>
      <w:r w:rsidRPr="001F2AF6">
        <w:lastRenderedPageBreak/>
        <w:t>L'UE a estimé que l'inclusion des produits en conserve était nécessaire pour qu'un CDS de l’ICCAT soit reconnu comme équivalent au système de certification des captures de l'UE. L’UE a également averti que leur exclusion risquait de créer une faille permettant la mise sur le marché de produits sans contrôles équivalents.</w:t>
      </w:r>
    </w:p>
    <w:p w14:paraId="5213852F" w14:textId="77777777" w:rsidR="009861E0" w:rsidRPr="001F2AF6" w:rsidRDefault="009861E0" w:rsidP="009861E0">
      <w:pPr>
        <w:spacing w:line="240" w:lineRule="auto"/>
        <w:jc w:val="both"/>
        <w:rPr>
          <w:szCs w:val="20"/>
        </w:rPr>
      </w:pPr>
    </w:p>
    <w:p w14:paraId="51E93FE1" w14:textId="77777777" w:rsidR="009861E0" w:rsidRPr="001F2AF6" w:rsidRDefault="009861E0" w:rsidP="009861E0">
      <w:pPr>
        <w:spacing w:line="240" w:lineRule="auto"/>
        <w:jc w:val="both"/>
        <w:rPr>
          <w:szCs w:val="20"/>
        </w:rPr>
      </w:pPr>
      <w:r w:rsidRPr="001F2AF6">
        <w:t>Les États-Unis se sont déclarés favorables à l'inclusion des produits en conserve en cas d'élargissement du CDS, soulignant que leur exclusion risquait d'ignorer une part importante de la pêche, malgré les difficultés de traçabilité que cela implique.</w:t>
      </w:r>
    </w:p>
    <w:p w14:paraId="7C44727A" w14:textId="77777777" w:rsidR="009861E0" w:rsidRPr="001F2AF6" w:rsidRDefault="009861E0" w:rsidP="009861E0">
      <w:pPr>
        <w:spacing w:line="240" w:lineRule="auto"/>
        <w:ind w:left="0" w:firstLine="0"/>
        <w:jc w:val="both"/>
        <w:rPr>
          <w:szCs w:val="20"/>
        </w:rPr>
      </w:pPr>
    </w:p>
    <w:p w14:paraId="68E8A70E" w14:textId="77777777" w:rsidR="009861E0" w:rsidRPr="001F2AF6" w:rsidRDefault="009861E0" w:rsidP="009861E0">
      <w:pPr>
        <w:spacing w:line="240" w:lineRule="auto"/>
        <w:jc w:val="both"/>
        <w:rPr>
          <w:szCs w:val="20"/>
        </w:rPr>
      </w:pPr>
      <w:r w:rsidRPr="001F2AF6">
        <w:t>Le Japon a pris acte de ces points de vue, mais a réitéré ses inquiétudes quant à la faisabilité pratique et à la possibilité d'assurer une traçabilité complète des produits en conserve. Il a demandé un délai supplémentaire pour mener des consultations, notamment auprès des CPC qui n'avaient pas pu assister à la réunion, et a estimé que la question restait en suspens.</w:t>
      </w:r>
    </w:p>
    <w:p w14:paraId="405DC44A" w14:textId="77777777" w:rsidR="009861E0" w:rsidRPr="001F2AF6" w:rsidRDefault="009861E0" w:rsidP="009861E0">
      <w:pPr>
        <w:spacing w:line="240" w:lineRule="auto"/>
        <w:jc w:val="both"/>
        <w:rPr>
          <w:szCs w:val="20"/>
        </w:rPr>
      </w:pPr>
    </w:p>
    <w:p w14:paraId="68401C8D" w14:textId="77777777" w:rsidR="009861E0" w:rsidRPr="001F2AF6" w:rsidRDefault="009861E0"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rPr>
        <w:t>Système basé sur les captures/le commerce</w:t>
      </w:r>
    </w:p>
    <w:p w14:paraId="7E944CF9" w14:textId="77777777" w:rsidR="009861E0" w:rsidRPr="001F2AF6" w:rsidRDefault="009861E0" w:rsidP="009861E0"/>
    <w:p w14:paraId="1A59E10C" w14:textId="77777777" w:rsidR="009861E0" w:rsidRPr="001F2AF6" w:rsidRDefault="009861E0" w:rsidP="009861E0">
      <w:pPr>
        <w:spacing w:line="240" w:lineRule="auto"/>
        <w:ind w:left="0" w:firstLine="0"/>
        <w:jc w:val="both"/>
        <w:rPr>
          <w:szCs w:val="20"/>
        </w:rPr>
      </w:pPr>
      <w:r w:rsidRPr="001F2AF6">
        <w:t>Le Japon a indiqué qu'aucune objection n'avait été formulée à l'égard d'un système fondé sur les captures et a rappelé que toutes les parties devaient comprendre que la documentation commencerait dès le moment de la capture et qu'elle impliquerait des responsabilités opérationnelles supplémentaires.</w:t>
      </w:r>
    </w:p>
    <w:p w14:paraId="051B551E" w14:textId="77777777" w:rsidR="009861E0" w:rsidRPr="001F2AF6" w:rsidRDefault="009861E0" w:rsidP="009861E0">
      <w:pPr>
        <w:spacing w:line="240" w:lineRule="auto"/>
        <w:jc w:val="right"/>
        <w:rPr>
          <w:b/>
          <w:bCs/>
          <w:szCs w:val="20"/>
        </w:rPr>
      </w:pPr>
    </w:p>
    <w:p w14:paraId="45BC5A66" w14:textId="09D6AB77"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Champs de données</w:t>
      </w:r>
    </w:p>
    <w:p w14:paraId="6886F7E3" w14:textId="77777777" w:rsidR="00A0498F" w:rsidRPr="001F2AF6" w:rsidRDefault="00A0498F" w:rsidP="00DF507E">
      <w:pPr>
        <w:spacing w:line="240" w:lineRule="auto"/>
        <w:jc w:val="both"/>
        <w:rPr>
          <w:szCs w:val="20"/>
        </w:rPr>
      </w:pPr>
    </w:p>
    <w:p w14:paraId="63ECD5C4" w14:textId="25DB48DC" w:rsidR="003C21EC" w:rsidRPr="001F2AF6" w:rsidRDefault="00D17BC3" w:rsidP="00DF507E">
      <w:pPr>
        <w:spacing w:line="240" w:lineRule="auto"/>
        <w:jc w:val="both"/>
        <w:rPr>
          <w:szCs w:val="20"/>
        </w:rPr>
      </w:pPr>
      <w:r w:rsidRPr="001F2AF6">
        <w:rPr>
          <w:szCs w:val="20"/>
        </w:rPr>
        <w:t>Le Japon a rappelé la nécessité d’harmoniser les champs de données de tout CDS élargi avec les systèmes existants, notamment avec le système de certification des captures de l'UE, indiquant que l'équivalence était un élément important à prendre en considération pour les CPC qui exportent vers l’UE.</w:t>
      </w:r>
    </w:p>
    <w:p w14:paraId="64178C56" w14:textId="77777777" w:rsidR="00C175EF" w:rsidRPr="001F2AF6" w:rsidRDefault="00C175EF" w:rsidP="00DF507E">
      <w:pPr>
        <w:spacing w:line="240" w:lineRule="auto"/>
        <w:jc w:val="both"/>
        <w:rPr>
          <w:szCs w:val="20"/>
        </w:rPr>
      </w:pPr>
    </w:p>
    <w:p w14:paraId="7B42794C" w14:textId="43CDEE93"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Système électronique</w:t>
      </w:r>
    </w:p>
    <w:p w14:paraId="70D046B6" w14:textId="77777777" w:rsidR="00A0498F" w:rsidRPr="001F2AF6" w:rsidRDefault="00A0498F" w:rsidP="00DF507E">
      <w:pPr>
        <w:spacing w:line="240" w:lineRule="auto"/>
        <w:jc w:val="both"/>
        <w:rPr>
          <w:szCs w:val="20"/>
        </w:rPr>
      </w:pPr>
    </w:p>
    <w:p w14:paraId="4034519E" w14:textId="1CE0A2BF" w:rsidR="003C21EC" w:rsidRPr="001F2AF6" w:rsidRDefault="00D17BC3" w:rsidP="00DF507E">
      <w:pPr>
        <w:spacing w:line="240" w:lineRule="auto"/>
        <w:jc w:val="both"/>
        <w:rPr>
          <w:szCs w:val="20"/>
        </w:rPr>
      </w:pPr>
      <w:r w:rsidRPr="001F2AF6">
        <w:rPr>
          <w:szCs w:val="20"/>
        </w:rPr>
        <w:t>Le Japon a rattaché la discussion sur le système électronique à l’étude de faisabilité et à la reconstruction du système eBCD. Il a noté que le CDS WG devrait déterminer comment le système reconstruit pourrait être élargi à des espèces supplémentaires et a suggéré de réexaminer cette question de façon détaillée.</w:t>
      </w:r>
    </w:p>
    <w:p w14:paraId="21ADCE17" w14:textId="77777777" w:rsidR="003C21EC" w:rsidRPr="001F2AF6" w:rsidRDefault="003C21EC" w:rsidP="00DF507E">
      <w:pPr>
        <w:spacing w:line="240" w:lineRule="auto"/>
        <w:ind w:left="0" w:firstLine="0"/>
        <w:jc w:val="both"/>
        <w:rPr>
          <w:szCs w:val="20"/>
        </w:rPr>
      </w:pPr>
    </w:p>
    <w:p w14:paraId="23C80D4B" w14:textId="63A1AD9D" w:rsidR="003C21EC" w:rsidRPr="001F2AF6" w:rsidRDefault="00D17BC3" w:rsidP="00DF507E">
      <w:pPr>
        <w:spacing w:line="240" w:lineRule="auto"/>
        <w:jc w:val="both"/>
        <w:rPr>
          <w:szCs w:val="20"/>
        </w:rPr>
      </w:pPr>
      <w:r w:rsidRPr="001F2AF6">
        <w:rPr>
          <w:szCs w:val="20"/>
        </w:rPr>
        <w:t>Les États-Unis ont soutenu que tout élargissement devrait être électronique et ont identifié la formation et le renforcement des capacités des CPC en développement comme une importante partie de la mise en œuvre.</w:t>
      </w:r>
    </w:p>
    <w:p w14:paraId="4CB2ADEB" w14:textId="77777777" w:rsidR="003C21EC" w:rsidRPr="001F2AF6" w:rsidRDefault="003C21EC" w:rsidP="00DF507E">
      <w:pPr>
        <w:spacing w:line="240" w:lineRule="auto"/>
        <w:jc w:val="both"/>
        <w:rPr>
          <w:szCs w:val="20"/>
        </w:rPr>
      </w:pPr>
    </w:p>
    <w:p w14:paraId="52D78E01" w14:textId="16EDB925"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Mécanisme de partage des coûts</w:t>
      </w:r>
    </w:p>
    <w:p w14:paraId="012EA3C0" w14:textId="77777777" w:rsidR="00A0498F" w:rsidRPr="001F2AF6" w:rsidRDefault="00A0498F" w:rsidP="00DF507E">
      <w:pPr>
        <w:spacing w:line="240" w:lineRule="auto"/>
        <w:jc w:val="both"/>
        <w:rPr>
          <w:szCs w:val="20"/>
        </w:rPr>
      </w:pPr>
    </w:p>
    <w:p w14:paraId="326F9FA5" w14:textId="01359F58" w:rsidR="003C21EC" w:rsidRPr="001F2AF6" w:rsidRDefault="00D17BC3" w:rsidP="00DF507E">
      <w:pPr>
        <w:spacing w:line="240" w:lineRule="auto"/>
        <w:jc w:val="both"/>
        <w:rPr>
          <w:szCs w:val="20"/>
        </w:rPr>
      </w:pPr>
      <w:r w:rsidRPr="001F2AF6">
        <w:rPr>
          <w:szCs w:val="20"/>
        </w:rPr>
        <w:t>Le Japon a expliqué que les coûts du système eBCD actuel étaient supportés par les Parties contractantes qui capturent du thon rouge. Étant donné que l’élargissement à des espèces supplémentaires augmenterait le nombre de CPC utilisant le système, il a suggéré d’étudier si le budget général de la Commission devrait couvrir les coûts de reconstruction et les coûts permanents.</w:t>
      </w:r>
    </w:p>
    <w:p w14:paraId="7F4C4A44" w14:textId="77777777" w:rsidR="003C21EC" w:rsidRPr="001F2AF6" w:rsidRDefault="003C21EC" w:rsidP="00DF507E">
      <w:pPr>
        <w:spacing w:line="240" w:lineRule="auto"/>
        <w:jc w:val="both"/>
        <w:rPr>
          <w:szCs w:val="20"/>
        </w:rPr>
      </w:pPr>
    </w:p>
    <w:p w14:paraId="4AFB4D12" w14:textId="4AFEDC2D" w:rsidR="006D289E" w:rsidRPr="001F2AF6" w:rsidRDefault="006D289E" w:rsidP="00DF507E">
      <w:pPr>
        <w:spacing w:line="240" w:lineRule="auto"/>
        <w:jc w:val="both"/>
        <w:rPr>
          <w:szCs w:val="20"/>
        </w:rPr>
      </w:pPr>
      <w:r w:rsidRPr="001F2AF6">
        <w:rPr>
          <w:szCs w:val="20"/>
        </w:rPr>
        <w:t>L'UE a convenu qu’une plus large participation au financement serait appropriée car un CDS élargi bénéficierait à un plus grand nombre de membres de l’ICCAT. Elle a noté que les coûts du système eBCD actuel avaient été assumés par les CPC participant à la capture et à la commercialisation du thon rouge et a proposé un mécanisme hybride préliminaire, combinant des fonds de la Commission et des contributions des participants au système eBCD. L’UE a expliqué que cela n’était pas encore une position bien arrêtée et que l’ampleur de l'investissement estimé restait à examiner.</w:t>
      </w:r>
    </w:p>
    <w:p w14:paraId="5C1F443D" w14:textId="77777777" w:rsidR="003C21EC" w:rsidRPr="001F2AF6" w:rsidRDefault="003C21EC" w:rsidP="00DF507E">
      <w:pPr>
        <w:spacing w:line="240" w:lineRule="auto"/>
        <w:jc w:val="both"/>
        <w:rPr>
          <w:szCs w:val="20"/>
        </w:rPr>
      </w:pPr>
    </w:p>
    <w:p w14:paraId="3689BB84" w14:textId="77777777" w:rsidR="003C21EC" w:rsidRPr="001F2AF6" w:rsidRDefault="00D17BC3" w:rsidP="00DF507E">
      <w:pPr>
        <w:spacing w:line="240" w:lineRule="auto"/>
        <w:jc w:val="both"/>
        <w:rPr>
          <w:szCs w:val="20"/>
        </w:rPr>
      </w:pPr>
      <w:r w:rsidRPr="001F2AF6">
        <w:rPr>
          <w:szCs w:val="20"/>
        </w:rPr>
        <w:t>Bluefin Data a expliqué que l’architecture configurable recommandée dans l’étude de faisabilité impliquerait un investissement initial plus élevé mais permettrait d’intégrer des espèces supplémentaires, des recommandations et des flux de travail au fil du temps sans reproduire des systèmes séparés.</w:t>
      </w:r>
    </w:p>
    <w:p w14:paraId="5CEB8B3F" w14:textId="77777777" w:rsidR="003C21EC" w:rsidRPr="001F2AF6" w:rsidRDefault="003C21EC" w:rsidP="00DF507E">
      <w:pPr>
        <w:spacing w:line="240" w:lineRule="auto"/>
        <w:jc w:val="both"/>
        <w:rPr>
          <w:szCs w:val="20"/>
        </w:rPr>
      </w:pPr>
    </w:p>
    <w:p w14:paraId="4111702B" w14:textId="4440CFDB" w:rsidR="00444E78" w:rsidRPr="001F2AF6" w:rsidRDefault="00D17BC3" w:rsidP="00444E78">
      <w:pPr>
        <w:spacing w:line="240" w:lineRule="auto"/>
        <w:jc w:val="both"/>
        <w:rPr>
          <w:szCs w:val="20"/>
        </w:rPr>
      </w:pPr>
      <w:r w:rsidRPr="001F2AF6">
        <w:rPr>
          <w:szCs w:val="20"/>
        </w:rPr>
        <w:t>Le Japon a exprimé une préférence préliminaire pour un financement de la Commission si la reconstruction initiale pouvait prendre en charge l’inclusion ultérieure d’espèces à un faible coût supplémentaire, sous réserve de consultation interne.</w:t>
      </w:r>
    </w:p>
    <w:p w14:paraId="17277890" w14:textId="7E7A9E22" w:rsidR="003C21EC" w:rsidRPr="001F2AF6" w:rsidRDefault="00D17BC3" w:rsidP="00DF507E">
      <w:pPr>
        <w:spacing w:line="240" w:lineRule="auto"/>
        <w:jc w:val="both"/>
        <w:rPr>
          <w:szCs w:val="20"/>
        </w:rPr>
      </w:pPr>
      <w:r w:rsidRPr="001F2AF6">
        <w:rPr>
          <w:szCs w:val="20"/>
        </w:rPr>
        <w:lastRenderedPageBreak/>
        <w:t>Le Président a noté que cette question nécessiterait des consultations internes et devrait respecter le règlement financier de l’ICCAT. Il a résumé les avis du CDS WG et le message clair à adresser à la Commission en novembre</w:t>
      </w:r>
      <w:r w:rsidR="00812F3E" w:rsidRPr="001F2AF6">
        <w:rPr>
          <w:szCs w:val="20"/>
        </w:rPr>
        <w:t xml:space="preserve"> 2026</w:t>
      </w:r>
      <w:r w:rsidRPr="001F2AF6">
        <w:rPr>
          <w:szCs w:val="20"/>
        </w:rPr>
        <w:t xml:space="preserve"> quant à l’urgence et à l’ampleur de l’investissement. À cet égard, une note séparée serait préparée et soumise au STACFAD.</w:t>
      </w:r>
    </w:p>
    <w:p w14:paraId="6048F01F" w14:textId="77777777" w:rsidR="003C21EC" w:rsidRPr="001F2AF6" w:rsidRDefault="003C21EC" w:rsidP="00DF507E">
      <w:pPr>
        <w:spacing w:line="240" w:lineRule="auto"/>
        <w:jc w:val="both"/>
        <w:rPr>
          <w:szCs w:val="20"/>
        </w:rPr>
      </w:pPr>
    </w:p>
    <w:p w14:paraId="6930BDDC" w14:textId="77777777" w:rsidR="003C21EC" w:rsidRPr="001F2AF6" w:rsidRDefault="00D17BC3" w:rsidP="00DF507E">
      <w:pPr>
        <w:spacing w:line="240" w:lineRule="auto"/>
        <w:jc w:val="both"/>
        <w:rPr>
          <w:szCs w:val="20"/>
        </w:rPr>
      </w:pPr>
      <w:r w:rsidRPr="001F2AF6">
        <w:rPr>
          <w:szCs w:val="20"/>
        </w:rPr>
        <w:t>Les États-Unis ont demandé si les coûts devraient être supportés au cours d’un seul exercice financier ou s’ils pourraient être répartis sur plusieurs années.</w:t>
      </w:r>
    </w:p>
    <w:p w14:paraId="0DF090A5" w14:textId="77777777" w:rsidR="003C21EC" w:rsidRPr="001F2AF6" w:rsidRDefault="003C21EC" w:rsidP="00DF507E">
      <w:pPr>
        <w:spacing w:line="240" w:lineRule="auto"/>
        <w:jc w:val="both"/>
        <w:rPr>
          <w:szCs w:val="20"/>
        </w:rPr>
      </w:pPr>
    </w:p>
    <w:p w14:paraId="60E9B6BF" w14:textId="38F36AC7" w:rsidR="003C21EC" w:rsidRPr="001F2AF6" w:rsidRDefault="00D17BC3" w:rsidP="00DF507E">
      <w:pPr>
        <w:spacing w:line="240" w:lineRule="auto"/>
        <w:jc w:val="both"/>
        <w:rPr>
          <w:szCs w:val="20"/>
        </w:rPr>
      </w:pPr>
      <w:r w:rsidRPr="001F2AF6">
        <w:rPr>
          <w:szCs w:val="20"/>
        </w:rPr>
        <w:t xml:space="preserve">Bluefin Data a répondu qu’il était peu probable que les dépenses et la mise en œuvre soient confinés à un seul exercice financier. Construire un nouveau système à partir de zéro pourrait prendre de deux à trois ans, tandis que des modèles </w:t>
      </w:r>
      <w:r w:rsidR="007573E6" w:rsidRPr="001F2AF6">
        <w:rPr>
          <w:szCs w:val="20"/>
        </w:rPr>
        <w:t xml:space="preserve">d’exécution </w:t>
      </w:r>
      <w:r w:rsidRPr="001F2AF6">
        <w:rPr>
          <w:szCs w:val="20"/>
        </w:rPr>
        <w:t>alternatifs pourraient réduire la période à moins de deux ans ; le calendrier dépendrait de la portée et de la méthode d</w:t>
      </w:r>
      <w:r w:rsidR="000E7263" w:rsidRPr="001F2AF6">
        <w:rPr>
          <w:szCs w:val="20"/>
        </w:rPr>
        <w:t>’exécution</w:t>
      </w:r>
      <w:r w:rsidRPr="001F2AF6">
        <w:rPr>
          <w:szCs w:val="20"/>
        </w:rPr>
        <w:t>.</w:t>
      </w:r>
    </w:p>
    <w:p w14:paraId="506BB1FE" w14:textId="77777777" w:rsidR="009C6815" w:rsidRPr="001F2AF6" w:rsidRDefault="009C6815" w:rsidP="00DF507E">
      <w:pPr>
        <w:spacing w:line="240" w:lineRule="auto"/>
        <w:ind w:left="0" w:firstLine="0"/>
        <w:jc w:val="both"/>
        <w:rPr>
          <w:szCs w:val="20"/>
        </w:rPr>
      </w:pPr>
    </w:p>
    <w:p w14:paraId="7CC0DE7F" w14:textId="13C6C3C0"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Transition vers le nouveau CDS</w:t>
      </w:r>
    </w:p>
    <w:p w14:paraId="6BD4A840" w14:textId="77777777" w:rsidR="00C06CDC" w:rsidRPr="001F2AF6" w:rsidRDefault="00C06CDC" w:rsidP="00C06CDC"/>
    <w:p w14:paraId="31BC8048" w14:textId="311A3227" w:rsidR="003C21EC" w:rsidRPr="001F2AF6" w:rsidRDefault="00D17BC3" w:rsidP="00DF507E">
      <w:pPr>
        <w:spacing w:line="240" w:lineRule="auto"/>
        <w:jc w:val="both"/>
        <w:rPr>
          <w:szCs w:val="20"/>
        </w:rPr>
      </w:pPr>
      <w:r w:rsidRPr="001F2AF6">
        <w:rPr>
          <w:szCs w:val="20"/>
        </w:rPr>
        <w:t>Le Japon a noté que la transition vers le nouveau CDS ne serait pas discutée en détail à ce stade et est passé au point de l’ordre du jour suivant.</w:t>
      </w:r>
    </w:p>
    <w:p w14:paraId="43728395" w14:textId="77777777" w:rsidR="009C6815" w:rsidRPr="001F2AF6" w:rsidRDefault="009C6815" w:rsidP="00DF507E">
      <w:pPr>
        <w:spacing w:line="240" w:lineRule="auto"/>
        <w:jc w:val="both"/>
        <w:rPr>
          <w:szCs w:val="20"/>
        </w:rPr>
      </w:pPr>
    </w:p>
    <w:p w14:paraId="7B0701A2" w14:textId="74F8C2AD"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Prise en compte des pêcheries artisanales</w:t>
      </w:r>
    </w:p>
    <w:p w14:paraId="2D74FC15" w14:textId="77777777" w:rsidR="002D5A82" w:rsidRPr="001F2AF6" w:rsidRDefault="002D5A82" w:rsidP="00DF507E">
      <w:pPr>
        <w:spacing w:line="240" w:lineRule="auto"/>
        <w:jc w:val="both"/>
        <w:rPr>
          <w:szCs w:val="20"/>
        </w:rPr>
      </w:pPr>
    </w:p>
    <w:p w14:paraId="56D69691" w14:textId="71037A3A" w:rsidR="003C21EC" w:rsidRPr="001F2AF6" w:rsidRDefault="00D17BC3" w:rsidP="00DF507E">
      <w:pPr>
        <w:spacing w:line="240" w:lineRule="auto"/>
        <w:jc w:val="both"/>
        <w:rPr>
          <w:szCs w:val="20"/>
        </w:rPr>
      </w:pPr>
      <w:r w:rsidRPr="001F2AF6">
        <w:rPr>
          <w:szCs w:val="20"/>
        </w:rPr>
        <w:t>Le Japon a demandé aux CPC ayant des pêcheries artisanales de thon obèse ou d’espadon de soumettre des propositions concrètes visant à un traitement particulier, notant que toutes les CPC concernées avaient besoin de comprendre les exigences avant de pouvoir mettre en œuvre le système.</w:t>
      </w:r>
    </w:p>
    <w:p w14:paraId="34B16545" w14:textId="77777777" w:rsidR="003C21EC" w:rsidRPr="001F2AF6" w:rsidRDefault="003C21EC" w:rsidP="00DF507E">
      <w:pPr>
        <w:spacing w:line="240" w:lineRule="auto"/>
        <w:ind w:left="0" w:firstLine="0"/>
        <w:jc w:val="both"/>
        <w:rPr>
          <w:szCs w:val="20"/>
        </w:rPr>
      </w:pPr>
    </w:p>
    <w:p w14:paraId="12832654" w14:textId="54A6A348" w:rsidR="003C21EC" w:rsidRPr="001F2AF6" w:rsidRDefault="002257FA" w:rsidP="00DF507E">
      <w:pPr>
        <w:spacing w:line="240" w:lineRule="auto"/>
        <w:jc w:val="both"/>
        <w:rPr>
          <w:szCs w:val="20"/>
        </w:rPr>
      </w:pPr>
      <w:r w:rsidRPr="001F2AF6">
        <w:rPr>
          <w:szCs w:val="20"/>
        </w:rPr>
        <w:t>Le Maroc a fait référence aux nombreuses dispositions relatives au traitement particulier disponibles pour les pêcheries artisanales dans le système eBCD et au certificat de capture simplifié de l’UE pour les navires de moins de 12 mètres. Il a proposé que, comme cela est actuellement permis dans le cadre du système eBCD, les bordereaux de vente pour les débarquements artisanaux soient utilisés comme documentation des captures temporaire avant que la capture ne soit enregistrée dans le système eBCD, que les captures de plusieurs petits navires soient regroupées dans un seul certificat et que la validation du capitaine ne soit pas requise dans le cadre de la procédure simplifiée.</w:t>
      </w:r>
    </w:p>
    <w:p w14:paraId="213152C2" w14:textId="77777777" w:rsidR="002257FA" w:rsidRPr="001F2AF6" w:rsidRDefault="002257FA" w:rsidP="00DF507E">
      <w:pPr>
        <w:spacing w:line="240" w:lineRule="auto"/>
        <w:jc w:val="both"/>
        <w:rPr>
          <w:szCs w:val="20"/>
        </w:rPr>
      </w:pPr>
    </w:p>
    <w:p w14:paraId="697D35AC" w14:textId="32D3A83D" w:rsidR="003C21EC" w:rsidRPr="001F2AF6" w:rsidRDefault="005E5341" w:rsidP="00DF507E">
      <w:pPr>
        <w:spacing w:line="240" w:lineRule="auto"/>
        <w:jc w:val="both"/>
        <w:rPr>
          <w:szCs w:val="20"/>
        </w:rPr>
      </w:pPr>
      <w:r w:rsidRPr="001F2AF6">
        <w:rPr>
          <w:szCs w:val="20"/>
        </w:rPr>
        <w:t>L’UE a soutenu le traitement particulier des pêcheries artisanales sans les exclure du CDS afin de préserver l’objectif d’un programme de CDS fondé sur les pêcheries. Elle a noté que son système simplifié s’applique aux navires d’une longueur hors-tout (LHT) inférieure à 12 mètres, tout en restant flexible quant à la mesure utilisée pour définir les pêcheries artisanales. En ce qui concerne la proposition de regrouper les captures de plusieurs navires artisanaux dans un seul certificat, l’UE n’était pas encore en mesure de donner un avis définitif.</w:t>
      </w:r>
    </w:p>
    <w:p w14:paraId="2D5D62F1" w14:textId="77777777" w:rsidR="005E5341" w:rsidRPr="001F2AF6" w:rsidRDefault="005E5341" w:rsidP="00DF507E">
      <w:pPr>
        <w:spacing w:line="240" w:lineRule="auto"/>
        <w:jc w:val="both"/>
        <w:rPr>
          <w:szCs w:val="20"/>
        </w:rPr>
      </w:pPr>
    </w:p>
    <w:p w14:paraId="06926DD0" w14:textId="786D7F8C" w:rsidR="003C21EC" w:rsidRPr="001F2AF6" w:rsidRDefault="00D72785" w:rsidP="00DF507E">
      <w:pPr>
        <w:spacing w:line="240" w:lineRule="auto"/>
        <w:jc w:val="both"/>
        <w:rPr>
          <w:szCs w:val="20"/>
        </w:rPr>
      </w:pPr>
      <w:r w:rsidRPr="001F2AF6">
        <w:rPr>
          <w:szCs w:val="20"/>
        </w:rPr>
        <w:t>Le Sénégal a considéré qu’un traitement particulier était essentiel pour les pêcheries artisanales, notant que sa flottille artisanale utilise déjà le système de certificat de capture simplifié de l’UE. Il a fait référence aux captures annuelles de thon obèse et d’espadon de près de 50–100 tonnes et aux difficultés statistiques et logistiques qui pourraient rendre la pleine application des exigences générales du CDS prématurée. Il a initialement suggéré d’appliquer le système aux pêcheries industrielles et de continuer à discuter des spécificités qui seraient nécessaires pour les pêcheries artisanales.</w:t>
      </w:r>
    </w:p>
    <w:p w14:paraId="36BDBA94" w14:textId="77777777" w:rsidR="00D72785" w:rsidRPr="001F2AF6" w:rsidRDefault="00D72785" w:rsidP="00DF507E">
      <w:pPr>
        <w:spacing w:line="240" w:lineRule="auto"/>
        <w:jc w:val="both"/>
        <w:rPr>
          <w:szCs w:val="20"/>
        </w:rPr>
      </w:pPr>
    </w:p>
    <w:p w14:paraId="3A8B829B" w14:textId="2828957A" w:rsidR="003C21EC" w:rsidRPr="001F2AF6" w:rsidRDefault="00D17BC3" w:rsidP="00DF507E">
      <w:pPr>
        <w:spacing w:line="240" w:lineRule="auto"/>
        <w:jc w:val="both"/>
        <w:rPr>
          <w:szCs w:val="20"/>
        </w:rPr>
      </w:pPr>
      <w:r w:rsidRPr="001F2AF6">
        <w:rPr>
          <w:szCs w:val="20"/>
        </w:rPr>
        <w:t>Les États-Unis ont soutenu l’enregistrement de l’ensemble des captures, qu’elles soient réalisées par des pêcheries artisanales ou autres, tout en restant ouverts à l’étude d’un traitement particulier.</w:t>
      </w:r>
    </w:p>
    <w:p w14:paraId="151E3713" w14:textId="77777777" w:rsidR="003C21EC" w:rsidRPr="001F2AF6" w:rsidRDefault="003C21EC" w:rsidP="00DF507E">
      <w:pPr>
        <w:spacing w:line="240" w:lineRule="auto"/>
        <w:jc w:val="both"/>
        <w:rPr>
          <w:szCs w:val="20"/>
        </w:rPr>
      </w:pPr>
    </w:p>
    <w:p w14:paraId="4333814F" w14:textId="1E0624E7" w:rsidR="003C21EC" w:rsidRPr="001F2AF6" w:rsidRDefault="00D17BC3" w:rsidP="00DF507E">
      <w:pPr>
        <w:spacing w:line="240" w:lineRule="auto"/>
        <w:jc w:val="both"/>
        <w:rPr>
          <w:szCs w:val="20"/>
        </w:rPr>
      </w:pPr>
      <w:r w:rsidRPr="001F2AF6">
        <w:rPr>
          <w:szCs w:val="20"/>
        </w:rPr>
        <w:t>Le Japon a également soutenu l’enregistrement de l’ensemble des captures dans le CDS, tout en restant ouvert à un traitement particulier mais a noté que le sens précis de « pêcheries artisanales » (longueur du navire, volume de captures ou d’autres critères) restait à définir avant de pouvoir convenir de toute mesure pratique.</w:t>
      </w:r>
    </w:p>
    <w:p w14:paraId="2185EF58" w14:textId="77777777" w:rsidR="005A6560" w:rsidRDefault="005A6560" w:rsidP="00DF507E">
      <w:pPr>
        <w:spacing w:line="240" w:lineRule="auto"/>
        <w:jc w:val="both"/>
        <w:rPr>
          <w:szCs w:val="20"/>
        </w:rPr>
      </w:pPr>
    </w:p>
    <w:p w14:paraId="2653F3E4" w14:textId="0572D5EF" w:rsidR="003C21EC" w:rsidRPr="001F2AF6" w:rsidRDefault="00D17BC3" w:rsidP="00DF507E">
      <w:pPr>
        <w:spacing w:line="240" w:lineRule="auto"/>
        <w:jc w:val="both"/>
        <w:rPr>
          <w:szCs w:val="20"/>
        </w:rPr>
      </w:pPr>
      <w:r w:rsidRPr="001F2AF6">
        <w:rPr>
          <w:szCs w:val="20"/>
        </w:rPr>
        <w:lastRenderedPageBreak/>
        <w:t>Le Président a résumé les conclusions et a instamment prié les CPC de soumettre les spécificités de leurs pêcheries artisanales et des idées supplémentaires sur la façon dont le traitement particulier pourrait fonctionner dans le cadre d’un CDS fondé sur les captures.</w:t>
      </w:r>
    </w:p>
    <w:p w14:paraId="7DC04811" w14:textId="77777777" w:rsidR="003C21EC" w:rsidRPr="001F2AF6" w:rsidRDefault="003C21EC" w:rsidP="00DF507E">
      <w:pPr>
        <w:spacing w:line="240" w:lineRule="auto"/>
        <w:jc w:val="both"/>
        <w:rPr>
          <w:szCs w:val="20"/>
        </w:rPr>
      </w:pPr>
    </w:p>
    <w:p w14:paraId="280E5A89" w14:textId="5D9F157E" w:rsidR="003C21EC" w:rsidRPr="001F2AF6" w:rsidRDefault="00D17BC3" w:rsidP="009861E0">
      <w:pPr>
        <w:pStyle w:val="Heading3"/>
        <w:numPr>
          <w:ilvl w:val="1"/>
          <w:numId w:val="28"/>
        </w:numPr>
        <w:spacing w:before="0" w:after="0" w:line="240" w:lineRule="auto"/>
        <w:jc w:val="both"/>
        <w:rPr>
          <w:b/>
          <w:i/>
          <w:color w:val="000000" w:themeColor="text1"/>
          <w:sz w:val="20"/>
          <w:szCs w:val="20"/>
        </w:rPr>
      </w:pPr>
      <w:r w:rsidRPr="001F2AF6">
        <w:rPr>
          <w:b/>
          <w:i/>
          <w:color w:val="000000" w:themeColor="text1"/>
          <w:sz w:val="20"/>
          <w:szCs w:val="20"/>
        </w:rPr>
        <w:t>Prises accessoires des navires ne ciblant pas les thonidés tropicaux</w:t>
      </w:r>
    </w:p>
    <w:p w14:paraId="0B75D6DA" w14:textId="77777777" w:rsidR="00EE5BEE" w:rsidRPr="001F2AF6" w:rsidRDefault="00EE5BEE" w:rsidP="00DF507E">
      <w:pPr>
        <w:spacing w:line="240" w:lineRule="auto"/>
        <w:jc w:val="both"/>
        <w:rPr>
          <w:szCs w:val="20"/>
        </w:rPr>
      </w:pPr>
    </w:p>
    <w:p w14:paraId="49B403F3" w14:textId="019D5295" w:rsidR="003C21EC" w:rsidRPr="001F2AF6" w:rsidRDefault="00D17BC3" w:rsidP="00DF507E">
      <w:pPr>
        <w:spacing w:line="240" w:lineRule="auto"/>
        <w:jc w:val="both"/>
        <w:rPr>
          <w:szCs w:val="20"/>
        </w:rPr>
      </w:pPr>
      <w:r w:rsidRPr="001F2AF6">
        <w:rPr>
          <w:szCs w:val="20"/>
        </w:rPr>
        <w:t>Le Japon a soutenu l’inclusion des prises accessoires dans le CDS, alors que la méthode d’enregistrement de celles-ci restait à discuter, notamment pour les flottilles artisanales.</w:t>
      </w:r>
    </w:p>
    <w:p w14:paraId="1A085460" w14:textId="77777777" w:rsidR="003C21EC" w:rsidRPr="001F2AF6" w:rsidRDefault="003C21EC" w:rsidP="00DF507E">
      <w:pPr>
        <w:spacing w:line="240" w:lineRule="auto"/>
        <w:jc w:val="both"/>
        <w:rPr>
          <w:szCs w:val="20"/>
        </w:rPr>
      </w:pPr>
    </w:p>
    <w:p w14:paraId="4C99AB36" w14:textId="77777777" w:rsidR="003C21EC" w:rsidRPr="001F2AF6" w:rsidRDefault="00D17BC3" w:rsidP="00DF507E">
      <w:pPr>
        <w:spacing w:line="240" w:lineRule="auto"/>
        <w:jc w:val="both"/>
        <w:rPr>
          <w:szCs w:val="20"/>
        </w:rPr>
      </w:pPr>
      <w:r w:rsidRPr="001F2AF6">
        <w:rPr>
          <w:szCs w:val="20"/>
        </w:rPr>
        <w:t>L’UE était en faveur de reproduire dans le CDS élargi la fonction déjà disponible dans le système eBCD pour les prises accessoires.</w:t>
      </w:r>
    </w:p>
    <w:p w14:paraId="3E4A0345" w14:textId="77777777" w:rsidR="003C21EC" w:rsidRPr="001F2AF6" w:rsidRDefault="003C21EC" w:rsidP="00DF507E">
      <w:pPr>
        <w:spacing w:line="240" w:lineRule="auto"/>
        <w:jc w:val="both"/>
        <w:rPr>
          <w:szCs w:val="20"/>
        </w:rPr>
      </w:pPr>
    </w:p>
    <w:p w14:paraId="386C40F0" w14:textId="77777777" w:rsidR="003C21EC" w:rsidRPr="001F2AF6" w:rsidRDefault="00D17BC3" w:rsidP="00DF507E">
      <w:pPr>
        <w:spacing w:line="240" w:lineRule="auto"/>
        <w:jc w:val="both"/>
        <w:rPr>
          <w:szCs w:val="20"/>
        </w:rPr>
      </w:pPr>
      <w:r w:rsidRPr="001F2AF6">
        <w:rPr>
          <w:szCs w:val="20"/>
        </w:rPr>
        <w:t>Le Maroc s’est également déclaré favorable à l’utilisation du mécanisme existant dans le système eBCD à titre de base. Il a fait référence au profil spécifique d’autorité du port et à l’enregistrement séparé utilisé pour déclarer des prises accessoires de thon rouge par les navires qui ne sont pas inclus dans le registre des navires autorisés.</w:t>
      </w:r>
    </w:p>
    <w:p w14:paraId="2C040CFB" w14:textId="77777777" w:rsidR="003C21EC" w:rsidRPr="001F2AF6" w:rsidRDefault="003C21EC" w:rsidP="00DF507E">
      <w:pPr>
        <w:spacing w:line="240" w:lineRule="auto"/>
        <w:jc w:val="both"/>
        <w:rPr>
          <w:szCs w:val="20"/>
        </w:rPr>
      </w:pPr>
    </w:p>
    <w:p w14:paraId="3272D233" w14:textId="250CC43E" w:rsidR="003C21EC" w:rsidRPr="001F2AF6" w:rsidRDefault="00D17BC3" w:rsidP="00DF507E">
      <w:pPr>
        <w:spacing w:line="240" w:lineRule="auto"/>
        <w:jc w:val="both"/>
        <w:rPr>
          <w:szCs w:val="20"/>
        </w:rPr>
      </w:pPr>
      <w:r w:rsidRPr="001F2AF6">
        <w:rPr>
          <w:szCs w:val="20"/>
        </w:rPr>
        <w:t xml:space="preserve">Bluefin Data a confirmé que les prises accessoires pourraient être gérées </w:t>
      </w:r>
      <w:r w:rsidR="00153C44" w:rsidRPr="001F2AF6">
        <w:rPr>
          <w:szCs w:val="20"/>
        </w:rPr>
        <w:t xml:space="preserve">comme un </w:t>
      </w:r>
      <w:r w:rsidRPr="001F2AF6">
        <w:rPr>
          <w:szCs w:val="20"/>
        </w:rPr>
        <w:t>autre flux de travail configurable.</w:t>
      </w:r>
    </w:p>
    <w:p w14:paraId="18F298A4" w14:textId="77777777" w:rsidR="003C21EC" w:rsidRPr="001F2AF6" w:rsidRDefault="003C21EC" w:rsidP="00DF507E">
      <w:pPr>
        <w:spacing w:line="240" w:lineRule="auto"/>
        <w:ind w:left="0" w:firstLine="0"/>
        <w:jc w:val="both"/>
        <w:rPr>
          <w:szCs w:val="20"/>
        </w:rPr>
      </w:pPr>
    </w:p>
    <w:p w14:paraId="2DD67F48" w14:textId="77777777" w:rsidR="003C21EC" w:rsidRPr="001F2AF6" w:rsidRDefault="00D17BC3" w:rsidP="00DF507E">
      <w:pPr>
        <w:spacing w:line="240" w:lineRule="auto"/>
        <w:jc w:val="both"/>
        <w:rPr>
          <w:szCs w:val="20"/>
        </w:rPr>
      </w:pPr>
      <w:r w:rsidRPr="001F2AF6">
        <w:rPr>
          <w:szCs w:val="20"/>
        </w:rPr>
        <w:t>Le Japon a convenu que l’approche utilisée dans le système eBCD existant devrait constituer le point de départ mais a noté que le grand nombre de navires concernés par les prises accessoires de thon obèse et d’espadon pourrait nécessiter des adaptations.</w:t>
      </w:r>
    </w:p>
    <w:p w14:paraId="18DDAD5F" w14:textId="77777777" w:rsidR="003C21EC" w:rsidRPr="001F2AF6" w:rsidRDefault="003C21EC" w:rsidP="00DF507E">
      <w:pPr>
        <w:spacing w:line="240" w:lineRule="auto"/>
        <w:jc w:val="both"/>
        <w:rPr>
          <w:szCs w:val="20"/>
        </w:rPr>
      </w:pPr>
    </w:p>
    <w:p w14:paraId="390F977C" w14:textId="2E8945AD" w:rsidR="003C21EC" w:rsidRPr="001F2AF6" w:rsidRDefault="00D17BC3" w:rsidP="00444E78">
      <w:pPr>
        <w:pStyle w:val="Heading3"/>
        <w:numPr>
          <w:ilvl w:val="1"/>
          <w:numId w:val="28"/>
        </w:numPr>
        <w:spacing w:before="0" w:after="0" w:line="240" w:lineRule="auto"/>
        <w:ind w:left="284" w:hanging="284"/>
        <w:jc w:val="both"/>
        <w:rPr>
          <w:b/>
          <w:i/>
          <w:color w:val="000000" w:themeColor="text1"/>
          <w:sz w:val="20"/>
          <w:szCs w:val="20"/>
        </w:rPr>
      </w:pPr>
      <w:r w:rsidRPr="001F2AF6">
        <w:rPr>
          <w:b/>
          <w:i/>
          <w:color w:val="000000" w:themeColor="text1"/>
          <w:sz w:val="20"/>
          <w:szCs w:val="20"/>
        </w:rPr>
        <w:t>Pêcheries récréatives et sportives</w:t>
      </w:r>
    </w:p>
    <w:p w14:paraId="61FB8E6B" w14:textId="77777777" w:rsidR="00EE5BEE" w:rsidRPr="001F2AF6" w:rsidRDefault="00EE5BEE" w:rsidP="00DF507E">
      <w:pPr>
        <w:spacing w:line="240" w:lineRule="auto"/>
        <w:jc w:val="both"/>
        <w:rPr>
          <w:szCs w:val="20"/>
        </w:rPr>
      </w:pPr>
    </w:p>
    <w:p w14:paraId="2633313D" w14:textId="42C02FEE" w:rsidR="003C21EC" w:rsidRPr="001F2AF6" w:rsidRDefault="00D17BC3" w:rsidP="00DF507E">
      <w:pPr>
        <w:spacing w:line="240" w:lineRule="auto"/>
        <w:jc w:val="both"/>
        <w:rPr>
          <w:szCs w:val="20"/>
        </w:rPr>
      </w:pPr>
      <w:r w:rsidRPr="001F2AF6">
        <w:rPr>
          <w:szCs w:val="20"/>
        </w:rPr>
        <w:t>Le Japon a suggéré que, comme pour le thon rouge, il ne serait pas nécessaire d’inclure les captures des pêcheries sportives et récréatives lorsque leur vente était interdite. Il a noté qu’il convenait, dans un premier temps, de vérifier en détail les mesures relatives aux thonidés tropicaux et à l’espadon applicables afin de s’assurer que les dispositions pertinentes ne diffèrent pas de celles relatives au thon rouge.</w:t>
      </w:r>
    </w:p>
    <w:p w14:paraId="14F4A5B0" w14:textId="77777777" w:rsidR="003C21EC" w:rsidRPr="001F2AF6" w:rsidRDefault="003C21EC" w:rsidP="00DF507E">
      <w:pPr>
        <w:spacing w:line="240" w:lineRule="auto"/>
        <w:jc w:val="both"/>
        <w:rPr>
          <w:szCs w:val="20"/>
        </w:rPr>
      </w:pPr>
    </w:p>
    <w:p w14:paraId="73ECF252" w14:textId="734EA122" w:rsidR="003C21EC" w:rsidRPr="001F2AF6" w:rsidRDefault="00D17BC3" w:rsidP="00444E78">
      <w:pPr>
        <w:pStyle w:val="Heading3"/>
        <w:numPr>
          <w:ilvl w:val="1"/>
          <w:numId w:val="28"/>
        </w:numPr>
        <w:spacing w:before="0" w:after="0" w:line="240" w:lineRule="auto"/>
        <w:ind w:left="284" w:hanging="284"/>
        <w:jc w:val="both"/>
        <w:rPr>
          <w:b/>
          <w:i/>
          <w:color w:val="000000" w:themeColor="text1"/>
          <w:sz w:val="20"/>
          <w:szCs w:val="20"/>
        </w:rPr>
      </w:pPr>
      <w:r w:rsidRPr="001F2AF6">
        <w:rPr>
          <w:b/>
          <w:i/>
          <w:color w:val="000000" w:themeColor="text1"/>
          <w:sz w:val="20"/>
          <w:szCs w:val="20"/>
        </w:rPr>
        <w:t>CPC chargées de la validation, considérations des accords d'affrètement</w:t>
      </w:r>
    </w:p>
    <w:p w14:paraId="185532E2" w14:textId="77777777" w:rsidR="00356853" w:rsidRPr="001F2AF6" w:rsidRDefault="00356853" w:rsidP="00DF507E">
      <w:pPr>
        <w:spacing w:line="240" w:lineRule="auto"/>
        <w:jc w:val="both"/>
        <w:rPr>
          <w:szCs w:val="20"/>
        </w:rPr>
      </w:pPr>
    </w:p>
    <w:p w14:paraId="64192D9F" w14:textId="18B50E7D" w:rsidR="003C21EC" w:rsidRPr="001F2AF6" w:rsidRDefault="00D17BC3" w:rsidP="00DF507E">
      <w:pPr>
        <w:spacing w:line="240" w:lineRule="auto"/>
        <w:jc w:val="both"/>
        <w:rPr>
          <w:szCs w:val="20"/>
        </w:rPr>
      </w:pPr>
      <w:r w:rsidRPr="001F2AF6">
        <w:rPr>
          <w:szCs w:val="20"/>
        </w:rPr>
        <w:t xml:space="preserve">Le Japon a proposé de revenir sur la question de la validation pour les navires opérant dans le cadre d’accords d'affrètement lors des discussions de novembre </w:t>
      </w:r>
      <w:r w:rsidR="000116D9" w:rsidRPr="001F2AF6">
        <w:rPr>
          <w:szCs w:val="20"/>
        </w:rPr>
        <w:t xml:space="preserve">2026 </w:t>
      </w:r>
      <w:r w:rsidR="00CE1761" w:rsidRPr="001F2AF6">
        <w:rPr>
          <w:szCs w:val="20"/>
        </w:rPr>
        <w:t>sur la façon dont ces modalités devraient être gérées</w:t>
      </w:r>
      <w:r w:rsidRPr="001F2AF6">
        <w:rPr>
          <w:szCs w:val="20"/>
        </w:rPr>
        <w:t>.</w:t>
      </w:r>
    </w:p>
    <w:p w14:paraId="34F81417" w14:textId="77777777" w:rsidR="003C21EC" w:rsidRPr="001F2AF6" w:rsidRDefault="003C21EC" w:rsidP="00DF507E">
      <w:pPr>
        <w:spacing w:line="240" w:lineRule="auto"/>
        <w:jc w:val="both"/>
        <w:rPr>
          <w:szCs w:val="20"/>
        </w:rPr>
      </w:pPr>
    </w:p>
    <w:p w14:paraId="2C277C57" w14:textId="18D84090" w:rsidR="003C21EC" w:rsidRPr="001F2AF6" w:rsidRDefault="00D17BC3" w:rsidP="00DF507E">
      <w:pPr>
        <w:spacing w:line="240" w:lineRule="auto"/>
        <w:jc w:val="both"/>
        <w:rPr>
          <w:szCs w:val="20"/>
        </w:rPr>
      </w:pPr>
      <w:r w:rsidRPr="001F2AF6">
        <w:rPr>
          <w:szCs w:val="20"/>
        </w:rPr>
        <w:t>L'UE a confirmé son intention de soumettre une proposition en novembre</w:t>
      </w:r>
      <w:r w:rsidR="000116D9" w:rsidRPr="001F2AF6">
        <w:rPr>
          <w:szCs w:val="20"/>
        </w:rPr>
        <w:t xml:space="preserve"> 2026</w:t>
      </w:r>
      <w:r w:rsidRPr="001F2AF6">
        <w:rPr>
          <w:szCs w:val="20"/>
        </w:rPr>
        <w:t>. Elle a expliqué que la proposition pourrait comprendre une double validation mais que cette position faisait toujours l’objet d’examen interne.</w:t>
      </w:r>
    </w:p>
    <w:p w14:paraId="01D9E21D" w14:textId="77777777" w:rsidR="003C21EC" w:rsidRPr="001F2AF6" w:rsidRDefault="003C21EC" w:rsidP="00DF507E">
      <w:pPr>
        <w:spacing w:line="240" w:lineRule="auto"/>
        <w:jc w:val="both"/>
        <w:rPr>
          <w:szCs w:val="20"/>
        </w:rPr>
      </w:pPr>
    </w:p>
    <w:p w14:paraId="1EC4111C" w14:textId="77777777" w:rsidR="003C21EC" w:rsidRPr="001F2AF6" w:rsidRDefault="00D17BC3" w:rsidP="00DF507E">
      <w:pPr>
        <w:spacing w:line="240" w:lineRule="auto"/>
        <w:jc w:val="both"/>
        <w:rPr>
          <w:szCs w:val="20"/>
        </w:rPr>
      </w:pPr>
      <w:r w:rsidRPr="001F2AF6">
        <w:rPr>
          <w:szCs w:val="20"/>
        </w:rPr>
        <w:t>Le Taipei chinois a indiqué que la Partie contractante affréteuse devrait valider la capture car elle était attribuée au quota de cette Partie et devait donc être assujettie à ses contrôles de quotas.</w:t>
      </w:r>
    </w:p>
    <w:p w14:paraId="11746163" w14:textId="77777777" w:rsidR="003C21EC" w:rsidRPr="001F2AF6" w:rsidRDefault="003C21EC" w:rsidP="00DF507E">
      <w:pPr>
        <w:spacing w:line="240" w:lineRule="auto"/>
        <w:ind w:left="0" w:firstLine="0"/>
        <w:jc w:val="both"/>
        <w:rPr>
          <w:szCs w:val="20"/>
        </w:rPr>
      </w:pPr>
    </w:p>
    <w:p w14:paraId="38C8D0A2" w14:textId="0713B230" w:rsidR="003C21EC" w:rsidRPr="001F2AF6" w:rsidRDefault="00D17BC3" w:rsidP="00DF507E">
      <w:pPr>
        <w:spacing w:line="240" w:lineRule="auto"/>
        <w:jc w:val="both"/>
        <w:rPr>
          <w:szCs w:val="20"/>
        </w:rPr>
      </w:pPr>
      <w:r w:rsidRPr="001F2AF6">
        <w:rPr>
          <w:szCs w:val="20"/>
        </w:rPr>
        <w:t>Le Japon a confirmé qu’il se réjouissait d’examiner la proposition de l’UE lorsqu’elle serait présentée.</w:t>
      </w:r>
    </w:p>
    <w:p w14:paraId="0AF89D23" w14:textId="77777777" w:rsidR="003C21EC" w:rsidRPr="001F2AF6" w:rsidRDefault="003C21EC" w:rsidP="00DF507E">
      <w:pPr>
        <w:spacing w:line="240" w:lineRule="auto"/>
        <w:jc w:val="both"/>
        <w:rPr>
          <w:szCs w:val="20"/>
        </w:rPr>
      </w:pPr>
    </w:p>
    <w:p w14:paraId="68CEFF62" w14:textId="5136A1CB" w:rsidR="003C21EC" w:rsidRPr="001F2AF6" w:rsidRDefault="00D17BC3" w:rsidP="00444E78">
      <w:pPr>
        <w:pStyle w:val="Heading3"/>
        <w:numPr>
          <w:ilvl w:val="1"/>
          <w:numId w:val="28"/>
        </w:numPr>
        <w:spacing w:before="0" w:after="0" w:line="240" w:lineRule="auto"/>
        <w:ind w:left="426" w:hanging="426"/>
        <w:jc w:val="both"/>
        <w:rPr>
          <w:b/>
          <w:i/>
          <w:color w:val="000000" w:themeColor="text1"/>
          <w:sz w:val="20"/>
          <w:szCs w:val="20"/>
        </w:rPr>
      </w:pPr>
      <w:r w:rsidRPr="001F2AF6">
        <w:rPr>
          <w:b/>
          <w:i/>
          <w:color w:val="000000" w:themeColor="text1"/>
          <w:sz w:val="20"/>
          <w:szCs w:val="20"/>
        </w:rPr>
        <w:t>Dispense de validation par le gouvernement pour les poissons marqués</w:t>
      </w:r>
    </w:p>
    <w:p w14:paraId="20629C3D" w14:textId="77777777" w:rsidR="000C6895" w:rsidRPr="001F2AF6" w:rsidRDefault="000C6895" w:rsidP="00DF507E">
      <w:pPr>
        <w:spacing w:line="240" w:lineRule="auto"/>
        <w:jc w:val="both"/>
        <w:rPr>
          <w:szCs w:val="20"/>
        </w:rPr>
      </w:pPr>
    </w:p>
    <w:p w14:paraId="5B29C1EF" w14:textId="72B838A9" w:rsidR="002E0383" w:rsidRPr="001F2AF6" w:rsidRDefault="00D17BC3" w:rsidP="00DF507E">
      <w:pPr>
        <w:spacing w:line="240" w:lineRule="auto"/>
        <w:jc w:val="both"/>
        <w:rPr>
          <w:szCs w:val="20"/>
        </w:rPr>
      </w:pPr>
      <w:r w:rsidRPr="001F2AF6">
        <w:rPr>
          <w:szCs w:val="20"/>
        </w:rPr>
        <w:t>Le Japon a fait part d’un soutien général en faveur de l’utilisation d’une approche de marquage similaire à celle appliquée pour le thon rouge, tout en notant que sa faisabilité pratique pour l’espadon et notamment pour les plus grands volumes de thon obèse restait à examiner.</w:t>
      </w:r>
    </w:p>
    <w:p w14:paraId="1FE4A1ED" w14:textId="77777777" w:rsidR="002E0383" w:rsidRPr="001F2AF6" w:rsidRDefault="002E0383" w:rsidP="00DF507E">
      <w:pPr>
        <w:spacing w:line="240" w:lineRule="auto"/>
        <w:jc w:val="both"/>
        <w:rPr>
          <w:szCs w:val="20"/>
        </w:rPr>
      </w:pPr>
    </w:p>
    <w:p w14:paraId="2F59F282" w14:textId="0F0E37A0" w:rsidR="003C21EC" w:rsidRPr="001F2AF6" w:rsidRDefault="00D17BC3" w:rsidP="00444E78">
      <w:pPr>
        <w:pStyle w:val="Heading3"/>
        <w:numPr>
          <w:ilvl w:val="1"/>
          <w:numId w:val="28"/>
        </w:numPr>
        <w:spacing w:before="0" w:after="0" w:line="240" w:lineRule="auto"/>
        <w:ind w:left="426" w:hanging="426"/>
        <w:jc w:val="both"/>
        <w:rPr>
          <w:b/>
          <w:i/>
          <w:color w:val="000000" w:themeColor="text1"/>
          <w:sz w:val="20"/>
          <w:szCs w:val="20"/>
        </w:rPr>
      </w:pPr>
      <w:r w:rsidRPr="001F2AF6">
        <w:rPr>
          <w:b/>
          <w:i/>
          <w:color w:val="000000" w:themeColor="text1"/>
          <w:sz w:val="20"/>
          <w:szCs w:val="20"/>
        </w:rPr>
        <w:t>Documentation sur support papier</w:t>
      </w:r>
    </w:p>
    <w:p w14:paraId="51C73128" w14:textId="77777777" w:rsidR="000C6895" w:rsidRPr="001F2AF6" w:rsidRDefault="000C6895" w:rsidP="00DF507E">
      <w:pPr>
        <w:spacing w:line="240" w:lineRule="auto"/>
        <w:jc w:val="both"/>
        <w:rPr>
          <w:szCs w:val="20"/>
        </w:rPr>
      </w:pPr>
    </w:p>
    <w:p w14:paraId="03854BBA" w14:textId="2A3BBB51" w:rsidR="00444E78" w:rsidRPr="001F2AF6" w:rsidRDefault="00D17BC3" w:rsidP="00444E78">
      <w:pPr>
        <w:spacing w:line="240" w:lineRule="auto"/>
        <w:jc w:val="both"/>
        <w:rPr>
          <w:rFonts w:eastAsiaTheme="majorEastAsia" w:cstheme="majorBidi"/>
          <w:b/>
          <w:i/>
          <w:color w:val="auto"/>
          <w:szCs w:val="20"/>
        </w:rPr>
      </w:pPr>
      <w:r w:rsidRPr="001F2AF6">
        <w:rPr>
          <w:szCs w:val="20"/>
        </w:rPr>
        <w:t>Le Japon a indiqué qu’aucune objection n’avait été soulevée au maintien de la documentation sur support papier pour des cas spécifiques lorsque cela s’avérait nécessaire.</w:t>
      </w:r>
    </w:p>
    <w:p w14:paraId="6FFAD3FB" w14:textId="63C123BF" w:rsidR="003C21EC" w:rsidRPr="001F2AF6" w:rsidRDefault="00D17BC3" w:rsidP="00444E78">
      <w:pPr>
        <w:pStyle w:val="Heading3"/>
        <w:numPr>
          <w:ilvl w:val="1"/>
          <w:numId w:val="28"/>
        </w:numPr>
        <w:spacing w:before="0" w:after="0" w:line="240" w:lineRule="auto"/>
        <w:ind w:left="426" w:hanging="426"/>
        <w:jc w:val="both"/>
        <w:rPr>
          <w:b/>
          <w:i/>
          <w:color w:val="auto"/>
          <w:sz w:val="20"/>
          <w:szCs w:val="20"/>
        </w:rPr>
      </w:pPr>
      <w:r w:rsidRPr="001F2AF6">
        <w:rPr>
          <w:b/>
          <w:i/>
          <w:color w:val="auto"/>
          <w:sz w:val="20"/>
          <w:szCs w:val="20"/>
        </w:rPr>
        <w:lastRenderedPageBreak/>
        <w:t>Nouveaux problèmes identifiés</w:t>
      </w:r>
    </w:p>
    <w:p w14:paraId="13593660" w14:textId="77777777" w:rsidR="000C6895" w:rsidRPr="001F2AF6" w:rsidRDefault="000C6895" w:rsidP="00DF507E">
      <w:pPr>
        <w:spacing w:line="240" w:lineRule="auto"/>
        <w:jc w:val="both"/>
        <w:rPr>
          <w:szCs w:val="20"/>
        </w:rPr>
      </w:pPr>
    </w:p>
    <w:p w14:paraId="04A334A8" w14:textId="61B5B7CE" w:rsidR="003C21EC" w:rsidRPr="001F2AF6" w:rsidRDefault="00D17BC3" w:rsidP="00DF507E">
      <w:pPr>
        <w:spacing w:line="240" w:lineRule="auto"/>
        <w:jc w:val="both"/>
        <w:rPr>
          <w:szCs w:val="20"/>
        </w:rPr>
      </w:pPr>
      <w:r w:rsidRPr="001F2AF6">
        <w:rPr>
          <w:szCs w:val="20"/>
        </w:rPr>
        <w:t xml:space="preserve">Le Japon a attiré l’attention sur une possible duplication entre un CDS de l’ICCAT et les programmes de document statistique d’autres </w:t>
      </w:r>
      <w:r w:rsidR="00D71D32" w:rsidRPr="001F2AF6">
        <w:rPr>
          <w:szCs w:val="20"/>
        </w:rPr>
        <w:t xml:space="preserve">organisations régionales de gestion des pêches </w:t>
      </w:r>
      <w:r w:rsidRPr="001F2AF6">
        <w:rPr>
          <w:szCs w:val="20"/>
        </w:rPr>
        <w:t>thonières</w:t>
      </w:r>
      <w:r w:rsidR="00D71D32" w:rsidRPr="001F2AF6">
        <w:rPr>
          <w:szCs w:val="20"/>
        </w:rPr>
        <w:t xml:space="preserve"> (ORGPt)</w:t>
      </w:r>
      <w:r w:rsidRPr="001F2AF6">
        <w:rPr>
          <w:szCs w:val="20"/>
        </w:rPr>
        <w:t xml:space="preserve">. Il a expliqué que le thon obèse capturé dans l’océan Indien et importé par une CPC de l'ICCAT pourrait éventuellement nécessiter un CDS de l’ICCAT ainsi qu’un SDP de la </w:t>
      </w:r>
      <w:r w:rsidR="004C1EE8" w:rsidRPr="001F2AF6">
        <w:rPr>
          <w:szCs w:val="20"/>
        </w:rPr>
        <w:t>Commission des thons de l’océan Indien (</w:t>
      </w:r>
      <w:r w:rsidRPr="001F2AF6">
        <w:rPr>
          <w:szCs w:val="20"/>
        </w:rPr>
        <w:t>CTOI</w:t>
      </w:r>
      <w:r w:rsidR="004C1EE8" w:rsidRPr="001F2AF6">
        <w:rPr>
          <w:szCs w:val="20"/>
        </w:rPr>
        <w:t>)</w:t>
      </w:r>
      <w:r w:rsidRPr="001F2AF6">
        <w:rPr>
          <w:szCs w:val="20"/>
        </w:rPr>
        <w:t>. Le Japon a donc identifié le traitement des poissons capturés en dehors de la zone de la Convention de l’ICCAT comme une question à résoudre même si elle ne demandait aucune action immédiate.</w:t>
      </w:r>
    </w:p>
    <w:p w14:paraId="079740AF" w14:textId="33C92B55" w:rsidR="003C21EC" w:rsidRPr="001F2AF6" w:rsidRDefault="003C21EC" w:rsidP="00DF507E">
      <w:pPr>
        <w:spacing w:line="240" w:lineRule="auto"/>
        <w:ind w:left="0" w:firstLine="0"/>
        <w:jc w:val="both"/>
        <w:rPr>
          <w:szCs w:val="20"/>
        </w:rPr>
      </w:pPr>
    </w:p>
    <w:p w14:paraId="7412FC98" w14:textId="77777777" w:rsidR="006C1EE8" w:rsidRPr="001F2AF6" w:rsidRDefault="006C1EE8" w:rsidP="00DF507E">
      <w:pPr>
        <w:spacing w:line="240" w:lineRule="auto"/>
        <w:ind w:left="0" w:firstLine="0"/>
        <w:jc w:val="both"/>
        <w:rPr>
          <w:szCs w:val="20"/>
        </w:rPr>
      </w:pPr>
    </w:p>
    <w:p w14:paraId="5C40283D" w14:textId="6D391A6A" w:rsidR="001E5D22" w:rsidRPr="001F2AF6" w:rsidRDefault="00D17BC3" w:rsidP="002D34D5">
      <w:pPr>
        <w:pStyle w:val="Heading2"/>
        <w:tabs>
          <w:tab w:val="left" w:pos="426"/>
        </w:tabs>
        <w:spacing w:before="0" w:after="0" w:line="240" w:lineRule="auto"/>
        <w:jc w:val="both"/>
        <w:rPr>
          <w:rFonts w:ascii="Cambria" w:hAnsi="Cambria"/>
          <w:sz w:val="20"/>
          <w:szCs w:val="20"/>
        </w:rPr>
      </w:pPr>
      <w:r w:rsidRPr="001F2AF6">
        <w:rPr>
          <w:rFonts w:ascii="Cambria" w:hAnsi="Cambria"/>
          <w:b/>
          <w:color w:val="000000"/>
          <w:sz w:val="20"/>
          <w:szCs w:val="20"/>
        </w:rPr>
        <w:t>7.</w:t>
      </w:r>
      <w:r w:rsidR="006C1EE8" w:rsidRPr="001F2AF6">
        <w:rPr>
          <w:rFonts w:ascii="Cambria" w:hAnsi="Cambria"/>
          <w:b/>
          <w:color w:val="000000"/>
          <w:sz w:val="20"/>
          <w:szCs w:val="20"/>
        </w:rPr>
        <w:tab/>
      </w:r>
      <w:r w:rsidRPr="001F2AF6">
        <w:rPr>
          <w:rFonts w:ascii="Cambria" w:hAnsi="Cambria"/>
          <w:b/>
          <w:color w:val="000000"/>
          <w:sz w:val="20"/>
          <w:szCs w:val="20"/>
        </w:rPr>
        <w:t>Prise en compte des aspects opérationnels et techniques du CDS élargi</w:t>
      </w:r>
    </w:p>
    <w:p w14:paraId="665E22AA" w14:textId="77777777" w:rsidR="005B1E62" w:rsidRPr="001F2AF6" w:rsidRDefault="005B1E62" w:rsidP="00DF507E">
      <w:pPr>
        <w:spacing w:line="240" w:lineRule="auto"/>
        <w:jc w:val="both"/>
        <w:rPr>
          <w:szCs w:val="20"/>
        </w:rPr>
      </w:pPr>
    </w:p>
    <w:p w14:paraId="2454913E" w14:textId="7D992211" w:rsidR="001E5D22" w:rsidRPr="001F2AF6" w:rsidRDefault="00D17BC3" w:rsidP="00DF507E">
      <w:pPr>
        <w:spacing w:line="240" w:lineRule="auto"/>
        <w:jc w:val="both"/>
        <w:rPr>
          <w:szCs w:val="20"/>
        </w:rPr>
      </w:pPr>
      <w:r w:rsidRPr="001F2AF6">
        <w:rPr>
          <w:szCs w:val="20"/>
        </w:rPr>
        <w:t>Le Président a invité les CPC à soulever tout autre aspect opérationnel ou technique d’un CDS élargi non couvert au point 6 de l’ordre du jour. Aucune autre question n’a été soulevée.</w:t>
      </w:r>
    </w:p>
    <w:p w14:paraId="5B54AC46" w14:textId="77777777" w:rsidR="001E5D22" w:rsidRPr="001F2AF6" w:rsidRDefault="001E5D22" w:rsidP="00DF507E">
      <w:pPr>
        <w:spacing w:line="240" w:lineRule="auto"/>
        <w:jc w:val="both"/>
        <w:rPr>
          <w:szCs w:val="20"/>
        </w:rPr>
      </w:pPr>
    </w:p>
    <w:p w14:paraId="7B31C896" w14:textId="77777777" w:rsidR="003B5D64" w:rsidRPr="001F2AF6" w:rsidRDefault="003B5D64" w:rsidP="00DF507E">
      <w:pPr>
        <w:pStyle w:val="Heading2"/>
        <w:spacing w:before="0" w:after="0" w:line="240" w:lineRule="auto"/>
        <w:jc w:val="both"/>
        <w:rPr>
          <w:rFonts w:ascii="Cambria" w:hAnsi="Cambria"/>
          <w:b/>
          <w:color w:val="000000"/>
          <w:sz w:val="20"/>
          <w:szCs w:val="20"/>
        </w:rPr>
      </w:pPr>
    </w:p>
    <w:p w14:paraId="753AD803" w14:textId="4D8ED297" w:rsidR="001E5D22" w:rsidRPr="001F2AF6" w:rsidRDefault="00D17BC3" w:rsidP="003B5D64">
      <w:pPr>
        <w:pStyle w:val="Heading2"/>
        <w:spacing w:before="0" w:after="0" w:line="240" w:lineRule="auto"/>
        <w:ind w:left="426" w:hanging="426"/>
        <w:jc w:val="both"/>
        <w:rPr>
          <w:rFonts w:ascii="Cambria" w:hAnsi="Cambria"/>
          <w:sz w:val="20"/>
          <w:szCs w:val="20"/>
        </w:rPr>
      </w:pPr>
      <w:r w:rsidRPr="001F2AF6">
        <w:rPr>
          <w:rFonts w:ascii="Cambria" w:hAnsi="Cambria"/>
          <w:b/>
          <w:color w:val="000000"/>
          <w:sz w:val="20"/>
          <w:szCs w:val="20"/>
        </w:rPr>
        <w:t>8.</w:t>
      </w:r>
      <w:r w:rsidR="0074403E" w:rsidRPr="001F2AF6">
        <w:rPr>
          <w:rFonts w:ascii="Cambria" w:hAnsi="Cambria"/>
          <w:b/>
          <w:color w:val="000000"/>
          <w:sz w:val="20"/>
          <w:szCs w:val="20"/>
        </w:rPr>
        <w:tab/>
      </w:r>
      <w:r w:rsidRPr="001F2AF6">
        <w:rPr>
          <w:rFonts w:ascii="Cambria" w:hAnsi="Cambria"/>
          <w:b/>
          <w:color w:val="000000"/>
          <w:sz w:val="20"/>
          <w:szCs w:val="20"/>
        </w:rPr>
        <w:t>Résultats des travaux du CDS WG qui seront examinés lors de la réunion annuelle de 2026</w:t>
      </w:r>
    </w:p>
    <w:p w14:paraId="7AF7F6DA" w14:textId="77777777" w:rsidR="005B1E62" w:rsidRPr="001F2AF6" w:rsidRDefault="005B1E62" w:rsidP="00DF507E">
      <w:pPr>
        <w:spacing w:line="240" w:lineRule="auto"/>
        <w:jc w:val="both"/>
        <w:rPr>
          <w:szCs w:val="20"/>
        </w:rPr>
      </w:pPr>
    </w:p>
    <w:p w14:paraId="136DCCBD" w14:textId="62AA1681" w:rsidR="00B170DA" w:rsidRPr="001F2AF6" w:rsidRDefault="00206FCA" w:rsidP="00DF507E">
      <w:pPr>
        <w:spacing w:line="240" w:lineRule="auto"/>
        <w:jc w:val="both"/>
        <w:rPr>
          <w:szCs w:val="20"/>
        </w:rPr>
      </w:pPr>
      <w:r w:rsidRPr="001F2AF6">
        <w:rPr>
          <w:szCs w:val="20"/>
        </w:rPr>
        <w:t>Le Président a noté que le CDS WG n’était pas encore en mesure de soumettre un projet de recommandation sur un CDS élargi à la Commission en 2026 et a suggéré de réviser le plan de travail en conséquence. Le Japon a soutenu cette approche et a proposé que le CDS WG poursuive ses travaux en 2027. L’UE, le Sénégal et le Maroc se sont également déclarés favorables à la poursuite des travaux.</w:t>
      </w:r>
    </w:p>
    <w:p w14:paraId="659FC5EC" w14:textId="77777777" w:rsidR="00206FCA" w:rsidRPr="001F2AF6" w:rsidRDefault="00206FCA" w:rsidP="00DF507E">
      <w:pPr>
        <w:spacing w:line="240" w:lineRule="auto"/>
        <w:jc w:val="both"/>
        <w:rPr>
          <w:szCs w:val="20"/>
        </w:rPr>
      </w:pPr>
    </w:p>
    <w:p w14:paraId="7879C25C" w14:textId="34AACA95" w:rsidR="00066F47" w:rsidRPr="001F2AF6" w:rsidRDefault="004032B7" w:rsidP="00DF507E">
      <w:pPr>
        <w:spacing w:line="240" w:lineRule="auto"/>
        <w:jc w:val="both"/>
        <w:rPr>
          <w:szCs w:val="20"/>
        </w:rPr>
      </w:pPr>
      <w:r w:rsidRPr="001F2AF6">
        <w:rPr>
          <w:szCs w:val="20"/>
        </w:rPr>
        <w:t xml:space="preserve">Le Japon, l’UE, le Sénégal et le Maroc ont soutenu la reconstruction du système eBCD. Dans ce contexte, l’UE a souligné l’utilité de flux de travail configurables, tandis que le Maroc a noté la nécessité </w:t>
      </w:r>
      <w:r w:rsidR="00262D66" w:rsidRPr="001F2AF6">
        <w:rPr>
          <w:szCs w:val="20"/>
        </w:rPr>
        <w:t>d’</w:t>
      </w:r>
      <w:r w:rsidRPr="001F2AF6">
        <w:rPr>
          <w:szCs w:val="20"/>
        </w:rPr>
        <w:t>un système configurable.</w:t>
      </w:r>
    </w:p>
    <w:p w14:paraId="59EF7BA5" w14:textId="77777777" w:rsidR="004032B7" w:rsidRPr="001F2AF6" w:rsidRDefault="004032B7" w:rsidP="00DF507E">
      <w:pPr>
        <w:spacing w:line="240" w:lineRule="auto"/>
        <w:jc w:val="both"/>
        <w:rPr>
          <w:szCs w:val="20"/>
        </w:rPr>
      </w:pPr>
    </w:p>
    <w:p w14:paraId="5F8BED44" w14:textId="2CF46229" w:rsidR="0031275D" w:rsidRPr="001F2AF6" w:rsidRDefault="008574E8" w:rsidP="00DF507E">
      <w:pPr>
        <w:spacing w:line="240" w:lineRule="auto"/>
        <w:jc w:val="both"/>
        <w:rPr>
          <w:szCs w:val="20"/>
        </w:rPr>
      </w:pPr>
      <w:r w:rsidRPr="001F2AF6">
        <w:rPr>
          <w:szCs w:val="20"/>
        </w:rPr>
        <w:t>L’UE a demandé que les dépenses soient étalées sur plusieurs exercices financiers et que la Commission envisage de redéfinir les priorités de son budget et que cette question soit portée à l’attention de la Commission en novembre</w:t>
      </w:r>
      <w:r w:rsidR="00CA582F" w:rsidRPr="001F2AF6">
        <w:rPr>
          <w:szCs w:val="20"/>
        </w:rPr>
        <w:t xml:space="preserve"> 2026</w:t>
      </w:r>
      <w:r w:rsidRPr="001F2AF6">
        <w:rPr>
          <w:szCs w:val="20"/>
        </w:rPr>
        <w:t>.</w:t>
      </w:r>
    </w:p>
    <w:p w14:paraId="410409C0" w14:textId="77777777" w:rsidR="009D79FB" w:rsidRPr="001F2AF6" w:rsidRDefault="009D79FB" w:rsidP="00DF507E">
      <w:pPr>
        <w:spacing w:line="240" w:lineRule="auto"/>
        <w:jc w:val="both"/>
        <w:rPr>
          <w:szCs w:val="20"/>
        </w:rPr>
      </w:pPr>
    </w:p>
    <w:p w14:paraId="6458EA47" w14:textId="66D061BA" w:rsidR="009D79FB" w:rsidRPr="001F2AF6" w:rsidRDefault="009D79FB" w:rsidP="00DF507E">
      <w:pPr>
        <w:spacing w:line="240" w:lineRule="auto"/>
        <w:jc w:val="both"/>
        <w:rPr>
          <w:szCs w:val="20"/>
        </w:rPr>
      </w:pPr>
      <w:r w:rsidRPr="001F2AF6">
        <w:rPr>
          <w:szCs w:val="20"/>
        </w:rPr>
        <w:t>Le Sénégal s’est également déclaré en faveur de l’étalement des coûts substantiels inhérents à la reconstruction sur plusieurs années. Il a également noté que l’élargissement à des espèces supplémentaires ferait participer d’autres CPC qui n’utilisent actuellement pas le système eBCD et nécessiteraient donc un renforcement des capacités.</w:t>
      </w:r>
    </w:p>
    <w:p w14:paraId="08952656" w14:textId="77777777" w:rsidR="0031275D" w:rsidRPr="001F2AF6" w:rsidRDefault="0031275D" w:rsidP="00DF507E">
      <w:pPr>
        <w:spacing w:line="240" w:lineRule="auto"/>
        <w:jc w:val="both"/>
        <w:rPr>
          <w:szCs w:val="20"/>
        </w:rPr>
      </w:pPr>
    </w:p>
    <w:p w14:paraId="211F955D" w14:textId="161A4351" w:rsidR="001E5D22" w:rsidRPr="001F2AF6" w:rsidRDefault="00D17BC3" w:rsidP="00DF507E">
      <w:pPr>
        <w:spacing w:line="240" w:lineRule="auto"/>
        <w:jc w:val="both"/>
        <w:rPr>
          <w:szCs w:val="20"/>
        </w:rPr>
      </w:pPr>
      <w:r w:rsidRPr="001F2AF6">
        <w:rPr>
          <w:szCs w:val="20"/>
        </w:rPr>
        <w:t>Le Maroc a demandé que le prestataire affine les estimations des coûts, dans la mesure du possible, dans son rapport final.</w:t>
      </w:r>
    </w:p>
    <w:p w14:paraId="766A5B49" w14:textId="77777777" w:rsidR="0031275D" w:rsidRPr="001F2AF6" w:rsidRDefault="0031275D" w:rsidP="00DF507E">
      <w:pPr>
        <w:spacing w:line="240" w:lineRule="auto"/>
        <w:jc w:val="both"/>
        <w:rPr>
          <w:szCs w:val="20"/>
        </w:rPr>
      </w:pPr>
    </w:p>
    <w:p w14:paraId="53B1C7A2" w14:textId="2A8E86A8" w:rsidR="001E5D22" w:rsidRPr="001F2AF6" w:rsidRDefault="001B1C5F" w:rsidP="00DF507E">
      <w:pPr>
        <w:spacing w:line="240" w:lineRule="auto"/>
        <w:jc w:val="both"/>
        <w:rPr>
          <w:szCs w:val="20"/>
        </w:rPr>
      </w:pPr>
      <w:r w:rsidRPr="001F2AF6">
        <w:rPr>
          <w:szCs w:val="20"/>
        </w:rPr>
        <w:t>Le Japon a souligné que la reconstruction du système prenant en charge le thon rouge ne pouvait pas attendre les discussions à plus long terme sur un CDS élargi, tout en attirant également l’attention sur les ressources humaines limitées disponibles et la nécessité que le CDS WG établisse minutieusement l’ordre de priorités de sa charge de travail étant donné que les deux axes de travail progressaient en parallèle.</w:t>
      </w:r>
    </w:p>
    <w:p w14:paraId="0064A49B" w14:textId="77777777" w:rsidR="001B1C5F" w:rsidRPr="001F2AF6" w:rsidRDefault="001B1C5F" w:rsidP="00DF507E">
      <w:pPr>
        <w:spacing w:line="240" w:lineRule="auto"/>
        <w:jc w:val="both"/>
        <w:rPr>
          <w:szCs w:val="20"/>
        </w:rPr>
      </w:pPr>
    </w:p>
    <w:p w14:paraId="66446A31" w14:textId="672FFA53" w:rsidR="001E5D22" w:rsidRPr="001F2AF6" w:rsidRDefault="00D17BC3" w:rsidP="00DF507E">
      <w:pPr>
        <w:spacing w:line="240" w:lineRule="auto"/>
        <w:jc w:val="both"/>
        <w:rPr>
          <w:szCs w:val="20"/>
        </w:rPr>
      </w:pPr>
      <w:r w:rsidRPr="001F2AF6">
        <w:rPr>
          <w:szCs w:val="20"/>
        </w:rPr>
        <w:t>Bluefin Data a confirmé que la reconstruction était sa seule option de modernisation recommandée, soulignant l’importance de la participation des CPC à la préservation des connaissances opérationnelles et à la définition des exigences. Il a ajouté que la configurabilité permettrait au système de s’adapter plus facilement aux futures recommandations, à des espèces supplémentaires et à d’autres flux de travail.</w:t>
      </w:r>
    </w:p>
    <w:p w14:paraId="69AAB98F" w14:textId="77777777" w:rsidR="001E5D22" w:rsidRPr="001F2AF6" w:rsidRDefault="001E5D22" w:rsidP="00DF507E">
      <w:pPr>
        <w:spacing w:line="240" w:lineRule="auto"/>
        <w:jc w:val="both"/>
        <w:rPr>
          <w:szCs w:val="20"/>
        </w:rPr>
      </w:pPr>
    </w:p>
    <w:p w14:paraId="0464E8E4" w14:textId="05B02AD0" w:rsidR="009441C6" w:rsidRPr="001F2AF6" w:rsidRDefault="00895F7E" w:rsidP="00DF507E">
      <w:pPr>
        <w:spacing w:line="240" w:lineRule="auto"/>
        <w:jc w:val="both"/>
        <w:rPr>
          <w:szCs w:val="20"/>
        </w:rPr>
      </w:pPr>
      <w:r w:rsidRPr="001F2AF6">
        <w:rPr>
          <w:szCs w:val="20"/>
        </w:rPr>
        <w:t>Les États-Unis ont convenu qu’il était nécessaire de tenir une plus ample discussion sur les options de reconstruction et ont indiqué qu’ils menaient un examen interne des exigences budgétaires liées aux décisions à l’étude, y compris au futur élargissement potentiel du système à des espèces supplémentaires.</w:t>
      </w:r>
    </w:p>
    <w:p w14:paraId="5B56D830" w14:textId="77777777" w:rsidR="00422C62" w:rsidRPr="001F2AF6" w:rsidRDefault="00422C62" w:rsidP="00DF507E">
      <w:pPr>
        <w:spacing w:line="240" w:lineRule="auto"/>
        <w:jc w:val="both"/>
        <w:rPr>
          <w:szCs w:val="20"/>
        </w:rPr>
      </w:pPr>
    </w:p>
    <w:p w14:paraId="486A4E9A" w14:textId="55DFEF13" w:rsidR="00650D39" w:rsidRPr="001F2AF6" w:rsidRDefault="00650D39" w:rsidP="00DF507E">
      <w:pPr>
        <w:spacing w:line="240" w:lineRule="auto"/>
        <w:jc w:val="both"/>
        <w:rPr>
          <w:szCs w:val="20"/>
        </w:rPr>
      </w:pPr>
      <w:r w:rsidRPr="001F2AF6">
        <w:rPr>
          <w:szCs w:val="20"/>
        </w:rPr>
        <w:t xml:space="preserve">Pew a déploré qu’un projet de </w:t>
      </w:r>
      <w:r w:rsidR="00C460B3" w:rsidRPr="001F2AF6">
        <w:rPr>
          <w:szCs w:val="20"/>
        </w:rPr>
        <w:t xml:space="preserve">Recommandation </w:t>
      </w:r>
      <w:r w:rsidRPr="001F2AF6">
        <w:rPr>
          <w:szCs w:val="20"/>
        </w:rPr>
        <w:t xml:space="preserve">sur un CDS élargi ne puisse pas être soumis en 2026, mais a reconnu les avancées réalisées et a exhorté à l’adoption d’un plan de travail clair révisé pour 2027, notant qu’un </w:t>
      </w:r>
      <w:r w:rsidRPr="001F2AF6">
        <w:rPr>
          <w:szCs w:val="20"/>
        </w:rPr>
        <w:lastRenderedPageBreak/>
        <w:t>accord avait déjà été atteint sur la plupart des questions et que le CDS WG n’était pas loin d’un texte qui pourrait recueillir un large soutien.</w:t>
      </w:r>
    </w:p>
    <w:p w14:paraId="2A16E607" w14:textId="77777777" w:rsidR="00247A24" w:rsidRPr="001F2AF6" w:rsidRDefault="00247A24" w:rsidP="00DF507E">
      <w:pPr>
        <w:spacing w:line="240" w:lineRule="auto"/>
        <w:jc w:val="both"/>
        <w:rPr>
          <w:szCs w:val="20"/>
        </w:rPr>
      </w:pPr>
    </w:p>
    <w:p w14:paraId="07939DD3" w14:textId="2DB447BA" w:rsidR="001E5D22" w:rsidRPr="001F2AF6" w:rsidRDefault="00D17BC3" w:rsidP="00DF507E">
      <w:pPr>
        <w:spacing w:line="240" w:lineRule="auto"/>
        <w:jc w:val="both"/>
        <w:rPr>
          <w:szCs w:val="20"/>
        </w:rPr>
      </w:pPr>
      <w:r w:rsidRPr="001F2AF6">
        <w:rPr>
          <w:szCs w:val="20"/>
        </w:rPr>
        <w:t>Le Président a résumé le message convenu à adresser à la Commission : la reconstruction du système eBCD était urgente ; les implications financières et les mécanismes de financement potentiels nécessitaient l’examen de la Commission ; et les travaux sur la reconstruction et sur l’éventuel élargissement du CDS pourraient se poursuivre en parallèle. Le CDS WG attendrait le rapport final du prestataire et soumettrait les commentaires des CPC au cours du processus de reconstruction, y compris par le biais de réunions et de discussions techniques régulières. Le rapport de la réunion serait mis à la disposition du PWG et du STACFAD pour les tenir informés de ses discussions.</w:t>
      </w:r>
    </w:p>
    <w:p w14:paraId="451A69BD" w14:textId="77777777" w:rsidR="001E5D22" w:rsidRPr="001F2AF6" w:rsidRDefault="001E5D22" w:rsidP="00DF507E">
      <w:pPr>
        <w:spacing w:line="240" w:lineRule="auto"/>
        <w:jc w:val="both"/>
        <w:rPr>
          <w:szCs w:val="20"/>
        </w:rPr>
      </w:pPr>
    </w:p>
    <w:p w14:paraId="2DCD2F81" w14:textId="3E6FD566" w:rsidR="00E308CA" w:rsidRPr="001F2AF6" w:rsidRDefault="00B07A41" w:rsidP="00DF507E">
      <w:pPr>
        <w:spacing w:line="240" w:lineRule="auto"/>
        <w:jc w:val="both"/>
        <w:rPr>
          <w:szCs w:val="20"/>
        </w:rPr>
      </w:pPr>
      <w:r w:rsidRPr="001F2AF6">
        <w:rPr>
          <w:szCs w:val="20"/>
        </w:rPr>
        <w:t xml:space="preserve">Le Japon a suggéré que le </w:t>
      </w:r>
      <w:r w:rsidR="00C32546" w:rsidRPr="001F2AF6">
        <w:rPr>
          <w:szCs w:val="20"/>
        </w:rPr>
        <w:t>CDS WG</w:t>
      </w:r>
      <w:r w:rsidRPr="001F2AF6">
        <w:rPr>
          <w:szCs w:val="20"/>
        </w:rPr>
        <w:t xml:space="preserve"> se réunisse en présentiel en 2027, éventuellement conjointement avec la réunion IMM, afin de faciliter les discussions techniques détaillées. Bluefin Data s’est rallié à cette suggestion.</w:t>
      </w:r>
    </w:p>
    <w:p w14:paraId="4DAA06E7" w14:textId="77777777" w:rsidR="00776D19" w:rsidRPr="001F2AF6" w:rsidRDefault="00776D19" w:rsidP="00DF507E">
      <w:pPr>
        <w:spacing w:line="240" w:lineRule="auto"/>
        <w:jc w:val="both"/>
        <w:rPr>
          <w:szCs w:val="20"/>
        </w:rPr>
      </w:pPr>
    </w:p>
    <w:p w14:paraId="17D00C4A" w14:textId="77777777" w:rsidR="003B5D64" w:rsidRPr="001F2AF6" w:rsidRDefault="003B5D64" w:rsidP="00DF507E">
      <w:pPr>
        <w:spacing w:line="240" w:lineRule="auto"/>
        <w:jc w:val="both"/>
        <w:rPr>
          <w:szCs w:val="20"/>
        </w:rPr>
      </w:pPr>
    </w:p>
    <w:p w14:paraId="3EA70898" w14:textId="18E8587B" w:rsidR="001E5D22" w:rsidRPr="001F2AF6" w:rsidRDefault="00D17BC3" w:rsidP="003B5D64">
      <w:pPr>
        <w:pStyle w:val="Heading2"/>
        <w:spacing w:before="0" w:after="0" w:line="240" w:lineRule="auto"/>
        <w:ind w:left="426" w:hanging="426"/>
        <w:jc w:val="both"/>
        <w:rPr>
          <w:rFonts w:ascii="Cambria" w:hAnsi="Cambria"/>
          <w:sz w:val="20"/>
          <w:szCs w:val="20"/>
        </w:rPr>
      </w:pPr>
      <w:r w:rsidRPr="001F2AF6">
        <w:rPr>
          <w:rFonts w:ascii="Cambria" w:hAnsi="Cambria"/>
          <w:b/>
          <w:color w:val="000000"/>
          <w:sz w:val="20"/>
          <w:szCs w:val="20"/>
        </w:rPr>
        <w:t>9.</w:t>
      </w:r>
      <w:r w:rsidR="00776D19" w:rsidRPr="001F2AF6">
        <w:rPr>
          <w:rFonts w:ascii="Cambria" w:hAnsi="Cambria"/>
          <w:b/>
          <w:color w:val="000000"/>
          <w:sz w:val="20"/>
          <w:szCs w:val="20"/>
        </w:rPr>
        <w:tab/>
      </w:r>
      <w:r w:rsidRPr="001F2AF6">
        <w:rPr>
          <w:rFonts w:ascii="Cambria" w:hAnsi="Cambria"/>
          <w:b/>
          <w:color w:val="000000"/>
          <w:sz w:val="20"/>
          <w:szCs w:val="20"/>
        </w:rPr>
        <w:t>Autres questions</w:t>
      </w:r>
    </w:p>
    <w:p w14:paraId="37997CFC" w14:textId="77777777" w:rsidR="005B1E62" w:rsidRPr="001F2AF6" w:rsidRDefault="005B1E62" w:rsidP="00DF507E">
      <w:pPr>
        <w:spacing w:line="240" w:lineRule="auto"/>
        <w:jc w:val="both"/>
        <w:rPr>
          <w:szCs w:val="20"/>
        </w:rPr>
      </w:pPr>
    </w:p>
    <w:p w14:paraId="1B9FDF6E" w14:textId="187235E9" w:rsidR="0012667B" w:rsidRPr="001F2AF6" w:rsidRDefault="00C063C9" w:rsidP="00DF507E">
      <w:pPr>
        <w:spacing w:line="240" w:lineRule="auto"/>
        <w:jc w:val="both"/>
        <w:rPr>
          <w:szCs w:val="20"/>
        </w:rPr>
      </w:pPr>
      <w:r w:rsidRPr="001F2AF6">
        <w:rPr>
          <w:szCs w:val="20"/>
        </w:rPr>
        <w:t xml:space="preserve">Le Président a invité à soumettre des commentaires sur le document </w:t>
      </w:r>
      <w:r w:rsidR="00B752F3" w:rsidRPr="001F2AF6">
        <w:rPr>
          <w:szCs w:val="20"/>
        </w:rPr>
        <w:t>« Mise en œuvre du système eBCD / État d'avancement du projet eBCD (août 2026) » [</w:t>
      </w:r>
      <w:r w:rsidRPr="001F2AF6">
        <w:rPr>
          <w:szCs w:val="20"/>
        </w:rPr>
        <w:t>CDS_SEP_04</w:t>
      </w:r>
      <w:r w:rsidR="00B752F3" w:rsidRPr="001F2AF6">
        <w:rPr>
          <w:szCs w:val="20"/>
        </w:rPr>
        <w:t>/2026]</w:t>
      </w:r>
      <w:r w:rsidRPr="001F2AF6">
        <w:rPr>
          <w:szCs w:val="20"/>
        </w:rPr>
        <w:t>. Il a rappelé que la poursuite du développement du système eBCD avait été suspendu compte tenu de la reconstruction prévue, alors que des questions critiques continueraient à être traitées.</w:t>
      </w:r>
    </w:p>
    <w:p w14:paraId="32DEB0D6" w14:textId="77777777" w:rsidR="00C063C9" w:rsidRPr="001F2AF6" w:rsidRDefault="00C063C9" w:rsidP="00DF507E">
      <w:pPr>
        <w:spacing w:line="240" w:lineRule="auto"/>
        <w:jc w:val="both"/>
        <w:rPr>
          <w:szCs w:val="20"/>
        </w:rPr>
      </w:pPr>
    </w:p>
    <w:p w14:paraId="1A3F9164" w14:textId="1B3033C0" w:rsidR="002C37DD" w:rsidRPr="001F2AF6" w:rsidRDefault="00003F76" w:rsidP="00DF507E">
      <w:pPr>
        <w:spacing w:line="240" w:lineRule="auto"/>
        <w:jc w:val="both"/>
        <w:rPr>
          <w:szCs w:val="20"/>
        </w:rPr>
      </w:pPr>
      <w:r w:rsidRPr="001F2AF6">
        <w:rPr>
          <w:szCs w:val="20"/>
        </w:rPr>
        <w:t xml:space="preserve">En réponse à la demande de précisions du Maroc, le Président a expliqué que, comme cela avait été précédemment convenu, </w:t>
      </w:r>
      <w:r w:rsidR="00746173" w:rsidRPr="001F2AF6">
        <w:rPr>
          <w:szCs w:val="20"/>
        </w:rPr>
        <w:t>les nouvelles fonctionnalités</w:t>
      </w:r>
      <w:r w:rsidRPr="001F2AF6">
        <w:rPr>
          <w:szCs w:val="20"/>
        </w:rPr>
        <w:t xml:space="preserve"> du système eBCD actuel avaient été mises en attente en raison de la reconstruction prévue, alors que la maintenance urgente et des corrections nécessaires se poursuivraient.</w:t>
      </w:r>
    </w:p>
    <w:p w14:paraId="2402E7D5" w14:textId="77777777" w:rsidR="00003F76" w:rsidRPr="001F2AF6" w:rsidRDefault="00003F76" w:rsidP="00DF507E">
      <w:pPr>
        <w:spacing w:line="240" w:lineRule="auto"/>
        <w:jc w:val="both"/>
        <w:rPr>
          <w:szCs w:val="20"/>
        </w:rPr>
      </w:pPr>
    </w:p>
    <w:p w14:paraId="3A69DC54" w14:textId="02E40E94" w:rsidR="001E5D22" w:rsidRPr="001F2AF6" w:rsidRDefault="0012667B" w:rsidP="00DF507E">
      <w:pPr>
        <w:spacing w:line="240" w:lineRule="auto"/>
        <w:jc w:val="both"/>
        <w:rPr>
          <w:szCs w:val="20"/>
        </w:rPr>
      </w:pPr>
      <w:r w:rsidRPr="001F2AF6">
        <w:rPr>
          <w:szCs w:val="20"/>
        </w:rPr>
        <w:t>Aucune autre question n’a été soulevée.</w:t>
      </w:r>
    </w:p>
    <w:p w14:paraId="0C11D5E9" w14:textId="77777777" w:rsidR="00C23AA8" w:rsidRPr="001F2AF6" w:rsidRDefault="00C23AA8" w:rsidP="00DF507E">
      <w:pPr>
        <w:spacing w:line="240" w:lineRule="auto"/>
        <w:jc w:val="both"/>
        <w:rPr>
          <w:szCs w:val="20"/>
        </w:rPr>
      </w:pPr>
    </w:p>
    <w:p w14:paraId="1CD0D167" w14:textId="77777777" w:rsidR="00C23AA8" w:rsidRPr="001F2AF6" w:rsidRDefault="00C23AA8" w:rsidP="00DF507E">
      <w:pPr>
        <w:spacing w:line="240" w:lineRule="auto"/>
        <w:jc w:val="both"/>
        <w:rPr>
          <w:szCs w:val="20"/>
        </w:rPr>
      </w:pPr>
    </w:p>
    <w:p w14:paraId="63569729" w14:textId="5A1F1C96" w:rsidR="001E5D22" w:rsidRPr="001F2AF6" w:rsidRDefault="00D17BC3" w:rsidP="002D34D5">
      <w:pPr>
        <w:pStyle w:val="Heading2"/>
        <w:tabs>
          <w:tab w:val="left" w:pos="426"/>
        </w:tabs>
        <w:spacing w:before="0" w:after="0" w:line="240" w:lineRule="auto"/>
        <w:jc w:val="both"/>
        <w:rPr>
          <w:rFonts w:ascii="Cambria" w:hAnsi="Cambria"/>
          <w:sz w:val="20"/>
          <w:szCs w:val="20"/>
        </w:rPr>
      </w:pPr>
      <w:r w:rsidRPr="001F2AF6">
        <w:rPr>
          <w:rFonts w:ascii="Cambria" w:hAnsi="Cambria"/>
          <w:b/>
          <w:color w:val="000000"/>
          <w:sz w:val="20"/>
          <w:szCs w:val="20"/>
        </w:rPr>
        <w:t>10.</w:t>
      </w:r>
      <w:r w:rsidR="00C23AA8" w:rsidRPr="001F2AF6">
        <w:rPr>
          <w:rFonts w:ascii="Cambria" w:hAnsi="Cambria"/>
          <w:b/>
          <w:color w:val="000000"/>
          <w:sz w:val="20"/>
          <w:szCs w:val="20"/>
        </w:rPr>
        <w:tab/>
      </w:r>
      <w:r w:rsidRPr="001F2AF6">
        <w:rPr>
          <w:rFonts w:ascii="Cambria" w:hAnsi="Cambria"/>
          <w:b/>
          <w:color w:val="000000"/>
          <w:sz w:val="20"/>
          <w:szCs w:val="20"/>
        </w:rPr>
        <w:t>Adoption du rapport et clôture</w:t>
      </w:r>
    </w:p>
    <w:p w14:paraId="27D54C56" w14:textId="77777777" w:rsidR="005B1E62" w:rsidRPr="001F2AF6" w:rsidRDefault="005B1E62" w:rsidP="00DF507E">
      <w:pPr>
        <w:spacing w:line="240" w:lineRule="auto"/>
        <w:jc w:val="both"/>
        <w:rPr>
          <w:szCs w:val="20"/>
        </w:rPr>
      </w:pPr>
    </w:p>
    <w:p w14:paraId="58745062" w14:textId="4AB137AC" w:rsidR="001E5D22" w:rsidRPr="001F2AF6" w:rsidRDefault="00495E90" w:rsidP="00DF507E">
      <w:pPr>
        <w:spacing w:line="240" w:lineRule="auto"/>
        <w:jc w:val="both"/>
        <w:rPr>
          <w:szCs w:val="20"/>
        </w:rPr>
      </w:pPr>
      <w:r w:rsidRPr="001F2AF6">
        <w:rPr>
          <w:szCs w:val="20"/>
        </w:rPr>
        <w:t xml:space="preserve">Le Président a indiqué que </w:t>
      </w:r>
      <w:r w:rsidR="00311861" w:rsidRPr="001F2AF6">
        <w:rPr>
          <w:szCs w:val="20"/>
        </w:rPr>
        <w:t>son</w:t>
      </w:r>
      <w:r w:rsidRPr="001F2AF6">
        <w:rPr>
          <w:szCs w:val="20"/>
        </w:rPr>
        <w:t xml:space="preserve"> rapport serait </w:t>
      </w:r>
      <w:r w:rsidR="008A64E0" w:rsidRPr="001F2AF6">
        <w:rPr>
          <w:szCs w:val="20"/>
        </w:rPr>
        <w:t>circulé</w:t>
      </w:r>
      <w:r w:rsidRPr="001F2AF6">
        <w:rPr>
          <w:szCs w:val="20"/>
        </w:rPr>
        <w:t xml:space="preserve"> et adopté à la réunion annuelle</w:t>
      </w:r>
      <w:r w:rsidR="00311861" w:rsidRPr="001F2AF6">
        <w:rPr>
          <w:szCs w:val="20"/>
        </w:rPr>
        <w:t xml:space="preserve"> de 2026</w:t>
      </w:r>
      <w:r w:rsidRPr="001F2AF6">
        <w:rPr>
          <w:szCs w:val="20"/>
        </w:rPr>
        <w:t>.</w:t>
      </w:r>
      <w:r w:rsidR="00390A47" w:rsidRPr="001F2AF6">
        <w:rPr>
          <w:szCs w:val="20"/>
        </w:rPr>
        <w:t xml:space="preserve"> </w:t>
      </w:r>
    </w:p>
    <w:p w14:paraId="777987F3" w14:textId="77777777" w:rsidR="001A32C5" w:rsidRPr="001F2AF6" w:rsidRDefault="001A32C5" w:rsidP="001A32C5">
      <w:pPr>
        <w:spacing w:line="240" w:lineRule="auto"/>
        <w:ind w:left="0" w:firstLine="0"/>
        <w:rPr>
          <w:rFonts w:eastAsia="Times New Roman"/>
          <w:b/>
          <w:bCs/>
          <w:color w:val="auto"/>
          <w:kern w:val="0"/>
          <w:szCs w:val="20"/>
          <w14:ligatures w14:val="none"/>
        </w:rPr>
      </w:pPr>
      <w:r w:rsidRPr="001F2AF6">
        <w:rPr>
          <w:rFonts w:eastAsia="Times New Roman"/>
          <w:b/>
          <w:bCs/>
          <w:color w:val="auto"/>
          <w:kern w:val="0"/>
          <w:szCs w:val="20"/>
          <w14:ligatures w14:val="none"/>
        </w:rPr>
        <w:br w:type="page"/>
      </w:r>
    </w:p>
    <w:p w14:paraId="0C617987" w14:textId="77777777" w:rsidR="001A32C5" w:rsidRPr="001F2AF6" w:rsidRDefault="001A32C5" w:rsidP="001A32C5">
      <w:pPr>
        <w:tabs>
          <w:tab w:val="left" w:pos="1276"/>
          <w:tab w:val="right" w:leader="dot" w:pos="8505"/>
          <w:tab w:val="right" w:pos="9072"/>
        </w:tabs>
        <w:autoSpaceDE w:val="0"/>
        <w:adjustRightInd w:val="0"/>
        <w:spacing w:after="40" w:line="240" w:lineRule="auto"/>
        <w:ind w:left="0" w:right="-1" w:firstLine="0"/>
        <w:jc w:val="right"/>
        <w:rPr>
          <w:rFonts w:eastAsia="Times New Roman"/>
          <w:b/>
          <w:bCs/>
          <w:color w:val="auto"/>
          <w:kern w:val="0"/>
          <w:szCs w:val="20"/>
          <w14:ligatures w14:val="none"/>
        </w:rPr>
      </w:pPr>
      <w:r w:rsidRPr="001F2AF6">
        <w:rPr>
          <w:rFonts w:eastAsia="Times New Roman"/>
          <w:b/>
          <w:bCs/>
          <w:color w:val="auto"/>
          <w:kern w:val="0"/>
          <w:szCs w:val="20"/>
          <w14:ligatures w14:val="none"/>
        </w:rPr>
        <w:lastRenderedPageBreak/>
        <w:t>Appendice 1</w:t>
      </w:r>
    </w:p>
    <w:p w14:paraId="127FFA73" w14:textId="77777777" w:rsidR="001A32C5" w:rsidRPr="001F2AF6" w:rsidRDefault="001A32C5" w:rsidP="001A32C5">
      <w:pPr>
        <w:tabs>
          <w:tab w:val="left" w:pos="1276"/>
          <w:tab w:val="right" w:leader="dot" w:pos="8505"/>
          <w:tab w:val="right" w:pos="9072"/>
        </w:tabs>
        <w:autoSpaceDE w:val="0"/>
        <w:adjustRightInd w:val="0"/>
        <w:spacing w:after="40" w:line="240" w:lineRule="auto"/>
        <w:ind w:left="0" w:right="-1" w:firstLine="0"/>
        <w:rPr>
          <w:rFonts w:eastAsia="Times New Roman"/>
          <w:b/>
          <w:bCs/>
          <w:color w:val="auto"/>
          <w:kern w:val="0"/>
          <w:szCs w:val="20"/>
          <w14:ligatures w14:val="none"/>
        </w:rPr>
      </w:pPr>
    </w:p>
    <w:p w14:paraId="3FFB6A1F" w14:textId="4E91D984" w:rsidR="00F961AC" w:rsidRPr="001F2AF6" w:rsidRDefault="00F961AC" w:rsidP="00F961AC">
      <w:pPr>
        <w:spacing w:line="240" w:lineRule="auto"/>
        <w:jc w:val="center"/>
        <w:rPr>
          <w:rFonts w:eastAsia="Yu Mincho" w:cs="Arial"/>
          <w:b/>
          <w:bCs/>
          <w:szCs w:val="20"/>
        </w:rPr>
      </w:pPr>
      <w:r w:rsidRPr="001F2AF6">
        <w:rPr>
          <w:rFonts w:eastAsia="Times New Roman" w:cs="Times New Roman"/>
          <w:b/>
          <w:szCs w:val="20"/>
        </w:rPr>
        <w:t xml:space="preserve">Ordre du jour </w:t>
      </w:r>
    </w:p>
    <w:p w14:paraId="78EB343E" w14:textId="77777777" w:rsidR="00F961AC" w:rsidRPr="001F2AF6" w:rsidRDefault="00F961AC" w:rsidP="00F961AC">
      <w:pPr>
        <w:spacing w:line="220" w:lineRule="exact"/>
        <w:jc w:val="center"/>
        <w:rPr>
          <w:rFonts w:eastAsia="MS Mincho" w:cs="Times New Roman"/>
          <w:b/>
          <w:bCs/>
          <w:szCs w:val="20"/>
        </w:rPr>
      </w:pPr>
    </w:p>
    <w:p w14:paraId="72403265"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Ouverture et organisation de la réunion</w:t>
      </w:r>
    </w:p>
    <w:p w14:paraId="23DA40E8" w14:textId="77777777" w:rsidR="00F961AC" w:rsidRPr="001F2AF6" w:rsidRDefault="00F961AC" w:rsidP="00F961AC">
      <w:pPr>
        <w:spacing w:line="220" w:lineRule="exact"/>
        <w:rPr>
          <w:rFonts w:eastAsia="MS Mincho" w:cs="Times New Roman"/>
          <w:szCs w:val="20"/>
        </w:rPr>
      </w:pPr>
    </w:p>
    <w:p w14:paraId="06F8D3A2"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 xml:space="preserve">Désignation du rapporteur </w:t>
      </w:r>
    </w:p>
    <w:p w14:paraId="12DBAF0B" w14:textId="77777777" w:rsidR="00F961AC" w:rsidRPr="001F2AF6" w:rsidRDefault="00F961AC" w:rsidP="00F961AC">
      <w:pPr>
        <w:tabs>
          <w:tab w:val="left" w:pos="426"/>
        </w:tabs>
        <w:spacing w:line="220" w:lineRule="exact"/>
        <w:rPr>
          <w:rFonts w:eastAsia="MS Mincho" w:cs="Times New Roman"/>
          <w:szCs w:val="20"/>
        </w:rPr>
      </w:pPr>
    </w:p>
    <w:p w14:paraId="10D6ED86"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Adoption de l’ordre du jour</w:t>
      </w:r>
    </w:p>
    <w:p w14:paraId="2062EDD2" w14:textId="77777777" w:rsidR="00F961AC" w:rsidRPr="001F2AF6" w:rsidRDefault="00F961AC" w:rsidP="00F961AC">
      <w:pPr>
        <w:tabs>
          <w:tab w:val="left" w:pos="426"/>
        </w:tabs>
        <w:spacing w:line="220" w:lineRule="exact"/>
        <w:rPr>
          <w:rFonts w:eastAsia="MS Mincho" w:cs="Times New Roman"/>
          <w:szCs w:val="20"/>
        </w:rPr>
      </w:pPr>
    </w:p>
    <w:p w14:paraId="0E4A575A"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Mise à jour et présentation de l’étude de faisabilité sur la migration technologique du système eBCD et les options d'extension à plusieurs autres espèces</w:t>
      </w:r>
    </w:p>
    <w:p w14:paraId="5505C4CD" w14:textId="77777777" w:rsidR="00F961AC" w:rsidRPr="001F2AF6" w:rsidRDefault="00F961AC" w:rsidP="00F961AC">
      <w:pPr>
        <w:tabs>
          <w:tab w:val="left" w:pos="426"/>
        </w:tabs>
        <w:spacing w:line="220" w:lineRule="exact"/>
        <w:rPr>
          <w:rFonts w:eastAsia="MS Mincho" w:cs="Times New Roman"/>
          <w:szCs w:val="20"/>
        </w:rPr>
      </w:pPr>
    </w:p>
    <w:p w14:paraId="595BD3A6"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Times New Roman" w:cs="Times New Roman"/>
          <w:szCs w:val="20"/>
        </w:rPr>
      </w:pPr>
      <w:r w:rsidRPr="001F2AF6">
        <w:rPr>
          <w:rFonts w:eastAsia="Times New Roman" w:cs="Times New Roman"/>
          <w:szCs w:val="20"/>
        </w:rPr>
        <w:t>Présentation du système CDS et familiarisation avec celui-ci, et objectif et implications de l'extension du CDS à l’ICCAT</w:t>
      </w:r>
    </w:p>
    <w:p w14:paraId="32D365B7" w14:textId="77777777" w:rsidR="00F961AC" w:rsidRPr="001F2AF6" w:rsidRDefault="00F961AC" w:rsidP="00F961AC">
      <w:pPr>
        <w:widowControl w:val="0"/>
        <w:spacing w:line="240" w:lineRule="auto"/>
        <w:ind w:left="720"/>
        <w:contextualSpacing/>
        <w:jc w:val="both"/>
        <w:rPr>
          <w:rFonts w:eastAsia="MS Mincho" w:cs="Times New Roman"/>
          <w:szCs w:val="20"/>
        </w:rPr>
      </w:pPr>
    </w:p>
    <w:p w14:paraId="72F1F239"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Times New Roman" w:cs="Times New Roman"/>
          <w:szCs w:val="20"/>
        </w:rPr>
      </w:pPr>
      <w:r w:rsidRPr="001F2AF6">
        <w:rPr>
          <w:rFonts w:eastAsia="Times New Roman" w:cs="Times New Roman"/>
          <w:szCs w:val="20"/>
        </w:rPr>
        <w:t>Poursuite des travaux visant à définir les éléments clés des systèmes de documentation des captures (CDS) élargis qui pourraient être mis en place au sein de l’ICCAT</w:t>
      </w:r>
    </w:p>
    <w:p w14:paraId="46E65F41" w14:textId="77777777" w:rsidR="00F961AC" w:rsidRPr="001F2AF6" w:rsidRDefault="00F961AC" w:rsidP="00F961AC">
      <w:pPr>
        <w:tabs>
          <w:tab w:val="left" w:pos="426"/>
        </w:tabs>
        <w:spacing w:line="220" w:lineRule="exact"/>
        <w:rPr>
          <w:rFonts w:eastAsia="Times New Roman" w:cs="Times New Roman"/>
          <w:szCs w:val="20"/>
        </w:rPr>
      </w:pPr>
    </w:p>
    <w:p w14:paraId="0EE125D8"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Times New Roman" w:cs="Times New Roman"/>
          <w:szCs w:val="20"/>
        </w:rPr>
      </w:pPr>
      <w:r w:rsidRPr="001F2AF6">
        <w:rPr>
          <w:rFonts w:eastAsia="Times New Roman" w:cs="Times New Roman"/>
          <w:szCs w:val="20"/>
        </w:rPr>
        <w:t>Prise en compte des aspects opérationnels et techniques du CDS élargi</w:t>
      </w:r>
    </w:p>
    <w:p w14:paraId="6E759227" w14:textId="77777777" w:rsidR="00F961AC" w:rsidRPr="001F2AF6" w:rsidRDefault="00F961AC" w:rsidP="00F961AC">
      <w:pPr>
        <w:tabs>
          <w:tab w:val="left" w:pos="426"/>
        </w:tabs>
        <w:spacing w:line="220" w:lineRule="exact"/>
        <w:rPr>
          <w:rFonts w:eastAsia="Times New Roman" w:cs="Times New Roman"/>
          <w:szCs w:val="20"/>
        </w:rPr>
      </w:pPr>
    </w:p>
    <w:p w14:paraId="2F74D556"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Times New Roman" w:cs="Times New Roman"/>
          <w:szCs w:val="20"/>
        </w:rPr>
      </w:pPr>
      <w:r w:rsidRPr="001F2AF6">
        <w:rPr>
          <w:rFonts w:eastAsia="Times New Roman" w:cs="Times New Roman"/>
          <w:szCs w:val="20"/>
        </w:rPr>
        <w:t>Résultats des travaux du CDS WG qui seront examinés lors de la réunion annuelle de 2026</w:t>
      </w:r>
    </w:p>
    <w:p w14:paraId="3028FEC3" w14:textId="77777777" w:rsidR="00F961AC" w:rsidRPr="001F2AF6" w:rsidRDefault="00F961AC" w:rsidP="00F961AC">
      <w:pPr>
        <w:tabs>
          <w:tab w:val="left" w:pos="426"/>
        </w:tabs>
        <w:spacing w:line="220" w:lineRule="exact"/>
        <w:ind w:left="-720"/>
        <w:rPr>
          <w:rFonts w:eastAsia="Times New Roman" w:cs="Times New Roman"/>
          <w:szCs w:val="20"/>
        </w:rPr>
      </w:pPr>
    </w:p>
    <w:p w14:paraId="2FC2535C"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 xml:space="preserve">Autres questions </w:t>
      </w:r>
    </w:p>
    <w:p w14:paraId="4D04C610" w14:textId="77777777" w:rsidR="00F961AC" w:rsidRPr="001F2AF6" w:rsidRDefault="00F961AC" w:rsidP="00F961AC">
      <w:pPr>
        <w:tabs>
          <w:tab w:val="left" w:pos="426"/>
        </w:tabs>
        <w:spacing w:line="220" w:lineRule="exact"/>
        <w:rPr>
          <w:rFonts w:eastAsia="MS Mincho" w:cs="Times New Roman"/>
          <w:szCs w:val="20"/>
        </w:rPr>
      </w:pPr>
    </w:p>
    <w:p w14:paraId="4B2F4541" w14:textId="77777777" w:rsidR="00F961AC" w:rsidRPr="001F2AF6" w:rsidRDefault="00F961AC" w:rsidP="00F961AC">
      <w:pPr>
        <w:widowControl w:val="0"/>
        <w:numPr>
          <w:ilvl w:val="0"/>
          <w:numId w:val="27"/>
        </w:numPr>
        <w:tabs>
          <w:tab w:val="left" w:pos="426"/>
        </w:tabs>
        <w:autoSpaceDE w:val="0"/>
        <w:autoSpaceDN w:val="0"/>
        <w:adjustRightInd w:val="0"/>
        <w:spacing w:line="220" w:lineRule="exact"/>
        <w:ind w:left="420"/>
        <w:contextualSpacing/>
        <w:jc w:val="both"/>
        <w:rPr>
          <w:rFonts w:eastAsia="MS Mincho" w:cs="Times New Roman"/>
          <w:szCs w:val="20"/>
        </w:rPr>
      </w:pPr>
      <w:r w:rsidRPr="001F2AF6">
        <w:rPr>
          <w:rFonts w:eastAsia="Times New Roman" w:cs="Times New Roman"/>
          <w:szCs w:val="20"/>
        </w:rPr>
        <w:t>Adoption du rapport et clôture</w:t>
      </w:r>
    </w:p>
    <w:p w14:paraId="6F80A899" w14:textId="77777777" w:rsidR="00F961AC" w:rsidRPr="001F2AF6" w:rsidRDefault="00F961AC" w:rsidP="00F961AC">
      <w:pPr>
        <w:widowControl w:val="0"/>
        <w:tabs>
          <w:tab w:val="left" w:pos="426"/>
        </w:tabs>
        <w:autoSpaceDE w:val="0"/>
        <w:autoSpaceDN w:val="0"/>
        <w:adjustRightInd w:val="0"/>
        <w:spacing w:line="240" w:lineRule="auto"/>
        <w:contextualSpacing/>
        <w:jc w:val="both"/>
        <w:rPr>
          <w:rFonts w:eastAsia="Times New Roman" w:cs="Times New Roman"/>
          <w:szCs w:val="20"/>
          <w:lang w:eastAsia="es-ES" w:bidi="es-ES"/>
        </w:rPr>
      </w:pPr>
    </w:p>
    <w:p w14:paraId="52B7CF6A" w14:textId="77777777" w:rsidR="001A32C5" w:rsidRPr="001F2AF6" w:rsidRDefault="001A32C5" w:rsidP="001A32C5">
      <w:pPr>
        <w:tabs>
          <w:tab w:val="left" w:pos="1276"/>
          <w:tab w:val="right" w:leader="dot" w:pos="8505"/>
          <w:tab w:val="right" w:pos="9072"/>
        </w:tabs>
        <w:autoSpaceDE w:val="0"/>
        <w:adjustRightInd w:val="0"/>
        <w:spacing w:after="40" w:line="240" w:lineRule="auto"/>
        <w:ind w:left="0" w:right="-1" w:firstLine="0"/>
        <w:rPr>
          <w:rFonts w:eastAsia="Times New Roman"/>
          <w:b/>
          <w:bCs/>
          <w:color w:val="auto"/>
          <w:kern w:val="0"/>
          <w:szCs w:val="20"/>
          <w14:ligatures w14:val="none"/>
        </w:rPr>
      </w:pPr>
    </w:p>
    <w:p w14:paraId="709CF3D7" w14:textId="77777777" w:rsidR="001A32C5" w:rsidRPr="001F2AF6" w:rsidRDefault="001A32C5" w:rsidP="001A32C5">
      <w:pPr>
        <w:tabs>
          <w:tab w:val="left" w:pos="1276"/>
          <w:tab w:val="right" w:leader="dot" w:pos="8505"/>
          <w:tab w:val="right" w:pos="9072"/>
        </w:tabs>
        <w:autoSpaceDE w:val="0"/>
        <w:adjustRightInd w:val="0"/>
        <w:spacing w:after="40" w:line="240" w:lineRule="auto"/>
        <w:ind w:left="0" w:right="-1" w:firstLine="0"/>
        <w:rPr>
          <w:rFonts w:eastAsia="Times New Roman"/>
          <w:b/>
          <w:bCs/>
          <w:color w:val="auto"/>
          <w:kern w:val="0"/>
          <w:szCs w:val="20"/>
          <w14:ligatures w14:val="none"/>
        </w:rPr>
      </w:pPr>
    </w:p>
    <w:p w14:paraId="5043733E" w14:textId="77777777" w:rsidR="001A32C5" w:rsidRPr="001F2AF6" w:rsidRDefault="001A32C5" w:rsidP="001A32C5">
      <w:pPr>
        <w:spacing w:line="240" w:lineRule="auto"/>
        <w:ind w:left="0" w:firstLine="0"/>
        <w:rPr>
          <w:rFonts w:eastAsia="Times New Roman"/>
          <w:b/>
          <w:bCs/>
          <w:color w:val="auto"/>
          <w:kern w:val="0"/>
          <w:szCs w:val="20"/>
          <w14:ligatures w14:val="none"/>
        </w:rPr>
      </w:pPr>
      <w:r w:rsidRPr="001F2AF6">
        <w:rPr>
          <w:rFonts w:eastAsia="Times New Roman"/>
          <w:b/>
          <w:bCs/>
          <w:color w:val="auto"/>
          <w:kern w:val="0"/>
          <w:szCs w:val="20"/>
          <w14:ligatures w14:val="none"/>
        </w:rPr>
        <w:br w:type="page"/>
      </w:r>
    </w:p>
    <w:p w14:paraId="46A90058" w14:textId="77777777" w:rsidR="001A32C5" w:rsidRPr="001F2AF6" w:rsidRDefault="001A32C5" w:rsidP="001A32C5">
      <w:pPr>
        <w:tabs>
          <w:tab w:val="left" w:pos="1276"/>
          <w:tab w:val="right" w:leader="dot" w:pos="8505"/>
          <w:tab w:val="right" w:pos="9072"/>
        </w:tabs>
        <w:autoSpaceDE w:val="0"/>
        <w:adjustRightInd w:val="0"/>
        <w:spacing w:after="40" w:line="240" w:lineRule="auto"/>
        <w:ind w:left="0" w:right="-1" w:firstLine="0"/>
        <w:jc w:val="right"/>
        <w:rPr>
          <w:rFonts w:eastAsia="Times New Roman"/>
          <w:b/>
          <w:bCs/>
          <w:color w:val="auto"/>
          <w:kern w:val="0"/>
          <w:szCs w:val="20"/>
          <w14:ligatures w14:val="none"/>
        </w:rPr>
      </w:pPr>
      <w:r w:rsidRPr="001F2AF6">
        <w:rPr>
          <w:rFonts w:eastAsia="Times New Roman"/>
          <w:b/>
          <w:bCs/>
          <w:color w:val="auto"/>
          <w:kern w:val="0"/>
          <w:szCs w:val="20"/>
          <w14:ligatures w14:val="none"/>
        </w:rPr>
        <w:lastRenderedPageBreak/>
        <w:t>Appendice 2</w:t>
      </w:r>
    </w:p>
    <w:p w14:paraId="5C7EFC3F" w14:textId="77777777" w:rsidR="001A32C5" w:rsidRPr="001F2AF6" w:rsidRDefault="001A32C5" w:rsidP="001A32C5">
      <w:pPr>
        <w:spacing w:line="240" w:lineRule="auto"/>
        <w:ind w:left="0" w:firstLine="0"/>
        <w:jc w:val="center"/>
        <w:rPr>
          <w:color w:val="auto"/>
          <w:kern w:val="0"/>
          <w:szCs w:val="20"/>
          <w:lang w:eastAsia="en-GB"/>
          <w14:ligatures w14:val="none"/>
        </w:rPr>
      </w:pPr>
      <w:r w:rsidRPr="001F2AF6">
        <w:rPr>
          <w:b/>
          <w:color w:val="auto"/>
          <w:kern w:val="0"/>
          <w:szCs w:val="20"/>
          <w:lang w:eastAsia="en-GB"/>
          <w14:ligatures w14:val="none"/>
        </w:rPr>
        <w:t xml:space="preserve">Liste des participants </w:t>
      </w:r>
      <w:r w:rsidRPr="001F2AF6">
        <w:rPr>
          <w:b/>
          <w:color w:val="auto"/>
          <w:kern w:val="0"/>
          <w:szCs w:val="20"/>
          <w:vertAlign w:val="superscript"/>
          <w:lang w:eastAsia="en-GB"/>
          <w14:ligatures w14:val="none"/>
        </w:rPr>
        <w:footnoteReference w:customMarkFollows="1" w:id="1"/>
        <w:sym w:font="Symbol" w:char="F02A"/>
      </w:r>
      <w:r w:rsidRPr="001F2AF6">
        <w:rPr>
          <w:b/>
          <w:color w:val="auto"/>
          <w:kern w:val="0"/>
          <w:szCs w:val="20"/>
          <w:vertAlign w:val="superscript"/>
          <w:lang w:eastAsia="en-GB"/>
          <w14:ligatures w14:val="none"/>
        </w:rPr>
        <w:t xml:space="preserve"> </w:t>
      </w:r>
      <w:r w:rsidRPr="001F2AF6">
        <w:rPr>
          <w:b/>
          <w:color w:val="auto"/>
          <w:kern w:val="0"/>
          <w:szCs w:val="20"/>
          <w:vertAlign w:val="superscript"/>
          <w:lang w:eastAsia="en-GB"/>
          <w14:ligatures w14:val="none"/>
        </w:rPr>
        <w:footnoteReference w:id="2"/>
      </w:r>
    </w:p>
    <w:p w14:paraId="0E9FD348" w14:textId="77777777" w:rsidR="001A32C5" w:rsidRPr="001F2AF6" w:rsidRDefault="001A32C5" w:rsidP="001A32C5">
      <w:pPr>
        <w:spacing w:line="240" w:lineRule="auto"/>
        <w:ind w:left="0" w:firstLine="0"/>
        <w:jc w:val="both"/>
        <w:rPr>
          <w:b/>
          <w:i/>
          <w:color w:val="auto"/>
          <w:kern w:val="0"/>
          <w:sz w:val="8"/>
          <w:szCs w:val="8"/>
          <w:lang w:eastAsia="en-GB"/>
          <w14:ligatures w14:val="none"/>
        </w:rPr>
      </w:pPr>
    </w:p>
    <w:p w14:paraId="24793531" w14:textId="77777777" w:rsidR="001A32C5" w:rsidRPr="001F2AF6" w:rsidRDefault="001A32C5" w:rsidP="001A32C5">
      <w:pPr>
        <w:spacing w:line="240" w:lineRule="auto"/>
        <w:ind w:left="0" w:firstLine="0"/>
        <w:jc w:val="both"/>
        <w:rPr>
          <w:b/>
          <w:i/>
          <w:color w:val="auto"/>
          <w:kern w:val="0"/>
          <w:szCs w:val="20"/>
          <w:lang w:eastAsia="en-GB"/>
          <w14:ligatures w14:val="none"/>
        </w:rPr>
      </w:pPr>
      <w:r w:rsidRPr="001F2AF6">
        <w:rPr>
          <w:b/>
          <w:i/>
          <w:color w:val="auto"/>
          <w:kern w:val="0"/>
          <w:szCs w:val="20"/>
          <w:lang w:eastAsia="en-GB"/>
          <w14:ligatures w14:val="none"/>
        </w:rPr>
        <w:t>PARTIES CONTRACTANTES</w:t>
      </w:r>
    </w:p>
    <w:p w14:paraId="58FA6FF1" w14:textId="77777777" w:rsidR="001A32C5" w:rsidRPr="001F2AF6" w:rsidRDefault="001A32C5" w:rsidP="001A32C5">
      <w:pPr>
        <w:spacing w:line="240" w:lineRule="auto"/>
        <w:ind w:left="0" w:firstLine="0"/>
        <w:jc w:val="both"/>
        <w:rPr>
          <w:color w:val="auto"/>
          <w:kern w:val="0"/>
          <w:szCs w:val="20"/>
          <w14:ligatures w14:val="none"/>
        </w:rPr>
      </w:pPr>
    </w:p>
    <w:p w14:paraId="1AA553E9"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Cs w:val="20"/>
          <w:lang w:val="en-US"/>
          <w14:ligatures w14:val="none"/>
        </w:rPr>
        <w:t>CANADA</w:t>
      </w:r>
    </w:p>
    <w:p w14:paraId="5390BF93"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Hamoui</w:t>
      </w:r>
      <w:r w:rsidRPr="001F2AF6">
        <w:rPr>
          <w:color w:val="auto"/>
          <w:kern w:val="0"/>
          <w:sz w:val="18"/>
          <w:szCs w:val="20"/>
          <w:lang w:val="en-US"/>
          <w14:ligatures w14:val="none"/>
        </w:rPr>
        <w:t>, Nadia</w:t>
      </w:r>
    </w:p>
    <w:p w14:paraId="73125180"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Junior Policy Analyst, International Fisheries Policy, Fisheries &amp; Oceans Canada, 200 Kent Street, Ottawa K1AOE6</w:t>
      </w:r>
    </w:p>
    <w:p w14:paraId="20CD994F"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+1 613 302 2835, E-Mail: nadia.hamoui@dfo-mpo.gc.ca</w:t>
      </w:r>
    </w:p>
    <w:p w14:paraId="0A7F1E48" w14:textId="77777777" w:rsidR="001A32C5" w:rsidRPr="001F2AF6" w:rsidRDefault="001A32C5" w:rsidP="001A32C5">
      <w:pPr>
        <w:spacing w:line="240" w:lineRule="auto"/>
        <w:ind w:left="0" w:firstLine="0"/>
        <w:rPr>
          <w:color w:val="auto"/>
          <w:kern w:val="0"/>
          <w:szCs w:val="20"/>
          <w:lang w:val="pt-PT"/>
          <w14:ligatures w14:val="none"/>
        </w:rPr>
      </w:pPr>
    </w:p>
    <w:p w14:paraId="49B95492"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Cs w:val="20"/>
          <w:lang w:val="en-US"/>
          <w14:ligatures w14:val="none"/>
        </w:rPr>
        <w:t>EGYPTE</w:t>
      </w:r>
    </w:p>
    <w:p w14:paraId="65EE4984"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Hammam</w:t>
      </w:r>
      <w:r w:rsidRPr="001F2AF6">
        <w:rPr>
          <w:color w:val="auto"/>
          <w:kern w:val="0"/>
          <w:sz w:val="18"/>
          <w:szCs w:val="20"/>
          <w:lang w:val="en-US"/>
          <w14:ligatures w14:val="none"/>
        </w:rPr>
        <w:t>, Doaa *</w:t>
      </w:r>
    </w:p>
    <w:p w14:paraId="01873D0D"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Lakes and Fish Resources Protection and Development Agency, 210, area B - City, 5th District Road 90, 11311 New Cairo</w:t>
      </w:r>
    </w:p>
    <w:p w14:paraId="3C3DC502" w14:textId="77777777" w:rsidR="001A32C5" w:rsidRPr="001F2AF6" w:rsidRDefault="001A32C5" w:rsidP="001A32C5">
      <w:pPr>
        <w:spacing w:line="240" w:lineRule="auto"/>
        <w:ind w:left="0" w:firstLine="0"/>
        <w:jc w:val="both"/>
        <w:rPr>
          <w:color w:val="auto"/>
          <w:kern w:val="0"/>
          <w:szCs w:val="20"/>
          <w:lang w:val="it-IT"/>
          <w14:ligatures w14:val="none"/>
        </w:rPr>
      </w:pPr>
      <w:r w:rsidRPr="001F2AF6">
        <w:rPr>
          <w:color w:val="auto"/>
          <w:kern w:val="0"/>
          <w:sz w:val="18"/>
          <w:szCs w:val="20"/>
          <w:lang w:val="it-IT"/>
          <w14:ligatures w14:val="none"/>
        </w:rPr>
        <w:t>Tel: +201 117 507 513, Fax: +202 281 17007, E-Mail: gafrd_eg@hotmail.com</w:t>
      </w:r>
    </w:p>
    <w:p w14:paraId="28BBBACA" w14:textId="77777777" w:rsidR="001A32C5" w:rsidRPr="001F2AF6" w:rsidRDefault="001A32C5" w:rsidP="001A32C5">
      <w:pPr>
        <w:spacing w:line="240" w:lineRule="auto"/>
        <w:ind w:left="0" w:firstLine="0"/>
        <w:rPr>
          <w:color w:val="auto"/>
          <w:kern w:val="0"/>
          <w:szCs w:val="20"/>
          <w:lang w:val="it-IT"/>
          <w14:ligatures w14:val="none"/>
        </w:rPr>
      </w:pPr>
    </w:p>
    <w:p w14:paraId="1A7A5CD8" w14:textId="77777777" w:rsidR="00814FEE" w:rsidRPr="001F2AF6" w:rsidRDefault="00814FEE" w:rsidP="00814FEE">
      <w:pPr>
        <w:spacing w:line="240" w:lineRule="auto"/>
        <w:ind w:left="0" w:firstLine="0"/>
        <w:rPr>
          <w:color w:val="auto"/>
          <w:kern w:val="0"/>
          <w:szCs w:val="20"/>
          <w:lang w:val="it-IT"/>
          <w14:ligatures w14:val="none"/>
        </w:rPr>
      </w:pPr>
      <w:r w:rsidRPr="001F2AF6">
        <w:rPr>
          <w:b/>
          <w:color w:val="auto"/>
          <w:kern w:val="0"/>
          <w:szCs w:val="20"/>
          <w:lang w:val="it-IT"/>
          <w14:ligatures w14:val="none"/>
        </w:rPr>
        <w:t>ÉTATS-UNIS</w:t>
      </w:r>
    </w:p>
    <w:p w14:paraId="63488044" w14:textId="77777777" w:rsidR="00814FEE" w:rsidRPr="001F2AF6" w:rsidRDefault="00814FEE" w:rsidP="00814FEE">
      <w:pPr>
        <w:spacing w:line="240" w:lineRule="auto"/>
        <w:ind w:left="0" w:firstLine="0"/>
        <w:rPr>
          <w:color w:val="auto"/>
          <w:kern w:val="0"/>
          <w:szCs w:val="20"/>
          <w:lang w:val="it-IT"/>
          <w14:ligatures w14:val="none"/>
        </w:rPr>
      </w:pPr>
      <w:r w:rsidRPr="001F2AF6">
        <w:rPr>
          <w:b/>
          <w:color w:val="auto"/>
          <w:kern w:val="0"/>
          <w:sz w:val="18"/>
          <w:szCs w:val="20"/>
          <w:lang w:val="it-IT"/>
          <w14:ligatures w14:val="none"/>
        </w:rPr>
        <w:t>Baker</w:t>
      </w:r>
      <w:r w:rsidRPr="001F2AF6">
        <w:rPr>
          <w:color w:val="auto"/>
          <w:kern w:val="0"/>
          <w:sz w:val="18"/>
          <w:szCs w:val="20"/>
          <w:lang w:val="it-IT"/>
          <w14:ligatures w14:val="none"/>
        </w:rPr>
        <w:t>, Colleen</w:t>
      </w:r>
    </w:p>
    <w:p w14:paraId="6F6D9A93" w14:textId="77777777" w:rsidR="00814FEE" w:rsidRPr="001F2AF6" w:rsidRDefault="00814FEE" w:rsidP="00814FEE">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Foreign Affairs Officer, Office of Marine Conservation (OES/OMC), Bureau of Oceans and International Environmental and Scientific Affairs, U.S. Department of State, Washington DC 20520</w:t>
      </w:r>
    </w:p>
    <w:p w14:paraId="5ACFEC7E"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+1 609 206 9830; +1 202 538 1070, E-Mail: bakerca2@fan.gov</w:t>
      </w:r>
    </w:p>
    <w:p w14:paraId="75B0779C" w14:textId="77777777" w:rsidR="00814FEE" w:rsidRPr="001F2AF6" w:rsidRDefault="00814FEE" w:rsidP="00814FEE">
      <w:pPr>
        <w:spacing w:line="240" w:lineRule="auto"/>
        <w:ind w:left="0" w:firstLine="0"/>
        <w:rPr>
          <w:color w:val="auto"/>
          <w:kern w:val="0"/>
          <w:szCs w:val="20"/>
          <w:lang w:val="pt-PT"/>
          <w14:ligatures w14:val="none"/>
        </w:rPr>
      </w:pPr>
    </w:p>
    <w:p w14:paraId="0DE993B6" w14:textId="77777777" w:rsidR="00814FEE" w:rsidRPr="006A012D" w:rsidRDefault="00814FEE" w:rsidP="00814FEE">
      <w:pPr>
        <w:spacing w:line="240" w:lineRule="auto"/>
        <w:ind w:left="0" w:firstLine="0"/>
        <w:rPr>
          <w:color w:val="auto"/>
          <w:kern w:val="0"/>
          <w:szCs w:val="20"/>
          <w:lang w:val="it-IT"/>
          <w14:ligatures w14:val="none"/>
        </w:rPr>
      </w:pPr>
      <w:r w:rsidRPr="006A012D">
        <w:rPr>
          <w:b/>
          <w:color w:val="auto"/>
          <w:kern w:val="0"/>
          <w:sz w:val="18"/>
          <w:szCs w:val="20"/>
          <w:lang w:val="it-IT"/>
          <w14:ligatures w14:val="none"/>
        </w:rPr>
        <w:t>Htun</w:t>
      </w:r>
      <w:r w:rsidRPr="006A012D">
        <w:rPr>
          <w:color w:val="auto"/>
          <w:kern w:val="0"/>
          <w:sz w:val="18"/>
          <w:szCs w:val="20"/>
          <w:lang w:val="it-IT"/>
          <w14:ligatures w14:val="none"/>
        </w:rPr>
        <w:t>, Emma</w:t>
      </w:r>
    </w:p>
    <w:p w14:paraId="54D4604B" w14:textId="77777777" w:rsidR="00814FEE" w:rsidRPr="001F2AF6" w:rsidRDefault="00814FEE" w:rsidP="00814FEE">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Attorney-Advisor, Office of the General Counsel for Fisheries, National Oceanic and Atmospheric Administration, U.S. Department of Commerce, MD 20910</w:t>
      </w:r>
    </w:p>
    <w:p w14:paraId="727EF968" w14:textId="77777777" w:rsidR="00814FEE" w:rsidRPr="001F2AF6" w:rsidRDefault="00814FEE" w:rsidP="00814FEE">
      <w:pPr>
        <w:spacing w:line="240" w:lineRule="auto"/>
        <w:ind w:left="0" w:firstLine="0"/>
        <w:rPr>
          <w:color w:val="auto"/>
          <w:kern w:val="0"/>
          <w:szCs w:val="20"/>
          <w:lang w:val="en-US"/>
          <w14:ligatures w14:val="none"/>
        </w:rPr>
      </w:pPr>
    </w:p>
    <w:p w14:paraId="0C32F4A9" w14:textId="77777777" w:rsidR="00814FEE" w:rsidRPr="001F2AF6" w:rsidRDefault="00814FEE" w:rsidP="00814FEE">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King</w:t>
      </w:r>
      <w:r w:rsidRPr="001F2AF6">
        <w:rPr>
          <w:color w:val="auto"/>
          <w:kern w:val="0"/>
          <w:sz w:val="18"/>
          <w:szCs w:val="20"/>
          <w:lang w:val="en-US"/>
          <w14:ligatures w14:val="none"/>
        </w:rPr>
        <w:t>, Melanie Diamond</w:t>
      </w:r>
    </w:p>
    <w:p w14:paraId="19E09DD6" w14:textId="77777777" w:rsidR="00814FEE" w:rsidRPr="001F2AF6" w:rsidRDefault="00814FEE" w:rsidP="00814FEE">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5913D52F"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+1 301 427 3087, E-Mail: melanie.king@noaa.gov</w:t>
      </w:r>
    </w:p>
    <w:p w14:paraId="68E65FFC" w14:textId="77777777" w:rsidR="00814FEE" w:rsidRPr="001F2AF6" w:rsidRDefault="00814FEE" w:rsidP="00814FEE">
      <w:pPr>
        <w:spacing w:line="240" w:lineRule="auto"/>
        <w:ind w:left="0" w:firstLine="0"/>
        <w:rPr>
          <w:color w:val="auto"/>
          <w:kern w:val="0"/>
          <w:szCs w:val="20"/>
          <w:lang w:val="pt-PT"/>
          <w14:ligatures w14:val="none"/>
        </w:rPr>
      </w:pPr>
    </w:p>
    <w:p w14:paraId="68FD46AC" w14:textId="77777777" w:rsidR="00814FEE" w:rsidRPr="001F2AF6" w:rsidRDefault="00814FEE" w:rsidP="00814FEE">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Laborde</w:t>
      </w:r>
      <w:r w:rsidRPr="001F2AF6">
        <w:rPr>
          <w:color w:val="auto"/>
          <w:kern w:val="0"/>
          <w:sz w:val="18"/>
          <w:szCs w:val="20"/>
          <w:lang w:val="en-US"/>
          <w14:ligatures w14:val="none"/>
        </w:rPr>
        <w:t>, Kent</w:t>
      </w:r>
    </w:p>
    <w:p w14:paraId="578D258D" w14:textId="77777777" w:rsidR="00814FEE" w:rsidRPr="001F2AF6" w:rsidRDefault="00814FEE" w:rsidP="00814FEE">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NMFS International Affairs Trade and Commerce National Oceanic and Atmospheric Administration, 1315 East West Highway, 20910</w:t>
      </w:r>
    </w:p>
    <w:p w14:paraId="5CE66FBB"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+1 301 427 8364, E-Mail: kent.laborde@noaa.gov</w:t>
      </w:r>
    </w:p>
    <w:p w14:paraId="0F594D27" w14:textId="77777777" w:rsidR="00814FEE" w:rsidRPr="001F2AF6" w:rsidRDefault="00814FEE" w:rsidP="00814FEE">
      <w:pPr>
        <w:spacing w:line="240" w:lineRule="auto"/>
        <w:ind w:left="0" w:firstLine="0"/>
        <w:rPr>
          <w:color w:val="auto"/>
          <w:kern w:val="0"/>
          <w:szCs w:val="20"/>
          <w:lang w:val="pt-PT"/>
          <w14:ligatures w14:val="none"/>
        </w:rPr>
      </w:pPr>
    </w:p>
    <w:p w14:paraId="6FF17A14" w14:textId="77777777" w:rsidR="00814FEE" w:rsidRPr="001F2AF6" w:rsidRDefault="00814FEE" w:rsidP="00814FEE">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Shefferman</w:t>
      </w:r>
      <w:r w:rsidRPr="001F2AF6">
        <w:rPr>
          <w:color w:val="auto"/>
          <w:kern w:val="0"/>
          <w:sz w:val="18"/>
          <w:szCs w:val="20"/>
          <w:lang w:val="en-US"/>
          <w14:ligatures w14:val="none"/>
        </w:rPr>
        <w:t xml:space="preserve">, Ilissa </w:t>
      </w:r>
    </w:p>
    <w:p w14:paraId="1DE531DA" w14:textId="77777777" w:rsidR="00814FEE" w:rsidRPr="001F2AF6" w:rsidRDefault="00814FEE" w:rsidP="00814FEE">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NOAA, 1315 East West Highway, Silver Spring, Maryland 20910</w:t>
      </w:r>
    </w:p>
    <w:p w14:paraId="7CB630EA"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+1 202 815 5704, E-Mail: ilissa.shefferman@noaa.gov</w:t>
      </w:r>
    </w:p>
    <w:p w14:paraId="5BD521B1" w14:textId="77777777" w:rsidR="00814FEE" w:rsidRPr="001F2AF6" w:rsidRDefault="00814FEE" w:rsidP="001A32C5">
      <w:pPr>
        <w:spacing w:line="240" w:lineRule="auto"/>
        <w:ind w:left="0" w:firstLine="0"/>
        <w:rPr>
          <w:color w:val="auto"/>
          <w:kern w:val="0"/>
          <w:szCs w:val="20"/>
          <w:lang w:val="pt-PT"/>
          <w14:ligatures w14:val="none"/>
        </w:rPr>
      </w:pPr>
    </w:p>
    <w:p w14:paraId="368BF813"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Cs w:val="20"/>
          <w:lang w:val="en-US"/>
          <w14:ligatures w14:val="none"/>
        </w:rPr>
        <w:t>JAPON</w:t>
      </w:r>
    </w:p>
    <w:p w14:paraId="32B8D3A9"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Ando</w:t>
      </w:r>
      <w:r w:rsidRPr="001F2AF6">
        <w:rPr>
          <w:color w:val="auto"/>
          <w:kern w:val="0"/>
          <w:sz w:val="18"/>
          <w:szCs w:val="20"/>
          <w:lang w:val="en-US"/>
          <w14:ligatures w14:val="none"/>
        </w:rPr>
        <w:t>, Hiroaki</w:t>
      </w:r>
    </w:p>
    <w:p w14:paraId="779CBD4D"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Section Chief, Agricultural and Marine Products Office,Trade Conrol Department, Ministry of Economy, Trade and Industry, 1-3-1 Kasumigaseki, Chiyoda-ku, Tokyo 100-8901</w:t>
      </w:r>
    </w:p>
    <w:p w14:paraId="53173B0B"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+81 3 3501 1511, E-Mail: ando-hiroaki@meti.go.jp</w:t>
      </w:r>
    </w:p>
    <w:p w14:paraId="3D40E971" w14:textId="77777777" w:rsidR="001A32C5" w:rsidRPr="001F2AF6" w:rsidRDefault="001A32C5" w:rsidP="001A32C5">
      <w:pPr>
        <w:spacing w:line="240" w:lineRule="auto"/>
        <w:ind w:left="0" w:firstLine="0"/>
        <w:rPr>
          <w:color w:val="auto"/>
          <w:kern w:val="0"/>
          <w:szCs w:val="20"/>
          <w:lang w:val="pt-PT"/>
          <w14:ligatures w14:val="none"/>
        </w:rPr>
      </w:pPr>
    </w:p>
    <w:p w14:paraId="7E4862B9" w14:textId="77777777" w:rsidR="001A32C5" w:rsidRPr="006A012D" w:rsidRDefault="001A32C5" w:rsidP="001A32C5">
      <w:pPr>
        <w:spacing w:line="240" w:lineRule="auto"/>
        <w:ind w:left="0" w:firstLine="0"/>
        <w:rPr>
          <w:color w:val="auto"/>
          <w:kern w:val="0"/>
          <w:szCs w:val="20"/>
          <w:lang w:val="it-IT"/>
          <w14:ligatures w14:val="none"/>
        </w:rPr>
      </w:pPr>
      <w:r w:rsidRPr="006A012D">
        <w:rPr>
          <w:b/>
          <w:color w:val="auto"/>
          <w:kern w:val="0"/>
          <w:sz w:val="18"/>
          <w:szCs w:val="20"/>
          <w:lang w:val="it-IT"/>
          <w14:ligatures w14:val="none"/>
        </w:rPr>
        <w:t>Fukugama</w:t>
      </w:r>
      <w:r w:rsidRPr="006A012D">
        <w:rPr>
          <w:color w:val="auto"/>
          <w:kern w:val="0"/>
          <w:sz w:val="18"/>
          <w:szCs w:val="20"/>
          <w:lang w:val="it-IT"/>
          <w14:ligatures w14:val="none"/>
        </w:rPr>
        <w:t>, Chika</w:t>
      </w:r>
    </w:p>
    <w:p w14:paraId="3A0048C5"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Assistant Director, International Affairs Division, Fisheries Agency of Japan, Ministry of Agriculture, Forestry and Fisheries, 1-2-1, Kasumigaseki, Chiyoda-ku, Tokyo 100-8907</w:t>
      </w:r>
    </w:p>
    <w:p w14:paraId="37F48742"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Tel: +81 3 3502 8460, Fax: +81 3 3504 2649, E-Mail: chika_fukugama740@maff.go.jp</w:t>
      </w:r>
    </w:p>
    <w:p w14:paraId="3AF5B2B6" w14:textId="77777777" w:rsidR="001A32C5" w:rsidRPr="001F2AF6" w:rsidRDefault="001A32C5" w:rsidP="001A32C5">
      <w:pPr>
        <w:spacing w:line="240" w:lineRule="auto"/>
        <w:ind w:left="0" w:firstLine="0"/>
        <w:rPr>
          <w:color w:val="auto"/>
          <w:kern w:val="0"/>
          <w:szCs w:val="20"/>
          <w:lang w:val="en-US"/>
          <w14:ligatures w14:val="none"/>
        </w:rPr>
      </w:pPr>
    </w:p>
    <w:p w14:paraId="7ED5D1BF"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Miyashita</w:t>
      </w:r>
      <w:r w:rsidRPr="001F2AF6">
        <w:rPr>
          <w:color w:val="auto"/>
          <w:kern w:val="0"/>
          <w:sz w:val="18"/>
          <w:szCs w:val="20"/>
          <w:lang w:val="en-US"/>
          <w14:ligatures w14:val="none"/>
        </w:rPr>
        <w:t>, Shoma</w:t>
      </w:r>
    </w:p>
    <w:p w14:paraId="6BDC8039"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Technical Official, International Affairs Division, Fisheries Agency of Japan, 1-2-1 Kasumigaseki, Chiyoda-ku, Tokyo 100-8907</w:t>
      </w:r>
    </w:p>
    <w:p w14:paraId="05300405"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+81 3 3502 8460, E-Mail: shoma_miyashita890@maff.go.jp</w:t>
      </w:r>
    </w:p>
    <w:p w14:paraId="7026F4BE"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lastRenderedPageBreak/>
        <w:t>Tominaga</w:t>
      </w:r>
      <w:r w:rsidRPr="001F2AF6">
        <w:rPr>
          <w:color w:val="auto"/>
          <w:kern w:val="0"/>
          <w:sz w:val="18"/>
          <w:szCs w:val="20"/>
          <w:lang w:val="en-US"/>
          <w14:ligatures w14:val="none"/>
        </w:rPr>
        <w:t>, Haruo</w:t>
      </w:r>
    </w:p>
    <w:p w14:paraId="21881164"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Director, International Fisheries Coordination, International Affairs Division, Fisheries Agency of Japan, Ministry of Agriculture, Forestry and Fisheries, 1-2-1 Kasumigaseki, Chiyoda-ku, Tokyo 100-8907</w:t>
      </w:r>
    </w:p>
    <w:p w14:paraId="7C0FE03F"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+81 3 3591 1086, Fax: +81 3 3504 2649, E-Mail: haruo_tominaga170@maff.go.jp</w:t>
      </w:r>
    </w:p>
    <w:p w14:paraId="44076F5F" w14:textId="77777777" w:rsidR="00223EBA" w:rsidRPr="001F2AF6" w:rsidRDefault="00223EBA" w:rsidP="001A32C5">
      <w:pPr>
        <w:spacing w:line="240" w:lineRule="auto"/>
        <w:ind w:left="0" w:firstLine="0"/>
        <w:rPr>
          <w:b/>
          <w:color w:val="auto"/>
          <w:kern w:val="0"/>
          <w:szCs w:val="20"/>
          <w:lang w:val="pt-PT"/>
          <w14:ligatures w14:val="none"/>
        </w:rPr>
      </w:pPr>
    </w:p>
    <w:p w14:paraId="08A60797" w14:textId="48ECEB30" w:rsidR="001A32C5" w:rsidRPr="001F2AF6" w:rsidRDefault="001A32C5" w:rsidP="001A32C5">
      <w:pPr>
        <w:spacing w:line="240" w:lineRule="auto"/>
        <w:ind w:left="0" w:firstLine="0"/>
        <w:rPr>
          <w:color w:val="auto"/>
          <w:kern w:val="0"/>
          <w:szCs w:val="20"/>
          <w:lang w:val="pt-PT"/>
          <w14:ligatures w14:val="none"/>
        </w:rPr>
      </w:pPr>
      <w:r w:rsidRPr="001F2AF6">
        <w:rPr>
          <w:b/>
          <w:color w:val="auto"/>
          <w:kern w:val="0"/>
          <w:szCs w:val="20"/>
          <w:lang w:val="pt-PT"/>
          <w14:ligatures w14:val="none"/>
        </w:rPr>
        <w:t>MAROC</w:t>
      </w:r>
    </w:p>
    <w:p w14:paraId="647DE4F3" w14:textId="77777777" w:rsidR="001A32C5" w:rsidRPr="001F2AF6" w:rsidRDefault="001A32C5" w:rsidP="001A32C5">
      <w:pPr>
        <w:spacing w:line="240" w:lineRule="auto"/>
        <w:ind w:left="0" w:firstLine="0"/>
        <w:rPr>
          <w:color w:val="auto"/>
          <w:kern w:val="0"/>
          <w:szCs w:val="20"/>
          <w:lang w:val="pt-PT"/>
          <w14:ligatures w14:val="none"/>
        </w:rPr>
      </w:pPr>
      <w:r w:rsidRPr="001F2AF6">
        <w:rPr>
          <w:b/>
          <w:color w:val="auto"/>
          <w:kern w:val="0"/>
          <w:sz w:val="18"/>
          <w:szCs w:val="20"/>
          <w:lang w:val="pt-PT"/>
          <w14:ligatures w14:val="none"/>
        </w:rPr>
        <w:t>Aouraghe</w:t>
      </w:r>
      <w:r w:rsidRPr="001F2AF6">
        <w:rPr>
          <w:color w:val="auto"/>
          <w:kern w:val="0"/>
          <w:sz w:val="18"/>
          <w:szCs w:val="20"/>
          <w:lang w:val="pt-PT"/>
          <w14:ligatures w14:val="none"/>
        </w:rPr>
        <w:t>, Abdelhakim</w:t>
      </w:r>
    </w:p>
    <w:p w14:paraId="4CC527DA"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Directeur de contrôle des activités de la pêche Maritime (DCAPM), Secrétariat d’Etat chargé de la Pêche Maritime, Nouveau Quartier Administratif; BP 476, 10090 Haut Agdal Rabat</w:t>
      </w:r>
    </w:p>
    <w:p w14:paraId="4296AD69"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+212 661 296 395, E-Mail: aouraghe@mpm.gov.ma</w:t>
      </w:r>
    </w:p>
    <w:p w14:paraId="29877F78" w14:textId="77777777" w:rsidR="001A32C5" w:rsidRPr="001F2AF6" w:rsidRDefault="001A32C5" w:rsidP="001A32C5">
      <w:pPr>
        <w:spacing w:line="240" w:lineRule="auto"/>
        <w:ind w:left="0" w:firstLine="0"/>
        <w:rPr>
          <w:color w:val="auto"/>
          <w:kern w:val="0"/>
          <w:szCs w:val="20"/>
          <w:lang w:val="pt-PT"/>
          <w14:ligatures w14:val="none"/>
        </w:rPr>
      </w:pPr>
    </w:p>
    <w:p w14:paraId="4E31EEC4" w14:textId="77777777" w:rsidR="001A32C5" w:rsidRPr="001F2AF6" w:rsidRDefault="001A32C5" w:rsidP="001A32C5">
      <w:pPr>
        <w:spacing w:line="240" w:lineRule="auto"/>
        <w:ind w:left="0" w:firstLine="0"/>
        <w:rPr>
          <w:color w:val="auto"/>
          <w:kern w:val="0"/>
          <w:szCs w:val="20"/>
          <w14:ligatures w14:val="none"/>
        </w:rPr>
      </w:pPr>
      <w:r w:rsidRPr="001F2AF6">
        <w:rPr>
          <w:b/>
          <w:color w:val="auto"/>
          <w:kern w:val="0"/>
          <w:sz w:val="18"/>
          <w:szCs w:val="20"/>
          <w14:ligatures w14:val="none"/>
        </w:rPr>
        <w:t>Hmidane</w:t>
      </w:r>
      <w:r w:rsidRPr="001F2AF6">
        <w:rPr>
          <w:color w:val="auto"/>
          <w:kern w:val="0"/>
          <w:sz w:val="18"/>
          <w:szCs w:val="20"/>
          <w14:ligatures w14:val="none"/>
        </w:rPr>
        <w:t>, Abdellatif</w:t>
      </w:r>
    </w:p>
    <w:p w14:paraId="6CA1BCAD"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Chef de la division de la coordination et de suivi de la Lutte contre la Pêche INN / DCAPM, Secrétariat d’Etat chargé de la Pêche Maritime, Nouveau Quartier Administratif; BP 476, 10090 Haut Agdal Rabat</w:t>
      </w:r>
    </w:p>
    <w:p w14:paraId="13D03322"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Tel: +212 537 688 356, Fax: +212 537 688 382, E-Mail: hmidane@mpm.gov.ma</w:t>
      </w:r>
    </w:p>
    <w:p w14:paraId="3546639D" w14:textId="77777777" w:rsidR="001A32C5" w:rsidRPr="001F2AF6" w:rsidRDefault="001A32C5" w:rsidP="001A32C5">
      <w:pPr>
        <w:spacing w:line="240" w:lineRule="auto"/>
        <w:ind w:left="0" w:firstLine="0"/>
        <w:rPr>
          <w:color w:val="auto"/>
          <w:kern w:val="0"/>
          <w:szCs w:val="20"/>
          <w14:ligatures w14:val="none"/>
        </w:rPr>
      </w:pPr>
    </w:p>
    <w:p w14:paraId="686843B7" w14:textId="77777777" w:rsidR="001A32C5" w:rsidRPr="001F2AF6" w:rsidRDefault="001A32C5" w:rsidP="001A32C5">
      <w:pPr>
        <w:spacing w:line="240" w:lineRule="auto"/>
        <w:ind w:left="0" w:firstLine="0"/>
        <w:rPr>
          <w:color w:val="auto"/>
          <w:kern w:val="0"/>
          <w:szCs w:val="20"/>
          <w14:ligatures w14:val="none"/>
        </w:rPr>
      </w:pPr>
      <w:r w:rsidRPr="001F2AF6">
        <w:rPr>
          <w:b/>
          <w:color w:val="auto"/>
          <w:kern w:val="0"/>
          <w:sz w:val="18"/>
          <w:szCs w:val="20"/>
          <w14:ligatures w14:val="none"/>
        </w:rPr>
        <w:t>Sabbane</w:t>
      </w:r>
      <w:r w:rsidRPr="001F2AF6">
        <w:rPr>
          <w:color w:val="auto"/>
          <w:kern w:val="0"/>
          <w:sz w:val="18"/>
          <w:szCs w:val="20"/>
          <w14:ligatures w14:val="none"/>
        </w:rPr>
        <w:t>, Kamal</w:t>
      </w:r>
    </w:p>
    <w:p w14:paraId="02FAC0D7"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Chef du Service de la Coordination de la Lutte contre la Pêche INN / DCAPM, Secrétariat d’Etat chargé de la Pêche Maritime, Département de la Pêche Maritime, Nouveau Quartier Administratif; BP 476, 10090 Haut Agdal, Rabat</w:t>
      </w:r>
    </w:p>
    <w:p w14:paraId="68C4A729" w14:textId="77777777" w:rsidR="001A32C5" w:rsidRPr="006A012D" w:rsidRDefault="001A32C5" w:rsidP="001A32C5">
      <w:pPr>
        <w:spacing w:line="240" w:lineRule="auto"/>
        <w:ind w:left="0" w:firstLine="0"/>
        <w:jc w:val="both"/>
        <w:rPr>
          <w:color w:val="auto"/>
          <w:kern w:val="0"/>
          <w:szCs w:val="20"/>
          <w:lang w:val="it-IT"/>
          <w14:ligatures w14:val="none"/>
        </w:rPr>
      </w:pPr>
      <w:r w:rsidRPr="006A012D">
        <w:rPr>
          <w:color w:val="auto"/>
          <w:kern w:val="0"/>
          <w:sz w:val="18"/>
          <w:szCs w:val="20"/>
          <w:lang w:val="it-IT"/>
          <w14:ligatures w14:val="none"/>
        </w:rPr>
        <w:t>Tel: +212 537 688 528, Fax: +212 537 688 382, E-Mail: sabbane@mpm.gov.ma</w:t>
      </w:r>
    </w:p>
    <w:p w14:paraId="5B4DAC6F" w14:textId="77777777" w:rsidR="001A32C5" w:rsidRPr="006A012D" w:rsidRDefault="001A32C5" w:rsidP="001A32C5">
      <w:pPr>
        <w:spacing w:line="240" w:lineRule="auto"/>
        <w:ind w:left="0" w:firstLine="0"/>
        <w:rPr>
          <w:color w:val="auto"/>
          <w:kern w:val="0"/>
          <w:szCs w:val="20"/>
          <w:lang w:val="it-IT"/>
          <w14:ligatures w14:val="none"/>
        </w:rPr>
      </w:pPr>
    </w:p>
    <w:p w14:paraId="4DDCF551" w14:textId="2440187D" w:rsidR="001A32C5" w:rsidRPr="006A012D" w:rsidRDefault="001A32C5" w:rsidP="001A32C5">
      <w:pPr>
        <w:spacing w:line="240" w:lineRule="auto"/>
        <w:ind w:left="0" w:firstLine="0"/>
        <w:rPr>
          <w:color w:val="auto"/>
          <w:kern w:val="0"/>
          <w:szCs w:val="20"/>
          <w:lang w:val="it-IT"/>
          <w14:ligatures w14:val="none"/>
        </w:rPr>
      </w:pPr>
      <w:r w:rsidRPr="006A012D">
        <w:rPr>
          <w:b/>
          <w:color w:val="auto"/>
          <w:kern w:val="0"/>
          <w:szCs w:val="20"/>
          <w:lang w:val="it-IT"/>
          <w14:ligatures w14:val="none"/>
        </w:rPr>
        <w:t>NORVÈGE</w:t>
      </w:r>
    </w:p>
    <w:p w14:paraId="30BBF9D8" w14:textId="77777777" w:rsidR="001A32C5" w:rsidRPr="006A012D" w:rsidRDefault="001A32C5" w:rsidP="001A32C5">
      <w:pPr>
        <w:spacing w:line="240" w:lineRule="auto"/>
        <w:ind w:left="0" w:firstLine="0"/>
        <w:rPr>
          <w:color w:val="auto"/>
          <w:kern w:val="0"/>
          <w:szCs w:val="20"/>
          <w:lang w:val="it-IT"/>
          <w14:ligatures w14:val="none"/>
        </w:rPr>
      </w:pPr>
      <w:r w:rsidRPr="006A012D">
        <w:rPr>
          <w:b/>
          <w:color w:val="auto"/>
          <w:kern w:val="0"/>
          <w:sz w:val="18"/>
          <w:szCs w:val="20"/>
          <w:lang w:val="it-IT"/>
          <w14:ligatures w14:val="none"/>
        </w:rPr>
        <w:t>Mjorlund</w:t>
      </w:r>
      <w:r w:rsidRPr="006A012D">
        <w:rPr>
          <w:color w:val="auto"/>
          <w:kern w:val="0"/>
          <w:sz w:val="18"/>
          <w:szCs w:val="20"/>
          <w:lang w:val="it-IT"/>
          <w14:ligatures w14:val="none"/>
        </w:rPr>
        <w:t xml:space="preserve">, Rune </w:t>
      </w:r>
      <w:r w:rsidRPr="006A012D">
        <w:rPr>
          <w:color w:val="auto"/>
          <w:kern w:val="0"/>
          <w:sz w:val="18"/>
          <w:szCs w:val="20"/>
          <w:vertAlign w:val="superscript"/>
          <w:lang w:val="it-IT"/>
          <w14:ligatures w14:val="none"/>
        </w:rPr>
        <w:t>1</w:t>
      </w:r>
    </w:p>
    <w:p w14:paraId="366CB002"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Senior Adviser, Directorate of Fisheries, Department of Coastal Management, Environment and Statistics, 5804 Bergen</w:t>
      </w:r>
    </w:p>
    <w:p w14:paraId="02A8FCB8" w14:textId="77777777" w:rsidR="001A32C5" w:rsidRPr="001F2AF6" w:rsidRDefault="001A32C5" w:rsidP="001A32C5">
      <w:pPr>
        <w:spacing w:line="240" w:lineRule="auto"/>
        <w:ind w:left="0" w:firstLine="0"/>
        <w:rPr>
          <w:color w:val="auto"/>
          <w:kern w:val="0"/>
          <w:szCs w:val="20"/>
          <w:lang w:val="en-US"/>
          <w14:ligatures w14:val="none"/>
        </w:rPr>
      </w:pPr>
    </w:p>
    <w:p w14:paraId="3CAEC3FE" w14:textId="77777777" w:rsidR="00F81D83" w:rsidRPr="001F2AF6" w:rsidRDefault="00F81D83" w:rsidP="00F81D83">
      <w:pPr>
        <w:spacing w:line="240" w:lineRule="auto"/>
        <w:ind w:left="0" w:firstLine="0"/>
        <w:rPr>
          <w:color w:val="auto"/>
          <w:kern w:val="0"/>
          <w:szCs w:val="20"/>
          <w14:ligatures w14:val="none"/>
        </w:rPr>
      </w:pPr>
      <w:r w:rsidRPr="001F2AF6">
        <w:rPr>
          <w:b/>
          <w:color w:val="auto"/>
          <w:kern w:val="0"/>
          <w:szCs w:val="20"/>
          <w14:ligatures w14:val="none"/>
        </w:rPr>
        <w:t>ROYAUME-UNI DE GRANDE-BRETAGNE ET D'IRLANDE DU NORD</w:t>
      </w:r>
    </w:p>
    <w:p w14:paraId="17A1C862" w14:textId="77777777" w:rsidR="00F81D83" w:rsidRPr="001F2AF6" w:rsidRDefault="00F81D83" w:rsidP="00F81D83">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Deary</w:t>
      </w:r>
      <w:r w:rsidRPr="001F2AF6">
        <w:rPr>
          <w:color w:val="auto"/>
          <w:kern w:val="0"/>
          <w:sz w:val="18"/>
          <w:szCs w:val="20"/>
          <w:lang w:val="en-US"/>
          <w14:ligatures w14:val="none"/>
        </w:rPr>
        <w:t>, Andrew</w:t>
      </w:r>
    </w:p>
    <w:p w14:paraId="34911AAA" w14:textId="77777777" w:rsidR="00F81D83" w:rsidRPr="001F2AF6" w:rsidRDefault="00F81D83" w:rsidP="00F81D83">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Head of Blue Belt Compliance, MMO, Marine Management Organisation, Lutra House. Dodd Way. Walton House. Bamber Bridge. Preston Office, PR5 8BX</w:t>
      </w:r>
    </w:p>
    <w:p w14:paraId="3DB8B50A" w14:textId="77777777" w:rsidR="00F81D83" w:rsidRPr="001F2AF6" w:rsidRDefault="00F81D83" w:rsidP="00F81D83">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Tel: +44 772 222 1352, E-Mail: andrew.deary@marinemanagement.org.uk</w:t>
      </w:r>
    </w:p>
    <w:p w14:paraId="72060CD5" w14:textId="77777777" w:rsidR="00F81D83" w:rsidRPr="001F2AF6" w:rsidRDefault="00F81D83" w:rsidP="00F81D83">
      <w:pPr>
        <w:spacing w:line="240" w:lineRule="auto"/>
        <w:ind w:left="0" w:firstLine="0"/>
        <w:rPr>
          <w:color w:val="auto"/>
          <w:kern w:val="0"/>
          <w:szCs w:val="20"/>
          <w:lang w:val="en-US"/>
          <w14:ligatures w14:val="none"/>
        </w:rPr>
      </w:pPr>
    </w:p>
    <w:p w14:paraId="6D273D2A" w14:textId="77777777" w:rsidR="00F81D83" w:rsidRPr="001F2AF6" w:rsidRDefault="00F81D83" w:rsidP="00F81D83">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May</w:t>
      </w:r>
      <w:r w:rsidRPr="001F2AF6">
        <w:rPr>
          <w:color w:val="auto"/>
          <w:kern w:val="0"/>
          <w:sz w:val="18"/>
          <w:szCs w:val="20"/>
          <w:lang w:val="en-US"/>
          <w14:ligatures w14:val="none"/>
        </w:rPr>
        <w:t>, Stefan</w:t>
      </w:r>
    </w:p>
    <w:p w14:paraId="156262C8" w14:textId="77777777" w:rsidR="00F81D83" w:rsidRPr="001F2AF6" w:rsidRDefault="00F81D83" w:rsidP="00F81D83">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Department for Environment, Food and Rural Affairs, 2nd Floor, Foss House, Kings Pool, 1-2 Peasholme Green, York, YO1 7PX</w:t>
      </w:r>
    </w:p>
    <w:p w14:paraId="7A744322" w14:textId="77777777" w:rsidR="00F81D83" w:rsidRPr="001F2AF6" w:rsidRDefault="00F81D83" w:rsidP="00F81D83">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+44 208 026 7627, E-Mail: stefan.may@defra.gov.uk</w:t>
      </w:r>
    </w:p>
    <w:p w14:paraId="59405D32" w14:textId="77777777" w:rsidR="00F81D83" w:rsidRPr="001F2AF6" w:rsidRDefault="00F81D83" w:rsidP="00F81D83">
      <w:pPr>
        <w:spacing w:line="240" w:lineRule="auto"/>
        <w:ind w:left="0" w:firstLine="0"/>
        <w:rPr>
          <w:color w:val="auto"/>
          <w:kern w:val="0"/>
          <w:szCs w:val="20"/>
          <w:lang w:val="pt-PT"/>
          <w14:ligatures w14:val="none"/>
        </w:rPr>
      </w:pPr>
    </w:p>
    <w:p w14:paraId="15442C18" w14:textId="77777777" w:rsidR="00F81D83" w:rsidRPr="001F2AF6" w:rsidRDefault="00F81D83" w:rsidP="00F81D83">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Peel</w:t>
      </w:r>
      <w:r w:rsidRPr="001F2AF6">
        <w:rPr>
          <w:color w:val="auto"/>
          <w:kern w:val="0"/>
          <w:sz w:val="18"/>
          <w:szCs w:val="20"/>
          <w:lang w:val="en-US"/>
          <w14:ligatures w14:val="none"/>
        </w:rPr>
        <w:t>, Michael</w:t>
      </w:r>
    </w:p>
    <w:p w14:paraId="735C61E4" w14:textId="77777777" w:rsidR="00F81D83" w:rsidRPr="001F2AF6" w:rsidRDefault="00F81D83" w:rsidP="00F81D83">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Department for Environment, Food and Rural Affairs - Defra, 2 Marsham Street, London SW1P 4DF</w:t>
      </w:r>
    </w:p>
    <w:p w14:paraId="3A246B7A" w14:textId="77777777" w:rsidR="00F81D83" w:rsidRPr="001F2AF6" w:rsidRDefault="00F81D83" w:rsidP="00F81D83">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+44 798 418 9608, E-Mail: michael.peel@defra.gov.uk</w:t>
      </w:r>
    </w:p>
    <w:p w14:paraId="341FA2A1" w14:textId="77777777" w:rsidR="00F81D83" w:rsidRPr="001F2AF6" w:rsidRDefault="00F81D83" w:rsidP="001A32C5">
      <w:pPr>
        <w:spacing w:line="240" w:lineRule="auto"/>
        <w:ind w:left="0" w:firstLine="0"/>
        <w:rPr>
          <w:color w:val="auto"/>
          <w:kern w:val="0"/>
          <w:szCs w:val="20"/>
          <w:lang w:val="pt-PT"/>
          <w14:ligatures w14:val="none"/>
        </w:rPr>
      </w:pPr>
    </w:p>
    <w:p w14:paraId="27F3D6F8" w14:textId="54B2CDB1" w:rsidR="001A32C5" w:rsidRPr="001F2AF6" w:rsidRDefault="001A32C5" w:rsidP="001A32C5">
      <w:pPr>
        <w:spacing w:line="240" w:lineRule="auto"/>
        <w:ind w:left="0" w:firstLine="0"/>
        <w:rPr>
          <w:color w:val="auto"/>
          <w:kern w:val="0"/>
          <w:szCs w:val="20"/>
          <w14:ligatures w14:val="none"/>
        </w:rPr>
      </w:pPr>
      <w:r w:rsidRPr="001F2AF6">
        <w:rPr>
          <w:b/>
          <w:color w:val="auto"/>
          <w:kern w:val="0"/>
          <w:szCs w:val="20"/>
          <w14:ligatures w14:val="none"/>
        </w:rPr>
        <w:t>SÉNÉGAL</w:t>
      </w:r>
    </w:p>
    <w:p w14:paraId="508A9D72" w14:textId="77777777" w:rsidR="001A32C5" w:rsidRPr="001F2AF6" w:rsidRDefault="001A32C5" w:rsidP="001A32C5">
      <w:pPr>
        <w:spacing w:line="240" w:lineRule="auto"/>
        <w:ind w:left="0" w:firstLine="0"/>
        <w:rPr>
          <w:color w:val="auto"/>
          <w:kern w:val="0"/>
          <w:szCs w:val="20"/>
          <w14:ligatures w14:val="none"/>
        </w:rPr>
      </w:pPr>
      <w:r w:rsidRPr="001F2AF6">
        <w:rPr>
          <w:b/>
          <w:color w:val="auto"/>
          <w:kern w:val="0"/>
          <w:sz w:val="18"/>
          <w:szCs w:val="20"/>
          <w14:ligatures w14:val="none"/>
        </w:rPr>
        <w:t>Diouf</w:t>
      </w:r>
      <w:r w:rsidRPr="001F2AF6">
        <w:rPr>
          <w:color w:val="auto"/>
          <w:kern w:val="0"/>
          <w:sz w:val="18"/>
          <w:szCs w:val="20"/>
          <w14:ligatures w14:val="none"/>
        </w:rPr>
        <w:t>, Ibrahima</w:t>
      </w:r>
    </w:p>
    <w:p w14:paraId="70C6F57A"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Ingénieur des Pêches, Direction des Pêches Maritimes, Chef de la Division de la pêche industrielle, Sphère ministérielle Ousmane Tanor DIENG, Immeuble D, 2e étage, Diamniadio, BP 289 Dakar</w:t>
      </w:r>
    </w:p>
    <w:p w14:paraId="1BC44C13"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+221 541 4764, Fax: +221 338 602 465, E-Mail: ivesdiouf@gmail.com</w:t>
      </w:r>
    </w:p>
    <w:p w14:paraId="54A72707" w14:textId="77777777" w:rsidR="001A32C5" w:rsidRPr="001F2AF6" w:rsidRDefault="001A32C5" w:rsidP="001A32C5">
      <w:pPr>
        <w:spacing w:line="240" w:lineRule="auto"/>
        <w:ind w:left="0" w:firstLine="0"/>
        <w:rPr>
          <w:color w:val="auto"/>
          <w:kern w:val="0"/>
          <w:szCs w:val="20"/>
          <w:lang w:val="pt-PT"/>
          <w14:ligatures w14:val="none"/>
        </w:rPr>
      </w:pPr>
    </w:p>
    <w:p w14:paraId="2B91253D" w14:textId="77777777" w:rsidR="001A32C5" w:rsidRPr="001F2AF6" w:rsidRDefault="001A32C5" w:rsidP="001A32C5">
      <w:pPr>
        <w:spacing w:line="240" w:lineRule="auto"/>
        <w:ind w:left="0" w:firstLine="0"/>
        <w:rPr>
          <w:color w:val="auto"/>
          <w:kern w:val="0"/>
          <w:szCs w:val="20"/>
          <w:lang w:val="pt-PT"/>
          <w14:ligatures w14:val="none"/>
        </w:rPr>
      </w:pPr>
      <w:r w:rsidRPr="001F2AF6">
        <w:rPr>
          <w:b/>
          <w:color w:val="auto"/>
          <w:kern w:val="0"/>
          <w:sz w:val="18"/>
          <w:szCs w:val="20"/>
          <w:lang w:val="pt-PT"/>
          <w14:ligatures w14:val="none"/>
        </w:rPr>
        <w:t>Gueye</w:t>
      </w:r>
      <w:r w:rsidRPr="001F2AF6">
        <w:rPr>
          <w:color w:val="auto"/>
          <w:kern w:val="0"/>
          <w:sz w:val="18"/>
          <w:szCs w:val="20"/>
          <w:lang w:val="pt-PT"/>
          <w14:ligatures w14:val="none"/>
        </w:rPr>
        <w:t>, Assane</w:t>
      </w:r>
    </w:p>
    <w:p w14:paraId="7A4E6C00"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Conseiller Technique auprès du Directeur, Direction des Industries de transformation de la pêche (DITP), Cité Fenêtres Mermoz – Dakar – Corniche Ouest, BP: 3656</w:t>
      </w:r>
    </w:p>
    <w:p w14:paraId="2D9229D9"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+221 776 342 953; +221 338 602 465, E-Mail: assaneg@hotmail.fr</w:t>
      </w:r>
    </w:p>
    <w:p w14:paraId="5B5C2865" w14:textId="77777777" w:rsidR="001A32C5" w:rsidRPr="001F2AF6" w:rsidRDefault="001A32C5" w:rsidP="001A32C5">
      <w:pPr>
        <w:spacing w:line="240" w:lineRule="auto"/>
        <w:ind w:left="0" w:firstLine="0"/>
        <w:rPr>
          <w:color w:val="auto"/>
          <w:kern w:val="0"/>
          <w:szCs w:val="20"/>
          <w:lang w:val="pt-PT"/>
          <w14:ligatures w14:val="none"/>
        </w:rPr>
      </w:pPr>
    </w:p>
    <w:p w14:paraId="79869E3A" w14:textId="77777777" w:rsidR="001A32C5" w:rsidRPr="006A012D" w:rsidRDefault="001A32C5" w:rsidP="001A32C5">
      <w:pPr>
        <w:spacing w:line="240" w:lineRule="auto"/>
        <w:ind w:left="0" w:firstLine="0"/>
        <w:rPr>
          <w:color w:val="auto"/>
          <w:kern w:val="0"/>
          <w:szCs w:val="20"/>
          <w:lang w:val="it-IT"/>
          <w14:ligatures w14:val="none"/>
        </w:rPr>
      </w:pPr>
      <w:r w:rsidRPr="006A012D">
        <w:rPr>
          <w:b/>
          <w:color w:val="auto"/>
          <w:kern w:val="0"/>
          <w:sz w:val="18"/>
          <w:szCs w:val="20"/>
          <w:lang w:val="it-IT"/>
          <w14:ligatures w14:val="none"/>
        </w:rPr>
        <w:t>Loum Mbaye</w:t>
      </w:r>
      <w:r w:rsidRPr="006A012D">
        <w:rPr>
          <w:color w:val="auto"/>
          <w:kern w:val="0"/>
          <w:sz w:val="18"/>
          <w:szCs w:val="20"/>
          <w:lang w:val="it-IT"/>
          <w14:ligatures w14:val="none"/>
        </w:rPr>
        <w:t>, Mame Diarra</w:t>
      </w:r>
    </w:p>
    <w:p w14:paraId="3C711AB8"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Ingénieur des Pêches, Ministère des Pêches et de l'Economie maritime, Sphère ministérielle Ousmane Tanor Dieng, Bâtiment D, 2è étage, Diamniadio, BP 289 Dakar</w:t>
      </w:r>
    </w:p>
    <w:p w14:paraId="5A1AE43A"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+221 776 178 313, E-Mail: loum.mamediarra@gmail.com</w:t>
      </w:r>
    </w:p>
    <w:p w14:paraId="54B267AD" w14:textId="77777777" w:rsidR="001A32C5" w:rsidRPr="001F2AF6" w:rsidRDefault="001A32C5" w:rsidP="001A32C5">
      <w:pPr>
        <w:spacing w:line="240" w:lineRule="auto"/>
        <w:ind w:left="0" w:firstLine="0"/>
        <w:rPr>
          <w:color w:val="auto"/>
          <w:kern w:val="0"/>
          <w:szCs w:val="20"/>
          <w:lang w:val="pt-PT"/>
          <w14:ligatures w14:val="none"/>
        </w:rPr>
      </w:pPr>
    </w:p>
    <w:p w14:paraId="31CA8A30" w14:textId="77777777" w:rsidR="00223EBA" w:rsidRPr="001F2AF6" w:rsidRDefault="00223EBA">
      <w:pPr>
        <w:spacing w:after="160" w:line="278" w:lineRule="auto"/>
        <w:ind w:left="0" w:firstLine="0"/>
        <w:rPr>
          <w:b/>
          <w:color w:val="auto"/>
          <w:kern w:val="0"/>
          <w:sz w:val="18"/>
          <w:szCs w:val="20"/>
          <w:lang w:val="pt-PT"/>
          <w14:ligatures w14:val="none"/>
        </w:rPr>
      </w:pPr>
      <w:r w:rsidRPr="001F2AF6">
        <w:rPr>
          <w:b/>
          <w:color w:val="auto"/>
          <w:kern w:val="0"/>
          <w:sz w:val="18"/>
          <w:szCs w:val="20"/>
          <w:lang w:val="pt-PT"/>
          <w14:ligatures w14:val="none"/>
        </w:rPr>
        <w:br w:type="page"/>
      </w:r>
    </w:p>
    <w:p w14:paraId="5B40332F" w14:textId="6C486EAB" w:rsidR="001A32C5" w:rsidRPr="006A012D" w:rsidRDefault="001A32C5" w:rsidP="001A32C5">
      <w:pPr>
        <w:spacing w:line="240" w:lineRule="auto"/>
        <w:ind w:left="0" w:firstLine="0"/>
        <w:rPr>
          <w:color w:val="auto"/>
          <w:kern w:val="0"/>
          <w:szCs w:val="20"/>
          <w:lang w:val="es-ES"/>
          <w14:ligatures w14:val="none"/>
        </w:rPr>
      </w:pPr>
      <w:r w:rsidRPr="006A012D">
        <w:rPr>
          <w:b/>
          <w:color w:val="auto"/>
          <w:kern w:val="0"/>
          <w:sz w:val="18"/>
          <w:szCs w:val="20"/>
          <w:lang w:val="es-ES"/>
          <w14:ligatures w14:val="none"/>
        </w:rPr>
        <w:lastRenderedPageBreak/>
        <w:t>Sèye</w:t>
      </w:r>
      <w:r w:rsidRPr="006A012D">
        <w:rPr>
          <w:color w:val="auto"/>
          <w:kern w:val="0"/>
          <w:sz w:val="18"/>
          <w:szCs w:val="20"/>
          <w:lang w:val="es-ES"/>
          <w14:ligatures w14:val="none"/>
        </w:rPr>
        <w:t>, Mamadou</w:t>
      </w:r>
    </w:p>
    <w:p w14:paraId="48F87C06"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Ingénieur des Pêches, Chef de la Division Gestion et Aménagement des Pêcheries, Direction des Pêches maritimes, Sphère ministérielle Ousmane Tanor Dieng, Bâtiment D, 2è étage, Diamniadio, BP 289 Dakar</w:t>
      </w:r>
    </w:p>
    <w:p w14:paraId="7FBAC5DF" w14:textId="77777777" w:rsidR="001A32C5" w:rsidRPr="001F2AF6" w:rsidRDefault="001A32C5" w:rsidP="001A32C5">
      <w:pPr>
        <w:spacing w:line="240" w:lineRule="auto"/>
        <w:ind w:left="0" w:firstLine="0"/>
        <w:jc w:val="both"/>
        <w:rPr>
          <w:color w:val="auto"/>
          <w:kern w:val="0"/>
          <w:szCs w:val="20"/>
          <w:lang w:val="it-IT"/>
          <w14:ligatures w14:val="none"/>
        </w:rPr>
      </w:pPr>
      <w:r w:rsidRPr="001F2AF6">
        <w:rPr>
          <w:color w:val="auto"/>
          <w:kern w:val="0"/>
          <w:sz w:val="18"/>
          <w:szCs w:val="20"/>
          <w:lang w:val="it-IT"/>
          <w14:ligatures w14:val="none"/>
        </w:rPr>
        <w:t>Tel: +221 77 841 83 94, Fax: +221 821 47 58, E-Mail: mdseye@gmail.com; mdseye1@gmail.com; mdouseye@yahoo.fr</w:t>
      </w:r>
    </w:p>
    <w:p w14:paraId="3B45F818" w14:textId="77777777" w:rsidR="001A32C5" w:rsidRPr="001F2AF6" w:rsidRDefault="001A32C5" w:rsidP="001A32C5">
      <w:pPr>
        <w:spacing w:line="240" w:lineRule="auto"/>
        <w:ind w:left="0" w:firstLine="0"/>
        <w:rPr>
          <w:color w:val="auto"/>
          <w:kern w:val="0"/>
          <w:szCs w:val="20"/>
          <w:lang w:val="it-IT"/>
          <w14:ligatures w14:val="none"/>
        </w:rPr>
      </w:pPr>
    </w:p>
    <w:p w14:paraId="064B82C5" w14:textId="6A89D012" w:rsidR="001A32C5" w:rsidRPr="001F2AF6" w:rsidRDefault="001A32C5" w:rsidP="001A32C5">
      <w:pPr>
        <w:spacing w:line="240" w:lineRule="auto"/>
        <w:ind w:left="0" w:firstLine="0"/>
        <w:rPr>
          <w:color w:val="auto"/>
          <w:kern w:val="0"/>
          <w:szCs w:val="20"/>
          <w:lang w:val="it-IT"/>
          <w14:ligatures w14:val="none"/>
        </w:rPr>
      </w:pPr>
      <w:r w:rsidRPr="001F2AF6">
        <w:rPr>
          <w:b/>
          <w:color w:val="auto"/>
          <w:kern w:val="0"/>
          <w:szCs w:val="20"/>
          <w:lang w:val="it-IT"/>
          <w14:ligatures w14:val="none"/>
        </w:rPr>
        <w:t>SIERRA LEONE</w:t>
      </w:r>
    </w:p>
    <w:p w14:paraId="19E46F13"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Mansaray</w:t>
      </w:r>
      <w:r w:rsidRPr="001F2AF6">
        <w:rPr>
          <w:color w:val="auto"/>
          <w:kern w:val="0"/>
          <w:sz w:val="18"/>
          <w:szCs w:val="20"/>
          <w:lang w:val="en-US"/>
          <w14:ligatures w14:val="none"/>
        </w:rPr>
        <w:t>, Mamoud</w:t>
      </w:r>
    </w:p>
    <w:p w14:paraId="6B85E585"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Principal Fisheries Officer, Ministry of Fisheries and Marine Resources (MFMR), 7th Floor Youyi Building, Freetown</w:t>
      </w:r>
    </w:p>
    <w:p w14:paraId="0AC3134F"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+232 762 55590, E-Mail: mansaraymamoud85@gmail.com</w:t>
      </w:r>
    </w:p>
    <w:p w14:paraId="78C87811" w14:textId="77777777" w:rsidR="001A32C5" w:rsidRPr="001F2AF6" w:rsidRDefault="001A32C5" w:rsidP="001A32C5">
      <w:pPr>
        <w:spacing w:line="240" w:lineRule="auto"/>
        <w:ind w:left="0" w:firstLine="0"/>
        <w:rPr>
          <w:color w:val="auto"/>
          <w:kern w:val="0"/>
          <w:szCs w:val="20"/>
          <w:lang w:val="pt-PT"/>
          <w14:ligatures w14:val="none"/>
        </w:rPr>
      </w:pPr>
    </w:p>
    <w:p w14:paraId="3DB3111F" w14:textId="00AAABE2" w:rsidR="001A32C5" w:rsidRPr="001F2AF6" w:rsidRDefault="001A32C5" w:rsidP="001A32C5">
      <w:pPr>
        <w:spacing w:line="240" w:lineRule="auto"/>
        <w:ind w:left="0" w:firstLine="0"/>
        <w:rPr>
          <w:color w:val="auto"/>
          <w:kern w:val="0"/>
          <w:szCs w:val="20"/>
          <w14:ligatures w14:val="none"/>
        </w:rPr>
      </w:pPr>
      <w:r w:rsidRPr="001F2AF6">
        <w:rPr>
          <w:b/>
          <w:color w:val="auto"/>
          <w:kern w:val="0"/>
          <w:szCs w:val="20"/>
          <w14:ligatures w14:val="none"/>
        </w:rPr>
        <w:t>TOGO</w:t>
      </w:r>
    </w:p>
    <w:p w14:paraId="19A4B04D" w14:textId="77777777" w:rsidR="001A32C5" w:rsidRPr="001F2AF6" w:rsidRDefault="001A32C5" w:rsidP="001A32C5">
      <w:pPr>
        <w:spacing w:line="240" w:lineRule="auto"/>
        <w:ind w:left="0" w:firstLine="0"/>
        <w:rPr>
          <w:color w:val="auto"/>
          <w:kern w:val="0"/>
          <w:szCs w:val="20"/>
          <w14:ligatures w14:val="none"/>
        </w:rPr>
      </w:pPr>
      <w:r w:rsidRPr="001F2AF6">
        <w:rPr>
          <w:b/>
          <w:color w:val="auto"/>
          <w:kern w:val="0"/>
          <w:sz w:val="18"/>
          <w:szCs w:val="20"/>
          <w14:ligatures w14:val="none"/>
        </w:rPr>
        <w:t>Edzoe</w:t>
      </w:r>
      <w:r w:rsidRPr="001F2AF6">
        <w:rPr>
          <w:color w:val="auto"/>
          <w:kern w:val="0"/>
          <w:sz w:val="18"/>
          <w:szCs w:val="20"/>
          <w14:ligatures w14:val="none"/>
        </w:rPr>
        <w:t>, Koffi Dodzi</w:t>
      </w:r>
    </w:p>
    <w:p w14:paraId="5E0C2BE0"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Chef section de l'aménagement des pêcheries, Direction des productions halieutiques</w:t>
      </w:r>
    </w:p>
    <w:p w14:paraId="13FC092B"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+228 91 13 32 50, E-Mail: koffi.edzoe@maritime.gouv.tg</w:t>
      </w:r>
    </w:p>
    <w:p w14:paraId="46F87376" w14:textId="77777777" w:rsidR="001A32C5" w:rsidRPr="001F2AF6" w:rsidRDefault="001A32C5" w:rsidP="001A32C5">
      <w:pPr>
        <w:spacing w:line="240" w:lineRule="auto"/>
        <w:ind w:left="0" w:firstLine="0"/>
        <w:rPr>
          <w:color w:val="auto"/>
          <w:kern w:val="0"/>
          <w:szCs w:val="20"/>
          <w:lang w:val="pt-PT"/>
          <w14:ligatures w14:val="none"/>
        </w:rPr>
      </w:pPr>
    </w:p>
    <w:p w14:paraId="1E827E6F" w14:textId="77777777" w:rsidR="00814FEE" w:rsidRPr="001F2AF6" w:rsidRDefault="00814FEE" w:rsidP="00814FEE">
      <w:pPr>
        <w:spacing w:line="240" w:lineRule="auto"/>
        <w:ind w:left="0" w:firstLine="0"/>
        <w:rPr>
          <w:color w:val="auto"/>
          <w:kern w:val="0"/>
          <w:szCs w:val="20"/>
          <w14:ligatures w14:val="none"/>
        </w:rPr>
      </w:pPr>
      <w:r w:rsidRPr="001F2AF6">
        <w:rPr>
          <w:b/>
          <w:color w:val="auto"/>
          <w:kern w:val="0"/>
          <w:szCs w:val="20"/>
          <w14:ligatures w14:val="none"/>
        </w:rPr>
        <w:t>UNION EUROPÉENNE</w:t>
      </w:r>
    </w:p>
    <w:p w14:paraId="0F391C07" w14:textId="77777777" w:rsidR="00814FEE" w:rsidRPr="001F2AF6" w:rsidRDefault="00814FEE" w:rsidP="00814FEE">
      <w:pPr>
        <w:spacing w:line="240" w:lineRule="auto"/>
        <w:ind w:left="0" w:firstLine="0"/>
        <w:rPr>
          <w:color w:val="auto"/>
          <w:kern w:val="0"/>
          <w:szCs w:val="20"/>
          <w14:ligatures w14:val="none"/>
        </w:rPr>
      </w:pPr>
      <w:r w:rsidRPr="001F2AF6">
        <w:rPr>
          <w:b/>
          <w:color w:val="auto"/>
          <w:kern w:val="0"/>
          <w:sz w:val="18"/>
          <w:szCs w:val="20"/>
          <w14:ligatures w14:val="none"/>
        </w:rPr>
        <w:t>Marot</w:t>
      </w:r>
      <w:r w:rsidRPr="001F2AF6">
        <w:rPr>
          <w:color w:val="auto"/>
          <w:kern w:val="0"/>
          <w:sz w:val="18"/>
          <w:szCs w:val="20"/>
          <w14:ligatures w14:val="none"/>
        </w:rPr>
        <w:t>, Laura</w:t>
      </w:r>
    </w:p>
    <w:p w14:paraId="1CF4F8C2" w14:textId="77777777" w:rsidR="00814FEE" w:rsidRPr="001F2AF6" w:rsidRDefault="00814FEE" w:rsidP="00814FEE">
      <w:pPr>
        <w:spacing w:line="240" w:lineRule="auto"/>
        <w:ind w:left="0" w:firstLine="0"/>
        <w:jc w:val="both"/>
        <w:rPr>
          <w:color w:val="auto"/>
          <w:kern w:val="0"/>
          <w:szCs w:val="20"/>
          <w14:ligatures w14:val="none"/>
        </w:rPr>
      </w:pPr>
      <w:r w:rsidRPr="001F2AF6">
        <w:rPr>
          <w:color w:val="auto"/>
          <w:kern w:val="0"/>
          <w:sz w:val="18"/>
          <w:szCs w:val="20"/>
          <w14:ligatures w14:val="none"/>
        </w:rPr>
        <w:t>European Commission, DG MARE B2, 99 Rue Joseph II, B-1049 Brussels, Belgium</w:t>
      </w:r>
    </w:p>
    <w:p w14:paraId="7CF7F780"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+32 229 82243, E-Mail: laura.marot@ec.europa.eu</w:t>
      </w:r>
    </w:p>
    <w:p w14:paraId="4FDEDF36" w14:textId="77777777" w:rsidR="00814FEE" w:rsidRPr="001F2AF6" w:rsidRDefault="00814FEE" w:rsidP="00814FEE">
      <w:pPr>
        <w:spacing w:line="240" w:lineRule="auto"/>
        <w:ind w:left="0" w:firstLine="0"/>
        <w:rPr>
          <w:b/>
          <w:color w:val="auto"/>
          <w:kern w:val="0"/>
          <w:sz w:val="18"/>
          <w:szCs w:val="20"/>
          <w:lang w:val="pt-PT"/>
          <w14:ligatures w14:val="none"/>
        </w:rPr>
      </w:pPr>
    </w:p>
    <w:p w14:paraId="3426023E" w14:textId="77777777" w:rsidR="00814FEE" w:rsidRPr="001F2AF6" w:rsidRDefault="00814FEE" w:rsidP="00814FEE">
      <w:pPr>
        <w:spacing w:line="240" w:lineRule="auto"/>
        <w:ind w:left="0" w:firstLine="0"/>
        <w:rPr>
          <w:color w:val="auto"/>
          <w:kern w:val="0"/>
          <w:szCs w:val="20"/>
          <w:lang w:val="es-ES"/>
          <w14:ligatures w14:val="none"/>
        </w:rPr>
      </w:pPr>
      <w:r w:rsidRPr="001F2AF6">
        <w:rPr>
          <w:b/>
          <w:color w:val="auto"/>
          <w:kern w:val="0"/>
          <w:sz w:val="18"/>
          <w:szCs w:val="20"/>
          <w:lang w:val="es-ES"/>
          <w14:ligatures w14:val="none"/>
        </w:rPr>
        <w:t>Ansell</w:t>
      </w:r>
      <w:r w:rsidRPr="001F2AF6">
        <w:rPr>
          <w:color w:val="auto"/>
          <w:kern w:val="0"/>
          <w:sz w:val="18"/>
          <w:szCs w:val="20"/>
          <w:lang w:val="es-ES"/>
          <w14:ligatures w14:val="none"/>
        </w:rPr>
        <w:t xml:space="preserve">, Neil </w:t>
      </w:r>
      <w:r w:rsidRPr="001F2AF6">
        <w:rPr>
          <w:color w:val="auto"/>
          <w:kern w:val="0"/>
          <w:sz w:val="18"/>
          <w:szCs w:val="20"/>
          <w:vertAlign w:val="superscript"/>
          <w:lang w:val="es-ES"/>
          <w14:ligatures w14:val="none"/>
        </w:rPr>
        <w:t>1</w:t>
      </w:r>
    </w:p>
    <w:p w14:paraId="3130E662" w14:textId="77777777" w:rsidR="00814FEE" w:rsidRPr="001F2AF6" w:rsidRDefault="00814FEE" w:rsidP="00814FEE">
      <w:pPr>
        <w:spacing w:line="240" w:lineRule="auto"/>
        <w:ind w:left="0" w:firstLine="0"/>
        <w:jc w:val="both"/>
        <w:rPr>
          <w:color w:val="auto"/>
          <w:kern w:val="0"/>
          <w:szCs w:val="20"/>
          <w:lang w:val="es-ES"/>
          <w14:ligatures w14:val="none"/>
        </w:rPr>
      </w:pPr>
      <w:r w:rsidRPr="001F2AF6">
        <w:rPr>
          <w:color w:val="auto"/>
          <w:kern w:val="0"/>
          <w:sz w:val="18"/>
          <w:szCs w:val="20"/>
          <w:lang w:val="es-ES"/>
          <w14:ligatures w14:val="none"/>
        </w:rPr>
        <w:t>European Fisheries Control Agency, 36201 Vigo, España</w:t>
      </w:r>
    </w:p>
    <w:p w14:paraId="3C02F99F" w14:textId="77777777" w:rsidR="00814FEE" w:rsidRPr="001F2AF6" w:rsidRDefault="00814FEE" w:rsidP="00814FEE">
      <w:pPr>
        <w:spacing w:line="240" w:lineRule="auto"/>
        <w:ind w:left="0" w:firstLine="0"/>
        <w:rPr>
          <w:color w:val="auto"/>
          <w:kern w:val="0"/>
          <w:szCs w:val="20"/>
          <w:lang w:val="es-ES"/>
          <w14:ligatures w14:val="none"/>
        </w:rPr>
      </w:pPr>
    </w:p>
    <w:p w14:paraId="592F0F31" w14:textId="77777777" w:rsidR="00814FEE" w:rsidRPr="001F2AF6" w:rsidRDefault="00814FEE" w:rsidP="00814FEE">
      <w:pPr>
        <w:spacing w:line="240" w:lineRule="auto"/>
        <w:ind w:left="0" w:firstLine="0"/>
        <w:rPr>
          <w:color w:val="auto"/>
          <w:kern w:val="0"/>
          <w:szCs w:val="20"/>
          <w:lang w:val="es-ES"/>
          <w14:ligatures w14:val="none"/>
        </w:rPr>
      </w:pPr>
      <w:r w:rsidRPr="001F2AF6">
        <w:rPr>
          <w:b/>
          <w:color w:val="auto"/>
          <w:kern w:val="0"/>
          <w:sz w:val="18"/>
          <w:szCs w:val="20"/>
          <w:lang w:val="es-ES"/>
          <w14:ligatures w14:val="none"/>
        </w:rPr>
        <w:t>Duarte</w:t>
      </w:r>
      <w:r w:rsidRPr="001F2AF6">
        <w:rPr>
          <w:color w:val="auto"/>
          <w:kern w:val="0"/>
          <w:sz w:val="18"/>
          <w:szCs w:val="20"/>
          <w:lang w:val="es-ES"/>
          <w14:ligatures w14:val="none"/>
        </w:rPr>
        <w:t>, Rafael</w:t>
      </w:r>
    </w:p>
    <w:p w14:paraId="7D66C11C" w14:textId="77777777" w:rsidR="00814FEE" w:rsidRPr="001F2AF6" w:rsidRDefault="00814FEE" w:rsidP="00814FEE">
      <w:pPr>
        <w:spacing w:line="240" w:lineRule="auto"/>
        <w:ind w:left="0" w:firstLine="0"/>
        <w:jc w:val="both"/>
        <w:rPr>
          <w:color w:val="auto"/>
          <w:kern w:val="0"/>
          <w:szCs w:val="20"/>
          <w:lang w:val="es-ES"/>
          <w14:ligatures w14:val="none"/>
        </w:rPr>
      </w:pPr>
      <w:r w:rsidRPr="001F2AF6">
        <w:rPr>
          <w:color w:val="auto"/>
          <w:kern w:val="0"/>
          <w:sz w:val="18"/>
          <w:szCs w:val="20"/>
          <w:lang w:val="es-ES"/>
          <w14:ligatures w14:val="none"/>
        </w:rPr>
        <w:t>European Fisheries Control Agency - EFCA, Avenida García Barbón 4, 36201 Vigo, España</w:t>
      </w:r>
    </w:p>
    <w:p w14:paraId="6A0B481B" w14:textId="77777777" w:rsidR="00814FEE" w:rsidRPr="001F2AF6" w:rsidRDefault="00814FEE" w:rsidP="00814FEE">
      <w:pPr>
        <w:spacing w:line="240" w:lineRule="auto"/>
        <w:ind w:left="0" w:firstLine="0"/>
        <w:jc w:val="both"/>
        <w:rPr>
          <w:color w:val="auto"/>
          <w:kern w:val="0"/>
          <w:szCs w:val="20"/>
          <w:lang w:val="it-IT"/>
          <w14:ligatures w14:val="none"/>
        </w:rPr>
      </w:pPr>
      <w:r w:rsidRPr="001F2AF6">
        <w:rPr>
          <w:color w:val="auto"/>
          <w:kern w:val="0"/>
          <w:sz w:val="18"/>
          <w:szCs w:val="20"/>
          <w:lang w:val="it-IT"/>
          <w14:ligatures w14:val="none"/>
        </w:rPr>
        <w:t>E-Mail: rafael.duarte@efca.europa.eu</w:t>
      </w:r>
    </w:p>
    <w:p w14:paraId="4DDA143E" w14:textId="77777777" w:rsidR="00814FEE" w:rsidRPr="001F2AF6" w:rsidRDefault="00814FEE" w:rsidP="00814FEE">
      <w:pPr>
        <w:spacing w:line="240" w:lineRule="auto"/>
        <w:ind w:left="0" w:firstLine="0"/>
        <w:rPr>
          <w:color w:val="auto"/>
          <w:kern w:val="0"/>
          <w:szCs w:val="20"/>
          <w:lang w:val="it-IT"/>
          <w14:ligatures w14:val="none"/>
        </w:rPr>
      </w:pPr>
    </w:p>
    <w:p w14:paraId="42475F99" w14:textId="44003B66" w:rsidR="00814FEE" w:rsidRPr="006A012D" w:rsidRDefault="00814FEE" w:rsidP="00814FEE">
      <w:pPr>
        <w:spacing w:line="240" w:lineRule="auto"/>
        <w:ind w:left="0" w:firstLine="0"/>
        <w:rPr>
          <w:color w:val="auto"/>
          <w:kern w:val="0"/>
          <w:szCs w:val="20"/>
          <w14:ligatures w14:val="none"/>
        </w:rPr>
      </w:pPr>
      <w:r w:rsidRPr="006A012D">
        <w:rPr>
          <w:b/>
          <w:color w:val="auto"/>
          <w:kern w:val="0"/>
          <w:sz w:val="18"/>
          <w:szCs w:val="20"/>
          <w14:ligatures w14:val="none"/>
        </w:rPr>
        <w:t>Lopes</w:t>
      </w:r>
      <w:r w:rsidRPr="006A012D">
        <w:rPr>
          <w:color w:val="auto"/>
          <w:kern w:val="0"/>
          <w:sz w:val="18"/>
          <w:szCs w:val="20"/>
          <w14:ligatures w14:val="none"/>
        </w:rPr>
        <w:t>, Vera</w:t>
      </w:r>
    </w:p>
    <w:p w14:paraId="472B3897"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DGRM, Maritime Activities Control Unit, Av. Brasilia, 1449-030 Lisboa, Portugal</w:t>
      </w:r>
    </w:p>
    <w:p w14:paraId="6026C1AF" w14:textId="77777777" w:rsidR="00814FEE" w:rsidRPr="001F2AF6" w:rsidRDefault="00814FEE" w:rsidP="00814FEE">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+351 962 103 780, E-Mail: vlopes@dgrm.pt</w:t>
      </w:r>
    </w:p>
    <w:p w14:paraId="49E145B1" w14:textId="77777777" w:rsidR="00814FEE" w:rsidRPr="001F2AF6" w:rsidRDefault="00814FEE" w:rsidP="00814FEE">
      <w:pPr>
        <w:spacing w:line="240" w:lineRule="auto"/>
        <w:ind w:left="0" w:firstLine="0"/>
        <w:rPr>
          <w:color w:val="auto"/>
          <w:kern w:val="0"/>
          <w:szCs w:val="20"/>
          <w:lang w:val="pt-PT"/>
          <w14:ligatures w14:val="none"/>
        </w:rPr>
      </w:pPr>
    </w:p>
    <w:p w14:paraId="3D41632F" w14:textId="77777777" w:rsidR="001A32C5" w:rsidRPr="001F2AF6" w:rsidRDefault="001A32C5" w:rsidP="001A32C5">
      <w:pPr>
        <w:spacing w:line="240" w:lineRule="auto"/>
        <w:ind w:left="0" w:firstLine="0"/>
        <w:rPr>
          <w:color w:val="auto"/>
          <w:kern w:val="0"/>
          <w:szCs w:val="20"/>
          <w:lang w:val="pt-PT"/>
          <w14:ligatures w14:val="none"/>
        </w:rPr>
      </w:pPr>
    </w:p>
    <w:p w14:paraId="1086E0B6" w14:textId="669BAA12" w:rsidR="001A32C5" w:rsidRPr="001F2AF6" w:rsidRDefault="001A32C5" w:rsidP="001A32C5">
      <w:pPr>
        <w:spacing w:line="240" w:lineRule="auto"/>
        <w:ind w:left="0" w:firstLine="0"/>
        <w:jc w:val="both"/>
        <w:rPr>
          <w:color w:val="auto"/>
          <w:kern w:val="0"/>
          <w:szCs w:val="20"/>
          <w14:ligatures w14:val="none"/>
        </w:rPr>
      </w:pPr>
      <w:r w:rsidRPr="001F2AF6">
        <w:rPr>
          <w:b/>
          <w:i/>
          <w:color w:val="auto"/>
          <w:kern w:val="0"/>
          <w:szCs w:val="20"/>
          <w14:ligatures w14:val="none"/>
        </w:rPr>
        <w:t>OBSERVATEURS DE PARTIES, ENTITÉS, ENTITÉS DE PÊCHE NON CONTRACTANTES COOPÉRANTES</w:t>
      </w:r>
    </w:p>
    <w:p w14:paraId="21676968" w14:textId="77777777" w:rsidR="001A32C5" w:rsidRPr="001F2AF6" w:rsidRDefault="001A32C5" w:rsidP="001A32C5">
      <w:pPr>
        <w:spacing w:line="240" w:lineRule="auto"/>
        <w:ind w:left="0" w:firstLine="0"/>
        <w:jc w:val="both"/>
        <w:rPr>
          <w:color w:val="auto"/>
          <w:kern w:val="0"/>
          <w:szCs w:val="20"/>
          <w14:ligatures w14:val="none"/>
        </w:rPr>
      </w:pPr>
    </w:p>
    <w:p w14:paraId="1743729B" w14:textId="4D0315E1"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Cs w:val="20"/>
          <w:lang w:val="en-US"/>
          <w14:ligatures w14:val="none"/>
        </w:rPr>
        <w:t>TAIPEI CHINOIS</w:t>
      </w:r>
    </w:p>
    <w:p w14:paraId="11906427"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Chou</w:t>
      </w:r>
      <w:r w:rsidRPr="001F2AF6">
        <w:rPr>
          <w:color w:val="auto"/>
          <w:kern w:val="0"/>
          <w:sz w:val="18"/>
          <w:szCs w:val="20"/>
          <w:lang w:val="en-US"/>
          <w14:ligatures w14:val="none"/>
        </w:rPr>
        <w:t>, Shih-Chin</w:t>
      </w:r>
    </w:p>
    <w:p w14:paraId="6B5ED65A"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Deputy Director, Distant Water Fisheries Division, Fisheries Agency, 8F, No. 100, Sec. 2, Heping W. Rd., Zhongzheng Dist., 10060</w:t>
      </w:r>
    </w:p>
    <w:p w14:paraId="30521EA7"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Tel: +886 2 2383 5855, Fax: +886 2 2332 7395, E-Mail: chou1967sc@gmail.com; shihcin@ms1.fa.gov.tw</w:t>
      </w:r>
    </w:p>
    <w:p w14:paraId="596EAC22" w14:textId="77777777" w:rsidR="001A32C5" w:rsidRPr="001F2AF6" w:rsidRDefault="001A32C5" w:rsidP="001A32C5">
      <w:pPr>
        <w:spacing w:line="240" w:lineRule="auto"/>
        <w:ind w:left="0" w:firstLine="0"/>
        <w:rPr>
          <w:color w:val="auto"/>
          <w:kern w:val="0"/>
          <w:szCs w:val="20"/>
          <w:lang w:val="en-US"/>
          <w14:ligatures w14:val="none"/>
        </w:rPr>
      </w:pPr>
    </w:p>
    <w:p w14:paraId="05CE686D"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Hsu</w:t>
      </w:r>
      <w:r w:rsidRPr="001F2AF6">
        <w:rPr>
          <w:color w:val="auto"/>
          <w:kern w:val="0"/>
          <w:sz w:val="18"/>
          <w:szCs w:val="20"/>
          <w:lang w:val="en-US"/>
          <w14:ligatures w14:val="none"/>
        </w:rPr>
        <w:t>, Huang-Wei</w:t>
      </w:r>
    </w:p>
    <w:p w14:paraId="5A88C96E"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Technical Specialist, Distant Water Fisheries Division, Fisheries Agency, 8F., No.100, Sec. 2, Heping W. Rd., Zhongzheng Dist., 10060</w:t>
      </w:r>
    </w:p>
    <w:p w14:paraId="4CA464C4"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Tel: +886 2 238 35912, Fax: +886 2 233 27396, E-Mail: huangwei0510@ms1.fa.gov.tw; w020788995@gmail.com</w:t>
      </w:r>
    </w:p>
    <w:p w14:paraId="59BA8AF1" w14:textId="77777777" w:rsidR="001A32C5" w:rsidRPr="001F2AF6" w:rsidRDefault="001A32C5" w:rsidP="001A32C5">
      <w:pPr>
        <w:spacing w:line="240" w:lineRule="auto"/>
        <w:ind w:left="0" w:firstLine="0"/>
        <w:rPr>
          <w:color w:val="auto"/>
          <w:kern w:val="0"/>
          <w:szCs w:val="20"/>
          <w:lang w:val="en-US"/>
          <w14:ligatures w14:val="none"/>
        </w:rPr>
      </w:pPr>
    </w:p>
    <w:p w14:paraId="6471344A"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Kao</w:t>
      </w:r>
      <w:r w:rsidRPr="001F2AF6">
        <w:rPr>
          <w:color w:val="auto"/>
          <w:kern w:val="0"/>
          <w:sz w:val="18"/>
          <w:szCs w:val="20"/>
          <w:lang w:val="en-US"/>
          <w14:ligatures w14:val="none"/>
        </w:rPr>
        <w:t>, Shih-Ming</w:t>
      </w:r>
    </w:p>
    <w:p w14:paraId="65EFD492"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Professor, Graduate Institute of Marine Affairs, National Sun Yat-sen University, 70 Lien-Hai Road, 80424 Kaohsiung City</w:t>
      </w:r>
    </w:p>
    <w:p w14:paraId="3CBACF23"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Tel: +886 7 525 2000 Ext. 5305, Fax: +886 7 525 6205, E-Mail: kaosm@udel.edu; kaosm@mail.nsysu.edu.tw</w:t>
      </w:r>
    </w:p>
    <w:p w14:paraId="65A95358" w14:textId="77777777" w:rsidR="001A32C5" w:rsidRPr="001F2AF6" w:rsidRDefault="001A32C5" w:rsidP="001A32C5">
      <w:pPr>
        <w:spacing w:line="240" w:lineRule="auto"/>
        <w:ind w:left="0" w:firstLine="0"/>
        <w:rPr>
          <w:color w:val="auto"/>
          <w:kern w:val="0"/>
          <w:szCs w:val="20"/>
          <w:lang w:val="en-US"/>
          <w14:ligatures w14:val="none"/>
        </w:rPr>
      </w:pPr>
    </w:p>
    <w:p w14:paraId="2BEF4ACF"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Lai</w:t>
      </w:r>
      <w:r w:rsidRPr="001F2AF6">
        <w:rPr>
          <w:color w:val="auto"/>
          <w:kern w:val="0"/>
          <w:sz w:val="18"/>
          <w:szCs w:val="20"/>
          <w:lang w:val="en-US"/>
          <w14:ligatures w14:val="none"/>
        </w:rPr>
        <w:t>, I-Lu</w:t>
      </w:r>
    </w:p>
    <w:p w14:paraId="1615B9FF"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Senior Specialist, Fisheries Agency, 8F., No.100, Sec. 2, Heping W. Rd., Zhongzheng Dist., 10060</w:t>
      </w:r>
    </w:p>
    <w:p w14:paraId="5A8D3A76"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+886 2 238 35855, E-Mail: ilu@ms1.fa.gov.tw</w:t>
      </w:r>
    </w:p>
    <w:p w14:paraId="77089E00" w14:textId="77777777" w:rsidR="001A32C5" w:rsidRPr="001F2AF6" w:rsidRDefault="001A32C5" w:rsidP="001A32C5">
      <w:pPr>
        <w:spacing w:line="240" w:lineRule="auto"/>
        <w:ind w:left="0" w:firstLine="0"/>
        <w:rPr>
          <w:color w:val="auto"/>
          <w:kern w:val="0"/>
          <w:szCs w:val="20"/>
          <w:lang w:val="pt-PT"/>
          <w14:ligatures w14:val="none"/>
        </w:rPr>
      </w:pPr>
    </w:p>
    <w:p w14:paraId="20A25DBD" w14:textId="77777777" w:rsidR="001A32C5" w:rsidRPr="006A012D" w:rsidRDefault="001A32C5" w:rsidP="001A32C5">
      <w:pPr>
        <w:spacing w:line="240" w:lineRule="auto"/>
        <w:ind w:left="0" w:firstLine="0"/>
        <w:rPr>
          <w:color w:val="auto"/>
          <w:kern w:val="0"/>
          <w:szCs w:val="20"/>
          <w14:ligatures w14:val="none"/>
        </w:rPr>
      </w:pPr>
      <w:r w:rsidRPr="006A012D">
        <w:rPr>
          <w:b/>
          <w:color w:val="auto"/>
          <w:kern w:val="0"/>
          <w:sz w:val="18"/>
          <w:szCs w:val="20"/>
          <w14:ligatures w14:val="none"/>
        </w:rPr>
        <w:t>Lin</w:t>
      </w:r>
      <w:r w:rsidRPr="006A012D">
        <w:rPr>
          <w:color w:val="auto"/>
          <w:kern w:val="0"/>
          <w:sz w:val="18"/>
          <w:szCs w:val="20"/>
          <w14:ligatures w14:val="none"/>
        </w:rPr>
        <w:t>, Yen-Ju</w:t>
      </w:r>
    </w:p>
    <w:p w14:paraId="0FF2D954"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Section Chief, Fisheries Agency, 8F, No. 100, Sec. 2, Heping W. Rd., Zhongzheng Dist., 10060</w:t>
      </w:r>
    </w:p>
    <w:p w14:paraId="728831CC"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+886 2 2383 5915, E-Mail: yenju@ms1.fa.gov.tw; YenJu.Lin.38@gmail.com</w:t>
      </w:r>
    </w:p>
    <w:p w14:paraId="4DCDC5F2" w14:textId="77777777" w:rsidR="00814FEE" w:rsidRPr="001F2AF6" w:rsidRDefault="00814FEE" w:rsidP="001A32C5">
      <w:pPr>
        <w:spacing w:line="240" w:lineRule="auto"/>
        <w:ind w:left="0" w:firstLine="0"/>
        <w:rPr>
          <w:b/>
          <w:color w:val="auto"/>
          <w:kern w:val="0"/>
          <w:sz w:val="18"/>
          <w:szCs w:val="20"/>
          <w:lang w:val="pt-PT"/>
          <w14:ligatures w14:val="none"/>
        </w:rPr>
      </w:pPr>
    </w:p>
    <w:p w14:paraId="31A5743E" w14:textId="77777777" w:rsidR="00223EBA" w:rsidRPr="001F2AF6" w:rsidRDefault="00223EBA">
      <w:pPr>
        <w:spacing w:after="160" w:line="278" w:lineRule="auto"/>
        <w:ind w:left="0" w:firstLine="0"/>
        <w:rPr>
          <w:b/>
          <w:color w:val="auto"/>
          <w:kern w:val="0"/>
          <w:sz w:val="18"/>
          <w:szCs w:val="20"/>
          <w:lang w:val="pt-PT"/>
          <w14:ligatures w14:val="none"/>
        </w:rPr>
      </w:pPr>
      <w:r w:rsidRPr="001F2AF6">
        <w:rPr>
          <w:b/>
          <w:color w:val="auto"/>
          <w:kern w:val="0"/>
          <w:sz w:val="18"/>
          <w:szCs w:val="20"/>
          <w:lang w:val="pt-PT"/>
          <w14:ligatures w14:val="none"/>
        </w:rPr>
        <w:br w:type="page"/>
      </w:r>
    </w:p>
    <w:p w14:paraId="6DEB477B" w14:textId="569873F5"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lastRenderedPageBreak/>
        <w:t>Yang</w:t>
      </w:r>
      <w:r w:rsidRPr="001F2AF6">
        <w:rPr>
          <w:color w:val="auto"/>
          <w:kern w:val="0"/>
          <w:sz w:val="18"/>
          <w:szCs w:val="20"/>
          <w:lang w:val="en-US"/>
          <w14:ligatures w14:val="none"/>
        </w:rPr>
        <w:t>, Shan-Wen</w:t>
      </w:r>
    </w:p>
    <w:p w14:paraId="76223AEF"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Secretary, Overseas Fisheries Development Council, 3F, No. 14, Wenzhou Street, Da'an Dist., 10648</w:t>
      </w:r>
    </w:p>
    <w:p w14:paraId="1A3BC967" w14:textId="77777777" w:rsidR="001A32C5" w:rsidRPr="001F2AF6" w:rsidRDefault="001A32C5" w:rsidP="001A32C5">
      <w:pPr>
        <w:spacing w:line="240" w:lineRule="auto"/>
        <w:ind w:left="0" w:firstLine="0"/>
        <w:jc w:val="both"/>
        <w:rPr>
          <w:color w:val="auto"/>
          <w:kern w:val="0"/>
          <w:szCs w:val="20"/>
          <w14:ligatures w14:val="none"/>
        </w:rPr>
      </w:pPr>
      <w:r w:rsidRPr="001F2AF6">
        <w:rPr>
          <w:color w:val="auto"/>
          <w:kern w:val="0"/>
          <w:sz w:val="18"/>
          <w:szCs w:val="20"/>
          <w14:ligatures w14:val="none"/>
        </w:rPr>
        <w:t>Tel: +886 2 2368 0889 #151, Fax: +886 2 2368 6418, E-Mail: shenwen@ofdc.org.tw</w:t>
      </w:r>
    </w:p>
    <w:p w14:paraId="02AA4186" w14:textId="77777777" w:rsidR="001A32C5" w:rsidRPr="001F2AF6" w:rsidRDefault="001A32C5" w:rsidP="001A32C5">
      <w:pPr>
        <w:spacing w:line="240" w:lineRule="auto"/>
        <w:ind w:left="0" w:firstLine="0"/>
        <w:rPr>
          <w:color w:val="auto"/>
          <w:kern w:val="0"/>
          <w:szCs w:val="20"/>
          <w14:ligatures w14:val="none"/>
        </w:rPr>
      </w:pPr>
    </w:p>
    <w:p w14:paraId="58A061A2" w14:textId="77777777" w:rsidR="001A32C5" w:rsidRPr="001F2AF6" w:rsidRDefault="001A32C5" w:rsidP="001A32C5">
      <w:pPr>
        <w:spacing w:line="240" w:lineRule="auto"/>
        <w:ind w:left="0" w:firstLine="0"/>
        <w:rPr>
          <w:color w:val="auto"/>
          <w:kern w:val="0"/>
          <w:szCs w:val="20"/>
          <w14:ligatures w14:val="none"/>
        </w:rPr>
      </w:pPr>
    </w:p>
    <w:p w14:paraId="1BCE6749" w14:textId="42D14DF7" w:rsidR="001A32C5" w:rsidRPr="001F2AF6" w:rsidRDefault="001A32C5" w:rsidP="001A32C5">
      <w:pPr>
        <w:spacing w:line="240" w:lineRule="auto"/>
        <w:ind w:left="0" w:firstLine="0"/>
        <w:jc w:val="both"/>
        <w:rPr>
          <w:color w:val="auto"/>
          <w:kern w:val="0"/>
          <w:szCs w:val="20"/>
          <w14:ligatures w14:val="none"/>
        </w:rPr>
      </w:pPr>
      <w:r w:rsidRPr="001F2AF6">
        <w:rPr>
          <w:b/>
          <w:i/>
          <w:color w:val="auto"/>
          <w:kern w:val="0"/>
          <w:szCs w:val="20"/>
          <w14:ligatures w14:val="none"/>
        </w:rPr>
        <w:t>OBSERVATEURS D’ORGANISMES INTERGOUVERNEMENTAUX</w:t>
      </w:r>
    </w:p>
    <w:p w14:paraId="585D276C" w14:textId="77777777" w:rsidR="001A32C5" w:rsidRPr="001F2AF6" w:rsidRDefault="001A32C5" w:rsidP="001A32C5">
      <w:pPr>
        <w:spacing w:line="240" w:lineRule="auto"/>
        <w:ind w:left="0" w:firstLine="0"/>
        <w:rPr>
          <w:color w:val="auto"/>
          <w:kern w:val="0"/>
          <w:szCs w:val="20"/>
          <w14:ligatures w14:val="none"/>
        </w:rPr>
      </w:pPr>
    </w:p>
    <w:p w14:paraId="08BE3427"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Cs w:val="20"/>
          <w:lang w:val="en-US"/>
          <w14:ligatures w14:val="none"/>
        </w:rPr>
        <w:t>INTERNATIONAL WHALING COMMISSION - IWC</w:t>
      </w:r>
    </w:p>
    <w:p w14:paraId="03E36E73"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Katara</w:t>
      </w:r>
      <w:r w:rsidRPr="001F2AF6">
        <w:rPr>
          <w:color w:val="auto"/>
          <w:kern w:val="0"/>
          <w:sz w:val="18"/>
          <w:szCs w:val="20"/>
          <w:lang w:val="en-US"/>
          <w14:ligatures w14:val="none"/>
        </w:rPr>
        <w:t>, Isidora</w:t>
      </w:r>
    </w:p>
    <w:p w14:paraId="4710E0AF"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International Whaling Commission - IWC, Suite 2, First floor, Victory House Vision Park, Histon, Cambridge CB24 9ZR, United Kingdom</w:t>
      </w:r>
    </w:p>
    <w:p w14:paraId="6D88682C"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+44 122 323 3971, E-Mail: isidora.katara@iwc.int</w:t>
      </w:r>
    </w:p>
    <w:p w14:paraId="66E7C207" w14:textId="77777777" w:rsidR="00223EBA" w:rsidRPr="001F2AF6" w:rsidRDefault="00223EBA" w:rsidP="001A32C5">
      <w:pPr>
        <w:spacing w:line="240" w:lineRule="auto"/>
        <w:ind w:left="0" w:firstLine="0"/>
        <w:jc w:val="both"/>
        <w:rPr>
          <w:b/>
          <w:i/>
          <w:color w:val="auto"/>
          <w:kern w:val="0"/>
          <w:szCs w:val="20"/>
          <w:lang w:val="pt-PT"/>
          <w14:ligatures w14:val="none"/>
        </w:rPr>
      </w:pPr>
    </w:p>
    <w:p w14:paraId="3DA94E42" w14:textId="33693A21" w:rsidR="001A32C5" w:rsidRPr="001F2AF6" w:rsidRDefault="001A32C5" w:rsidP="001A32C5">
      <w:pPr>
        <w:spacing w:line="240" w:lineRule="auto"/>
        <w:ind w:left="0" w:firstLine="0"/>
        <w:jc w:val="both"/>
        <w:rPr>
          <w:color w:val="auto"/>
          <w:kern w:val="0"/>
          <w:szCs w:val="20"/>
          <w14:ligatures w14:val="none"/>
        </w:rPr>
      </w:pPr>
      <w:r w:rsidRPr="001F2AF6">
        <w:rPr>
          <w:b/>
          <w:i/>
          <w:color w:val="auto"/>
          <w:kern w:val="0"/>
          <w:szCs w:val="20"/>
          <w14:ligatures w14:val="none"/>
        </w:rPr>
        <w:t>OBSERVATEURS D’ORGANISATIONS NON GOUVERNEMENTALES</w:t>
      </w:r>
    </w:p>
    <w:p w14:paraId="232BFCE4" w14:textId="77777777" w:rsidR="001A32C5" w:rsidRPr="001F2AF6" w:rsidRDefault="001A32C5" w:rsidP="001A32C5">
      <w:pPr>
        <w:spacing w:line="240" w:lineRule="auto"/>
        <w:ind w:left="0" w:firstLine="0"/>
        <w:jc w:val="both"/>
        <w:rPr>
          <w:color w:val="auto"/>
          <w:kern w:val="0"/>
          <w:szCs w:val="20"/>
          <w14:ligatures w14:val="none"/>
        </w:rPr>
      </w:pPr>
    </w:p>
    <w:p w14:paraId="6991722B" w14:textId="77777777" w:rsidR="001A32C5" w:rsidRPr="006A012D" w:rsidRDefault="001A32C5" w:rsidP="001A32C5">
      <w:pPr>
        <w:spacing w:line="240" w:lineRule="auto"/>
        <w:ind w:left="0" w:firstLine="0"/>
        <w:rPr>
          <w:color w:val="auto"/>
          <w:kern w:val="0"/>
          <w:szCs w:val="20"/>
          <w:lang w:val="en-US"/>
          <w14:ligatures w14:val="none"/>
        </w:rPr>
      </w:pPr>
      <w:r w:rsidRPr="006A012D">
        <w:rPr>
          <w:b/>
          <w:color w:val="auto"/>
          <w:kern w:val="0"/>
          <w:szCs w:val="20"/>
          <w:lang w:val="en-US"/>
          <w14:ligatures w14:val="none"/>
        </w:rPr>
        <w:t>PEW CHARITABLE TRUSTS - PEW</w:t>
      </w:r>
    </w:p>
    <w:p w14:paraId="0BD5D66F"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Evangelides</w:t>
      </w:r>
      <w:r w:rsidRPr="001F2AF6">
        <w:rPr>
          <w:color w:val="auto"/>
          <w:kern w:val="0"/>
          <w:sz w:val="18"/>
          <w:szCs w:val="20"/>
          <w:lang w:val="en-US"/>
          <w14:ligatures w14:val="none"/>
        </w:rPr>
        <w:t>, Nikolas</w:t>
      </w:r>
    </w:p>
    <w:p w14:paraId="259008A3"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Pew Charitable Trusts, 20 Eastbourne Terrace, London W2 6LA, United Kingdom</w:t>
      </w:r>
    </w:p>
    <w:p w14:paraId="21A8246B"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+44 20 7535 4232, E-Mail: nevangelides@pewtrusts.org</w:t>
      </w:r>
    </w:p>
    <w:p w14:paraId="4A89D01F" w14:textId="77777777" w:rsidR="001A32C5" w:rsidRPr="001F2AF6" w:rsidRDefault="001A32C5" w:rsidP="001A32C5">
      <w:pPr>
        <w:spacing w:line="240" w:lineRule="auto"/>
        <w:ind w:left="0" w:firstLine="0"/>
        <w:rPr>
          <w:color w:val="auto"/>
          <w:kern w:val="0"/>
          <w:szCs w:val="20"/>
          <w:lang w:val="pt-PT"/>
          <w14:ligatures w14:val="none"/>
        </w:rPr>
      </w:pPr>
    </w:p>
    <w:p w14:paraId="24021865" w14:textId="77777777" w:rsidR="001A32C5" w:rsidRPr="001F2AF6" w:rsidRDefault="001A32C5" w:rsidP="001A32C5">
      <w:pPr>
        <w:spacing w:line="240" w:lineRule="auto"/>
        <w:ind w:left="0" w:firstLine="0"/>
        <w:rPr>
          <w:color w:val="auto"/>
          <w:kern w:val="0"/>
          <w:szCs w:val="20"/>
          <w:lang w:val="pt-PT"/>
          <w14:ligatures w14:val="none"/>
        </w:rPr>
      </w:pPr>
    </w:p>
    <w:p w14:paraId="7F6E9A14" w14:textId="079334D6" w:rsidR="001A32C5" w:rsidRPr="001F2AF6" w:rsidRDefault="001A32C5" w:rsidP="001A32C5">
      <w:pPr>
        <w:spacing w:line="240" w:lineRule="auto"/>
        <w:ind w:left="0" w:firstLine="0"/>
        <w:jc w:val="both"/>
        <w:rPr>
          <w:color w:val="auto"/>
          <w:kern w:val="0"/>
          <w:szCs w:val="20"/>
          <w14:ligatures w14:val="none"/>
        </w:rPr>
      </w:pPr>
      <w:r w:rsidRPr="001F2AF6">
        <w:rPr>
          <w:b/>
          <w:i/>
          <w:color w:val="auto"/>
          <w:kern w:val="0"/>
          <w:szCs w:val="20"/>
          <w14:ligatures w14:val="none"/>
        </w:rPr>
        <w:t>AUTRES PARTICIPANTS</w:t>
      </w:r>
    </w:p>
    <w:p w14:paraId="5119E4BB" w14:textId="77777777" w:rsidR="001A32C5" w:rsidRPr="001F2AF6" w:rsidRDefault="001A32C5" w:rsidP="001A32C5">
      <w:pPr>
        <w:spacing w:line="240" w:lineRule="auto"/>
        <w:ind w:left="0" w:firstLine="0"/>
        <w:jc w:val="both"/>
        <w:rPr>
          <w:color w:val="auto"/>
          <w:kern w:val="0"/>
          <w:szCs w:val="20"/>
          <w14:ligatures w14:val="none"/>
        </w:rPr>
      </w:pPr>
    </w:p>
    <w:p w14:paraId="6968B053" w14:textId="042E985C" w:rsidR="001A32C5" w:rsidRPr="001F2AF6" w:rsidRDefault="001A32C5" w:rsidP="001A32C5">
      <w:pPr>
        <w:spacing w:line="240" w:lineRule="auto"/>
        <w:ind w:left="0" w:firstLine="0"/>
        <w:rPr>
          <w:color w:val="auto"/>
          <w:kern w:val="0"/>
          <w:szCs w:val="20"/>
          <w14:ligatures w14:val="none"/>
        </w:rPr>
      </w:pPr>
      <w:r w:rsidRPr="001F2AF6">
        <w:rPr>
          <w:b/>
          <w:color w:val="auto"/>
          <w:kern w:val="0"/>
          <w:szCs w:val="20"/>
          <w14:ligatures w14:val="none"/>
        </w:rPr>
        <w:t>EXPERT</w:t>
      </w:r>
      <w:r w:rsidR="00F81D83" w:rsidRPr="001F2AF6">
        <w:rPr>
          <w:b/>
          <w:color w:val="auto"/>
          <w:kern w:val="0"/>
          <w:szCs w:val="20"/>
          <w14:ligatures w14:val="none"/>
        </w:rPr>
        <w:t xml:space="preserve"> EXTERNE</w:t>
      </w:r>
    </w:p>
    <w:p w14:paraId="70414A8C" w14:textId="77777777" w:rsidR="001A32C5" w:rsidRPr="006A012D" w:rsidRDefault="001A32C5" w:rsidP="001A32C5">
      <w:pPr>
        <w:spacing w:line="240" w:lineRule="auto"/>
        <w:ind w:left="0" w:firstLine="0"/>
        <w:rPr>
          <w:color w:val="auto"/>
          <w:kern w:val="0"/>
          <w:szCs w:val="20"/>
          <w:lang w:val="en-US"/>
          <w14:ligatures w14:val="none"/>
        </w:rPr>
      </w:pPr>
      <w:r w:rsidRPr="006A012D">
        <w:rPr>
          <w:b/>
          <w:color w:val="auto"/>
          <w:kern w:val="0"/>
          <w:sz w:val="18"/>
          <w:szCs w:val="20"/>
          <w:lang w:val="en-US"/>
          <w14:ligatures w14:val="none"/>
        </w:rPr>
        <w:t>Miller</w:t>
      </w:r>
      <w:r w:rsidRPr="006A012D">
        <w:rPr>
          <w:color w:val="auto"/>
          <w:kern w:val="0"/>
          <w:sz w:val="18"/>
          <w:szCs w:val="20"/>
          <w:lang w:val="en-US"/>
          <w14:ligatures w14:val="none"/>
        </w:rPr>
        <w:t>, Alexander</w:t>
      </w:r>
    </w:p>
    <w:p w14:paraId="13D5DA5E"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Bluefin Data, 3820 Chaumont Circle, MS 39564, United States</w:t>
      </w:r>
    </w:p>
    <w:p w14:paraId="0E270538"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+1 228 217 4188, E-Mail: alex.miller@bluefindata.com</w:t>
      </w:r>
    </w:p>
    <w:p w14:paraId="09FFEA3F" w14:textId="77777777" w:rsidR="001A32C5" w:rsidRPr="001F2AF6" w:rsidRDefault="001A32C5" w:rsidP="001A32C5">
      <w:pPr>
        <w:spacing w:line="240" w:lineRule="auto"/>
        <w:ind w:left="0" w:firstLine="0"/>
        <w:rPr>
          <w:color w:val="auto"/>
          <w:kern w:val="0"/>
          <w:szCs w:val="20"/>
          <w:lang w:val="pt-PT"/>
          <w14:ligatures w14:val="none"/>
        </w:rPr>
      </w:pPr>
    </w:p>
    <w:p w14:paraId="39CA2F81" w14:textId="77777777" w:rsidR="001A32C5" w:rsidRPr="001F2AF6" w:rsidRDefault="001A32C5" w:rsidP="001A32C5">
      <w:pPr>
        <w:spacing w:line="240" w:lineRule="auto"/>
        <w:ind w:left="0" w:firstLine="0"/>
        <w:rPr>
          <w:color w:val="auto"/>
          <w:kern w:val="0"/>
          <w:szCs w:val="20"/>
          <w:lang w:val="en-US"/>
          <w14:ligatures w14:val="none"/>
        </w:rPr>
      </w:pPr>
      <w:r w:rsidRPr="001F2AF6">
        <w:rPr>
          <w:b/>
          <w:color w:val="auto"/>
          <w:kern w:val="0"/>
          <w:sz w:val="18"/>
          <w:szCs w:val="20"/>
          <w:lang w:val="en-US"/>
          <w14:ligatures w14:val="none"/>
        </w:rPr>
        <w:t>Petersen</w:t>
      </w:r>
      <w:r w:rsidRPr="001F2AF6">
        <w:rPr>
          <w:color w:val="auto"/>
          <w:kern w:val="0"/>
          <w:sz w:val="18"/>
          <w:szCs w:val="20"/>
          <w:lang w:val="en-US"/>
          <w14:ligatures w14:val="none"/>
        </w:rPr>
        <w:t>, Andrew</w:t>
      </w:r>
    </w:p>
    <w:p w14:paraId="1C8D3FAF" w14:textId="77777777" w:rsidR="001A32C5" w:rsidRPr="001F2AF6" w:rsidRDefault="001A32C5" w:rsidP="001A32C5">
      <w:pPr>
        <w:spacing w:line="240" w:lineRule="auto"/>
        <w:ind w:left="0" w:firstLine="0"/>
        <w:jc w:val="both"/>
        <w:rPr>
          <w:color w:val="auto"/>
          <w:kern w:val="0"/>
          <w:szCs w:val="20"/>
          <w:lang w:val="en-US"/>
          <w14:ligatures w14:val="none"/>
        </w:rPr>
      </w:pPr>
      <w:r w:rsidRPr="001F2AF6">
        <w:rPr>
          <w:color w:val="auto"/>
          <w:kern w:val="0"/>
          <w:sz w:val="18"/>
          <w:szCs w:val="20"/>
          <w:lang w:val="en-US"/>
          <w14:ligatures w14:val="none"/>
        </w:rPr>
        <w:t>Fisheries Data and Technology Company, Bluefin Data, 3014 Dauphine St Ste A PMB 29021, New Orleans, LA 70117, United States</w:t>
      </w:r>
    </w:p>
    <w:p w14:paraId="71D0CB8D"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+1 225 407 9192, E-Mail: andrew@bluefindata.com</w:t>
      </w:r>
    </w:p>
    <w:p w14:paraId="721DDC27" w14:textId="77777777" w:rsidR="001A32C5" w:rsidRPr="001F2AF6" w:rsidRDefault="001A32C5" w:rsidP="001A32C5">
      <w:pPr>
        <w:spacing w:line="240" w:lineRule="auto"/>
        <w:ind w:left="0" w:firstLine="0"/>
        <w:rPr>
          <w:color w:val="auto"/>
          <w:kern w:val="0"/>
          <w:szCs w:val="20"/>
          <w:lang w:val="pt-PT"/>
          <w14:ligatures w14:val="none"/>
        </w:rPr>
      </w:pPr>
    </w:p>
    <w:p w14:paraId="7E93AECA" w14:textId="77777777" w:rsidR="001A32C5" w:rsidRPr="001F2AF6" w:rsidRDefault="001A32C5" w:rsidP="001A32C5">
      <w:pPr>
        <w:spacing w:line="240" w:lineRule="auto"/>
        <w:ind w:left="0" w:firstLine="0"/>
        <w:rPr>
          <w:b/>
          <w:bCs/>
          <w:color w:val="auto"/>
          <w:kern w:val="0"/>
          <w:szCs w:val="20"/>
          <w:lang w:val="es-ES"/>
          <w14:ligatures w14:val="none"/>
        </w:rPr>
      </w:pPr>
      <w:r w:rsidRPr="001F2AF6">
        <w:rPr>
          <w:b/>
          <w:bCs/>
          <w:color w:val="auto"/>
          <w:kern w:val="0"/>
          <w:szCs w:val="20"/>
          <w:lang w:val="es-ES"/>
          <w14:ligatures w14:val="none"/>
        </w:rPr>
        <w:t>TRAGSA</w:t>
      </w:r>
    </w:p>
    <w:p w14:paraId="02A56782" w14:textId="77777777" w:rsidR="001A32C5" w:rsidRPr="001F2AF6" w:rsidRDefault="001A32C5" w:rsidP="001A32C5">
      <w:pPr>
        <w:spacing w:line="240" w:lineRule="auto"/>
        <w:ind w:left="0" w:firstLine="0"/>
        <w:rPr>
          <w:color w:val="auto"/>
          <w:kern w:val="0"/>
          <w:szCs w:val="20"/>
          <w:lang w:val="es-ES"/>
          <w14:ligatures w14:val="none"/>
        </w:rPr>
      </w:pPr>
      <w:r w:rsidRPr="001F2AF6">
        <w:rPr>
          <w:b/>
          <w:color w:val="auto"/>
          <w:kern w:val="0"/>
          <w:sz w:val="18"/>
          <w:szCs w:val="20"/>
          <w:lang w:val="es-ES"/>
          <w14:ligatures w14:val="none"/>
        </w:rPr>
        <w:t>Lara Romero</w:t>
      </w:r>
      <w:r w:rsidRPr="001F2AF6">
        <w:rPr>
          <w:color w:val="auto"/>
          <w:kern w:val="0"/>
          <w:sz w:val="18"/>
          <w:szCs w:val="20"/>
          <w:lang w:val="es-ES"/>
          <w14:ligatures w14:val="none"/>
        </w:rPr>
        <w:t>, Ana</w:t>
      </w:r>
    </w:p>
    <w:p w14:paraId="1E809DE7" w14:textId="77777777" w:rsidR="001A32C5" w:rsidRPr="001F2AF6" w:rsidRDefault="001A32C5" w:rsidP="001A32C5">
      <w:pPr>
        <w:spacing w:line="240" w:lineRule="auto"/>
        <w:ind w:left="0" w:firstLine="0"/>
        <w:jc w:val="both"/>
        <w:rPr>
          <w:color w:val="auto"/>
          <w:kern w:val="0"/>
          <w:szCs w:val="20"/>
          <w:lang w:val="es-ES"/>
          <w14:ligatures w14:val="none"/>
        </w:rPr>
      </w:pPr>
      <w:r w:rsidRPr="001F2AF6">
        <w:rPr>
          <w:color w:val="auto"/>
          <w:kern w:val="0"/>
          <w:sz w:val="18"/>
          <w:szCs w:val="20"/>
          <w:lang w:val="es-ES"/>
          <w14:ligatures w14:val="none"/>
        </w:rPr>
        <w:t>TRAGSA, C/ Julián Camarillo 6B, 28037 Madrid, España</w:t>
      </w:r>
    </w:p>
    <w:p w14:paraId="473658D3" w14:textId="77777777" w:rsidR="001A32C5" w:rsidRPr="001F2AF6" w:rsidRDefault="001A32C5" w:rsidP="001A32C5">
      <w:pPr>
        <w:spacing w:line="240" w:lineRule="auto"/>
        <w:ind w:left="0" w:firstLine="0"/>
        <w:jc w:val="both"/>
        <w:rPr>
          <w:color w:val="auto"/>
          <w:kern w:val="0"/>
          <w:szCs w:val="20"/>
          <w:lang w:val="pt-PT"/>
          <w14:ligatures w14:val="none"/>
        </w:rPr>
      </w:pPr>
      <w:r w:rsidRPr="001F2AF6">
        <w:rPr>
          <w:color w:val="auto"/>
          <w:kern w:val="0"/>
          <w:sz w:val="18"/>
          <w:szCs w:val="20"/>
          <w:lang w:val="pt-PT"/>
          <w14:ligatures w14:val="none"/>
        </w:rPr>
        <w:t>Tel: +34 915 358 996, E-Mail: alaro@tragsa.es</w:t>
      </w:r>
    </w:p>
    <w:p w14:paraId="0AFA6016" w14:textId="77777777" w:rsidR="001A32C5" w:rsidRPr="001F2AF6" w:rsidRDefault="001A32C5" w:rsidP="001A32C5">
      <w:pPr>
        <w:spacing w:line="240" w:lineRule="auto"/>
        <w:ind w:left="0" w:firstLine="0"/>
        <w:rPr>
          <w:b/>
          <w:color w:val="auto"/>
          <w:kern w:val="0"/>
          <w:szCs w:val="20"/>
          <w:lang w:val="pt-PT"/>
          <w14:ligatures w14:val="none"/>
        </w:rPr>
      </w:pPr>
    </w:p>
    <w:p w14:paraId="4244DFC5" w14:textId="77777777" w:rsidR="001A32C5" w:rsidRPr="001F2AF6" w:rsidRDefault="001A32C5" w:rsidP="001A32C5">
      <w:pPr>
        <w:widowControl w:val="0"/>
        <w:tabs>
          <w:tab w:val="left" w:pos="90"/>
        </w:tabs>
        <w:autoSpaceDE w:val="0"/>
        <w:autoSpaceDN w:val="0"/>
        <w:adjustRightInd w:val="0"/>
        <w:spacing w:line="240" w:lineRule="auto"/>
        <w:ind w:left="0" w:firstLine="0"/>
        <w:jc w:val="center"/>
        <w:rPr>
          <w:b/>
          <w:bCs/>
          <w:color w:val="auto"/>
          <w:kern w:val="0"/>
          <w:szCs w:val="20"/>
          <w14:ligatures w14:val="none"/>
        </w:rPr>
      </w:pPr>
      <w:r w:rsidRPr="001F2AF6">
        <w:rPr>
          <w:b/>
          <w:bCs/>
          <w:color w:val="auto"/>
          <w:kern w:val="0"/>
          <w:szCs w:val="20"/>
          <w14:ligatures w14:val="none"/>
        </w:rPr>
        <w:t>*****</w:t>
      </w:r>
    </w:p>
    <w:p w14:paraId="67494FBF" w14:textId="77777777" w:rsidR="001A32C5" w:rsidRPr="001F2AF6" w:rsidRDefault="001A32C5" w:rsidP="001A32C5">
      <w:pPr>
        <w:widowControl w:val="0"/>
        <w:tabs>
          <w:tab w:val="left" w:pos="90"/>
        </w:tabs>
        <w:autoSpaceDE w:val="0"/>
        <w:autoSpaceDN w:val="0"/>
        <w:adjustRightInd w:val="0"/>
        <w:spacing w:line="240" w:lineRule="auto"/>
        <w:ind w:left="0" w:firstLine="0"/>
        <w:jc w:val="center"/>
        <w:rPr>
          <w:b/>
          <w:bCs/>
          <w:color w:val="auto"/>
          <w:kern w:val="0"/>
          <w:szCs w:val="20"/>
          <w14:ligatures w14:val="none"/>
        </w:rPr>
      </w:pPr>
    </w:p>
    <w:p w14:paraId="028541A9" w14:textId="2ED2F992" w:rsidR="001A32C5" w:rsidRPr="001F2AF6" w:rsidRDefault="001A32C5" w:rsidP="001A32C5">
      <w:pPr>
        <w:widowControl w:val="0"/>
        <w:tabs>
          <w:tab w:val="left" w:pos="90"/>
        </w:tabs>
        <w:autoSpaceDE w:val="0"/>
        <w:autoSpaceDN w:val="0"/>
        <w:adjustRightInd w:val="0"/>
        <w:spacing w:line="240" w:lineRule="auto"/>
        <w:ind w:left="0" w:firstLine="0"/>
        <w:jc w:val="center"/>
        <w:rPr>
          <w:b/>
          <w:bCs/>
          <w:color w:val="auto"/>
          <w:kern w:val="0"/>
          <w:szCs w:val="20"/>
          <w14:ligatures w14:val="none"/>
        </w:rPr>
      </w:pPr>
      <w:r w:rsidRPr="001F2AF6">
        <w:rPr>
          <w:b/>
          <w:bCs/>
          <w:color w:val="auto"/>
          <w:kern w:val="0"/>
          <w:szCs w:val="20"/>
          <w14:ligatures w14:val="none"/>
        </w:rPr>
        <w:t>Secrétariat de l’ICCAT</w:t>
      </w:r>
    </w:p>
    <w:p w14:paraId="4D3499C1" w14:textId="07557945" w:rsidR="001A32C5" w:rsidRPr="001F2AF6" w:rsidRDefault="001A32C5" w:rsidP="001A32C5">
      <w:pPr>
        <w:widowControl w:val="0"/>
        <w:tabs>
          <w:tab w:val="left" w:pos="90"/>
        </w:tabs>
        <w:autoSpaceDE w:val="0"/>
        <w:autoSpaceDN w:val="0"/>
        <w:adjustRightInd w:val="0"/>
        <w:spacing w:line="240" w:lineRule="auto"/>
        <w:ind w:left="0" w:firstLine="0"/>
        <w:jc w:val="center"/>
        <w:rPr>
          <w:bCs/>
          <w:color w:val="auto"/>
          <w:kern w:val="0"/>
          <w:szCs w:val="20"/>
          <w:lang w:val="es-ES"/>
          <w14:ligatures w14:val="none"/>
        </w:rPr>
      </w:pPr>
      <w:r w:rsidRPr="001F2AF6">
        <w:rPr>
          <w:bCs/>
          <w:color w:val="auto"/>
          <w:kern w:val="0"/>
          <w:szCs w:val="20"/>
          <w:lang w:val="es-ES"/>
          <w14:ligatures w14:val="none"/>
        </w:rPr>
        <w:t>C/ Corazón de María 8 – 6</w:t>
      </w:r>
      <w:r w:rsidR="00374A4F" w:rsidRPr="001F2AF6">
        <w:rPr>
          <w:bCs/>
          <w:color w:val="auto"/>
          <w:kern w:val="0"/>
          <w:szCs w:val="20"/>
          <w:lang w:val="es-ES"/>
          <w14:ligatures w14:val="none"/>
        </w:rPr>
        <w:t>e étage</w:t>
      </w:r>
      <w:r w:rsidRPr="001F2AF6">
        <w:rPr>
          <w:bCs/>
          <w:color w:val="auto"/>
          <w:kern w:val="0"/>
          <w:szCs w:val="20"/>
          <w:lang w:val="es-ES"/>
          <w14:ligatures w14:val="none"/>
        </w:rPr>
        <w:t xml:space="preserve">, 28002 Madrid – </w:t>
      </w:r>
      <w:r w:rsidR="00F81D83" w:rsidRPr="001F2AF6">
        <w:rPr>
          <w:bCs/>
          <w:color w:val="auto"/>
          <w:kern w:val="0"/>
          <w:szCs w:val="20"/>
          <w:lang w:val="es-ES"/>
          <w14:ligatures w14:val="none"/>
        </w:rPr>
        <w:t>Espagne</w:t>
      </w:r>
    </w:p>
    <w:p w14:paraId="75FB6524" w14:textId="5FF3583E" w:rsidR="001A32C5" w:rsidRPr="001F2AF6" w:rsidRDefault="001A32C5" w:rsidP="001A32C5">
      <w:pPr>
        <w:widowControl w:val="0"/>
        <w:tabs>
          <w:tab w:val="left" w:pos="90"/>
        </w:tabs>
        <w:autoSpaceDE w:val="0"/>
        <w:autoSpaceDN w:val="0"/>
        <w:adjustRightInd w:val="0"/>
        <w:spacing w:line="240" w:lineRule="auto"/>
        <w:ind w:left="0" w:firstLine="0"/>
        <w:jc w:val="center"/>
        <w:rPr>
          <w:bCs/>
          <w:color w:val="auto"/>
          <w:kern w:val="0"/>
          <w:szCs w:val="20"/>
          <w14:ligatures w14:val="none"/>
        </w:rPr>
      </w:pPr>
      <w:r w:rsidRPr="001F2AF6">
        <w:rPr>
          <w:bCs/>
          <w:color w:val="auto"/>
          <w:kern w:val="0"/>
          <w:szCs w:val="20"/>
          <w14:ligatures w14:val="none"/>
        </w:rPr>
        <w:t xml:space="preserve">Tel: +34 91 416 56 00; Fax: +34 91 415 26 12; E-mail: </w:t>
      </w:r>
      <w:hyperlink r:id="rId7" w:history="1">
        <w:r w:rsidR="008B330A" w:rsidRPr="001F2AF6">
          <w:rPr>
            <w:rStyle w:val="Hyperlink"/>
            <w:bCs/>
            <w:kern w:val="0"/>
            <w:szCs w:val="20"/>
            <w14:ligatures w14:val="none"/>
          </w:rPr>
          <w:t>info@iccat.int</w:t>
        </w:r>
      </w:hyperlink>
    </w:p>
    <w:p w14:paraId="1F6D7999" w14:textId="77777777" w:rsidR="008B330A" w:rsidRPr="001F2AF6" w:rsidRDefault="008B330A" w:rsidP="001A32C5">
      <w:pPr>
        <w:widowControl w:val="0"/>
        <w:tabs>
          <w:tab w:val="left" w:pos="90"/>
        </w:tabs>
        <w:autoSpaceDE w:val="0"/>
        <w:autoSpaceDN w:val="0"/>
        <w:adjustRightInd w:val="0"/>
        <w:spacing w:line="240" w:lineRule="auto"/>
        <w:ind w:left="0" w:firstLine="0"/>
        <w:jc w:val="center"/>
        <w:rPr>
          <w:bCs/>
          <w:color w:val="auto"/>
          <w:kern w:val="0"/>
          <w:szCs w:val="20"/>
          <w14:ligatures w14:val="none"/>
        </w:rPr>
      </w:pPr>
    </w:p>
    <w:p w14:paraId="3FF1D6BC" w14:textId="77777777" w:rsidR="008B330A" w:rsidRPr="001F2AF6" w:rsidRDefault="008B330A" w:rsidP="001A32C5">
      <w:pPr>
        <w:widowControl w:val="0"/>
        <w:tabs>
          <w:tab w:val="left" w:pos="90"/>
        </w:tabs>
        <w:autoSpaceDE w:val="0"/>
        <w:autoSpaceDN w:val="0"/>
        <w:adjustRightInd w:val="0"/>
        <w:spacing w:line="240" w:lineRule="auto"/>
        <w:ind w:left="0" w:firstLine="0"/>
        <w:jc w:val="center"/>
        <w:rPr>
          <w:bCs/>
          <w:color w:val="auto"/>
          <w:kern w:val="0"/>
          <w:szCs w:val="20"/>
          <w14:ligatures w14:val="none"/>
        </w:rPr>
      </w:pP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405"/>
      </w:tblGrid>
      <w:tr w:rsidR="008B330A" w14:paraId="46B64503" w14:textId="77777777" w:rsidTr="008B330A">
        <w:tc>
          <w:tcPr>
            <w:tcW w:w="3828" w:type="dxa"/>
          </w:tcPr>
          <w:p w14:paraId="3575FA9C" w14:textId="77777777" w:rsidR="008B330A" w:rsidRPr="006A012D" w:rsidRDefault="008B330A" w:rsidP="008B330A">
            <w:pPr>
              <w:spacing w:line="240" w:lineRule="auto"/>
              <w:ind w:left="0" w:firstLine="0"/>
              <w:rPr>
                <w:color w:val="auto"/>
                <w:lang w:val="es-ES"/>
              </w:rPr>
            </w:pPr>
            <w:r w:rsidRPr="006A012D">
              <w:rPr>
                <w:b/>
                <w:color w:val="auto"/>
                <w:sz w:val="18"/>
                <w:lang w:val="es-ES"/>
              </w:rPr>
              <w:t>Manel</w:t>
            </w:r>
            <w:r w:rsidRPr="006A012D">
              <w:rPr>
                <w:color w:val="auto"/>
                <w:sz w:val="18"/>
                <w:lang w:val="es-ES"/>
              </w:rPr>
              <w:t>, Camille Jean Pierre</w:t>
            </w:r>
          </w:p>
          <w:p w14:paraId="0A1C0C5D" w14:textId="77777777" w:rsidR="008B330A" w:rsidRPr="006A012D" w:rsidRDefault="008B330A" w:rsidP="008B330A">
            <w:pPr>
              <w:spacing w:line="240" w:lineRule="auto"/>
              <w:ind w:left="0" w:firstLine="0"/>
              <w:rPr>
                <w:color w:val="auto"/>
                <w:lang w:val="es-ES"/>
              </w:rPr>
            </w:pPr>
            <w:r w:rsidRPr="006A012D">
              <w:rPr>
                <w:b/>
                <w:color w:val="auto"/>
                <w:sz w:val="18"/>
                <w:lang w:val="es-ES"/>
              </w:rPr>
              <w:t>Neves dos Santos</w:t>
            </w:r>
            <w:r w:rsidRPr="006A012D">
              <w:rPr>
                <w:color w:val="auto"/>
                <w:sz w:val="18"/>
                <w:lang w:val="es-ES"/>
              </w:rPr>
              <w:t>, Miguel</w:t>
            </w:r>
          </w:p>
          <w:p w14:paraId="71130F85" w14:textId="77777777" w:rsidR="008B330A" w:rsidRPr="006A012D" w:rsidRDefault="008B330A" w:rsidP="008B330A">
            <w:pPr>
              <w:spacing w:line="240" w:lineRule="auto"/>
              <w:ind w:left="0" w:firstLine="0"/>
              <w:rPr>
                <w:color w:val="auto"/>
                <w:lang w:val="es-ES"/>
              </w:rPr>
            </w:pPr>
            <w:r w:rsidRPr="006A012D">
              <w:rPr>
                <w:b/>
                <w:color w:val="auto"/>
                <w:sz w:val="18"/>
                <w:lang w:val="es-ES"/>
              </w:rPr>
              <w:t>Mayor</w:t>
            </w:r>
            <w:r w:rsidRPr="006A012D">
              <w:rPr>
                <w:color w:val="auto"/>
                <w:sz w:val="18"/>
                <w:lang w:val="es-ES"/>
              </w:rPr>
              <w:t>, Carlos</w:t>
            </w:r>
          </w:p>
          <w:p w14:paraId="034742F4" w14:textId="77777777" w:rsidR="008B330A" w:rsidRPr="006A012D" w:rsidRDefault="008B330A" w:rsidP="008B330A">
            <w:pPr>
              <w:spacing w:line="240" w:lineRule="auto"/>
              <w:ind w:left="0" w:firstLine="0"/>
              <w:rPr>
                <w:color w:val="auto"/>
                <w:lang w:val="es-ES"/>
              </w:rPr>
            </w:pPr>
            <w:r w:rsidRPr="006A012D">
              <w:rPr>
                <w:b/>
                <w:color w:val="auto"/>
                <w:sz w:val="18"/>
                <w:lang w:val="es-ES"/>
              </w:rPr>
              <w:t>Parrilla Moruno</w:t>
            </w:r>
            <w:r w:rsidRPr="006A012D">
              <w:rPr>
                <w:color w:val="auto"/>
                <w:sz w:val="18"/>
                <w:lang w:val="es-ES"/>
              </w:rPr>
              <w:t>, Alberto Thais</w:t>
            </w:r>
          </w:p>
          <w:p w14:paraId="5FE031D4" w14:textId="77777777" w:rsidR="008B330A" w:rsidRPr="006A012D" w:rsidRDefault="008B330A" w:rsidP="008B330A">
            <w:pPr>
              <w:spacing w:line="240" w:lineRule="auto"/>
              <w:ind w:left="0" w:firstLine="0"/>
              <w:rPr>
                <w:color w:val="auto"/>
                <w:lang w:val="es-ES"/>
              </w:rPr>
            </w:pPr>
            <w:r w:rsidRPr="006A012D">
              <w:rPr>
                <w:b/>
                <w:color w:val="auto"/>
                <w:sz w:val="18"/>
                <w:lang w:val="es-ES"/>
              </w:rPr>
              <w:t>Acuña</w:t>
            </w:r>
            <w:r w:rsidRPr="006A012D">
              <w:rPr>
                <w:color w:val="auto"/>
                <w:sz w:val="18"/>
                <w:lang w:val="es-ES"/>
              </w:rPr>
              <w:t>, Jose Antonio</w:t>
            </w:r>
          </w:p>
          <w:p w14:paraId="36E46BC8" w14:textId="77777777" w:rsidR="008B330A" w:rsidRPr="006A012D" w:rsidRDefault="008B330A" w:rsidP="008B330A">
            <w:pPr>
              <w:spacing w:line="240" w:lineRule="auto"/>
              <w:ind w:left="0" w:firstLine="0"/>
              <w:rPr>
                <w:color w:val="auto"/>
                <w:lang w:val="es-ES"/>
              </w:rPr>
            </w:pPr>
            <w:r w:rsidRPr="006A012D">
              <w:rPr>
                <w:b/>
                <w:color w:val="auto"/>
                <w:sz w:val="18"/>
                <w:lang w:val="es-ES"/>
              </w:rPr>
              <w:t>Baity</w:t>
            </w:r>
            <w:r w:rsidRPr="006A012D">
              <w:rPr>
                <w:color w:val="auto"/>
                <w:sz w:val="18"/>
                <w:lang w:val="es-ES"/>
              </w:rPr>
              <w:t>, Dawn</w:t>
            </w:r>
          </w:p>
          <w:p w14:paraId="7407B95C" w14:textId="77777777" w:rsidR="008B330A" w:rsidRPr="006A012D" w:rsidRDefault="008B330A" w:rsidP="008B330A">
            <w:pPr>
              <w:spacing w:line="240" w:lineRule="auto"/>
              <w:ind w:left="0" w:firstLine="0"/>
              <w:rPr>
                <w:color w:val="auto"/>
                <w:lang w:val="es-ES"/>
              </w:rPr>
            </w:pPr>
            <w:r w:rsidRPr="006A012D">
              <w:rPr>
                <w:b/>
                <w:color w:val="auto"/>
                <w:sz w:val="18"/>
                <w:lang w:val="es-ES"/>
              </w:rPr>
              <w:t>De Andrés</w:t>
            </w:r>
            <w:r w:rsidRPr="006A012D">
              <w:rPr>
                <w:color w:val="auto"/>
                <w:sz w:val="18"/>
                <w:lang w:val="es-ES"/>
              </w:rPr>
              <w:t>, Marisa</w:t>
            </w:r>
          </w:p>
          <w:p w14:paraId="675EF93A" w14:textId="77777777" w:rsidR="008B330A" w:rsidRPr="001F2AF6" w:rsidRDefault="008B330A" w:rsidP="008B330A">
            <w:pPr>
              <w:spacing w:line="240" w:lineRule="auto"/>
              <w:ind w:left="0" w:firstLine="0"/>
              <w:rPr>
                <w:color w:val="auto"/>
                <w:lang w:val="es-ES"/>
              </w:rPr>
            </w:pPr>
            <w:r w:rsidRPr="001F2AF6">
              <w:rPr>
                <w:b/>
                <w:color w:val="auto"/>
                <w:sz w:val="18"/>
                <w:lang w:val="es-ES"/>
              </w:rPr>
              <w:t>Martínez Herranz</w:t>
            </w:r>
            <w:r w:rsidRPr="001F2AF6">
              <w:rPr>
                <w:color w:val="auto"/>
                <w:sz w:val="18"/>
                <w:lang w:val="es-ES"/>
              </w:rPr>
              <w:t>, Javier</w:t>
            </w:r>
          </w:p>
          <w:p w14:paraId="418C1B2F" w14:textId="77777777" w:rsidR="008B330A" w:rsidRPr="001F2AF6" w:rsidRDefault="008B330A" w:rsidP="008B330A">
            <w:pPr>
              <w:spacing w:line="240" w:lineRule="auto"/>
              <w:ind w:left="0" w:firstLine="0"/>
              <w:rPr>
                <w:color w:val="auto"/>
                <w:lang w:val="es-ES"/>
              </w:rPr>
            </w:pPr>
            <w:r w:rsidRPr="001F2AF6">
              <w:rPr>
                <w:b/>
                <w:color w:val="auto"/>
                <w:sz w:val="18"/>
                <w:lang w:val="es-ES"/>
              </w:rPr>
              <w:t>Mergarejo Dremov</w:t>
            </w:r>
            <w:r w:rsidRPr="001F2AF6">
              <w:rPr>
                <w:color w:val="auto"/>
                <w:sz w:val="18"/>
                <w:lang w:val="es-ES"/>
              </w:rPr>
              <w:t xml:space="preserve">, Félix </w:t>
            </w:r>
          </w:p>
          <w:p w14:paraId="36FBB03E" w14:textId="77777777" w:rsidR="008B330A" w:rsidRPr="001F2AF6" w:rsidRDefault="008B330A" w:rsidP="008B330A">
            <w:pPr>
              <w:spacing w:line="240" w:lineRule="auto"/>
              <w:ind w:left="0" w:firstLine="0"/>
              <w:rPr>
                <w:color w:val="auto"/>
                <w:lang w:val="pt-PT"/>
              </w:rPr>
            </w:pPr>
            <w:r w:rsidRPr="001F2AF6">
              <w:rPr>
                <w:b/>
                <w:color w:val="auto"/>
                <w:sz w:val="18"/>
                <w:lang w:val="pt-PT"/>
              </w:rPr>
              <w:t>Samedy</w:t>
            </w:r>
            <w:r w:rsidRPr="001F2AF6">
              <w:rPr>
                <w:color w:val="auto"/>
                <w:sz w:val="18"/>
                <w:lang w:val="pt-PT"/>
              </w:rPr>
              <w:t>, Valérie</w:t>
            </w:r>
          </w:p>
          <w:p w14:paraId="70A51004" w14:textId="77777777" w:rsidR="008B330A" w:rsidRPr="001F2AF6" w:rsidRDefault="008B330A" w:rsidP="008B330A">
            <w:pPr>
              <w:spacing w:line="240" w:lineRule="auto"/>
              <w:ind w:left="0" w:firstLine="0"/>
              <w:rPr>
                <w:color w:val="auto"/>
                <w:lang w:val="pt-PT"/>
              </w:rPr>
            </w:pPr>
            <w:r w:rsidRPr="001F2AF6">
              <w:rPr>
                <w:b/>
                <w:color w:val="auto"/>
                <w:sz w:val="18"/>
                <w:lang w:val="pt-PT"/>
              </w:rPr>
              <w:t>Vieito</w:t>
            </w:r>
            <w:r w:rsidRPr="001F2AF6">
              <w:rPr>
                <w:color w:val="auto"/>
                <w:sz w:val="18"/>
                <w:lang w:val="pt-PT"/>
              </w:rPr>
              <w:t>, Aldana</w:t>
            </w:r>
          </w:p>
          <w:p w14:paraId="122819F2" w14:textId="77777777" w:rsidR="008B330A" w:rsidRPr="006A012D" w:rsidRDefault="008B330A" w:rsidP="001A32C5">
            <w:pPr>
              <w:spacing w:line="240" w:lineRule="auto"/>
              <w:ind w:left="0" w:firstLine="0"/>
              <w:rPr>
                <w:b/>
                <w:color w:val="auto"/>
                <w:sz w:val="18"/>
                <w:lang w:val="es-ES"/>
              </w:rPr>
            </w:pPr>
          </w:p>
        </w:tc>
        <w:tc>
          <w:tcPr>
            <w:tcW w:w="3405" w:type="dxa"/>
          </w:tcPr>
          <w:p w14:paraId="76E2751E" w14:textId="77777777" w:rsidR="008B330A" w:rsidRPr="006A012D" w:rsidRDefault="008B330A" w:rsidP="008B330A">
            <w:pPr>
              <w:spacing w:line="240" w:lineRule="auto"/>
              <w:ind w:left="0" w:firstLine="0"/>
              <w:rPr>
                <w:b/>
                <w:color w:val="auto"/>
                <w:lang w:val="es-ES"/>
              </w:rPr>
            </w:pPr>
            <w:r w:rsidRPr="006A012D">
              <w:rPr>
                <w:b/>
                <w:color w:val="auto"/>
                <w:lang w:val="es-ES"/>
              </w:rPr>
              <w:t xml:space="preserve">INTERPRÈTES ICCAT </w:t>
            </w:r>
          </w:p>
          <w:p w14:paraId="68B3EA5F" w14:textId="77777777" w:rsidR="008B330A" w:rsidRPr="006A012D" w:rsidRDefault="008B330A" w:rsidP="008B330A">
            <w:pPr>
              <w:spacing w:line="240" w:lineRule="auto"/>
              <w:ind w:left="0" w:firstLine="0"/>
              <w:rPr>
                <w:color w:val="auto"/>
                <w:lang w:val="es-ES"/>
              </w:rPr>
            </w:pPr>
            <w:r w:rsidRPr="006A012D">
              <w:rPr>
                <w:b/>
                <w:color w:val="auto"/>
                <w:sz w:val="18"/>
                <w:lang w:val="es-ES"/>
              </w:rPr>
              <w:t>Baena Jiménez</w:t>
            </w:r>
            <w:r w:rsidRPr="006A012D">
              <w:rPr>
                <w:color w:val="auto"/>
                <w:sz w:val="18"/>
                <w:lang w:val="es-ES"/>
              </w:rPr>
              <w:t>, Eva J.</w:t>
            </w:r>
          </w:p>
          <w:p w14:paraId="59331CB2" w14:textId="77777777" w:rsidR="008B330A" w:rsidRPr="006A012D" w:rsidRDefault="008B330A" w:rsidP="008B330A">
            <w:pPr>
              <w:spacing w:line="240" w:lineRule="auto"/>
              <w:ind w:left="0" w:firstLine="0"/>
              <w:rPr>
                <w:color w:val="auto"/>
                <w:lang w:val="es-ES"/>
              </w:rPr>
            </w:pPr>
            <w:r w:rsidRPr="006A012D">
              <w:rPr>
                <w:b/>
                <w:color w:val="auto"/>
                <w:sz w:val="18"/>
                <w:lang w:val="es-ES"/>
              </w:rPr>
              <w:t>Gelb Cohen</w:t>
            </w:r>
            <w:r w:rsidRPr="006A012D">
              <w:rPr>
                <w:color w:val="auto"/>
                <w:sz w:val="18"/>
                <w:lang w:val="es-ES"/>
              </w:rPr>
              <w:t>, Beth</w:t>
            </w:r>
          </w:p>
          <w:p w14:paraId="18E0BEDE" w14:textId="77777777" w:rsidR="008B330A" w:rsidRPr="006A012D" w:rsidRDefault="008B330A" w:rsidP="008B330A">
            <w:pPr>
              <w:spacing w:line="240" w:lineRule="auto"/>
              <w:ind w:left="0" w:firstLine="0"/>
              <w:rPr>
                <w:color w:val="auto"/>
                <w:lang w:val="es-ES"/>
              </w:rPr>
            </w:pPr>
            <w:r w:rsidRPr="006A012D">
              <w:rPr>
                <w:b/>
                <w:color w:val="auto"/>
                <w:sz w:val="18"/>
                <w:lang w:val="es-ES"/>
              </w:rPr>
              <w:t>Godfrey</w:t>
            </w:r>
            <w:r w:rsidRPr="006A012D">
              <w:rPr>
                <w:color w:val="auto"/>
                <w:sz w:val="18"/>
                <w:lang w:val="es-ES"/>
              </w:rPr>
              <w:t>, Claire</w:t>
            </w:r>
          </w:p>
          <w:p w14:paraId="01071B33" w14:textId="77777777" w:rsidR="008B330A" w:rsidRPr="006A012D" w:rsidRDefault="008B330A" w:rsidP="008B330A">
            <w:pPr>
              <w:spacing w:line="240" w:lineRule="auto"/>
              <w:ind w:left="0" w:firstLine="0"/>
              <w:rPr>
                <w:color w:val="auto"/>
                <w:lang w:val="es-ES"/>
              </w:rPr>
            </w:pPr>
            <w:r w:rsidRPr="006A012D">
              <w:rPr>
                <w:b/>
                <w:color w:val="auto"/>
                <w:sz w:val="18"/>
                <w:lang w:val="es-ES"/>
              </w:rPr>
              <w:t>Liberas</w:t>
            </w:r>
            <w:r w:rsidRPr="006A012D">
              <w:rPr>
                <w:color w:val="auto"/>
                <w:sz w:val="18"/>
                <w:lang w:val="es-ES"/>
              </w:rPr>
              <w:t>, Christine</w:t>
            </w:r>
          </w:p>
          <w:p w14:paraId="08AB311F" w14:textId="77777777" w:rsidR="008B330A" w:rsidRPr="001F2AF6" w:rsidRDefault="008B330A" w:rsidP="008B330A">
            <w:pPr>
              <w:spacing w:line="240" w:lineRule="auto"/>
              <w:ind w:left="0" w:firstLine="0"/>
              <w:rPr>
                <w:color w:val="auto"/>
                <w:lang w:val="es-ES"/>
              </w:rPr>
            </w:pPr>
            <w:r w:rsidRPr="001F2AF6">
              <w:rPr>
                <w:b/>
                <w:color w:val="auto"/>
                <w:sz w:val="18"/>
                <w:lang w:val="es-ES"/>
              </w:rPr>
              <w:t>Linaae</w:t>
            </w:r>
            <w:r w:rsidRPr="001F2AF6">
              <w:rPr>
                <w:color w:val="auto"/>
                <w:sz w:val="18"/>
                <w:lang w:val="es-ES"/>
              </w:rPr>
              <w:t>, Cristina</w:t>
            </w:r>
          </w:p>
          <w:p w14:paraId="2A883194" w14:textId="77777777" w:rsidR="008B330A" w:rsidRPr="001A32C5" w:rsidRDefault="008B330A" w:rsidP="008B330A">
            <w:pPr>
              <w:spacing w:line="240" w:lineRule="auto"/>
              <w:ind w:left="0" w:firstLine="0"/>
              <w:rPr>
                <w:color w:val="auto"/>
                <w:lang w:val="es-ES"/>
              </w:rPr>
            </w:pPr>
            <w:r w:rsidRPr="001F2AF6">
              <w:rPr>
                <w:b/>
                <w:color w:val="auto"/>
                <w:sz w:val="18"/>
                <w:lang w:val="es-ES"/>
              </w:rPr>
              <w:t>Pinzon</w:t>
            </w:r>
            <w:r w:rsidRPr="001F2AF6">
              <w:rPr>
                <w:color w:val="auto"/>
                <w:sz w:val="18"/>
                <w:lang w:val="es-ES"/>
              </w:rPr>
              <w:t>, Aurélie</w:t>
            </w:r>
          </w:p>
          <w:p w14:paraId="277821D2" w14:textId="77777777" w:rsidR="008B330A" w:rsidRDefault="008B330A" w:rsidP="001A32C5">
            <w:pPr>
              <w:spacing w:line="240" w:lineRule="auto"/>
              <w:ind w:left="0" w:firstLine="0"/>
              <w:rPr>
                <w:b/>
                <w:color w:val="auto"/>
                <w:sz w:val="18"/>
              </w:rPr>
            </w:pPr>
          </w:p>
        </w:tc>
      </w:tr>
    </w:tbl>
    <w:p w14:paraId="486419BA" w14:textId="77777777" w:rsidR="001A32C5" w:rsidRPr="00374A4F" w:rsidRDefault="001A32C5" w:rsidP="001A32C5">
      <w:pPr>
        <w:spacing w:line="240" w:lineRule="auto"/>
        <w:ind w:left="0" w:firstLine="0"/>
        <w:rPr>
          <w:b/>
          <w:color w:val="auto"/>
          <w:kern w:val="0"/>
          <w:sz w:val="18"/>
          <w:szCs w:val="20"/>
          <w14:ligatures w14:val="none"/>
        </w:rPr>
      </w:pPr>
    </w:p>
    <w:sectPr w:rsidR="001A32C5" w:rsidRPr="00374A4F" w:rsidSect="00D26BDA">
      <w:headerReference w:type="default" r:id="rId8"/>
      <w:footerReference w:type="default" r:id="rId9"/>
      <w:pgSz w:w="12240" w:h="15840"/>
      <w:pgMar w:top="1440" w:right="1440" w:bottom="1440" w:left="1440" w:header="85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6756C" w14:textId="77777777" w:rsidR="00E76FF7" w:rsidRDefault="00E76FF7" w:rsidP="001A32C5">
      <w:pPr>
        <w:spacing w:line="240" w:lineRule="auto"/>
      </w:pPr>
      <w:r>
        <w:separator/>
      </w:r>
    </w:p>
  </w:endnote>
  <w:endnote w:type="continuationSeparator" w:id="0">
    <w:p w14:paraId="1410B3A2" w14:textId="77777777" w:rsidR="00E76FF7" w:rsidRDefault="00E76FF7" w:rsidP="001A32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C793" w14:textId="5940A554" w:rsidR="00F1566B" w:rsidRPr="004170B7" w:rsidRDefault="004170B7" w:rsidP="004170B7">
    <w:pPr>
      <w:pStyle w:val="Footer"/>
      <w:jc w:val="center"/>
    </w:pPr>
    <w:sdt>
      <w:sdtPr>
        <w:rPr>
          <w:rFonts w:ascii="Calibri" w:eastAsia="Calibri" w:hAnsi="Calibri" w:cs="Calibri"/>
          <w:szCs w:val="20"/>
        </w:rPr>
        <w:id w:val="810910487"/>
        <w:docPartObj>
          <w:docPartGallery w:val="Page Numbers (Top of Page)"/>
          <w:docPartUnique/>
        </w:docPartObj>
      </w:sdtPr>
      <w:sdtContent>
        <w:r w:rsidRPr="00713AD4">
          <w:rPr>
            <w:rFonts w:eastAsia="Calibri" w:cs="Calibri"/>
            <w:szCs w:val="20"/>
          </w:rPr>
          <w:fldChar w:fldCharType="begin"/>
        </w:r>
        <w:r w:rsidRPr="00713AD4">
          <w:rPr>
            <w:rFonts w:eastAsia="Calibri" w:cs="Calibri"/>
            <w:szCs w:val="20"/>
          </w:rPr>
          <w:instrText xml:space="preserve"> PAGE </w:instrText>
        </w:r>
        <w:r w:rsidRPr="00713AD4">
          <w:rPr>
            <w:rFonts w:eastAsia="Calibri" w:cs="Calibri"/>
            <w:szCs w:val="20"/>
          </w:rPr>
          <w:fldChar w:fldCharType="separate"/>
        </w:r>
        <w:r>
          <w:rPr>
            <w:rFonts w:eastAsia="Calibri" w:cs="Calibri"/>
            <w:szCs w:val="20"/>
          </w:rPr>
          <w:t>12</w:t>
        </w:r>
        <w:r w:rsidRPr="00713AD4">
          <w:rPr>
            <w:rFonts w:eastAsia="Calibri" w:cs="Calibri"/>
            <w:szCs w:val="20"/>
          </w:rPr>
          <w:fldChar w:fldCharType="end"/>
        </w:r>
        <w:r w:rsidRPr="00713AD4">
          <w:rPr>
            <w:rFonts w:eastAsia="Calibri" w:cs="Calibri"/>
            <w:szCs w:val="20"/>
          </w:rPr>
          <w:t xml:space="preserve"> / </w:t>
        </w:r>
        <w:r w:rsidRPr="00713AD4">
          <w:rPr>
            <w:rFonts w:eastAsia="Calibri" w:cs="Calibri"/>
            <w:szCs w:val="20"/>
          </w:rPr>
          <w:fldChar w:fldCharType="begin"/>
        </w:r>
        <w:r w:rsidRPr="00713AD4">
          <w:rPr>
            <w:rFonts w:eastAsia="Calibri" w:cs="Calibri"/>
            <w:szCs w:val="20"/>
          </w:rPr>
          <w:instrText xml:space="preserve"> NUMPAGES  </w:instrText>
        </w:r>
        <w:r w:rsidRPr="00713AD4">
          <w:rPr>
            <w:rFonts w:eastAsia="Calibri" w:cs="Calibri"/>
            <w:szCs w:val="20"/>
          </w:rPr>
          <w:fldChar w:fldCharType="separate"/>
        </w:r>
        <w:r>
          <w:rPr>
            <w:rFonts w:eastAsia="Calibri" w:cs="Calibri"/>
            <w:szCs w:val="20"/>
          </w:rPr>
          <w:t>13</w:t>
        </w:r>
        <w:r w:rsidRPr="00713AD4">
          <w:rPr>
            <w:rFonts w:eastAsia="Calibri" w:cs="Calibri"/>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9B05C" w14:textId="77777777" w:rsidR="00E76FF7" w:rsidRDefault="00E76FF7" w:rsidP="001A32C5">
      <w:pPr>
        <w:spacing w:line="240" w:lineRule="auto"/>
      </w:pPr>
      <w:r>
        <w:separator/>
      </w:r>
    </w:p>
  </w:footnote>
  <w:footnote w:type="continuationSeparator" w:id="0">
    <w:p w14:paraId="0715BF48" w14:textId="77777777" w:rsidR="00E76FF7" w:rsidRDefault="00E76FF7" w:rsidP="001A32C5">
      <w:pPr>
        <w:spacing w:line="240" w:lineRule="auto"/>
      </w:pPr>
      <w:r>
        <w:continuationSeparator/>
      </w:r>
    </w:p>
  </w:footnote>
  <w:footnote w:id="1">
    <w:p w14:paraId="1C7D7712" w14:textId="36F47E57" w:rsidR="00103D0A" w:rsidRPr="00103D0A" w:rsidRDefault="001A32C5" w:rsidP="001A32C5">
      <w:pPr>
        <w:pStyle w:val="FootnoteText"/>
        <w:rPr>
          <w:iCs/>
          <w:sz w:val="16"/>
          <w:szCs w:val="16"/>
          <w:lang w:val="fr-FR"/>
        </w:rPr>
      </w:pPr>
      <w:r w:rsidRPr="00D0520E">
        <w:rPr>
          <w:rStyle w:val="FootnoteReference"/>
        </w:rPr>
        <w:sym w:font="Symbol" w:char="F02A"/>
      </w:r>
      <w:r w:rsidRPr="00CB5445">
        <w:rPr>
          <w:lang w:val="fr-FR"/>
        </w:rPr>
        <w:t xml:space="preserve"> </w:t>
      </w:r>
      <w:r w:rsidR="00103D0A">
        <w:rPr>
          <w:iCs/>
          <w:sz w:val="16"/>
          <w:szCs w:val="16"/>
          <w:lang w:val="fr-FR"/>
        </w:rPr>
        <w:t>Chef de délégation.</w:t>
      </w:r>
    </w:p>
  </w:footnote>
  <w:footnote w:id="2">
    <w:p w14:paraId="261E4ECD" w14:textId="77777777" w:rsidR="001A32C5" w:rsidRPr="000934DF" w:rsidRDefault="001A32C5" w:rsidP="001A32C5">
      <w:pPr>
        <w:pStyle w:val="FootnoteText"/>
        <w:rPr>
          <w:lang w:val="fr-FR"/>
        </w:rPr>
      </w:pPr>
      <w:r>
        <w:rPr>
          <w:rStyle w:val="FootnoteReference"/>
        </w:rPr>
        <w:footnoteRef/>
      </w:r>
      <w:r w:rsidRPr="000934DF">
        <w:rPr>
          <w:lang w:val="fr-FR"/>
        </w:rPr>
        <w:t xml:space="preserve"> </w:t>
      </w:r>
      <w:r w:rsidRPr="00CB5E73">
        <w:rPr>
          <w:iCs/>
          <w:sz w:val="16"/>
          <w:szCs w:val="16"/>
          <w:lang w:val="fr-FR"/>
        </w:rPr>
        <w:t>En raison de la demande de protection des données émise par quelques délégués, les coordonnées complètes ne sont pas mentionnées dans certains cas</w:t>
      </w:r>
      <w:r>
        <w:rPr>
          <w:iCs/>
          <w:sz w:val="16"/>
          <w:szCs w:val="16"/>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DDE6" w14:textId="10498795" w:rsidR="006A012D" w:rsidRPr="003B7606" w:rsidRDefault="006A012D" w:rsidP="006A012D">
    <w:pPr>
      <w:tabs>
        <w:tab w:val="center" w:pos="4680"/>
        <w:tab w:val="left" w:pos="6520"/>
        <w:tab w:val="right" w:pos="9360"/>
        <w:tab w:val="right" w:pos="14240"/>
      </w:tabs>
      <w:spacing w:line="240" w:lineRule="auto"/>
      <w:jc w:val="right"/>
      <w:rPr>
        <w:rFonts w:eastAsia="Calibri" w:cs="Times New Roman"/>
        <w:b/>
        <w:bCs/>
        <w:szCs w:val="20"/>
      </w:rPr>
    </w:pPr>
    <w:bookmarkStart w:id="0" w:name="_Hlk107908354"/>
    <w:bookmarkStart w:id="1" w:name="_Hlk107908355"/>
    <w:bookmarkStart w:id="2" w:name="_Hlk107908359"/>
    <w:bookmarkStart w:id="3" w:name="_Hlk107908360"/>
    <w:bookmarkStart w:id="4" w:name="_Hlk107908361"/>
    <w:bookmarkStart w:id="5" w:name="_Hlk107908362"/>
    <w:r>
      <w:rPr>
        <w:rFonts w:eastAsia="Calibri" w:cs="Times New Roman"/>
        <w:b/>
        <w:bCs/>
      </w:rPr>
      <w:t>PWG</w:t>
    </w:r>
    <w:r>
      <w:rPr>
        <w:rFonts w:eastAsia="Calibri" w:cs="Times New Roman"/>
        <w:b/>
        <w:bCs/>
        <w:szCs w:val="20"/>
      </w:rPr>
      <w:t>_40</w:t>
    </w:r>
    <w:r>
      <w:rPr>
        <w:rFonts w:eastAsia="Calibri" w:cs="Times New Roman"/>
        <w:b/>
        <w:bCs/>
        <w:szCs w:val="20"/>
      </w:rPr>
      <w:t>4</w:t>
    </w:r>
    <w:r w:rsidRPr="003B7606">
      <w:rPr>
        <w:rFonts w:eastAsia="Calibri" w:cs="Times New Roman"/>
        <w:b/>
        <w:bCs/>
        <w:szCs w:val="20"/>
      </w:rPr>
      <w:t>/2026</w:t>
    </w:r>
  </w:p>
  <w:p w14:paraId="4D39819C" w14:textId="42777C51" w:rsidR="00D26BDA" w:rsidRPr="006A012D" w:rsidRDefault="006A012D" w:rsidP="006A012D">
    <w:pPr>
      <w:tabs>
        <w:tab w:val="left" w:pos="7320"/>
      </w:tabs>
      <w:spacing w:line="240" w:lineRule="exact"/>
      <w:jc w:val="right"/>
      <w:rPr>
        <w:rFonts w:cs="Times New Roman"/>
        <w:b/>
        <w:bCs/>
        <w:sz w:val="16"/>
        <w:szCs w:val="16"/>
        <w:lang w:val="es-ES_tradnl"/>
      </w:rPr>
    </w:pPr>
    <w:r w:rsidRPr="003B7606">
      <w:rPr>
        <w:rFonts w:eastAsia="Times New Roman" w:cs="Times New Roman"/>
        <w:b/>
        <w:bCs/>
        <w:sz w:val="16"/>
        <w:szCs w:val="16"/>
        <w:lang w:val="es-ES_tradnl"/>
      </w:rPr>
      <w:fldChar w:fldCharType="begin"/>
    </w:r>
    <w:r w:rsidRPr="003B7606">
      <w:rPr>
        <w:rFonts w:eastAsia="Times New Roman" w:cs="Times New Roman"/>
        <w:b/>
        <w:bCs/>
        <w:sz w:val="16"/>
        <w:szCs w:val="16"/>
        <w:lang w:val="es-ES_tradnl"/>
      </w:rPr>
      <w:instrText xml:space="preserve"> TIME \@ "dd/MM/yyyy H:mm" </w:instrText>
    </w:r>
    <w:r w:rsidRPr="003B7606">
      <w:rPr>
        <w:rFonts w:eastAsia="Times New Roman" w:cs="Times New Roman"/>
        <w:b/>
        <w:bCs/>
        <w:sz w:val="16"/>
        <w:szCs w:val="16"/>
        <w:lang w:val="es-ES_tradnl"/>
      </w:rPr>
      <w:fldChar w:fldCharType="separate"/>
    </w:r>
    <w:r>
      <w:rPr>
        <w:rFonts w:eastAsia="Times New Roman" w:cs="Times New Roman"/>
        <w:b/>
        <w:bCs/>
        <w:noProof/>
        <w:sz w:val="16"/>
        <w:szCs w:val="16"/>
        <w:lang w:val="es-ES_tradnl"/>
      </w:rPr>
      <w:t>15/10/2026 15:45</w:t>
    </w:r>
    <w:r w:rsidRPr="003B7606">
      <w:rPr>
        <w:rFonts w:eastAsia="Times New Roman" w:cs="Times New Roman"/>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50328"/>
    <w:multiLevelType w:val="multilevel"/>
    <w:tmpl w:val="A63A7A6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37DCA"/>
    <w:multiLevelType w:val="multilevel"/>
    <w:tmpl w:val="27B019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204454"/>
    <w:multiLevelType w:val="hybridMultilevel"/>
    <w:tmpl w:val="315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4024C3F"/>
    <w:multiLevelType w:val="hybridMultilevel"/>
    <w:tmpl w:val="AE160804"/>
    <w:lvl w:ilvl="0" w:tplc="64D2273E">
      <w:start w:val="1"/>
      <w:numFmt w:val="decimal"/>
      <w:lvlText w:val="%1."/>
      <w:lvlJc w:val="left"/>
      <w:pPr>
        <w:ind w:left="78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91786571">
    <w:abstractNumId w:val="15"/>
  </w:num>
  <w:num w:numId="2" w16cid:durableId="49228720">
    <w:abstractNumId w:val="26"/>
  </w:num>
  <w:num w:numId="3" w16cid:durableId="1008168941">
    <w:abstractNumId w:val="11"/>
  </w:num>
  <w:num w:numId="4" w16cid:durableId="1367952109">
    <w:abstractNumId w:val="8"/>
  </w:num>
  <w:num w:numId="5" w16cid:durableId="917597727">
    <w:abstractNumId w:val="18"/>
  </w:num>
  <w:num w:numId="6" w16cid:durableId="277296691">
    <w:abstractNumId w:val="1"/>
  </w:num>
  <w:num w:numId="7" w16cid:durableId="2146963525">
    <w:abstractNumId w:val="22"/>
  </w:num>
  <w:num w:numId="8" w16cid:durableId="1351222792">
    <w:abstractNumId w:val="3"/>
  </w:num>
  <w:num w:numId="9" w16cid:durableId="1546140957">
    <w:abstractNumId w:val="19"/>
  </w:num>
  <w:num w:numId="10" w16cid:durableId="1727486895">
    <w:abstractNumId w:val="5"/>
  </w:num>
  <w:num w:numId="11" w16cid:durableId="247546431">
    <w:abstractNumId w:val="14"/>
  </w:num>
  <w:num w:numId="12" w16cid:durableId="241719651">
    <w:abstractNumId w:val="13"/>
  </w:num>
  <w:num w:numId="13" w16cid:durableId="594558819">
    <w:abstractNumId w:val="21"/>
  </w:num>
  <w:num w:numId="14" w16cid:durableId="932476299">
    <w:abstractNumId w:val="7"/>
  </w:num>
  <w:num w:numId="15" w16cid:durableId="1821002759">
    <w:abstractNumId w:val="0"/>
  </w:num>
  <w:num w:numId="16" w16cid:durableId="1404721085">
    <w:abstractNumId w:val="24"/>
  </w:num>
  <w:num w:numId="17" w16cid:durableId="600644480">
    <w:abstractNumId w:val="9"/>
  </w:num>
  <w:num w:numId="18" w16cid:durableId="1937858040">
    <w:abstractNumId w:val="16"/>
  </w:num>
  <w:num w:numId="19" w16cid:durableId="1617714520">
    <w:abstractNumId w:val="20"/>
  </w:num>
  <w:num w:numId="20" w16cid:durableId="1223098987">
    <w:abstractNumId w:val="12"/>
  </w:num>
  <w:num w:numId="21" w16cid:durableId="1818187675">
    <w:abstractNumId w:val="2"/>
  </w:num>
  <w:num w:numId="22" w16cid:durableId="958730624">
    <w:abstractNumId w:val="23"/>
  </w:num>
  <w:num w:numId="23" w16cid:durableId="507214635">
    <w:abstractNumId w:val="6"/>
  </w:num>
  <w:num w:numId="24" w16cid:durableId="1381203082">
    <w:abstractNumId w:val="4"/>
  </w:num>
  <w:num w:numId="25" w16cid:durableId="1466461653">
    <w:abstractNumId w:val="17"/>
  </w:num>
  <w:num w:numId="26" w16cid:durableId="1051727795">
    <w:abstractNumId w:val="25"/>
  </w:num>
  <w:num w:numId="27" w16cid:durableId="14678899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280718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162B"/>
    <w:rsid w:val="00003F76"/>
    <w:rsid w:val="000061E7"/>
    <w:rsid w:val="000116D9"/>
    <w:rsid w:val="0001325F"/>
    <w:rsid w:val="000176CF"/>
    <w:rsid w:val="00021B00"/>
    <w:rsid w:val="00032DED"/>
    <w:rsid w:val="00035A4B"/>
    <w:rsid w:val="0003725C"/>
    <w:rsid w:val="00040AB3"/>
    <w:rsid w:val="000425F7"/>
    <w:rsid w:val="00045A47"/>
    <w:rsid w:val="00045B1E"/>
    <w:rsid w:val="00046FFB"/>
    <w:rsid w:val="00050FD7"/>
    <w:rsid w:val="000533DE"/>
    <w:rsid w:val="000571E9"/>
    <w:rsid w:val="000630C8"/>
    <w:rsid w:val="0006478A"/>
    <w:rsid w:val="00064ED8"/>
    <w:rsid w:val="00066F47"/>
    <w:rsid w:val="000724F0"/>
    <w:rsid w:val="00073026"/>
    <w:rsid w:val="00074CAB"/>
    <w:rsid w:val="00081873"/>
    <w:rsid w:val="00082158"/>
    <w:rsid w:val="00084B5A"/>
    <w:rsid w:val="00085B23"/>
    <w:rsid w:val="00086E62"/>
    <w:rsid w:val="00087973"/>
    <w:rsid w:val="00090C6D"/>
    <w:rsid w:val="00091740"/>
    <w:rsid w:val="00093088"/>
    <w:rsid w:val="00093681"/>
    <w:rsid w:val="000942C2"/>
    <w:rsid w:val="000947AE"/>
    <w:rsid w:val="00096748"/>
    <w:rsid w:val="0009708B"/>
    <w:rsid w:val="000A0EBA"/>
    <w:rsid w:val="000A2138"/>
    <w:rsid w:val="000A6CA7"/>
    <w:rsid w:val="000B1FDA"/>
    <w:rsid w:val="000B29AC"/>
    <w:rsid w:val="000B38DE"/>
    <w:rsid w:val="000B56A1"/>
    <w:rsid w:val="000C6895"/>
    <w:rsid w:val="000C7878"/>
    <w:rsid w:val="000E390F"/>
    <w:rsid w:val="000E485F"/>
    <w:rsid w:val="000E5573"/>
    <w:rsid w:val="000E7263"/>
    <w:rsid w:val="000E7D22"/>
    <w:rsid w:val="000F5C23"/>
    <w:rsid w:val="000F6EBF"/>
    <w:rsid w:val="001019BC"/>
    <w:rsid w:val="00101F29"/>
    <w:rsid w:val="00103D0A"/>
    <w:rsid w:val="00110C01"/>
    <w:rsid w:val="00113314"/>
    <w:rsid w:val="00120F67"/>
    <w:rsid w:val="001211C6"/>
    <w:rsid w:val="001232EA"/>
    <w:rsid w:val="00123E14"/>
    <w:rsid w:val="0012667B"/>
    <w:rsid w:val="001314B3"/>
    <w:rsid w:val="00132833"/>
    <w:rsid w:val="001331C4"/>
    <w:rsid w:val="00137173"/>
    <w:rsid w:val="001436A3"/>
    <w:rsid w:val="00143CB2"/>
    <w:rsid w:val="00143E58"/>
    <w:rsid w:val="00147091"/>
    <w:rsid w:val="00153461"/>
    <w:rsid w:val="00153BEA"/>
    <w:rsid w:val="00153C44"/>
    <w:rsid w:val="001603DD"/>
    <w:rsid w:val="00170DA0"/>
    <w:rsid w:val="0017583C"/>
    <w:rsid w:val="00181878"/>
    <w:rsid w:val="00182D4B"/>
    <w:rsid w:val="0018779B"/>
    <w:rsid w:val="0019115B"/>
    <w:rsid w:val="001953CA"/>
    <w:rsid w:val="001960E9"/>
    <w:rsid w:val="0019695D"/>
    <w:rsid w:val="001A32C5"/>
    <w:rsid w:val="001B1C5F"/>
    <w:rsid w:val="001B3A2B"/>
    <w:rsid w:val="001B47EC"/>
    <w:rsid w:val="001B4938"/>
    <w:rsid w:val="001C0392"/>
    <w:rsid w:val="001C0E5D"/>
    <w:rsid w:val="001C1D61"/>
    <w:rsid w:val="001C1F02"/>
    <w:rsid w:val="001D11AD"/>
    <w:rsid w:val="001D132B"/>
    <w:rsid w:val="001D1B13"/>
    <w:rsid w:val="001D1BB7"/>
    <w:rsid w:val="001D4539"/>
    <w:rsid w:val="001D6B07"/>
    <w:rsid w:val="001D7082"/>
    <w:rsid w:val="001E0B88"/>
    <w:rsid w:val="001E1070"/>
    <w:rsid w:val="001E140E"/>
    <w:rsid w:val="001E159F"/>
    <w:rsid w:val="001E2547"/>
    <w:rsid w:val="001E5D22"/>
    <w:rsid w:val="001E5DC7"/>
    <w:rsid w:val="001F10E1"/>
    <w:rsid w:val="001F2127"/>
    <w:rsid w:val="001F2AF6"/>
    <w:rsid w:val="001F300E"/>
    <w:rsid w:val="001F4E29"/>
    <w:rsid w:val="00203827"/>
    <w:rsid w:val="00206FCA"/>
    <w:rsid w:val="002077D7"/>
    <w:rsid w:val="00223006"/>
    <w:rsid w:val="00223EBA"/>
    <w:rsid w:val="00224942"/>
    <w:rsid w:val="002257FA"/>
    <w:rsid w:val="0022729E"/>
    <w:rsid w:val="00227D38"/>
    <w:rsid w:val="00236E69"/>
    <w:rsid w:val="0023710E"/>
    <w:rsid w:val="0024494D"/>
    <w:rsid w:val="002464EF"/>
    <w:rsid w:val="00247A24"/>
    <w:rsid w:val="00252D5A"/>
    <w:rsid w:val="0025396A"/>
    <w:rsid w:val="00254056"/>
    <w:rsid w:val="00262D66"/>
    <w:rsid w:val="00265DA6"/>
    <w:rsid w:val="00265F42"/>
    <w:rsid w:val="002704C0"/>
    <w:rsid w:val="00274364"/>
    <w:rsid w:val="00276D2C"/>
    <w:rsid w:val="00281D81"/>
    <w:rsid w:val="0028200C"/>
    <w:rsid w:val="00287378"/>
    <w:rsid w:val="002930FF"/>
    <w:rsid w:val="00293B83"/>
    <w:rsid w:val="00294F78"/>
    <w:rsid w:val="002961B1"/>
    <w:rsid w:val="002A0874"/>
    <w:rsid w:val="002A1738"/>
    <w:rsid w:val="002A502C"/>
    <w:rsid w:val="002A6D00"/>
    <w:rsid w:val="002B0F81"/>
    <w:rsid w:val="002B245F"/>
    <w:rsid w:val="002B4C5D"/>
    <w:rsid w:val="002B55B5"/>
    <w:rsid w:val="002B72B0"/>
    <w:rsid w:val="002B782A"/>
    <w:rsid w:val="002C07D3"/>
    <w:rsid w:val="002C0B8A"/>
    <w:rsid w:val="002C0F51"/>
    <w:rsid w:val="002C37DD"/>
    <w:rsid w:val="002C651A"/>
    <w:rsid w:val="002D0265"/>
    <w:rsid w:val="002D1D87"/>
    <w:rsid w:val="002D34D5"/>
    <w:rsid w:val="002D4FCC"/>
    <w:rsid w:val="002D5928"/>
    <w:rsid w:val="002D5A82"/>
    <w:rsid w:val="002D626F"/>
    <w:rsid w:val="002D66F4"/>
    <w:rsid w:val="002E0383"/>
    <w:rsid w:val="002E076A"/>
    <w:rsid w:val="002E1B4E"/>
    <w:rsid w:val="002E3657"/>
    <w:rsid w:val="002E3D8E"/>
    <w:rsid w:val="002E3DD1"/>
    <w:rsid w:val="002E55CB"/>
    <w:rsid w:val="002E6EDA"/>
    <w:rsid w:val="002E734C"/>
    <w:rsid w:val="002F7C41"/>
    <w:rsid w:val="00300DE5"/>
    <w:rsid w:val="00301B50"/>
    <w:rsid w:val="00302D11"/>
    <w:rsid w:val="003057B9"/>
    <w:rsid w:val="00306410"/>
    <w:rsid w:val="00311861"/>
    <w:rsid w:val="0031275D"/>
    <w:rsid w:val="00314149"/>
    <w:rsid w:val="003144CF"/>
    <w:rsid w:val="00314E57"/>
    <w:rsid w:val="00316730"/>
    <w:rsid w:val="00323C04"/>
    <w:rsid w:val="00324A19"/>
    <w:rsid w:val="0032677B"/>
    <w:rsid w:val="00327D7B"/>
    <w:rsid w:val="003340A4"/>
    <w:rsid w:val="00334771"/>
    <w:rsid w:val="0033759E"/>
    <w:rsid w:val="0034631C"/>
    <w:rsid w:val="00354A3D"/>
    <w:rsid w:val="00356853"/>
    <w:rsid w:val="003574AA"/>
    <w:rsid w:val="00360673"/>
    <w:rsid w:val="0036169F"/>
    <w:rsid w:val="003623EB"/>
    <w:rsid w:val="0036491E"/>
    <w:rsid w:val="003713FC"/>
    <w:rsid w:val="0037250A"/>
    <w:rsid w:val="00372928"/>
    <w:rsid w:val="00374A4F"/>
    <w:rsid w:val="0037534C"/>
    <w:rsid w:val="003753E7"/>
    <w:rsid w:val="003755BE"/>
    <w:rsid w:val="003762DB"/>
    <w:rsid w:val="00381300"/>
    <w:rsid w:val="003836D8"/>
    <w:rsid w:val="00385B20"/>
    <w:rsid w:val="00386262"/>
    <w:rsid w:val="00386B30"/>
    <w:rsid w:val="003875AD"/>
    <w:rsid w:val="00387DD0"/>
    <w:rsid w:val="00390A47"/>
    <w:rsid w:val="00397BA6"/>
    <w:rsid w:val="003A05DC"/>
    <w:rsid w:val="003A2D7E"/>
    <w:rsid w:val="003A3BBD"/>
    <w:rsid w:val="003A4719"/>
    <w:rsid w:val="003A747D"/>
    <w:rsid w:val="003B4B3F"/>
    <w:rsid w:val="003B5D64"/>
    <w:rsid w:val="003B61C7"/>
    <w:rsid w:val="003B780F"/>
    <w:rsid w:val="003B79B6"/>
    <w:rsid w:val="003C0BEB"/>
    <w:rsid w:val="003C21EC"/>
    <w:rsid w:val="003C2BD4"/>
    <w:rsid w:val="003C5394"/>
    <w:rsid w:val="003C570C"/>
    <w:rsid w:val="003C5ACF"/>
    <w:rsid w:val="003C6C0D"/>
    <w:rsid w:val="003C7DD5"/>
    <w:rsid w:val="003D2B48"/>
    <w:rsid w:val="003D2FE6"/>
    <w:rsid w:val="003D5544"/>
    <w:rsid w:val="003E2F9C"/>
    <w:rsid w:val="003E36AF"/>
    <w:rsid w:val="003F0452"/>
    <w:rsid w:val="003F0854"/>
    <w:rsid w:val="003F3884"/>
    <w:rsid w:val="003F5FFC"/>
    <w:rsid w:val="003F7718"/>
    <w:rsid w:val="003F788F"/>
    <w:rsid w:val="003F7D00"/>
    <w:rsid w:val="003F7F88"/>
    <w:rsid w:val="00401A11"/>
    <w:rsid w:val="004028EB"/>
    <w:rsid w:val="004032B7"/>
    <w:rsid w:val="00411F06"/>
    <w:rsid w:val="0041264C"/>
    <w:rsid w:val="00416D4D"/>
    <w:rsid w:val="004170B7"/>
    <w:rsid w:val="00417CD5"/>
    <w:rsid w:val="00420D90"/>
    <w:rsid w:val="00422C62"/>
    <w:rsid w:val="00424731"/>
    <w:rsid w:val="00424AC5"/>
    <w:rsid w:val="00425E34"/>
    <w:rsid w:val="00430567"/>
    <w:rsid w:val="00432D20"/>
    <w:rsid w:val="00442178"/>
    <w:rsid w:val="00442C9F"/>
    <w:rsid w:val="00444E78"/>
    <w:rsid w:val="0044548E"/>
    <w:rsid w:val="00447C96"/>
    <w:rsid w:val="004502E5"/>
    <w:rsid w:val="0046336E"/>
    <w:rsid w:val="00464D82"/>
    <w:rsid w:val="0046641A"/>
    <w:rsid w:val="00470E7F"/>
    <w:rsid w:val="00470ED2"/>
    <w:rsid w:val="0047223E"/>
    <w:rsid w:val="0047427F"/>
    <w:rsid w:val="00475C50"/>
    <w:rsid w:val="0048466F"/>
    <w:rsid w:val="00486AA6"/>
    <w:rsid w:val="00487C91"/>
    <w:rsid w:val="004900CE"/>
    <w:rsid w:val="004922C1"/>
    <w:rsid w:val="0049391C"/>
    <w:rsid w:val="00495E90"/>
    <w:rsid w:val="00495FC2"/>
    <w:rsid w:val="00496B80"/>
    <w:rsid w:val="00497F43"/>
    <w:rsid w:val="004A0D46"/>
    <w:rsid w:val="004A178C"/>
    <w:rsid w:val="004A7FC0"/>
    <w:rsid w:val="004B2FD1"/>
    <w:rsid w:val="004B5264"/>
    <w:rsid w:val="004B60A8"/>
    <w:rsid w:val="004B6570"/>
    <w:rsid w:val="004C1EE8"/>
    <w:rsid w:val="004D1A2C"/>
    <w:rsid w:val="004D2A1E"/>
    <w:rsid w:val="004D3254"/>
    <w:rsid w:val="004D4F29"/>
    <w:rsid w:val="004D68AB"/>
    <w:rsid w:val="004E2346"/>
    <w:rsid w:val="004E27D1"/>
    <w:rsid w:val="004E34BF"/>
    <w:rsid w:val="004E62B0"/>
    <w:rsid w:val="004F3FFC"/>
    <w:rsid w:val="004F5AB5"/>
    <w:rsid w:val="004F6A53"/>
    <w:rsid w:val="00500CF9"/>
    <w:rsid w:val="00503821"/>
    <w:rsid w:val="0050793E"/>
    <w:rsid w:val="00510C15"/>
    <w:rsid w:val="00517D7B"/>
    <w:rsid w:val="005258D9"/>
    <w:rsid w:val="00531F0D"/>
    <w:rsid w:val="00531F97"/>
    <w:rsid w:val="005329F1"/>
    <w:rsid w:val="00533A94"/>
    <w:rsid w:val="00533DA8"/>
    <w:rsid w:val="005351BC"/>
    <w:rsid w:val="00536B61"/>
    <w:rsid w:val="0053747D"/>
    <w:rsid w:val="005416B1"/>
    <w:rsid w:val="00541997"/>
    <w:rsid w:val="00544C7B"/>
    <w:rsid w:val="00547582"/>
    <w:rsid w:val="00547756"/>
    <w:rsid w:val="005527D5"/>
    <w:rsid w:val="005602C1"/>
    <w:rsid w:val="0056073B"/>
    <w:rsid w:val="005615D6"/>
    <w:rsid w:val="0056464C"/>
    <w:rsid w:val="00567E4B"/>
    <w:rsid w:val="00580752"/>
    <w:rsid w:val="00580A9E"/>
    <w:rsid w:val="00582139"/>
    <w:rsid w:val="00584449"/>
    <w:rsid w:val="0058479E"/>
    <w:rsid w:val="00585FC6"/>
    <w:rsid w:val="00587E02"/>
    <w:rsid w:val="00593706"/>
    <w:rsid w:val="00596074"/>
    <w:rsid w:val="005A000A"/>
    <w:rsid w:val="005A6560"/>
    <w:rsid w:val="005A7D38"/>
    <w:rsid w:val="005B1E62"/>
    <w:rsid w:val="005B2BA1"/>
    <w:rsid w:val="005B330C"/>
    <w:rsid w:val="005B3CBD"/>
    <w:rsid w:val="005B45AC"/>
    <w:rsid w:val="005B598E"/>
    <w:rsid w:val="005B756E"/>
    <w:rsid w:val="005C0786"/>
    <w:rsid w:val="005C2E0D"/>
    <w:rsid w:val="005C404F"/>
    <w:rsid w:val="005C61A8"/>
    <w:rsid w:val="005D5869"/>
    <w:rsid w:val="005D7900"/>
    <w:rsid w:val="005E0309"/>
    <w:rsid w:val="005E2FED"/>
    <w:rsid w:val="005E5341"/>
    <w:rsid w:val="005E5966"/>
    <w:rsid w:val="005F1F38"/>
    <w:rsid w:val="005F210D"/>
    <w:rsid w:val="005F48CC"/>
    <w:rsid w:val="005F4E98"/>
    <w:rsid w:val="005F552A"/>
    <w:rsid w:val="005F7D6D"/>
    <w:rsid w:val="00602064"/>
    <w:rsid w:val="0060237F"/>
    <w:rsid w:val="00604852"/>
    <w:rsid w:val="006075BE"/>
    <w:rsid w:val="006077A7"/>
    <w:rsid w:val="006121A3"/>
    <w:rsid w:val="006141D2"/>
    <w:rsid w:val="00617678"/>
    <w:rsid w:val="00621E28"/>
    <w:rsid w:val="00622FB4"/>
    <w:rsid w:val="00624F5F"/>
    <w:rsid w:val="00626731"/>
    <w:rsid w:val="00630100"/>
    <w:rsid w:val="00630229"/>
    <w:rsid w:val="00634BFC"/>
    <w:rsid w:val="00637E64"/>
    <w:rsid w:val="00640633"/>
    <w:rsid w:val="0064267B"/>
    <w:rsid w:val="0064286F"/>
    <w:rsid w:val="00644212"/>
    <w:rsid w:val="006457BB"/>
    <w:rsid w:val="00650D39"/>
    <w:rsid w:val="00651450"/>
    <w:rsid w:val="0065601E"/>
    <w:rsid w:val="0065648E"/>
    <w:rsid w:val="006629E7"/>
    <w:rsid w:val="006645FA"/>
    <w:rsid w:val="0066480D"/>
    <w:rsid w:val="006648BC"/>
    <w:rsid w:val="006676E8"/>
    <w:rsid w:val="0068202D"/>
    <w:rsid w:val="00683956"/>
    <w:rsid w:val="0069173C"/>
    <w:rsid w:val="00693585"/>
    <w:rsid w:val="006944A0"/>
    <w:rsid w:val="006A012D"/>
    <w:rsid w:val="006A1F87"/>
    <w:rsid w:val="006A3831"/>
    <w:rsid w:val="006B31F9"/>
    <w:rsid w:val="006B552B"/>
    <w:rsid w:val="006C1EE8"/>
    <w:rsid w:val="006C5C00"/>
    <w:rsid w:val="006C70B9"/>
    <w:rsid w:val="006C7C54"/>
    <w:rsid w:val="006D289E"/>
    <w:rsid w:val="006D3FF1"/>
    <w:rsid w:val="006E34B4"/>
    <w:rsid w:val="006E623E"/>
    <w:rsid w:val="006E7292"/>
    <w:rsid w:val="006E7B65"/>
    <w:rsid w:val="006F0D22"/>
    <w:rsid w:val="006F16CC"/>
    <w:rsid w:val="006F525F"/>
    <w:rsid w:val="006F789D"/>
    <w:rsid w:val="0070283F"/>
    <w:rsid w:val="007058BA"/>
    <w:rsid w:val="007146D3"/>
    <w:rsid w:val="007220D3"/>
    <w:rsid w:val="00722B3B"/>
    <w:rsid w:val="00725F9F"/>
    <w:rsid w:val="00727F5F"/>
    <w:rsid w:val="00731E5D"/>
    <w:rsid w:val="00734B1B"/>
    <w:rsid w:val="00735159"/>
    <w:rsid w:val="00741EAF"/>
    <w:rsid w:val="0074403E"/>
    <w:rsid w:val="00746173"/>
    <w:rsid w:val="0075665D"/>
    <w:rsid w:val="0075674D"/>
    <w:rsid w:val="007573E6"/>
    <w:rsid w:val="00763A38"/>
    <w:rsid w:val="00766370"/>
    <w:rsid w:val="00767B18"/>
    <w:rsid w:val="00767C1E"/>
    <w:rsid w:val="0077559A"/>
    <w:rsid w:val="00776D19"/>
    <w:rsid w:val="00780E25"/>
    <w:rsid w:val="00783847"/>
    <w:rsid w:val="00790411"/>
    <w:rsid w:val="0079279F"/>
    <w:rsid w:val="00795241"/>
    <w:rsid w:val="0079541E"/>
    <w:rsid w:val="007A4EA3"/>
    <w:rsid w:val="007B4516"/>
    <w:rsid w:val="007B6C88"/>
    <w:rsid w:val="007C16E0"/>
    <w:rsid w:val="007C4037"/>
    <w:rsid w:val="007C4E38"/>
    <w:rsid w:val="007D290B"/>
    <w:rsid w:val="007D2A8E"/>
    <w:rsid w:val="007D5C07"/>
    <w:rsid w:val="007D686F"/>
    <w:rsid w:val="007E1B3A"/>
    <w:rsid w:val="007E37B6"/>
    <w:rsid w:val="007E6AE3"/>
    <w:rsid w:val="007E77E0"/>
    <w:rsid w:val="007F0216"/>
    <w:rsid w:val="007F1054"/>
    <w:rsid w:val="007F1CE4"/>
    <w:rsid w:val="007F2E5D"/>
    <w:rsid w:val="007F3313"/>
    <w:rsid w:val="007F3E5D"/>
    <w:rsid w:val="007F56EE"/>
    <w:rsid w:val="007F6235"/>
    <w:rsid w:val="007F78AF"/>
    <w:rsid w:val="008004CE"/>
    <w:rsid w:val="00803466"/>
    <w:rsid w:val="008049B7"/>
    <w:rsid w:val="00804B59"/>
    <w:rsid w:val="0080528A"/>
    <w:rsid w:val="008063DF"/>
    <w:rsid w:val="00810358"/>
    <w:rsid w:val="00812EF8"/>
    <w:rsid w:val="00812F3E"/>
    <w:rsid w:val="00814FEE"/>
    <w:rsid w:val="008167AC"/>
    <w:rsid w:val="008267B4"/>
    <w:rsid w:val="00827F5A"/>
    <w:rsid w:val="008306D2"/>
    <w:rsid w:val="008364A2"/>
    <w:rsid w:val="00844C5D"/>
    <w:rsid w:val="008455B5"/>
    <w:rsid w:val="008501A7"/>
    <w:rsid w:val="008528DE"/>
    <w:rsid w:val="008574E8"/>
    <w:rsid w:val="0086375E"/>
    <w:rsid w:val="00865A52"/>
    <w:rsid w:val="008746FD"/>
    <w:rsid w:val="0087633F"/>
    <w:rsid w:val="008773AB"/>
    <w:rsid w:val="008800B9"/>
    <w:rsid w:val="0088018B"/>
    <w:rsid w:val="00880AA4"/>
    <w:rsid w:val="0088379A"/>
    <w:rsid w:val="008913E2"/>
    <w:rsid w:val="00893A99"/>
    <w:rsid w:val="00895D67"/>
    <w:rsid w:val="00895F7E"/>
    <w:rsid w:val="00897AD3"/>
    <w:rsid w:val="00897C13"/>
    <w:rsid w:val="008A64E0"/>
    <w:rsid w:val="008B0A0A"/>
    <w:rsid w:val="008B330A"/>
    <w:rsid w:val="008B36A2"/>
    <w:rsid w:val="008B552F"/>
    <w:rsid w:val="008B6571"/>
    <w:rsid w:val="008B7CD6"/>
    <w:rsid w:val="008C5D0A"/>
    <w:rsid w:val="008D44A2"/>
    <w:rsid w:val="008D7420"/>
    <w:rsid w:val="008E06B7"/>
    <w:rsid w:val="008E0B4F"/>
    <w:rsid w:val="008E1077"/>
    <w:rsid w:val="008E281C"/>
    <w:rsid w:val="008E3C95"/>
    <w:rsid w:val="008F098E"/>
    <w:rsid w:val="008F0FAE"/>
    <w:rsid w:val="008F35E1"/>
    <w:rsid w:val="008F4D42"/>
    <w:rsid w:val="008F701F"/>
    <w:rsid w:val="008F7991"/>
    <w:rsid w:val="00904720"/>
    <w:rsid w:val="00904A0E"/>
    <w:rsid w:val="00906457"/>
    <w:rsid w:val="00907A31"/>
    <w:rsid w:val="00915F54"/>
    <w:rsid w:val="009256BE"/>
    <w:rsid w:val="00926BFB"/>
    <w:rsid w:val="009330D9"/>
    <w:rsid w:val="009411F4"/>
    <w:rsid w:val="00942AFD"/>
    <w:rsid w:val="009440AC"/>
    <w:rsid w:val="009441C6"/>
    <w:rsid w:val="00947205"/>
    <w:rsid w:val="00950FFF"/>
    <w:rsid w:val="00954618"/>
    <w:rsid w:val="009638C8"/>
    <w:rsid w:val="00966EF9"/>
    <w:rsid w:val="00967A57"/>
    <w:rsid w:val="009716D1"/>
    <w:rsid w:val="00972A59"/>
    <w:rsid w:val="0097685D"/>
    <w:rsid w:val="00976BEA"/>
    <w:rsid w:val="00980783"/>
    <w:rsid w:val="00982136"/>
    <w:rsid w:val="009861E0"/>
    <w:rsid w:val="009A186A"/>
    <w:rsid w:val="009A2E08"/>
    <w:rsid w:val="009A60AC"/>
    <w:rsid w:val="009A69F6"/>
    <w:rsid w:val="009A72BF"/>
    <w:rsid w:val="009B08B0"/>
    <w:rsid w:val="009B5BDD"/>
    <w:rsid w:val="009B5D72"/>
    <w:rsid w:val="009B6507"/>
    <w:rsid w:val="009B7535"/>
    <w:rsid w:val="009C0237"/>
    <w:rsid w:val="009C32E4"/>
    <w:rsid w:val="009C4F2F"/>
    <w:rsid w:val="009C61D6"/>
    <w:rsid w:val="009C6815"/>
    <w:rsid w:val="009C70C4"/>
    <w:rsid w:val="009D0EB8"/>
    <w:rsid w:val="009D1F30"/>
    <w:rsid w:val="009D53F9"/>
    <w:rsid w:val="009D79FB"/>
    <w:rsid w:val="009E09EE"/>
    <w:rsid w:val="009E1D41"/>
    <w:rsid w:val="009E4454"/>
    <w:rsid w:val="009E477A"/>
    <w:rsid w:val="009F3692"/>
    <w:rsid w:val="009F60EA"/>
    <w:rsid w:val="009F6CE8"/>
    <w:rsid w:val="00A047C4"/>
    <w:rsid w:val="00A0498F"/>
    <w:rsid w:val="00A10D1E"/>
    <w:rsid w:val="00A13373"/>
    <w:rsid w:val="00A13D2C"/>
    <w:rsid w:val="00A25DCB"/>
    <w:rsid w:val="00A3081F"/>
    <w:rsid w:val="00A3249D"/>
    <w:rsid w:val="00A32B2E"/>
    <w:rsid w:val="00A33150"/>
    <w:rsid w:val="00A3392B"/>
    <w:rsid w:val="00A3781C"/>
    <w:rsid w:val="00A37CFC"/>
    <w:rsid w:val="00A41BC1"/>
    <w:rsid w:val="00A52684"/>
    <w:rsid w:val="00A748A6"/>
    <w:rsid w:val="00A755E3"/>
    <w:rsid w:val="00A77589"/>
    <w:rsid w:val="00A77A07"/>
    <w:rsid w:val="00A80586"/>
    <w:rsid w:val="00A81E26"/>
    <w:rsid w:val="00A83E85"/>
    <w:rsid w:val="00A85F37"/>
    <w:rsid w:val="00A87344"/>
    <w:rsid w:val="00A902AB"/>
    <w:rsid w:val="00A964A3"/>
    <w:rsid w:val="00A9788F"/>
    <w:rsid w:val="00AA32EA"/>
    <w:rsid w:val="00AA3BF8"/>
    <w:rsid w:val="00AA3EFC"/>
    <w:rsid w:val="00AA4168"/>
    <w:rsid w:val="00AA5D26"/>
    <w:rsid w:val="00AB319A"/>
    <w:rsid w:val="00AB4D15"/>
    <w:rsid w:val="00AB6766"/>
    <w:rsid w:val="00AC62AA"/>
    <w:rsid w:val="00AC73A9"/>
    <w:rsid w:val="00AD1F9C"/>
    <w:rsid w:val="00AD2163"/>
    <w:rsid w:val="00AD416B"/>
    <w:rsid w:val="00AD4EAC"/>
    <w:rsid w:val="00AD5EC3"/>
    <w:rsid w:val="00AD6463"/>
    <w:rsid w:val="00AE1419"/>
    <w:rsid w:val="00AE4342"/>
    <w:rsid w:val="00AF0ED7"/>
    <w:rsid w:val="00AF2510"/>
    <w:rsid w:val="00B05072"/>
    <w:rsid w:val="00B06CCC"/>
    <w:rsid w:val="00B07A41"/>
    <w:rsid w:val="00B10CF8"/>
    <w:rsid w:val="00B12027"/>
    <w:rsid w:val="00B13C30"/>
    <w:rsid w:val="00B13C81"/>
    <w:rsid w:val="00B16EF6"/>
    <w:rsid w:val="00B170DA"/>
    <w:rsid w:val="00B36C4F"/>
    <w:rsid w:val="00B4326F"/>
    <w:rsid w:val="00B466AE"/>
    <w:rsid w:val="00B607B8"/>
    <w:rsid w:val="00B60BAC"/>
    <w:rsid w:val="00B64904"/>
    <w:rsid w:val="00B662D2"/>
    <w:rsid w:val="00B6704F"/>
    <w:rsid w:val="00B743E8"/>
    <w:rsid w:val="00B752F3"/>
    <w:rsid w:val="00B80FB5"/>
    <w:rsid w:val="00B82079"/>
    <w:rsid w:val="00B82F6B"/>
    <w:rsid w:val="00B84925"/>
    <w:rsid w:val="00B85569"/>
    <w:rsid w:val="00B945AC"/>
    <w:rsid w:val="00B9519B"/>
    <w:rsid w:val="00B95AE5"/>
    <w:rsid w:val="00B96E9B"/>
    <w:rsid w:val="00BA07F1"/>
    <w:rsid w:val="00BA15DC"/>
    <w:rsid w:val="00BA2D18"/>
    <w:rsid w:val="00BA3600"/>
    <w:rsid w:val="00BA36B3"/>
    <w:rsid w:val="00BA401F"/>
    <w:rsid w:val="00BA40FE"/>
    <w:rsid w:val="00BB1B7F"/>
    <w:rsid w:val="00BB1ECA"/>
    <w:rsid w:val="00BB4080"/>
    <w:rsid w:val="00BB551B"/>
    <w:rsid w:val="00BB6DE4"/>
    <w:rsid w:val="00BC3041"/>
    <w:rsid w:val="00BC4B70"/>
    <w:rsid w:val="00BC6F57"/>
    <w:rsid w:val="00BD0042"/>
    <w:rsid w:val="00BD0C53"/>
    <w:rsid w:val="00BD48C5"/>
    <w:rsid w:val="00BE29FA"/>
    <w:rsid w:val="00BF0F93"/>
    <w:rsid w:val="00BF25B7"/>
    <w:rsid w:val="00BF44D3"/>
    <w:rsid w:val="00BF713A"/>
    <w:rsid w:val="00C00166"/>
    <w:rsid w:val="00C01849"/>
    <w:rsid w:val="00C0459F"/>
    <w:rsid w:val="00C049BD"/>
    <w:rsid w:val="00C063C9"/>
    <w:rsid w:val="00C06660"/>
    <w:rsid w:val="00C06CDC"/>
    <w:rsid w:val="00C07363"/>
    <w:rsid w:val="00C11880"/>
    <w:rsid w:val="00C1546F"/>
    <w:rsid w:val="00C175EF"/>
    <w:rsid w:val="00C208F3"/>
    <w:rsid w:val="00C214D3"/>
    <w:rsid w:val="00C23AA8"/>
    <w:rsid w:val="00C25BCD"/>
    <w:rsid w:val="00C30456"/>
    <w:rsid w:val="00C3082A"/>
    <w:rsid w:val="00C32546"/>
    <w:rsid w:val="00C33CC1"/>
    <w:rsid w:val="00C365CE"/>
    <w:rsid w:val="00C36DC9"/>
    <w:rsid w:val="00C42C99"/>
    <w:rsid w:val="00C430AF"/>
    <w:rsid w:val="00C45ADC"/>
    <w:rsid w:val="00C460B3"/>
    <w:rsid w:val="00C47FFD"/>
    <w:rsid w:val="00C50B71"/>
    <w:rsid w:val="00C50F02"/>
    <w:rsid w:val="00C53CD2"/>
    <w:rsid w:val="00C54DE7"/>
    <w:rsid w:val="00C551BA"/>
    <w:rsid w:val="00C552EB"/>
    <w:rsid w:val="00C625F9"/>
    <w:rsid w:val="00C64667"/>
    <w:rsid w:val="00C6600E"/>
    <w:rsid w:val="00C67EB5"/>
    <w:rsid w:val="00C704C8"/>
    <w:rsid w:val="00C741E8"/>
    <w:rsid w:val="00C7704E"/>
    <w:rsid w:val="00C81A71"/>
    <w:rsid w:val="00C83849"/>
    <w:rsid w:val="00C84063"/>
    <w:rsid w:val="00C86582"/>
    <w:rsid w:val="00C874F6"/>
    <w:rsid w:val="00C925A5"/>
    <w:rsid w:val="00C92C2F"/>
    <w:rsid w:val="00C97937"/>
    <w:rsid w:val="00CA582F"/>
    <w:rsid w:val="00CA6508"/>
    <w:rsid w:val="00CB2253"/>
    <w:rsid w:val="00CB36D2"/>
    <w:rsid w:val="00CB429A"/>
    <w:rsid w:val="00CB6782"/>
    <w:rsid w:val="00CB7666"/>
    <w:rsid w:val="00CB7E25"/>
    <w:rsid w:val="00CC1AD6"/>
    <w:rsid w:val="00CC61D8"/>
    <w:rsid w:val="00CD018D"/>
    <w:rsid w:val="00CD01BE"/>
    <w:rsid w:val="00CD01DC"/>
    <w:rsid w:val="00CD091E"/>
    <w:rsid w:val="00CD4469"/>
    <w:rsid w:val="00CD6021"/>
    <w:rsid w:val="00CE1761"/>
    <w:rsid w:val="00CF3AAF"/>
    <w:rsid w:val="00CF51A0"/>
    <w:rsid w:val="00CF6301"/>
    <w:rsid w:val="00CF6D00"/>
    <w:rsid w:val="00D028B1"/>
    <w:rsid w:val="00D1076F"/>
    <w:rsid w:val="00D12481"/>
    <w:rsid w:val="00D16CC3"/>
    <w:rsid w:val="00D17BC3"/>
    <w:rsid w:val="00D2101C"/>
    <w:rsid w:val="00D22505"/>
    <w:rsid w:val="00D2331F"/>
    <w:rsid w:val="00D26949"/>
    <w:rsid w:val="00D26BDA"/>
    <w:rsid w:val="00D3104E"/>
    <w:rsid w:val="00D3313E"/>
    <w:rsid w:val="00D37BBF"/>
    <w:rsid w:val="00D4612A"/>
    <w:rsid w:val="00D46764"/>
    <w:rsid w:val="00D53C84"/>
    <w:rsid w:val="00D54DC1"/>
    <w:rsid w:val="00D61B9F"/>
    <w:rsid w:val="00D637C8"/>
    <w:rsid w:val="00D63A56"/>
    <w:rsid w:val="00D70208"/>
    <w:rsid w:val="00D70245"/>
    <w:rsid w:val="00D705A9"/>
    <w:rsid w:val="00D711F9"/>
    <w:rsid w:val="00D71A26"/>
    <w:rsid w:val="00D71D32"/>
    <w:rsid w:val="00D72785"/>
    <w:rsid w:val="00D754E4"/>
    <w:rsid w:val="00D75993"/>
    <w:rsid w:val="00D77499"/>
    <w:rsid w:val="00D7771E"/>
    <w:rsid w:val="00D80C12"/>
    <w:rsid w:val="00D83B6E"/>
    <w:rsid w:val="00D83F18"/>
    <w:rsid w:val="00D8593A"/>
    <w:rsid w:val="00D85956"/>
    <w:rsid w:val="00D8783A"/>
    <w:rsid w:val="00D923E4"/>
    <w:rsid w:val="00D97D6B"/>
    <w:rsid w:val="00DA35BF"/>
    <w:rsid w:val="00DA7525"/>
    <w:rsid w:val="00DB0279"/>
    <w:rsid w:val="00DB6E97"/>
    <w:rsid w:val="00DC4A4F"/>
    <w:rsid w:val="00DC79DC"/>
    <w:rsid w:val="00DD0084"/>
    <w:rsid w:val="00DD0CA7"/>
    <w:rsid w:val="00DD1B67"/>
    <w:rsid w:val="00DD2E32"/>
    <w:rsid w:val="00DD4FA5"/>
    <w:rsid w:val="00DD5504"/>
    <w:rsid w:val="00DD7545"/>
    <w:rsid w:val="00DE355B"/>
    <w:rsid w:val="00DF0262"/>
    <w:rsid w:val="00DF507E"/>
    <w:rsid w:val="00DF5F45"/>
    <w:rsid w:val="00DF6D96"/>
    <w:rsid w:val="00DF7BFC"/>
    <w:rsid w:val="00E00CBD"/>
    <w:rsid w:val="00E03BD1"/>
    <w:rsid w:val="00E11944"/>
    <w:rsid w:val="00E1332B"/>
    <w:rsid w:val="00E16E29"/>
    <w:rsid w:val="00E217E4"/>
    <w:rsid w:val="00E22243"/>
    <w:rsid w:val="00E24A08"/>
    <w:rsid w:val="00E308CA"/>
    <w:rsid w:val="00E30F60"/>
    <w:rsid w:val="00E33AAD"/>
    <w:rsid w:val="00E40EBF"/>
    <w:rsid w:val="00E43909"/>
    <w:rsid w:val="00E4458B"/>
    <w:rsid w:val="00E53C22"/>
    <w:rsid w:val="00E553A2"/>
    <w:rsid w:val="00E57280"/>
    <w:rsid w:val="00E57BB2"/>
    <w:rsid w:val="00E60B0C"/>
    <w:rsid w:val="00E63356"/>
    <w:rsid w:val="00E71935"/>
    <w:rsid w:val="00E72801"/>
    <w:rsid w:val="00E76FF7"/>
    <w:rsid w:val="00E80694"/>
    <w:rsid w:val="00E81E9A"/>
    <w:rsid w:val="00E832B0"/>
    <w:rsid w:val="00E87143"/>
    <w:rsid w:val="00EA0532"/>
    <w:rsid w:val="00EA268E"/>
    <w:rsid w:val="00EA3785"/>
    <w:rsid w:val="00EB05B9"/>
    <w:rsid w:val="00EB27E0"/>
    <w:rsid w:val="00EB29FD"/>
    <w:rsid w:val="00EC1D97"/>
    <w:rsid w:val="00EC6974"/>
    <w:rsid w:val="00EE0032"/>
    <w:rsid w:val="00EE14F2"/>
    <w:rsid w:val="00EE1C26"/>
    <w:rsid w:val="00EE3060"/>
    <w:rsid w:val="00EE5BE0"/>
    <w:rsid w:val="00EE5BEE"/>
    <w:rsid w:val="00EE712F"/>
    <w:rsid w:val="00EF144F"/>
    <w:rsid w:val="00EF273B"/>
    <w:rsid w:val="00EF2C26"/>
    <w:rsid w:val="00EF37C8"/>
    <w:rsid w:val="00EF610B"/>
    <w:rsid w:val="00F01FFD"/>
    <w:rsid w:val="00F065CD"/>
    <w:rsid w:val="00F1566B"/>
    <w:rsid w:val="00F32033"/>
    <w:rsid w:val="00F33118"/>
    <w:rsid w:val="00F3442E"/>
    <w:rsid w:val="00F359FB"/>
    <w:rsid w:val="00F3737C"/>
    <w:rsid w:val="00F4095E"/>
    <w:rsid w:val="00F424B0"/>
    <w:rsid w:val="00F43344"/>
    <w:rsid w:val="00F46142"/>
    <w:rsid w:val="00F512CF"/>
    <w:rsid w:val="00F568A1"/>
    <w:rsid w:val="00F6350E"/>
    <w:rsid w:val="00F64947"/>
    <w:rsid w:val="00F64AC7"/>
    <w:rsid w:val="00F65634"/>
    <w:rsid w:val="00F72C0D"/>
    <w:rsid w:val="00F72C4A"/>
    <w:rsid w:val="00F75EFA"/>
    <w:rsid w:val="00F80682"/>
    <w:rsid w:val="00F819E1"/>
    <w:rsid w:val="00F81BCF"/>
    <w:rsid w:val="00F81D83"/>
    <w:rsid w:val="00F86FDB"/>
    <w:rsid w:val="00F8789D"/>
    <w:rsid w:val="00F87F14"/>
    <w:rsid w:val="00F906B8"/>
    <w:rsid w:val="00F925A0"/>
    <w:rsid w:val="00F93DEA"/>
    <w:rsid w:val="00F961AC"/>
    <w:rsid w:val="00FA4B01"/>
    <w:rsid w:val="00FB441C"/>
    <w:rsid w:val="00FB7DF3"/>
    <w:rsid w:val="00FC0E23"/>
    <w:rsid w:val="00FC2CCF"/>
    <w:rsid w:val="00FC573D"/>
    <w:rsid w:val="00FE1233"/>
    <w:rsid w:val="00FE2B18"/>
    <w:rsid w:val="00FE7FB5"/>
    <w:rsid w:val="00FF3D62"/>
    <w:rsid w:val="00FF3F91"/>
    <w:rsid w:val="00FF6494"/>
    <w:rsid w:val="00FF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EF"/>
    <w:rPr>
      <w:rFonts w:eastAsiaTheme="majorEastAsia" w:cstheme="majorBidi"/>
      <w:color w:val="272727" w:themeColor="text1" w:themeTint="D8"/>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character" w:customStyle="1" w:styleId="QuoteChar">
    <w:name w:val="Quote Char"/>
    <w:basedOn w:val="DefaultParagraphFont"/>
    <w:link w:val="Quote"/>
    <w:uiPriority w:val="29"/>
    <w:rsid w:val="002464EF"/>
    <w:rPr>
      <w:i/>
      <w:iCs/>
      <w:color w:val="404040" w:themeColor="text1" w:themeTint="BF"/>
    </w:rPr>
  </w:style>
  <w:style w:type="paragraph" w:styleId="ListParagraph">
    <w:name w:val="List Paragraph"/>
    <w:basedOn w:val="Normal"/>
    <w:uiPriority w:val="34"/>
    <w:qFormat/>
    <w:rsid w:val="002464EF"/>
    <w:pPr>
      <w:ind w:left="720"/>
      <w:contextualSpacing/>
    </w:pPr>
  </w:style>
  <w:style w:type="character" w:styleId="IntenseEmphasis">
    <w:name w:val="Intense Emphasis"/>
    <w:basedOn w:val="DefaultParagraphFont"/>
    <w:uiPriority w:val="21"/>
    <w:qFormat/>
    <w:rsid w:val="002464EF"/>
    <w:rPr>
      <w:i/>
      <w:iCs/>
      <w:color w:val="0F4761" w:themeColor="accent1" w:themeShade="BF"/>
    </w:r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 w:type="character" w:styleId="Hyperlink">
    <w:name w:val="Hyperlink"/>
    <w:basedOn w:val="DefaultParagraphFont"/>
    <w:uiPriority w:val="99"/>
    <w:unhideWhenUsed/>
    <w:rsid w:val="008F7991"/>
    <w:rPr>
      <w:color w:val="467886" w:themeColor="hyperlink"/>
      <w:u w:val="single"/>
    </w:rPr>
  </w:style>
  <w:style w:type="table" w:styleId="TableGrid">
    <w:name w:val="Table Grid"/>
    <w:basedOn w:val="Table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evision">
    <w:name w:val="Revision"/>
    <w:hidden/>
    <w:uiPriority w:val="99"/>
    <w:semiHidden/>
    <w:rsid w:val="00A3392B"/>
    <w:pPr>
      <w:spacing w:after="0" w:line="240" w:lineRule="auto"/>
    </w:pPr>
    <w:rPr>
      <w:rFonts w:ascii="Cambria" w:eastAsia="Cambria" w:hAnsi="Cambria" w:cs="Cambria"/>
      <w:color w:val="000000"/>
      <w:sz w:val="20"/>
    </w:rPr>
  </w:style>
  <w:style w:type="character" w:styleId="CommentReference">
    <w:name w:val="annotation reference"/>
    <w:basedOn w:val="DefaultParagraphFont"/>
    <w:uiPriority w:val="99"/>
    <w:semiHidden/>
    <w:unhideWhenUsed/>
    <w:rsid w:val="00A3392B"/>
    <w:rPr>
      <w:sz w:val="16"/>
      <w:szCs w:val="16"/>
    </w:rPr>
  </w:style>
  <w:style w:type="paragraph" w:styleId="CommentText">
    <w:name w:val="annotation text"/>
    <w:basedOn w:val="Normal"/>
    <w:link w:val="CommentTextChar"/>
    <w:uiPriority w:val="99"/>
    <w:unhideWhenUsed/>
    <w:rsid w:val="00A3392B"/>
    <w:pPr>
      <w:spacing w:line="240" w:lineRule="auto"/>
    </w:pPr>
    <w:rPr>
      <w:szCs w:val="20"/>
    </w:rPr>
  </w:style>
  <w:style w:type="character" w:customStyle="1" w:styleId="CommentTextChar">
    <w:name w:val="Comment Text Char"/>
    <w:basedOn w:val="DefaultParagraphFont"/>
    <w:link w:val="CommentText"/>
    <w:uiPriority w:val="99"/>
    <w:rsid w:val="00A3392B"/>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A3392B"/>
    <w:rPr>
      <w:b/>
      <w:bCs/>
    </w:rPr>
  </w:style>
  <w:style w:type="character" w:customStyle="1" w:styleId="CommentSubjectChar">
    <w:name w:val="Comment Subject Char"/>
    <w:basedOn w:val="CommentTextChar"/>
    <w:link w:val="CommentSubject"/>
    <w:uiPriority w:val="99"/>
    <w:semiHidden/>
    <w:rsid w:val="00A3392B"/>
    <w:rPr>
      <w:rFonts w:ascii="Cambria" w:eastAsia="Cambria" w:hAnsi="Cambria" w:cs="Cambria"/>
      <w:b/>
      <w:bCs/>
      <w:color w:val="000000"/>
      <w:sz w:val="20"/>
      <w:szCs w:val="20"/>
    </w:rPr>
  </w:style>
  <w:style w:type="paragraph" w:styleId="FootnoteText">
    <w:name w:val="footnote text"/>
    <w:basedOn w:val="Normal"/>
    <w:link w:val="FootnoteTextChar"/>
    <w:uiPriority w:val="99"/>
    <w:semiHidden/>
    <w:unhideWhenUsed/>
    <w:rsid w:val="001A32C5"/>
    <w:pPr>
      <w:spacing w:line="240" w:lineRule="auto"/>
      <w:ind w:left="0" w:firstLine="0"/>
    </w:pPr>
    <w:rPr>
      <w:color w:val="auto"/>
      <w:kern w:val="0"/>
      <w:szCs w:val="20"/>
      <w:lang w:val="en-US"/>
      <w14:ligatures w14:val="none"/>
    </w:rPr>
  </w:style>
  <w:style w:type="character" w:customStyle="1" w:styleId="FootnoteTextChar">
    <w:name w:val="Footnote Text Char"/>
    <w:basedOn w:val="DefaultParagraphFont"/>
    <w:link w:val="FootnoteText"/>
    <w:uiPriority w:val="99"/>
    <w:semiHidden/>
    <w:rsid w:val="001A32C5"/>
    <w:rPr>
      <w:rFonts w:ascii="Cambria" w:eastAsia="Cambria" w:hAnsi="Cambria" w:cs="Cambria"/>
      <w:kern w:val="0"/>
      <w:sz w:val="20"/>
      <w:szCs w:val="20"/>
      <w:lang w:val="en-US"/>
      <w14:ligatures w14:val="none"/>
    </w:rPr>
  </w:style>
  <w:style w:type="character" w:styleId="FootnoteReference">
    <w:name w:val="footnote reference"/>
    <w:basedOn w:val="DefaultParagraphFont"/>
    <w:uiPriority w:val="99"/>
    <w:semiHidden/>
    <w:unhideWhenUsed/>
    <w:rsid w:val="001A32C5"/>
    <w:rPr>
      <w:vertAlign w:val="superscript"/>
    </w:rPr>
  </w:style>
  <w:style w:type="character" w:styleId="UnresolvedMention">
    <w:name w:val="Unresolved Mention"/>
    <w:basedOn w:val="DefaultParagraphFont"/>
    <w:uiPriority w:val="99"/>
    <w:semiHidden/>
    <w:unhideWhenUsed/>
    <w:rsid w:val="008B330A"/>
    <w:rPr>
      <w:color w:val="605E5C"/>
      <w:shd w:val="clear" w:color="auto" w:fill="E1DFDD"/>
    </w:rPr>
  </w:style>
  <w:style w:type="paragraph" w:styleId="Header">
    <w:name w:val="header"/>
    <w:basedOn w:val="Normal"/>
    <w:link w:val="HeaderChar"/>
    <w:uiPriority w:val="99"/>
    <w:unhideWhenUsed/>
    <w:rsid w:val="00D26BDA"/>
    <w:pPr>
      <w:tabs>
        <w:tab w:val="center" w:pos="4680"/>
        <w:tab w:val="right" w:pos="9360"/>
      </w:tabs>
      <w:spacing w:line="240" w:lineRule="auto"/>
    </w:pPr>
  </w:style>
  <w:style w:type="character" w:customStyle="1" w:styleId="HeaderChar">
    <w:name w:val="Header Char"/>
    <w:basedOn w:val="DefaultParagraphFont"/>
    <w:link w:val="Header"/>
    <w:uiPriority w:val="99"/>
    <w:rsid w:val="00D26BDA"/>
    <w:rPr>
      <w:rFonts w:ascii="Cambria" w:eastAsia="Cambria" w:hAnsi="Cambria" w:cs="Cambria"/>
      <w:color w:val="000000"/>
      <w:sz w:val="20"/>
    </w:rPr>
  </w:style>
  <w:style w:type="paragraph" w:styleId="Footer">
    <w:name w:val="footer"/>
    <w:basedOn w:val="Normal"/>
    <w:link w:val="FooterChar"/>
    <w:uiPriority w:val="99"/>
    <w:unhideWhenUsed/>
    <w:rsid w:val="00D26BDA"/>
    <w:pPr>
      <w:tabs>
        <w:tab w:val="center" w:pos="4680"/>
        <w:tab w:val="right" w:pos="9360"/>
      </w:tabs>
      <w:spacing w:line="240" w:lineRule="auto"/>
    </w:pPr>
  </w:style>
  <w:style w:type="character" w:customStyle="1" w:styleId="FooterChar">
    <w:name w:val="Footer Char"/>
    <w:basedOn w:val="DefaultParagraphFont"/>
    <w:link w:val="Footer"/>
    <w:uiPriority w:val="99"/>
    <w:qFormat/>
    <w:rsid w:val="00D26BDA"/>
    <w:rPr>
      <w:rFonts w:ascii="Cambria" w:eastAsia="Cambria" w:hAnsi="Cambria" w:cs="Cambri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iccat.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6308</Words>
  <Characters>35957</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Marisa de Andrés</cp:lastModifiedBy>
  <cp:revision>4</cp:revision>
  <cp:lastPrinted>2025-06-09T06:26:00Z</cp:lastPrinted>
  <dcterms:created xsi:type="dcterms:W3CDTF">2026-10-15T13:54:00Z</dcterms:created>
  <dcterms:modified xsi:type="dcterms:W3CDTF">2026-10-15T13:56:00Z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a57db2-20f3-43df-8fc8-c65692b47ff4_Enabled">
    <vt:lpwstr>true</vt:lpwstr>
  </property>
  <property fmtid="{D5CDD505-2E9C-101B-9397-08002B2CF9AE}" pid="3" name="MSIP_Label_e5a57db2-20f3-43df-8fc8-c65692b47ff4_SetDate">
    <vt:lpwstr>2026-10-07T09:00:28Z</vt:lpwstr>
  </property>
  <property fmtid="{D5CDD505-2E9C-101B-9397-08002B2CF9AE}" pid="4" name="MSIP_Label_e5a57db2-20f3-43df-8fc8-c65692b47ff4_Method">
    <vt:lpwstr>Standard</vt:lpwstr>
  </property>
  <property fmtid="{D5CDD505-2E9C-101B-9397-08002B2CF9AE}" pid="5" name="MSIP_Label_e5a57db2-20f3-43df-8fc8-c65692b47ff4_Name">
    <vt:lpwstr>EFCA Use</vt:lpwstr>
  </property>
  <property fmtid="{D5CDD505-2E9C-101B-9397-08002B2CF9AE}" pid="6" name="MSIP_Label_e5a57db2-20f3-43df-8fc8-c65692b47ff4_SiteId">
    <vt:lpwstr>460dba80-235d-4f26-a9be-d59d485fa662</vt:lpwstr>
  </property>
  <property fmtid="{D5CDD505-2E9C-101B-9397-08002B2CF9AE}" pid="7" name="MSIP_Label_e5a57db2-20f3-43df-8fc8-c65692b47ff4_ActionId">
    <vt:lpwstr>44d69fb7-e40e-4580-864e-f555970aa4ea</vt:lpwstr>
  </property>
  <property fmtid="{D5CDD505-2E9C-101B-9397-08002B2CF9AE}" pid="8" name="MSIP_Label_e5a57db2-20f3-43df-8fc8-c65692b47ff4_ContentBits">
    <vt:lpwstr>0</vt:lpwstr>
  </property>
  <property fmtid="{D5CDD505-2E9C-101B-9397-08002B2CF9AE}" pid="9" name="MSIP_Label_e5a57db2-20f3-43df-8fc8-c65692b47ff4_Tag">
    <vt:lpwstr>10, 3, 0, 1</vt:lpwstr>
  </property>
</Properties>
</file>