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A7474ED" w:rsidR="000B0920" w:rsidRPr="00554AB0" w:rsidRDefault="00857C38" w:rsidP="00857C38">
      <w:pPr>
        <w:jc w:val="right"/>
        <w:rPr>
          <w:rFonts w:ascii="Cambria" w:hAnsi="Cambria"/>
          <w:sz w:val="20"/>
          <w:szCs w:val="20"/>
          <w:lang w:val="fr-FR"/>
        </w:rPr>
      </w:pPr>
      <w:r w:rsidRPr="00554AB0">
        <w:rPr>
          <w:rFonts w:ascii="Cambria" w:hAnsi="Cambria"/>
          <w:b/>
          <w:bCs/>
          <w:sz w:val="20"/>
          <w:szCs w:val="20"/>
          <w:lang w:val="fr-FR"/>
        </w:rPr>
        <w:t>Original</w:t>
      </w:r>
      <w:r w:rsidR="00506FB9">
        <w:rPr>
          <w:rFonts w:ascii="Cambria" w:hAnsi="Cambria"/>
          <w:b/>
          <w:bCs/>
          <w:sz w:val="20"/>
          <w:szCs w:val="20"/>
          <w:lang w:val="fr-FR"/>
        </w:rPr>
        <w:t xml:space="preserve"> </w:t>
      </w:r>
      <w:r w:rsidRPr="00554AB0">
        <w:rPr>
          <w:rFonts w:ascii="Cambria" w:hAnsi="Cambria"/>
          <w:sz w:val="20"/>
          <w:szCs w:val="20"/>
          <w:lang w:val="fr-FR"/>
        </w:rPr>
        <w:t xml:space="preserve">: </w:t>
      </w:r>
      <w:r w:rsidR="009353F0" w:rsidRPr="00554AB0">
        <w:rPr>
          <w:rFonts w:ascii="Cambria" w:hAnsi="Cambria"/>
          <w:sz w:val="20"/>
          <w:szCs w:val="20"/>
          <w:lang w:val="fr-FR"/>
        </w:rPr>
        <w:t>anglais</w:t>
      </w:r>
    </w:p>
    <w:p w14:paraId="546FFD34" w14:textId="77777777" w:rsidR="00857C38" w:rsidRPr="00554AB0" w:rsidRDefault="00857C38" w:rsidP="00857C38">
      <w:pPr>
        <w:jc w:val="right"/>
        <w:rPr>
          <w:rFonts w:ascii="Cambria" w:hAnsi="Cambria"/>
          <w:sz w:val="20"/>
          <w:szCs w:val="20"/>
          <w:lang w:val="fr-FR"/>
        </w:rPr>
      </w:pPr>
    </w:p>
    <w:p w14:paraId="3CB6C27F" w14:textId="67A15BB4" w:rsidR="00554AB0" w:rsidRDefault="00554AB0" w:rsidP="00554AB0">
      <w:pPr>
        <w:jc w:val="center"/>
        <w:rPr>
          <w:rFonts w:ascii="Cambria" w:hAnsi="Cambria"/>
          <w:b/>
          <w:bCs/>
          <w:sz w:val="20"/>
          <w:szCs w:val="20"/>
          <w:lang w:val="fr-FR"/>
        </w:rPr>
      </w:pPr>
      <w:r w:rsidRPr="009353F0">
        <w:rPr>
          <w:rFonts w:ascii="Cambria" w:hAnsi="Cambria"/>
          <w:b/>
          <w:bCs/>
          <w:sz w:val="20"/>
          <w:szCs w:val="20"/>
          <w:lang w:val="fr-FR"/>
        </w:rPr>
        <w:t xml:space="preserve">Recommandations du SCRS concernant la </w:t>
      </w:r>
      <w:r w:rsidR="002571DF">
        <w:rPr>
          <w:rFonts w:ascii="Cambria" w:hAnsi="Cambria"/>
          <w:b/>
          <w:bCs/>
          <w:sz w:val="20"/>
          <w:szCs w:val="20"/>
          <w:lang w:val="fr-FR"/>
        </w:rPr>
        <w:t>plénière</w:t>
      </w:r>
    </w:p>
    <w:p w14:paraId="16DB48D3" w14:textId="77777777" w:rsidR="009353F0" w:rsidRPr="00554AB0" w:rsidRDefault="009353F0" w:rsidP="00857C38">
      <w:pPr>
        <w:jc w:val="center"/>
        <w:rPr>
          <w:rFonts w:ascii="Cambria" w:hAnsi="Cambria"/>
          <w:b/>
          <w:bCs/>
          <w:sz w:val="20"/>
          <w:szCs w:val="20"/>
          <w:lang w:val="fr-FR"/>
        </w:rPr>
      </w:pPr>
    </w:p>
    <w:p w14:paraId="6ADB0791" w14:textId="17015FF2" w:rsidR="009353F0" w:rsidRPr="009353F0" w:rsidRDefault="009353F0" w:rsidP="009353F0">
      <w:pPr>
        <w:jc w:val="both"/>
        <w:rPr>
          <w:rFonts w:ascii="Cambria" w:eastAsia="Aptos" w:hAnsi="Cambria" w:cs="Aptos"/>
          <w:sz w:val="20"/>
          <w:szCs w:val="20"/>
          <w:lang w:val="fr-FR"/>
          <w14:ligatures w14:val="standardContextual"/>
        </w:rPr>
      </w:pPr>
      <w:r w:rsidRPr="009353F0">
        <w:rPr>
          <w:rFonts w:ascii="Cambria" w:eastAsia="Aptos" w:hAnsi="Cambria" w:cs="Aptos"/>
          <w:sz w:val="20"/>
          <w:szCs w:val="20"/>
          <w:lang w:val="fr-FR"/>
          <w14:ligatures w14:val="standardContextual"/>
        </w:rPr>
        <w:t>Les r</w:t>
      </w:r>
      <w:r w:rsidR="002571DF">
        <w:rPr>
          <w:rFonts w:ascii="Cambria" w:eastAsia="Aptos" w:hAnsi="Cambria" w:cs="Aptos"/>
          <w:sz w:val="20"/>
          <w:szCs w:val="20"/>
          <w:lang w:val="fr-FR"/>
          <w14:ligatures w14:val="standardContextual"/>
        </w:rPr>
        <w:t xml:space="preserve">ecommandations </w:t>
      </w:r>
      <w:r w:rsidRPr="009353F0">
        <w:rPr>
          <w:rFonts w:ascii="Cambria" w:eastAsia="Aptos" w:hAnsi="Cambria" w:cs="Aptos"/>
          <w:sz w:val="20"/>
          <w:szCs w:val="20"/>
          <w:lang w:val="fr-FR"/>
          <w14:ligatures w14:val="standardContextual"/>
        </w:rPr>
        <w:t xml:space="preserve">de 2026 du SCRS concernant la </w:t>
      </w:r>
      <w:r w:rsidR="002571DF" w:rsidRPr="002571DF">
        <w:rPr>
          <w:rFonts w:ascii="Cambria" w:hAnsi="Cambria"/>
          <w:sz w:val="20"/>
          <w:szCs w:val="20"/>
          <w:lang w:val="fr-FR"/>
        </w:rPr>
        <w:t>plénière</w:t>
      </w:r>
      <w:r w:rsidRPr="009353F0">
        <w:rPr>
          <w:rFonts w:ascii="Cambria" w:eastAsia="Aptos" w:hAnsi="Cambria" w:cs="Aptos"/>
          <w:sz w:val="20"/>
          <w:szCs w:val="20"/>
          <w:lang w:val="fr-FR"/>
          <w14:ligatures w14:val="standardContextual"/>
        </w:rPr>
        <w:t xml:space="preserve"> ont été compilées par le Secrétariat directement à partir du rapport de la réunion plénière du SCRS de 2026 (document PLE-104). Les recommandations ayant des implications financières ne figurent pas dans le présent document, car elles sont incluses dans l’appendice 2 du budget de l’ICCAT (document STF-203).</w:t>
      </w:r>
    </w:p>
    <w:p w14:paraId="206D36BB" w14:textId="77777777" w:rsidR="009353F0" w:rsidRDefault="009353F0" w:rsidP="009353F0">
      <w:pPr>
        <w:rPr>
          <w:rFonts w:ascii="Cambria" w:hAnsi="Cambria"/>
          <w:b/>
          <w:bCs/>
          <w:sz w:val="20"/>
          <w:szCs w:val="20"/>
          <w:lang w:val="fr-FR"/>
        </w:rPr>
      </w:pPr>
    </w:p>
    <w:p w14:paraId="40AA9106" w14:textId="77777777" w:rsidR="002571DF" w:rsidRPr="002571DF" w:rsidRDefault="002571DF" w:rsidP="002571DF">
      <w:pPr>
        <w:pStyle w:val="ListParagraph"/>
        <w:numPr>
          <w:ilvl w:val="0"/>
          <w:numId w:val="9"/>
        </w:numPr>
        <w:contextualSpacing/>
        <w:jc w:val="both"/>
        <w:rPr>
          <w:rFonts w:ascii="Cambria" w:hAnsi="Cambria"/>
          <w:sz w:val="20"/>
          <w:szCs w:val="20"/>
          <w:lang w:val="fr-FR"/>
        </w:rPr>
      </w:pPr>
      <w:r w:rsidRPr="002571DF">
        <w:rPr>
          <w:rFonts w:ascii="Cambria" w:hAnsi="Cambria"/>
          <w:sz w:val="20"/>
          <w:lang w:val="fr-FR"/>
        </w:rPr>
        <w:t>Afin d’apporter des éclaircissements aux CPC et de les aider à transmettre en temps utile les jeux de données complets requis par l’ICCAT à des fins scientifiques, dans le but de renforcer la capacité de tous les groupes scientifiques de l’ICCAT à fournir à la Commission des informations scientifiques actualisées et fiables, le Comité a recommandé que le Secrétariat : </w:t>
      </w:r>
    </w:p>
    <w:p w14:paraId="6A8A5E8E" w14:textId="77777777" w:rsidR="002571DF" w:rsidRPr="002571DF" w:rsidRDefault="002571DF" w:rsidP="002571DF">
      <w:pPr>
        <w:jc w:val="both"/>
        <w:rPr>
          <w:rFonts w:ascii="Cambria" w:hAnsi="Cambria"/>
          <w:sz w:val="20"/>
          <w:szCs w:val="20"/>
          <w:lang w:val="fr-FR"/>
        </w:rPr>
      </w:pPr>
    </w:p>
    <w:p w14:paraId="595A6372" w14:textId="77777777" w:rsidR="002571DF" w:rsidRPr="002571DF" w:rsidRDefault="002571DF" w:rsidP="002571DF">
      <w:pPr>
        <w:numPr>
          <w:ilvl w:val="0"/>
          <w:numId w:val="4"/>
        </w:numPr>
        <w:tabs>
          <w:tab w:val="clear" w:pos="720"/>
        </w:tabs>
        <w:ind w:left="1134"/>
        <w:jc w:val="both"/>
        <w:rPr>
          <w:rFonts w:ascii="Cambria" w:hAnsi="Cambria"/>
          <w:sz w:val="20"/>
          <w:szCs w:val="20"/>
          <w:lang w:val="fr-FR"/>
        </w:rPr>
      </w:pPr>
      <w:r w:rsidRPr="002571DF">
        <w:rPr>
          <w:rFonts w:ascii="Cambria" w:hAnsi="Cambria"/>
          <w:sz w:val="20"/>
          <w:lang w:val="fr-FR"/>
        </w:rPr>
        <w:t>Fournisse un document qui rassemble et précise la liste des données scientifiques devant être fournies chaque année à la Commission, par espèce, par pêcherie, par engin, etc., y compris tout taux de couverture pertinent et des informations sur le caractère obligatoire ou facultatif de chaque exigence en matière de données ; </w:t>
      </w:r>
    </w:p>
    <w:p w14:paraId="7BA601E6" w14:textId="77777777" w:rsidR="002571DF" w:rsidRPr="002571DF" w:rsidRDefault="002571DF" w:rsidP="002571DF">
      <w:pPr>
        <w:numPr>
          <w:ilvl w:val="0"/>
          <w:numId w:val="5"/>
        </w:numPr>
        <w:tabs>
          <w:tab w:val="clear" w:pos="720"/>
        </w:tabs>
        <w:ind w:left="1134"/>
        <w:jc w:val="both"/>
        <w:rPr>
          <w:rFonts w:ascii="Cambria" w:hAnsi="Cambria"/>
          <w:sz w:val="20"/>
          <w:szCs w:val="20"/>
          <w:lang w:val="fr-FR"/>
        </w:rPr>
      </w:pPr>
      <w:r w:rsidRPr="002571DF">
        <w:rPr>
          <w:rFonts w:ascii="Cambria" w:hAnsi="Cambria"/>
          <w:sz w:val="20"/>
          <w:lang w:val="fr-FR"/>
        </w:rPr>
        <w:t>Étudie les différentes possibilités permettant d'évaluer et de présenter le niveau d'exhaustivité et de qualité des données scientifiques transmises par les CPC ; </w:t>
      </w:r>
    </w:p>
    <w:p w14:paraId="2AA3CD91" w14:textId="77777777" w:rsidR="002571DF" w:rsidRPr="002571DF" w:rsidRDefault="002571DF" w:rsidP="002571DF">
      <w:pPr>
        <w:numPr>
          <w:ilvl w:val="0"/>
          <w:numId w:val="6"/>
        </w:numPr>
        <w:tabs>
          <w:tab w:val="clear" w:pos="720"/>
        </w:tabs>
        <w:ind w:left="1134"/>
        <w:jc w:val="both"/>
        <w:rPr>
          <w:rFonts w:ascii="Cambria" w:hAnsi="Cambria"/>
          <w:sz w:val="20"/>
          <w:szCs w:val="20"/>
          <w:lang w:val="fr-FR"/>
        </w:rPr>
      </w:pPr>
      <w:r w:rsidRPr="002571DF">
        <w:rPr>
          <w:rFonts w:ascii="Cambria" w:hAnsi="Cambria"/>
          <w:sz w:val="20"/>
          <w:lang w:val="fr-FR"/>
        </w:rPr>
        <w:t>Fournisse chaque année au Comité des informations relatives à l'exhaustivité des données scientifiques transmises par chaque CPC ; </w:t>
      </w:r>
    </w:p>
    <w:p w14:paraId="6911F4A3" w14:textId="77777777" w:rsidR="002571DF" w:rsidRPr="002571DF" w:rsidRDefault="002571DF" w:rsidP="002571DF">
      <w:pPr>
        <w:numPr>
          <w:ilvl w:val="0"/>
          <w:numId w:val="7"/>
        </w:numPr>
        <w:tabs>
          <w:tab w:val="clear" w:pos="720"/>
        </w:tabs>
        <w:ind w:left="1134"/>
        <w:jc w:val="both"/>
        <w:rPr>
          <w:rFonts w:ascii="Cambria" w:hAnsi="Cambria"/>
          <w:sz w:val="20"/>
          <w:szCs w:val="20"/>
          <w:lang w:val="fr-FR"/>
        </w:rPr>
      </w:pPr>
      <w:r w:rsidRPr="002571DF">
        <w:rPr>
          <w:rFonts w:ascii="Cambria" w:hAnsi="Cambria"/>
          <w:sz w:val="20"/>
          <w:lang w:val="fr-FR"/>
        </w:rPr>
        <w:t xml:space="preserve">Identifie, avant chaque réunion de préparation en vue de l’évaluation des stocks, les lacunes de données encore existantes susceptibles d'affecter la capacité du Groupe d'espèces concerné à mener à bien l'évaluation, et en informe le ou les CPC concernées ; </w:t>
      </w:r>
    </w:p>
    <w:p w14:paraId="70E2FD8F" w14:textId="77777777" w:rsidR="002571DF" w:rsidRPr="002571DF" w:rsidRDefault="002571DF" w:rsidP="002571DF">
      <w:pPr>
        <w:numPr>
          <w:ilvl w:val="0"/>
          <w:numId w:val="8"/>
        </w:numPr>
        <w:tabs>
          <w:tab w:val="clear" w:pos="720"/>
        </w:tabs>
        <w:ind w:left="1134"/>
        <w:jc w:val="both"/>
        <w:rPr>
          <w:rFonts w:ascii="Cambria" w:hAnsi="Cambria"/>
          <w:sz w:val="20"/>
          <w:szCs w:val="20"/>
          <w:lang w:val="fr-FR"/>
        </w:rPr>
      </w:pPr>
      <w:r w:rsidRPr="002571DF">
        <w:rPr>
          <w:rFonts w:ascii="Cambria" w:hAnsi="Cambria"/>
          <w:sz w:val="20"/>
          <w:lang w:val="fr-FR"/>
        </w:rPr>
        <w:t>Fournisse à chaque Groupe d'espèces (en septembre) un aperçu annuel des pêcheries concernées, y compris les tendances des principaux indicateurs des pêcheries, tels que la capture, l'effort, la capacité et toute autre information pertinente figurant dans les données scientifiques transmises par les CPC pour l'année de déclaration concernée. </w:t>
      </w:r>
    </w:p>
    <w:p w14:paraId="4F2649D0" w14:textId="77777777" w:rsidR="002571DF" w:rsidRPr="002571DF" w:rsidRDefault="002571DF" w:rsidP="002571DF">
      <w:pPr>
        <w:jc w:val="both"/>
        <w:rPr>
          <w:rFonts w:ascii="Cambria" w:hAnsi="Cambria"/>
          <w:sz w:val="20"/>
          <w:szCs w:val="20"/>
          <w:lang w:val="fr-FR"/>
        </w:rPr>
      </w:pPr>
    </w:p>
    <w:p w14:paraId="0AEA9BF0" w14:textId="77777777" w:rsidR="002571DF" w:rsidRPr="002571DF" w:rsidRDefault="002571DF" w:rsidP="002571DF">
      <w:pPr>
        <w:pStyle w:val="ListParagraph"/>
        <w:numPr>
          <w:ilvl w:val="0"/>
          <w:numId w:val="9"/>
        </w:numPr>
        <w:contextualSpacing/>
        <w:jc w:val="both"/>
        <w:rPr>
          <w:rFonts w:ascii="Cambria" w:hAnsi="Cambria"/>
          <w:sz w:val="20"/>
          <w:szCs w:val="20"/>
          <w:lang w:val="fr-FR"/>
        </w:rPr>
      </w:pPr>
      <w:r w:rsidRPr="002571DF">
        <w:rPr>
          <w:rFonts w:ascii="Cambria" w:hAnsi="Cambria"/>
          <w:sz w:val="20"/>
          <w:lang w:val="fr-FR"/>
        </w:rPr>
        <w:t>Compte tenu de la volonté de la Commission de rationaliser les exigences en matière de déclaration et d’éviter les doublons inutiles dans la déclaration des données, le Comité recommande à la Commission de prendre acte du fait que les informations figurant dans la première partie des rapports annuels des CPC sont déjà fournies aux organes subsidiaires du Comité de manière plus détaillée, plus précise et plus utile par le biais d’autres sources. Par conséquent, le Comité estime que la première partie des rapports annuels des CPC n'apporte aucune valeur ajoutée à ses travaux scientifiques. </w:t>
      </w:r>
    </w:p>
    <w:p w14:paraId="656D04D3" w14:textId="77777777" w:rsidR="002571DF" w:rsidRPr="002571DF" w:rsidRDefault="002571DF" w:rsidP="002571DF">
      <w:pPr>
        <w:rPr>
          <w:rFonts w:ascii="Cambria" w:hAnsi="Cambria"/>
          <w:sz w:val="20"/>
          <w:szCs w:val="20"/>
          <w:lang w:val="fr-FR"/>
        </w:rPr>
      </w:pPr>
    </w:p>
    <w:p w14:paraId="1EE39A23" w14:textId="77777777" w:rsidR="002571DF" w:rsidRPr="002571DF" w:rsidRDefault="002571DF" w:rsidP="002571DF">
      <w:pPr>
        <w:jc w:val="both"/>
        <w:rPr>
          <w:rFonts w:ascii="Cambria" w:hAnsi="Cambria"/>
          <w:sz w:val="20"/>
          <w:szCs w:val="20"/>
          <w:lang w:val="fr-FR"/>
        </w:rPr>
      </w:pPr>
      <w:r w:rsidRPr="002571DF">
        <w:rPr>
          <w:rFonts w:ascii="Cambria" w:hAnsi="Cambria"/>
          <w:sz w:val="20"/>
          <w:lang w:val="fr-FR"/>
        </w:rPr>
        <w:t>Le Comité fournit les orientations suivantes, spécifiques au thon rouge, dans le cadre du processus de révision de la MP, à soumettre à l’examen de la Commission. Ces orientations pourraient être prises en compte pour d'autres MSE réalisées par l’ICCAT.</w:t>
      </w:r>
    </w:p>
    <w:p w14:paraId="1C9CE278" w14:textId="77777777" w:rsidR="002571DF" w:rsidRPr="002571DF" w:rsidRDefault="002571DF" w:rsidP="002571DF">
      <w:pPr>
        <w:ind w:left="426" w:hanging="426"/>
        <w:rPr>
          <w:rFonts w:ascii="Cambria" w:hAnsi="Cambria"/>
          <w:b/>
          <w:bCs/>
          <w:i/>
          <w:iCs/>
          <w:sz w:val="20"/>
          <w:szCs w:val="20"/>
          <w:lang w:val="fr-FR"/>
        </w:rPr>
      </w:pPr>
    </w:p>
    <w:p w14:paraId="49A8E072" w14:textId="77777777" w:rsidR="002571DF" w:rsidRPr="002571DF" w:rsidRDefault="002571DF" w:rsidP="002571DF">
      <w:pPr>
        <w:ind w:left="426" w:hanging="426"/>
        <w:rPr>
          <w:rFonts w:ascii="Cambria" w:hAnsi="Cambria"/>
          <w:sz w:val="20"/>
          <w:szCs w:val="20"/>
          <w:lang w:val="fr-FR"/>
        </w:rPr>
      </w:pPr>
      <w:r w:rsidRPr="002571DF">
        <w:rPr>
          <w:rFonts w:ascii="Cambria" w:hAnsi="Cambria"/>
          <w:b/>
          <w:i/>
          <w:sz w:val="20"/>
          <w:lang w:val="fr-FR"/>
        </w:rPr>
        <w:t xml:space="preserve">Processus d’examen de la procédure de gestion </w:t>
      </w:r>
    </w:p>
    <w:p w14:paraId="6EB760DC" w14:textId="77777777" w:rsidR="002571DF" w:rsidRPr="002571DF" w:rsidRDefault="002571DF" w:rsidP="002571DF">
      <w:pPr>
        <w:jc w:val="both"/>
        <w:rPr>
          <w:rFonts w:ascii="Cambria" w:hAnsi="Cambria"/>
          <w:sz w:val="20"/>
          <w:szCs w:val="20"/>
          <w:lang w:val="fr-FR"/>
        </w:rPr>
      </w:pPr>
    </w:p>
    <w:p w14:paraId="0C0BC3E6" w14:textId="77777777" w:rsidR="002571DF" w:rsidRPr="002571DF" w:rsidRDefault="002571DF" w:rsidP="002571DF">
      <w:pPr>
        <w:jc w:val="both"/>
        <w:rPr>
          <w:rFonts w:ascii="Cambria" w:hAnsi="Cambria"/>
          <w:sz w:val="20"/>
          <w:szCs w:val="20"/>
          <w:lang w:val="fr-FR"/>
        </w:rPr>
      </w:pPr>
      <w:r w:rsidRPr="002571DF">
        <w:rPr>
          <w:rFonts w:ascii="Cambria" w:hAnsi="Cambria"/>
          <w:sz w:val="20"/>
          <w:lang w:val="fr-FR"/>
        </w:rPr>
        <w:t>Les procédures de gestion (MP) sont élaborées afin de formuler des recommandations en matière de TAC qui répondent principalement aux objectifs de performance suivants : des captures élevées (production), un faible risque pour les ressources (état et sécurité) et une faible variabilité des captures (stabilité). Ces objectifs doivent être atteints sur une période assez longue, choisie en fonction du rythme d'évolution de la dynamique des stocks – généralement 20 ou 30 ans pour les stocks de thonidés.</w:t>
      </w:r>
    </w:p>
    <w:p w14:paraId="3A66F84A" w14:textId="77777777" w:rsidR="002571DF" w:rsidRPr="002571DF" w:rsidRDefault="002571DF" w:rsidP="002571DF">
      <w:pPr>
        <w:jc w:val="both"/>
        <w:rPr>
          <w:rFonts w:ascii="Cambria" w:hAnsi="Cambria"/>
          <w:sz w:val="20"/>
          <w:szCs w:val="20"/>
          <w:lang w:val="fr-FR"/>
        </w:rPr>
      </w:pPr>
    </w:p>
    <w:p w14:paraId="1B500F65" w14:textId="77777777" w:rsidR="002571DF" w:rsidRPr="002571DF" w:rsidRDefault="002571DF" w:rsidP="002571DF">
      <w:pPr>
        <w:jc w:val="both"/>
        <w:rPr>
          <w:rFonts w:ascii="Cambria" w:hAnsi="Cambria"/>
          <w:sz w:val="20"/>
          <w:szCs w:val="20"/>
          <w:lang w:val="fr-FR"/>
        </w:rPr>
      </w:pPr>
      <w:r w:rsidRPr="002571DF">
        <w:rPr>
          <w:rFonts w:ascii="Cambria" w:hAnsi="Cambria"/>
          <w:sz w:val="20"/>
          <w:lang w:val="fr-FR"/>
        </w:rPr>
        <w:t>Pour y parvenir, les MP sont testées à l'aide de simulations informatiques en les appliquant à un ensemble de modèles opérationnels (OM) relatifs aux pêcheries et aux stocks de thonidés, élaborés sur la base des meilleures données scientifiques disponibles à ce moment-là. Ces modèles couvrent l'ensemble des incertitudes relatives à la dynamique des pêcheries et des stocks. Par conséquent, même si les perceptions concernant le comportement le plus probable du stock s'avéraient erronées, les résultats en termes de captures et de risques découlant de l’application de la MP devraient tout de même être acceptables (c'est-à-dire que la MP doit être « robuste » face aux incertitudes).</w:t>
      </w:r>
    </w:p>
    <w:p w14:paraId="696B475E" w14:textId="77777777" w:rsidR="002571DF" w:rsidRPr="002571DF" w:rsidRDefault="002571DF" w:rsidP="002571DF">
      <w:pPr>
        <w:jc w:val="both"/>
        <w:rPr>
          <w:rFonts w:ascii="Cambria" w:hAnsi="Cambria"/>
          <w:sz w:val="20"/>
          <w:szCs w:val="20"/>
          <w:lang w:val="fr-FR"/>
        </w:rPr>
      </w:pPr>
    </w:p>
    <w:p w14:paraId="539DCB65" w14:textId="77777777" w:rsidR="002571DF" w:rsidRPr="007B779F" w:rsidRDefault="002571DF" w:rsidP="002571DF">
      <w:pPr>
        <w:jc w:val="both"/>
        <w:rPr>
          <w:rFonts w:ascii="Cambria" w:hAnsi="Cambria"/>
          <w:sz w:val="20"/>
          <w:szCs w:val="20"/>
        </w:rPr>
      </w:pPr>
      <w:r w:rsidRPr="002571DF">
        <w:rPr>
          <w:rFonts w:ascii="Cambria" w:hAnsi="Cambria"/>
          <w:sz w:val="20"/>
          <w:lang w:val="fr-FR"/>
        </w:rPr>
        <w:lastRenderedPageBreak/>
        <w:t xml:space="preserve">Il est toutefois d'usage de « réexaminer » une MP à intervalles annuels réguliers (la Sous-commission 2 a retenu une période de six ans pour le thon rouge de l'Atlantique). </w:t>
      </w:r>
      <w:r w:rsidRPr="007B779F">
        <w:rPr>
          <w:rFonts w:ascii="Cambria" w:hAnsi="Cambria"/>
          <w:sz w:val="20"/>
        </w:rPr>
        <w:t>Cette révision a pour objectif de permettre :</w:t>
      </w:r>
    </w:p>
    <w:p w14:paraId="6790D142" w14:textId="77777777" w:rsidR="002571DF" w:rsidRPr="007B779F" w:rsidRDefault="002571DF" w:rsidP="002571DF">
      <w:pPr>
        <w:jc w:val="both"/>
        <w:rPr>
          <w:rFonts w:ascii="Cambria" w:hAnsi="Cambria"/>
          <w:sz w:val="20"/>
          <w:szCs w:val="20"/>
          <w:lang w:val="en-US"/>
        </w:rPr>
      </w:pPr>
    </w:p>
    <w:p w14:paraId="39B8BC93" w14:textId="77777777" w:rsidR="002571DF" w:rsidRPr="002571DF" w:rsidRDefault="002571DF" w:rsidP="002571DF">
      <w:pPr>
        <w:pStyle w:val="ListParagraph"/>
        <w:widowControl w:val="0"/>
        <w:numPr>
          <w:ilvl w:val="0"/>
          <w:numId w:val="10"/>
        </w:numPr>
        <w:ind w:left="851" w:hanging="425"/>
        <w:jc w:val="both"/>
        <w:rPr>
          <w:rFonts w:ascii="Cambria" w:hAnsi="Cambria"/>
          <w:sz w:val="20"/>
          <w:szCs w:val="20"/>
          <w:lang w:val="fr-FR"/>
        </w:rPr>
      </w:pPr>
      <w:r w:rsidRPr="002571DF">
        <w:rPr>
          <w:rFonts w:ascii="Cambria" w:hAnsi="Cambria"/>
          <w:sz w:val="20"/>
          <w:lang w:val="fr-FR"/>
        </w:rPr>
        <w:t>Des estimations actualisées du comportement des pêcheries et des stocks, ainsi que des indicateurs de performance associés, compte tenu de la disponibilité de nouvelles données de suivi depuis le dernier examen (par exemple, issues de prospections récentes, d'indices de pêche actualisés, de la composition des captures, des ponctions halieutiques, etc.).</w:t>
      </w:r>
    </w:p>
    <w:p w14:paraId="7F2726F2" w14:textId="77777777" w:rsidR="002571DF" w:rsidRPr="002571DF" w:rsidRDefault="002571DF" w:rsidP="002571DF">
      <w:pPr>
        <w:pStyle w:val="ListParagraph"/>
        <w:widowControl w:val="0"/>
        <w:numPr>
          <w:ilvl w:val="0"/>
          <w:numId w:val="10"/>
        </w:numPr>
        <w:ind w:left="851" w:hanging="425"/>
        <w:jc w:val="both"/>
        <w:rPr>
          <w:rFonts w:ascii="Cambria" w:hAnsi="Cambria"/>
          <w:sz w:val="20"/>
          <w:szCs w:val="20"/>
          <w:lang w:val="fr-FR"/>
        </w:rPr>
      </w:pPr>
      <w:r w:rsidRPr="002571DF">
        <w:rPr>
          <w:rFonts w:ascii="Cambria" w:hAnsi="Cambria"/>
          <w:sz w:val="20"/>
          <w:lang w:val="fr-FR"/>
        </w:rPr>
        <w:t>De nouvelles découvertes scientifiques, susceptibles de modifier la perception des principales incertitudes concernant le comportement des pêcheries et des stocks, ainsi que leur ampleur.</w:t>
      </w:r>
    </w:p>
    <w:p w14:paraId="1C0E0010" w14:textId="77777777" w:rsidR="002571DF" w:rsidRPr="002571DF" w:rsidRDefault="002571DF" w:rsidP="002571DF">
      <w:pPr>
        <w:pStyle w:val="ListParagraph"/>
        <w:widowControl w:val="0"/>
        <w:numPr>
          <w:ilvl w:val="0"/>
          <w:numId w:val="10"/>
        </w:numPr>
        <w:ind w:left="851" w:hanging="425"/>
        <w:jc w:val="both"/>
        <w:rPr>
          <w:rFonts w:ascii="Cambria" w:hAnsi="Cambria"/>
          <w:sz w:val="20"/>
          <w:szCs w:val="20"/>
          <w:lang w:val="fr-FR"/>
        </w:rPr>
      </w:pPr>
      <w:r w:rsidRPr="002571DF">
        <w:rPr>
          <w:rFonts w:ascii="Cambria" w:hAnsi="Cambria"/>
          <w:sz w:val="20"/>
          <w:lang w:val="fr-FR"/>
        </w:rPr>
        <w:t>Ajustements apportés à la MP qui améliorent les performances, par exemple en permettant d'obtenir des captures attendues plus importantes tout en respectant le même seuil de risque.</w:t>
      </w:r>
    </w:p>
    <w:p w14:paraId="602519E3" w14:textId="77777777" w:rsidR="002571DF" w:rsidRPr="002571DF" w:rsidRDefault="002571DF" w:rsidP="002571DF">
      <w:pPr>
        <w:ind w:left="720"/>
        <w:jc w:val="both"/>
        <w:rPr>
          <w:rFonts w:ascii="Cambria" w:hAnsi="Cambria"/>
          <w:sz w:val="20"/>
          <w:szCs w:val="20"/>
          <w:lang w:val="fr-FR"/>
        </w:rPr>
      </w:pPr>
    </w:p>
    <w:p w14:paraId="0A5EFC86" w14:textId="77777777" w:rsidR="002571DF" w:rsidRPr="002571DF" w:rsidRDefault="002571DF" w:rsidP="002571DF">
      <w:pPr>
        <w:jc w:val="both"/>
        <w:rPr>
          <w:rFonts w:ascii="Cambria" w:eastAsiaTheme="minorEastAsia" w:hAnsi="Cambria"/>
          <w:sz w:val="20"/>
          <w:szCs w:val="20"/>
          <w:lang w:val="fr-FR"/>
        </w:rPr>
      </w:pPr>
      <w:r w:rsidRPr="002571DF">
        <w:rPr>
          <w:rFonts w:ascii="Cambria" w:hAnsi="Cambria"/>
          <w:sz w:val="20"/>
          <w:lang w:val="fr-FR"/>
        </w:rPr>
        <w:t>À la lumière de ces nouvelles informations, les OM sont révisés (y compris leur reconditionnement), puis utilisés pour vérifier que la MP permettra toujours d'atteindre les objectifs de gestion visés.</w:t>
      </w:r>
    </w:p>
    <w:p w14:paraId="790A5919" w14:textId="77777777" w:rsidR="002571DF" w:rsidRPr="002571DF" w:rsidRDefault="002571DF" w:rsidP="002571DF">
      <w:pPr>
        <w:jc w:val="both"/>
        <w:rPr>
          <w:rFonts w:ascii="Cambria" w:hAnsi="Cambria"/>
          <w:sz w:val="20"/>
          <w:szCs w:val="20"/>
          <w:lang w:val="fr-FR"/>
        </w:rPr>
      </w:pPr>
    </w:p>
    <w:p w14:paraId="1D090BAC" w14:textId="77777777" w:rsidR="002571DF" w:rsidRPr="002571DF" w:rsidRDefault="002571DF" w:rsidP="002571DF">
      <w:pPr>
        <w:pStyle w:val="ListParagraph"/>
        <w:widowControl w:val="0"/>
        <w:numPr>
          <w:ilvl w:val="0"/>
          <w:numId w:val="11"/>
        </w:numPr>
        <w:ind w:left="851" w:hanging="425"/>
        <w:jc w:val="both"/>
        <w:rPr>
          <w:rFonts w:ascii="Cambria" w:hAnsi="Cambria"/>
          <w:sz w:val="20"/>
          <w:szCs w:val="20"/>
          <w:lang w:val="fr-FR"/>
        </w:rPr>
      </w:pPr>
      <w:r w:rsidRPr="002571DF">
        <w:rPr>
          <w:rFonts w:ascii="Cambria" w:hAnsi="Cambria"/>
          <w:sz w:val="20"/>
          <w:lang w:val="fr-FR"/>
        </w:rPr>
        <w:t>Si la MP actuelle répond toujours aux objectifs adoptés (Rec. 23-07) dans le cadre des OM révisées, il n'est peut-être pas nécessaire de le modifier.</w:t>
      </w:r>
    </w:p>
    <w:p w14:paraId="7F11750F" w14:textId="77777777" w:rsidR="002571DF" w:rsidRPr="002571DF" w:rsidRDefault="002571DF" w:rsidP="002571DF">
      <w:pPr>
        <w:pStyle w:val="ListParagraph"/>
        <w:widowControl w:val="0"/>
        <w:numPr>
          <w:ilvl w:val="0"/>
          <w:numId w:val="11"/>
        </w:numPr>
        <w:ind w:left="851" w:hanging="425"/>
        <w:jc w:val="both"/>
        <w:rPr>
          <w:rFonts w:ascii="Cambria" w:hAnsi="Cambria"/>
          <w:sz w:val="20"/>
          <w:szCs w:val="20"/>
          <w:lang w:val="fr-FR"/>
        </w:rPr>
      </w:pPr>
      <w:r w:rsidRPr="002571DF">
        <w:rPr>
          <w:rFonts w:ascii="Cambria" w:hAnsi="Cambria"/>
          <w:sz w:val="20"/>
          <w:lang w:val="fr-FR"/>
        </w:rPr>
        <w:t>Toutefois, si les performances de la MP se détériorent de manière significative, notamment par rapport aux objectifs de gestion fixés, il faudra modifier la MP (dans une mesure plus ou moins grande) afin qu’elle réponde à nouveau à ces objectifs. Souvent, cela peut se faire tout simplement en modifiant (en recalibrant) une ou plusieurs valeurs (paramètres) de la formule de la MP, sans qu'il soit nécessaire d'en modifier la structure.</w:t>
      </w:r>
    </w:p>
    <w:p w14:paraId="5BC4CDC3" w14:textId="77777777" w:rsidR="002571DF" w:rsidRPr="002571DF" w:rsidRDefault="002571DF" w:rsidP="002571DF">
      <w:pPr>
        <w:pStyle w:val="ListParagraph"/>
        <w:widowControl w:val="0"/>
        <w:numPr>
          <w:ilvl w:val="0"/>
          <w:numId w:val="11"/>
        </w:numPr>
        <w:ind w:left="851" w:hanging="425"/>
        <w:jc w:val="both"/>
        <w:rPr>
          <w:rFonts w:ascii="Cambria" w:hAnsi="Cambria"/>
          <w:sz w:val="20"/>
          <w:szCs w:val="20"/>
          <w:lang w:val="fr-FR"/>
        </w:rPr>
      </w:pPr>
      <w:r w:rsidRPr="002571DF">
        <w:rPr>
          <w:rFonts w:ascii="Cambria" w:hAnsi="Cambria"/>
          <w:sz w:val="20"/>
          <w:lang w:val="fr-FR"/>
        </w:rPr>
        <w:t>Ce processus permet également de proposer des améliorations (pouvant inclure des changements structurels) à la MP afin de mieux répondre aux objectifs de gestion.</w:t>
      </w:r>
    </w:p>
    <w:p w14:paraId="2816A1DC" w14:textId="77777777" w:rsidR="002571DF" w:rsidRPr="002571DF" w:rsidRDefault="002571DF" w:rsidP="002571DF">
      <w:pPr>
        <w:jc w:val="both"/>
        <w:rPr>
          <w:rFonts w:ascii="Cambria" w:hAnsi="Cambria"/>
          <w:sz w:val="20"/>
          <w:szCs w:val="20"/>
          <w:lang w:val="fr-FR"/>
        </w:rPr>
      </w:pPr>
    </w:p>
    <w:p w14:paraId="074C3D9B" w14:textId="77777777" w:rsidR="002571DF" w:rsidRPr="002571DF" w:rsidRDefault="002571DF" w:rsidP="002571DF">
      <w:pPr>
        <w:jc w:val="both"/>
        <w:rPr>
          <w:rFonts w:ascii="Cambria" w:eastAsiaTheme="minorEastAsia" w:hAnsi="Cambria"/>
          <w:sz w:val="20"/>
          <w:szCs w:val="20"/>
          <w:lang w:val="fr-FR"/>
        </w:rPr>
      </w:pPr>
      <w:r w:rsidRPr="002571DF">
        <w:rPr>
          <w:rFonts w:ascii="Cambria" w:hAnsi="Cambria"/>
          <w:sz w:val="20"/>
          <w:lang w:val="fr-FR"/>
        </w:rPr>
        <w:t>Ce « processus de révision de la MP » diffère considérablement des « vérifications des circonstances exceptionnelles » qui sont effectuées régulièrement (souvent une fois par an) conformément au protocole de circonstances exceptionnelles (ECP). Les vérifications des circonstances exceptionnelles consistent simplement à vérifier qu'une MP est « sur la bonne voie », en s'assurant que les données de suivi (telles que les indices) restent dans les fourchettes prévues. Dans le cas contraire, des « circonstances exceptionnelles » pourraient être déclarées, ce qui pourrait nécessiter de ne plus se baser sur la MP actuelle pour fixer le TAC. Souvent, cela peut avoir pour conséquence que le processus de révision de la MP (visant à vérifier et, le cas échéant, à modifier la MP) soit avancé par rapport à l'année initialement prévue pour la prochaine révision.</w:t>
      </w:r>
    </w:p>
    <w:p w14:paraId="12E41E21" w14:textId="77777777" w:rsidR="002571DF" w:rsidRPr="002571DF" w:rsidRDefault="002571DF" w:rsidP="002571DF">
      <w:pPr>
        <w:jc w:val="both"/>
        <w:rPr>
          <w:rFonts w:ascii="Cambria" w:hAnsi="Cambria"/>
          <w:sz w:val="20"/>
          <w:szCs w:val="20"/>
          <w:lang w:val="fr-FR"/>
        </w:rPr>
      </w:pPr>
    </w:p>
    <w:p w14:paraId="5464A204" w14:textId="77777777" w:rsidR="002571DF" w:rsidRPr="002571DF" w:rsidRDefault="002571DF" w:rsidP="002571DF">
      <w:pPr>
        <w:jc w:val="both"/>
        <w:rPr>
          <w:rFonts w:ascii="Cambria" w:hAnsi="Cambria"/>
          <w:sz w:val="20"/>
          <w:szCs w:val="20"/>
          <w:lang w:val="fr-FR"/>
        </w:rPr>
      </w:pPr>
      <w:r w:rsidRPr="002571DF">
        <w:rPr>
          <w:rFonts w:ascii="Cambria" w:hAnsi="Cambria"/>
          <w:sz w:val="20"/>
          <w:lang w:val="fr-FR"/>
        </w:rPr>
        <w:t>La détermination de ce qui constitue un fondement suffisant pour modifier une MP à l'issue de ce processus de révision relève de l'appréciation des experts des Groupes d’espèces chargés de la prise de décision, d'abord au niveau de la science puis de la gestion.</w:t>
      </w:r>
    </w:p>
    <w:p w14:paraId="5A9FD490" w14:textId="77777777" w:rsidR="002571DF" w:rsidRDefault="002571DF" w:rsidP="009353F0">
      <w:pPr>
        <w:rPr>
          <w:rFonts w:ascii="Cambria" w:hAnsi="Cambria"/>
          <w:b/>
          <w:bCs/>
          <w:sz w:val="20"/>
          <w:szCs w:val="20"/>
          <w:lang w:val="fr-FR"/>
        </w:rPr>
      </w:pPr>
    </w:p>
    <w:sectPr w:rsidR="002571DF" w:rsidSect="009B2781">
      <w:headerReference w:type="default" r:id="rId8"/>
      <w:footerReference w:type="default" r:id="rId9"/>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455C7" w14:textId="77777777" w:rsidR="0023691F" w:rsidRDefault="0023691F" w:rsidP="00DD4C39">
      <w:r>
        <w:separator/>
      </w:r>
    </w:p>
  </w:endnote>
  <w:endnote w:type="continuationSeparator" w:id="0">
    <w:p w14:paraId="4F930D20" w14:textId="77777777" w:rsidR="0023691F" w:rsidRDefault="0023691F"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23691F"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62B4E" w14:textId="77777777" w:rsidR="0023691F" w:rsidRDefault="0023691F" w:rsidP="00DD4C39">
      <w:r>
        <w:separator/>
      </w:r>
    </w:p>
  </w:footnote>
  <w:footnote w:type="continuationSeparator" w:id="0">
    <w:p w14:paraId="5D73EE20" w14:textId="77777777" w:rsidR="0023691F" w:rsidRDefault="0023691F"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5A6ED77D"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w:t>
    </w:r>
    <w:r w:rsidR="002571DF">
      <w:rPr>
        <w:rFonts w:ascii="Cambria" w:eastAsia="Calibri" w:hAnsi="Cambria"/>
        <w:b/>
        <w:bCs/>
        <w:sz w:val="20"/>
        <w:szCs w:val="20"/>
        <w:lang w:val="en-US"/>
      </w:rPr>
      <w:t>LE</w:t>
    </w:r>
    <w:r w:rsidR="004F39B9" w:rsidRPr="00793F38">
      <w:rPr>
        <w:rFonts w:ascii="Cambria" w:eastAsia="Calibri" w:hAnsi="Cambria"/>
        <w:b/>
        <w:bCs/>
        <w:sz w:val="20"/>
        <w:szCs w:val="20"/>
        <w:lang w:val="en-US"/>
      </w:rPr>
      <w:t>_</w:t>
    </w:r>
    <w:r w:rsidR="002571DF">
      <w:rPr>
        <w:rFonts w:ascii="Cambria" w:eastAsia="Calibri" w:hAnsi="Cambria"/>
        <w:b/>
        <w:bCs/>
        <w:sz w:val="20"/>
        <w:szCs w:val="20"/>
        <w:lang w:val="en-US"/>
      </w:rPr>
      <w:t>108</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25929258"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2571DF">
      <w:rPr>
        <w:rFonts w:ascii="Cambria" w:hAnsi="Cambria"/>
        <w:b/>
        <w:bCs/>
        <w:noProof/>
        <w:sz w:val="16"/>
        <w:szCs w:val="16"/>
        <w:lang w:val="es-ES_tradnl"/>
      </w:rPr>
      <w:t>14/10/2026 15:59</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3527"/>
    <w:multiLevelType w:val="multilevel"/>
    <w:tmpl w:val="95E853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E137FA"/>
    <w:multiLevelType w:val="hybridMultilevel"/>
    <w:tmpl w:val="60889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6031F5"/>
    <w:multiLevelType w:val="hybridMultilevel"/>
    <w:tmpl w:val="AC8CF57C"/>
    <w:lvl w:ilvl="0" w:tplc="2EB417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1A060A"/>
    <w:multiLevelType w:val="multilevel"/>
    <w:tmpl w:val="A36004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E1631C"/>
    <w:multiLevelType w:val="multilevel"/>
    <w:tmpl w:val="00041C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8B4589"/>
    <w:multiLevelType w:val="hybridMultilevel"/>
    <w:tmpl w:val="0DE2D7FE"/>
    <w:lvl w:ilvl="0" w:tplc="0B4CD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D603F1"/>
    <w:multiLevelType w:val="hybridMultilevel"/>
    <w:tmpl w:val="850450FC"/>
    <w:lvl w:ilvl="0" w:tplc="2844199A">
      <w:start w:val="7"/>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E73678"/>
    <w:multiLevelType w:val="multilevel"/>
    <w:tmpl w:val="AEFA34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2130999"/>
    <w:multiLevelType w:val="hybridMultilevel"/>
    <w:tmpl w:val="E9D04DB0"/>
    <w:lvl w:ilvl="0" w:tplc="FA7869D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7B1288"/>
    <w:multiLevelType w:val="multilevel"/>
    <w:tmpl w:val="4F224384"/>
    <w:lvl w:ilvl="0">
      <w:start w:val="4"/>
      <w:numFmt w:val="bullet"/>
      <w:lvlText w:val="-"/>
      <w:lvlJc w:val="left"/>
      <w:pPr>
        <w:ind w:left="720" w:hanging="360"/>
      </w:pPr>
      <w:rPr>
        <w:rFonts w:ascii="Cambria" w:hAnsi="Cambria" w:cs="Cambria"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7F123A0E"/>
    <w:multiLevelType w:val="multilevel"/>
    <w:tmpl w:val="AF4C7B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18971705">
    <w:abstractNumId w:val="9"/>
  </w:num>
  <w:num w:numId="2" w16cid:durableId="1585190823">
    <w:abstractNumId w:val="1"/>
  </w:num>
  <w:num w:numId="3" w16cid:durableId="1794251756">
    <w:abstractNumId w:val="8"/>
  </w:num>
  <w:num w:numId="4" w16cid:durableId="952444042">
    <w:abstractNumId w:val="0"/>
  </w:num>
  <w:num w:numId="5" w16cid:durableId="1415669399">
    <w:abstractNumId w:val="10"/>
  </w:num>
  <w:num w:numId="6" w16cid:durableId="1379159357">
    <w:abstractNumId w:val="3"/>
  </w:num>
  <w:num w:numId="7" w16cid:durableId="897666568">
    <w:abstractNumId w:val="4"/>
  </w:num>
  <w:num w:numId="8" w16cid:durableId="299269126">
    <w:abstractNumId w:val="7"/>
  </w:num>
  <w:num w:numId="9" w16cid:durableId="1717388789">
    <w:abstractNumId w:val="6"/>
  </w:num>
  <w:num w:numId="10" w16cid:durableId="1655178039">
    <w:abstractNumId w:val="5"/>
  </w:num>
  <w:num w:numId="11" w16cid:durableId="13083404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3691F"/>
    <w:rsid w:val="00240A3D"/>
    <w:rsid w:val="00242005"/>
    <w:rsid w:val="00242111"/>
    <w:rsid w:val="00246631"/>
    <w:rsid w:val="00246705"/>
    <w:rsid w:val="00247B9A"/>
    <w:rsid w:val="00250C2F"/>
    <w:rsid w:val="002571D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2854"/>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29FC"/>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6FB9"/>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006"/>
    <w:rsid w:val="005529B8"/>
    <w:rsid w:val="00554AB0"/>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1827"/>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4A02"/>
    <w:rsid w:val="007C4E4F"/>
    <w:rsid w:val="007C560A"/>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5E4"/>
    <w:rsid w:val="00A5170D"/>
    <w:rsid w:val="00A526B0"/>
    <w:rsid w:val="00A552BF"/>
    <w:rsid w:val="00A5555F"/>
    <w:rsid w:val="00A56408"/>
    <w:rsid w:val="00A6083E"/>
    <w:rsid w:val="00A613F3"/>
    <w:rsid w:val="00A6221E"/>
    <w:rsid w:val="00A63553"/>
    <w:rsid w:val="00A70350"/>
    <w:rsid w:val="00A734A9"/>
    <w:rsid w:val="00A73CD5"/>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5DCD"/>
    <w:rsid w:val="00C36FA8"/>
    <w:rsid w:val="00C40A02"/>
    <w:rsid w:val="00C4264F"/>
    <w:rsid w:val="00C450C8"/>
    <w:rsid w:val="00C455F3"/>
    <w:rsid w:val="00C46C3C"/>
    <w:rsid w:val="00C4752D"/>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323"/>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4DF"/>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 w:type="table" w:styleId="TableGrid">
    <w:name w:val="Table Grid"/>
    <w:basedOn w:val="TableNormal"/>
    <w:uiPriority w:val="39"/>
    <w:rsid w:val="00302854"/>
    <w:pPr>
      <w:spacing w:after="0" w:line="240" w:lineRule="auto"/>
    </w:pPr>
    <w:rPr>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302854"/>
    <w:pPr>
      <w:spacing w:before="36" w:after="36"/>
      <w:jc w:val="left"/>
    </w:pPr>
    <w:rPr>
      <w:rFonts w:asciiTheme="minorHAnsi" w:eastAsiaTheme="minorHAnsi" w:hAnsiTheme="minorHAnsi" w:cstheme="minorBidi"/>
      <w:b w:val="0"/>
      <w:bCs w:val="0"/>
      <w:lang w:val="fr-FR" w:eastAsia="en-US"/>
    </w:rPr>
  </w:style>
  <w:style w:type="table" w:customStyle="1" w:styleId="Table">
    <w:name w:val="Table"/>
    <w:semiHidden/>
    <w:unhideWhenUsed/>
    <w:qFormat/>
    <w:rsid w:val="00302854"/>
    <w:pPr>
      <w:spacing w:after="200" w:line="240" w:lineRule="auto"/>
    </w:pPr>
    <w:rPr>
      <w:sz w:val="24"/>
      <w:szCs w:val="24"/>
      <w:lang w:val="fr-FR"/>
    </w:rPr>
    <w:tblPr>
      <w:tblInd w:w="0" w:type="dxa"/>
      <w:tblCellMar>
        <w:top w:w="0" w:type="dxa"/>
        <w:left w:w="108" w:type="dxa"/>
        <w:bottom w:w="0" w:type="dxa"/>
        <w:right w:w="108" w:type="dxa"/>
      </w:tblCellMar>
    </w:tblPr>
  </w:style>
  <w:style w:type="paragraph" w:styleId="Caption">
    <w:name w:val="caption"/>
    <w:basedOn w:val="Normal"/>
    <w:link w:val="CaptionChar"/>
    <w:qFormat/>
    <w:rsid w:val="00302854"/>
    <w:pPr>
      <w:spacing w:after="120"/>
    </w:pPr>
    <w:rPr>
      <w:rFonts w:asciiTheme="minorHAnsi" w:eastAsiaTheme="minorHAnsi" w:hAnsiTheme="minorHAnsi" w:cstheme="minorBidi"/>
      <w:i/>
      <w:lang w:val="fr-FR"/>
    </w:rPr>
  </w:style>
  <w:style w:type="character" w:customStyle="1" w:styleId="CaptionChar">
    <w:name w:val="Caption Char"/>
    <w:basedOn w:val="DefaultParagraphFont"/>
    <w:link w:val="Caption"/>
    <w:rsid w:val="00302854"/>
    <w:rPr>
      <w:i/>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2026-10-14T14:03:00Z</dcterms:created>
  <dcterms:modified xsi:type="dcterms:W3CDTF">2026-10-14T14:03:00Z</dcterms:modified>
</cp:coreProperties>
</file>