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512A" w14:textId="01D6F6F6" w:rsidR="00F2499A" w:rsidRPr="00055339" w:rsidRDefault="00F2499A" w:rsidP="00F2499A">
      <w:pPr>
        <w:spacing w:after="120"/>
        <w:ind w:left="426" w:hanging="426"/>
        <w:contextualSpacing/>
        <w:jc w:val="right"/>
        <w:rPr>
          <w:rFonts w:ascii="Cambria" w:eastAsia="Calibri" w:hAnsi="Cambria"/>
          <w:b/>
          <w:color w:val="00000A"/>
          <w:sz w:val="20"/>
          <w:szCs w:val="20"/>
        </w:rPr>
      </w:pPr>
      <w:r w:rsidRPr="00055339">
        <w:rPr>
          <w:rFonts w:ascii="Cambria" w:hAnsi="Cambria"/>
          <w:b/>
          <w:color w:val="00000A"/>
          <w:sz w:val="20"/>
          <w:szCs w:val="20"/>
        </w:rPr>
        <w:t>Original: inglés</w:t>
      </w:r>
    </w:p>
    <w:p w14:paraId="2BDBEB50" w14:textId="77777777" w:rsidR="00F2499A" w:rsidRPr="00055339" w:rsidRDefault="00F2499A" w:rsidP="00F2499A">
      <w:pPr>
        <w:spacing w:after="120"/>
        <w:ind w:left="426" w:hanging="426"/>
        <w:contextualSpacing/>
        <w:jc w:val="center"/>
        <w:rPr>
          <w:rFonts w:ascii="Cambria" w:eastAsia="Calibri" w:hAnsi="Cambria"/>
          <w:b/>
          <w:color w:val="00000A"/>
          <w:sz w:val="20"/>
          <w:szCs w:val="20"/>
        </w:rPr>
      </w:pPr>
      <w:r w:rsidRPr="00055339">
        <w:rPr>
          <w:rFonts w:ascii="Cambria" w:hAnsi="Cambria"/>
          <w:b/>
          <w:color w:val="00000A"/>
          <w:sz w:val="20"/>
          <w:szCs w:val="20"/>
        </w:rPr>
        <w:t>Cooperación internacional</w:t>
      </w:r>
    </w:p>
    <w:p w14:paraId="1D2E40E7" w14:textId="37AA5B26" w:rsidR="00721EA8" w:rsidRPr="00055339" w:rsidRDefault="00721EA8" w:rsidP="00F2499A">
      <w:pPr>
        <w:spacing w:after="120"/>
        <w:ind w:left="426" w:hanging="426"/>
        <w:contextualSpacing/>
        <w:jc w:val="center"/>
        <w:rPr>
          <w:rFonts w:ascii="Cambria" w:eastAsia="Calibri" w:hAnsi="Cambria"/>
          <w:bCs/>
          <w:i/>
          <w:iCs/>
          <w:color w:val="00000A"/>
          <w:sz w:val="20"/>
          <w:szCs w:val="20"/>
        </w:rPr>
      </w:pPr>
      <w:r w:rsidRPr="00055339">
        <w:rPr>
          <w:rFonts w:ascii="Cambria" w:hAnsi="Cambria"/>
          <w:i/>
          <w:color w:val="00000A"/>
          <w:sz w:val="20"/>
          <w:szCs w:val="20"/>
        </w:rPr>
        <w:t>(Secretaría de ICCAT)</w:t>
      </w:r>
    </w:p>
    <w:p w14:paraId="15C9FA6F" w14:textId="77777777" w:rsidR="00F2499A" w:rsidRDefault="00F2499A" w:rsidP="00F2499A">
      <w:pPr>
        <w:spacing w:after="120"/>
        <w:ind w:left="426" w:hanging="426"/>
        <w:contextualSpacing/>
        <w:jc w:val="center"/>
        <w:rPr>
          <w:rFonts w:ascii="Cambria" w:eastAsia="Calibri" w:hAnsi="Cambria"/>
          <w:b/>
          <w:color w:val="00000A"/>
          <w:sz w:val="20"/>
          <w:szCs w:val="20"/>
        </w:rPr>
      </w:pPr>
    </w:p>
    <w:p w14:paraId="29548F51" w14:textId="170028A4" w:rsidR="00816FB8" w:rsidRPr="00E57551" w:rsidRDefault="00816FB8" w:rsidP="00816FB8">
      <w:pPr>
        <w:tabs>
          <w:tab w:val="left" w:pos="851"/>
        </w:tabs>
        <w:spacing w:after="120"/>
        <w:contextualSpacing/>
        <w:jc w:val="both"/>
        <w:rPr>
          <w:rFonts w:ascii="Cambria" w:eastAsia="Calibri" w:hAnsi="Cambria"/>
          <w:color w:val="EE0000"/>
          <w:sz w:val="20"/>
          <w:szCs w:val="20"/>
        </w:rPr>
      </w:pPr>
      <w:bookmarkStart w:id="0" w:name="_Hlk19736811"/>
      <w:r w:rsidRPr="00E57551">
        <w:rPr>
          <w:rFonts w:ascii="Cambria" w:hAnsi="Cambria"/>
          <w:b/>
          <w:i/>
          <w:color w:val="00000A"/>
          <w:sz w:val="20"/>
          <w:szCs w:val="20"/>
        </w:rPr>
        <w:t>Grupo Coordinador de Trabajo sobre Estadísticas de Pesca (CWP-FS) de la Organización para la Alimentación y la Agricultura de Naciones Unidas (FAO)</w:t>
      </w:r>
      <w:r w:rsidRPr="00E57551">
        <w:rPr>
          <w:rFonts w:ascii="Cambria" w:hAnsi="Cambria"/>
          <w:color w:val="00000A"/>
          <w:sz w:val="20"/>
          <w:szCs w:val="20"/>
        </w:rPr>
        <w:t xml:space="preserve"> </w:t>
      </w:r>
    </w:p>
    <w:bookmarkEnd w:id="0"/>
    <w:p w14:paraId="2C0AD7FD" w14:textId="77777777" w:rsidR="00816FB8" w:rsidRPr="00E57551" w:rsidRDefault="00816FB8" w:rsidP="00816FB8">
      <w:pPr>
        <w:tabs>
          <w:tab w:val="left" w:pos="851"/>
        </w:tabs>
        <w:spacing w:after="120"/>
        <w:contextualSpacing/>
        <w:jc w:val="both"/>
        <w:rPr>
          <w:rFonts w:ascii="Cambria" w:eastAsia="Calibri" w:hAnsi="Cambria"/>
          <w:bCs/>
          <w:iCs/>
          <w:color w:val="00000A"/>
          <w:sz w:val="20"/>
          <w:szCs w:val="20"/>
        </w:rPr>
      </w:pPr>
    </w:p>
    <w:p w14:paraId="370CDC47" w14:textId="77777777" w:rsidR="00816FB8" w:rsidRPr="00E57551" w:rsidRDefault="00816FB8" w:rsidP="00816FB8">
      <w:pPr>
        <w:tabs>
          <w:tab w:val="left" w:pos="851"/>
        </w:tabs>
        <w:spacing w:after="120"/>
        <w:contextualSpacing/>
        <w:jc w:val="both"/>
        <w:rPr>
          <w:rFonts w:ascii="Cambria" w:eastAsia="Calibri" w:hAnsi="Cambria"/>
          <w:bCs/>
          <w:iCs/>
          <w:color w:val="00000A"/>
          <w:sz w:val="20"/>
          <w:szCs w:val="20"/>
        </w:rPr>
      </w:pPr>
      <w:r w:rsidRPr="00E57551">
        <w:rPr>
          <w:rFonts w:ascii="Cambria" w:hAnsi="Cambria"/>
          <w:color w:val="00000A"/>
          <w:sz w:val="20"/>
          <w:szCs w:val="20"/>
        </w:rPr>
        <w:t xml:space="preserve">Durante el período de comunicación, se actualizó la lista de especies de ASFIS tras los debates celebrados en el marco del CWP sobre la designación del pez vela. El código SFA se asocia ahora a </w:t>
      </w:r>
      <w:r w:rsidRPr="00E57551">
        <w:rPr>
          <w:rFonts w:ascii="Cambria" w:hAnsi="Cambria"/>
          <w:i/>
          <w:color w:val="00000A"/>
          <w:sz w:val="20"/>
          <w:szCs w:val="20"/>
        </w:rPr>
        <w:t>Istiophorus platypterus</w:t>
      </w:r>
      <w:r w:rsidRPr="00E57551">
        <w:rPr>
          <w:rFonts w:ascii="Cambria" w:hAnsi="Cambria"/>
          <w:color w:val="00000A"/>
          <w:sz w:val="20"/>
          <w:szCs w:val="20"/>
        </w:rPr>
        <w:t xml:space="preserve">, y se han eliminado las referencias a la distribución en el Indo-Pacífico de los nombres comunes. Esta actualización ha resuelto la cuestión planteada anteriormente por ICCAT en relación con la referencia taxonómica y de codificación del pez vela. </w:t>
      </w:r>
    </w:p>
    <w:p w14:paraId="036B61B2" w14:textId="77777777" w:rsidR="00816FB8" w:rsidRDefault="00816FB8" w:rsidP="00816FB8">
      <w:pPr>
        <w:tabs>
          <w:tab w:val="left" w:pos="851"/>
        </w:tabs>
        <w:spacing w:after="120"/>
        <w:contextualSpacing/>
        <w:jc w:val="both"/>
        <w:rPr>
          <w:rFonts w:ascii="Cambria" w:eastAsia="Calibri" w:hAnsi="Cambria"/>
          <w:bCs/>
          <w:iCs/>
          <w:color w:val="00000A"/>
          <w:sz w:val="20"/>
          <w:szCs w:val="20"/>
        </w:rPr>
      </w:pPr>
    </w:p>
    <w:p w14:paraId="0615AEE4" w14:textId="77777777" w:rsidR="00003B41" w:rsidRPr="00E57551" w:rsidRDefault="00003B41" w:rsidP="00816FB8">
      <w:pPr>
        <w:tabs>
          <w:tab w:val="left" w:pos="851"/>
        </w:tabs>
        <w:spacing w:after="120"/>
        <w:contextualSpacing/>
        <w:jc w:val="both"/>
        <w:rPr>
          <w:rFonts w:ascii="Cambria" w:eastAsia="Calibri" w:hAnsi="Cambria"/>
          <w:bCs/>
          <w:iCs/>
          <w:color w:val="00000A"/>
          <w:sz w:val="20"/>
          <w:szCs w:val="20"/>
        </w:rPr>
      </w:pPr>
    </w:p>
    <w:p w14:paraId="498F8B3B" w14:textId="08E3065F" w:rsidR="00816FB8" w:rsidRPr="00E57551" w:rsidRDefault="00816FB8" w:rsidP="00816FB8">
      <w:pPr>
        <w:tabs>
          <w:tab w:val="left" w:pos="851"/>
        </w:tabs>
        <w:spacing w:after="120"/>
        <w:contextualSpacing/>
        <w:jc w:val="both"/>
        <w:rPr>
          <w:rFonts w:ascii="Cambria" w:eastAsia="Calibri" w:hAnsi="Cambria"/>
          <w:b/>
          <w:i/>
          <w:color w:val="00000A"/>
          <w:sz w:val="20"/>
          <w:szCs w:val="20"/>
        </w:rPr>
      </w:pPr>
      <w:r w:rsidRPr="00E57551">
        <w:rPr>
          <w:rFonts w:ascii="Cambria" w:hAnsi="Cambria"/>
          <w:b/>
          <w:i/>
          <w:color w:val="00000A"/>
          <w:sz w:val="20"/>
          <w:szCs w:val="20"/>
        </w:rPr>
        <w:t>Sistema de seguimiento de pesquerías y recursos (FIRMS)</w:t>
      </w:r>
      <w:r w:rsidRPr="00E57551">
        <w:rPr>
          <w:rFonts w:ascii="Cambria" w:hAnsi="Cambria"/>
          <w:color w:val="00000A"/>
          <w:sz w:val="20"/>
          <w:szCs w:val="20"/>
        </w:rPr>
        <w:t xml:space="preserve"> </w:t>
      </w:r>
    </w:p>
    <w:p w14:paraId="22DD3EA9"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1CB9A646"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 xml:space="preserve">ICCAT es socio del </w:t>
      </w:r>
      <w:hyperlink r:id="rId7" w:history="1">
        <w:r w:rsidRPr="00E57551">
          <w:rPr>
            <w:rFonts w:ascii="Cambria" w:hAnsi="Cambria"/>
            <w:color w:val="0563C1"/>
            <w:sz w:val="20"/>
            <w:szCs w:val="20"/>
          </w:rPr>
          <w:t>FIRMS</w:t>
        </w:r>
      </w:hyperlink>
      <w:r w:rsidRPr="00E57551">
        <w:rPr>
          <w:rFonts w:ascii="Cambria" w:hAnsi="Cambria"/>
          <w:color w:val="00000A"/>
          <w:sz w:val="20"/>
          <w:szCs w:val="20"/>
        </w:rPr>
        <w:t xml:space="preserve"> de la FAO, una iniciativa que proporciona acceso a información sobre ordenación y seguimiento global de los recursos de pesquerías y recursos marinos. Como tal, la Secretaría proporciona actualizaciones a FIRMS sobre el estado de los stocks de todas las especies de ICCAT evaluadas por el SCRS con la sincronización en el nuevo formato de fichas de datos acordado por el FIRMS de la FAO.</w:t>
      </w:r>
    </w:p>
    <w:p w14:paraId="192C8CD8"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5D2403E6" w14:textId="03262475"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 xml:space="preserve">Se consultará al SCRS y a la Comisión sobre su recomendación para informar sobre el estado de </w:t>
      </w:r>
      <w:r w:rsidR="00003B41" w:rsidRPr="00E57551">
        <w:rPr>
          <w:rFonts w:ascii="Cambria" w:hAnsi="Cambria"/>
          <w:color w:val="00000A"/>
          <w:sz w:val="20"/>
          <w:szCs w:val="20"/>
        </w:rPr>
        <w:t>los diversos stocks</w:t>
      </w:r>
      <w:r w:rsidRPr="00E57551">
        <w:rPr>
          <w:rFonts w:ascii="Cambria" w:hAnsi="Cambria"/>
          <w:color w:val="00000A"/>
          <w:sz w:val="20"/>
          <w:szCs w:val="20"/>
        </w:rPr>
        <w:t xml:space="preserve"> del grupo de especies de pequeños túnidos, para los que se han realizado algunas evaluaciones locales o regionales, pero que ICCAT aún no ha adoptado formalmente (por ejemplo, los stocks de carite y carite lucio del Atlántico noroccidental y del golfo de México).</w:t>
      </w:r>
    </w:p>
    <w:p w14:paraId="49B668B1"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75DB3BD8"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 xml:space="preserve">ICCAT también desempeña un papel activo en el marco del </w:t>
      </w:r>
      <w:hyperlink r:id="rId8" w:history="1">
        <w:r w:rsidRPr="00E57551">
          <w:rPr>
            <w:rFonts w:ascii="Cambria" w:hAnsi="Cambria"/>
            <w:color w:val="0563C1"/>
            <w:sz w:val="20"/>
            <w:szCs w:val="20"/>
          </w:rPr>
          <w:t>Atlas Mundial del atún (GTA) de FIRMS</w:t>
        </w:r>
      </w:hyperlink>
      <w:r w:rsidRPr="00E57551">
        <w:rPr>
          <w:rFonts w:ascii="Cambria" w:hAnsi="Cambria"/>
          <w:color w:val="00000A"/>
          <w:sz w:val="20"/>
          <w:szCs w:val="20"/>
        </w:rPr>
        <w:t xml:space="preserve">, que recopila y armoniza los datos de capturas nominales y georreferenciadas de las cinco OROP de túnidos. El Atlas mundial del atún se actualizó el 24 de abril de 2026 con los últimos datos disponibles de las Tareas 1 y 2 en la </w:t>
      </w:r>
      <w:hyperlink r:id="rId9" w:history="1">
        <w:r w:rsidRPr="00E57551">
          <w:rPr>
            <w:rFonts w:ascii="Cambria" w:hAnsi="Cambria"/>
            <w:color w:val="0563C1"/>
            <w:sz w:val="20"/>
            <w:szCs w:val="20"/>
          </w:rPr>
          <w:t>página web de ICCAT</w:t>
        </w:r>
      </w:hyperlink>
      <w:r w:rsidRPr="00E57551">
        <w:rPr>
          <w:rFonts w:ascii="Cambria" w:hAnsi="Cambria"/>
          <w:color w:val="00000A"/>
          <w:sz w:val="20"/>
          <w:szCs w:val="20"/>
        </w:rPr>
        <w:t>. Además, se señaló que ICCAT actualizó su política de confidencialidad de datos para garantizar que la futura presentación de datos para el GTA seguirá los requisitos de dicha política.</w:t>
      </w:r>
    </w:p>
    <w:p w14:paraId="7693BCBC" w14:textId="77777777" w:rsidR="00816FB8" w:rsidRDefault="00816FB8" w:rsidP="00816FB8">
      <w:pPr>
        <w:tabs>
          <w:tab w:val="left" w:pos="851"/>
        </w:tabs>
        <w:spacing w:after="120"/>
        <w:contextualSpacing/>
        <w:jc w:val="both"/>
        <w:rPr>
          <w:rFonts w:ascii="Cambria" w:eastAsia="Calibri" w:hAnsi="Cambria"/>
          <w:bCs/>
          <w:iCs/>
          <w:color w:val="00000A"/>
          <w:sz w:val="20"/>
          <w:szCs w:val="20"/>
        </w:rPr>
      </w:pPr>
    </w:p>
    <w:p w14:paraId="01E5226A" w14:textId="77777777" w:rsidR="00003B41" w:rsidRPr="00E57551" w:rsidRDefault="00003B41" w:rsidP="00816FB8">
      <w:pPr>
        <w:tabs>
          <w:tab w:val="left" w:pos="851"/>
        </w:tabs>
        <w:spacing w:after="120"/>
        <w:contextualSpacing/>
        <w:jc w:val="both"/>
        <w:rPr>
          <w:rFonts w:ascii="Cambria" w:eastAsia="Calibri" w:hAnsi="Cambria"/>
          <w:bCs/>
          <w:iCs/>
          <w:color w:val="00000A"/>
          <w:sz w:val="20"/>
          <w:szCs w:val="20"/>
        </w:rPr>
      </w:pPr>
    </w:p>
    <w:p w14:paraId="1CBC6E76" w14:textId="5B36839F" w:rsidR="00816FB8" w:rsidRPr="00E57551" w:rsidRDefault="00003B41" w:rsidP="00816FB8">
      <w:pPr>
        <w:tabs>
          <w:tab w:val="left" w:pos="851"/>
        </w:tabs>
        <w:spacing w:after="120"/>
        <w:contextualSpacing/>
        <w:jc w:val="both"/>
        <w:rPr>
          <w:rFonts w:ascii="Cambria" w:eastAsia="Calibri" w:hAnsi="Cambria"/>
          <w:color w:val="00000A"/>
          <w:sz w:val="20"/>
          <w:szCs w:val="20"/>
        </w:rPr>
      </w:pPr>
      <w:r>
        <w:rPr>
          <w:rFonts w:ascii="Cambria" w:hAnsi="Cambria"/>
          <w:b/>
          <w:i/>
          <w:color w:val="00000A"/>
          <w:sz w:val="20"/>
          <w:szCs w:val="20"/>
        </w:rPr>
        <w:t>R</w:t>
      </w:r>
      <w:r w:rsidR="00816FB8" w:rsidRPr="00E57551">
        <w:rPr>
          <w:rFonts w:ascii="Cambria" w:hAnsi="Cambria"/>
          <w:b/>
          <w:i/>
          <w:color w:val="00000A"/>
          <w:sz w:val="20"/>
          <w:szCs w:val="20"/>
        </w:rPr>
        <w:t>esúmenes sobre las ciencias acuáticas y la pesca (ASFA)</w:t>
      </w:r>
    </w:p>
    <w:p w14:paraId="03E66995"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396D1BE5"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 xml:space="preserve">Desde la última reunión del SCRS, la Secretaría ha preparado ocho entradas nuevas, relativas a los volúmenes 82(7) a 83(4) para la </w:t>
      </w:r>
      <w:hyperlink r:id="rId10" w:history="1">
        <w:r w:rsidRPr="00E57551">
          <w:rPr>
            <w:rStyle w:val="Hyperlink"/>
            <w:rFonts w:ascii="Cambria" w:hAnsi="Cambria"/>
            <w:i/>
            <w:sz w:val="20"/>
            <w:szCs w:val="20"/>
            <w:u w:val="none"/>
          </w:rPr>
          <w:t xml:space="preserve">Colección de documentos científicos de ICCAT </w:t>
        </w:r>
      </w:hyperlink>
      <w:r w:rsidRPr="00E57551">
        <w:rPr>
          <w:rFonts w:ascii="Cambria" w:hAnsi="Cambria"/>
          <w:color w:val="00000A"/>
          <w:sz w:val="20"/>
          <w:szCs w:val="20"/>
        </w:rPr>
        <w:t xml:space="preserve">para la base de datos de Resúmenes sobre las ciencias acuáticas y la pesca (ASFA-ProQuest)  a partir de los documentos publicados en los números más recientes de la </w:t>
      </w:r>
      <w:hyperlink r:id="rId11" w:history="1">
        <w:r w:rsidRPr="00E57551">
          <w:rPr>
            <w:rStyle w:val="Hyperlink"/>
            <w:rFonts w:ascii="Cambria" w:hAnsi="Cambria"/>
            <w:i/>
            <w:sz w:val="20"/>
            <w:szCs w:val="20"/>
            <w:u w:val="none"/>
          </w:rPr>
          <w:t>Colección de documentos científicos de ICCAT.</w:t>
        </w:r>
      </w:hyperlink>
      <w:r w:rsidRPr="00E57551">
        <w:rPr>
          <w:rFonts w:ascii="Cambria" w:hAnsi="Cambria"/>
          <w:sz w:val="20"/>
          <w:szCs w:val="20"/>
        </w:rPr>
        <w:t xml:space="preserve"> </w:t>
      </w:r>
      <w:r w:rsidRPr="00E57551">
        <w:rPr>
          <w:rFonts w:ascii="Cambria" w:hAnsi="Cambria"/>
          <w:color w:val="00000A"/>
          <w:sz w:val="20"/>
          <w:szCs w:val="20"/>
        </w:rPr>
        <w:t xml:space="preserve">De este modo, toda la estos documentos está ahora a disponibles en el </w:t>
      </w:r>
      <w:hyperlink r:id="rId12" w:history="1">
        <w:r w:rsidRPr="00E57551">
          <w:rPr>
            <w:rStyle w:val="Hyperlink"/>
            <w:rFonts w:ascii="Cambria" w:hAnsi="Cambria"/>
            <w:sz w:val="20"/>
            <w:szCs w:val="20"/>
            <w:u w:val="none"/>
          </w:rPr>
          <w:t>sitio web de pesca y acuicultura de la FAO</w:t>
        </w:r>
      </w:hyperlink>
      <w:r w:rsidRPr="00E57551">
        <w:rPr>
          <w:rFonts w:ascii="Cambria" w:hAnsi="Cambria"/>
          <w:color w:val="00000A"/>
          <w:sz w:val="20"/>
          <w:szCs w:val="20"/>
        </w:rPr>
        <w:t xml:space="preserve">. La interfaz </w:t>
      </w:r>
      <w:hyperlink r:id="rId13" w:history="1">
        <w:r w:rsidRPr="00E57551">
          <w:rPr>
            <w:rStyle w:val="Hyperlink"/>
            <w:rFonts w:ascii="Cambria" w:hAnsi="Cambria"/>
            <w:sz w:val="20"/>
            <w:szCs w:val="20"/>
            <w:u w:val="none"/>
          </w:rPr>
          <w:t>OpenASFA</w:t>
        </w:r>
      </w:hyperlink>
      <w:r w:rsidRPr="00E57551">
        <w:rPr>
          <w:rFonts w:ascii="Cambria" w:hAnsi="Cambria"/>
          <w:color w:val="00000A"/>
          <w:sz w:val="20"/>
          <w:szCs w:val="20"/>
        </w:rPr>
        <w:t xml:space="preserve"> permite la búsqueda libre de todos los registros de OpenASFA.</w:t>
      </w:r>
    </w:p>
    <w:p w14:paraId="29D404D2" w14:textId="77777777" w:rsidR="00816FB8" w:rsidRDefault="00816FB8" w:rsidP="00816FB8">
      <w:pPr>
        <w:tabs>
          <w:tab w:val="left" w:pos="851"/>
        </w:tabs>
        <w:spacing w:after="120"/>
        <w:contextualSpacing/>
        <w:jc w:val="both"/>
        <w:rPr>
          <w:rFonts w:ascii="Cambria" w:eastAsia="Calibri" w:hAnsi="Cambria"/>
          <w:b/>
          <w:bCs/>
          <w:i/>
          <w:iCs/>
          <w:color w:val="00000A"/>
          <w:sz w:val="20"/>
          <w:szCs w:val="20"/>
        </w:rPr>
      </w:pPr>
    </w:p>
    <w:p w14:paraId="396394D3" w14:textId="77777777" w:rsidR="00003B41" w:rsidRPr="00E57551" w:rsidRDefault="00003B41" w:rsidP="00816FB8">
      <w:pPr>
        <w:tabs>
          <w:tab w:val="left" w:pos="851"/>
        </w:tabs>
        <w:spacing w:after="120"/>
        <w:contextualSpacing/>
        <w:jc w:val="both"/>
        <w:rPr>
          <w:rFonts w:ascii="Cambria" w:eastAsia="Calibri" w:hAnsi="Cambria"/>
          <w:b/>
          <w:bCs/>
          <w:i/>
          <w:iCs/>
          <w:color w:val="00000A"/>
          <w:sz w:val="20"/>
          <w:szCs w:val="20"/>
        </w:rPr>
      </w:pPr>
    </w:p>
    <w:p w14:paraId="45C9C3F5" w14:textId="3C512856" w:rsidR="00816FB8" w:rsidRPr="00E57551" w:rsidRDefault="00816FB8" w:rsidP="00816FB8">
      <w:pPr>
        <w:tabs>
          <w:tab w:val="left" w:pos="851"/>
        </w:tabs>
        <w:contextualSpacing/>
        <w:jc w:val="both"/>
        <w:rPr>
          <w:rFonts w:ascii="Cambria" w:eastAsia="Calibri" w:hAnsi="Cambria"/>
          <w:bCs/>
          <w:i/>
          <w:color w:val="EE0000"/>
          <w:sz w:val="20"/>
          <w:szCs w:val="20"/>
        </w:rPr>
      </w:pPr>
      <w:r w:rsidRPr="00E57551">
        <w:rPr>
          <w:rFonts w:ascii="Cambria" w:hAnsi="Cambria"/>
          <w:b/>
          <w:i/>
          <w:sz w:val="20"/>
          <w:szCs w:val="20"/>
        </w:rPr>
        <w:t>Proyecto Túnidos de Océanos Comunes (previamente Fondo para el Medio Ambiente Mundial, GEF)</w:t>
      </w:r>
    </w:p>
    <w:p w14:paraId="686F5569" w14:textId="77777777" w:rsidR="00816FB8" w:rsidRPr="00E57551" w:rsidRDefault="00816FB8" w:rsidP="00816FB8">
      <w:pPr>
        <w:tabs>
          <w:tab w:val="left" w:pos="851"/>
        </w:tabs>
        <w:contextualSpacing/>
        <w:jc w:val="both"/>
        <w:rPr>
          <w:rFonts w:ascii="Cambria" w:eastAsia="Calibri" w:hAnsi="Cambria"/>
          <w:b/>
          <w:i/>
          <w:color w:val="00000A"/>
          <w:sz w:val="20"/>
          <w:szCs w:val="20"/>
        </w:rPr>
      </w:pPr>
      <w:r w:rsidRPr="00E57551">
        <w:rPr>
          <w:rFonts w:ascii="Cambria" w:hAnsi="Cambria"/>
          <w:b/>
          <w:i/>
          <w:color w:val="00000A"/>
          <w:sz w:val="20"/>
          <w:szCs w:val="20"/>
        </w:rPr>
        <w:t>  </w:t>
      </w:r>
    </w:p>
    <w:p w14:paraId="122C7AF5" w14:textId="77777777" w:rsidR="00816FB8" w:rsidRPr="00E57551" w:rsidRDefault="00816FB8" w:rsidP="00816FB8">
      <w:pPr>
        <w:tabs>
          <w:tab w:val="left" w:pos="851"/>
        </w:tabs>
        <w:contextualSpacing/>
        <w:jc w:val="both"/>
        <w:rPr>
          <w:rFonts w:ascii="Cambria" w:eastAsia="Calibri" w:hAnsi="Cambria"/>
          <w:color w:val="00000A"/>
          <w:sz w:val="20"/>
          <w:szCs w:val="20"/>
        </w:rPr>
      </w:pPr>
      <w:r w:rsidRPr="00E57551">
        <w:rPr>
          <w:rFonts w:ascii="Cambria" w:hAnsi="Cambria"/>
          <w:color w:val="00000A"/>
          <w:sz w:val="20"/>
          <w:szCs w:val="20"/>
        </w:rPr>
        <w:t>ICCAT tiene cuatro proyectos aprobados para su financiación con fondos del GEF. Estos proyectos forman parte de la iniciativa Océanos Comunes - Utilización sostenible y conservación de la biodiversidad en zonas situadas fuera de la jurisdicción nacional del GEF. Los proyectos han seguido avanzando significativamente a lo largo de 2025 y en 2026, como se indica a continuación. </w:t>
      </w:r>
    </w:p>
    <w:p w14:paraId="4F75CC5D" w14:textId="77777777" w:rsidR="00816FB8" w:rsidRPr="00E57551" w:rsidRDefault="00816FB8" w:rsidP="00816FB8">
      <w:pPr>
        <w:tabs>
          <w:tab w:val="left" w:pos="851"/>
        </w:tabs>
        <w:contextualSpacing/>
        <w:jc w:val="both"/>
        <w:rPr>
          <w:rFonts w:ascii="Cambria" w:eastAsia="Calibri" w:hAnsi="Cambria"/>
          <w:color w:val="00000A"/>
          <w:sz w:val="20"/>
          <w:szCs w:val="20"/>
        </w:rPr>
      </w:pPr>
      <w:r w:rsidRPr="00E57551">
        <w:rPr>
          <w:rFonts w:ascii="Cambria" w:hAnsi="Cambria"/>
          <w:color w:val="00000A"/>
          <w:sz w:val="20"/>
          <w:szCs w:val="20"/>
        </w:rPr>
        <w:t>  </w:t>
      </w:r>
    </w:p>
    <w:p w14:paraId="752DF0EF" w14:textId="77777777" w:rsidR="00816FB8" w:rsidRPr="00E57551" w:rsidRDefault="00816FB8" w:rsidP="00816FB8">
      <w:pPr>
        <w:tabs>
          <w:tab w:val="left" w:pos="851"/>
        </w:tabs>
        <w:contextualSpacing/>
        <w:jc w:val="both"/>
        <w:rPr>
          <w:rFonts w:ascii="Cambria" w:eastAsia="Calibri" w:hAnsi="Cambria"/>
          <w:i/>
          <w:iCs/>
          <w:color w:val="00000A"/>
          <w:sz w:val="20"/>
          <w:szCs w:val="20"/>
        </w:rPr>
      </w:pPr>
      <w:r w:rsidRPr="00E57551">
        <w:rPr>
          <w:rFonts w:ascii="Cambria" w:hAnsi="Cambria"/>
          <w:i/>
          <w:color w:val="00000A"/>
          <w:sz w:val="20"/>
          <w:szCs w:val="20"/>
        </w:rPr>
        <w:t>Cumplimiento de las medidas de ICCAT (inspección en puerto) </w:t>
      </w:r>
    </w:p>
    <w:p w14:paraId="7E810944" w14:textId="77777777" w:rsidR="00816FB8" w:rsidRPr="00E57551" w:rsidRDefault="00816FB8" w:rsidP="00816FB8">
      <w:pPr>
        <w:tabs>
          <w:tab w:val="left" w:pos="851"/>
        </w:tabs>
        <w:contextualSpacing/>
        <w:jc w:val="both"/>
        <w:rPr>
          <w:rFonts w:ascii="Cambria" w:eastAsia="Calibri" w:hAnsi="Cambria"/>
          <w:color w:val="00000A"/>
          <w:sz w:val="20"/>
          <w:szCs w:val="20"/>
        </w:rPr>
      </w:pPr>
    </w:p>
    <w:p w14:paraId="374D6D11" w14:textId="77777777" w:rsidR="00816FB8" w:rsidRPr="00E57551" w:rsidRDefault="00816FB8" w:rsidP="00816FB8">
      <w:pPr>
        <w:tabs>
          <w:tab w:val="left" w:pos="851"/>
        </w:tabs>
        <w:contextualSpacing/>
        <w:jc w:val="both"/>
        <w:rPr>
          <w:rFonts w:ascii="Cambria" w:eastAsia="Calibri" w:hAnsi="Cambria"/>
          <w:color w:val="00000A"/>
          <w:sz w:val="20"/>
          <w:szCs w:val="20"/>
        </w:rPr>
      </w:pPr>
      <w:r w:rsidRPr="00E57551">
        <w:rPr>
          <w:rFonts w:ascii="Cambria" w:hAnsi="Cambria"/>
          <w:color w:val="00000A"/>
          <w:sz w:val="20"/>
          <w:szCs w:val="20"/>
        </w:rPr>
        <w:t xml:space="preserve">Este proyecto, de cinco años de duración, tiene como objetivo mejorar el cumplimiento de las medidas de conservación y ordenación de ICCAT, en particular su cumplimiento o el refuerzo de la capacidad de inspección </w:t>
      </w:r>
      <w:r w:rsidRPr="00E57551">
        <w:rPr>
          <w:rFonts w:ascii="Cambria" w:hAnsi="Cambria"/>
          <w:color w:val="00000A"/>
          <w:sz w:val="20"/>
          <w:szCs w:val="20"/>
        </w:rPr>
        <w:lastRenderedPageBreak/>
        <w:t>en puerto. El proyecto consiste principalmente en incorporar un módulo de ICCAT a los cursos de formación organizados por expertos de las CPC y de otras organizaciones. </w:t>
      </w:r>
    </w:p>
    <w:p w14:paraId="305DE64A" w14:textId="77777777" w:rsidR="00816FB8" w:rsidRPr="00E57551" w:rsidRDefault="00816FB8" w:rsidP="00816FB8">
      <w:pPr>
        <w:tabs>
          <w:tab w:val="left" w:pos="851"/>
        </w:tabs>
        <w:contextualSpacing/>
        <w:jc w:val="both"/>
        <w:rPr>
          <w:rFonts w:ascii="Cambria" w:eastAsia="Calibri" w:hAnsi="Cambria"/>
          <w:color w:val="00000A"/>
          <w:sz w:val="20"/>
          <w:szCs w:val="20"/>
        </w:rPr>
      </w:pPr>
      <w:r w:rsidRPr="00E57551">
        <w:rPr>
          <w:rFonts w:ascii="Cambria" w:hAnsi="Cambria"/>
          <w:color w:val="00000A"/>
          <w:sz w:val="20"/>
          <w:szCs w:val="20"/>
        </w:rPr>
        <w:t xml:space="preserve"> </w:t>
      </w:r>
    </w:p>
    <w:p w14:paraId="1D5878CE" w14:textId="77777777" w:rsidR="00816FB8" w:rsidRPr="00E57551" w:rsidRDefault="00816FB8" w:rsidP="00816FB8">
      <w:pPr>
        <w:tabs>
          <w:tab w:val="left" w:pos="851"/>
        </w:tabs>
        <w:spacing w:after="120"/>
        <w:contextualSpacing/>
        <w:jc w:val="both"/>
        <w:rPr>
          <w:rFonts w:ascii="Cambria" w:hAnsi="Cambria"/>
          <w:color w:val="00000A"/>
          <w:sz w:val="20"/>
          <w:szCs w:val="20"/>
        </w:rPr>
      </w:pPr>
      <w:r w:rsidRPr="00E57551">
        <w:rPr>
          <w:rFonts w:ascii="Cambria" w:hAnsi="Cambria"/>
          <w:color w:val="00000A"/>
          <w:sz w:val="20"/>
          <w:szCs w:val="20"/>
        </w:rPr>
        <w:t>Tras una misión de evaluación de necesidades realizada los días 10 y 11 de diciembre de 2025, ICCAT impartió un programa de formación a medida para inspectores portuarios en Senegal, del 30 de marzo al 3 de abril de 2026, en colaboración con la FAO y la Dirección de Protección y Vigilancia Pesquera de Senegal.  Esta iniciativa fue acompañada de grabaciones e entrevistas destinadas a aumentar la visibilidad del programa en la lucha contra la pesca IUU. Está prevista una misión de inspección portuaria en dos fases en Guinea (Rep.) en septiembre de 2026. Dado que ya se ha prestado asistencia o se ha programado la misma a todas las CPC de las categorías A y B en el marco del Grupo de expertos en inspección portuaria para la creación de capacidad y la asistencia (PIEG) con carácter prioritario, la atención se ha centrado en las CPC de la categoría C y en las solicitudes adicionales recibidas de Guinea Ecuatorial, San Vicente y las Granadinas y Panamá (así como una solicitud adicional de Namibia). Se prevé que el Grupo de trabajo permanente para la mejora de las estadísticas y las medidas de conservación de ICCAT (GTP) establezca el orden de prioridad restante en noviembre de 2026. En lo que respecta al apoyo al cumplimiento, Angola acogió una misión del 6 al 8 de julio de 2026 en Talatona, y se había recomendado que Túnez acogiera la misión final de cumplimiento de la fase II del ABNJ en 2027.</w:t>
      </w:r>
    </w:p>
    <w:p w14:paraId="661F3B18"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572AF3C4" w14:textId="77777777" w:rsidR="00816FB8" w:rsidRPr="00E57551" w:rsidRDefault="00816FB8" w:rsidP="00816FB8">
      <w:pPr>
        <w:tabs>
          <w:tab w:val="left" w:pos="851"/>
        </w:tabs>
        <w:spacing w:after="120"/>
        <w:contextualSpacing/>
        <w:jc w:val="both"/>
        <w:rPr>
          <w:rFonts w:ascii="Cambria" w:eastAsia="Calibri" w:hAnsi="Cambria"/>
          <w:i/>
          <w:iCs/>
          <w:color w:val="00000A"/>
          <w:sz w:val="20"/>
          <w:szCs w:val="20"/>
        </w:rPr>
      </w:pPr>
      <w:r w:rsidRPr="00E57551">
        <w:rPr>
          <w:rFonts w:ascii="Cambria" w:hAnsi="Cambria"/>
          <w:i/>
          <w:color w:val="00000A"/>
          <w:sz w:val="20"/>
          <w:szCs w:val="20"/>
        </w:rPr>
        <w:t>Sistema integrado de gestión en línea (IOMS) </w:t>
      </w:r>
    </w:p>
    <w:p w14:paraId="25D67D32"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308DBC95"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Este proyecto de cinco años mejora el sistema IOMS de ICCAT, que permite la gestión centralizada en línea de los datos para su comunicación, validación, almacenamiento y acceso (en muchos casos, con difusión pública de los datos a través de servicios web). Estos sistemas son fundamentales para la implementación eficaz de las medidas de conservación y ordenación. </w:t>
      </w:r>
    </w:p>
    <w:p w14:paraId="48887CAA"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37236C1C" w14:textId="634ACD3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 xml:space="preserve">Las actividades del IOMS avanzaron según lo previsto durante el año pasado, reflejando las decisiones adoptadas en </w:t>
      </w:r>
      <w:r w:rsidRPr="00E57551">
        <w:rPr>
          <w:rFonts w:ascii="Cambria" w:hAnsi="Cambria"/>
          <w:sz w:val="20"/>
          <w:szCs w:val="20"/>
        </w:rPr>
        <w:t xml:space="preserve">la </w:t>
      </w:r>
      <w:hyperlink r:id="rId14" w:history="1">
        <w:r w:rsidRPr="00E57551">
          <w:rPr>
            <w:rStyle w:val="Hyperlink"/>
            <w:rFonts w:ascii="Cambria" w:hAnsi="Cambria"/>
            <w:sz w:val="20"/>
            <w:szCs w:val="20"/>
            <w:u w:val="none"/>
          </w:rPr>
          <w:t>Reunión del Grupo de trabajo sobre tecnología de comunicación en línea (WG-ORT)</w:t>
        </w:r>
      </w:hyperlink>
      <w:r w:rsidRPr="00E57551">
        <w:rPr>
          <w:rFonts w:ascii="Cambria" w:hAnsi="Cambria"/>
          <w:sz w:val="20"/>
          <w:szCs w:val="20"/>
        </w:rPr>
        <w:t>de 2026</w:t>
      </w:r>
      <w:r w:rsidRPr="00E57551">
        <w:rPr>
          <w:rFonts w:ascii="Cambria" w:hAnsi="Cambria"/>
          <w:color w:val="00000A"/>
          <w:sz w:val="20"/>
          <w:szCs w:val="20"/>
        </w:rPr>
        <w:t xml:space="preserve">. Los módulos  gestor de buques y gestor de formularios puestos en producción el 1 de agosto de 2025, funcionaron sin interrupciones mientras se mejoraban sus funcionalidades (la integración de UN/FLUX en el módulo de gestor de buques seguía en fase de pruebas); el módulo gestor de puertos  se puso en producción en agosto de 2026, y se encontraban en fase de desarrollo otros módulos relacionados con las capturas nominales de la Tarea 1, las tablas de cumplimiento, las capturas y el esfuerzo pesquero de la Tarea 2, y las hojas de comprobación de tiburones e istiofóridos. Gran parte del trabajo se centró en renovar y armonizar las API públicas del IOMS («public-v2»), en estandarizar las especificaciones y los metadatos de las API, en publicar en tiempo real en la página web de ICCAT información sobre el cumplimiento, estadísticas y registros de buques, y la puesta a </w:t>
      </w:r>
      <w:r w:rsidR="00003B41" w:rsidRPr="00E57551">
        <w:rPr>
          <w:rFonts w:ascii="Cambria" w:hAnsi="Cambria"/>
          <w:color w:val="00000A"/>
          <w:sz w:val="20"/>
          <w:szCs w:val="20"/>
        </w:rPr>
        <w:t>disposición</w:t>
      </w:r>
      <w:r w:rsidRPr="00E57551">
        <w:rPr>
          <w:rFonts w:ascii="Cambria" w:hAnsi="Cambria"/>
          <w:color w:val="00000A"/>
          <w:sz w:val="20"/>
          <w:szCs w:val="20"/>
        </w:rPr>
        <w:t xml:space="preserve"> un cliente autónomo experimental para probar las API relacionadas con los buques, sentando así las bases a largo plazo destinadas a beneficiar a los usuarios finales mucho más allá de la finalización del proyecto.</w:t>
      </w:r>
    </w:p>
    <w:p w14:paraId="11906701" w14:textId="77777777" w:rsidR="00003B41" w:rsidRDefault="00003B41" w:rsidP="00816FB8">
      <w:pPr>
        <w:tabs>
          <w:tab w:val="left" w:pos="851"/>
        </w:tabs>
        <w:jc w:val="both"/>
        <w:rPr>
          <w:rFonts w:ascii="Cambria" w:hAnsi="Cambria"/>
          <w:i/>
          <w:color w:val="00000A"/>
          <w:sz w:val="20"/>
          <w:szCs w:val="20"/>
        </w:rPr>
      </w:pPr>
    </w:p>
    <w:p w14:paraId="2A70F374" w14:textId="652D2FD2" w:rsidR="00816FB8" w:rsidRPr="00E57551" w:rsidRDefault="00003B41" w:rsidP="00816FB8">
      <w:pPr>
        <w:tabs>
          <w:tab w:val="left" w:pos="851"/>
        </w:tabs>
        <w:jc w:val="both"/>
        <w:rPr>
          <w:rFonts w:ascii="Cambria" w:eastAsia="Cambria" w:hAnsi="Cambria" w:cs="Cambria"/>
          <w:i/>
          <w:iCs/>
          <w:color w:val="00000A"/>
          <w:sz w:val="20"/>
          <w:szCs w:val="20"/>
        </w:rPr>
      </w:pPr>
      <w:r>
        <w:rPr>
          <w:rFonts w:ascii="Cambria" w:hAnsi="Cambria"/>
          <w:i/>
          <w:color w:val="00000A"/>
          <w:sz w:val="20"/>
          <w:szCs w:val="20"/>
        </w:rPr>
        <w:t>I</w:t>
      </w:r>
      <w:r w:rsidR="00816FB8" w:rsidRPr="00E57551">
        <w:rPr>
          <w:rFonts w:ascii="Cambria" w:hAnsi="Cambria"/>
          <w:i/>
          <w:color w:val="00000A"/>
          <w:sz w:val="20"/>
          <w:szCs w:val="20"/>
        </w:rPr>
        <w:t>ndic</w:t>
      </w:r>
      <w:r w:rsidR="00816FB8" w:rsidRPr="00E57551">
        <w:rPr>
          <w:rFonts w:ascii="Cambria" w:hAnsi="Cambria"/>
          <w:i/>
          <w:color w:val="00000A"/>
          <w:sz w:val="20"/>
          <w:szCs w:val="20"/>
        </w:rPr>
        <w:lastRenderedPageBreak/>
        <w:t>adores y modelos operativos</w:t>
      </w:r>
    </w:p>
    <w:p w14:paraId="4A38684E" w14:textId="77777777" w:rsidR="00816FB8" w:rsidRPr="00E57551" w:rsidRDefault="00816FB8" w:rsidP="00816FB8">
      <w:pPr>
        <w:tabs>
          <w:tab w:val="left" w:pos="851"/>
        </w:tabs>
        <w:jc w:val="both"/>
        <w:rPr>
          <w:rFonts w:ascii="Cambria" w:eastAsia="Cambria" w:hAnsi="Cambria" w:cs="Cambria"/>
          <w:color w:val="00000A"/>
          <w:sz w:val="20"/>
          <w:szCs w:val="20"/>
        </w:rPr>
      </w:pPr>
    </w:p>
    <w:p w14:paraId="710656E5" w14:textId="77777777" w:rsidR="00816FB8" w:rsidRPr="00E57551" w:rsidRDefault="00816FB8" w:rsidP="00816FB8">
      <w:pPr>
        <w:tabs>
          <w:tab w:val="left" w:pos="851"/>
        </w:tabs>
        <w:jc w:val="both"/>
        <w:rPr>
          <w:rFonts w:ascii="Cambria" w:eastAsia="Cambria" w:hAnsi="Cambria" w:cs="Cambria"/>
          <w:color w:val="00000A"/>
          <w:sz w:val="20"/>
          <w:szCs w:val="20"/>
        </w:rPr>
      </w:pPr>
      <w:r w:rsidRPr="00E57551">
        <w:rPr>
          <w:rFonts w:ascii="Cambria" w:hAnsi="Cambria"/>
          <w:color w:val="00000A"/>
          <w:sz w:val="20"/>
          <w:szCs w:val="20"/>
        </w:rPr>
        <w:t>Este proyecto de tres años pretende generar modelos operativos basados en los ecosistemas para poner a prueba los indicadores ecosistémicos y las políticas de ordenación. El objetivo es determinar cuándo unos indicadores determinados reflejan con exactitud el estado del stock o la dinámica del ecosistema.</w:t>
      </w:r>
    </w:p>
    <w:p w14:paraId="1B4071E0" w14:textId="77777777" w:rsidR="00816FB8" w:rsidRPr="00E57551" w:rsidRDefault="00816FB8" w:rsidP="00816FB8">
      <w:pPr>
        <w:tabs>
          <w:tab w:val="left" w:pos="851"/>
        </w:tabs>
        <w:jc w:val="both"/>
        <w:rPr>
          <w:rFonts w:ascii="Cambria" w:eastAsia="Cambria" w:hAnsi="Cambria" w:cs="Cambria"/>
          <w:color w:val="00000A"/>
          <w:sz w:val="20"/>
          <w:szCs w:val="20"/>
        </w:rPr>
      </w:pPr>
      <w:r w:rsidRPr="00E57551">
        <w:rPr>
          <w:rFonts w:ascii="Cambria" w:hAnsi="Cambria"/>
          <w:color w:val="00000A"/>
          <w:sz w:val="20"/>
          <w:szCs w:val="20"/>
        </w:rPr>
        <w:t xml:space="preserve"> </w:t>
      </w:r>
    </w:p>
    <w:p w14:paraId="125D5A65" w14:textId="77777777" w:rsidR="00816FB8" w:rsidRPr="00E57551" w:rsidRDefault="00816FB8" w:rsidP="00816FB8">
      <w:pPr>
        <w:tabs>
          <w:tab w:val="left" w:pos="851"/>
        </w:tabs>
        <w:jc w:val="both"/>
        <w:rPr>
          <w:rFonts w:ascii="Cambria" w:hAnsi="Cambria"/>
          <w:sz w:val="20"/>
          <w:szCs w:val="20"/>
        </w:rPr>
      </w:pPr>
      <w:r w:rsidRPr="00E57551">
        <w:rPr>
          <w:rFonts w:ascii="Cambria" w:hAnsi="Cambria"/>
          <w:sz w:val="20"/>
          <w:szCs w:val="20"/>
        </w:rPr>
        <w:t>Durante los años 2025 y 2026, se avanzó en el marco EcoTest, pasando de una prueba de concepto inicial a un enfoque más general y operativo para desarrollar y poner a prueba indicadores del estado de stock de especies secundarias. Partiendo del trabajo de 2025, que generalizó el método más allá del estudio de caso original sobre la pesca con palangre en el Atlántico norte mediante el Indicador 2 para tiburones, istiofóridos, túnidos, bonitos y carite, y confirmó que los datos de capturas por sí solos resultaban insuficientes para inferir el estado de los stocks, mientras que la combinación de información sobre capturas, ciclo vital, talla, edad y abundancia ofrecía una capacidad predictiva útil, un taller del Grupo de trabajo EcoTest celebrado en septiembre de 2025 revisó el marco y el código base y presentó su informe a la FAO en octubre de 2025. En el trabajo más reciente se introdujo el Indicador 3, que entrena redes neuronales personalizadas a partir de un subconjunto del conjunto de datos maestro de simulación y se aplicó a tres especies de pequeños túnidos que no se evalúan de forma habitual, lo que permitió obtener estimaciones estocásticas provisionales del estado de las stocks; se programó y anunció un tercer taller para septiembre de 2026.</w:t>
      </w:r>
    </w:p>
    <w:p w14:paraId="22619B20" w14:textId="77777777" w:rsidR="00816FB8" w:rsidRPr="00E57551" w:rsidRDefault="00816FB8" w:rsidP="00816FB8">
      <w:pPr>
        <w:tabs>
          <w:tab w:val="left" w:pos="851"/>
        </w:tabs>
        <w:jc w:val="both"/>
        <w:rPr>
          <w:rFonts w:ascii="Cambria" w:hAnsi="Cambria"/>
          <w:sz w:val="20"/>
          <w:szCs w:val="20"/>
        </w:rPr>
      </w:pPr>
    </w:p>
    <w:p w14:paraId="1588EA94" w14:textId="77777777" w:rsidR="00816FB8" w:rsidRPr="00E57551" w:rsidRDefault="00816FB8" w:rsidP="00816FB8">
      <w:pPr>
        <w:tabs>
          <w:tab w:val="left" w:pos="851"/>
        </w:tabs>
        <w:jc w:val="both"/>
        <w:rPr>
          <w:rFonts w:ascii="Cambria" w:eastAsia="Cambria" w:hAnsi="Cambria" w:cs="Cambria"/>
          <w:i/>
          <w:iCs/>
          <w:color w:val="00000A"/>
          <w:sz w:val="20"/>
          <w:szCs w:val="20"/>
        </w:rPr>
      </w:pPr>
      <w:r w:rsidRPr="00E57551">
        <w:rPr>
          <w:rFonts w:ascii="Cambria" w:hAnsi="Cambria"/>
          <w:i/>
          <w:color w:val="00000A"/>
          <w:sz w:val="20"/>
          <w:szCs w:val="20"/>
        </w:rPr>
        <w:t>Armonización del trabajo técnico entre las OROP</w:t>
      </w:r>
    </w:p>
    <w:p w14:paraId="409BDBF9" w14:textId="77777777" w:rsidR="00816FB8" w:rsidRPr="00E57551" w:rsidRDefault="00816FB8" w:rsidP="00816FB8">
      <w:pPr>
        <w:tabs>
          <w:tab w:val="left" w:pos="851"/>
        </w:tabs>
        <w:jc w:val="both"/>
        <w:rPr>
          <w:rFonts w:ascii="Cambria" w:hAnsi="Cambria"/>
          <w:sz w:val="20"/>
          <w:szCs w:val="20"/>
        </w:rPr>
      </w:pPr>
    </w:p>
    <w:p w14:paraId="3652BFBE" w14:textId="77777777" w:rsidR="00816FB8" w:rsidRPr="00E57551" w:rsidRDefault="00816FB8" w:rsidP="00816FB8">
      <w:pPr>
        <w:tabs>
          <w:tab w:val="left" w:pos="851"/>
        </w:tabs>
        <w:jc w:val="both"/>
        <w:rPr>
          <w:rFonts w:ascii="Cambria" w:eastAsia="Cambria" w:hAnsi="Cambria" w:cs="Cambria"/>
          <w:color w:val="00000A"/>
          <w:sz w:val="20"/>
          <w:szCs w:val="20"/>
        </w:rPr>
      </w:pPr>
      <w:r w:rsidRPr="00E57551">
        <w:rPr>
          <w:rFonts w:ascii="Cambria" w:hAnsi="Cambria"/>
          <w:color w:val="00000A"/>
          <w:sz w:val="20"/>
          <w:szCs w:val="20"/>
        </w:rPr>
        <w:t>Este proyecto de tres años proporciona apoyo técnico para la armonización del trabajo entre las OROP de túnidos. El objetivo es coordinar los retos comunes y comunicar mensajes clave sobre los avances en la ordenación de las pesquerías, especialmente en el contexto de los debates en curso sobre BBNJ y el proceso de revisión del Acuerdo de las Naciones Unidas sobre poblaciones de peces.</w:t>
      </w:r>
    </w:p>
    <w:p w14:paraId="1F929F29" w14:textId="77777777" w:rsidR="00816FB8" w:rsidRPr="00E57551" w:rsidRDefault="00816FB8" w:rsidP="00816FB8">
      <w:pPr>
        <w:tabs>
          <w:tab w:val="left" w:pos="851"/>
        </w:tabs>
        <w:jc w:val="both"/>
        <w:rPr>
          <w:rFonts w:ascii="Cambria" w:eastAsia="Cambria" w:hAnsi="Cambria" w:cs="Cambria"/>
          <w:color w:val="00000A"/>
          <w:sz w:val="20"/>
          <w:szCs w:val="20"/>
        </w:rPr>
      </w:pPr>
    </w:p>
    <w:p w14:paraId="56F0B824" w14:textId="77777777" w:rsidR="00816FB8" w:rsidRPr="00E57551" w:rsidRDefault="00816FB8" w:rsidP="00816FB8">
      <w:pPr>
        <w:tabs>
          <w:tab w:val="left" w:pos="851"/>
        </w:tabs>
        <w:jc w:val="both"/>
        <w:rPr>
          <w:rFonts w:ascii="Cambria" w:eastAsia="Cambria" w:hAnsi="Cambria" w:cs="Cambria"/>
          <w:color w:val="00000A"/>
          <w:sz w:val="20"/>
          <w:szCs w:val="20"/>
        </w:rPr>
      </w:pPr>
      <w:r w:rsidRPr="00E57551">
        <w:rPr>
          <w:rFonts w:ascii="Cambria" w:hAnsi="Cambria"/>
          <w:color w:val="00000A"/>
          <w:sz w:val="20"/>
          <w:szCs w:val="20"/>
        </w:rPr>
        <w:t>El taller del Proyecto Atún de Océanos Comunes sobre evaluación de estrategias de ordenación se celebró en la sede de la FAO en Roma del 20 al 22 de enero de 2026, fue convocado por ICCAT en el marco del  Proyecto Atún de Océanos Comunes de la FAO, financiado por GEF, y reunió a participantes de las OROP de túnidos, instituciones científicas, el sector pesquero, la FAO y organizaciones asociadas con el fin de reforzar la colaboración en el desarrollo y la aplicación de MSE y procedimientos de ordenación probados. En el taller se analizaron los avances realizados en las OROP de túnidos y se compararon las vías institucionales, abordando retos comunes como la capacidad técnica, el diálogo entre la ciencia y la ordenación, la participación de las partes interesadas, la comunicación del riesgo y la incertidumbre, los protocolos para circunstancias excepcionales y el tratamiento de las pesquerías mixtas, del cambio climático y de la no estacionariedad. Su principal resultado fue un conjunto de recomendaciones prácticas, elaboradas de forma colaborativa, para el diseño, la implementación y la comunicación de las MSE de las OROP; se ha finalizado el proyecto del informe del taller y se prevé que la FAO lo publique a mediados o finales de 2026.</w:t>
      </w:r>
    </w:p>
    <w:p w14:paraId="6BD52B85" w14:textId="77777777" w:rsidR="00816FB8" w:rsidRDefault="00816FB8" w:rsidP="00816FB8">
      <w:pPr>
        <w:rPr>
          <w:rFonts w:ascii="Cambria" w:hAnsi="Cambria"/>
          <w:sz w:val="20"/>
          <w:szCs w:val="20"/>
        </w:rPr>
      </w:pPr>
    </w:p>
    <w:p w14:paraId="185CA80E" w14:textId="77777777" w:rsidR="00003B41" w:rsidRPr="00E57551" w:rsidRDefault="00003B41" w:rsidP="00816FB8">
      <w:pPr>
        <w:rPr>
          <w:rFonts w:ascii="Cambria" w:hAnsi="Cambria"/>
          <w:sz w:val="20"/>
          <w:szCs w:val="20"/>
        </w:rPr>
      </w:pPr>
    </w:p>
    <w:p w14:paraId="6BF3837A" w14:textId="36452D00" w:rsidR="00816FB8" w:rsidRPr="00E57551" w:rsidRDefault="00003B41" w:rsidP="00816FB8">
      <w:pPr>
        <w:tabs>
          <w:tab w:val="left" w:pos="851"/>
        </w:tabs>
        <w:spacing w:after="120"/>
        <w:contextualSpacing/>
        <w:jc w:val="both"/>
        <w:rPr>
          <w:rFonts w:ascii="Cambria" w:eastAsia="Calibri" w:hAnsi="Cambria"/>
          <w:b/>
          <w:color w:val="00000A"/>
          <w:sz w:val="20"/>
          <w:szCs w:val="20"/>
        </w:rPr>
      </w:pPr>
      <w:r>
        <w:rPr>
          <w:rFonts w:ascii="Cambria" w:hAnsi="Cambria"/>
          <w:b/>
          <w:i/>
          <w:color w:val="00000A"/>
          <w:sz w:val="20"/>
          <w:szCs w:val="20"/>
        </w:rPr>
        <w:t>C</w:t>
      </w:r>
      <w:r w:rsidR="00816FB8" w:rsidRPr="00E57551">
        <w:rPr>
          <w:rFonts w:ascii="Cambria" w:hAnsi="Cambria"/>
          <w:b/>
          <w:i/>
          <w:color w:val="00000A"/>
          <w:sz w:val="20"/>
          <w:szCs w:val="20"/>
        </w:rPr>
        <w:t>onsejo Internacional para la Exploración del mar (ICES)</w:t>
      </w:r>
    </w:p>
    <w:p w14:paraId="7807CA64"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5DEC4DE5"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En 2026, las Secretarías de ICCAT y de ICES mantuvieron contacto en el marco de los mecanismos de coordinación establecidos en el memorando de entendimiento que habían firmado. ICES continuará con su actual proceso de asesoramiento sobre el marrajo sardinero, manteniendo informada a ICCAT, reconociendo la autoridad de ordenación de ICCAT sobre esta pesquería y explorando opciones para una coordinación más estrecha de los futuros asesoramientos científicos, lo que podría incluir una evaluación conjunta de referencia. Asimismo, se están manteniendo conversaciones sobre un posible valor de referencia conjunto de ICCAT e ICES para el marrajo sardinero del Atlántico nororiental, previsto para alrededor de 2029. En términos más generales, ambas organizaciones están estudiando formas de dar mayor eficacia práctica a su memorando de entendimiento mediante intercambios periódicos sobre actividades científicas de interés mutuo y la colaboración en cuestiones transversales, como la ordenación pesquera basada en los ecosistemas y el cambio climático.</w:t>
      </w:r>
    </w:p>
    <w:p w14:paraId="4D7535DD"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154750EF" w14:textId="77777777" w:rsidR="00003B41" w:rsidRDefault="00003B41" w:rsidP="00816FB8">
      <w:pPr>
        <w:tabs>
          <w:tab w:val="left" w:pos="851"/>
        </w:tabs>
        <w:spacing w:after="120"/>
        <w:contextualSpacing/>
        <w:jc w:val="both"/>
        <w:rPr>
          <w:rFonts w:ascii="Cambria" w:hAnsi="Cambria"/>
          <w:b/>
          <w:i/>
          <w:color w:val="00000A"/>
          <w:sz w:val="20"/>
          <w:szCs w:val="20"/>
        </w:rPr>
      </w:pPr>
    </w:p>
    <w:p w14:paraId="31D63122" w14:textId="6BF8A53B"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b/>
          <w:i/>
          <w:color w:val="00000A"/>
          <w:sz w:val="20"/>
          <w:szCs w:val="20"/>
        </w:rPr>
        <w:t>Consejo asesor del Medi</w:t>
      </w:r>
      <w:r w:rsidRPr="00E57551">
        <w:rPr>
          <w:rFonts w:ascii="Cambria" w:hAnsi="Cambria"/>
          <w:b/>
          <w:i/>
          <w:color w:val="00000A"/>
          <w:sz w:val="20"/>
          <w:szCs w:val="20"/>
        </w:rPr>
        <w:lastRenderedPageBreak/>
        <w:t>terráneo (MEDAC)</w:t>
      </w:r>
    </w:p>
    <w:p w14:paraId="0127C005" w14:textId="77777777" w:rsidR="00816FB8" w:rsidRPr="00E57551" w:rsidRDefault="00816FB8" w:rsidP="00816FB8">
      <w:pPr>
        <w:tabs>
          <w:tab w:val="left" w:pos="851"/>
        </w:tabs>
        <w:spacing w:after="120"/>
        <w:contextualSpacing/>
        <w:jc w:val="both"/>
        <w:rPr>
          <w:rFonts w:ascii="Cambria" w:eastAsia="Calibri" w:hAnsi="Cambria"/>
          <w:b/>
          <w:color w:val="00000A"/>
          <w:sz w:val="20"/>
          <w:szCs w:val="20"/>
        </w:rPr>
      </w:pPr>
    </w:p>
    <w:p w14:paraId="6CFE2B0C"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El papel del Consejo asesor del Mediterráneo (MEDAC) incluye la preparación de opiniones sobre aspectos relacionados con la ordenación de pesquerías y socioeconómicos en apoyo del sector pesquero del Mediterráneo, que deben ser enviadas a los Estados miembros y a las instituciones europeas con el fin de facilitar la consecución de los objetivos de la política pesquera común de la Unión Europea (CFP).</w:t>
      </w:r>
    </w:p>
    <w:p w14:paraId="6DC66424"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6EFCBD53"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 xml:space="preserve">En 2025, el MEDAC modificó el calendario del Grupo de Trabajo 2 sobre grandes peces pelágicos, que normalmente se ocupa de las especies de ICCAT en el Mediterráneo. Debido a este cambio, la Secretaría no participó en la reunión de 2025. El informe sobre el asesoramiento del MEDAC relativas a las especies de ICCAT está disponible </w:t>
      </w:r>
      <w:hyperlink r:id="rId15" w:history="1">
        <w:r w:rsidRPr="00E57551">
          <w:rPr>
            <w:rStyle w:val="Hyperlink"/>
            <w:rFonts w:ascii="Cambria" w:hAnsi="Cambria"/>
            <w:sz w:val="20"/>
            <w:szCs w:val="20"/>
            <w:u w:val="none"/>
          </w:rPr>
          <w:t>aquí</w:t>
        </w:r>
      </w:hyperlink>
      <w:r w:rsidRPr="00E57551">
        <w:rPr>
          <w:rFonts w:ascii="Cambria" w:hAnsi="Cambria"/>
          <w:color w:val="00000A"/>
          <w:sz w:val="20"/>
          <w:szCs w:val="20"/>
        </w:rPr>
        <w:t xml:space="preserve">. </w:t>
      </w:r>
    </w:p>
    <w:p w14:paraId="70F809EB" w14:textId="77777777" w:rsidR="00816FB8" w:rsidRDefault="00816FB8" w:rsidP="00816FB8">
      <w:pPr>
        <w:tabs>
          <w:tab w:val="left" w:pos="851"/>
        </w:tabs>
        <w:spacing w:after="120"/>
        <w:contextualSpacing/>
        <w:jc w:val="both"/>
        <w:rPr>
          <w:rFonts w:ascii="Cambria" w:eastAsia="Calibri" w:hAnsi="Cambria"/>
          <w:color w:val="00000A"/>
          <w:sz w:val="20"/>
          <w:szCs w:val="20"/>
        </w:rPr>
      </w:pPr>
    </w:p>
    <w:p w14:paraId="221A519F" w14:textId="66BA16ED" w:rsidR="00003B41" w:rsidRDefault="00003B41">
      <w:pPr>
        <w:spacing w:after="160" w:line="278" w:lineRule="auto"/>
        <w:rPr>
          <w:rFonts w:ascii="Cambria" w:eastAsia="Calibri" w:hAnsi="Cambria"/>
          <w:color w:val="00000A"/>
          <w:sz w:val="20"/>
          <w:szCs w:val="20"/>
        </w:rPr>
      </w:pPr>
      <w:r>
        <w:rPr>
          <w:rFonts w:ascii="Cambria" w:eastAsia="Calibri" w:hAnsi="Cambria"/>
          <w:color w:val="00000A"/>
          <w:sz w:val="20"/>
          <w:szCs w:val="20"/>
        </w:rPr>
        <w:br w:type="page"/>
      </w:r>
    </w:p>
    <w:p w14:paraId="76A16472" w14:textId="64A5F9B7" w:rsidR="00816FB8" w:rsidRPr="00E57551" w:rsidRDefault="00003B41" w:rsidP="00816FB8">
      <w:pPr>
        <w:tabs>
          <w:tab w:val="left" w:pos="851"/>
        </w:tabs>
        <w:spacing w:after="120"/>
        <w:contextualSpacing/>
        <w:jc w:val="both"/>
        <w:rPr>
          <w:rFonts w:ascii="Cambria" w:eastAsia="Calibri" w:hAnsi="Cambria"/>
          <w:i/>
          <w:iCs/>
          <w:color w:val="00000A"/>
          <w:sz w:val="20"/>
          <w:szCs w:val="20"/>
        </w:rPr>
      </w:pPr>
      <w:r>
        <w:rPr>
          <w:rFonts w:ascii="Cambria" w:hAnsi="Cambria"/>
          <w:b/>
          <w:i/>
          <w:color w:val="00000A"/>
          <w:sz w:val="20"/>
          <w:szCs w:val="20"/>
        </w:rPr>
        <w:t>B</w:t>
      </w:r>
      <w:r w:rsidR="00816FB8" w:rsidRPr="00E57551">
        <w:rPr>
          <w:rFonts w:ascii="Cambria" w:hAnsi="Cambria"/>
          <w:b/>
          <w:i/>
          <w:color w:val="00000A"/>
          <w:sz w:val="20"/>
          <w:szCs w:val="20"/>
        </w:rPr>
        <w:t>iodiversidad fuera de la jurisdicción nacional (BBNJ)</w:t>
      </w:r>
    </w:p>
    <w:p w14:paraId="28974ECB" w14:textId="77777777" w:rsidR="00816FB8" w:rsidRPr="00E57551" w:rsidRDefault="00816FB8" w:rsidP="00816FB8">
      <w:pPr>
        <w:jc w:val="both"/>
        <w:rPr>
          <w:rFonts w:ascii="Cambria" w:hAnsi="Cambria"/>
          <w:color w:val="00000A"/>
          <w:sz w:val="20"/>
          <w:szCs w:val="20"/>
        </w:rPr>
      </w:pPr>
    </w:p>
    <w:p w14:paraId="4FB69271" w14:textId="77777777" w:rsidR="00816FB8" w:rsidRPr="00E57551" w:rsidRDefault="00816FB8" w:rsidP="00816FB8">
      <w:pPr>
        <w:jc w:val="both"/>
        <w:rPr>
          <w:rFonts w:ascii="Cambria" w:hAnsi="Cambria"/>
          <w:sz w:val="20"/>
          <w:szCs w:val="20"/>
        </w:rPr>
      </w:pPr>
      <w:r w:rsidRPr="00E57551">
        <w:rPr>
          <w:rFonts w:ascii="Cambria" w:hAnsi="Cambria"/>
          <w:color w:val="00000A"/>
          <w:sz w:val="20"/>
          <w:szCs w:val="20"/>
        </w:rPr>
        <w:t xml:space="preserve">El secretario ejecutivo asistió a la </w:t>
      </w:r>
      <w:hyperlink r:id="rId16" w:history="1">
        <w:r w:rsidRPr="00E57551">
          <w:rPr>
            <w:rStyle w:val="Hyperlink"/>
            <w:rFonts w:ascii="Cambria" w:hAnsi="Cambria"/>
            <w:sz w:val="20"/>
            <w:szCs w:val="20"/>
            <w:u w:val="none"/>
          </w:rPr>
          <w:t>Comisión preparatoria del Acuerdo de la BBNJ – Tercera sesión</w:t>
        </w:r>
      </w:hyperlink>
      <w:r w:rsidRPr="00E57551">
        <w:rPr>
          <w:rFonts w:ascii="Cambria" w:hAnsi="Cambria"/>
          <w:color w:val="00000A"/>
          <w:sz w:val="20"/>
          <w:szCs w:val="20"/>
        </w:rPr>
        <w:t xml:space="preserve"> (presencial/sede de la NU, Nueva York (Estados Unidos), del 30 de marzo al 2 de abril de 202). La Comisión preparatoria siguió debatiendo los asuntos que deberá tratar la primera Conferencia de las Partes, revisando los textos que regulan el funcionamiento de los distintos órganos de la BBNJ. La Comisión preparatoria abordó los siguientes asuntos: el reglamento de la Conferencia de las Partes; el mandato, las modalidades de funcionamiento y el reglamento interno de los órganos subsidiarios, incluido el proceso de selección de sus miembros; las disposiciones relativas al funcionamiento de la Secretaría; las normas financieras, los acuerdos con el Fondo para el Medio Ambiente Mundial, las disposiciones para reforzar la cooperación con los instrumentos y marcos jurídicos pertinentes y con los organismos internacionales, regionales, subregionales y sectoriales pertinentes (IFB), y el fondo fiduciario de contribuciones voluntarias.</w:t>
      </w:r>
      <w:r w:rsidRPr="00E57551">
        <w:rPr>
          <w:rFonts w:ascii="Cambria" w:hAnsi="Cambria"/>
          <w:sz w:val="20"/>
          <w:szCs w:val="20"/>
        </w:rPr>
        <w:t xml:space="preserve"> </w:t>
      </w:r>
    </w:p>
    <w:p w14:paraId="2A1CEAF2" w14:textId="77777777" w:rsidR="00816FB8" w:rsidRPr="00E57551" w:rsidRDefault="00816FB8" w:rsidP="00816FB8">
      <w:pPr>
        <w:jc w:val="both"/>
        <w:rPr>
          <w:rFonts w:ascii="Cambria" w:hAnsi="Cambria"/>
          <w:color w:val="00000A"/>
          <w:sz w:val="20"/>
          <w:szCs w:val="20"/>
        </w:rPr>
      </w:pPr>
      <w:r w:rsidRPr="00E57551">
        <w:rPr>
          <w:rFonts w:ascii="Cambria" w:hAnsi="Cambria"/>
          <w:color w:val="00000A"/>
          <w:sz w:val="20"/>
          <w:szCs w:val="20"/>
        </w:rPr>
        <w:t xml:space="preserve"> </w:t>
      </w:r>
    </w:p>
    <w:p w14:paraId="326DFCFD" w14:textId="77777777" w:rsidR="00816FB8" w:rsidRPr="00E57551" w:rsidRDefault="00816FB8" w:rsidP="00816FB8">
      <w:pPr>
        <w:jc w:val="both"/>
        <w:rPr>
          <w:rFonts w:ascii="Cambria" w:hAnsi="Cambria"/>
          <w:color w:val="00000A"/>
          <w:sz w:val="20"/>
          <w:szCs w:val="20"/>
        </w:rPr>
      </w:pPr>
      <w:r w:rsidRPr="00E57551">
        <w:rPr>
          <w:rFonts w:ascii="Cambria" w:hAnsi="Cambria"/>
          <w:color w:val="00000A"/>
          <w:sz w:val="20"/>
          <w:szCs w:val="20"/>
        </w:rPr>
        <w:t>Las OROP de túnidos emitieron</w:t>
      </w:r>
      <w:r w:rsidRPr="00E57551">
        <w:rPr>
          <w:rFonts w:ascii="Cambria" w:hAnsi="Cambria"/>
          <w:sz w:val="20"/>
          <w:szCs w:val="20"/>
        </w:rPr>
        <w:t xml:space="preserve"> una </w:t>
      </w:r>
      <w:hyperlink r:id="rId17" w:history="1">
        <w:r w:rsidRPr="00E57551">
          <w:rPr>
            <w:rFonts w:ascii="Cambria" w:hAnsi="Cambria"/>
            <w:sz w:val="20"/>
            <w:szCs w:val="20"/>
          </w:rPr>
          <w:t>Declaración conjunta</w:t>
        </w:r>
      </w:hyperlink>
      <w:r w:rsidRPr="00E57551">
        <w:rPr>
          <w:rFonts w:ascii="Cambria" w:hAnsi="Cambria"/>
          <w:sz w:val="20"/>
          <w:szCs w:val="20"/>
        </w:rPr>
        <w:t xml:space="preserve"> durante la reunión. Al igual que en las reuniones anteriores, recordaron su experiencia en la conservación y la ordena</w:t>
      </w:r>
      <w:r w:rsidRPr="00E57551">
        <w:rPr>
          <w:rFonts w:ascii="Cambria" w:hAnsi="Cambria"/>
          <w:color w:val="00000A"/>
          <w:sz w:val="20"/>
          <w:szCs w:val="20"/>
        </w:rPr>
        <w:t>ción de los stocks pesqueros, lo que contribuye a la conservación de la biodiversidad.</w:t>
      </w:r>
    </w:p>
    <w:p w14:paraId="408F3CCB" w14:textId="77777777" w:rsidR="00816FB8" w:rsidRPr="00E57551" w:rsidRDefault="00816FB8" w:rsidP="00816FB8">
      <w:pPr>
        <w:jc w:val="both"/>
        <w:rPr>
          <w:rFonts w:ascii="Cambria" w:hAnsi="Cambria"/>
          <w:color w:val="00000A"/>
          <w:sz w:val="20"/>
          <w:szCs w:val="20"/>
        </w:rPr>
      </w:pPr>
    </w:p>
    <w:p w14:paraId="521C0B24" w14:textId="77777777" w:rsidR="00816FB8" w:rsidRPr="00E57551" w:rsidRDefault="00816FB8" w:rsidP="00816FB8">
      <w:pPr>
        <w:jc w:val="both"/>
        <w:rPr>
          <w:rFonts w:ascii="Cambria" w:hAnsi="Cambria"/>
          <w:sz w:val="20"/>
          <w:szCs w:val="20"/>
        </w:rPr>
      </w:pPr>
      <w:r w:rsidRPr="00E57551">
        <w:rPr>
          <w:rFonts w:ascii="Cambria" w:hAnsi="Cambria"/>
          <w:color w:val="00000A"/>
          <w:sz w:val="20"/>
          <w:szCs w:val="20"/>
        </w:rPr>
        <w:t xml:space="preserve">La primera reunión de la Conferencia de las Partes del Acuerdo BBNJ se celebrará del 11 al 22 de enero de 2027 en la sede de las Naciones Unidas. </w:t>
      </w:r>
      <w:r w:rsidRPr="00E57551">
        <w:rPr>
          <w:rFonts w:ascii="Cambria" w:hAnsi="Cambria"/>
          <w:sz w:val="20"/>
          <w:szCs w:val="20"/>
        </w:rPr>
        <w:t xml:space="preserve">Enlace a la </w:t>
      </w:r>
      <w:hyperlink r:id="rId18" w:history="1">
        <w:r w:rsidRPr="00E57551">
          <w:rPr>
            <w:rStyle w:val="Hyperlink"/>
            <w:rFonts w:ascii="Cambria" w:hAnsi="Cambria"/>
            <w:sz w:val="20"/>
            <w:szCs w:val="20"/>
            <w:u w:val="none"/>
          </w:rPr>
          <w:t>página web de BBNJ</w:t>
        </w:r>
      </w:hyperlink>
      <w:r w:rsidRPr="00E57551">
        <w:rPr>
          <w:rFonts w:ascii="Cambria" w:hAnsi="Cambria"/>
          <w:sz w:val="20"/>
          <w:szCs w:val="20"/>
        </w:rPr>
        <w:t>.</w:t>
      </w:r>
    </w:p>
    <w:p w14:paraId="18E4444A" w14:textId="77777777" w:rsidR="00816FB8" w:rsidRPr="00E57551" w:rsidRDefault="00816FB8" w:rsidP="00816FB8">
      <w:pPr>
        <w:jc w:val="both"/>
        <w:rPr>
          <w:rFonts w:ascii="Cambria" w:hAnsi="Cambria"/>
          <w:sz w:val="20"/>
          <w:szCs w:val="20"/>
        </w:rPr>
      </w:pPr>
    </w:p>
    <w:p w14:paraId="5BD49E93" w14:textId="77777777" w:rsidR="00003B41" w:rsidRDefault="00003B41" w:rsidP="00816FB8">
      <w:pPr>
        <w:tabs>
          <w:tab w:val="left" w:pos="851"/>
        </w:tabs>
        <w:spacing w:after="120"/>
        <w:contextualSpacing/>
        <w:jc w:val="both"/>
        <w:rPr>
          <w:rFonts w:ascii="Cambria" w:hAnsi="Cambria"/>
          <w:b/>
          <w:i/>
          <w:color w:val="00000A"/>
          <w:sz w:val="20"/>
          <w:szCs w:val="20"/>
        </w:rPr>
      </w:pPr>
    </w:p>
    <w:p w14:paraId="081C870E" w14:textId="4B49732F" w:rsidR="00816FB8" w:rsidRPr="00E57551" w:rsidRDefault="00816FB8" w:rsidP="00816FB8">
      <w:pPr>
        <w:tabs>
          <w:tab w:val="left" w:pos="851"/>
        </w:tabs>
        <w:spacing w:after="120"/>
        <w:contextualSpacing/>
        <w:jc w:val="both"/>
        <w:rPr>
          <w:rFonts w:ascii="Cambria" w:eastAsia="Calibri" w:hAnsi="Cambria"/>
          <w:b/>
          <w:bCs/>
          <w:i/>
          <w:iCs/>
          <w:color w:val="00000A"/>
          <w:sz w:val="20"/>
          <w:szCs w:val="20"/>
        </w:rPr>
      </w:pPr>
      <w:r w:rsidRPr="00E57551">
        <w:rPr>
          <w:rFonts w:ascii="Cambria" w:hAnsi="Cambria"/>
          <w:b/>
          <w:i/>
          <w:color w:val="00000A"/>
          <w:sz w:val="20"/>
          <w:szCs w:val="20"/>
        </w:rPr>
        <w:t>Organización de Pesquerías del Atlántico Noroeste (NAFO)</w:t>
      </w:r>
    </w:p>
    <w:p w14:paraId="4975D217"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4809AA6D"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A raíz de la decisión adoptada por la Comisión en su Reunión anual de 2025 sobre el refuerzo de la cooperación con la NAFO, la Secretaría se ha mantenido en contacto con la NAFO. En marzo de 2026, al margen de la tercera reunión de la Comisión Preparatoria (PrepCom) de BBNJ celebrada en Nueva York, los secretarios ejecutivos de la NAFO e ICCAT debatieron la propuesta de cooperación. Tras esa reunión, las dos Secretarías trabajaron en un proyecto de memorando de entendimiento y acordaron un texto a su nivel, sujeto a sus respectivos procedimientos internos de aprobación. Dado que la reunión de la NAFO se celebrará antes, la NAFO indicó que informaría a ICCAT sobre los resultados una vez finalizada dicha reunión.</w:t>
      </w:r>
    </w:p>
    <w:p w14:paraId="35DBEAEB"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2671A314" w14:textId="77777777" w:rsidR="00003B41" w:rsidRDefault="00003B41" w:rsidP="00816FB8">
      <w:pPr>
        <w:tabs>
          <w:tab w:val="left" w:pos="851"/>
        </w:tabs>
        <w:spacing w:after="120"/>
        <w:contextualSpacing/>
        <w:jc w:val="both"/>
        <w:rPr>
          <w:rFonts w:ascii="Cambria" w:hAnsi="Cambria"/>
          <w:b/>
          <w:i/>
          <w:color w:val="00000A"/>
          <w:sz w:val="20"/>
          <w:szCs w:val="20"/>
        </w:rPr>
      </w:pPr>
    </w:p>
    <w:p w14:paraId="50D0129C" w14:textId="1B5BA911" w:rsidR="00816FB8" w:rsidRPr="00E57551" w:rsidRDefault="00816FB8" w:rsidP="00816FB8">
      <w:pPr>
        <w:tabs>
          <w:tab w:val="left" w:pos="851"/>
        </w:tabs>
        <w:spacing w:after="120"/>
        <w:contextualSpacing/>
        <w:jc w:val="both"/>
        <w:rPr>
          <w:rFonts w:ascii="Cambria" w:eastAsia="Calibri" w:hAnsi="Cambria"/>
          <w:b/>
          <w:bCs/>
          <w:i/>
          <w:iCs/>
          <w:color w:val="00000A"/>
          <w:sz w:val="20"/>
          <w:szCs w:val="20"/>
        </w:rPr>
      </w:pPr>
      <w:r w:rsidRPr="00E57551">
        <w:rPr>
          <w:rFonts w:ascii="Cambria" w:hAnsi="Cambria"/>
          <w:b/>
          <w:i/>
          <w:color w:val="00000A"/>
          <w:sz w:val="20"/>
          <w:szCs w:val="20"/>
        </w:rPr>
        <w:t>Comisión de Pesca del Atlántico Nordeste (NEAFC)</w:t>
      </w:r>
    </w:p>
    <w:p w14:paraId="5966D153"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58793125"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t>A raíz de la decisión adoptada por la Comisión en su Reunión anual de 2025 sobre el refuerzo de la cooperación con la NEAFC, la Secretaría se ha mantenido en contacto con la NEAFC. En marzo de 2026, al margen de la Tercera reunión de la Comisión Preparatoria (PrepCom) de BBNJ celebrada en Nueva York, los secretarios ejecutivos de la NEAFC y ICCAT debatieron sobre la propuesta de cooperación. Tras esa reunión, las dos Secretarías elaboraron un borrador de memorando de entendimiento. Posteriormente, la NEAFC informó a la Secretaría de ICCAT de que aplazaría el examen del memorando de entendimiento hasta la próxima reunión de su Grupo de trabajo estratégico, prevista para 2027.</w:t>
      </w:r>
    </w:p>
    <w:p w14:paraId="3C5F4A09"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236A569B" w14:textId="77777777" w:rsidR="00003B41" w:rsidRDefault="00003B41" w:rsidP="00816FB8">
      <w:pPr>
        <w:tabs>
          <w:tab w:val="left" w:pos="851"/>
        </w:tabs>
        <w:spacing w:after="120"/>
        <w:contextualSpacing/>
        <w:jc w:val="both"/>
        <w:rPr>
          <w:rFonts w:ascii="Cambria" w:hAnsi="Cambria"/>
          <w:b/>
          <w:i/>
          <w:color w:val="00000A"/>
          <w:sz w:val="20"/>
          <w:szCs w:val="20"/>
        </w:rPr>
      </w:pPr>
    </w:p>
    <w:p w14:paraId="2EA7FCD5" w14:textId="7B706F4A" w:rsidR="00816FB8" w:rsidRPr="00E57551" w:rsidRDefault="00816FB8" w:rsidP="00816FB8">
      <w:pPr>
        <w:tabs>
          <w:tab w:val="left" w:pos="851"/>
        </w:tabs>
        <w:spacing w:after="120"/>
        <w:contextualSpacing/>
        <w:jc w:val="both"/>
        <w:rPr>
          <w:rFonts w:ascii="Cambria" w:eastAsia="Calibri" w:hAnsi="Cambria"/>
          <w:b/>
          <w:bCs/>
          <w:i/>
          <w:iCs/>
          <w:color w:val="00000A"/>
          <w:sz w:val="20"/>
          <w:szCs w:val="20"/>
        </w:rPr>
      </w:pPr>
      <w:r w:rsidRPr="00E57551">
        <w:rPr>
          <w:rFonts w:ascii="Cambria" w:hAnsi="Cambria"/>
          <w:b/>
          <w:i/>
          <w:color w:val="00000A"/>
          <w:sz w:val="20"/>
          <w:szCs w:val="20"/>
        </w:rPr>
        <w:t>Comisión para la protección del medio ambiente marino del Atlántico nordeste (OSPAR)</w:t>
      </w:r>
    </w:p>
    <w:p w14:paraId="7D9B4EBE"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4A28C748"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hAnsi="Cambria"/>
          <w:color w:val="00000A"/>
          <w:sz w:val="20"/>
          <w:szCs w:val="20"/>
        </w:rPr>
        <w:lastRenderedPageBreak/>
        <w:t>En junio de 2026, la Secretaría del Convenio para la protección del medio marino del Atlántico nordeste (OSPAR) se puso en contacto con la Secretaría de ICCAT para analizar la posibilidad de establecer un memorando de entendimiento con el fin de reforzar aún más la cooperación entre ambas organizaciones. La Secretaría de ICCAT tomó nota de la solicitud e informó a OSPAR de que planteará el asunto en la Reunión anual de la Comisión con el fin de recabar orientación sobre los pasos a seguir. Dado que la reunión de OSPAR se celebrará antes que la de ICCAT, se solicitó asimismo que se mantuviera informada a la Secretaría de las conclusiones de la reunión de OSPAR.</w:t>
      </w:r>
    </w:p>
    <w:p w14:paraId="19720387" w14:textId="77777777" w:rsidR="00816FB8" w:rsidRPr="00E57551" w:rsidRDefault="00816FB8" w:rsidP="00816FB8">
      <w:pPr>
        <w:tabs>
          <w:tab w:val="left" w:pos="851"/>
        </w:tabs>
        <w:spacing w:after="120"/>
        <w:contextualSpacing/>
        <w:jc w:val="both"/>
        <w:rPr>
          <w:rFonts w:ascii="Cambria" w:eastAsia="Calibri" w:hAnsi="Cambria"/>
          <w:bCs/>
          <w:color w:val="00000A"/>
          <w:sz w:val="20"/>
          <w:szCs w:val="20"/>
        </w:rPr>
      </w:pPr>
    </w:p>
    <w:p w14:paraId="499D6A72" w14:textId="77777777" w:rsidR="00003B41" w:rsidRDefault="00003B41">
      <w:pPr>
        <w:spacing w:after="160" w:line="278" w:lineRule="auto"/>
        <w:rPr>
          <w:rFonts w:ascii="Cambria" w:hAnsi="Cambria"/>
          <w:b/>
          <w:i/>
          <w:color w:val="00000A"/>
          <w:sz w:val="20"/>
          <w:szCs w:val="20"/>
        </w:rPr>
      </w:pPr>
      <w:r>
        <w:rPr>
          <w:rFonts w:ascii="Cambria" w:hAnsi="Cambria"/>
          <w:b/>
          <w:i/>
          <w:color w:val="00000A"/>
          <w:sz w:val="20"/>
          <w:szCs w:val="20"/>
        </w:rPr>
        <w:br w:type="page"/>
      </w:r>
    </w:p>
    <w:p w14:paraId="45FE1AE0" w14:textId="37097334" w:rsidR="00816FB8" w:rsidRPr="00E57551" w:rsidRDefault="00816FB8" w:rsidP="00816FB8">
      <w:pPr>
        <w:jc w:val="both"/>
        <w:rPr>
          <w:rFonts w:ascii="Cambria" w:hAnsi="Cambria"/>
          <w:b/>
          <w:bCs/>
          <w:i/>
          <w:iCs/>
          <w:color w:val="00000A"/>
          <w:sz w:val="20"/>
          <w:szCs w:val="20"/>
        </w:rPr>
      </w:pPr>
      <w:r w:rsidRPr="00E57551">
        <w:rPr>
          <w:rFonts w:ascii="Cambria" w:hAnsi="Cambria"/>
          <w:b/>
          <w:i/>
          <w:color w:val="00000A"/>
          <w:sz w:val="20"/>
          <w:szCs w:val="20"/>
        </w:rPr>
        <w:lastRenderedPageBreak/>
        <w:t>Jornada sobre cuestiones de distribución relacionadas con la pesca de túnidos</w:t>
      </w:r>
    </w:p>
    <w:p w14:paraId="4059CC21" w14:textId="77777777" w:rsidR="00816FB8" w:rsidRPr="00E57551" w:rsidRDefault="00816FB8" w:rsidP="00816FB8">
      <w:pPr>
        <w:jc w:val="both"/>
        <w:rPr>
          <w:rFonts w:ascii="Cambria" w:hAnsi="Cambria"/>
          <w:b/>
          <w:bCs/>
          <w:color w:val="00000A"/>
          <w:sz w:val="20"/>
          <w:szCs w:val="20"/>
        </w:rPr>
      </w:pPr>
    </w:p>
    <w:p w14:paraId="4FF8F623" w14:textId="77777777" w:rsidR="00816FB8" w:rsidRPr="00E57551" w:rsidRDefault="00816FB8" w:rsidP="00816FB8">
      <w:pPr>
        <w:jc w:val="both"/>
        <w:rPr>
          <w:rFonts w:ascii="Cambria" w:hAnsi="Cambria"/>
          <w:color w:val="00000A"/>
          <w:sz w:val="20"/>
          <w:szCs w:val="20"/>
        </w:rPr>
      </w:pPr>
      <w:r w:rsidRPr="00E57551">
        <w:rPr>
          <w:rFonts w:ascii="Cambria" w:hAnsi="Cambria"/>
          <w:color w:val="00000A"/>
          <w:sz w:val="20"/>
          <w:szCs w:val="20"/>
        </w:rPr>
        <w:t xml:space="preserve">La Secretaría participó en un taller dedicado a las cuestiones de distribución relacionadas con la pesca de túnidos, que se celebró en Sète (Francia) los días 24 y 25 de marzo de 2026. En el taller se analizaron los principios del bienestar social y la distribución equitativa, basados en la teoría, y cómo podrían trasladarse estos principios a los debates sobre los derechos de asignación en las organizaciones regionales de ordenación pesquera del túnidos (OROP de túnidos). Se debatieron los objetivos y los principios que rigen el proceso de asignación de recursos de uso común, en particular en lo que respecta al concepto de igualdad de oportunidades. Entre otros aspectos tratados figuraban: i) la identificación de principios de equidad y justicia adaptados a la asignación de capturas de stock transfronterizos de túnidos, especialmente en el contexto específico de la pesca en el océano Índico; y ii) la definición de indicadores y métricas operativos correspondientes a dichos principios de asignación. </w:t>
      </w:r>
    </w:p>
    <w:p w14:paraId="1D0788FD" w14:textId="77777777" w:rsidR="00816FB8" w:rsidRPr="00E57551" w:rsidRDefault="00816FB8" w:rsidP="00816FB8">
      <w:pPr>
        <w:jc w:val="both"/>
        <w:rPr>
          <w:rFonts w:ascii="Cambria" w:hAnsi="Cambria"/>
          <w:color w:val="00000A"/>
          <w:sz w:val="20"/>
          <w:szCs w:val="20"/>
        </w:rPr>
      </w:pPr>
    </w:p>
    <w:p w14:paraId="451F1772" w14:textId="77777777" w:rsidR="00816FB8" w:rsidRPr="00E57551" w:rsidRDefault="00816FB8" w:rsidP="00816FB8">
      <w:pPr>
        <w:jc w:val="both"/>
        <w:rPr>
          <w:rFonts w:ascii="Cambria" w:hAnsi="Cambria"/>
          <w:color w:val="00000A"/>
          <w:sz w:val="20"/>
          <w:szCs w:val="20"/>
        </w:rPr>
      </w:pPr>
      <w:r w:rsidRPr="00E57551">
        <w:rPr>
          <w:rFonts w:ascii="Cambria" w:hAnsi="Cambria"/>
          <w:color w:val="00000A"/>
          <w:sz w:val="20"/>
          <w:szCs w:val="20"/>
        </w:rPr>
        <w:t xml:space="preserve">La Secretaría presentó un resumen sobre la importancia de la información y los datos científicos para las normas de acceso vigentes en ICCAT. </w:t>
      </w:r>
    </w:p>
    <w:p w14:paraId="54D33978" w14:textId="77777777" w:rsidR="00816FB8" w:rsidRPr="00E57551" w:rsidRDefault="00816FB8" w:rsidP="00816FB8">
      <w:pPr>
        <w:jc w:val="both"/>
        <w:rPr>
          <w:rFonts w:ascii="Cambria" w:hAnsi="Cambria"/>
          <w:color w:val="00000A"/>
          <w:sz w:val="20"/>
          <w:szCs w:val="20"/>
        </w:rPr>
      </w:pPr>
    </w:p>
    <w:p w14:paraId="46508E41" w14:textId="77777777" w:rsidR="00816FB8" w:rsidRPr="00E57551" w:rsidRDefault="00816FB8" w:rsidP="00816FB8">
      <w:pPr>
        <w:jc w:val="both"/>
        <w:rPr>
          <w:rFonts w:ascii="Cambria" w:hAnsi="Cambria"/>
          <w:color w:val="00000A"/>
          <w:sz w:val="20"/>
          <w:szCs w:val="20"/>
        </w:rPr>
      </w:pPr>
      <w:r w:rsidRPr="00E57551">
        <w:rPr>
          <w:rFonts w:ascii="Cambria" w:hAnsi="Cambria"/>
          <w:color w:val="00000A"/>
          <w:sz w:val="20"/>
          <w:szCs w:val="20"/>
        </w:rPr>
        <w:t xml:space="preserve">Se está preparando un artículo para su publicación en una revista con revisión por pares titulada «Asignación justa y equitativa para la pesca transfronteriza del atún» que reflejará los principales resultados y conclusiones del taller y que se enviará a la revista Fish and Fisheries.  </w:t>
      </w:r>
    </w:p>
    <w:p w14:paraId="1B6E2F67" w14:textId="77777777" w:rsidR="00816FB8" w:rsidRPr="00E57551" w:rsidRDefault="00816FB8" w:rsidP="00816FB8">
      <w:pPr>
        <w:tabs>
          <w:tab w:val="left" w:pos="851"/>
        </w:tabs>
        <w:spacing w:after="120"/>
        <w:contextualSpacing/>
        <w:jc w:val="both"/>
        <w:rPr>
          <w:rFonts w:ascii="Cambria" w:eastAsia="Calibri" w:hAnsi="Cambria"/>
          <w:bCs/>
          <w:color w:val="00000A"/>
          <w:sz w:val="20"/>
          <w:szCs w:val="20"/>
        </w:rPr>
      </w:pPr>
    </w:p>
    <w:p w14:paraId="210195DF" w14:textId="77777777" w:rsidR="00003B41" w:rsidRDefault="00003B41" w:rsidP="00816FB8">
      <w:pPr>
        <w:tabs>
          <w:tab w:val="left" w:pos="851"/>
        </w:tabs>
        <w:spacing w:after="120"/>
        <w:contextualSpacing/>
        <w:jc w:val="both"/>
        <w:rPr>
          <w:rFonts w:ascii="Cambria" w:hAnsi="Cambria"/>
          <w:b/>
          <w:bCs/>
          <w:i/>
          <w:iCs/>
          <w:color w:val="00000A"/>
          <w:sz w:val="20"/>
          <w:szCs w:val="20"/>
        </w:rPr>
      </w:pPr>
    </w:p>
    <w:p w14:paraId="0E391B4B" w14:textId="54DF5657" w:rsidR="00816FB8" w:rsidRPr="00E57551" w:rsidRDefault="00816FB8" w:rsidP="00816FB8">
      <w:pPr>
        <w:tabs>
          <w:tab w:val="left" w:pos="851"/>
        </w:tabs>
        <w:spacing w:after="120"/>
        <w:contextualSpacing/>
        <w:jc w:val="both"/>
        <w:rPr>
          <w:rFonts w:ascii="Cambria" w:eastAsia="Calibri" w:hAnsi="Cambria"/>
          <w:bCs/>
          <w:i/>
          <w:iCs/>
          <w:color w:val="00000A"/>
          <w:sz w:val="20"/>
          <w:szCs w:val="20"/>
        </w:rPr>
      </w:pPr>
      <w:r w:rsidRPr="00E57551">
        <w:rPr>
          <w:rFonts w:ascii="Cambria" w:hAnsi="Cambria"/>
          <w:b/>
          <w:bCs/>
          <w:i/>
          <w:iCs/>
          <w:color w:val="00000A"/>
          <w:sz w:val="20"/>
          <w:szCs w:val="20"/>
        </w:rPr>
        <w:t>Grupo de coordinación regional de la Unión Europea sobre grandes especies pelágicas (RCG LP)</w:t>
      </w:r>
    </w:p>
    <w:p w14:paraId="3FD8D41A"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7C4DCAB3"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r w:rsidRPr="00E57551">
        <w:rPr>
          <w:rFonts w:ascii="Cambria" w:eastAsia="Calibri" w:hAnsi="Cambria"/>
          <w:color w:val="00000A"/>
          <w:sz w:val="20"/>
          <w:szCs w:val="20"/>
        </w:rPr>
        <w:t xml:space="preserve">La Secretaría fue invitada y participó de forma remota en la Reunión anual de 2026 del Grupo de coordinación regional de la Unión Europea sobre grandes especies pelágicas (RCG LP), celebrada en Heraclión (Grecia) del 23 al 25 de junio de 2026. En la reunión se abordó la coordinación de la recopilación y la comunicación de datos sobre las pesquerías de grandes pelágicos por parte de los Estados miembros de la UE, incluida la preparación del Plan de trabajo regional para 2028-2030, los avances en las bases de datos regionales y la transmisión de datos a ICCAT y a la IOTC. La Secretaría presentó una visión general de los requisitos de comunicación de estadísticas de ICCAT, DE las herramientas disponibles para la difusión y evaluación de datos, y del desempeño de los Estados miembros de la UE en materia de comunicación de información. Asimismo, destacó los ámbitos en los que sería beneficioso introducir nuevas mejoras en el envío de datos por parte de la UE, en particular en lo que respecta a la exhaustividad, la coherencia y la estandarización de los conjuntos de datos de las Tareas 1 y 2, así como la necesidad de seguir mejorando las herramientas para facilitar el examen y verificación de los datos. </w:t>
      </w:r>
    </w:p>
    <w:p w14:paraId="4F662C63" w14:textId="77777777" w:rsidR="00816FB8" w:rsidRPr="00E57551" w:rsidRDefault="00816FB8" w:rsidP="00816FB8">
      <w:pPr>
        <w:tabs>
          <w:tab w:val="left" w:pos="851"/>
        </w:tabs>
        <w:spacing w:after="120"/>
        <w:contextualSpacing/>
        <w:jc w:val="both"/>
        <w:rPr>
          <w:rFonts w:ascii="Cambria" w:hAnsi="Cambria"/>
          <w:color w:val="00000A"/>
          <w:sz w:val="20"/>
          <w:szCs w:val="20"/>
        </w:rPr>
      </w:pPr>
      <w:r w:rsidRPr="00E57551">
        <w:rPr>
          <w:rFonts w:ascii="Cambria" w:hAnsi="Cambria"/>
          <w:color w:val="00000A"/>
          <w:sz w:val="20"/>
          <w:szCs w:val="20"/>
        </w:rPr>
        <w:t xml:space="preserve"> </w:t>
      </w:r>
    </w:p>
    <w:p w14:paraId="1DC1B971" w14:textId="77777777" w:rsidR="00816FB8" w:rsidRPr="00E57551" w:rsidRDefault="00816FB8" w:rsidP="00816FB8">
      <w:pPr>
        <w:tabs>
          <w:tab w:val="left" w:pos="851"/>
        </w:tabs>
        <w:spacing w:after="120"/>
        <w:contextualSpacing/>
        <w:jc w:val="both"/>
        <w:rPr>
          <w:rFonts w:ascii="Cambria" w:hAnsi="Cambria"/>
          <w:color w:val="00000A"/>
          <w:sz w:val="20"/>
          <w:szCs w:val="20"/>
        </w:rPr>
      </w:pPr>
    </w:p>
    <w:p w14:paraId="2BF3F7F9" w14:textId="77777777" w:rsidR="00816FB8" w:rsidRPr="00E57551" w:rsidRDefault="00816FB8" w:rsidP="00816FB8">
      <w:pPr>
        <w:tabs>
          <w:tab w:val="left" w:pos="851"/>
        </w:tabs>
        <w:spacing w:after="120"/>
        <w:contextualSpacing/>
        <w:jc w:val="both"/>
        <w:rPr>
          <w:rFonts w:ascii="Cambria" w:eastAsia="Calibri" w:hAnsi="Cambria"/>
          <w:color w:val="00000A"/>
          <w:sz w:val="20"/>
          <w:szCs w:val="20"/>
        </w:rPr>
      </w:pPr>
    </w:p>
    <w:p w14:paraId="7521B61E" w14:textId="77777777" w:rsidR="00816FB8" w:rsidRPr="00055339" w:rsidRDefault="00816FB8" w:rsidP="00F2499A">
      <w:pPr>
        <w:spacing w:after="120"/>
        <w:ind w:left="426" w:hanging="426"/>
        <w:contextualSpacing/>
        <w:jc w:val="center"/>
        <w:rPr>
          <w:rFonts w:ascii="Cambria" w:eastAsia="Calibri" w:hAnsi="Cambria"/>
          <w:b/>
          <w:color w:val="00000A"/>
          <w:sz w:val="20"/>
          <w:szCs w:val="20"/>
        </w:rPr>
      </w:pPr>
    </w:p>
    <w:sectPr w:rsidR="00816FB8" w:rsidRPr="00055339" w:rsidSect="00F2499A">
      <w:headerReference w:type="default" r:id="rId19"/>
      <w:footerReference w:type="default" r:id="rId20"/>
      <w:pgSz w:w="12240" w:h="15840"/>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0EC02" w14:textId="77777777" w:rsidR="008E60D6" w:rsidRDefault="008E60D6" w:rsidP="00F2499A">
      <w:r>
        <w:separator/>
      </w:r>
    </w:p>
  </w:endnote>
  <w:endnote w:type="continuationSeparator" w:id="0">
    <w:p w14:paraId="4752557B" w14:textId="77777777" w:rsidR="008E60D6" w:rsidRDefault="008E60D6" w:rsidP="00F24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EC37" w14:textId="6EF3621B" w:rsidR="00A15558" w:rsidRPr="00A15558" w:rsidRDefault="008E60D6" w:rsidP="00A15558">
    <w:pPr>
      <w:tabs>
        <w:tab w:val="center" w:pos="4535"/>
        <w:tab w:val="center" w:pos="4680"/>
        <w:tab w:val="left" w:pos="6150"/>
        <w:tab w:val="right" w:pos="9360"/>
      </w:tabs>
      <w:jc w:val="center"/>
      <w:rPr>
        <w:rFonts w:ascii="Cambria" w:hAnsi="Cambria"/>
        <w:sz w:val="20"/>
        <w:szCs w:val="20"/>
      </w:rPr>
    </w:pPr>
    <w:sdt>
      <w:sdtPr>
        <w:rPr>
          <w:rFonts w:ascii="Cambria" w:eastAsia="Calibri" w:hAnsi="Cambria" w:cs="Calibri"/>
          <w:sz w:val="20"/>
          <w:szCs w:val="20"/>
        </w:rPr>
        <w:id w:val="399259623"/>
        <w:docPartObj>
          <w:docPartGallery w:val="Page Numbers (Top of Page)"/>
          <w:docPartUnique/>
        </w:docPartObj>
      </w:sdtPr>
      <w:sdtEndPr/>
      <w:sdtContent>
        <w:r w:rsidR="00A15558" w:rsidRPr="00FD26B9">
          <w:rPr>
            <w:rFonts w:ascii="Cambria" w:eastAsia="Calibri" w:hAnsi="Cambria" w:cs="Calibri"/>
            <w:sz w:val="20"/>
          </w:rPr>
          <w:fldChar w:fldCharType="begin"/>
        </w:r>
        <w:r w:rsidR="00A15558" w:rsidRPr="00FD26B9">
          <w:rPr>
            <w:rFonts w:ascii="Cambria" w:eastAsia="Calibri" w:hAnsi="Cambria" w:cs="Calibri"/>
            <w:sz w:val="20"/>
          </w:rPr>
          <w:instrText xml:space="preserve"> PAGE </w:instrText>
        </w:r>
        <w:r w:rsidR="00A15558" w:rsidRPr="00FD26B9">
          <w:rPr>
            <w:rFonts w:ascii="Cambria" w:eastAsia="Calibri" w:hAnsi="Cambria" w:cs="Calibri"/>
            <w:sz w:val="20"/>
          </w:rPr>
          <w:fldChar w:fldCharType="separate"/>
        </w:r>
        <w:r w:rsidR="00A15558">
          <w:rPr>
            <w:rFonts w:ascii="Cambria" w:eastAsia="Calibri" w:hAnsi="Cambria" w:cs="Calibri"/>
            <w:sz w:val="20"/>
          </w:rPr>
          <w:t>1</w:t>
        </w:r>
        <w:r w:rsidR="00A15558" w:rsidRPr="00FD26B9">
          <w:rPr>
            <w:rFonts w:ascii="Cambria" w:eastAsia="Calibri" w:hAnsi="Cambria" w:cs="Calibri"/>
            <w:sz w:val="20"/>
          </w:rPr>
          <w:fldChar w:fldCharType="end"/>
        </w:r>
        <w:r w:rsidR="00721EA8">
          <w:rPr>
            <w:rFonts w:ascii="Cambria" w:hAnsi="Cambria"/>
            <w:sz w:val="20"/>
          </w:rPr>
          <w:t xml:space="preserve"> / </w:t>
        </w:r>
        <w:r w:rsidR="00A15558" w:rsidRPr="00FD26B9">
          <w:rPr>
            <w:rFonts w:ascii="Cambria" w:eastAsia="Calibri" w:hAnsi="Cambria" w:cs="Calibri"/>
            <w:sz w:val="20"/>
          </w:rPr>
          <w:fldChar w:fldCharType="begin"/>
        </w:r>
        <w:r w:rsidR="00A15558" w:rsidRPr="00FD26B9">
          <w:rPr>
            <w:rFonts w:ascii="Cambria" w:eastAsia="Calibri" w:hAnsi="Cambria" w:cs="Calibri"/>
            <w:sz w:val="20"/>
          </w:rPr>
          <w:instrText xml:space="preserve"> NUMPAGES  </w:instrText>
        </w:r>
        <w:r w:rsidR="00A15558" w:rsidRPr="00FD26B9">
          <w:rPr>
            <w:rFonts w:ascii="Cambria" w:eastAsia="Calibri" w:hAnsi="Cambria" w:cs="Calibri"/>
            <w:sz w:val="20"/>
          </w:rPr>
          <w:fldChar w:fldCharType="separate"/>
        </w:r>
        <w:r w:rsidR="00A15558">
          <w:rPr>
            <w:rFonts w:ascii="Cambria" w:eastAsia="Calibri" w:hAnsi="Cambria" w:cs="Calibri"/>
            <w:sz w:val="20"/>
          </w:rPr>
          <w:t>4</w:t>
        </w:r>
        <w:r w:rsidR="00A15558" w:rsidRPr="00FD26B9">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DE498" w14:textId="77777777" w:rsidR="008E60D6" w:rsidRDefault="008E60D6" w:rsidP="00F2499A">
      <w:r>
        <w:separator/>
      </w:r>
    </w:p>
  </w:footnote>
  <w:footnote w:type="continuationSeparator" w:id="0">
    <w:p w14:paraId="61F64FCB" w14:textId="77777777" w:rsidR="008E60D6" w:rsidRDefault="008E60D6" w:rsidP="00F24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6231" w14:textId="27D58BFD" w:rsidR="00F2499A" w:rsidRPr="00F2499A" w:rsidRDefault="00F2499A" w:rsidP="00F2499A">
    <w:pPr>
      <w:tabs>
        <w:tab w:val="center" w:pos="4680"/>
        <w:tab w:val="left" w:pos="6520"/>
        <w:tab w:val="right" w:pos="9360"/>
        <w:tab w:val="right" w:pos="14240"/>
      </w:tabs>
      <w:jc w:val="right"/>
      <w:rPr>
        <w:rFonts w:ascii="Cambria" w:eastAsia="Cambria" w:hAnsi="Cambria" w:cs="Cambria"/>
        <w:b/>
        <w:sz w:val="20"/>
        <w:szCs w:val="20"/>
      </w:rPr>
    </w:pPr>
    <w:r>
      <w:rPr>
        <w:rFonts w:ascii="Cambria" w:hAnsi="Cambria"/>
        <w:b/>
        <w:sz w:val="20"/>
      </w:rPr>
      <w:t>PLE_106/2025</w:t>
    </w:r>
  </w:p>
  <w:p w14:paraId="4B1A8517" w14:textId="16A71239" w:rsidR="00F2499A" w:rsidRDefault="00F2499A" w:rsidP="00F2499A">
    <w:pPr>
      <w:tabs>
        <w:tab w:val="center" w:pos="4680"/>
        <w:tab w:val="right" w:pos="9360"/>
      </w:tabs>
      <w:jc w:val="right"/>
    </w:pPr>
    <w:r>
      <w:rPr>
        <w:rFonts w:ascii="Cambria" w:hAnsi="Cambria"/>
        <w:b/>
        <w:color w:val="000000"/>
        <w:sz w:val="16"/>
      </w:rPr>
      <w:t>13/11/2023 16:25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20734"/>
    <w:multiLevelType w:val="hybridMultilevel"/>
    <w:tmpl w:val="ECD0A1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616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3E"/>
    <w:rsid w:val="00003B41"/>
    <w:rsid w:val="00036907"/>
    <w:rsid w:val="00055339"/>
    <w:rsid w:val="0008370B"/>
    <w:rsid w:val="000A3341"/>
    <w:rsid w:val="000E3428"/>
    <w:rsid w:val="00101259"/>
    <w:rsid w:val="00111E18"/>
    <w:rsid w:val="001133CD"/>
    <w:rsid w:val="00117298"/>
    <w:rsid w:val="00151D8C"/>
    <w:rsid w:val="0015429A"/>
    <w:rsid w:val="00160B06"/>
    <w:rsid w:val="00176518"/>
    <w:rsid w:val="00180BDE"/>
    <w:rsid w:val="001B01A8"/>
    <w:rsid w:val="001C6DBA"/>
    <w:rsid w:val="002031E0"/>
    <w:rsid w:val="00214FDE"/>
    <w:rsid w:val="00221766"/>
    <w:rsid w:val="00225DD0"/>
    <w:rsid w:val="00297934"/>
    <w:rsid w:val="002D0BED"/>
    <w:rsid w:val="002D14D2"/>
    <w:rsid w:val="002E522F"/>
    <w:rsid w:val="003202BF"/>
    <w:rsid w:val="0035289C"/>
    <w:rsid w:val="00356313"/>
    <w:rsid w:val="0036784C"/>
    <w:rsid w:val="00374501"/>
    <w:rsid w:val="0037775D"/>
    <w:rsid w:val="00384BFA"/>
    <w:rsid w:val="003D7E9C"/>
    <w:rsid w:val="004103DD"/>
    <w:rsid w:val="004419CC"/>
    <w:rsid w:val="00445FC0"/>
    <w:rsid w:val="00475333"/>
    <w:rsid w:val="004C59C2"/>
    <w:rsid w:val="005279B6"/>
    <w:rsid w:val="0055319F"/>
    <w:rsid w:val="005546F0"/>
    <w:rsid w:val="005753AE"/>
    <w:rsid w:val="00581EC5"/>
    <w:rsid w:val="00587ED0"/>
    <w:rsid w:val="005A0B66"/>
    <w:rsid w:val="005B6A81"/>
    <w:rsid w:val="005C2239"/>
    <w:rsid w:val="005D1DA7"/>
    <w:rsid w:val="005E6CA3"/>
    <w:rsid w:val="006312B9"/>
    <w:rsid w:val="00636A25"/>
    <w:rsid w:val="006455A7"/>
    <w:rsid w:val="00660DF1"/>
    <w:rsid w:val="0066306B"/>
    <w:rsid w:val="00663991"/>
    <w:rsid w:val="00694319"/>
    <w:rsid w:val="006A00A3"/>
    <w:rsid w:val="006C5A7F"/>
    <w:rsid w:val="006D30B9"/>
    <w:rsid w:val="006F4CF1"/>
    <w:rsid w:val="007203E9"/>
    <w:rsid w:val="00721EA8"/>
    <w:rsid w:val="00740BD0"/>
    <w:rsid w:val="0074792B"/>
    <w:rsid w:val="007815D4"/>
    <w:rsid w:val="00787C92"/>
    <w:rsid w:val="0080394C"/>
    <w:rsid w:val="00816FB8"/>
    <w:rsid w:val="00852FED"/>
    <w:rsid w:val="00890A85"/>
    <w:rsid w:val="008E60D6"/>
    <w:rsid w:val="00903C5D"/>
    <w:rsid w:val="0092394F"/>
    <w:rsid w:val="00936F2F"/>
    <w:rsid w:val="00957CA6"/>
    <w:rsid w:val="009650D8"/>
    <w:rsid w:val="009657CA"/>
    <w:rsid w:val="00967CDB"/>
    <w:rsid w:val="009823EA"/>
    <w:rsid w:val="009A17FB"/>
    <w:rsid w:val="009B7AE9"/>
    <w:rsid w:val="009F43A7"/>
    <w:rsid w:val="00A15558"/>
    <w:rsid w:val="00A16B4E"/>
    <w:rsid w:val="00A20117"/>
    <w:rsid w:val="00A6111F"/>
    <w:rsid w:val="00A64F65"/>
    <w:rsid w:val="00A770AC"/>
    <w:rsid w:val="00A94B48"/>
    <w:rsid w:val="00B3408F"/>
    <w:rsid w:val="00B61511"/>
    <w:rsid w:val="00B6377A"/>
    <w:rsid w:val="00B67695"/>
    <w:rsid w:val="00BF5F1A"/>
    <w:rsid w:val="00BF666F"/>
    <w:rsid w:val="00C00597"/>
    <w:rsid w:val="00C23975"/>
    <w:rsid w:val="00C75CA9"/>
    <w:rsid w:val="00C91C26"/>
    <w:rsid w:val="00CA27E6"/>
    <w:rsid w:val="00CD134A"/>
    <w:rsid w:val="00CE1808"/>
    <w:rsid w:val="00CE672C"/>
    <w:rsid w:val="00CF7E74"/>
    <w:rsid w:val="00D066D8"/>
    <w:rsid w:val="00D3425C"/>
    <w:rsid w:val="00D50F8C"/>
    <w:rsid w:val="00D5411F"/>
    <w:rsid w:val="00D60236"/>
    <w:rsid w:val="00D73C45"/>
    <w:rsid w:val="00DA3238"/>
    <w:rsid w:val="00DA7D4E"/>
    <w:rsid w:val="00DC0335"/>
    <w:rsid w:val="00DC6473"/>
    <w:rsid w:val="00E03A3E"/>
    <w:rsid w:val="00E07D94"/>
    <w:rsid w:val="00E10F65"/>
    <w:rsid w:val="00E17DC2"/>
    <w:rsid w:val="00E20FF2"/>
    <w:rsid w:val="00E54F3A"/>
    <w:rsid w:val="00EB522F"/>
    <w:rsid w:val="00EC53D1"/>
    <w:rsid w:val="00EC5401"/>
    <w:rsid w:val="00F0218B"/>
    <w:rsid w:val="00F2499A"/>
    <w:rsid w:val="00F30015"/>
    <w:rsid w:val="00F475A0"/>
    <w:rsid w:val="00F53157"/>
    <w:rsid w:val="00F67584"/>
    <w:rsid w:val="00F9580D"/>
    <w:rsid w:val="00FB70EF"/>
    <w:rsid w:val="00FF78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11B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A3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03A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03A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03A3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03A3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03A3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03A3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03A3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03A3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03A3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A3E"/>
    <w:rPr>
      <w:rFonts w:eastAsiaTheme="majorEastAsia" w:cstheme="majorBidi"/>
      <w:color w:val="272727" w:themeColor="text1" w:themeTint="D8"/>
    </w:rPr>
  </w:style>
  <w:style w:type="paragraph" w:styleId="Title">
    <w:name w:val="Title"/>
    <w:basedOn w:val="Normal"/>
    <w:next w:val="Normal"/>
    <w:link w:val="TitleChar"/>
    <w:uiPriority w:val="10"/>
    <w:qFormat/>
    <w:rsid w:val="00E03A3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03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A3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03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A3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03A3E"/>
    <w:rPr>
      <w:i/>
      <w:iCs/>
      <w:color w:val="404040" w:themeColor="text1" w:themeTint="BF"/>
    </w:rPr>
  </w:style>
  <w:style w:type="paragraph" w:styleId="ListParagraph">
    <w:name w:val="List Paragraph"/>
    <w:basedOn w:val="Normal"/>
    <w:uiPriority w:val="34"/>
    <w:qFormat/>
    <w:rsid w:val="00E03A3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03A3E"/>
    <w:rPr>
      <w:i/>
      <w:iCs/>
      <w:color w:val="0F4761" w:themeColor="accent1" w:themeShade="BF"/>
    </w:rPr>
  </w:style>
  <w:style w:type="paragraph" w:styleId="IntenseQuote">
    <w:name w:val="Intense Quote"/>
    <w:basedOn w:val="Normal"/>
    <w:next w:val="Normal"/>
    <w:link w:val="IntenseQuoteChar"/>
    <w:uiPriority w:val="30"/>
    <w:qFormat/>
    <w:rsid w:val="00E03A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03A3E"/>
    <w:rPr>
      <w:i/>
      <w:iCs/>
      <w:color w:val="0F4761" w:themeColor="accent1" w:themeShade="BF"/>
    </w:rPr>
  </w:style>
  <w:style w:type="character" w:styleId="IntenseReference">
    <w:name w:val="Intense Reference"/>
    <w:basedOn w:val="DefaultParagraphFont"/>
    <w:uiPriority w:val="32"/>
    <w:qFormat/>
    <w:rsid w:val="00E03A3E"/>
    <w:rPr>
      <w:b/>
      <w:bCs/>
      <w:smallCaps/>
      <w:color w:val="0F4761" w:themeColor="accent1" w:themeShade="BF"/>
      <w:spacing w:val="5"/>
    </w:rPr>
  </w:style>
  <w:style w:type="character" w:styleId="Hyperlink">
    <w:name w:val="Hyperlink"/>
    <w:basedOn w:val="DefaultParagraphFont"/>
    <w:uiPriority w:val="99"/>
    <w:unhideWhenUsed/>
    <w:rsid w:val="00E03A3E"/>
    <w:rPr>
      <w:color w:val="467886" w:themeColor="hyperlink"/>
      <w:u w:val="single"/>
    </w:rPr>
  </w:style>
  <w:style w:type="paragraph" w:styleId="Header">
    <w:name w:val="header"/>
    <w:basedOn w:val="Normal"/>
    <w:link w:val="HeaderChar"/>
    <w:uiPriority w:val="99"/>
    <w:unhideWhenUsed/>
    <w:rsid w:val="00F2499A"/>
    <w:pPr>
      <w:tabs>
        <w:tab w:val="center" w:pos="4680"/>
        <w:tab w:val="right" w:pos="9360"/>
      </w:tabs>
    </w:pPr>
  </w:style>
  <w:style w:type="character" w:customStyle="1" w:styleId="HeaderChar">
    <w:name w:val="Header Char"/>
    <w:basedOn w:val="DefaultParagraphFont"/>
    <w:link w:val="Header"/>
    <w:uiPriority w:val="99"/>
    <w:rsid w:val="00F2499A"/>
    <w:rPr>
      <w:rFonts w:ascii="Times New Roman" w:eastAsia="Times New Roman" w:hAnsi="Times New Roman" w:cs="Times New Roman"/>
      <w:kern w:val="0"/>
      <w:lang w:val="es-ES"/>
      <w14:ligatures w14:val="none"/>
    </w:rPr>
  </w:style>
  <w:style w:type="paragraph" w:styleId="Footer">
    <w:name w:val="footer"/>
    <w:basedOn w:val="Normal"/>
    <w:link w:val="FooterChar"/>
    <w:uiPriority w:val="99"/>
    <w:unhideWhenUsed/>
    <w:rsid w:val="00F2499A"/>
    <w:pPr>
      <w:tabs>
        <w:tab w:val="center" w:pos="4680"/>
        <w:tab w:val="right" w:pos="9360"/>
      </w:tabs>
    </w:pPr>
  </w:style>
  <w:style w:type="character" w:customStyle="1" w:styleId="FooterChar">
    <w:name w:val="Footer Char"/>
    <w:basedOn w:val="DefaultParagraphFont"/>
    <w:link w:val="Footer"/>
    <w:uiPriority w:val="99"/>
    <w:rsid w:val="00F2499A"/>
    <w:rPr>
      <w:rFonts w:ascii="Times New Roman" w:eastAsia="Times New Roman" w:hAnsi="Times New Roman" w:cs="Times New Roman"/>
      <w:kern w:val="0"/>
      <w:lang w:val="es-ES"/>
      <w14:ligatures w14:val="none"/>
    </w:rPr>
  </w:style>
  <w:style w:type="paragraph" w:styleId="Revision">
    <w:name w:val="Revision"/>
    <w:hidden/>
    <w:uiPriority w:val="99"/>
    <w:semiHidden/>
    <w:rsid w:val="00A20117"/>
    <w:pPr>
      <w:spacing w:after="0" w:line="240" w:lineRule="auto"/>
    </w:pPr>
    <w:rPr>
      <w:rFonts w:ascii="Times New Roman" w:eastAsia="Times New Roman" w:hAnsi="Times New Roman" w:cs="Times New Roman"/>
      <w:kern w:val="0"/>
      <w14:ligatures w14:val="none"/>
    </w:rPr>
  </w:style>
  <w:style w:type="paragraph" w:customStyle="1" w:styleId="Default">
    <w:name w:val="Default"/>
    <w:rsid w:val="000E3428"/>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9F43A7"/>
    <w:rPr>
      <w:sz w:val="16"/>
      <w:szCs w:val="16"/>
    </w:rPr>
  </w:style>
  <w:style w:type="paragraph" w:styleId="CommentText">
    <w:name w:val="annotation text"/>
    <w:basedOn w:val="Normal"/>
    <w:link w:val="CommentTextChar"/>
    <w:uiPriority w:val="99"/>
    <w:unhideWhenUsed/>
    <w:rsid w:val="009F43A7"/>
    <w:rPr>
      <w:sz w:val="20"/>
      <w:szCs w:val="20"/>
    </w:rPr>
  </w:style>
  <w:style w:type="character" w:customStyle="1" w:styleId="CommentTextChar">
    <w:name w:val="Comment Text Char"/>
    <w:basedOn w:val="DefaultParagraphFont"/>
    <w:link w:val="CommentText"/>
    <w:uiPriority w:val="99"/>
    <w:rsid w:val="009F43A7"/>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9F43A7"/>
    <w:rPr>
      <w:b/>
      <w:bCs/>
    </w:rPr>
  </w:style>
  <w:style w:type="character" w:customStyle="1" w:styleId="CommentSubjectChar">
    <w:name w:val="Comment Subject Char"/>
    <w:basedOn w:val="CommentTextChar"/>
    <w:link w:val="CommentSubject"/>
    <w:uiPriority w:val="99"/>
    <w:semiHidden/>
    <w:rsid w:val="009F43A7"/>
    <w:rPr>
      <w:rFonts w:ascii="Times New Roman" w:eastAsia="Times New Roman" w:hAnsi="Times New Roman" w:cs="Times New Roman"/>
      <w:b/>
      <w:bCs/>
      <w:kern w:val="0"/>
      <w:sz w:val="20"/>
      <w:szCs w:val="20"/>
      <w:lang w:val="es-ES"/>
      <w14:ligatures w14:val="none"/>
    </w:rPr>
  </w:style>
  <w:style w:type="character" w:styleId="UnresolvedMention">
    <w:name w:val="Unresolved Mention"/>
    <w:basedOn w:val="DefaultParagraphFont"/>
    <w:uiPriority w:val="99"/>
    <w:semiHidden/>
    <w:unhideWhenUsed/>
    <w:rsid w:val="00F0218B"/>
    <w:rPr>
      <w:color w:val="605E5C"/>
      <w:shd w:val="clear" w:color="auto" w:fill="E1DFDD"/>
    </w:rPr>
  </w:style>
  <w:style w:type="paragraph" w:styleId="FootnoteText">
    <w:name w:val="footnote text"/>
    <w:basedOn w:val="Normal"/>
    <w:link w:val="FootnoteTextChar"/>
    <w:uiPriority w:val="99"/>
    <w:semiHidden/>
    <w:unhideWhenUsed/>
    <w:rsid w:val="00CE672C"/>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E672C"/>
    <w:rPr>
      <w:rFonts w:ascii="Calibri" w:eastAsia="Calibri" w:hAnsi="Calibri" w:cs="Times New Roman"/>
      <w:kern w:val="0"/>
      <w:sz w:val="20"/>
      <w:szCs w:val="20"/>
      <w:lang w:val="es-ES"/>
      <w14:ligatures w14:val="none"/>
    </w:rPr>
  </w:style>
  <w:style w:type="character" w:styleId="FootnoteReference">
    <w:name w:val="footnote reference"/>
    <w:basedOn w:val="DefaultParagraphFont"/>
    <w:uiPriority w:val="99"/>
    <w:semiHidden/>
    <w:unhideWhenUsed/>
    <w:rsid w:val="00CE672C"/>
    <w:rPr>
      <w:vertAlign w:val="superscript"/>
    </w:rPr>
  </w:style>
  <w:style w:type="character" w:styleId="FollowedHyperlink">
    <w:name w:val="FollowedHyperlink"/>
    <w:basedOn w:val="DefaultParagraphFont"/>
    <w:uiPriority w:val="99"/>
    <w:semiHidden/>
    <w:unhideWhenUsed/>
    <w:rsid w:val="00D342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o.org/fishery/en/collection/firms-tuna-atlas" TargetMode="External"/><Relationship Id="rId13" Type="http://schemas.openxmlformats.org/officeDocument/2006/relationships/hyperlink" Target="https://www.fao.org/fishery/es/openasfa" TargetMode="External"/><Relationship Id="rId18" Type="http://schemas.openxmlformats.org/officeDocument/2006/relationships/hyperlink" Target="https://www.un.org/bbnjagreement/e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firms.fao.org/firms/es" TargetMode="External"/><Relationship Id="rId12" Type="http://schemas.openxmlformats.org/officeDocument/2006/relationships/hyperlink" Target="https://www.fao.org/fishery/es" TargetMode="External"/><Relationship Id="rId17" Type="http://schemas.openxmlformats.org/officeDocument/2006/relationships/hyperlink" Target="https://www.un.org/bbnjagreement/sites/default/files/2026-03/TunaRfmos_CoopArrang_23MarchRev2.pdf" TargetMode="External"/><Relationship Id="rId2" Type="http://schemas.openxmlformats.org/officeDocument/2006/relationships/styles" Target="styles.xml"/><Relationship Id="rId16" Type="http://schemas.openxmlformats.org/officeDocument/2006/relationships/hyperlink" Target="https://www.un.org/bbnjagreement/es/meetings/preparatory-commission/documents/second-session-18-29-august-2025"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cat.int/es/pubs_CVSP.html" TargetMode="External"/><Relationship Id="rId5" Type="http://schemas.openxmlformats.org/officeDocument/2006/relationships/footnotes" Target="footnotes.xml"/><Relationship Id="rId15" Type="http://schemas.openxmlformats.org/officeDocument/2006/relationships/hyperlink" Target="https://www.med-ac.eu/pareri-lettere/medac-advice-iccat-plenary-session-2026" TargetMode="External"/><Relationship Id="rId10" Type="http://schemas.openxmlformats.org/officeDocument/2006/relationships/hyperlink" Target="https://www.iccat.int/es/pubs_CVSP.htm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ccat.int/es/" TargetMode="External"/><Relationship Id="rId14" Type="http://schemas.openxmlformats.org/officeDocument/2006/relationships/hyperlink" Target="https://www.iccat.int/Documents/Meetings/Docs/2026/reports/2026_WG-ORT_SPA.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2909</Words>
  <Characters>16586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2026-10-15T13:09:00Z</dcterms:created>
  <dcterms:modified xsi:type="dcterms:W3CDTF">2026-10-15T13:11:00Z</dcterms:modified>
</cp:coreProperties>
</file>