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B512A" w14:textId="01D6F6F6" w:rsidR="00F2499A" w:rsidRPr="00DB13EC" w:rsidRDefault="00F2499A" w:rsidP="00F2499A">
      <w:pPr>
        <w:spacing w:after="120"/>
        <w:ind w:left="426" w:hanging="426"/>
        <w:contextualSpacing/>
        <w:jc w:val="right"/>
        <w:rPr>
          <w:rFonts w:ascii="Cambria" w:eastAsia="Calibri" w:hAnsi="Cambria"/>
          <w:b/>
          <w:color w:val="00000A"/>
          <w:sz w:val="20"/>
          <w:szCs w:val="20"/>
        </w:rPr>
      </w:pPr>
      <w:r w:rsidRPr="00DB13EC">
        <w:rPr>
          <w:rFonts w:ascii="Cambria" w:hAnsi="Cambria"/>
          <w:b/>
          <w:color w:val="00000A"/>
          <w:sz w:val="20"/>
          <w:szCs w:val="20"/>
        </w:rPr>
        <w:t>Original : anglais</w:t>
      </w:r>
    </w:p>
    <w:p w14:paraId="17837372" w14:textId="77777777" w:rsidR="008C013A" w:rsidRPr="00DB13EC" w:rsidRDefault="008C013A" w:rsidP="00F2499A">
      <w:pPr>
        <w:spacing w:after="120"/>
        <w:ind w:left="426" w:hanging="426"/>
        <w:contextualSpacing/>
        <w:jc w:val="center"/>
        <w:rPr>
          <w:rFonts w:ascii="Cambria" w:hAnsi="Cambria"/>
          <w:b/>
          <w:color w:val="00000A"/>
          <w:sz w:val="20"/>
          <w:szCs w:val="20"/>
        </w:rPr>
      </w:pPr>
    </w:p>
    <w:p w14:paraId="2BDBEB50" w14:textId="46ADE052" w:rsidR="00F2499A" w:rsidRPr="00DB13EC" w:rsidRDefault="00F2499A" w:rsidP="00F2499A">
      <w:pPr>
        <w:spacing w:after="120"/>
        <w:ind w:left="426" w:hanging="426"/>
        <w:contextualSpacing/>
        <w:jc w:val="center"/>
        <w:rPr>
          <w:rFonts w:ascii="Cambria" w:eastAsia="Calibri" w:hAnsi="Cambria"/>
          <w:b/>
          <w:color w:val="00000A"/>
          <w:sz w:val="20"/>
          <w:szCs w:val="20"/>
        </w:rPr>
      </w:pPr>
      <w:r w:rsidRPr="00DB13EC">
        <w:rPr>
          <w:rFonts w:ascii="Cambria" w:hAnsi="Cambria"/>
          <w:b/>
          <w:color w:val="00000A"/>
          <w:sz w:val="20"/>
          <w:szCs w:val="20"/>
        </w:rPr>
        <w:t>Coopération internationale</w:t>
      </w:r>
    </w:p>
    <w:p w14:paraId="1D2E40E7" w14:textId="37AA5B26" w:rsidR="00721EA8" w:rsidRPr="00DB13EC" w:rsidRDefault="00721EA8" w:rsidP="00F2499A">
      <w:pPr>
        <w:spacing w:after="120"/>
        <w:ind w:left="426" w:hanging="426"/>
        <w:contextualSpacing/>
        <w:jc w:val="center"/>
        <w:rPr>
          <w:rFonts w:ascii="Cambria" w:eastAsia="Calibri" w:hAnsi="Cambria"/>
          <w:bCs/>
          <w:i/>
          <w:iCs/>
          <w:color w:val="00000A"/>
          <w:sz w:val="20"/>
          <w:szCs w:val="20"/>
        </w:rPr>
      </w:pPr>
      <w:r w:rsidRPr="00DB13EC">
        <w:rPr>
          <w:rFonts w:ascii="Cambria" w:hAnsi="Cambria"/>
          <w:bCs/>
          <w:i/>
          <w:iCs/>
          <w:color w:val="00000A"/>
          <w:sz w:val="20"/>
          <w:szCs w:val="20"/>
        </w:rPr>
        <w:t>(Secrétariat de l’ICCAT)</w:t>
      </w:r>
    </w:p>
    <w:p w14:paraId="15C9FA6F" w14:textId="77777777" w:rsidR="00F2499A" w:rsidRDefault="00F2499A" w:rsidP="00F2499A">
      <w:pPr>
        <w:spacing w:after="120"/>
        <w:ind w:left="426" w:hanging="426"/>
        <w:contextualSpacing/>
        <w:jc w:val="center"/>
        <w:rPr>
          <w:rFonts w:ascii="Cambria" w:eastAsia="Calibri" w:hAnsi="Cambria"/>
          <w:b/>
          <w:color w:val="00000A"/>
          <w:sz w:val="20"/>
          <w:szCs w:val="20"/>
        </w:rPr>
      </w:pPr>
    </w:p>
    <w:p w14:paraId="25EF11E3" w14:textId="0FE91CFF" w:rsidR="00A71758" w:rsidRPr="00FE20B5" w:rsidRDefault="00A71758" w:rsidP="00A71758">
      <w:pPr>
        <w:tabs>
          <w:tab w:val="left" w:pos="851"/>
        </w:tabs>
        <w:spacing w:after="120"/>
        <w:contextualSpacing/>
        <w:jc w:val="both"/>
        <w:rPr>
          <w:rFonts w:ascii="Cambria" w:eastAsia="Calibri" w:hAnsi="Cambria"/>
          <w:color w:val="EE0000"/>
          <w:sz w:val="20"/>
          <w:szCs w:val="20"/>
        </w:rPr>
      </w:pPr>
      <w:bookmarkStart w:id="0" w:name="_Hlk19736811"/>
      <w:r w:rsidRPr="00FE20B5">
        <w:rPr>
          <w:rFonts w:ascii="Cambria" w:hAnsi="Cambria"/>
          <w:b/>
          <w:bCs/>
          <w:i/>
          <w:iCs/>
          <w:sz w:val="20"/>
          <w:szCs w:val="20"/>
        </w:rPr>
        <w:t>Groupe de travail de coordination des statistiques de pêche (CWP-FS) de l’Organisation des Nations Unies pour l’alimentation et l’agriculture (FAO)</w:t>
      </w:r>
    </w:p>
    <w:bookmarkEnd w:id="0"/>
    <w:p w14:paraId="5F8DE7C9" w14:textId="77777777" w:rsidR="00A71758" w:rsidRPr="00FE20B5" w:rsidRDefault="00A71758" w:rsidP="00A71758">
      <w:pPr>
        <w:tabs>
          <w:tab w:val="left" w:pos="851"/>
        </w:tabs>
        <w:spacing w:after="120"/>
        <w:contextualSpacing/>
        <w:jc w:val="both"/>
        <w:rPr>
          <w:rFonts w:ascii="Cambria" w:eastAsia="Calibri" w:hAnsi="Cambria"/>
          <w:bCs/>
          <w:iCs/>
          <w:color w:val="00000A"/>
          <w:sz w:val="20"/>
          <w:szCs w:val="20"/>
        </w:rPr>
      </w:pPr>
    </w:p>
    <w:p w14:paraId="6201FE4E" w14:textId="77777777" w:rsidR="00A71758" w:rsidRPr="00FE20B5" w:rsidRDefault="00A71758" w:rsidP="00A71758">
      <w:pPr>
        <w:tabs>
          <w:tab w:val="left" w:pos="851"/>
        </w:tabs>
        <w:spacing w:after="120"/>
        <w:contextualSpacing/>
        <w:jc w:val="both"/>
        <w:rPr>
          <w:rFonts w:ascii="Cambria" w:eastAsia="Calibri" w:hAnsi="Cambria"/>
          <w:bCs/>
          <w:iCs/>
          <w:color w:val="00000A"/>
          <w:sz w:val="20"/>
          <w:szCs w:val="20"/>
        </w:rPr>
      </w:pPr>
      <w:r w:rsidRPr="00FE20B5">
        <w:rPr>
          <w:rFonts w:ascii="Cambria" w:hAnsi="Cambria"/>
          <w:color w:val="00000A"/>
          <w:sz w:val="20"/>
          <w:szCs w:val="20"/>
        </w:rPr>
        <w:t xml:space="preserve">Au cours de la période de déclaration, la liste des espèces de l'ASFIS a été mise à jour à la suite des discussions menées au sein du CWP concernant la désignation du voilier. Le code SFA est désormais associé à </w:t>
      </w:r>
      <w:r w:rsidRPr="00FE20B5">
        <w:rPr>
          <w:rFonts w:ascii="Cambria" w:hAnsi="Cambria"/>
          <w:i/>
          <w:color w:val="00000A"/>
          <w:sz w:val="20"/>
          <w:szCs w:val="20"/>
        </w:rPr>
        <w:t>Istiophorus platypterus</w:t>
      </w:r>
      <w:r w:rsidRPr="00FE20B5">
        <w:rPr>
          <w:rFonts w:ascii="Cambria" w:hAnsi="Cambria"/>
          <w:color w:val="00000A"/>
          <w:sz w:val="20"/>
          <w:szCs w:val="20"/>
        </w:rPr>
        <w:t xml:space="preserve">, et les références à l'aire de répartition indo-pacifique ont été supprimées des noms communs. Cette mise à jour a permis de résoudre le problème soulevé précédemment par l’ICCAT concernant la référence taxonomique et le code d'identification du voilier. </w:t>
      </w:r>
    </w:p>
    <w:p w14:paraId="0185F2F2" w14:textId="77777777" w:rsidR="00A71758" w:rsidRDefault="00A71758" w:rsidP="00A71758">
      <w:pPr>
        <w:tabs>
          <w:tab w:val="left" w:pos="851"/>
        </w:tabs>
        <w:spacing w:after="120"/>
        <w:contextualSpacing/>
        <w:jc w:val="both"/>
        <w:rPr>
          <w:rFonts w:ascii="Cambria" w:eastAsia="Calibri" w:hAnsi="Cambria"/>
          <w:bCs/>
          <w:iCs/>
          <w:color w:val="00000A"/>
          <w:sz w:val="20"/>
          <w:szCs w:val="20"/>
        </w:rPr>
      </w:pPr>
    </w:p>
    <w:p w14:paraId="070AA7B2" w14:textId="77777777" w:rsidR="00A71758" w:rsidRPr="00FE20B5" w:rsidRDefault="00A71758" w:rsidP="00A71758">
      <w:pPr>
        <w:tabs>
          <w:tab w:val="left" w:pos="851"/>
        </w:tabs>
        <w:spacing w:after="120"/>
        <w:contextualSpacing/>
        <w:jc w:val="both"/>
        <w:rPr>
          <w:rFonts w:ascii="Cambria" w:eastAsia="Calibri" w:hAnsi="Cambria"/>
          <w:bCs/>
          <w:iCs/>
          <w:color w:val="00000A"/>
          <w:sz w:val="20"/>
          <w:szCs w:val="20"/>
        </w:rPr>
      </w:pPr>
    </w:p>
    <w:p w14:paraId="0AC5E404" w14:textId="14D765E3" w:rsidR="00A71758" w:rsidRPr="00FE20B5" w:rsidRDefault="00A71758" w:rsidP="00A71758">
      <w:pPr>
        <w:tabs>
          <w:tab w:val="left" w:pos="851"/>
        </w:tabs>
        <w:spacing w:after="120"/>
        <w:contextualSpacing/>
        <w:jc w:val="both"/>
        <w:rPr>
          <w:rFonts w:ascii="Cambria" w:eastAsia="Calibri" w:hAnsi="Cambria"/>
          <w:b/>
          <w:i/>
          <w:color w:val="00000A"/>
          <w:sz w:val="20"/>
          <w:szCs w:val="20"/>
        </w:rPr>
      </w:pPr>
      <w:r w:rsidRPr="00FE20B5">
        <w:rPr>
          <w:rFonts w:ascii="Cambria" w:hAnsi="Cambria"/>
          <w:b/>
          <w:bCs/>
          <w:i/>
          <w:iCs/>
          <w:sz w:val="20"/>
          <w:szCs w:val="20"/>
        </w:rPr>
        <w:t>Système de surveillance des pêches et des ressources (FIRMS)</w:t>
      </w:r>
    </w:p>
    <w:p w14:paraId="64C92679"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13D5DE11"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color w:val="00000A"/>
          <w:sz w:val="20"/>
          <w:szCs w:val="20"/>
        </w:rPr>
        <w:t xml:space="preserve">L’ICCAT est partenaire du programme </w:t>
      </w:r>
      <w:hyperlink r:id="rId10" w:history="1">
        <w:r w:rsidRPr="00FE20B5">
          <w:rPr>
            <w:rFonts w:ascii="Cambria" w:hAnsi="Cambria"/>
            <w:color w:val="0563C1"/>
            <w:sz w:val="20"/>
            <w:szCs w:val="20"/>
          </w:rPr>
          <w:t>FIRMS</w:t>
        </w:r>
      </w:hyperlink>
      <w:r w:rsidRPr="00FE20B5">
        <w:rPr>
          <w:rFonts w:ascii="Cambria" w:hAnsi="Cambria"/>
          <w:color w:val="00000A"/>
          <w:sz w:val="20"/>
          <w:szCs w:val="20"/>
        </w:rPr>
        <w:t xml:space="preserve"> de la FAO, initiative qui donne accès à des informations sur le suivi et la gestion à échelle mondiale des ressources halieutiques marines. À ce titre, le Secrétariat fournit des mises à jour au FIRMS concernant l'état des stocks de toutes les espèces de l'ICCAT, tel qu'évalué par le SCRS, avec la synchronisation dans le nouveau format de fiches techniques convenu par le FIRMS de la FAO.</w:t>
      </w:r>
    </w:p>
    <w:p w14:paraId="0EB4F5C4"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4F450D89"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color w:val="00000A"/>
          <w:sz w:val="20"/>
          <w:szCs w:val="20"/>
        </w:rPr>
        <w:t>Le SCRS et la Commission seront consultés en ce qui concerne leur recommandation de communiquer l’état de divers stocks du Groupe d’espèces sur les thonidés mineurs, pour lesquels des évaluations locales/régionales ont été réalisées mais pas officiellement adoptées par l’ICCAT (par ex. thazard barré, thazard atlantique des stocks de l’Atlantique Nord-Ouest et du golfe du Mexique).</w:t>
      </w:r>
    </w:p>
    <w:p w14:paraId="2725167D"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54DC8B75"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color w:val="00000A"/>
          <w:sz w:val="20"/>
          <w:szCs w:val="20"/>
        </w:rPr>
        <w:t>L'ICCAT joue également un rôle actif dans le cadre de l'</w:t>
      </w:r>
      <w:hyperlink r:id="rId11" w:history="1">
        <w:r w:rsidRPr="00FE20B5">
          <w:rPr>
            <w:rFonts w:ascii="Cambria" w:hAnsi="Cambria"/>
            <w:color w:val="0563C1"/>
            <w:sz w:val="20"/>
            <w:szCs w:val="20"/>
          </w:rPr>
          <w:t>Atlas mondial du thon (GTA) de FIRMS</w:t>
        </w:r>
      </w:hyperlink>
      <w:r w:rsidRPr="00FE20B5">
        <w:rPr>
          <w:rFonts w:ascii="Cambria" w:hAnsi="Cambria"/>
          <w:color w:val="00000A"/>
          <w:sz w:val="20"/>
          <w:szCs w:val="20"/>
        </w:rPr>
        <w:t xml:space="preserve">, qui rassemble et harmonise les données de captures nominales et géoréférencées provenant des cinq ORGP-t. L'Atlas mondial du thon a été mis à jour le 24 avril 2026 avec les dernières données disponibles pour les tâches 1 et 2 sur le </w:t>
      </w:r>
      <w:hyperlink r:id="rId12" w:history="1">
        <w:r w:rsidRPr="00FE20B5">
          <w:rPr>
            <w:rFonts w:ascii="Cambria" w:hAnsi="Cambria"/>
            <w:color w:val="0563C1"/>
            <w:sz w:val="20"/>
            <w:szCs w:val="20"/>
          </w:rPr>
          <w:t>site web de l’ICCAT</w:t>
        </w:r>
      </w:hyperlink>
      <w:r w:rsidRPr="00FE20B5">
        <w:rPr>
          <w:rFonts w:ascii="Cambria" w:hAnsi="Cambria"/>
          <w:color w:val="00000A"/>
          <w:sz w:val="20"/>
          <w:szCs w:val="20"/>
        </w:rPr>
        <w:t>. Il a également été noté que l'ICCAT a mis à jour sa politique de confidentialité en matière de données afin de garantir que les futures soumissions de données au GTA suivront les exigences de cette politique.</w:t>
      </w:r>
    </w:p>
    <w:p w14:paraId="2BDEDD60" w14:textId="77777777" w:rsidR="00A71758" w:rsidRDefault="00A71758" w:rsidP="00A71758">
      <w:pPr>
        <w:tabs>
          <w:tab w:val="left" w:pos="851"/>
        </w:tabs>
        <w:spacing w:after="120"/>
        <w:contextualSpacing/>
        <w:jc w:val="both"/>
        <w:rPr>
          <w:rFonts w:ascii="Cambria" w:hAnsi="Cambria"/>
          <w:b/>
          <w:i/>
          <w:color w:val="00000A"/>
          <w:sz w:val="20"/>
          <w:szCs w:val="20"/>
        </w:rPr>
      </w:pPr>
    </w:p>
    <w:p w14:paraId="1EBD3C2A" w14:textId="77777777" w:rsidR="00A71758" w:rsidRPr="00A71758" w:rsidRDefault="00A71758" w:rsidP="00A71758">
      <w:pPr>
        <w:tabs>
          <w:tab w:val="left" w:pos="851"/>
        </w:tabs>
        <w:spacing w:after="120"/>
        <w:contextualSpacing/>
        <w:jc w:val="both"/>
        <w:rPr>
          <w:rFonts w:ascii="Cambria" w:hAnsi="Cambria"/>
          <w:b/>
          <w:i/>
          <w:color w:val="00000A"/>
          <w:sz w:val="20"/>
          <w:szCs w:val="20"/>
        </w:rPr>
      </w:pPr>
    </w:p>
    <w:p w14:paraId="1FDF657F" w14:textId="266C706F" w:rsidR="00A71758" w:rsidRPr="00FE20B5" w:rsidRDefault="00A71758" w:rsidP="00A71758">
      <w:pPr>
        <w:tabs>
          <w:tab w:val="left" w:pos="851"/>
        </w:tabs>
        <w:spacing w:after="120"/>
        <w:contextualSpacing/>
        <w:jc w:val="both"/>
        <w:rPr>
          <w:rFonts w:ascii="Cambria" w:eastAsia="Calibri" w:hAnsi="Cambria"/>
          <w:color w:val="00000A"/>
          <w:sz w:val="20"/>
          <w:szCs w:val="20"/>
          <w:lang w:val="en-US"/>
        </w:rPr>
      </w:pPr>
      <w:r w:rsidRPr="00FE20B5">
        <w:rPr>
          <w:rFonts w:ascii="Cambria" w:hAnsi="Cambria"/>
          <w:b/>
          <w:i/>
          <w:color w:val="00000A"/>
          <w:sz w:val="20"/>
          <w:szCs w:val="20"/>
          <w:lang w:val="en-US"/>
        </w:rPr>
        <w:t>Aquatic Sciences and Fisheries Abstracts (ASFA)</w:t>
      </w:r>
    </w:p>
    <w:p w14:paraId="584586C3" w14:textId="77777777" w:rsidR="00A71758" w:rsidRPr="00FE20B5" w:rsidRDefault="00A71758" w:rsidP="00A71758">
      <w:pPr>
        <w:tabs>
          <w:tab w:val="left" w:pos="851"/>
        </w:tabs>
        <w:spacing w:after="120"/>
        <w:contextualSpacing/>
        <w:jc w:val="both"/>
        <w:rPr>
          <w:rFonts w:ascii="Cambria" w:eastAsia="Calibri" w:hAnsi="Cambria"/>
          <w:color w:val="00000A"/>
          <w:sz w:val="20"/>
          <w:szCs w:val="20"/>
          <w:lang w:val="en-US"/>
        </w:rPr>
      </w:pPr>
    </w:p>
    <w:p w14:paraId="7E4FC792"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sz w:val="20"/>
          <w:szCs w:val="20"/>
        </w:rPr>
        <w:t xml:space="preserve">Depuis la dernière réunion du SCRS, le Secrétariat a préparé huit nouvelles entrées, concernant les Volumes 82(7) à 83(4) du </w:t>
      </w:r>
      <w:hyperlink r:id="rId13" w:history="1">
        <w:r w:rsidRPr="00FE20B5">
          <w:rPr>
            <w:rStyle w:val="Hyperlink"/>
            <w:rFonts w:ascii="Cambria" w:hAnsi="Cambria"/>
            <w:i/>
            <w:sz w:val="20"/>
            <w:szCs w:val="20"/>
            <w:u w:val="none"/>
          </w:rPr>
          <w:t>Recueil de documents scientifiques de l'ICCAT</w:t>
        </w:r>
      </w:hyperlink>
      <w:r w:rsidRPr="00FE20B5">
        <w:rPr>
          <w:rFonts w:ascii="Cambria" w:hAnsi="Cambria"/>
          <w:color w:val="00000A"/>
          <w:sz w:val="20"/>
          <w:szCs w:val="20"/>
        </w:rPr>
        <w:t xml:space="preserve"> </w:t>
      </w:r>
      <w:r w:rsidRPr="00FE20B5">
        <w:rPr>
          <w:rFonts w:ascii="Cambria" w:hAnsi="Cambria"/>
          <w:sz w:val="20"/>
          <w:szCs w:val="20"/>
        </w:rPr>
        <w:t xml:space="preserve">pour la base de données Aquatic Sciences and Fisheries Abstracts (ASFA-ProQuest), à partir des documents publiés dans les numéros les plus récents du </w:t>
      </w:r>
      <w:hyperlink r:id="rId14" w:history="1">
        <w:r w:rsidRPr="00FE20B5">
          <w:rPr>
            <w:rStyle w:val="Hyperlink"/>
            <w:rFonts w:ascii="Cambria" w:hAnsi="Cambria"/>
            <w:i/>
            <w:sz w:val="20"/>
            <w:szCs w:val="20"/>
            <w:u w:val="none"/>
          </w:rPr>
          <w:t>Recueil de documents scientifiques de l’ICCAT</w:t>
        </w:r>
      </w:hyperlink>
      <w:r w:rsidRPr="00FE20B5">
        <w:rPr>
          <w:rFonts w:ascii="Cambria" w:hAnsi="Cambria"/>
          <w:sz w:val="20"/>
          <w:szCs w:val="20"/>
        </w:rPr>
        <w:t xml:space="preserve">. Ainsi, tous ces documents sont désormais accessibles au public sur le </w:t>
      </w:r>
      <w:hyperlink r:id="rId15" w:history="1">
        <w:r w:rsidRPr="00FE20B5">
          <w:rPr>
            <w:rStyle w:val="Hyperlink"/>
            <w:rFonts w:ascii="Cambria" w:hAnsi="Cambria"/>
            <w:sz w:val="20"/>
            <w:szCs w:val="20"/>
            <w:u w:val="none"/>
          </w:rPr>
          <w:t>site web de la FAO consacré à la pêche et à l'aquaculture</w:t>
        </w:r>
      </w:hyperlink>
      <w:r w:rsidRPr="00FE20B5">
        <w:rPr>
          <w:rFonts w:ascii="Cambria" w:hAnsi="Cambria"/>
          <w:sz w:val="20"/>
          <w:szCs w:val="20"/>
        </w:rPr>
        <w:t>.</w:t>
      </w:r>
      <w:r w:rsidRPr="00FE20B5">
        <w:rPr>
          <w:rFonts w:ascii="Cambria" w:hAnsi="Cambria"/>
          <w:color w:val="00000A"/>
          <w:sz w:val="20"/>
          <w:szCs w:val="20"/>
        </w:rPr>
        <w:t xml:space="preserve"> </w:t>
      </w:r>
      <w:r w:rsidRPr="00FE20B5">
        <w:rPr>
          <w:rFonts w:ascii="Cambria" w:hAnsi="Cambria"/>
          <w:sz w:val="20"/>
          <w:szCs w:val="20"/>
        </w:rPr>
        <w:t xml:space="preserve">L’interface </w:t>
      </w:r>
      <w:r w:rsidRPr="00FE20B5">
        <w:rPr>
          <w:rFonts w:ascii="Cambria" w:hAnsi="Cambria"/>
          <w:color w:val="00000A"/>
          <w:sz w:val="20"/>
          <w:szCs w:val="20"/>
        </w:rPr>
        <w:t>de</w:t>
      </w:r>
      <w:r w:rsidRPr="00FE20B5">
        <w:rPr>
          <w:rFonts w:ascii="Cambria" w:hAnsi="Cambria"/>
          <w:sz w:val="20"/>
          <w:szCs w:val="20"/>
        </w:rPr>
        <w:t xml:space="preserve"> </w:t>
      </w:r>
      <w:hyperlink r:id="rId16" w:history="1">
        <w:r w:rsidRPr="00FE20B5">
          <w:rPr>
            <w:rStyle w:val="Hyperlink"/>
            <w:rFonts w:ascii="Cambria" w:hAnsi="Cambria"/>
            <w:sz w:val="20"/>
            <w:szCs w:val="20"/>
            <w:u w:val="none"/>
          </w:rPr>
          <w:t>OpenASFA</w:t>
        </w:r>
      </w:hyperlink>
      <w:r w:rsidRPr="00FE20B5">
        <w:rPr>
          <w:rFonts w:ascii="Cambria" w:hAnsi="Cambria"/>
          <w:color w:val="00000A"/>
          <w:sz w:val="20"/>
          <w:szCs w:val="20"/>
        </w:rPr>
        <w:t xml:space="preserve"> </w:t>
      </w:r>
      <w:r w:rsidRPr="00FE20B5">
        <w:rPr>
          <w:rFonts w:ascii="Cambria" w:hAnsi="Cambria"/>
          <w:sz w:val="20"/>
          <w:szCs w:val="20"/>
        </w:rPr>
        <w:t>permet de rechercher librement tous les registres de OpenASFA.</w:t>
      </w:r>
    </w:p>
    <w:p w14:paraId="55A818FC" w14:textId="77777777" w:rsidR="00A71758" w:rsidRDefault="00A71758" w:rsidP="00A71758">
      <w:pPr>
        <w:tabs>
          <w:tab w:val="left" w:pos="851"/>
        </w:tabs>
        <w:spacing w:after="120"/>
        <w:contextualSpacing/>
        <w:jc w:val="both"/>
        <w:rPr>
          <w:rFonts w:ascii="Cambria" w:eastAsia="Calibri" w:hAnsi="Cambria"/>
          <w:b/>
          <w:bCs/>
          <w:i/>
          <w:iCs/>
          <w:color w:val="00000A"/>
          <w:sz w:val="20"/>
          <w:szCs w:val="20"/>
        </w:rPr>
      </w:pPr>
    </w:p>
    <w:p w14:paraId="62831359" w14:textId="77777777" w:rsidR="00A71758" w:rsidRPr="00FE20B5" w:rsidRDefault="00A71758" w:rsidP="00A71758">
      <w:pPr>
        <w:tabs>
          <w:tab w:val="left" w:pos="851"/>
        </w:tabs>
        <w:spacing w:after="120"/>
        <w:contextualSpacing/>
        <w:jc w:val="both"/>
        <w:rPr>
          <w:rFonts w:ascii="Cambria" w:eastAsia="Calibri" w:hAnsi="Cambria"/>
          <w:b/>
          <w:bCs/>
          <w:i/>
          <w:iCs/>
          <w:color w:val="00000A"/>
          <w:sz w:val="20"/>
          <w:szCs w:val="20"/>
        </w:rPr>
      </w:pPr>
    </w:p>
    <w:p w14:paraId="2CD35995" w14:textId="598A3AC3" w:rsidR="00A71758" w:rsidRPr="00FE20B5" w:rsidRDefault="00A71758" w:rsidP="00A71758">
      <w:pPr>
        <w:tabs>
          <w:tab w:val="left" w:pos="851"/>
        </w:tabs>
        <w:spacing w:after="120"/>
        <w:contextualSpacing/>
        <w:jc w:val="both"/>
        <w:rPr>
          <w:rFonts w:ascii="Cambria" w:eastAsia="Calibri" w:hAnsi="Cambria"/>
          <w:bCs/>
          <w:i/>
          <w:color w:val="EE0000"/>
          <w:sz w:val="20"/>
          <w:szCs w:val="20"/>
        </w:rPr>
      </w:pPr>
      <w:r w:rsidRPr="00FE20B5">
        <w:rPr>
          <w:rFonts w:ascii="Cambria" w:hAnsi="Cambria"/>
          <w:b/>
          <w:bCs/>
          <w:i/>
          <w:iCs/>
          <w:sz w:val="20"/>
          <w:szCs w:val="20"/>
        </w:rPr>
        <w:t>Projet thonier des océans communs (anciens projets du Fonds pour l'environnement mondial (GEF))</w:t>
      </w:r>
    </w:p>
    <w:p w14:paraId="43208165" w14:textId="77777777" w:rsidR="00A71758" w:rsidRPr="00FE20B5" w:rsidRDefault="00A71758" w:rsidP="00A71758">
      <w:pPr>
        <w:tabs>
          <w:tab w:val="left" w:pos="851"/>
        </w:tabs>
        <w:spacing w:after="120"/>
        <w:contextualSpacing/>
        <w:jc w:val="both"/>
        <w:rPr>
          <w:rFonts w:ascii="Cambria" w:eastAsia="Calibri" w:hAnsi="Cambria"/>
          <w:b/>
          <w:i/>
          <w:color w:val="00000A"/>
          <w:sz w:val="20"/>
          <w:szCs w:val="20"/>
        </w:rPr>
      </w:pPr>
    </w:p>
    <w:p w14:paraId="5110D87B"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color w:val="00000A"/>
          <w:sz w:val="20"/>
          <w:szCs w:val="20"/>
        </w:rPr>
        <w:t>Quatre projets de l'ICCAT ont été approuvés pour un financement par le biais des fonds du GEF. Ces projets font partie de l’initiative « Océans communs - utilisation durable et conservation de la biodiversité dans les zones situées au-delà de la juridiction nationale » du GEF. Les projets ont continué à progresser de manière significative jusqu'en 2025 et en 2026, comme indiqué ci-dessous. </w:t>
      </w:r>
    </w:p>
    <w:p w14:paraId="0E4DC9E4"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58D6B47C" w14:textId="77777777" w:rsidR="00A71758" w:rsidRDefault="00A71758" w:rsidP="00A71758">
      <w:pPr>
        <w:tabs>
          <w:tab w:val="left" w:pos="851"/>
        </w:tabs>
        <w:spacing w:after="120"/>
        <w:contextualSpacing/>
        <w:jc w:val="both"/>
        <w:rPr>
          <w:rFonts w:ascii="Cambria" w:hAnsi="Cambria"/>
          <w:i/>
          <w:color w:val="00000A"/>
          <w:sz w:val="20"/>
          <w:szCs w:val="20"/>
        </w:rPr>
      </w:pPr>
    </w:p>
    <w:p w14:paraId="315389E5" w14:textId="77777777" w:rsidR="00A71758" w:rsidRDefault="00A71758" w:rsidP="00A71758">
      <w:pPr>
        <w:tabs>
          <w:tab w:val="left" w:pos="851"/>
        </w:tabs>
        <w:spacing w:after="120"/>
        <w:contextualSpacing/>
        <w:jc w:val="both"/>
        <w:rPr>
          <w:rFonts w:ascii="Cambria" w:hAnsi="Cambria"/>
          <w:i/>
          <w:color w:val="00000A"/>
          <w:sz w:val="20"/>
          <w:szCs w:val="20"/>
        </w:rPr>
      </w:pPr>
    </w:p>
    <w:p w14:paraId="167F94EA" w14:textId="77777777" w:rsidR="00A71758" w:rsidRDefault="00A71758" w:rsidP="00A71758">
      <w:pPr>
        <w:tabs>
          <w:tab w:val="left" w:pos="851"/>
        </w:tabs>
        <w:spacing w:after="120"/>
        <w:contextualSpacing/>
        <w:jc w:val="both"/>
        <w:rPr>
          <w:rFonts w:ascii="Cambria" w:hAnsi="Cambria"/>
          <w:i/>
          <w:color w:val="00000A"/>
          <w:sz w:val="20"/>
          <w:szCs w:val="20"/>
        </w:rPr>
      </w:pPr>
    </w:p>
    <w:p w14:paraId="5946F62F" w14:textId="6CDDDD4C" w:rsidR="00A71758" w:rsidRPr="00FE20B5" w:rsidRDefault="00A71758" w:rsidP="00A71758">
      <w:pPr>
        <w:tabs>
          <w:tab w:val="left" w:pos="851"/>
        </w:tabs>
        <w:spacing w:after="120"/>
        <w:contextualSpacing/>
        <w:jc w:val="both"/>
        <w:rPr>
          <w:rFonts w:ascii="Cambria" w:eastAsia="Calibri" w:hAnsi="Cambria"/>
          <w:i/>
          <w:iCs/>
          <w:color w:val="00000A"/>
          <w:sz w:val="20"/>
          <w:szCs w:val="20"/>
        </w:rPr>
      </w:pPr>
      <w:r w:rsidRPr="00FE20B5">
        <w:rPr>
          <w:rFonts w:ascii="Cambria" w:hAnsi="Cambria"/>
          <w:i/>
          <w:color w:val="00000A"/>
          <w:sz w:val="20"/>
          <w:szCs w:val="20"/>
        </w:rPr>
        <w:lastRenderedPageBreak/>
        <w:t>Application des mesures de l’ICCAT (inspection au port) </w:t>
      </w:r>
    </w:p>
    <w:p w14:paraId="125F586C"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6ECFD790"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color w:val="00000A"/>
          <w:sz w:val="20"/>
          <w:szCs w:val="20"/>
        </w:rPr>
        <w:t>Ce projet quinquennal vise à améliorer l’application des mesures de conservation et de gestion de l’ICCAT, notamment en appliquant ou en renforçant la capacité d'inspection au port. Le projet consiste principalement à incorporer un module ICCAT dans les cours de formation organisés par les experts des CPC et d'autres organisations.</w:t>
      </w:r>
    </w:p>
    <w:p w14:paraId="368D8F39"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6FBC445D"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color w:val="00000A"/>
          <w:sz w:val="20"/>
          <w:szCs w:val="20"/>
        </w:rPr>
        <w:t>À la suite d'une mission d'évaluation des besoins menée les 10 et 11 décembre 2025, l’ICCAT a mis en place au Sénégal, du 30 mars au 3 avril 2026, un programme de formation sur mesure destiné aux inspecteurs portuaires, en collaboration avec la FAO et la Direction de la protection et de la surveillance des pêches du Sénégal. Cette initiative s'est accompagnée d'un tournage et d'entretiens visant à renforcer la visibilité du programme dans la lutte contre la pêche IUU. Une mission d'inspection portuaire en deux phases est prévue en République de Guinée en septembre 2026. Étant donné que toutes les CPC des catégories A et B relevant de la priorité du Groupe d'experts en inspection au port (PIEG) ont désormais bénéficié d'une aide ou bien que l’aide est prévue, l'attention s'est portée sur les CPC de catégorie C ainsi que sur les demandes supplémentaires reçues de la Guinée équatoriale, de Saint-Vincent-et-les-Grenadines et du Panama (ainsi qu'une autre demande émanant de la Namibie). Le Groupe de travail permanent pour l’amélioration des statistiques et des mesures de conservation de l’ICCAT (PWG) devrait définir l'ordre de priorité restant en novembre 2026. En ce qui concerne l'appui à l’application, l'Angola a accueilli une mission du 6 au 8 juillet 2026 à Talatona, et il avait été recommandé que la Tunisie accueille la dernière mission d’application de la phase II de l'ABNJ en 2027.</w:t>
      </w:r>
    </w:p>
    <w:p w14:paraId="249788A4"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6461C1EF" w14:textId="77777777" w:rsidR="00A71758" w:rsidRPr="00FE20B5" w:rsidRDefault="00A71758" w:rsidP="00A71758">
      <w:pPr>
        <w:tabs>
          <w:tab w:val="left" w:pos="851"/>
        </w:tabs>
        <w:spacing w:after="120"/>
        <w:contextualSpacing/>
        <w:jc w:val="both"/>
        <w:rPr>
          <w:rFonts w:ascii="Cambria" w:eastAsia="Calibri" w:hAnsi="Cambria"/>
          <w:i/>
          <w:iCs/>
          <w:color w:val="00000A"/>
          <w:sz w:val="20"/>
          <w:szCs w:val="20"/>
        </w:rPr>
      </w:pPr>
      <w:r w:rsidRPr="00FE20B5">
        <w:rPr>
          <w:rFonts w:ascii="Cambria" w:hAnsi="Cambria"/>
          <w:i/>
          <w:color w:val="00000A"/>
          <w:sz w:val="20"/>
          <w:szCs w:val="20"/>
        </w:rPr>
        <w:t>Système intégré de gestion en ligne (IOMS) </w:t>
      </w:r>
    </w:p>
    <w:p w14:paraId="1559DD2C"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33869150"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color w:val="00000A"/>
          <w:sz w:val="20"/>
          <w:szCs w:val="20"/>
        </w:rPr>
        <w:t>Ce projet quinquennal vise à améliorer le système IOMS de l’ICCAT, qui permet une gestion centralisée en ligne des données pour la déclaration, la validation, le stockage et l'accès à celles-ci (avec, dans de nombreux cas, une diffusion publique des données via des services web). Ces systèmes sont essentiels à la mise en œuvre efficace des mesures de conservation et de gestion. </w:t>
      </w:r>
    </w:p>
    <w:p w14:paraId="4C8189F8"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2096DC1E" w14:textId="77777777" w:rsidR="00A71758" w:rsidRDefault="00A71758" w:rsidP="00A71758">
      <w:pPr>
        <w:tabs>
          <w:tab w:val="left" w:pos="851"/>
        </w:tabs>
        <w:spacing w:after="120"/>
        <w:contextualSpacing/>
        <w:jc w:val="both"/>
        <w:rPr>
          <w:rFonts w:ascii="Cambria" w:hAnsi="Cambria"/>
          <w:color w:val="00000A"/>
          <w:sz w:val="20"/>
          <w:szCs w:val="20"/>
        </w:rPr>
      </w:pPr>
      <w:r w:rsidRPr="00FE20B5">
        <w:rPr>
          <w:rFonts w:ascii="Cambria" w:hAnsi="Cambria"/>
          <w:color w:val="00000A"/>
          <w:sz w:val="20"/>
          <w:szCs w:val="20"/>
        </w:rPr>
        <w:t>Les activités de l'IOMS se sont déroulées comme prévu au cours de l'année dernière, conformément aux décisions prises lors de la réunion du Groupe de travail sur les technologies de déclaration en ligne (WG-ORT) de 2026. Les modules de Gestionnaire de navires et Gestionnaire de formulaires, mis en production le 1er août 2025, ont fonctionné sans interruption tout en bénéficiant d’améliorations fonctionnelles (l’intégration d’UN/FLUX dans le module de Gestionnaire de navires était encore en phase de test) ; le module de Gestionnaire de ports a été mis en production en août 2026 ; et d’autres modules, portant sur les prises nominales de la tâche 1, les tableaux d’application, les prises et l’effort de pêche de la tâche 2, ainsi que les feuilles de contrôle pour les requins/istiophoridés, étaient en cours de développement. Une grande partie des travaux a porté sur la refonte et l’harmonisation des API publiques de l’IOMS (« public-v2 »), la standardisation des spécifications et des métadonnées des API, la publication en temps réel sur le site web de l’ICCAT d’informations relatives à l’application, aux statistiques et aux registres des navires, ainsi que sur la mise à disposition d’un client autonome expérimental permettant de tester les API liées aux navires, jetant ainsi les bases à long terme destinées à profiter aux utilisateurs finaux bien au-delà de la fin du projet.</w:t>
      </w:r>
    </w:p>
    <w:p w14:paraId="56872963" w14:textId="77777777" w:rsidR="00A71758" w:rsidRPr="00FE20B5" w:rsidRDefault="00A71758" w:rsidP="00A71758">
      <w:pPr>
        <w:tabs>
          <w:tab w:val="left" w:pos="851"/>
        </w:tabs>
        <w:spacing w:after="120"/>
        <w:contextualSpacing/>
        <w:jc w:val="both"/>
        <w:rPr>
          <w:rFonts w:ascii="Cambria" w:hAnsi="Cambria"/>
          <w:color w:val="00000A"/>
          <w:sz w:val="20"/>
          <w:szCs w:val="20"/>
        </w:rPr>
      </w:pPr>
    </w:p>
    <w:p w14:paraId="1A4BA78A" w14:textId="77777777" w:rsidR="00A71758" w:rsidRPr="00FE20B5" w:rsidRDefault="00A71758" w:rsidP="00A71758">
      <w:pPr>
        <w:tabs>
          <w:tab w:val="left" w:pos="851"/>
        </w:tabs>
        <w:spacing w:after="120"/>
        <w:contextualSpacing/>
        <w:jc w:val="both"/>
        <w:rPr>
          <w:rFonts w:ascii="Cambria" w:eastAsia="Cambria" w:hAnsi="Cambria" w:cs="Cambria"/>
          <w:i/>
          <w:iCs/>
          <w:color w:val="00000A"/>
          <w:sz w:val="20"/>
          <w:szCs w:val="20"/>
        </w:rPr>
      </w:pPr>
      <w:r w:rsidRPr="00FE20B5">
        <w:rPr>
          <w:rFonts w:ascii="Cambria" w:hAnsi="Cambria"/>
          <w:i/>
          <w:color w:val="00000A"/>
          <w:sz w:val="20"/>
          <w:szCs w:val="20"/>
        </w:rPr>
        <w:t>Indicateurs et modèles opérationnels</w:t>
      </w:r>
    </w:p>
    <w:p w14:paraId="6367142D" w14:textId="77777777" w:rsidR="00A71758" w:rsidRPr="00FE20B5" w:rsidRDefault="00A71758" w:rsidP="00A71758">
      <w:pPr>
        <w:tabs>
          <w:tab w:val="left" w:pos="851"/>
        </w:tabs>
        <w:jc w:val="both"/>
        <w:rPr>
          <w:rFonts w:ascii="Cambria" w:eastAsia="Cambria" w:hAnsi="Cambria" w:cs="Cambria"/>
          <w:color w:val="00000A"/>
          <w:sz w:val="20"/>
          <w:szCs w:val="20"/>
        </w:rPr>
      </w:pPr>
    </w:p>
    <w:p w14:paraId="047DE149" w14:textId="77777777" w:rsidR="00A71758" w:rsidRPr="00FE20B5" w:rsidRDefault="00A71758" w:rsidP="00A71758">
      <w:pPr>
        <w:tabs>
          <w:tab w:val="left" w:pos="851"/>
        </w:tabs>
        <w:jc w:val="both"/>
        <w:rPr>
          <w:rFonts w:ascii="Cambria" w:eastAsia="Cambria" w:hAnsi="Cambria" w:cs="Cambria"/>
          <w:color w:val="00000A"/>
          <w:sz w:val="20"/>
          <w:szCs w:val="20"/>
        </w:rPr>
      </w:pPr>
      <w:r w:rsidRPr="00FE20B5">
        <w:rPr>
          <w:rFonts w:ascii="Cambria" w:hAnsi="Cambria"/>
          <w:color w:val="00000A"/>
          <w:sz w:val="20"/>
          <w:szCs w:val="20"/>
        </w:rPr>
        <w:t>Ce projet, d'une durée de trois ans, vise à créer des modèles opérationnels basés sur les écosystèmes afin de tester les indicateurs des écosystèmes et les politiques de gestion. L'objectif est de déterminer quand des indicateurs donnés reflètent avec précision l'état des stocks ou la dynamique de l'écosystème.</w:t>
      </w:r>
    </w:p>
    <w:p w14:paraId="6C386650" w14:textId="77777777" w:rsidR="00A71758" w:rsidRPr="00FE20B5" w:rsidRDefault="00A71758" w:rsidP="00A71758">
      <w:pPr>
        <w:tabs>
          <w:tab w:val="left" w:pos="851"/>
        </w:tabs>
        <w:jc w:val="both"/>
        <w:rPr>
          <w:rFonts w:ascii="Cambria" w:eastAsia="Cambria" w:hAnsi="Cambria" w:cs="Cambria"/>
          <w:color w:val="00000A"/>
          <w:sz w:val="20"/>
          <w:szCs w:val="20"/>
        </w:rPr>
      </w:pPr>
    </w:p>
    <w:p w14:paraId="4AB9FF20" w14:textId="77777777" w:rsidR="00A71758" w:rsidRPr="00FE20B5" w:rsidRDefault="00A71758" w:rsidP="00A71758">
      <w:pPr>
        <w:tabs>
          <w:tab w:val="left" w:pos="851"/>
        </w:tabs>
        <w:jc w:val="both"/>
        <w:rPr>
          <w:rFonts w:ascii="Cambria" w:hAnsi="Cambria"/>
          <w:sz w:val="20"/>
          <w:szCs w:val="20"/>
        </w:rPr>
      </w:pPr>
      <w:r w:rsidRPr="00FE20B5">
        <w:rPr>
          <w:rFonts w:ascii="Cambria" w:hAnsi="Cambria"/>
          <w:sz w:val="20"/>
          <w:szCs w:val="20"/>
        </w:rPr>
        <w:t xml:space="preserve">Au cours des années 2025 et 2026, les travaux ont permis de faire évoluer le cadre EcoTest, passant d’une première validation de principe à une approche plus générale et opérationnelle visant à élaborer et à tester des indicateurs stock-état pour les espèces secondaires. S'appuyant sur les travaux de 2025, qui ont généralisé la méthode au-delà de l'étude de cas initiale sur la pêche palangrière dans l'Atlantique Nord grâce à l'indicateur n° 2 pour les requins, les istiophoridés, thons, bonites et maquereaux, et avaient confirmé que les données de capture seules étaient insuffisantes pour déduire l'état des stocks, tandis qu’une combinaison d’informations sur les captures, le cycle vital, la taille, l’âge et l’abondance offrait une capacité prédictive utile, un atelier du </w:t>
      </w:r>
      <w:r w:rsidRPr="00FE20B5">
        <w:rPr>
          <w:rFonts w:ascii="Cambria" w:hAnsi="Cambria"/>
          <w:sz w:val="20"/>
          <w:szCs w:val="20"/>
        </w:rPr>
        <w:lastRenderedPageBreak/>
        <w:t>groupe de travail EcoTest, organisé en septembre 2025, a examiné le cadre et le code base et a remis son rapport à la FAO en octobre 2025. Les travaux les plus récents ont donné lieu à l'indicateur n°3, qui consiste à entraîner des réseaux neuronaux sur mesure à partir d'un jeu de données de simulation de référence pouvant être sous-divisé. L’indicateur a été appliqué à trois espèces de thonidés mineurs qui ne font pas l'objet d'évaluations régulières, permettant d'obtenir des estimations stochastiques provisoires de l'état des stocks ; un troisième atelier a été programmé et annoncé pour septembre 2026.</w:t>
      </w:r>
    </w:p>
    <w:p w14:paraId="5C7D5666" w14:textId="77777777" w:rsidR="00A71758" w:rsidRPr="00FE20B5" w:rsidRDefault="00A71758" w:rsidP="00A71758">
      <w:pPr>
        <w:tabs>
          <w:tab w:val="left" w:pos="851"/>
        </w:tabs>
        <w:jc w:val="both"/>
        <w:rPr>
          <w:rFonts w:ascii="Cambria" w:hAnsi="Cambria"/>
          <w:sz w:val="20"/>
          <w:szCs w:val="20"/>
        </w:rPr>
      </w:pPr>
    </w:p>
    <w:p w14:paraId="4F6876D9" w14:textId="77777777" w:rsidR="00A71758" w:rsidRPr="00FE20B5" w:rsidRDefault="00A71758" w:rsidP="00A71758">
      <w:pPr>
        <w:tabs>
          <w:tab w:val="left" w:pos="851"/>
        </w:tabs>
        <w:jc w:val="both"/>
        <w:rPr>
          <w:rFonts w:ascii="Cambria" w:eastAsia="Cambria" w:hAnsi="Cambria" w:cs="Cambria"/>
          <w:i/>
          <w:iCs/>
          <w:color w:val="00000A"/>
          <w:sz w:val="20"/>
          <w:szCs w:val="20"/>
        </w:rPr>
      </w:pPr>
      <w:r w:rsidRPr="00FE20B5">
        <w:rPr>
          <w:rFonts w:ascii="Cambria" w:hAnsi="Cambria"/>
          <w:i/>
          <w:color w:val="00000A"/>
          <w:sz w:val="20"/>
          <w:szCs w:val="20"/>
        </w:rPr>
        <w:t>Harmonisation des travaux techniques entre les ORGP</w:t>
      </w:r>
    </w:p>
    <w:p w14:paraId="75A43CF8" w14:textId="77777777" w:rsidR="00A71758" w:rsidRPr="00FE20B5" w:rsidRDefault="00A71758" w:rsidP="00A71758">
      <w:pPr>
        <w:tabs>
          <w:tab w:val="left" w:pos="851"/>
        </w:tabs>
        <w:jc w:val="both"/>
        <w:rPr>
          <w:rFonts w:ascii="Cambria" w:hAnsi="Cambria"/>
          <w:sz w:val="20"/>
          <w:szCs w:val="20"/>
        </w:rPr>
      </w:pPr>
    </w:p>
    <w:p w14:paraId="38C3E3A4" w14:textId="77777777" w:rsidR="00A71758" w:rsidRPr="00FE20B5" w:rsidRDefault="00A71758" w:rsidP="00A71758">
      <w:pPr>
        <w:tabs>
          <w:tab w:val="left" w:pos="851"/>
        </w:tabs>
        <w:jc w:val="both"/>
        <w:rPr>
          <w:rFonts w:ascii="Cambria" w:hAnsi="Cambria"/>
          <w:color w:val="00000A"/>
          <w:sz w:val="20"/>
          <w:szCs w:val="20"/>
        </w:rPr>
      </w:pPr>
      <w:r w:rsidRPr="00FE20B5">
        <w:rPr>
          <w:rFonts w:ascii="Cambria" w:hAnsi="Cambria"/>
          <w:color w:val="00000A"/>
          <w:sz w:val="20"/>
          <w:szCs w:val="20"/>
        </w:rPr>
        <w:t>Ce projet de trois ans apporte un soutien technique à l'harmonisation des travaux entre les ORGP-t. L'objectif est de coordonner les défis communs et de communiquer des messages clés sur les progrès réalisés en matière de gestion de la pêche, en particulier dans le contexte des discussions en cours sur la BBNJ et du processus d'examen de l'accord des Nations Unies sur les stocks de poissons.</w:t>
      </w:r>
    </w:p>
    <w:p w14:paraId="4E00D3A2" w14:textId="77777777" w:rsidR="00A71758" w:rsidRPr="00FE20B5" w:rsidRDefault="00A71758" w:rsidP="00A71758">
      <w:pPr>
        <w:tabs>
          <w:tab w:val="left" w:pos="851"/>
        </w:tabs>
        <w:jc w:val="both"/>
        <w:rPr>
          <w:rFonts w:ascii="Cambria" w:eastAsia="Cambria" w:hAnsi="Cambria" w:cs="Cambria"/>
          <w:color w:val="00000A"/>
          <w:sz w:val="20"/>
          <w:szCs w:val="20"/>
        </w:rPr>
      </w:pPr>
    </w:p>
    <w:p w14:paraId="10C3CB84" w14:textId="77777777" w:rsidR="00A71758" w:rsidRPr="00FE20B5" w:rsidRDefault="00A71758" w:rsidP="00A71758">
      <w:pPr>
        <w:tabs>
          <w:tab w:val="left" w:pos="851"/>
        </w:tabs>
        <w:jc w:val="both"/>
        <w:rPr>
          <w:rFonts w:ascii="Cambria" w:eastAsia="Cambria" w:hAnsi="Cambria" w:cs="Cambria"/>
          <w:color w:val="00000A"/>
          <w:sz w:val="20"/>
          <w:szCs w:val="20"/>
        </w:rPr>
      </w:pPr>
      <w:r w:rsidRPr="00FE20B5">
        <w:rPr>
          <w:rFonts w:ascii="Cambria" w:hAnsi="Cambria"/>
          <w:color w:val="00000A"/>
          <w:sz w:val="20"/>
          <w:szCs w:val="20"/>
        </w:rPr>
        <w:t>L'atelier du projet thonier des océans communs sur l'évaluation des stratégies de gestion s'est tenu au siège de la FAO à Rome du 20 au 22 janvier 2026. Organisé par l’ICCAT dans le cadre du projet thonier des océans communs de la FAO financé par le GEF, cet atelier a réuni des participants issus des ORGP thonières, d'institutions scientifiques, du secteur privé, de la FAO et d'organisations partenaires, dans le but de renforcer la collaboration en matière d'élaboration et de mise en œuvre de procédures de gestion testées par la MSE. L'atelier a fait le point sur les progrès réalisés au sein des ORGP thonières et a comparé les différentes approches institutionnelles, en abordant des défis communs tels que les capacités techniques, le dialogue entre la science et la gestion, la participation des parties prenantes, la communication sur les risques et les incertitudes, les protocoles de circonstances exceptionnelles, ainsi que la prise en compte des pêcheries mixtes, du changement climatique et de la non-stationnarité. Son principal résultat a été l'élaboration, en collaboration, d'un ensemble de recommandations pratiques concernant la conception, la mise en œuvre et la communication des MSE des ORGP ; le projet de rapport de l'atelier a été finalisé et devrait être publié par la FAO entre le milieu et la fin de l'année 2026.</w:t>
      </w:r>
    </w:p>
    <w:p w14:paraId="42633C61" w14:textId="77777777" w:rsidR="00A71758" w:rsidRDefault="00A71758" w:rsidP="00A71758">
      <w:pPr>
        <w:rPr>
          <w:rFonts w:ascii="Cambria" w:hAnsi="Cambria"/>
          <w:sz w:val="20"/>
          <w:szCs w:val="20"/>
        </w:rPr>
      </w:pPr>
    </w:p>
    <w:p w14:paraId="581AD910" w14:textId="77777777" w:rsidR="00A71758" w:rsidRPr="00FE20B5" w:rsidRDefault="00A71758" w:rsidP="00A71758">
      <w:pPr>
        <w:rPr>
          <w:rFonts w:ascii="Cambria" w:hAnsi="Cambria"/>
          <w:sz w:val="20"/>
          <w:szCs w:val="20"/>
        </w:rPr>
      </w:pPr>
    </w:p>
    <w:p w14:paraId="74101C44" w14:textId="19062AFC" w:rsidR="00A71758" w:rsidRPr="00FE20B5" w:rsidRDefault="00A71758" w:rsidP="00A71758">
      <w:pPr>
        <w:tabs>
          <w:tab w:val="left" w:pos="851"/>
        </w:tabs>
        <w:spacing w:after="120"/>
        <w:contextualSpacing/>
        <w:jc w:val="both"/>
        <w:rPr>
          <w:rFonts w:ascii="Cambria" w:eastAsia="Calibri" w:hAnsi="Cambria"/>
          <w:b/>
          <w:color w:val="00000A"/>
          <w:sz w:val="20"/>
          <w:szCs w:val="20"/>
        </w:rPr>
      </w:pPr>
      <w:r w:rsidRPr="00FE20B5">
        <w:rPr>
          <w:rFonts w:ascii="Cambria" w:hAnsi="Cambria"/>
          <w:b/>
          <w:i/>
          <w:color w:val="00000A"/>
          <w:sz w:val="20"/>
          <w:szCs w:val="20"/>
        </w:rPr>
        <w:t>Conseil international pour l'exploration de la mer (CIEM)</w:t>
      </w:r>
    </w:p>
    <w:p w14:paraId="29196466"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4E2D7518" w14:textId="77777777" w:rsidR="00A71758" w:rsidRPr="003336F7" w:rsidRDefault="00A71758" w:rsidP="00A71758">
      <w:pPr>
        <w:tabs>
          <w:tab w:val="left" w:pos="851"/>
        </w:tabs>
        <w:spacing w:after="120"/>
        <w:contextualSpacing/>
        <w:jc w:val="both"/>
        <w:rPr>
          <w:rFonts w:ascii="Cambria" w:hAnsi="Cambria"/>
          <w:color w:val="00000A"/>
          <w:sz w:val="20"/>
          <w:szCs w:val="20"/>
        </w:rPr>
      </w:pPr>
      <w:r w:rsidRPr="00FE20B5">
        <w:rPr>
          <w:rFonts w:ascii="Cambria" w:hAnsi="Cambria"/>
          <w:color w:val="00000A"/>
          <w:sz w:val="20"/>
          <w:szCs w:val="20"/>
        </w:rPr>
        <w:t>En 2026, les Secrétariats de l'ICCAT et du CIEM ont été en contact dans le cadre des dispositions de coordination prévues dans le protocole d'entente qu'ils avaient signé. Le CIEM poursuivra son processus consultatif en cours concernant le requin-taupe commun, tout en tenant l'ICCAT informée, en reconnaissant l'autorité de gestion de l'ICCAT sur cette pêcherie et en explorant les possibilités d'une coordination plus étroite des futurs avis scientifiques, pouvant notamment inclure une évaluation de référence conjointe. Des discussions sont également en cours concernant la mise en place éventuelle, vers 2029, d'un critère de référence commun à l'ICCAT et au CIEM pour le requin-taupe commun de l'Atlantique Nord-Est. Plus généralement, les deux organisations étudient les moyens de donner une plus grande portée concrète à leur protocole d'entente grâce à des échanges réguliers sur des activités scientifiques d'intérêt commun et à des travaux conjoints sur des questions transversales telles que la gestion des pêcheries fondée sur les écosystèmes et le changement climatique.</w:t>
      </w:r>
    </w:p>
    <w:p w14:paraId="65097766" w14:textId="77777777" w:rsidR="0075093B" w:rsidRDefault="0075093B" w:rsidP="00A71758">
      <w:pPr>
        <w:tabs>
          <w:tab w:val="left" w:pos="851"/>
        </w:tabs>
        <w:spacing w:after="120"/>
        <w:contextualSpacing/>
        <w:jc w:val="both"/>
        <w:rPr>
          <w:rFonts w:ascii="Cambria" w:hAnsi="Cambria"/>
          <w:b/>
          <w:bCs/>
          <w:i/>
          <w:iCs/>
          <w:sz w:val="20"/>
          <w:szCs w:val="20"/>
        </w:rPr>
      </w:pPr>
    </w:p>
    <w:p w14:paraId="3F7FE08A" w14:textId="77777777" w:rsidR="0075093B" w:rsidRDefault="0075093B" w:rsidP="00A71758">
      <w:pPr>
        <w:tabs>
          <w:tab w:val="left" w:pos="851"/>
        </w:tabs>
        <w:spacing w:after="120"/>
        <w:contextualSpacing/>
        <w:jc w:val="both"/>
        <w:rPr>
          <w:rFonts w:ascii="Cambria" w:hAnsi="Cambria"/>
          <w:b/>
          <w:bCs/>
          <w:i/>
          <w:iCs/>
          <w:sz w:val="20"/>
          <w:szCs w:val="20"/>
        </w:rPr>
      </w:pPr>
    </w:p>
    <w:p w14:paraId="1F8F0A4D" w14:textId="373676FF"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b/>
          <w:bCs/>
          <w:i/>
          <w:iCs/>
          <w:sz w:val="20"/>
          <w:szCs w:val="20"/>
        </w:rPr>
        <w:t>Conseil consultatif de la Méditerranée (MEDAC)</w:t>
      </w:r>
    </w:p>
    <w:p w14:paraId="4D8AF135" w14:textId="77777777" w:rsidR="00A71758" w:rsidRPr="00FE20B5" w:rsidRDefault="00A71758" w:rsidP="00A71758">
      <w:pPr>
        <w:tabs>
          <w:tab w:val="left" w:pos="851"/>
        </w:tabs>
        <w:spacing w:after="120"/>
        <w:contextualSpacing/>
        <w:jc w:val="both"/>
        <w:rPr>
          <w:rFonts w:ascii="Cambria" w:eastAsia="Calibri" w:hAnsi="Cambria"/>
          <w:b/>
          <w:color w:val="00000A"/>
          <w:sz w:val="20"/>
          <w:szCs w:val="20"/>
        </w:rPr>
      </w:pPr>
    </w:p>
    <w:p w14:paraId="665451CC"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color w:val="00000A"/>
          <w:sz w:val="20"/>
          <w:szCs w:val="20"/>
        </w:rPr>
        <w:t>Le rôle du Conseil consultatif de la Méditerranée (MEDAC) inclut la préparation d’opinions sur la gestion des pêcheries et des aspects socio-économiques à l’appui du secteur halieutique en Méditerranée, qui seront soumises aux États membres et aux institutions européennes afin de faciliter la réalisation des objectifs de la politique commune de la pêche de l’Union européenne (CFP).</w:t>
      </w:r>
    </w:p>
    <w:p w14:paraId="4BD2ED41"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75E4B0E6"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color w:val="00000A"/>
          <w:sz w:val="20"/>
          <w:szCs w:val="20"/>
        </w:rPr>
        <w:t xml:space="preserve">En 2025, le MEDAC a modifié le calendrier des travaux du groupe de travail 2 (WG2) sur les grands poissons pélagiques, qui traite habituellement des espèces relevant de l’ICCAT en Méditerranée. En raison de ce changement, le Secrétariat n'a pas participé à la réunion de 2025. Le rapport contenant les avis du MEDAC concernant les espèces relevant de l’ICCAT est disponible </w:t>
      </w:r>
      <w:hyperlink r:id="rId17" w:history="1">
        <w:r w:rsidRPr="00FE20B5">
          <w:rPr>
            <w:rStyle w:val="Hyperlink"/>
            <w:rFonts w:ascii="Cambria" w:hAnsi="Cambria"/>
            <w:sz w:val="20"/>
            <w:szCs w:val="20"/>
            <w:u w:val="none"/>
          </w:rPr>
          <w:t>ici</w:t>
        </w:r>
      </w:hyperlink>
      <w:r w:rsidRPr="00FE20B5">
        <w:rPr>
          <w:rFonts w:ascii="Cambria" w:hAnsi="Cambria"/>
          <w:color w:val="00000A"/>
          <w:sz w:val="20"/>
          <w:szCs w:val="20"/>
        </w:rPr>
        <w:t xml:space="preserve">. </w:t>
      </w:r>
    </w:p>
    <w:p w14:paraId="61636309" w14:textId="77777777" w:rsidR="00A71758" w:rsidRPr="00FE20B5" w:rsidRDefault="00A71758" w:rsidP="00A71758">
      <w:pPr>
        <w:tabs>
          <w:tab w:val="left" w:pos="851"/>
        </w:tabs>
        <w:spacing w:after="120"/>
        <w:contextualSpacing/>
        <w:jc w:val="both"/>
        <w:rPr>
          <w:rFonts w:ascii="Cambria" w:eastAsia="Calibri" w:hAnsi="Cambria"/>
          <w:b/>
          <w:i/>
          <w:color w:val="00000A"/>
          <w:sz w:val="20"/>
          <w:szCs w:val="20"/>
        </w:rPr>
      </w:pPr>
    </w:p>
    <w:p w14:paraId="3CDB374C" w14:textId="0F6244B1" w:rsidR="00A71758" w:rsidRPr="00FE20B5" w:rsidRDefault="00A71758" w:rsidP="00A71758">
      <w:pPr>
        <w:tabs>
          <w:tab w:val="left" w:pos="851"/>
        </w:tabs>
        <w:spacing w:after="120"/>
        <w:contextualSpacing/>
        <w:jc w:val="both"/>
        <w:rPr>
          <w:rFonts w:ascii="Cambria" w:eastAsia="Calibri" w:hAnsi="Cambria"/>
          <w:i/>
          <w:iCs/>
          <w:color w:val="00000A"/>
          <w:sz w:val="20"/>
          <w:szCs w:val="20"/>
        </w:rPr>
      </w:pPr>
      <w:r w:rsidRPr="00FE20B5">
        <w:rPr>
          <w:rFonts w:ascii="Cambria" w:hAnsi="Cambria"/>
          <w:b/>
          <w:i/>
          <w:iCs/>
          <w:color w:val="00000A"/>
          <w:sz w:val="20"/>
          <w:szCs w:val="20"/>
        </w:rPr>
        <w:t>Biodiversité au-delà de la juridiction nationale (BBNJ)</w:t>
      </w:r>
    </w:p>
    <w:p w14:paraId="40E52F15" w14:textId="77777777" w:rsidR="00A71758" w:rsidRPr="00FE20B5" w:rsidRDefault="00A71758" w:rsidP="00A71758">
      <w:pPr>
        <w:jc w:val="both"/>
        <w:rPr>
          <w:rFonts w:ascii="Cambria" w:hAnsi="Cambria"/>
          <w:color w:val="00000A"/>
          <w:sz w:val="20"/>
          <w:szCs w:val="20"/>
        </w:rPr>
      </w:pPr>
    </w:p>
    <w:p w14:paraId="334C159E" w14:textId="77777777" w:rsidR="00A71758" w:rsidRPr="00FE20B5" w:rsidRDefault="00A71758" w:rsidP="00A71758">
      <w:pPr>
        <w:jc w:val="both"/>
        <w:rPr>
          <w:rFonts w:ascii="Cambria" w:hAnsi="Cambria"/>
          <w:sz w:val="20"/>
          <w:szCs w:val="20"/>
        </w:rPr>
      </w:pPr>
      <w:r w:rsidRPr="00FE20B5">
        <w:rPr>
          <w:rFonts w:ascii="Cambria" w:hAnsi="Cambria"/>
          <w:sz w:val="20"/>
          <w:szCs w:val="20"/>
        </w:rPr>
        <w:t xml:space="preserve">Le Secrétaire exécutif a participé à la </w:t>
      </w:r>
      <w:hyperlink r:id="rId18" w:history="1">
        <w:r w:rsidRPr="00FE20B5">
          <w:rPr>
            <w:rStyle w:val="Hyperlink"/>
            <w:rFonts w:ascii="Cambria" w:hAnsi="Cambria"/>
            <w:sz w:val="20"/>
            <w:szCs w:val="20"/>
            <w:u w:val="none"/>
          </w:rPr>
          <w:t>troisième session de la Commission préparatoire de l'Accord BBNJ</w:t>
        </w:r>
      </w:hyperlink>
      <w:r w:rsidRPr="00FE20B5">
        <w:rPr>
          <w:rFonts w:ascii="Cambria" w:hAnsi="Cambria"/>
          <w:sz w:val="20"/>
          <w:szCs w:val="20"/>
        </w:rPr>
        <w:t xml:space="preserve"> (en personne/siège de New York (États-Unis), 30 mars-2 avril 2026).</w:t>
      </w:r>
      <w:r w:rsidRPr="00FE20B5">
        <w:rPr>
          <w:rFonts w:ascii="Cambria" w:hAnsi="Cambria"/>
          <w:color w:val="00000A"/>
          <w:sz w:val="20"/>
          <w:szCs w:val="20"/>
        </w:rPr>
        <w:t xml:space="preserve"> La Commission préparatoire a poursuivi l'examen des questions qui seront abordées lors de la première Conférence des Parties, en passant en revue les textes régissant le fonctionnement des différents organes du BBNJ. La Commission préparatoire a examiné les points suivants : le règlement intérieur de la Conférence des Parties, le mandat, les modalités de fonctionnement et le règlement intérieur des organes subsidiaires, y compris le processus de sélection de leurs membres, les dispositions relatives au fonctionnement du Secrétariat, les règles financières, les accords avec le Fonds pour l’environnement mondial, les dispositions visant à renforcer la coopération avec les instruments et cadres juridiques pertinents ainsi qu’avec les organismes mondiaux, régionaux, sous-régionaux et sectoriels concernés (IFB), et le fonds fiduciaire volontaire.</w:t>
      </w:r>
      <w:r w:rsidRPr="00FE20B5">
        <w:rPr>
          <w:rFonts w:ascii="Cambria" w:hAnsi="Cambria"/>
          <w:sz w:val="20"/>
          <w:szCs w:val="20"/>
        </w:rPr>
        <w:t xml:space="preserve"> </w:t>
      </w:r>
    </w:p>
    <w:p w14:paraId="08E611D6" w14:textId="77777777" w:rsidR="00A71758" w:rsidRPr="00FE20B5" w:rsidRDefault="00A71758" w:rsidP="00A71758">
      <w:pPr>
        <w:jc w:val="both"/>
        <w:rPr>
          <w:rFonts w:ascii="Cambria" w:hAnsi="Cambria"/>
          <w:color w:val="00000A"/>
          <w:sz w:val="20"/>
          <w:szCs w:val="20"/>
        </w:rPr>
      </w:pPr>
      <w:r w:rsidRPr="00FE20B5">
        <w:rPr>
          <w:rFonts w:ascii="Cambria" w:hAnsi="Cambria"/>
          <w:color w:val="00000A"/>
          <w:sz w:val="20"/>
          <w:szCs w:val="20"/>
        </w:rPr>
        <w:t xml:space="preserve"> </w:t>
      </w:r>
    </w:p>
    <w:p w14:paraId="7D47047F" w14:textId="77777777" w:rsidR="00A71758" w:rsidRPr="00FE20B5" w:rsidRDefault="00A71758" w:rsidP="00A71758">
      <w:pPr>
        <w:jc w:val="both"/>
        <w:rPr>
          <w:rFonts w:ascii="Cambria" w:hAnsi="Cambria"/>
          <w:color w:val="00000A"/>
          <w:sz w:val="20"/>
          <w:szCs w:val="20"/>
        </w:rPr>
      </w:pPr>
      <w:r w:rsidRPr="00FE20B5">
        <w:rPr>
          <w:rFonts w:ascii="Cambria" w:hAnsi="Cambria"/>
          <w:color w:val="00000A"/>
          <w:sz w:val="20"/>
          <w:szCs w:val="20"/>
        </w:rPr>
        <w:t xml:space="preserve">Les ORGP-t ont publié une </w:t>
      </w:r>
      <w:hyperlink r:id="rId19" w:history="1">
        <w:r w:rsidRPr="00FE20B5">
          <w:rPr>
            <w:rFonts w:ascii="Cambria" w:hAnsi="Cambria"/>
            <w:color w:val="00000A"/>
            <w:sz w:val="20"/>
            <w:szCs w:val="20"/>
          </w:rPr>
          <w:t>déclaration commune</w:t>
        </w:r>
      </w:hyperlink>
      <w:r w:rsidRPr="00FE20B5">
        <w:rPr>
          <w:rFonts w:ascii="Cambria" w:hAnsi="Cambria"/>
          <w:color w:val="00000A"/>
          <w:sz w:val="20"/>
          <w:szCs w:val="20"/>
        </w:rPr>
        <w:t xml:space="preserve"> lors de la réunion. Comme lors des réunions précédentes, elles ont rappelé leur expérience en matière de conservation et de gestion des stocks halieutiques, qui contribue à la préservation de la biodiversité.</w:t>
      </w:r>
    </w:p>
    <w:p w14:paraId="28848076" w14:textId="77777777" w:rsidR="00A71758" w:rsidRPr="00FE20B5" w:rsidRDefault="00A71758" w:rsidP="00A71758">
      <w:pPr>
        <w:jc w:val="both"/>
        <w:rPr>
          <w:rFonts w:ascii="Cambria" w:hAnsi="Cambria"/>
          <w:color w:val="00000A"/>
          <w:sz w:val="20"/>
          <w:szCs w:val="20"/>
        </w:rPr>
      </w:pPr>
    </w:p>
    <w:p w14:paraId="7E410050" w14:textId="77777777" w:rsidR="00A71758" w:rsidRPr="00FE20B5" w:rsidRDefault="00A71758" w:rsidP="00A71758">
      <w:pPr>
        <w:jc w:val="both"/>
        <w:rPr>
          <w:rFonts w:ascii="Cambria" w:hAnsi="Cambria"/>
          <w:sz w:val="20"/>
          <w:szCs w:val="20"/>
        </w:rPr>
      </w:pPr>
      <w:r w:rsidRPr="00FE20B5">
        <w:rPr>
          <w:rFonts w:ascii="Cambria" w:hAnsi="Cambria"/>
          <w:color w:val="00000A"/>
          <w:sz w:val="20"/>
          <w:szCs w:val="20"/>
        </w:rPr>
        <w:t xml:space="preserve">La première réunion de la Conférence des Parties à l'Accord BBNJ se tiendra du 11 au 22 janvier 2027 au Siège des Nations unies. </w:t>
      </w:r>
      <w:r w:rsidRPr="00FE20B5">
        <w:rPr>
          <w:rFonts w:ascii="Cambria" w:hAnsi="Cambria"/>
          <w:sz w:val="20"/>
          <w:szCs w:val="20"/>
        </w:rPr>
        <w:t xml:space="preserve">Lien vers le </w:t>
      </w:r>
      <w:hyperlink r:id="rId20" w:history="1">
        <w:r w:rsidRPr="00FE20B5">
          <w:rPr>
            <w:rStyle w:val="Hyperlink"/>
            <w:rFonts w:ascii="Cambria" w:hAnsi="Cambria"/>
            <w:sz w:val="20"/>
            <w:szCs w:val="20"/>
            <w:u w:val="none"/>
          </w:rPr>
          <w:t>site web du BBNJ</w:t>
        </w:r>
      </w:hyperlink>
      <w:r w:rsidRPr="00FE20B5">
        <w:rPr>
          <w:rFonts w:ascii="Cambria" w:hAnsi="Cambria"/>
          <w:sz w:val="20"/>
          <w:szCs w:val="20"/>
        </w:rPr>
        <w:t>.</w:t>
      </w:r>
    </w:p>
    <w:p w14:paraId="1EB5E7EA" w14:textId="77777777" w:rsidR="00A71758" w:rsidRDefault="00A71758" w:rsidP="00A71758">
      <w:pPr>
        <w:jc w:val="both"/>
        <w:rPr>
          <w:rFonts w:ascii="Cambria" w:hAnsi="Cambria"/>
          <w:sz w:val="20"/>
          <w:szCs w:val="20"/>
        </w:rPr>
      </w:pPr>
    </w:p>
    <w:p w14:paraId="6F5598D2" w14:textId="77777777" w:rsidR="00D53A23" w:rsidRPr="00FE20B5" w:rsidRDefault="00D53A23" w:rsidP="00A71758">
      <w:pPr>
        <w:jc w:val="both"/>
        <w:rPr>
          <w:rFonts w:ascii="Cambria" w:hAnsi="Cambria"/>
          <w:sz w:val="20"/>
          <w:szCs w:val="20"/>
        </w:rPr>
      </w:pPr>
    </w:p>
    <w:p w14:paraId="438EB062" w14:textId="15BE6B5F" w:rsidR="00A71758" w:rsidRPr="00FE20B5" w:rsidRDefault="00D53A23" w:rsidP="00A71758">
      <w:pPr>
        <w:tabs>
          <w:tab w:val="left" w:pos="851"/>
        </w:tabs>
        <w:spacing w:after="120"/>
        <w:contextualSpacing/>
        <w:jc w:val="both"/>
        <w:rPr>
          <w:rFonts w:ascii="Cambria" w:eastAsia="Calibri" w:hAnsi="Cambria"/>
          <w:b/>
          <w:bCs/>
          <w:color w:val="00000A"/>
          <w:sz w:val="20"/>
          <w:szCs w:val="20"/>
        </w:rPr>
      </w:pPr>
      <w:r>
        <w:rPr>
          <w:rFonts w:ascii="Cambria" w:hAnsi="Cambria"/>
          <w:b/>
          <w:i/>
          <w:iCs/>
          <w:color w:val="00000A"/>
          <w:sz w:val="20"/>
          <w:szCs w:val="20"/>
        </w:rPr>
        <w:t>O</w:t>
      </w:r>
      <w:r w:rsidR="00A71758" w:rsidRPr="00FE20B5">
        <w:rPr>
          <w:rFonts w:ascii="Cambria" w:hAnsi="Cambria"/>
          <w:b/>
          <w:i/>
          <w:iCs/>
          <w:color w:val="00000A"/>
          <w:sz w:val="20"/>
          <w:szCs w:val="20"/>
        </w:rPr>
        <w:t>rganisation des pêches de l'Atlantique Nord-Ouest (OPANO)</w:t>
      </w:r>
    </w:p>
    <w:p w14:paraId="5411782A"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3D3BD7EC"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color w:val="00000A"/>
          <w:sz w:val="20"/>
          <w:szCs w:val="20"/>
        </w:rPr>
        <w:t>À la suite de la décision prise par la Commission lors de sa réunion annuelle de 2025 concernant le renforcement de la coopération avec l'OPANO, le Secrétariat a pris contact avec l'OPANO. En mars 2026, en marge de la troisième réunion de la Commission préparatoire (PrepCom) du BBNJ à New York, les Secrétaires exécutifs de l'OPANO et de l’ICCAT ont discuté du projet de coopération. À l'issue de cette réunion, les deux Secrétariats ont travaillé à l'élaboration d'un projet de protocole d'entente et se sont mis d'accord sur un texte à leur niveau, sous réserve de leurs procédures internes d'approbation respectives. La réunion de l'OPANO devant se tenir plus tôt, l'OPANO a indiqué qu'elle informerait l'ICCAT des conclusions de cette réunion.</w:t>
      </w:r>
    </w:p>
    <w:p w14:paraId="3BD74B75" w14:textId="77777777" w:rsidR="00A71758" w:rsidRDefault="00A71758" w:rsidP="00A71758">
      <w:pPr>
        <w:tabs>
          <w:tab w:val="left" w:pos="851"/>
        </w:tabs>
        <w:spacing w:after="120"/>
        <w:contextualSpacing/>
        <w:jc w:val="both"/>
        <w:rPr>
          <w:rFonts w:ascii="Cambria" w:eastAsia="Calibri" w:hAnsi="Cambria"/>
          <w:color w:val="00000A"/>
          <w:sz w:val="20"/>
          <w:szCs w:val="20"/>
        </w:rPr>
      </w:pPr>
    </w:p>
    <w:p w14:paraId="17896344" w14:textId="77777777" w:rsidR="00D53A23" w:rsidRPr="00FE20B5" w:rsidRDefault="00D53A23" w:rsidP="00A71758">
      <w:pPr>
        <w:tabs>
          <w:tab w:val="left" w:pos="851"/>
        </w:tabs>
        <w:spacing w:after="120"/>
        <w:contextualSpacing/>
        <w:jc w:val="both"/>
        <w:rPr>
          <w:rFonts w:ascii="Cambria" w:eastAsia="Calibri" w:hAnsi="Cambria"/>
          <w:color w:val="00000A"/>
          <w:sz w:val="20"/>
          <w:szCs w:val="20"/>
        </w:rPr>
      </w:pPr>
    </w:p>
    <w:p w14:paraId="4D768F5C" w14:textId="0CB1D975" w:rsidR="00A71758" w:rsidRPr="00FE20B5" w:rsidRDefault="00A71758" w:rsidP="00A71758">
      <w:pPr>
        <w:tabs>
          <w:tab w:val="left" w:pos="851"/>
        </w:tabs>
        <w:spacing w:after="120"/>
        <w:contextualSpacing/>
        <w:jc w:val="both"/>
        <w:rPr>
          <w:rFonts w:ascii="Cambria" w:eastAsia="Calibri" w:hAnsi="Cambria"/>
          <w:b/>
          <w:bCs/>
          <w:color w:val="00000A"/>
          <w:sz w:val="20"/>
          <w:szCs w:val="20"/>
        </w:rPr>
      </w:pPr>
      <w:r w:rsidRPr="00FE20B5">
        <w:rPr>
          <w:rFonts w:ascii="Cambria" w:hAnsi="Cambria"/>
          <w:b/>
          <w:i/>
          <w:iCs/>
          <w:color w:val="00000A"/>
          <w:sz w:val="20"/>
          <w:szCs w:val="20"/>
        </w:rPr>
        <w:t>Commission des pêches de l'Atlantique du Nord-Est (NEAFC)</w:t>
      </w:r>
    </w:p>
    <w:p w14:paraId="58669DAD"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73BBED35"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color w:val="00000A"/>
          <w:sz w:val="20"/>
          <w:szCs w:val="20"/>
        </w:rPr>
        <w:t>À la suite de la décision prise par la Commission lors de sa réunion annuelle de 2025 concernant le renforcement de la coopération avec la NEAFC, le Secrétariat a pris contact avec la NEAFC. En mars 2026, en marge de la troisième réunion de la Commission préparatoire (PrepCom) du BBNJ à New York, les Secrétaires exécutifs de la NEAFC et de l’ICCAT ont discuté du projet de coopération. À l'issue de cette réunion, les deux Secrétariats ont travaillé à l'élaboration d'un projet de protocole d'entente. La NEAFC a par la suite informé le Secrétariat de l’ICCAT qu’elle reporterait l’examen du protocole d’entente jusqu’à la prochaine réunion de son groupe de travail stratégique, prévue en 2027.</w:t>
      </w:r>
    </w:p>
    <w:p w14:paraId="0B87F1A9"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21491682" w14:textId="77777777" w:rsidR="00D53A23" w:rsidRDefault="00D53A23" w:rsidP="00A71758">
      <w:pPr>
        <w:tabs>
          <w:tab w:val="left" w:pos="851"/>
        </w:tabs>
        <w:spacing w:after="120"/>
        <w:contextualSpacing/>
        <w:jc w:val="both"/>
        <w:rPr>
          <w:rFonts w:ascii="Cambria" w:hAnsi="Cambria"/>
          <w:b/>
          <w:i/>
          <w:iCs/>
          <w:color w:val="00000A"/>
          <w:sz w:val="20"/>
          <w:szCs w:val="20"/>
        </w:rPr>
      </w:pPr>
    </w:p>
    <w:p w14:paraId="549D39ED" w14:textId="0BF13ED7" w:rsidR="00A71758" w:rsidRPr="00FE20B5" w:rsidRDefault="00A71758" w:rsidP="00A71758">
      <w:pPr>
        <w:tabs>
          <w:tab w:val="left" w:pos="851"/>
        </w:tabs>
        <w:spacing w:after="120"/>
        <w:contextualSpacing/>
        <w:jc w:val="both"/>
        <w:rPr>
          <w:rFonts w:ascii="Cambria" w:eastAsia="Calibri" w:hAnsi="Cambria"/>
          <w:b/>
          <w:bCs/>
          <w:color w:val="00000A"/>
          <w:sz w:val="20"/>
          <w:szCs w:val="20"/>
        </w:rPr>
      </w:pPr>
      <w:r w:rsidRPr="00FE20B5">
        <w:rPr>
          <w:rFonts w:ascii="Cambria" w:hAnsi="Cambria"/>
          <w:b/>
          <w:i/>
          <w:iCs/>
          <w:color w:val="00000A"/>
          <w:sz w:val="20"/>
          <w:szCs w:val="20"/>
        </w:rPr>
        <w:t>Convention pour la protection du milieu marin de l'Atlantique du Nord-Est (OSPAR)</w:t>
      </w:r>
    </w:p>
    <w:p w14:paraId="2EC424EC"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p>
    <w:p w14:paraId="35C933D2" w14:textId="77777777" w:rsidR="00A71758" w:rsidRPr="00FE20B5" w:rsidRDefault="00A71758" w:rsidP="00A71758">
      <w:pPr>
        <w:tabs>
          <w:tab w:val="left" w:pos="851"/>
        </w:tabs>
        <w:spacing w:after="120"/>
        <w:contextualSpacing/>
        <w:jc w:val="both"/>
        <w:rPr>
          <w:rFonts w:ascii="Cambria" w:eastAsia="Calibri" w:hAnsi="Cambria"/>
          <w:color w:val="00000A"/>
          <w:sz w:val="20"/>
          <w:szCs w:val="20"/>
        </w:rPr>
      </w:pPr>
      <w:r w:rsidRPr="00FE20B5">
        <w:rPr>
          <w:rFonts w:ascii="Cambria" w:hAnsi="Cambria"/>
          <w:color w:val="00000A"/>
          <w:sz w:val="20"/>
          <w:szCs w:val="20"/>
        </w:rPr>
        <w:t xml:space="preserve">En juin 2026, le Secrétariat de la Convention pour la protection du milieu marin de l'Atlantique du Nord-Est (OSPAR) a pris contact avec le Secrétariat de l’ICCAT afin d'examiner l'opportunité de conclure un protocole d'entente visant à renforcer davantage la coopération entre les deux organisations. Le Secrétariat de l’ICCAT a pris note de cette demande et a informé l’OSPAR qu’il soumettrait la question à la réunion annuelle de la Commission afin d’obtenir des orientations sur la marche à suivre. Étant donné que la réunion de l’OSPAR se tiendra avant celle de l’ICCAT, il a également été demandé de tenir le Secrétariat informé des conclusions de la réunion de l’OSPAR.   </w:t>
      </w:r>
    </w:p>
    <w:p w14:paraId="02D5E113" w14:textId="77777777" w:rsidR="00A71758" w:rsidRDefault="00A71758" w:rsidP="00A71758">
      <w:pPr>
        <w:tabs>
          <w:tab w:val="left" w:pos="851"/>
        </w:tabs>
        <w:spacing w:after="120"/>
        <w:contextualSpacing/>
        <w:jc w:val="both"/>
        <w:rPr>
          <w:rFonts w:ascii="Cambria" w:eastAsia="Calibri" w:hAnsi="Cambria"/>
          <w:bCs/>
          <w:color w:val="00000A"/>
          <w:sz w:val="8"/>
          <w:szCs w:val="8"/>
        </w:rPr>
      </w:pPr>
    </w:p>
    <w:p w14:paraId="610DA3BE" w14:textId="77777777" w:rsidR="00D53A23" w:rsidRDefault="00D53A23" w:rsidP="00A71758">
      <w:pPr>
        <w:tabs>
          <w:tab w:val="left" w:pos="851"/>
        </w:tabs>
        <w:spacing w:after="120"/>
        <w:contextualSpacing/>
        <w:jc w:val="both"/>
        <w:rPr>
          <w:rFonts w:ascii="Cambria" w:eastAsia="Calibri" w:hAnsi="Cambria"/>
          <w:bCs/>
          <w:color w:val="00000A"/>
          <w:sz w:val="8"/>
          <w:szCs w:val="8"/>
        </w:rPr>
      </w:pPr>
    </w:p>
    <w:p w14:paraId="7DC1D0F2" w14:textId="77777777" w:rsidR="00D53A23" w:rsidRDefault="00D53A23" w:rsidP="00A71758">
      <w:pPr>
        <w:tabs>
          <w:tab w:val="left" w:pos="851"/>
        </w:tabs>
        <w:spacing w:after="120"/>
        <w:contextualSpacing/>
        <w:jc w:val="both"/>
        <w:rPr>
          <w:rFonts w:ascii="Cambria" w:eastAsia="Calibri" w:hAnsi="Cambria"/>
          <w:bCs/>
          <w:color w:val="00000A"/>
          <w:sz w:val="8"/>
          <w:szCs w:val="8"/>
        </w:rPr>
      </w:pPr>
    </w:p>
    <w:p w14:paraId="4DD44B34" w14:textId="77777777" w:rsidR="00D53A23" w:rsidRPr="00FE20B5" w:rsidRDefault="00D53A23" w:rsidP="00A71758">
      <w:pPr>
        <w:tabs>
          <w:tab w:val="left" w:pos="851"/>
        </w:tabs>
        <w:spacing w:after="120"/>
        <w:contextualSpacing/>
        <w:jc w:val="both"/>
        <w:rPr>
          <w:rFonts w:ascii="Cambria" w:eastAsia="Calibri" w:hAnsi="Cambria"/>
          <w:bCs/>
          <w:color w:val="00000A"/>
          <w:sz w:val="8"/>
          <w:szCs w:val="8"/>
        </w:rPr>
      </w:pPr>
    </w:p>
    <w:p w14:paraId="62284AF3" w14:textId="6455DB90" w:rsidR="00A71758" w:rsidRPr="00FE20B5" w:rsidRDefault="00A71758" w:rsidP="00A71758">
      <w:pPr>
        <w:jc w:val="both"/>
        <w:rPr>
          <w:rFonts w:ascii="Cambria" w:hAnsi="Cambria"/>
          <w:b/>
          <w:bCs/>
          <w:i/>
          <w:iCs/>
          <w:color w:val="00000A"/>
          <w:sz w:val="20"/>
          <w:szCs w:val="20"/>
        </w:rPr>
      </w:pPr>
      <w:r w:rsidRPr="00FE20B5">
        <w:rPr>
          <w:rFonts w:ascii="Cambria" w:hAnsi="Cambria"/>
          <w:b/>
          <w:i/>
          <w:color w:val="00000A"/>
          <w:sz w:val="20"/>
          <w:szCs w:val="20"/>
        </w:rPr>
        <w:lastRenderedPageBreak/>
        <w:t>Atelier sur les questions de répartition liées aux pêcheries thonières</w:t>
      </w:r>
    </w:p>
    <w:p w14:paraId="3ED03D32" w14:textId="77777777" w:rsidR="00A71758" w:rsidRPr="00FE20B5" w:rsidRDefault="00A71758" w:rsidP="00A71758">
      <w:pPr>
        <w:jc w:val="both"/>
        <w:rPr>
          <w:rFonts w:ascii="Cambria" w:hAnsi="Cambria"/>
          <w:b/>
          <w:bCs/>
          <w:color w:val="00000A"/>
          <w:sz w:val="20"/>
          <w:szCs w:val="20"/>
        </w:rPr>
      </w:pPr>
    </w:p>
    <w:p w14:paraId="55C88DBD" w14:textId="77777777" w:rsidR="00A71758" w:rsidRPr="00FE20B5" w:rsidRDefault="00A71758" w:rsidP="00A71758">
      <w:pPr>
        <w:jc w:val="both"/>
        <w:rPr>
          <w:rFonts w:ascii="Cambria" w:hAnsi="Cambria"/>
          <w:color w:val="00000A"/>
          <w:sz w:val="20"/>
          <w:szCs w:val="20"/>
        </w:rPr>
      </w:pPr>
      <w:r w:rsidRPr="00FE20B5">
        <w:rPr>
          <w:rFonts w:ascii="Cambria" w:hAnsi="Cambria"/>
          <w:color w:val="00000A"/>
          <w:sz w:val="20"/>
          <w:szCs w:val="20"/>
        </w:rPr>
        <w:t xml:space="preserve">Le Secrétariat a participé à un atelier consacré aux questions de répartition liées aux pêcheries thonières, qui s'est tenu à Sète (France) les 24 et 25 mars 2026. L'atelier a passé en revue les principes théoriques de la protection sociale et de la répartition équitable, ainsi que la manière dont ceux-ci pourraient être transposés dans les discussions sur les droits d'allocation au sein des organisations régionales de gestion des pêches thonières (ORGP-t). Les objectifs des principes régissant le processus d'allocation des ressources communes ont été examinés, notamment en ce qui concerne le concept d'égalité des chances. Parmi les autres aspects abordés figuraient : i) l’identification de principes d’équité et de justice adaptés à l’allocation des captures des stocks de thonidés transfrontaliers, en particulier dans le contexte spécifique des pêcheries de l’océan Indien ; et ii) la définition d’indicateurs et de mesures opérationnels correspondant à ces principes d’allocation. </w:t>
      </w:r>
    </w:p>
    <w:p w14:paraId="09F27F0E" w14:textId="77777777" w:rsidR="00A71758" w:rsidRPr="00FE20B5" w:rsidRDefault="00A71758" w:rsidP="00A71758">
      <w:pPr>
        <w:jc w:val="both"/>
        <w:rPr>
          <w:rFonts w:ascii="Cambria" w:hAnsi="Cambria"/>
          <w:color w:val="00000A"/>
          <w:sz w:val="20"/>
          <w:szCs w:val="20"/>
        </w:rPr>
      </w:pPr>
    </w:p>
    <w:p w14:paraId="3700E513" w14:textId="77777777" w:rsidR="00A71758" w:rsidRPr="00FE20B5" w:rsidRDefault="00A71758" w:rsidP="00A71758">
      <w:pPr>
        <w:jc w:val="both"/>
        <w:rPr>
          <w:rFonts w:ascii="Cambria" w:hAnsi="Cambria"/>
          <w:color w:val="00000A"/>
          <w:sz w:val="20"/>
          <w:szCs w:val="20"/>
        </w:rPr>
      </w:pPr>
      <w:r w:rsidRPr="00FE20B5">
        <w:rPr>
          <w:rFonts w:ascii="Cambria" w:hAnsi="Cambria"/>
          <w:color w:val="00000A"/>
          <w:sz w:val="20"/>
          <w:szCs w:val="20"/>
        </w:rPr>
        <w:t xml:space="preserve">Le Secrétariat a présenté un résumé du rôle joué par les informations et données scientifiques dans le cadre des règles d'accès en vigueur au sein de l’ICCAT. </w:t>
      </w:r>
    </w:p>
    <w:p w14:paraId="3860CB17" w14:textId="77777777" w:rsidR="00A71758" w:rsidRPr="00FE20B5" w:rsidRDefault="00A71758" w:rsidP="00A71758">
      <w:pPr>
        <w:jc w:val="both"/>
        <w:rPr>
          <w:rFonts w:ascii="Cambria" w:hAnsi="Cambria"/>
          <w:color w:val="00000A"/>
          <w:sz w:val="8"/>
          <w:szCs w:val="8"/>
        </w:rPr>
      </w:pPr>
    </w:p>
    <w:p w14:paraId="745C0C3E" w14:textId="77777777" w:rsidR="00A71758" w:rsidRPr="00FE20B5" w:rsidRDefault="00A71758" w:rsidP="00A71758">
      <w:pPr>
        <w:jc w:val="both"/>
        <w:rPr>
          <w:rFonts w:ascii="Cambria" w:hAnsi="Cambria"/>
          <w:color w:val="00000A"/>
          <w:sz w:val="20"/>
          <w:szCs w:val="20"/>
        </w:rPr>
      </w:pPr>
      <w:r w:rsidRPr="00FE20B5">
        <w:rPr>
          <w:rFonts w:ascii="Cambria" w:hAnsi="Cambria"/>
          <w:color w:val="00000A"/>
          <w:sz w:val="20"/>
          <w:szCs w:val="20"/>
        </w:rPr>
        <w:t xml:space="preserve">Un article destiné à une revue faisant l’objet d’un examen par les pairs, intitulé « Répartition juste et équitable des pêcheries transfrontalières de thonidés », est en cours de rédaction afin de présenter les principaux résultats et conclusions de l'atelier ; il sera soumis à la revue Fish and Fisheries.  </w:t>
      </w:r>
    </w:p>
    <w:p w14:paraId="0A4E8D07" w14:textId="77777777" w:rsidR="00A71758" w:rsidRDefault="00A71758" w:rsidP="00A71758">
      <w:pPr>
        <w:tabs>
          <w:tab w:val="left" w:pos="851"/>
        </w:tabs>
        <w:spacing w:after="120"/>
        <w:contextualSpacing/>
        <w:jc w:val="both"/>
        <w:rPr>
          <w:rFonts w:ascii="Cambria" w:eastAsia="Calibri" w:hAnsi="Cambria"/>
          <w:bCs/>
          <w:color w:val="00000A"/>
          <w:sz w:val="20"/>
          <w:szCs w:val="20"/>
        </w:rPr>
      </w:pPr>
    </w:p>
    <w:p w14:paraId="21EF539E" w14:textId="77777777" w:rsidR="00D53A23" w:rsidRPr="00FE20B5" w:rsidRDefault="00D53A23" w:rsidP="00A71758">
      <w:pPr>
        <w:tabs>
          <w:tab w:val="left" w:pos="851"/>
        </w:tabs>
        <w:spacing w:after="120"/>
        <w:contextualSpacing/>
        <w:jc w:val="both"/>
        <w:rPr>
          <w:rFonts w:ascii="Cambria" w:eastAsia="Calibri" w:hAnsi="Cambria"/>
          <w:bCs/>
          <w:color w:val="00000A"/>
          <w:sz w:val="20"/>
          <w:szCs w:val="20"/>
        </w:rPr>
      </w:pPr>
    </w:p>
    <w:p w14:paraId="01607E09" w14:textId="78428D78" w:rsidR="00A71758" w:rsidRPr="00FE20B5" w:rsidRDefault="00A71758" w:rsidP="00A71758">
      <w:pPr>
        <w:tabs>
          <w:tab w:val="left" w:pos="851"/>
        </w:tabs>
        <w:spacing w:after="120"/>
        <w:contextualSpacing/>
        <w:jc w:val="both"/>
        <w:rPr>
          <w:rFonts w:ascii="Cambria" w:eastAsia="Calibri" w:hAnsi="Cambria"/>
          <w:b/>
          <w:bCs/>
          <w:i/>
          <w:iCs/>
          <w:color w:val="00000A"/>
          <w:sz w:val="20"/>
          <w:szCs w:val="20"/>
        </w:rPr>
      </w:pPr>
      <w:r w:rsidRPr="00FE20B5">
        <w:rPr>
          <w:rFonts w:ascii="Cambria" w:hAnsi="Cambria"/>
          <w:b/>
          <w:i/>
          <w:iCs/>
          <w:color w:val="00000A"/>
          <w:sz w:val="20"/>
        </w:rPr>
        <w:t>Groupe de coordination régionale de l'Union européenne sur les grands pélagiques (RCG LP)</w:t>
      </w:r>
    </w:p>
    <w:p w14:paraId="6DCFC4CE" w14:textId="77777777" w:rsidR="00A71758" w:rsidRPr="00FE20B5" w:rsidRDefault="00A71758" w:rsidP="00A71758">
      <w:pPr>
        <w:tabs>
          <w:tab w:val="left" w:pos="851"/>
        </w:tabs>
        <w:spacing w:after="120"/>
        <w:contextualSpacing/>
        <w:jc w:val="both"/>
        <w:rPr>
          <w:rFonts w:ascii="Cambria" w:eastAsia="Calibri" w:hAnsi="Cambria"/>
          <w:bCs/>
          <w:color w:val="00000A"/>
          <w:sz w:val="20"/>
          <w:szCs w:val="20"/>
        </w:rPr>
      </w:pPr>
    </w:p>
    <w:p w14:paraId="45FD740A" w14:textId="4181F0D3" w:rsidR="00A71758" w:rsidRPr="00A71758" w:rsidRDefault="00A71758" w:rsidP="00A71758">
      <w:pPr>
        <w:tabs>
          <w:tab w:val="left" w:pos="851"/>
        </w:tabs>
        <w:spacing w:after="120"/>
        <w:contextualSpacing/>
        <w:jc w:val="both"/>
        <w:rPr>
          <w:rFonts w:ascii="Cambria" w:hAnsi="Cambria"/>
          <w:b/>
          <w:color w:val="00000A"/>
          <w:sz w:val="20"/>
          <w:szCs w:val="20"/>
        </w:rPr>
      </w:pPr>
      <w:r w:rsidRPr="00FE20B5">
        <w:rPr>
          <w:rFonts w:ascii="Cambria" w:hAnsi="Cambria"/>
          <w:color w:val="00000A"/>
          <w:sz w:val="20"/>
        </w:rPr>
        <w:t xml:space="preserve">Le Secrétariat a été invité à participer à la réunion annuelle de 2026 du Groupe de coordination régionale de l'Union européenne (UE) sur les grands pélagiques (RCG-LP) et y a pris part à distance ; celle-ci s’est tenue à Héraklion (Grèce) du 23 au 25 juin 2026. La réunion a porté sur la coordination de la collecte et de la déclaration des données relatives aux pêcheries de grands pélagiques par les États membres de l’UE, notamment la préparation du plan de travail régional pour la période 2028-2030, le développement des bases de données régionales et la transmission des données à l’ICCAT et à la CTOI. Le Secrétariat a présenté un aperçu des obligations de déclaration statistique de l’ICCAT, des outils disponibles en matière de diffusion et d'évaluation des données, ainsi que des résultats obtenus par les États membres de l'UE en matière de déclaration. Il a également mis en évidence les domaines dans lesquels il serait utile d'apporter de nouvelles améliorations aux soumissions des données de l'UE, notamment en ce qui concerne l'exhaustivité, la cohérence et la standardisation des données parmi les jeux de données des tâches 1 et 2, ainsi que la nécessité de continuer à améliorer les outils destinés à faciliter l'examen et la vérification des données. </w:t>
      </w:r>
      <w:r w:rsidRPr="00FE20B5">
        <w:rPr>
          <w:rFonts w:ascii="Cambria" w:hAnsi="Cambria"/>
          <w:b/>
          <w:color w:val="00000A"/>
          <w:sz w:val="20"/>
          <w:szCs w:val="20"/>
        </w:rPr>
        <w:br w:type="page"/>
      </w:r>
    </w:p>
    <w:sectPr w:rsidR="00A71758" w:rsidRPr="00A71758" w:rsidSect="00F2499A">
      <w:headerReference w:type="default" r:id="rId21"/>
      <w:footerReference w:type="default" r:id="rId22"/>
      <w:pgSz w:w="12240" w:h="15840"/>
      <w:pgMar w:top="1440" w:right="1440" w:bottom="1440" w:left="1440" w:header="85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A3F9C" w14:textId="77777777" w:rsidR="007268B2" w:rsidRDefault="007268B2" w:rsidP="00F2499A">
      <w:r>
        <w:separator/>
      </w:r>
    </w:p>
  </w:endnote>
  <w:endnote w:type="continuationSeparator" w:id="0">
    <w:p w14:paraId="58492F12" w14:textId="77777777" w:rsidR="007268B2" w:rsidRDefault="007268B2" w:rsidP="00F24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DEC37" w14:textId="6EF3621B" w:rsidR="00A15558" w:rsidRPr="00A15558" w:rsidRDefault="007268B2" w:rsidP="00A15558">
    <w:pPr>
      <w:tabs>
        <w:tab w:val="center" w:pos="4535"/>
        <w:tab w:val="center" w:pos="4680"/>
        <w:tab w:val="left" w:pos="6150"/>
        <w:tab w:val="right" w:pos="9360"/>
      </w:tabs>
      <w:jc w:val="center"/>
      <w:rPr>
        <w:rFonts w:ascii="Cambria" w:hAnsi="Cambria"/>
        <w:sz w:val="20"/>
        <w:szCs w:val="20"/>
      </w:rPr>
    </w:pPr>
    <w:sdt>
      <w:sdtPr>
        <w:rPr>
          <w:rFonts w:ascii="Cambria" w:eastAsia="Calibri" w:hAnsi="Cambria" w:cs="Calibri"/>
          <w:sz w:val="20"/>
          <w:szCs w:val="20"/>
        </w:rPr>
        <w:id w:val="399259623"/>
        <w:docPartObj>
          <w:docPartGallery w:val="Page Numbers (Top of Page)"/>
          <w:docPartUnique/>
        </w:docPartObj>
      </w:sdtPr>
      <w:sdtEndPr/>
      <w:sdtContent>
        <w:r w:rsidR="00A15558" w:rsidRPr="00FD26B9">
          <w:rPr>
            <w:rFonts w:ascii="Cambria" w:eastAsia="Calibri" w:hAnsi="Cambria" w:cs="Calibri"/>
            <w:sz w:val="20"/>
            <w:szCs w:val="20"/>
          </w:rPr>
          <w:fldChar w:fldCharType="begin"/>
        </w:r>
        <w:r w:rsidR="00A15558" w:rsidRPr="00FD26B9">
          <w:rPr>
            <w:rFonts w:ascii="Cambria" w:eastAsia="Calibri" w:hAnsi="Cambria" w:cs="Calibri"/>
            <w:sz w:val="20"/>
            <w:szCs w:val="20"/>
          </w:rPr>
          <w:instrText xml:space="preserve"> PAGE </w:instrText>
        </w:r>
        <w:r w:rsidR="00A15558" w:rsidRPr="00FD26B9">
          <w:rPr>
            <w:rFonts w:ascii="Cambria" w:eastAsia="Calibri" w:hAnsi="Cambria" w:cs="Calibri"/>
            <w:sz w:val="20"/>
            <w:szCs w:val="20"/>
          </w:rPr>
          <w:fldChar w:fldCharType="separate"/>
        </w:r>
        <w:r w:rsidR="00A15558">
          <w:rPr>
            <w:rFonts w:ascii="Cambria" w:eastAsia="Calibri" w:hAnsi="Cambria" w:cs="Calibri"/>
            <w:sz w:val="20"/>
            <w:szCs w:val="20"/>
          </w:rPr>
          <w:t>1</w:t>
        </w:r>
        <w:r w:rsidR="00A15558" w:rsidRPr="00FD26B9">
          <w:rPr>
            <w:rFonts w:ascii="Cambria" w:eastAsia="Calibri" w:hAnsi="Cambria" w:cs="Calibri"/>
            <w:sz w:val="20"/>
            <w:szCs w:val="20"/>
          </w:rPr>
          <w:fldChar w:fldCharType="end"/>
        </w:r>
        <w:r w:rsidR="00721EA8">
          <w:rPr>
            <w:rFonts w:ascii="Cambria" w:hAnsi="Cambria"/>
            <w:sz w:val="20"/>
            <w:szCs w:val="20"/>
          </w:rPr>
          <w:t xml:space="preserve"> / </w:t>
        </w:r>
        <w:r w:rsidR="00A15558" w:rsidRPr="00FD26B9">
          <w:rPr>
            <w:rFonts w:ascii="Cambria" w:eastAsia="Calibri" w:hAnsi="Cambria" w:cs="Calibri"/>
            <w:sz w:val="20"/>
            <w:szCs w:val="20"/>
          </w:rPr>
          <w:fldChar w:fldCharType="begin"/>
        </w:r>
        <w:r w:rsidR="00A15558" w:rsidRPr="00FD26B9">
          <w:rPr>
            <w:rFonts w:ascii="Cambria" w:eastAsia="Calibri" w:hAnsi="Cambria" w:cs="Calibri"/>
            <w:sz w:val="20"/>
            <w:szCs w:val="20"/>
          </w:rPr>
          <w:instrText xml:space="preserve"> NUMPAGES  </w:instrText>
        </w:r>
        <w:r w:rsidR="00A15558" w:rsidRPr="00FD26B9">
          <w:rPr>
            <w:rFonts w:ascii="Cambria" w:eastAsia="Calibri" w:hAnsi="Cambria" w:cs="Calibri"/>
            <w:sz w:val="20"/>
            <w:szCs w:val="20"/>
          </w:rPr>
          <w:fldChar w:fldCharType="separate"/>
        </w:r>
        <w:r w:rsidR="00A15558">
          <w:rPr>
            <w:rFonts w:ascii="Cambria" w:eastAsia="Calibri" w:hAnsi="Cambria" w:cs="Calibri"/>
            <w:sz w:val="20"/>
            <w:szCs w:val="20"/>
          </w:rPr>
          <w:t>4</w:t>
        </w:r>
        <w:r w:rsidR="00A15558" w:rsidRPr="00FD26B9">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5A426" w14:textId="77777777" w:rsidR="007268B2" w:rsidRDefault="007268B2" w:rsidP="00F2499A">
      <w:r>
        <w:separator/>
      </w:r>
    </w:p>
  </w:footnote>
  <w:footnote w:type="continuationSeparator" w:id="0">
    <w:p w14:paraId="61DFCE8E" w14:textId="77777777" w:rsidR="007268B2" w:rsidRDefault="007268B2" w:rsidP="00F24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6231" w14:textId="3A8AD714" w:rsidR="00F2499A" w:rsidRPr="00F2499A" w:rsidRDefault="00F2499A" w:rsidP="00F2499A">
    <w:pPr>
      <w:tabs>
        <w:tab w:val="center" w:pos="4680"/>
        <w:tab w:val="left" w:pos="6520"/>
        <w:tab w:val="right" w:pos="9360"/>
        <w:tab w:val="right" w:pos="14240"/>
      </w:tabs>
      <w:jc w:val="right"/>
      <w:rPr>
        <w:rFonts w:ascii="Cambria" w:eastAsia="Cambria" w:hAnsi="Cambria" w:cs="Cambria"/>
        <w:b/>
        <w:sz w:val="20"/>
        <w:szCs w:val="20"/>
      </w:rPr>
    </w:pPr>
    <w:r>
      <w:rPr>
        <w:rFonts w:ascii="Cambria" w:hAnsi="Cambria"/>
        <w:b/>
        <w:sz w:val="20"/>
        <w:szCs w:val="20"/>
      </w:rPr>
      <w:t>PLE_106/202</w:t>
    </w:r>
    <w:r w:rsidR="00A71758">
      <w:rPr>
        <w:rFonts w:ascii="Cambria" w:hAnsi="Cambria"/>
        <w:b/>
        <w:sz w:val="20"/>
        <w:szCs w:val="20"/>
      </w:rPr>
      <w:t>6</w:t>
    </w:r>
  </w:p>
  <w:p w14:paraId="4B1A8517" w14:textId="16A71239" w:rsidR="00F2499A" w:rsidRDefault="00F2499A" w:rsidP="00F2499A">
    <w:pPr>
      <w:tabs>
        <w:tab w:val="center" w:pos="4680"/>
        <w:tab w:val="right" w:pos="9360"/>
      </w:tabs>
      <w:jc w:val="right"/>
    </w:pPr>
    <w:r>
      <w:rPr>
        <w:rFonts w:ascii="Cambria" w:hAnsi="Cambria"/>
        <w:b/>
        <w:color w:val="000000"/>
        <w:sz w:val="16"/>
        <w:szCs w:val="16"/>
      </w:rPr>
      <w:t>13/11/2023 16:25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20734"/>
    <w:multiLevelType w:val="hybridMultilevel"/>
    <w:tmpl w:val="ECD0A1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6165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3E"/>
    <w:rsid w:val="00017BC0"/>
    <w:rsid w:val="0008370B"/>
    <w:rsid w:val="00090267"/>
    <w:rsid w:val="000A3341"/>
    <w:rsid w:val="000C2316"/>
    <w:rsid w:val="000E3428"/>
    <w:rsid w:val="00101259"/>
    <w:rsid w:val="00111E18"/>
    <w:rsid w:val="001133CD"/>
    <w:rsid w:val="00113956"/>
    <w:rsid w:val="00117298"/>
    <w:rsid w:val="001420AF"/>
    <w:rsid w:val="00153E0A"/>
    <w:rsid w:val="0015429A"/>
    <w:rsid w:val="00173572"/>
    <w:rsid w:val="00180BDE"/>
    <w:rsid w:val="001B01A8"/>
    <w:rsid w:val="001C6DBA"/>
    <w:rsid w:val="002031E0"/>
    <w:rsid w:val="00203386"/>
    <w:rsid w:val="00214FDE"/>
    <w:rsid w:val="00221766"/>
    <w:rsid w:val="00225DD0"/>
    <w:rsid w:val="00297934"/>
    <w:rsid w:val="002D0BED"/>
    <w:rsid w:val="002D14D2"/>
    <w:rsid w:val="002E200B"/>
    <w:rsid w:val="002E463F"/>
    <w:rsid w:val="002E522F"/>
    <w:rsid w:val="00307BC5"/>
    <w:rsid w:val="00313174"/>
    <w:rsid w:val="003202BF"/>
    <w:rsid w:val="0035289C"/>
    <w:rsid w:val="0036784C"/>
    <w:rsid w:val="00374501"/>
    <w:rsid w:val="0037775D"/>
    <w:rsid w:val="00384BFA"/>
    <w:rsid w:val="003C76FC"/>
    <w:rsid w:val="003D7E9C"/>
    <w:rsid w:val="003E5BC8"/>
    <w:rsid w:val="004103DD"/>
    <w:rsid w:val="004419CC"/>
    <w:rsid w:val="00445FC0"/>
    <w:rsid w:val="00475333"/>
    <w:rsid w:val="00477ED4"/>
    <w:rsid w:val="004A298C"/>
    <w:rsid w:val="004A35D0"/>
    <w:rsid w:val="004C59C2"/>
    <w:rsid w:val="004D790C"/>
    <w:rsid w:val="005015B5"/>
    <w:rsid w:val="005279B6"/>
    <w:rsid w:val="00534240"/>
    <w:rsid w:val="0055319F"/>
    <w:rsid w:val="005546F0"/>
    <w:rsid w:val="005753AE"/>
    <w:rsid w:val="00581EC5"/>
    <w:rsid w:val="00587ED0"/>
    <w:rsid w:val="00591BDE"/>
    <w:rsid w:val="005A0B66"/>
    <w:rsid w:val="005A2A77"/>
    <w:rsid w:val="005C2239"/>
    <w:rsid w:val="005D4BA2"/>
    <w:rsid w:val="005E6CA3"/>
    <w:rsid w:val="006312B9"/>
    <w:rsid w:val="0063734D"/>
    <w:rsid w:val="006455A7"/>
    <w:rsid w:val="00655C09"/>
    <w:rsid w:val="00660DF1"/>
    <w:rsid w:val="0066306B"/>
    <w:rsid w:val="00663991"/>
    <w:rsid w:val="006823F5"/>
    <w:rsid w:val="00694319"/>
    <w:rsid w:val="006A00A3"/>
    <w:rsid w:val="006C5A7F"/>
    <w:rsid w:val="006D30B9"/>
    <w:rsid w:val="006F4CF1"/>
    <w:rsid w:val="007054D4"/>
    <w:rsid w:val="007105E2"/>
    <w:rsid w:val="007123EA"/>
    <w:rsid w:val="007203E9"/>
    <w:rsid w:val="00721EA8"/>
    <w:rsid w:val="007268B2"/>
    <w:rsid w:val="00740BD0"/>
    <w:rsid w:val="0074792B"/>
    <w:rsid w:val="0075093B"/>
    <w:rsid w:val="007815D4"/>
    <w:rsid w:val="00787C92"/>
    <w:rsid w:val="0080394C"/>
    <w:rsid w:val="00825257"/>
    <w:rsid w:val="00852FED"/>
    <w:rsid w:val="00890A85"/>
    <w:rsid w:val="008C013A"/>
    <w:rsid w:val="008E2905"/>
    <w:rsid w:val="008F418F"/>
    <w:rsid w:val="00903C5D"/>
    <w:rsid w:val="0092394F"/>
    <w:rsid w:val="00936F2F"/>
    <w:rsid w:val="00951BFB"/>
    <w:rsid w:val="00957CA6"/>
    <w:rsid w:val="009650AD"/>
    <w:rsid w:val="009650D8"/>
    <w:rsid w:val="009657CA"/>
    <w:rsid w:val="00976388"/>
    <w:rsid w:val="009823EA"/>
    <w:rsid w:val="009853B1"/>
    <w:rsid w:val="009B7AE9"/>
    <w:rsid w:val="009F43A7"/>
    <w:rsid w:val="00A15558"/>
    <w:rsid w:val="00A16B4E"/>
    <w:rsid w:val="00A20117"/>
    <w:rsid w:val="00A6111F"/>
    <w:rsid w:val="00A64F65"/>
    <w:rsid w:val="00A71758"/>
    <w:rsid w:val="00A9205C"/>
    <w:rsid w:val="00A94B48"/>
    <w:rsid w:val="00AB7047"/>
    <w:rsid w:val="00AC29B7"/>
    <w:rsid w:val="00AE7A70"/>
    <w:rsid w:val="00B476D6"/>
    <w:rsid w:val="00B60AA8"/>
    <w:rsid w:val="00B6375E"/>
    <w:rsid w:val="00B6377A"/>
    <w:rsid w:val="00B67695"/>
    <w:rsid w:val="00B727BD"/>
    <w:rsid w:val="00BA316B"/>
    <w:rsid w:val="00BF5F1A"/>
    <w:rsid w:val="00BF666F"/>
    <w:rsid w:val="00C00597"/>
    <w:rsid w:val="00C23975"/>
    <w:rsid w:val="00C51849"/>
    <w:rsid w:val="00C65CF9"/>
    <w:rsid w:val="00C75CA9"/>
    <w:rsid w:val="00C82E08"/>
    <w:rsid w:val="00C91C26"/>
    <w:rsid w:val="00CA27E6"/>
    <w:rsid w:val="00CD134A"/>
    <w:rsid w:val="00CE1808"/>
    <w:rsid w:val="00CE672C"/>
    <w:rsid w:val="00CF7E74"/>
    <w:rsid w:val="00D066D8"/>
    <w:rsid w:val="00D3425C"/>
    <w:rsid w:val="00D401CA"/>
    <w:rsid w:val="00D47809"/>
    <w:rsid w:val="00D50F8C"/>
    <w:rsid w:val="00D53A23"/>
    <w:rsid w:val="00D5411F"/>
    <w:rsid w:val="00D60236"/>
    <w:rsid w:val="00D70C26"/>
    <w:rsid w:val="00D73C45"/>
    <w:rsid w:val="00D74B0E"/>
    <w:rsid w:val="00DA3238"/>
    <w:rsid w:val="00DA7D4E"/>
    <w:rsid w:val="00DB13EC"/>
    <w:rsid w:val="00DC0335"/>
    <w:rsid w:val="00DC6473"/>
    <w:rsid w:val="00DE08D7"/>
    <w:rsid w:val="00E03A3E"/>
    <w:rsid w:val="00E07D94"/>
    <w:rsid w:val="00E10F65"/>
    <w:rsid w:val="00E17548"/>
    <w:rsid w:val="00E17DC2"/>
    <w:rsid w:val="00E20FF2"/>
    <w:rsid w:val="00E217E3"/>
    <w:rsid w:val="00E54F3A"/>
    <w:rsid w:val="00E8595A"/>
    <w:rsid w:val="00EB522F"/>
    <w:rsid w:val="00EB5726"/>
    <w:rsid w:val="00EC53D1"/>
    <w:rsid w:val="00EC5401"/>
    <w:rsid w:val="00F0218B"/>
    <w:rsid w:val="00F2499A"/>
    <w:rsid w:val="00F30015"/>
    <w:rsid w:val="00F475A0"/>
    <w:rsid w:val="00F53157"/>
    <w:rsid w:val="00F67584"/>
    <w:rsid w:val="00F83589"/>
    <w:rsid w:val="00F9580D"/>
    <w:rsid w:val="00FB70EF"/>
    <w:rsid w:val="00FD3E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11B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A3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03A3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03A3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03A3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03A3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03A3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03A3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03A3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03A3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03A3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A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A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A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A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A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A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A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A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A3E"/>
    <w:rPr>
      <w:rFonts w:eastAsiaTheme="majorEastAsia" w:cstheme="majorBidi"/>
      <w:color w:val="272727" w:themeColor="text1" w:themeTint="D8"/>
    </w:rPr>
  </w:style>
  <w:style w:type="paragraph" w:styleId="Title">
    <w:name w:val="Title"/>
    <w:basedOn w:val="Normal"/>
    <w:next w:val="Normal"/>
    <w:link w:val="TitleChar"/>
    <w:uiPriority w:val="10"/>
    <w:qFormat/>
    <w:rsid w:val="00E03A3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03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A3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03A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A3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03A3E"/>
    <w:rPr>
      <w:i/>
      <w:iCs/>
      <w:color w:val="404040" w:themeColor="text1" w:themeTint="BF"/>
    </w:rPr>
  </w:style>
  <w:style w:type="paragraph" w:styleId="ListParagraph">
    <w:name w:val="List Paragraph"/>
    <w:basedOn w:val="Normal"/>
    <w:uiPriority w:val="34"/>
    <w:qFormat/>
    <w:rsid w:val="00E03A3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03A3E"/>
    <w:rPr>
      <w:i/>
      <w:iCs/>
      <w:color w:val="0F4761" w:themeColor="accent1" w:themeShade="BF"/>
    </w:rPr>
  </w:style>
  <w:style w:type="paragraph" w:styleId="IntenseQuote">
    <w:name w:val="Intense Quote"/>
    <w:basedOn w:val="Normal"/>
    <w:next w:val="Normal"/>
    <w:link w:val="IntenseQuoteChar"/>
    <w:uiPriority w:val="30"/>
    <w:qFormat/>
    <w:rsid w:val="00E03A3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03A3E"/>
    <w:rPr>
      <w:i/>
      <w:iCs/>
      <w:color w:val="0F4761" w:themeColor="accent1" w:themeShade="BF"/>
    </w:rPr>
  </w:style>
  <w:style w:type="character" w:styleId="IntenseReference">
    <w:name w:val="Intense Reference"/>
    <w:basedOn w:val="DefaultParagraphFont"/>
    <w:uiPriority w:val="32"/>
    <w:qFormat/>
    <w:rsid w:val="00E03A3E"/>
    <w:rPr>
      <w:b/>
      <w:bCs/>
      <w:smallCaps/>
      <w:color w:val="0F4761" w:themeColor="accent1" w:themeShade="BF"/>
      <w:spacing w:val="5"/>
    </w:rPr>
  </w:style>
  <w:style w:type="character" w:styleId="Hyperlink">
    <w:name w:val="Hyperlink"/>
    <w:basedOn w:val="DefaultParagraphFont"/>
    <w:uiPriority w:val="99"/>
    <w:unhideWhenUsed/>
    <w:rsid w:val="00E03A3E"/>
    <w:rPr>
      <w:color w:val="467886" w:themeColor="hyperlink"/>
      <w:u w:val="single"/>
    </w:rPr>
  </w:style>
  <w:style w:type="paragraph" w:styleId="Header">
    <w:name w:val="header"/>
    <w:basedOn w:val="Normal"/>
    <w:link w:val="HeaderChar"/>
    <w:uiPriority w:val="99"/>
    <w:unhideWhenUsed/>
    <w:rsid w:val="00F2499A"/>
    <w:pPr>
      <w:tabs>
        <w:tab w:val="center" w:pos="4680"/>
        <w:tab w:val="right" w:pos="9360"/>
      </w:tabs>
    </w:pPr>
  </w:style>
  <w:style w:type="character" w:customStyle="1" w:styleId="HeaderChar">
    <w:name w:val="Header Char"/>
    <w:basedOn w:val="DefaultParagraphFont"/>
    <w:link w:val="Header"/>
    <w:uiPriority w:val="99"/>
    <w:rsid w:val="00F2499A"/>
    <w:rPr>
      <w:rFonts w:ascii="Times New Roman" w:eastAsia="Times New Roman" w:hAnsi="Times New Roman" w:cs="Times New Roman"/>
      <w:kern w:val="0"/>
      <w:lang w:val="fr-FR"/>
      <w14:ligatures w14:val="none"/>
    </w:rPr>
  </w:style>
  <w:style w:type="paragraph" w:styleId="Footer">
    <w:name w:val="footer"/>
    <w:basedOn w:val="Normal"/>
    <w:link w:val="FooterChar"/>
    <w:uiPriority w:val="99"/>
    <w:unhideWhenUsed/>
    <w:rsid w:val="00F2499A"/>
    <w:pPr>
      <w:tabs>
        <w:tab w:val="center" w:pos="4680"/>
        <w:tab w:val="right" w:pos="9360"/>
      </w:tabs>
    </w:pPr>
  </w:style>
  <w:style w:type="character" w:customStyle="1" w:styleId="FooterChar">
    <w:name w:val="Footer Char"/>
    <w:basedOn w:val="DefaultParagraphFont"/>
    <w:link w:val="Footer"/>
    <w:uiPriority w:val="99"/>
    <w:rsid w:val="00F2499A"/>
    <w:rPr>
      <w:rFonts w:ascii="Times New Roman" w:eastAsia="Times New Roman" w:hAnsi="Times New Roman" w:cs="Times New Roman"/>
      <w:kern w:val="0"/>
      <w:lang w:val="fr-FR"/>
      <w14:ligatures w14:val="none"/>
    </w:rPr>
  </w:style>
  <w:style w:type="paragraph" w:styleId="Revision">
    <w:name w:val="Revision"/>
    <w:hidden/>
    <w:uiPriority w:val="99"/>
    <w:semiHidden/>
    <w:rsid w:val="00A20117"/>
    <w:pPr>
      <w:spacing w:after="0" w:line="240" w:lineRule="auto"/>
    </w:pPr>
    <w:rPr>
      <w:rFonts w:ascii="Times New Roman" w:eastAsia="Times New Roman" w:hAnsi="Times New Roman" w:cs="Times New Roman"/>
      <w:kern w:val="0"/>
      <w14:ligatures w14:val="none"/>
    </w:rPr>
  </w:style>
  <w:style w:type="paragraph" w:customStyle="1" w:styleId="Default">
    <w:name w:val="Default"/>
    <w:rsid w:val="000E3428"/>
    <w:pPr>
      <w:autoSpaceDE w:val="0"/>
      <w:autoSpaceDN w:val="0"/>
      <w:adjustRightInd w:val="0"/>
      <w:spacing w:after="0" w:line="240" w:lineRule="auto"/>
    </w:pPr>
    <w:rPr>
      <w:rFonts w:ascii="Arial" w:hAnsi="Arial" w:cs="Arial"/>
      <w:color w:val="000000"/>
      <w:kern w:val="0"/>
    </w:rPr>
  </w:style>
  <w:style w:type="character" w:styleId="CommentReference">
    <w:name w:val="annotation reference"/>
    <w:basedOn w:val="DefaultParagraphFont"/>
    <w:uiPriority w:val="99"/>
    <w:semiHidden/>
    <w:unhideWhenUsed/>
    <w:rsid w:val="009F43A7"/>
    <w:rPr>
      <w:sz w:val="16"/>
      <w:szCs w:val="16"/>
    </w:rPr>
  </w:style>
  <w:style w:type="paragraph" w:styleId="CommentText">
    <w:name w:val="annotation text"/>
    <w:basedOn w:val="Normal"/>
    <w:link w:val="CommentTextChar"/>
    <w:uiPriority w:val="99"/>
    <w:unhideWhenUsed/>
    <w:rsid w:val="009F43A7"/>
    <w:rPr>
      <w:sz w:val="20"/>
      <w:szCs w:val="20"/>
    </w:rPr>
  </w:style>
  <w:style w:type="character" w:customStyle="1" w:styleId="CommentTextChar">
    <w:name w:val="Comment Text Char"/>
    <w:basedOn w:val="DefaultParagraphFont"/>
    <w:link w:val="CommentText"/>
    <w:uiPriority w:val="99"/>
    <w:rsid w:val="009F43A7"/>
    <w:rPr>
      <w:rFonts w:ascii="Times New Roman" w:eastAsia="Times New Roman" w:hAnsi="Times New Roman" w:cs="Times New Roman"/>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9F43A7"/>
    <w:rPr>
      <w:b/>
      <w:bCs/>
    </w:rPr>
  </w:style>
  <w:style w:type="character" w:customStyle="1" w:styleId="CommentSubjectChar">
    <w:name w:val="Comment Subject Char"/>
    <w:basedOn w:val="CommentTextChar"/>
    <w:link w:val="CommentSubject"/>
    <w:uiPriority w:val="99"/>
    <w:semiHidden/>
    <w:rsid w:val="009F43A7"/>
    <w:rPr>
      <w:rFonts w:ascii="Times New Roman" w:eastAsia="Times New Roman" w:hAnsi="Times New Roman" w:cs="Times New Roman"/>
      <w:b/>
      <w:bCs/>
      <w:kern w:val="0"/>
      <w:sz w:val="20"/>
      <w:szCs w:val="20"/>
      <w:lang w:val="fr-FR"/>
      <w14:ligatures w14:val="none"/>
    </w:rPr>
  </w:style>
  <w:style w:type="character" w:styleId="UnresolvedMention">
    <w:name w:val="Unresolved Mention"/>
    <w:basedOn w:val="DefaultParagraphFont"/>
    <w:uiPriority w:val="99"/>
    <w:semiHidden/>
    <w:unhideWhenUsed/>
    <w:rsid w:val="00F0218B"/>
    <w:rPr>
      <w:color w:val="605E5C"/>
      <w:shd w:val="clear" w:color="auto" w:fill="E1DFDD"/>
    </w:rPr>
  </w:style>
  <w:style w:type="paragraph" w:styleId="FootnoteText">
    <w:name w:val="footnote text"/>
    <w:basedOn w:val="Normal"/>
    <w:link w:val="FootnoteTextChar"/>
    <w:uiPriority w:val="99"/>
    <w:semiHidden/>
    <w:unhideWhenUsed/>
    <w:rsid w:val="00CE672C"/>
    <w:pPr>
      <w:spacing w:after="200" w:line="276" w:lineRule="auto"/>
    </w:pPr>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CE672C"/>
    <w:rPr>
      <w:rFonts w:ascii="Calibri" w:eastAsia="Calibri" w:hAnsi="Calibri" w:cs="Times New Roman"/>
      <w:kern w:val="0"/>
      <w:sz w:val="20"/>
      <w:szCs w:val="20"/>
      <w:lang w:val="fr-FR"/>
      <w14:ligatures w14:val="none"/>
    </w:rPr>
  </w:style>
  <w:style w:type="character" w:styleId="FootnoteReference">
    <w:name w:val="footnote reference"/>
    <w:basedOn w:val="DefaultParagraphFont"/>
    <w:uiPriority w:val="99"/>
    <w:semiHidden/>
    <w:unhideWhenUsed/>
    <w:rsid w:val="00CE672C"/>
    <w:rPr>
      <w:vertAlign w:val="superscript"/>
    </w:rPr>
  </w:style>
  <w:style w:type="character" w:styleId="FollowedHyperlink">
    <w:name w:val="FollowedHyperlink"/>
    <w:basedOn w:val="DefaultParagraphFont"/>
    <w:uiPriority w:val="99"/>
    <w:semiHidden/>
    <w:unhideWhenUsed/>
    <w:rsid w:val="00D3425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ccat.int/fr/pubs_CVSP.html" TargetMode="External"/><Relationship Id="rId18" Type="http://schemas.openxmlformats.org/officeDocument/2006/relationships/hyperlink" Target="https://www.un.org/bbnjagreement/en/meetings/preparatory-commission/documents/second-session-18-29-august-202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iccat.int/fr/" TargetMode="External"/><Relationship Id="rId17" Type="http://schemas.openxmlformats.org/officeDocument/2006/relationships/hyperlink" Target="https://www.med-ac.eu/pareri-lettere/medac-advice-iccat-plenary-session-2026" TargetMode="External"/><Relationship Id="rId2" Type="http://schemas.openxmlformats.org/officeDocument/2006/relationships/customXml" Target="../customXml/item2.xml"/><Relationship Id="rId16" Type="http://schemas.openxmlformats.org/officeDocument/2006/relationships/hyperlink" Target="https://www.fao.org/fishery/fr/openasfa" TargetMode="External"/><Relationship Id="rId20" Type="http://schemas.openxmlformats.org/officeDocument/2006/relationships/hyperlink" Target="https://www.un.org/bbnjagreement/f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o.org/fishery/fr/collection/firms-tuna-atla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fao.org/fishery/fr" TargetMode="External"/><Relationship Id="rId23" Type="http://schemas.openxmlformats.org/officeDocument/2006/relationships/fontTable" Target="fontTable.xml"/><Relationship Id="rId10" Type="http://schemas.openxmlformats.org/officeDocument/2006/relationships/hyperlink" Target="http://firms.fao.org/firms/fr" TargetMode="External"/><Relationship Id="rId19" Type="http://schemas.openxmlformats.org/officeDocument/2006/relationships/hyperlink" Target="https://www.un.org/bbnjagreement/sites/default/files/2026-03/TunaRfmos_CoopArrang_23MarchRev2.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ccat.int/fr/pubs_CVSP.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a77a42f041f70a8c1f93776fc55aa378">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3b5a11428cf2dd0c2a14272e7b3b9074"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3AF74A-0066-4EFA-9E3C-BFD494D6E186}">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2.xml><?xml version="1.0" encoding="utf-8"?>
<ds:datastoreItem xmlns:ds="http://schemas.openxmlformats.org/officeDocument/2006/customXml" ds:itemID="{15B0F8E2-1E66-443C-A9DC-7C5D1D2AD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B50844-B36E-430E-A088-1456BA6A0C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2972</Words>
  <Characters>16942</Characters>
  <Application>Microsoft Office Word</Application>
  <DocSecurity>0</DocSecurity>
  <Lines>141</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2026-10-15T12:56:00Z</dcterms:created>
  <dcterms:modified xsi:type="dcterms:W3CDTF">2026-10-15T12:57:00Z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