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512A" w14:textId="01D6F6F6" w:rsidR="00F2499A" w:rsidRPr="00844CE5" w:rsidRDefault="00F2499A" w:rsidP="00F2499A">
      <w:pPr>
        <w:spacing w:after="120"/>
        <w:ind w:left="426" w:hanging="426"/>
        <w:contextualSpacing/>
        <w:jc w:val="right"/>
        <w:rPr>
          <w:rFonts w:ascii="Cambria" w:eastAsia="Calibri" w:hAnsi="Cambria"/>
          <w:b/>
          <w:color w:val="00000A"/>
          <w:sz w:val="20"/>
          <w:szCs w:val="20"/>
          <w:lang w:val="en-US"/>
        </w:rPr>
      </w:pPr>
      <w:r w:rsidRPr="00844CE5">
        <w:rPr>
          <w:rFonts w:ascii="Cambria" w:eastAsia="Calibri" w:hAnsi="Cambria"/>
          <w:b/>
          <w:color w:val="00000A"/>
          <w:sz w:val="20"/>
          <w:szCs w:val="20"/>
          <w:lang w:val="en-US"/>
        </w:rPr>
        <w:t xml:space="preserve">Original: </w:t>
      </w:r>
      <w:r w:rsidRPr="00DE11E2">
        <w:rPr>
          <w:rFonts w:ascii="Cambria" w:eastAsia="Calibri" w:hAnsi="Cambria"/>
          <w:bCs/>
          <w:color w:val="00000A"/>
          <w:sz w:val="20"/>
          <w:szCs w:val="20"/>
          <w:lang w:val="en-US"/>
        </w:rPr>
        <w:t>English</w:t>
      </w:r>
    </w:p>
    <w:p w14:paraId="2BDBEB50" w14:textId="77777777" w:rsidR="00F2499A" w:rsidRPr="00844CE5" w:rsidRDefault="00F2499A" w:rsidP="00F2499A">
      <w:pPr>
        <w:spacing w:after="120"/>
        <w:ind w:left="426" w:hanging="426"/>
        <w:contextualSpacing/>
        <w:jc w:val="center"/>
        <w:rPr>
          <w:rFonts w:ascii="Cambria" w:eastAsia="Calibri" w:hAnsi="Cambria"/>
          <w:b/>
          <w:color w:val="00000A"/>
          <w:sz w:val="20"/>
          <w:szCs w:val="20"/>
          <w:lang w:val="en-US"/>
        </w:rPr>
      </w:pPr>
      <w:r w:rsidRPr="00844CE5">
        <w:rPr>
          <w:rFonts w:ascii="Cambria" w:eastAsia="Calibri" w:hAnsi="Cambria"/>
          <w:b/>
          <w:color w:val="00000A"/>
          <w:sz w:val="20"/>
          <w:szCs w:val="20"/>
          <w:lang w:val="en-US"/>
        </w:rPr>
        <w:t>International cooperation</w:t>
      </w:r>
    </w:p>
    <w:p w14:paraId="1D2E40E7" w14:textId="37AA5B26" w:rsidR="00721EA8" w:rsidRPr="00844CE5" w:rsidRDefault="00721EA8" w:rsidP="00F2499A">
      <w:pPr>
        <w:spacing w:after="120"/>
        <w:ind w:left="426" w:hanging="426"/>
        <w:contextualSpacing/>
        <w:jc w:val="center"/>
        <w:rPr>
          <w:rFonts w:ascii="Cambria" w:eastAsia="Calibri" w:hAnsi="Cambria"/>
          <w:bCs/>
          <w:i/>
          <w:iCs/>
          <w:color w:val="00000A"/>
          <w:sz w:val="20"/>
          <w:szCs w:val="20"/>
          <w:lang w:val="en-US"/>
        </w:rPr>
      </w:pPr>
      <w:r w:rsidRPr="00844CE5">
        <w:rPr>
          <w:rFonts w:ascii="Cambria" w:eastAsia="Calibri" w:hAnsi="Cambria"/>
          <w:bCs/>
          <w:i/>
          <w:iCs/>
          <w:color w:val="00000A"/>
          <w:sz w:val="20"/>
          <w:szCs w:val="20"/>
          <w:lang w:val="en-US"/>
        </w:rPr>
        <w:t>(ICCAT Secretariat)</w:t>
      </w:r>
    </w:p>
    <w:p w14:paraId="15111DFC" w14:textId="77777777" w:rsidR="009D0FA0" w:rsidRDefault="009D0FA0" w:rsidP="009D0FA0">
      <w:pPr>
        <w:tabs>
          <w:tab w:val="left" w:pos="851"/>
        </w:tabs>
        <w:spacing w:after="120"/>
        <w:contextualSpacing/>
        <w:jc w:val="both"/>
        <w:rPr>
          <w:rFonts w:ascii="Cambria" w:eastAsia="Calibri" w:hAnsi="Cambria"/>
          <w:b/>
          <w:bCs/>
          <w:i/>
          <w:iCs/>
          <w:color w:val="00000A"/>
          <w:sz w:val="20"/>
          <w:szCs w:val="20"/>
          <w:lang w:val="en-US"/>
        </w:rPr>
      </w:pPr>
      <w:bookmarkStart w:id="0" w:name="_Hlk19736811"/>
    </w:p>
    <w:p w14:paraId="48DA63E1" w14:textId="77777777" w:rsidR="009D0FA0" w:rsidRDefault="009D0FA0" w:rsidP="009D0FA0">
      <w:pPr>
        <w:tabs>
          <w:tab w:val="left" w:pos="851"/>
        </w:tabs>
        <w:spacing w:after="120"/>
        <w:contextualSpacing/>
        <w:jc w:val="both"/>
        <w:rPr>
          <w:rFonts w:ascii="Cambria" w:eastAsia="Calibri" w:hAnsi="Cambria"/>
          <w:b/>
          <w:bCs/>
          <w:i/>
          <w:iCs/>
          <w:color w:val="00000A"/>
          <w:sz w:val="20"/>
          <w:szCs w:val="20"/>
          <w:lang w:val="en-US"/>
        </w:rPr>
      </w:pPr>
    </w:p>
    <w:p w14:paraId="7DB8AC18" w14:textId="4CB7F90E" w:rsidR="009D0FA0" w:rsidRPr="00465071" w:rsidRDefault="009D0FA0" w:rsidP="009D0FA0">
      <w:pPr>
        <w:tabs>
          <w:tab w:val="left" w:pos="851"/>
        </w:tabs>
        <w:spacing w:after="120"/>
        <w:contextualSpacing/>
        <w:jc w:val="both"/>
        <w:rPr>
          <w:rFonts w:ascii="Cambria" w:eastAsia="Calibri" w:hAnsi="Cambria"/>
          <w:color w:val="EE0000"/>
          <w:sz w:val="20"/>
        </w:rPr>
      </w:pPr>
      <w:r w:rsidRPr="00465071">
        <w:rPr>
          <w:rFonts w:ascii="Cambria" w:eastAsia="Calibri" w:hAnsi="Cambria"/>
          <w:b/>
          <w:bCs/>
          <w:i/>
          <w:iCs/>
          <w:color w:val="00000A"/>
          <w:sz w:val="20"/>
          <w:szCs w:val="20"/>
        </w:rPr>
        <w:t>Food and Agricultural Organization of the United Nations (FAO)</w:t>
      </w:r>
      <w:r w:rsidRPr="00465071">
        <w:rPr>
          <w:rFonts w:ascii="Cambria" w:eastAsia="Calibri" w:hAnsi="Cambria"/>
          <w:b/>
          <w:i/>
          <w:color w:val="00000A"/>
          <w:sz w:val="20"/>
          <w:szCs w:val="20"/>
        </w:rPr>
        <w:t xml:space="preserve"> Coordinating Working Group on Fishery Statistics (CWP-FS)</w:t>
      </w:r>
      <w:r w:rsidRPr="00465071">
        <w:rPr>
          <w:rFonts w:ascii="Cambria" w:eastAsia="Calibri" w:hAnsi="Cambria"/>
          <w:color w:val="00000A"/>
          <w:sz w:val="20"/>
        </w:rPr>
        <w:t xml:space="preserve"> </w:t>
      </w:r>
    </w:p>
    <w:bookmarkEnd w:id="0"/>
    <w:p w14:paraId="30AF10A7" w14:textId="77777777" w:rsidR="009D0FA0" w:rsidRPr="00465071" w:rsidRDefault="009D0FA0" w:rsidP="009D0FA0">
      <w:pPr>
        <w:tabs>
          <w:tab w:val="left" w:pos="851"/>
        </w:tabs>
        <w:spacing w:after="120"/>
        <w:contextualSpacing/>
        <w:jc w:val="both"/>
        <w:rPr>
          <w:rFonts w:ascii="Cambria" w:eastAsia="Calibri" w:hAnsi="Cambria"/>
          <w:bCs/>
          <w:iCs/>
          <w:color w:val="00000A"/>
          <w:sz w:val="20"/>
          <w:szCs w:val="20"/>
        </w:rPr>
      </w:pPr>
    </w:p>
    <w:p w14:paraId="471E9AED" w14:textId="77777777" w:rsidR="009D0FA0" w:rsidRPr="00465071" w:rsidRDefault="009D0FA0" w:rsidP="009D0FA0">
      <w:pPr>
        <w:tabs>
          <w:tab w:val="left" w:pos="851"/>
        </w:tabs>
        <w:spacing w:after="120"/>
        <w:contextualSpacing/>
        <w:jc w:val="both"/>
        <w:rPr>
          <w:rFonts w:ascii="Cambria" w:eastAsia="Calibri" w:hAnsi="Cambria"/>
          <w:bCs/>
          <w:iCs/>
          <w:color w:val="00000A"/>
          <w:sz w:val="20"/>
          <w:szCs w:val="20"/>
        </w:rPr>
      </w:pPr>
      <w:r w:rsidRPr="00465071">
        <w:rPr>
          <w:rFonts w:ascii="Cambria" w:eastAsia="Calibri" w:hAnsi="Cambria"/>
          <w:bCs/>
          <w:iCs/>
          <w:color w:val="00000A"/>
          <w:sz w:val="20"/>
          <w:szCs w:val="20"/>
        </w:rPr>
        <w:t xml:space="preserve">During the reporting period, the ASFIS species list was updated following the discussions held within the CWP regarding the designation of sailfish. The code SFA is now associated with </w:t>
      </w:r>
      <w:proofErr w:type="spellStart"/>
      <w:r w:rsidRPr="00465071">
        <w:rPr>
          <w:rFonts w:ascii="Cambria" w:eastAsia="Calibri" w:hAnsi="Cambria"/>
          <w:bCs/>
          <w:i/>
          <w:iCs/>
          <w:color w:val="00000A"/>
          <w:sz w:val="20"/>
          <w:szCs w:val="20"/>
        </w:rPr>
        <w:t>Istiophorus</w:t>
      </w:r>
      <w:proofErr w:type="spellEnd"/>
      <w:r w:rsidRPr="00465071">
        <w:rPr>
          <w:rFonts w:ascii="Cambria" w:eastAsia="Calibri" w:hAnsi="Cambria"/>
          <w:bCs/>
          <w:i/>
          <w:iCs/>
          <w:color w:val="00000A"/>
          <w:sz w:val="20"/>
          <w:szCs w:val="20"/>
        </w:rPr>
        <w:t xml:space="preserve"> </w:t>
      </w:r>
      <w:proofErr w:type="spellStart"/>
      <w:r w:rsidRPr="00465071">
        <w:rPr>
          <w:rFonts w:ascii="Cambria" w:eastAsia="Calibri" w:hAnsi="Cambria"/>
          <w:bCs/>
          <w:i/>
          <w:iCs/>
          <w:color w:val="00000A"/>
          <w:sz w:val="20"/>
          <w:szCs w:val="20"/>
        </w:rPr>
        <w:t>platypterus</w:t>
      </w:r>
      <w:proofErr w:type="spellEnd"/>
      <w:r w:rsidRPr="00465071">
        <w:rPr>
          <w:rFonts w:ascii="Cambria" w:eastAsia="Calibri" w:hAnsi="Cambria"/>
          <w:bCs/>
          <w:iCs/>
          <w:color w:val="00000A"/>
          <w:sz w:val="20"/>
          <w:szCs w:val="20"/>
        </w:rPr>
        <w:t xml:space="preserve">, and the references to the Indo-Pacific distribution have been removed from the common names. This update addressed the issue previously raised by ICCAT regarding the taxonomic and coding reference for sailfish. </w:t>
      </w:r>
    </w:p>
    <w:p w14:paraId="7C2A6224" w14:textId="77777777" w:rsidR="009D0FA0" w:rsidRPr="00465071" w:rsidRDefault="009D0FA0" w:rsidP="009D0FA0">
      <w:pPr>
        <w:tabs>
          <w:tab w:val="left" w:pos="851"/>
        </w:tabs>
        <w:spacing w:after="120"/>
        <w:contextualSpacing/>
        <w:jc w:val="both"/>
        <w:rPr>
          <w:rFonts w:ascii="Cambria" w:eastAsia="Calibri" w:hAnsi="Cambria"/>
          <w:bCs/>
          <w:iCs/>
          <w:color w:val="00000A"/>
          <w:sz w:val="20"/>
          <w:szCs w:val="20"/>
        </w:rPr>
      </w:pPr>
    </w:p>
    <w:p w14:paraId="459D4E73" w14:textId="77777777" w:rsidR="009D0FA0" w:rsidRDefault="009D0FA0" w:rsidP="009D0FA0">
      <w:pPr>
        <w:tabs>
          <w:tab w:val="left" w:pos="851"/>
        </w:tabs>
        <w:spacing w:after="120"/>
        <w:contextualSpacing/>
        <w:jc w:val="both"/>
        <w:rPr>
          <w:rFonts w:ascii="Cambria" w:eastAsia="Calibri" w:hAnsi="Cambria"/>
          <w:b/>
          <w:i/>
          <w:color w:val="00000A"/>
          <w:sz w:val="20"/>
        </w:rPr>
      </w:pPr>
    </w:p>
    <w:p w14:paraId="0103FC70" w14:textId="1460189F" w:rsidR="009D0FA0" w:rsidRPr="00465071" w:rsidRDefault="009D0FA0" w:rsidP="009D0FA0">
      <w:pPr>
        <w:tabs>
          <w:tab w:val="left" w:pos="851"/>
        </w:tabs>
        <w:spacing w:after="120"/>
        <w:contextualSpacing/>
        <w:jc w:val="both"/>
        <w:rPr>
          <w:rFonts w:ascii="Cambria" w:eastAsia="Calibri" w:hAnsi="Cambria"/>
          <w:b/>
          <w:i/>
          <w:color w:val="00000A"/>
          <w:sz w:val="20"/>
        </w:rPr>
      </w:pPr>
      <w:r w:rsidRPr="00465071">
        <w:rPr>
          <w:rFonts w:ascii="Cambria" w:eastAsia="Calibri" w:hAnsi="Cambria"/>
          <w:b/>
          <w:i/>
          <w:color w:val="00000A"/>
          <w:sz w:val="20"/>
        </w:rPr>
        <w:t>Fisheries and Resources Monitoring System (FIRMS)</w:t>
      </w:r>
      <w:r w:rsidRPr="00465071">
        <w:rPr>
          <w:rFonts w:ascii="Cambria" w:eastAsia="Calibri" w:hAnsi="Cambria"/>
          <w:color w:val="00000A"/>
          <w:sz w:val="20"/>
        </w:rPr>
        <w:t xml:space="preserve"> </w:t>
      </w:r>
    </w:p>
    <w:p w14:paraId="10F803D2" w14:textId="77777777" w:rsidR="009D0FA0" w:rsidRPr="00465071" w:rsidRDefault="009D0FA0" w:rsidP="009D0FA0">
      <w:pPr>
        <w:tabs>
          <w:tab w:val="left" w:pos="851"/>
        </w:tabs>
        <w:spacing w:after="120"/>
        <w:contextualSpacing/>
        <w:jc w:val="both"/>
        <w:rPr>
          <w:rFonts w:ascii="Cambria" w:eastAsia="Calibri" w:hAnsi="Cambria"/>
          <w:color w:val="00000A"/>
          <w:sz w:val="20"/>
        </w:rPr>
      </w:pPr>
    </w:p>
    <w:p w14:paraId="15B74C6F" w14:textId="77777777" w:rsidR="009D0FA0" w:rsidRPr="00465071" w:rsidRDefault="009D0FA0" w:rsidP="009D0FA0">
      <w:pPr>
        <w:tabs>
          <w:tab w:val="left" w:pos="851"/>
        </w:tabs>
        <w:spacing w:after="120"/>
        <w:contextualSpacing/>
        <w:jc w:val="both"/>
        <w:rPr>
          <w:rFonts w:ascii="Cambria" w:eastAsia="Calibri" w:hAnsi="Cambria"/>
          <w:color w:val="00000A"/>
          <w:sz w:val="20"/>
        </w:rPr>
      </w:pPr>
      <w:r w:rsidRPr="00465071">
        <w:rPr>
          <w:rFonts w:ascii="Cambria" w:eastAsia="Calibri" w:hAnsi="Cambria"/>
          <w:color w:val="00000A"/>
          <w:sz w:val="20"/>
        </w:rPr>
        <w:t xml:space="preserve">ICCAT is a partner of the </w:t>
      </w:r>
      <w:r w:rsidRPr="00465071">
        <w:rPr>
          <w:rFonts w:ascii="Cambria" w:eastAsia="Calibri" w:hAnsi="Cambria"/>
          <w:color w:val="00000A"/>
          <w:sz w:val="20"/>
          <w:szCs w:val="20"/>
        </w:rPr>
        <w:t xml:space="preserve">FAO </w:t>
      </w:r>
      <w:hyperlink r:id="rId7" w:history="1">
        <w:r w:rsidRPr="00465071">
          <w:rPr>
            <w:rFonts w:ascii="Cambria" w:eastAsia="Calibri" w:hAnsi="Cambria"/>
            <w:color w:val="0563C1"/>
            <w:sz w:val="20"/>
            <w:szCs w:val="20"/>
          </w:rPr>
          <w:t>FIRMS</w:t>
        </w:r>
      </w:hyperlink>
      <w:r w:rsidRPr="00465071">
        <w:rPr>
          <w:rFonts w:ascii="Cambria" w:eastAsia="Calibri" w:hAnsi="Cambria"/>
          <w:color w:val="00000A"/>
          <w:sz w:val="20"/>
          <w:szCs w:val="20"/>
        </w:rPr>
        <w:t>,</w:t>
      </w:r>
      <w:r w:rsidRPr="00465071">
        <w:rPr>
          <w:rFonts w:ascii="Cambria" w:eastAsia="Calibri" w:hAnsi="Cambria"/>
          <w:color w:val="00000A"/>
          <w:sz w:val="20"/>
        </w:rPr>
        <w:t xml:space="preserve"> an initiative that provides access to information on the global monitoring and management of marine fisheries resources. As such the Secretariat provides updates to FIRMS regarding the stock status of all ICCAT species as assessed by the SCRS with the synchronization in the new factsheets format agreed by FAO FIRMS.</w:t>
      </w:r>
    </w:p>
    <w:p w14:paraId="33FC05B2" w14:textId="77777777" w:rsidR="009D0FA0" w:rsidRPr="00465071" w:rsidRDefault="009D0FA0" w:rsidP="009D0FA0">
      <w:pPr>
        <w:tabs>
          <w:tab w:val="left" w:pos="851"/>
        </w:tabs>
        <w:spacing w:after="120"/>
        <w:contextualSpacing/>
        <w:jc w:val="both"/>
        <w:rPr>
          <w:rFonts w:ascii="Cambria" w:eastAsia="Calibri" w:hAnsi="Cambria"/>
          <w:color w:val="00000A"/>
          <w:sz w:val="20"/>
        </w:rPr>
      </w:pPr>
    </w:p>
    <w:p w14:paraId="667344CE" w14:textId="77777777" w:rsidR="009D0FA0" w:rsidRPr="00465071" w:rsidRDefault="009D0FA0" w:rsidP="009D0FA0">
      <w:pPr>
        <w:tabs>
          <w:tab w:val="left" w:pos="851"/>
        </w:tabs>
        <w:spacing w:after="120"/>
        <w:contextualSpacing/>
        <w:jc w:val="both"/>
        <w:rPr>
          <w:rFonts w:ascii="Cambria" w:eastAsia="Calibri" w:hAnsi="Cambria"/>
          <w:color w:val="00000A"/>
          <w:sz w:val="20"/>
          <w:szCs w:val="20"/>
        </w:rPr>
      </w:pPr>
      <w:r w:rsidRPr="00465071">
        <w:rPr>
          <w:rFonts w:ascii="Cambria" w:eastAsia="Calibri" w:hAnsi="Cambria"/>
          <w:color w:val="00000A"/>
          <w:sz w:val="20"/>
          <w:szCs w:val="20"/>
        </w:rPr>
        <w:t>The SCRS and Commission will be consulted on their recommendation for reporting the status of the diverse stocks of the Small Tunas’ Species Group, where some local/regional evaluations has been done but not formally adopted by ICCAT (e.g. king mackerel, Spanish mackerel in Northwest Atlantic and Gulf of Mexico stocks).</w:t>
      </w:r>
    </w:p>
    <w:p w14:paraId="6F2391CD" w14:textId="77777777" w:rsidR="009D0FA0" w:rsidRPr="00465071" w:rsidRDefault="009D0FA0" w:rsidP="009D0FA0">
      <w:pPr>
        <w:tabs>
          <w:tab w:val="left" w:pos="851"/>
        </w:tabs>
        <w:spacing w:after="120"/>
        <w:contextualSpacing/>
        <w:jc w:val="both"/>
        <w:rPr>
          <w:rFonts w:ascii="Cambria" w:eastAsia="Calibri" w:hAnsi="Cambria"/>
          <w:color w:val="00000A"/>
          <w:sz w:val="12"/>
          <w:szCs w:val="12"/>
        </w:rPr>
      </w:pPr>
    </w:p>
    <w:p w14:paraId="429D4A7A" w14:textId="77777777" w:rsidR="009D0FA0" w:rsidRPr="00465071" w:rsidRDefault="009D0FA0" w:rsidP="009D0FA0">
      <w:pPr>
        <w:tabs>
          <w:tab w:val="left" w:pos="851"/>
        </w:tabs>
        <w:spacing w:after="120"/>
        <w:contextualSpacing/>
        <w:jc w:val="both"/>
        <w:rPr>
          <w:rFonts w:ascii="Cambria" w:eastAsia="Calibri" w:hAnsi="Cambria"/>
          <w:color w:val="00000A"/>
          <w:sz w:val="20"/>
        </w:rPr>
      </w:pPr>
      <w:r w:rsidRPr="00465071">
        <w:rPr>
          <w:rFonts w:ascii="Cambria" w:eastAsia="Calibri" w:hAnsi="Cambria"/>
          <w:color w:val="00000A"/>
          <w:sz w:val="20"/>
        </w:rPr>
        <w:t xml:space="preserve">ICCAT also plays an active role in the context of </w:t>
      </w:r>
      <w:r w:rsidRPr="00465071">
        <w:rPr>
          <w:rFonts w:ascii="Cambria" w:eastAsia="Calibri" w:hAnsi="Cambria"/>
          <w:color w:val="00000A"/>
          <w:sz w:val="20"/>
          <w:szCs w:val="20"/>
        </w:rPr>
        <w:t xml:space="preserve">the </w:t>
      </w:r>
      <w:hyperlink r:id="rId8" w:history="1">
        <w:r w:rsidRPr="00465071">
          <w:rPr>
            <w:rStyle w:val="Hyperlink"/>
            <w:rFonts w:ascii="Cambria" w:eastAsia="Calibri" w:hAnsi="Cambria"/>
            <w:sz w:val="20"/>
            <w:szCs w:val="20"/>
            <w:u w:val="none"/>
          </w:rPr>
          <w:t xml:space="preserve">FIRMS Global Tuna Atlas </w:t>
        </w:r>
        <w:r w:rsidRPr="00465071">
          <w:rPr>
            <w:rStyle w:val="Hyperlink"/>
            <w:rFonts w:ascii="Cambria" w:eastAsia="Calibri" w:hAnsi="Cambria"/>
            <w:sz w:val="20"/>
            <w:u w:val="none"/>
          </w:rPr>
          <w:t>(GTA)</w:t>
        </w:r>
      </w:hyperlink>
      <w:r w:rsidRPr="00465071">
        <w:rPr>
          <w:rFonts w:ascii="Cambria" w:eastAsia="Calibri" w:hAnsi="Cambria"/>
          <w:color w:val="00000A"/>
          <w:sz w:val="20"/>
        </w:rPr>
        <w:t xml:space="preserve"> </w:t>
      </w:r>
      <w:r w:rsidRPr="00465071">
        <w:rPr>
          <w:rFonts w:ascii="Cambria" w:eastAsia="Calibri" w:hAnsi="Cambria"/>
          <w:color w:val="00000A"/>
          <w:sz w:val="20"/>
          <w:szCs w:val="20"/>
        </w:rPr>
        <w:t xml:space="preserve">which collates and harmonizes nominal catch and georeferenced catches from the five </w:t>
      </w:r>
      <w:proofErr w:type="spellStart"/>
      <w:r w:rsidRPr="00465071">
        <w:rPr>
          <w:rFonts w:ascii="Cambria" w:eastAsia="Calibri" w:hAnsi="Cambria"/>
          <w:color w:val="00000A"/>
          <w:sz w:val="20"/>
          <w:szCs w:val="20"/>
        </w:rPr>
        <w:t>tRFMOs</w:t>
      </w:r>
      <w:proofErr w:type="spellEnd"/>
      <w:r w:rsidRPr="00465071">
        <w:rPr>
          <w:rFonts w:ascii="Cambria" w:eastAsia="Calibri" w:hAnsi="Cambria"/>
          <w:color w:val="00000A"/>
          <w:sz w:val="20"/>
          <w:szCs w:val="20"/>
        </w:rPr>
        <w:t xml:space="preserve">. The </w:t>
      </w:r>
      <w:r w:rsidRPr="00465071">
        <w:rPr>
          <w:rFonts w:ascii="Cambria" w:eastAsia="Calibri" w:hAnsi="Cambria"/>
          <w:color w:val="00000A"/>
          <w:sz w:val="20"/>
        </w:rPr>
        <w:t xml:space="preserve">GTA </w:t>
      </w:r>
      <w:r w:rsidRPr="00465071">
        <w:rPr>
          <w:rFonts w:ascii="Cambria" w:eastAsia="Calibri" w:hAnsi="Cambria"/>
          <w:color w:val="00000A"/>
          <w:sz w:val="20"/>
          <w:szCs w:val="20"/>
        </w:rPr>
        <w:t xml:space="preserve">was updated on 24 April 2026 with the latest Task 1 and Task 2 data available on the </w:t>
      </w:r>
      <w:hyperlink r:id="rId9" w:history="1">
        <w:r w:rsidRPr="00465071">
          <w:rPr>
            <w:rFonts w:ascii="Cambria" w:eastAsia="Calibri" w:hAnsi="Cambria"/>
            <w:color w:val="0563C1"/>
            <w:sz w:val="20"/>
            <w:szCs w:val="20"/>
          </w:rPr>
          <w:t>ICCAT website</w:t>
        </w:r>
      </w:hyperlink>
      <w:r w:rsidRPr="00465071">
        <w:rPr>
          <w:rFonts w:ascii="Cambria" w:eastAsia="Calibri" w:hAnsi="Cambria"/>
          <w:color w:val="00000A"/>
          <w:sz w:val="20"/>
          <w:szCs w:val="20"/>
        </w:rPr>
        <w:t>. It was further noted that ICCAT updated its Data Confidentiality Policy to ensure that future data submission</w:t>
      </w:r>
      <w:r w:rsidRPr="00465071">
        <w:rPr>
          <w:rFonts w:ascii="Cambria" w:eastAsia="Calibri" w:hAnsi="Cambria"/>
          <w:color w:val="00000A"/>
          <w:sz w:val="20"/>
        </w:rPr>
        <w:t xml:space="preserve"> to the GTA will follow those policy requirements.</w:t>
      </w:r>
    </w:p>
    <w:p w14:paraId="273EFE77" w14:textId="77777777" w:rsidR="009D0FA0" w:rsidRPr="00465071" w:rsidRDefault="009D0FA0" w:rsidP="009D0FA0">
      <w:pPr>
        <w:tabs>
          <w:tab w:val="left" w:pos="851"/>
        </w:tabs>
        <w:spacing w:after="120"/>
        <w:contextualSpacing/>
        <w:jc w:val="both"/>
        <w:rPr>
          <w:rFonts w:ascii="Cambria" w:eastAsia="Calibri" w:hAnsi="Cambria"/>
          <w:bCs/>
          <w:iCs/>
          <w:color w:val="00000A"/>
          <w:sz w:val="12"/>
          <w:szCs w:val="12"/>
        </w:rPr>
      </w:pPr>
    </w:p>
    <w:p w14:paraId="67543492" w14:textId="77777777" w:rsidR="009D0FA0" w:rsidRDefault="009D0FA0" w:rsidP="009D0FA0">
      <w:pPr>
        <w:tabs>
          <w:tab w:val="left" w:pos="851"/>
        </w:tabs>
        <w:spacing w:after="120"/>
        <w:contextualSpacing/>
        <w:jc w:val="both"/>
        <w:rPr>
          <w:rFonts w:ascii="Cambria" w:eastAsia="Calibri" w:hAnsi="Cambria"/>
          <w:b/>
          <w:i/>
          <w:color w:val="00000A"/>
          <w:sz w:val="20"/>
        </w:rPr>
      </w:pPr>
    </w:p>
    <w:p w14:paraId="36B4F465" w14:textId="3ED75E94" w:rsidR="009D0FA0" w:rsidRPr="00465071" w:rsidRDefault="009D0FA0" w:rsidP="009D0FA0">
      <w:pPr>
        <w:tabs>
          <w:tab w:val="left" w:pos="851"/>
        </w:tabs>
        <w:spacing w:after="120"/>
        <w:contextualSpacing/>
        <w:jc w:val="both"/>
        <w:rPr>
          <w:rFonts w:ascii="Cambria" w:eastAsia="Calibri" w:hAnsi="Cambria"/>
          <w:color w:val="00000A"/>
          <w:sz w:val="20"/>
        </w:rPr>
      </w:pPr>
      <w:r w:rsidRPr="00465071">
        <w:rPr>
          <w:rFonts w:ascii="Cambria" w:eastAsia="Calibri" w:hAnsi="Cambria"/>
          <w:b/>
          <w:i/>
          <w:color w:val="00000A"/>
          <w:sz w:val="20"/>
        </w:rPr>
        <w:t xml:space="preserve">Aquatic Sciences and Fisheries Abstracts </w:t>
      </w:r>
      <w:r w:rsidRPr="00465071">
        <w:rPr>
          <w:rFonts w:ascii="Cambria" w:eastAsia="Calibri" w:hAnsi="Cambria"/>
          <w:b/>
          <w:bCs/>
          <w:i/>
          <w:color w:val="00000A"/>
          <w:sz w:val="20"/>
        </w:rPr>
        <w:t>(</w:t>
      </w:r>
      <w:r w:rsidRPr="00465071">
        <w:rPr>
          <w:rFonts w:ascii="Cambria" w:eastAsia="Calibri" w:hAnsi="Cambria"/>
          <w:b/>
          <w:i/>
          <w:color w:val="00000A"/>
          <w:sz w:val="20"/>
        </w:rPr>
        <w:t>ASFA)</w:t>
      </w:r>
    </w:p>
    <w:p w14:paraId="5710A660" w14:textId="77777777" w:rsidR="009D0FA0" w:rsidRPr="00465071" w:rsidRDefault="009D0FA0" w:rsidP="009D0FA0">
      <w:pPr>
        <w:tabs>
          <w:tab w:val="left" w:pos="851"/>
        </w:tabs>
        <w:spacing w:after="120"/>
        <w:contextualSpacing/>
        <w:jc w:val="both"/>
        <w:rPr>
          <w:rFonts w:ascii="Cambria" w:eastAsia="Calibri" w:hAnsi="Cambria"/>
          <w:color w:val="00000A"/>
          <w:sz w:val="12"/>
          <w:szCs w:val="12"/>
        </w:rPr>
      </w:pPr>
    </w:p>
    <w:p w14:paraId="34CB88FE" w14:textId="77777777" w:rsidR="009D0FA0" w:rsidRPr="00465071" w:rsidRDefault="009D0FA0" w:rsidP="009D0FA0">
      <w:pPr>
        <w:tabs>
          <w:tab w:val="left" w:pos="851"/>
        </w:tabs>
        <w:spacing w:after="120"/>
        <w:contextualSpacing/>
        <w:jc w:val="both"/>
        <w:rPr>
          <w:rFonts w:ascii="Cambria" w:eastAsia="Calibri" w:hAnsi="Cambria"/>
          <w:color w:val="00000A"/>
          <w:sz w:val="20"/>
          <w:szCs w:val="20"/>
        </w:rPr>
      </w:pPr>
      <w:r w:rsidRPr="00465071">
        <w:rPr>
          <w:rFonts w:ascii="Cambria" w:eastAsia="Calibri" w:hAnsi="Cambria"/>
          <w:color w:val="00000A"/>
          <w:sz w:val="20"/>
        </w:rPr>
        <w:t xml:space="preserve">Since the last SCRS meeting, the Secretariat has prepared </w:t>
      </w:r>
      <w:r w:rsidRPr="00465071">
        <w:rPr>
          <w:rFonts w:ascii="Cambria" w:eastAsia="Calibri" w:hAnsi="Cambria"/>
          <w:color w:val="00000A"/>
          <w:sz w:val="20"/>
          <w:szCs w:val="20"/>
        </w:rPr>
        <w:t>8</w:t>
      </w:r>
      <w:r w:rsidRPr="00465071">
        <w:rPr>
          <w:rFonts w:ascii="Cambria" w:eastAsia="Calibri" w:hAnsi="Cambria"/>
          <w:color w:val="00000A"/>
          <w:sz w:val="20"/>
        </w:rPr>
        <w:t xml:space="preserve"> new entries, regarding Volumes 82(</w:t>
      </w:r>
      <w:r w:rsidRPr="00465071">
        <w:rPr>
          <w:rFonts w:ascii="Cambria" w:eastAsia="Calibri" w:hAnsi="Cambria"/>
          <w:color w:val="00000A"/>
          <w:sz w:val="20"/>
          <w:szCs w:val="20"/>
        </w:rPr>
        <w:t>7) to 83(</w:t>
      </w:r>
      <w:r w:rsidRPr="00465071">
        <w:rPr>
          <w:rFonts w:ascii="Cambria" w:eastAsia="Calibri" w:hAnsi="Cambria"/>
          <w:color w:val="00000A"/>
          <w:sz w:val="20"/>
        </w:rPr>
        <w:t>4)</w:t>
      </w:r>
      <w:r w:rsidRPr="00465071">
        <w:rPr>
          <w:rFonts w:ascii="Cambria" w:eastAsia="Calibri" w:hAnsi="Cambria"/>
          <w:color w:val="00000A"/>
          <w:sz w:val="20"/>
          <w:szCs w:val="20"/>
        </w:rPr>
        <w:t xml:space="preserve"> </w:t>
      </w:r>
      <w:r w:rsidRPr="00465071">
        <w:rPr>
          <w:rFonts w:ascii="Cambria" w:eastAsia="Calibri" w:hAnsi="Cambria"/>
          <w:color w:val="00000A"/>
          <w:sz w:val="20"/>
        </w:rPr>
        <w:t xml:space="preserve">of the </w:t>
      </w:r>
      <w:hyperlink r:id="rId10" w:history="1">
        <w:r w:rsidRPr="00465071">
          <w:rPr>
            <w:rStyle w:val="Hyperlink"/>
            <w:rFonts w:ascii="Cambria" w:eastAsia="Calibri" w:hAnsi="Cambria"/>
            <w:i/>
            <w:sz w:val="20"/>
            <w:u w:val="none"/>
          </w:rPr>
          <w:t>ICCAT Collective Volume of Scientific Papers</w:t>
        </w:r>
      </w:hyperlink>
      <w:r w:rsidRPr="00465071">
        <w:rPr>
          <w:rFonts w:eastAsia="Calibri"/>
          <w:color w:val="00000A"/>
        </w:rPr>
        <w:t xml:space="preserve"> </w:t>
      </w:r>
      <w:r w:rsidRPr="00465071">
        <w:rPr>
          <w:rFonts w:ascii="Cambria" w:eastAsia="Calibri" w:hAnsi="Cambria"/>
          <w:color w:val="00000A"/>
          <w:sz w:val="20"/>
        </w:rPr>
        <w:t>for the Aquatic Sciences and Fisheries Abstracts (ASFA</w:t>
      </w:r>
      <w:r w:rsidRPr="00465071">
        <w:rPr>
          <w:rFonts w:ascii="Cambria" w:eastAsia="Calibri" w:hAnsi="Cambria"/>
          <w:color w:val="00000A"/>
          <w:sz w:val="20"/>
        </w:rPr>
        <w:noBreakHyphen/>
        <w:t xml:space="preserve">ProQuest) database, from the papers published in the most recent issues of the </w:t>
      </w:r>
      <w:hyperlink r:id="rId11" w:history="1">
        <w:r w:rsidRPr="00465071">
          <w:rPr>
            <w:rStyle w:val="Hyperlink"/>
            <w:rFonts w:ascii="Cambria" w:eastAsia="Calibri" w:hAnsi="Cambria"/>
            <w:i/>
            <w:iCs/>
            <w:sz w:val="20"/>
            <w:szCs w:val="20"/>
            <w:u w:val="none"/>
          </w:rPr>
          <w:t>ICCAT Collective Volume of Scientific Papers</w:t>
        </w:r>
      </w:hyperlink>
      <w:r w:rsidRPr="00465071">
        <w:t xml:space="preserve">. </w:t>
      </w:r>
      <w:r w:rsidRPr="00465071">
        <w:rPr>
          <w:rFonts w:ascii="Cambria" w:eastAsia="Calibri" w:hAnsi="Cambria"/>
          <w:color w:val="00000A"/>
          <w:sz w:val="20"/>
          <w:szCs w:val="20"/>
        </w:rPr>
        <w:t xml:space="preserve">As such, all </w:t>
      </w:r>
      <w:hyperlink r:id="rId12" w:history="1">
        <w:r w:rsidRPr="00465071">
          <w:rPr>
            <w:rFonts w:ascii="Cambria" w:eastAsia="Calibri" w:hAnsi="Cambria"/>
            <w:color w:val="00000A"/>
            <w:sz w:val="20"/>
            <w:szCs w:val="20"/>
          </w:rPr>
          <w:t>these</w:t>
        </w:r>
      </w:hyperlink>
      <w:r w:rsidRPr="00465071">
        <w:rPr>
          <w:rFonts w:ascii="Cambria" w:eastAsia="Calibri" w:hAnsi="Cambria"/>
          <w:color w:val="00000A"/>
          <w:sz w:val="20"/>
          <w:szCs w:val="20"/>
        </w:rPr>
        <w:t xml:space="preserve"> papers are now also made publicly available on the </w:t>
      </w:r>
      <w:hyperlink r:id="rId13" w:history="1">
        <w:r w:rsidRPr="00465071">
          <w:rPr>
            <w:rStyle w:val="Hyperlink"/>
            <w:rFonts w:ascii="Cambria" w:eastAsia="Calibri" w:hAnsi="Cambria"/>
            <w:sz w:val="20"/>
            <w:szCs w:val="20"/>
            <w:u w:val="none"/>
          </w:rPr>
          <w:t>FAO Fisheries and Aquaculture website</w:t>
        </w:r>
      </w:hyperlink>
      <w:r w:rsidRPr="00465071">
        <w:rPr>
          <w:rFonts w:ascii="Cambria" w:eastAsia="Calibri" w:hAnsi="Cambria"/>
          <w:color w:val="00000A"/>
          <w:sz w:val="20"/>
          <w:szCs w:val="20"/>
        </w:rPr>
        <w:t xml:space="preserve">. The </w:t>
      </w:r>
      <w:hyperlink r:id="rId14" w:history="1">
        <w:proofErr w:type="spellStart"/>
        <w:r w:rsidRPr="00465071">
          <w:rPr>
            <w:rStyle w:val="Hyperlink"/>
            <w:rFonts w:ascii="Cambria" w:eastAsia="Calibri" w:hAnsi="Cambria"/>
            <w:sz w:val="20"/>
            <w:szCs w:val="20"/>
            <w:u w:val="none"/>
          </w:rPr>
          <w:t>OpenASFA</w:t>
        </w:r>
        <w:proofErr w:type="spellEnd"/>
      </w:hyperlink>
      <w:r w:rsidRPr="00465071">
        <w:rPr>
          <w:rFonts w:ascii="Cambria" w:eastAsia="Calibri" w:hAnsi="Cambria"/>
          <w:color w:val="00000A"/>
          <w:sz w:val="20"/>
          <w:szCs w:val="20"/>
        </w:rPr>
        <w:t xml:space="preserve"> interface allows for the free searching of all </w:t>
      </w:r>
      <w:proofErr w:type="spellStart"/>
      <w:r w:rsidRPr="00465071">
        <w:rPr>
          <w:rFonts w:ascii="Cambria" w:eastAsia="Calibri" w:hAnsi="Cambria"/>
          <w:color w:val="00000A"/>
          <w:sz w:val="20"/>
          <w:szCs w:val="20"/>
        </w:rPr>
        <w:t>OpenASFA</w:t>
      </w:r>
      <w:proofErr w:type="spellEnd"/>
      <w:r w:rsidRPr="00465071">
        <w:rPr>
          <w:rFonts w:ascii="Cambria" w:eastAsia="Calibri" w:hAnsi="Cambria"/>
          <w:color w:val="00000A"/>
          <w:sz w:val="20"/>
          <w:szCs w:val="20"/>
        </w:rPr>
        <w:t xml:space="preserve"> records</w:t>
      </w:r>
      <w:r w:rsidRPr="00465071">
        <w:rPr>
          <w:rFonts w:ascii="Cambria" w:eastAsia="Calibri" w:hAnsi="Cambria"/>
          <w:color w:val="00000A"/>
          <w:sz w:val="20"/>
        </w:rPr>
        <w:t>.</w:t>
      </w:r>
    </w:p>
    <w:p w14:paraId="7F534320" w14:textId="77777777" w:rsidR="009D0FA0" w:rsidRPr="00465071" w:rsidRDefault="009D0FA0" w:rsidP="009D0FA0">
      <w:pPr>
        <w:tabs>
          <w:tab w:val="left" w:pos="851"/>
        </w:tabs>
        <w:spacing w:after="120"/>
        <w:contextualSpacing/>
        <w:jc w:val="both"/>
        <w:rPr>
          <w:rFonts w:ascii="Cambria" w:eastAsia="Calibri" w:hAnsi="Cambria"/>
          <w:b/>
          <w:bCs/>
          <w:i/>
          <w:iCs/>
          <w:color w:val="00000A"/>
          <w:sz w:val="12"/>
          <w:szCs w:val="12"/>
        </w:rPr>
      </w:pPr>
    </w:p>
    <w:p w14:paraId="142A3AC0" w14:textId="77777777" w:rsidR="009D0FA0" w:rsidRDefault="009D0FA0" w:rsidP="009D0FA0">
      <w:pPr>
        <w:tabs>
          <w:tab w:val="left" w:pos="851"/>
        </w:tabs>
        <w:contextualSpacing/>
        <w:jc w:val="both"/>
        <w:rPr>
          <w:rFonts w:ascii="Cambria" w:eastAsia="Calibri" w:hAnsi="Cambria"/>
          <w:b/>
          <w:bCs/>
          <w:i/>
          <w:iCs/>
          <w:color w:val="00000A"/>
          <w:sz w:val="20"/>
          <w:szCs w:val="20"/>
          <w:lang w:val="en-US"/>
        </w:rPr>
      </w:pPr>
    </w:p>
    <w:p w14:paraId="38430E13" w14:textId="7F484FCC" w:rsidR="009D0FA0" w:rsidRPr="00465071" w:rsidRDefault="009D0FA0" w:rsidP="009D0FA0">
      <w:pPr>
        <w:tabs>
          <w:tab w:val="left" w:pos="851"/>
        </w:tabs>
        <w:contextualSpacing/>
        <w:jc w:val="both"/>
        <w:rPr>
          <w:rFonts w:ascii="Cambria" w:eastAsia="Calibri" w:hAnsi="Cambria"/>
          <w:bCs/>
          <w:i/>
          <w:color w:val="EE0000"/>
          <w:sz w:val="20"/>
          <w:lang w:val="en-US"/>
        </w:rPr>
      </w:pPr>
      <w:r w:rsidRPr="00465071">
        <w:rPr>
          <w:rFonts w:ascii="Cambria" w:eastAsia="Calibri" w:hAnsi="Cambria"/>
          <w:b/>
          <w:bCs/>
          <w:i/>
          <w:iCs/>
          <w:color w:val="00000A"/>
          <w:sz w:val="20"/>
          <w:szCs w:val="20"/>
          <w:lang w:val="en-US"/>
        </w:rPr>
        <w:t xml:space="preserve">Common Oceans Tuna Project (formerly </w:t>
      </w:r>
      <w:r w:rsidRPr="00465071">
        <w:rPr>
          <w:rFonts w:ascii="Cambria" w:eastAsia="Calibri" w:hAnsi="Cambria"/>
          <w:b/>
          <w:i/>
          <w:color w:val="00000A"/>
          <w:sz w:val="20"/>
          <w:lang w:val="en-US"/>
        </w:rPr>
        <w:t>Global Environment Fund</w:t>
      </w:r>
      <w:r w:rsidRPr="00465071">
        <w:rPr>
          <w:rFonts w:ascii="Cambria" w:eastAsia="Calibri" w:hAnsi="Cambria"/>
          <w:b/>
          <w:bCs/>
          <w:i/>
          <w:iCs/>
          <w:color w:val="00000A"/>
          <w:sz w:val="20"/>
          <w:szCs w:val="20"/>
          <w:lang w:val="en-US"/>
        </w:rPr>
        <w:t xml:space="preserve">, </w:t>
      </w:r>
      <w:r w:rsidRPr="00465071">
        <w:rPr>
          <w:rFonts w:ascii="Cambria" w:eastAsia="Calibri" w:hAnsi="Cambria"/>
          <w:b/>
          <w:i/>
          <w:color w:val="00000A"/>
          <w:sz w:val="20"/>
          <w:lang w:val="en-US"/>
        </w:rPr>
        <w:t xml:space="preserve">GEF) </w:t>
      </w:r>
      <w:r w:rsidRPr="00465071">
        <w:rPr>
          <w:rFonts w:ascii="Cambria" w:eastAsia="Calibri" w:hAnsi="Cambria"/>
          <w:b/>
          <w:i/>
          <w:sz w:val="20"/>
          <w:lang w:val="en-US"/>
        </w:rPr>
        <w:t>Projects</w:t>
      </w:r>
    </w:p>
    <w:p w14:paraId="7F7FB4A8" w14:textId="77777777" w:rsidR="009D0FA0" w:rsidRPr="00465071" w:rsidRDefault="009D0FA0" w:rsidP="009D0FA0">
      <w:pPr>
        <w:tabs>
          <w:tab w:val="left" w:pos="851"/>
        </w:tabs>
        <w:contextualSpacing/>
        <w:jc w:val="both"/>
        <w:rPr>
          <w:rFonts w:ascii="Cambria" w:eastAsia="Calibri" w:hAnsi="Cambria"/>
          <w:b/>
          <w:i/>
          <w:color w:val="00000A"/>
          <w:sz w:val="12"/>
          <w:szCs w:val="12"/>
          <w:lang w:val="en-US"/>
        </w:rPr>
      </w:pPr>
      <w:r w:rsidRPr="00465071">
        <w:rPr>
          <w:rFonts w:ascii="Cambria" w:eastAsia="Calibri" w:hAnsi="Cambria"/>
          <w:b/>
          <w:bCs/>
          <w:i/>
          <w:iCs/>
          <w:color w:val="00000A"/>
          <w:sz w:val="20"/>
          <w:szCs w:val="20"/>
          <w:lang w:val="en-US"/>
        </w:rPr>
        <w:t>  </w:t>
      </w:r>
    </w:p>
    <w:p w14:paraId="6142955A" w14:textId="77777777" w:rsidR="009D0FA0" w:rsidRPr="00465071" w:rsidRDefault="009D0FA0" w:rsidP="009D0FA0">
      <w:pPr>
        <w:tabs>
          <w:tab w:val="left" w:pos="851"/>
        </w:tabs>
        <w:contextualSpacing/>
        <w:jc w:val="both"/>
        <w:rPr>
          <w:rFonts w:ascii="Cambria" w:eastAsia="Calibri" w:hAnsi="Cambria"/>
          <w:color w:val="00000A"/>
          <w:sz w:val="20"/>
          <w:szCs w:val="20"/>
          <w:lang w:val="en-US"/>
        </w:rPr>
      </w:pPr>
      <w:r w:rsidRPr="00465071">
        <w:rPr>
          <w:rFonts w:ascii="Cambria" w:eastAsia="Calibri" w:hAnsi="Cambria"/>
          <w:color w:val="00000A"/>
          <w:sz w:val="20"/>
          <w:szCs w:val="20"/>
          <w:lang w:val="en-US"/>
        </w:rPr>
        <w:t>ICCAT has four projects approved for funding through GEF funds. These projects form part of the GEF’s Common Oceans – Sustainable utilization and conservation of biodiversity in areas beyond national jurisdiction initiative. The projects have continued to make significant progress through 2025 and into 2026, as outlined below. </w:t>
      </w:r>
    </w:p>
    <w:p w14:paraId="52689581" w14:textId="77777777" w:rsidR="009D0FA0" w:rsidRPr="00465071" w:rsidRDefault="009D0FA0" w:rsidP="009D0FA0">
      <w:pPr>
        <w:tabs>
          <w:tab w:val="left" w:pos="851"/>
        </w:tabs>
        <w:contextualSpacing/>
        <w:jc w:val="both"/>
        <w:rPr>
          <w:rFonts w:ascii="Cambria" w:eastAsia="Calibri" w:hAnsi="Cambria"/>
          <w:color w:val="00000A"/>
          <w:sz w:val="12"/>
          <w:szCs w:val="12"/>
          <w:lang w:val="en-US"/>
        </w:rPr>
      </w:pPr>
      <w:r w:rsidRPr="00465071">
        <w:rPr>
          <w:rFonts w:ascii="Cambria" w:eastAsia="Calibri" w:hAnsi="Cambria"/>
          <w:color w:val="00000A"/>
          <w:sz w:val="20"/>
          <w:szCs w:val="20"/>
          <w:lang w:val="en-US"/>
        </w:rPr>
        <w:t>  </w:t>
      </w:r>
    </w:p>
    <w:p w14:paraId="113C60B7" w14:textId="77777777" w:rsidR="009D0FA0" w:rsidRPr="00465071" w:rsidRDefault="009D0FA0" w:rsidP="009D0FA0">
      <w:pPr>
        <w:tabs>
          <w:tab w:val="left" w:pos="851"/>
        </w:tabs>
        <w:contextualSpacing/>
        <w:jc w:val="both"/>
        <w:rPr>
          <w:rFonts w:ascii="Cambria" w:eastAsia="Calibri" w:hAnsi="Cambria"/>
          <w:i/>
          <w:iCs/>
          <w:color w:val="00000A"/>
          <w:sz w:val="20"/>
          <w:szCs w:val="20"/>
          <w:lang w:val="en-US"/>
        </w:rPr>
      </w:pPr>
      <w:r w:rsidRPr="00465071">
        <w:rPr>
          <w:rFonts w:ascii="Cambria" w:eastAsia="Calibri" w:hAnsi="Cambria"/>
          <w:i/>
          <w:iCs/>
          <w:color w:val="00000A"/>
          <w:sz w:val="20"/>
          <w:szCs w:val="20"/>
          <w:lang w:val="en-US"/>
        </w:rPr>
        <w:t>Compliance with ICCAT measures (Port Inspection) </w:t>
      </w:r>
    </w:p>
    <w:p w14:paraId="545700B4" w14:textId="77777777" w:rsidR="009D0FA0" w:rsidRPr="00465071" w:rsidRDefault="009D0FA0" w:rsidP="009D0FA0">
      <w:pPr>
        <w:tabs>
          <w:tab w:val="left" w:pos="851"/>
        </w:tabs>
        <w:contextualSpacing/>
        <w:jc w:val="both"/>
        <w:rPr>
          <w:rFonts w:ascii="Cambria" w:eastAsia="Calibri" w:hAnsi="Cambria"/>
          <w:color w:val="00000A"/>
          <w:sz w:val="12"/>
          <w:szCs w:val="12"/>
          <w:lang w:val="en-US"/>
        </w:rPr>
      </w:pPr>
    </w:p>
    <w:p w14:paraId="28C2EA62" w14:textId="77777777" w:rsidR="009D0FA0" w:rsidRPr="00465071" w:rsidRDefault="009D0FA0" w:rsidP="009D0FA0">
      <w:pPr>
        <w:tabs>
          <w:tab w:val="left" w:pos="851"/>
        </w:tabs>
        <w:contextualSpacing/>
        <w:jc w:val="both"/>
        <w:rPr>
          <w:rFonts w:ascii="Cambria" w:eastAsia="Calibri" w:hAnsi="Cambria"/>
          <w:color w:val="00000A"/>
          <w:sz w:val="20"/>
          <w:szCs w:val="20"/>
          <w:lang w:val="en-US"/>
        </w:rPr>
      </w:pPr>
      <w:r w:rsidRPr="00465071">
        <w:rPr>
          <w:rFonts w:ascii="Cambria" w:eastAsia="Calibri" w:hAnsi="Cambria"/>
          <w:color w:val="00000A"/>
          <w:sz w:val="20"/>
          <w:szCs w:val="20"/>
          <w:lang w:val="en-US"/>
        </w:rPr>
        <w:t>This five-year project aims to improve compliance with ICCAT conservation and management measures, particularly compliance with or strengthening port inspection capacity. The project primarily involves incorporating an ICCAT module into training courses organized by CPC experts and other organizations. </w:t>
      </w:r>
    </w:p>
    <w:p w14:paraId="58A68824" w14:textId="77777777" w:rsidR="009D0FA0" w:rsidRPr="00465071" w:rsidRDefault="009D0FA0" w:rsidP="009D0FA0">
      <w:pPr>
        <w:tabs>
          <w:tab w:val="left" w:pos="851"/>
        </w:tabs>
        <w:contextualSpacing/>
        <w:jc w:val="both"/>
        <w:rPr>
          <w:rFonts w:ascii="Cambria" w:eastAsia="Calibri" w:hAnsi="Cambria"/>
          <w:color w:val="00000A"/>
          <w:sz w:val="12"/>
          <w:szCs w:val="12"/>
          <w:lang w:val="en-US"/>
        </w:rPr>
      </w:pPr>
      <w:r w:rsidRPr="00465071">
        <w:rPr>
          <w:rFonts w:ascii="Cambria" w:eastAsia="Calibri" w:hAnsi="Cambria"/>
          <w:color w:val="00000A"/>
          <w:sz w:val="20"/>
          <w:szCs w:val="20"/>
          <w:lang w:val="en-US"/>
        </w:rPr>
        <w:t xml:space="preserve"> </w:t>
      </w:r>
    </w:p>
    <w:p w14:paraId="07C1C56B" w14:textId="77777777" w:rsidR="009D0FA0" w:rsidRPr="00465071" w:rsidRDefault="009D0FA0" w:rsidP="009D0FA0">
      <w:pPr>
        <w:tabs>
          <w:tab w:val="left" w:pos="851"/>
        </w:tabs>
        <w:spacing w:after="120"/>
        <w:contextualSpacing/>
        <w:jc w:val="both"/>
        <w:rPr>
          <w:rFonts w:ascii="Cambria" w:eastAsia="Calibri" w:hAnsi="Cambria"/>
          <w:color w:val="00000A"/>
          <w:sz w:val="20"/>
          <w:szCs w:val="20"/>
        </w:rPr>
      </w:pPr>
      <w:r w:rsidRPr="00465071">
        <w:rPr>
          <w:rFonts w:ascii="Cambria" w:eastAsia="Calibri" w:hAnsi="Cambria"/>
          <w:color w:val="00000A"/>
          <w:sz w:val="20"/>
          <w:szCs w:val="20"/>
        </w:rPr>
        <w:t xml:space="preserve">Following a needs-assessment mission on 10-11 December 2025, ICCAT delivered a tailored port inspector training syllabus in Senegal from 30 March to 3 April 2026, in collaboration with FAO and the Senegalese </w:t>
      </w:r>
      <w:r w:rsidRPr="00465071">
        <w:rPr>
          <w:rFonts w:ascii="Cambria" w:eastAsia="Calibri" w:hAnsi="Cambria"/>
          <w:color w:val="00000A"/>
          <w:sz w:val="20"/>
          <w:szCs w:val="20"/>
        </w:rPr>
        <w:lastRenderedPageBreak/>
        <w:t xml:space="preserve">Directorate of Fisheries Protection and Surveillance with accompanying filming and interviews to raise the programme's visibility in the fight against IUU fishing. A two-phase port inspection mission is scheduled for the Guinea (Rep.) in September 2026. As all Category A and B CPCs under the Port Inspection Expert Group for Capacity Building and Assistance (PIEG) priority have now been assisted or scheduled, attention turned to Category C CPCs and to additional requests received from Equatorial Guinea, St Vincent and the Grenadines and Panama (and a further request from Namibia). The Permanent Working Group for the Improvement of ICCAT Statistics and Conservation Measures (PWG) is expected to set the remaining priority order in November 2026. Regarding compliance support, Angola hosted a mission on 6–8 July 2026 in </w:t>
      </w:r>
      <w:proofErr w:type="spellStart"/>
      <w:r w:rsidRPr="00465071">
        <w:rPr>
          <w:rFonts w:ascii="Cambria" w:eastAsia="Calibri" w:hAnsi="Cambria"/>
          <w:color w:val="00000A"/>
          <w:sz w:val="20"/>
          <w:szCs w:val="20"/>
        </w:rPr>
        <w:t>Talatona</w:t>
      </w:r>
      <w:proofErr w:type="spellEnd"/>
      <w:r w:rsidRPr="00465071">
        <w:rPr>
          <w:rFonts w:ascii="Cambria" w:eastAsia="Calibri" w:hAnsi="Cambria"/>
          <w:color w:val="00000A"/>
          <w:sz w:val="20"/>
          <w:szCs w:val="20"/>
        </w:rPr>
        <w:t>, and Tunisia had been recommended to receive the final ABNJ Phase II compliance mission in 2027.</w:t>
      </w:r>
    </w:p>
    <w:p w14:paraId="2FBF4269"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p>
    <w:p w14:paraId="576373E2" w14:textId="77777777" w:rsidR="009D0FA0" w:rsidRPr="00465071" w:rsidRDefault="009D0FA0" w:rsidP="009D0FA0">
      <w:pPr>
        <w:tabs>
          <w:tab w:val="left" w:pos="851"/>
        </w:tabs>
        <w:spacing w:after="120"/>
        <w:contextualSpacing/>
        <w:jc w:val="both"/>
        <w:rPr>
          <w:rFonts w:ascii="Cambria" w:eastAsia="Calibri" w:hAnsi="Cambria"/>
          <w:i/>
          <w:iCs/>
          <w:color w:val="00000A"/>
          <w:sz w:val="20"/>
          <w:szCs w:val="20"/>
          <w:lang w:val="en-US"/>
        </w:rPr>
      </w:pPr>
      <w:r w:rsidRPr="00465071">
        <w:rPr>
          <w:rFonts w:ascii="Cambria" w:eastAsia="Calibri" w:hAnsi="Cambria"/>
          <w:i/>
          <w:iCs/>
          <w:color w:val="00000A"/>
          <w:sz w:val="20"/>
          <w:szCs w:val="20"/>
          <w:lang w:val="en-US"/>
        </w:rPr>
        <w:t>Integrated Online Management System (IOMS) </w:t>
      </w:r>
    </w:p>
    <w:p w14:paraId="1D6198B8"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p>
    <w:p w14:paraId="442C88BC"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r w:rsidRPr="00465071">
        <w:rPr>
          <w:rFonts w:ascii="Cambria" w:eastAsia="Calibri" w:hAnsi="Cambria"/>
          <w:color w:val="00000A"/>
          <w:sz w:val="20"/>
          <w:szCs w:val="20"/>
          <w:lang w:val="en-US"/>
        </w:rPr>
        <w:t>This five-year project enhances the ICCAT IOMS, which supports centralized online data management for reporting, validation, storage, and access (in many cases with public data dissemination through web services). Such systems are fundamental to the effective implementation of conservation and management measures. </w:t>
      </w:r>
    </w:p>
    <w:p w14:paraId="7B866F7B"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p>
    <w:p w14:paraId="6F6FC40E"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r w:rsidRPr="00465071">
        <w:rPr>
          <w:rFonts w:ascii="Cambria" w:eastAsia="Calibri" w:hAnsi="Cambria"/>
          <w:color w:val="00000A"/>
          <w:sz w:val="20"/>
          <w:szCs w:val="20"/>
        </w:rPr>
        <w:t>IOMS activities progressed as planned during last year, reflecting decisions taken at the</w:t>
      </w:r>
      <w:r w:rsidRPr="00465071">
        <w:rPr>
          <w:rFonts w:ascii="Cambria" w:eastAsia="Calibri" w:hAnsi="Cambria"/>
          <w:sz w:val="20"/>
          <w:szCs w:val="20"/>
        </w:rPr>
        <w:t xml:space="preserve"> 2026</w:t>
      </w:r>
      <w:r w:rsidRPr="00465071">
        <w:rPr>
          <w:rFonts w:ascii="Cambria" w:eastAsia="Calibri" w:hAnsi="Cambria"/>
          <w:color w:val="00000A"/>
          <w:sz w:val="20"/>
          <w:szCs w:val="20"/>
        </w:rPr>
        <w:t xml:space="preserve"> </w:t>
      </w:r>
      <w:hyperlink r:id="rId15" w:history="1">
        <w:r w:rsidRPr="00465071">
          <w:rPr>
            <w:rStyle w:val="Hyperlink"/>
            <w:rFonts w:ascii="Cambria" w:eastAsia="Calibri" w:hAnsi="Cambria"/>
            <w:sz w:val="20"/>
            <w:szCs w:val="20"/>
            <w:u w:val="none"/>
          </w:rPr>
          <w:t>Meeting of the Online Reporting Technology Working Group (WG-ORT)</w:t>
        </w:r>
      </w:hyperlink>
      <w:r w:rsidRPr="00465071">
        <w:rPr>
          <w:rFonts w:ascii="Cambria" w:eastAsia="Calibri" w:hAnsi="Cambria"/>
          <w:color w:val="00000A"/>
          <w:sz w:val="20"/>
          <w:szCs w:val="20"/>
        </w:rPr>
        <w:t>. The Vessel Manager and Form Manager modules released into production on 1 August 2025 operated without interruption while functionality was enhanced (UN/FLUX integration into the Vessel Manager remained under testing), the Port Manager module was released into production in August 2026, and additional modules covering Task 1 nominal catch, Compliance Tables, Task 2 catch and effort, and shark/billfish check sheets, were under development. Much of the work focused on revamping and harmonising the IOMS public APIs ("public-v2"), standardising the API specifications and metadata, publishing compliance, statistical and vessel-record information on the ICCAT website in real time, and releasing an experimental standalone client for testing the vessel-related APIs, establishing long-term groundwork intended to benefit end users well beyond the end of the project.</w:t>
      </w:r>
    </w:p>
    <w:p w14:paraId="2DC14F63" w14:textId="77777777" w:rsidR="009D0FA0" w:rsidRPr="00465071" w:rsidRDefault="009D0FA0" w:rsidP="009D0FA0">
      <w:pPr>
        <w:tabs>
          <w:tab w:val="left" w:pos="851"/>
        </w:tabs>
        <w:spacing w:after="120"/>
        <w:contextualSpacing/>
        <w:jc w:val="both"/>
        <w:rPr>
          <w:rFonts w:ascii="Cambria" w:eastAsia="Calibri" w:hAnsi="Cambria"/>
          <w:b/>
          <w:bCs/>
          <w:i/>
          <w:iCs/>
          <w:color w:val="00000A"/>
          <w:sz w:val="20"/>
          <w:szCs w:val="20"/>
          <w:lang w:val="en-US"/>
        </w:rPr>
      </w:pPr>
      <w:r w:rsidRPr="00465071">
        <w:rPr>
          <w:rFonts w:ascii="Cambria" w:eastAsia="Calibri" w:hAnsi="Cambria"/>
          <w:color w:val="00000A"/>
          <w:sz w:val="20"/>
          <w:szCs w:val="20"/>
          <w:lang w:val="en-US"/>
        </w:rPr>
        <w:t>  </w:t>
      </w:r>
      <w:r w:rsidRPr="00465071">
        <w:rPr>
          <w:rFonts w:ascii="Cambria" w:eastAsia="Calibri" w:hAnsi="Cambria"/>
          <w:b/>
          <w:bCs/>
          <w:i/>
          <w:iCs/>
          <w:color w:val="00000A"/>
          <w:sz w:val="20"/>
          <w:szCs w:val="20"/>
          <w:lang w:val="en-US"/>
        </w:rPr>
        <w:t> </w:t>
      </w:r>
    </w:p>
    <w:p w14:paraId="6C0F5E02" w14:textId="77777777" w:rsidR="009D0FA0" w:rsidRPr="00465071" w:rsidRDefault="009D0FA0" w:rsidP="009D0FA0">
      <w:pPr>
        <w:tabs>
          <w:tab w:val="left" w:pos="851"/>
        </w:tabs>
        <w:jc w:val="both"/>
        <w:rPr>
          <w:rFonts w:ascii="Cambria" w:eastAsia="Cambria" w:hAnsi="Cambria" w:cs="Cambria"/>
          <w:i/>
          <w:iCs/>
          <w:color w:val="00000A"/>
          <w:sz w:val="20"/>
          <w:szCs w:val="20"/>
        </w:rPr>
      </w:pPr>
      <w:r w:rsidRPr="00465071">
        <w:rPr>
          <w:rFonts w:ascii="Cambria" w:eastAsia="Cambria" w:hAnsi="Cambria" w:cs="Cambria"/>
          <w:i/>
          <w:iCs/>
          <w:color w:val="00000A"/>
          <w:sz w:val="20"/>
          <w:szCs w:val="20"/>
        </w:rPr>
        <w:t>Indicators and Operating Models</w:t>
      </w:r>
    </w:p>
    <w:p w14:paraId="249652C9" w14:textId="77777777" w:rsidR="009D0FA0" w:rsidRPr="00465071" w:rsidRDefault="009D0FA0" w:rsidP="009D0FA0">
      <w:pPr>
        <w:tabs>
          <w:tab w:val="left" w:pos="851"/>
        </w:tabs>
        <w:jc w:val="both"/>
        <w:rPr>
          <w:rFonts w:ascii="Cambria" w:eastAsia="Cambria" w:hAnsi="Cambria" w:cs="Cambria"/>
          <w:color w:val="00000A"/>
          <w:sz w:val="20"/>
          <w:szCs w:val="20"/>
        </w:rPr>
      </w:pPr>
    </w:p>
    <w:p w14:paraId="35F2BDC4" w14:textId="77777777" w:rsidR="009D0FA0" w:rsidRPr="00465071" w:rsidRDefault="009D0FA0" w:rsidP="009D0FA0">
      <w:pPr>
        <w:tabs>
          <w:tab w:val="left" w:pos="851"/>
        </w:tabs>
        <w:jc w:val="both"/>
        <w:rPr>
          <w:rFonts w:ascii="Cambria" w:eastAsia="Cambria" w:hAnsi="Cambria" w:cs="Cambria"/>
          <w:color w:val="00000A"/>
          <w:sz w:val="20"/>
          <w:szCs w:val="20"/>
        </w:rPr>
      </w:pPr>
      <w:r w:rsidRPr="00465071">
        <w:rPr>
          <w:rFonts w:ascii="Cambria" w:eastAsia="Cambria" w:hAnsi="Cambria" w:cs="Cambria"/>
          <w:color w:val="00000A"/>
          <w:sz w:val="20"/>
          <w:szCs w:val="20"/>
        </w:rPr>
        <w:t>This three-year project aims to generate ecosystem-based operating models for testing ecosystem indicators and management policies. The goal is to determine when given indicators accurately reflect stock status or ecosystem dynamics.</w:t>
      </w:r>
    </w:p>
    <w:p w14:paraId="3C66CC63" w14:textId="77777777" w:rsidR="009D0FA0" w:rsidRPr="00465071" w:rsidRDefault="009D0FA0" w:rsidP="009D0FA0">
      <w:pPr>
        <w:tabs>
          <w:tab w:val="left" w:pos="851"/>
        </w:tabs>
        <w:jc w:val="both"/>
        <w:rPr>
          <w:rFonts w:ascii="Cambria" w:eastAsia="Cambria" w:hAnsi="Cambria" w:cs="Cambria"/>
          <w:color w:val="00000A"/>
          <w:sz w:val="20"/>
          <w:szCs w:val="20"/>
        </w:rPr>
      </w:pPr>
      <w:r w:rsidRPr="00465071">
        <w:rPr>
          <w:rFonts w:ascii="Cambria" w:eastAsia="Cambria" w:hAnsi="Cambria" w:cs="Cambria"/>
          <w:color w:val="00000A"/>
          <w:sz w:val="20"/>
          <w:szCs w:val="20"/>
        </w:rPr>
        <w:t xml:space="preserve"> </w:t>
      </w:r>
    </w:p>
    <w:p w14:paraId="4EBBD70B" w14:textId="77777777" w:rsidR="009D0FA0" w:rsidRPr="00465071" w:rsidRDefault="009D0FA0" w:rsidP="009D0FA0">
      <w:pPr>
        <w:tabs>
          <w:tab w:val="left" w:pos="851"/>
        </w:tabs>
        <w:jc w:val="both"/>
        <w:rPr>
          <w:rFonts w:ascii="Cambria" w:hAnsi="Cambria"/>
          <w:sz w:val="20"/>
          <w:szCs w:val="20"/>
        </w:rPr>
      </w:pPr>
      <w:r w:rsidRPr="00465071">
        <w:rPr>
          <w:rFonts w:ascii="Cambria" w:hAnsi="Cambria"/>
          <w:sz w:val="20"/>
          <w:szCs w:val="20"/>
        </w:rPr>
        <w:t xml:space="preserve">During the 2025 and 2026, work advanced the </w:t>
      </w:r>
      <w:proofErr w:type="spellStart"/>
      <w:r w:rsidRPr="00465071">
        <w:rPr>
          <w:rFonts w:ascii="Cambria" w:hAnsi="Cambria"/>
          <w:sz w:val="20"/>
          <w:szCs w:val="20"/>
        </w:rPr>
        <w:t>EcoTest</w:t>
      </w:r>
      <w:proofErr w:type="spellEnd"/>
      <w:r w:rsidRPr="00465071">
        <w:rPr>
          <w:rFonts w:ascii="Cambria" w:hAnsi="Cambria"/>
          <w:sz w:val="20"/>
          <w:szCs w:val="20"/>
        </w:rPr>
        <w:t xml:space="preserve"> framework from an initial proof of concept towards a more general, operational approach for developing and testing stock-status indicators for secondary species. Building on the 2025 work, which generalised the method beyond the original North Atlantic longline case study through Indicator 2 for sharks, billfishes, tunas, bonitos and mackerels and confirmed that catch data alone was insufficient to infer stock status while combinations of catch, life-history, length, age and abundance information provided useful predictive capacity, a September 2025 </w:t>
      </w:r>
      <w:proofErr w:type="spellStart"/>
      <w:r w:rsidRPr="00465071">
        <w:rPr>
          <w:rFonts w:ascii="Cambria" w:hAnsi="Cambria"/>
          <w:sz w:val="20"/>
          <w:szCs w:val="20"/>
        </w:rPr>
        <w:t>EcoTest</w:t>
      </w:r>
      <w:proofErr w:type="spellEnd"/>
      <w:r w:rsidRPr="00465071">
        <w:rPr>
          <w:rFonts w:ascii="Cambria" w:hAnsi="Cambria"/>
          <w:sz w:val="20"/>
          <w:szCs w:val="20"/>
        </w:rPr>
        <w:t xml:space="preserve"> Working Group workshop reviewed the framework and code base and submitted its report to FAO in October 2025. The most recent work introduced Indicator 3, which trains custom neural networks on a </w:t>
      </w:r>
      <w:proofErr w:type="spellStart"/>
      <w:r w:rsidRPr="00465071">
        <w:rPr>
          <w:rFonts w:ascii="Cambria" w:hAnsi="Cambria"/>
          <w:sz w:val="20"/>
          <w:szCs w:val="20"/>
        </w:rPr>
        <w:t>subsettable</w:t>
      </w:r>
      <w:proofErr w:type="spellEnd"/>
      <w:r w:rsidRPr="00465071">
        <w:rPr>
          <w:rFonts w:ascii="Cambria" w:hAnsi="Cambria"/>
          <w:sz w:val="20"/>
          <w:szCs w:val="20"/>
        </w:rPr>
        <w:t xml:space="preserve"> master simulation dataset and was applied to three small tuna species not routinely assessed, yielding tentative stochastic estimates of stock status; a third workshop was scheduled and announced for September 2026.</w:t>
      </w:r>
    </w:p>
    <w:p w14:paraId="17359C1D" w14:textId="77777777" w:rsidR="009D0FA0" w:rsidRDefault="009D0FA0" w:rsidP="009D0FA0">
      <w:pPr>
        <w:tabs>
          <w:tab w:val="left" w:pos="851"/>
        </w:tabs>
        <w:jc w:val="both"/>
        <w:rPr>
          <w:rFonts w:ascii="Cambria" w:eastAsia="Cambria" w:hAnsi="Cambria" w:cs="Cambria"/>
          <w:i/>
          <w:iCs/>
          <w:color w:val="00000A"/>
          <w:sz w:val="20"/>
          <w:szCs w:val="20"/>
        </w:rPr>
      </w:pPr>
    </w:p>
    <w:p w14:paraId="7EB2B336" w14:textId="77777777" w:rsidR="009D0FA0" w:rsidRPr="00465071" w:rsidRDefault="009D0FA0" w:rsidP="009D0FA0">
      <w:pPr>
        <w:tabs>
          <w:tab w:val="left" w:pos="851"/>
        </w:tabs>
        <w:jc w:val="both"/>
        <w:rPr>
          <w:rFonts w:ascii="Cambria" w:eastAsia="Cambria" w:hAnsi="Cambria" w:cs="Cambria"/>
          <w:i/>
          <w:iCs/>
          <w:color w:val="00000A"/>
          <w:sz w:val="20"/>
          <w:szCs w:val="20"/>
        </w:rPr>
      </w:pPr>
      <w:r w:rsidRPr="00465071">
        <w:rPr>
          <w:rFonts w:ascii="Cambria" w:eastAsia="Cambria" w:hAnsi="Cambria" w:cs="Cambria"/>
          <w:i/>
          <w:iCs/>
          <w:color w:val="00000A"/>
          <w:sz w:val="20"/>
          <w:szCs w:val="20"/>
        </w:rPr>
        <w:t>Harmonization of technical work between RFMOs</w:t>
      </w:r>
    </w:p>
    <w:p w14:paraId="2892250A" w14:textId="77777777" w:rsidR="009D0FA0" w:rsidRPr="00465071" w:rsidRDefault="009D0FA0" w:rsidP="009D0FA0">
      <w:pPr>
        <w:tabs>
          <w:tab w:val="left" w:pos="851"/>
        </w:tabs>
        <w:jc w:val="both"/>
        <w:rPr>
          <w:rFonts w:ascii="Cambria" w:hAnsi="Cambria"/>
          <w:sz w:val="20"/>
          <w:szCs w:val="20"/>
        </w:rPr>
      </w:pPr>
    </w:p>
    <w:p w14:paraId="09A3C561" w14:textId="77777777" w:rsidR="009D0FA0" w:rsidRPr="00465071" w:rsidRDefault="009D0FA0" w:rsidP="009D0FA0">
      <w:pPr>
        <w:tabs>
          <w:tab w:val="left" w:pos="851"/>
        </w:tabs>
        <w:jc w:val="both"/>
        <w:rPr>
          <w:rFonts w:ascii="Cambria" w:eastAsia="Cambria" w:hAnsi="Cambria" w:cs="Cambria"/>
          <w:color w:val="00000A"/>
          <w:sz w:val="20"/>
          <w:szCs w:val="20"/>
        </w:rPr>
      </w:pPr>
      <w:r w:rsidRPr="00465071">
        <w:rPr>
          <w:rFonts w:ascii="Cambria" w:eastAsia="Cambria" w:hAnsi="Cambria" w:cs="Cambria"/>
          <w:color w:val="00000A"/>
          <w:sz w:val="20"/>
          <w:szCs w:val="20"/>
        </w:rPr>
        <w:t>This three-year project provides technical support for harmonization of work between t-RFMOs. The aim is to coordinate on common challenges and to communicate key messages on progress in fisheries management, particularly in the context of ongoing BBNJ discussions and the UN Fish Stocks Agreement review process.</w:t>
      </w:r>
    </w:p>
    <w:p w14:paraId="6AD7DE6C" w14:textId="77777777" w:rsidR="009D0FA0" w:rsidRPr="00465071" w:rsidRDefault="009D0FA0" w:rsidP="009D0FA0">
      <w:pPr>
        <w:tabs>
          <w:tab w:val="left" w:pos="851"/>
        </w:tabs>
        <w:jc w:val="both"/>
        <w:rPr>
          <w:rFonts w:ascii="Cambria" w:eastAsia="Cambria" w:hAnsi="Cambria" w:cs="Cambria"/>
          <w:color w:val="00000A"/>
          <w:sz w:val="20"/>
          <w:szCs w:val="20"/>
        </w:rPr>
      </w:pPr>
    </w:p>
    <w:p w14:paraId="767CBA4F" w14:textId="77777777" w:rsidR="009D0FA0" w:rsidRPr="00465071" w:rsidRDefault="009D0FA0" w:rsidP="009D0FA0">
      <w:pPr>
        <w:tabs>
          <w:tab w:val="left" w:pos="851"/>
        </w:tabs>
        <w:jc w:val="both"/>
        <w:rPr>
          <w:rFonts w:ascii="Cambria" w:eastAsia="Cambria" w:hAnsi="Cambria" w:cs="Cambria"/>
          <w:color w:val="00000A"/>
          <w:sz w:val="20"/>
          <w:szCs w:val="20"/>
        </w:rPr>
      </w:pPr>
      <w:r w:rsidRPr="00465071">
        <w:rPr>
          <w:rFonts w:ascii="Cambria" w:eastAsia="Cambria" w:hAnsi="Cambria" w:cs="Cambria"/>
          <w:color w:val="00000A"/>
          <w:sz w:val="20"/>
          <w:szCs w:val="20"/>
        </w:rPr>
        <w:t>The Common Oceans Tuna Project Workshop on Management Strategy Evaluation was held at FAO Headquarters in Rome from 20 to 22 January 2026, convened by ICCAT under the GEF-funded FAO Common Oceans Tuna Project, bringing together participants from tuna RFMOs, scientific institutions, industry, FAO and partner organisations to strengthen collaboration on the development and implementation of MSE</w:t>
      </w:r>
      <w:r w:rsidRPr="00465071">
        <w:rPr>
          <w:rFonts w:ascii="Cambria" w:eastAsia="Cambria" w:hAnsi="Cambria" w:cs="Cambria"/>
          <w:color w:val="00000A"/>
          <w:sz w:val="20"/>
          <w:szCs w:val="20"/>
        </w:rPr>
        <w:noBreakHyphen/>
        <w:t xml:space="preserve">tested management procedures. The workshop reviewed progress across tuna RFMOs and compared institutional </w:t>
      </w:r>
      <w:r w:rsidRPr="00465071">
        <w:rPr>
          <w:rFonts w:ascii="Cambria" w:eastAsia="Cambria" w:hAnsi="Cambria" w:cs="Cambria"/>
          <w:color w:val="00000A"/>
          <w:sz w:val="20"/>
          <w:szCs w:val="20"/>
        </w:rPr>
        <w:lastRenderedPageBreak/>
        <w:t>pathways, addressing common challenges including technical capacity, science-management dialogue, stakeholder engagement, communication of risk and uncertainty, exceptional circumstances protocols, and the treatment of mixed fisheries, climate change and non-stationarity. Its principal product was a collaboratively developed set of practical recommendations for RFMO MSE design, implementation and communication; the draft workshop report was completed and is expected to be published by FAO in mid-to-late 2026.</w:t>
      </w:r>
    </w:p>
    <w:p w14:paraId="2A046A40" w14:textId="77777777" w:rsidR="009D0FA0" w:rsidRPr="00465071" w:rsidRDefault="009D0FA0" w:rsidP="009D0FA0"/>
    <w:p w14:paraId="05337D19" w14:textId="77777777" w:rsidR="009D0FA0" w:rsidRDefault="009D0FA0" w:rsidP="009D0FA0">
      <w:pPr>
        <w:tabs>
          <w:tab w:val="left" w:pos="851"/>
        </w:tabs>
        <w:spacing w:after="120"/>
        <w:contextualSpacing/>
        <w:jc w:val="both"/>
        <w:rPr>
          <w:rFonts w:ascii="Cambria" w:eastAsia="Calibri" w:hAnsi="Cambria"/>
          <w:b/>
          <w:i/>
          <w:color w:val="00000A"/>
          <w:sz w:val="20"/>
        </w:rPr>
      </w:pPr>
    </w:p>
    <w:p w14:paraId="066CF557" w14:textId="2CB3B500" w:rsidR="009D0FA0" w:rsidRPr="00465071" w:rsidRDefault="009D0FA0" w:rsidP="009D0FA0">
      <w:pPr>
        <w:tabs>
          <w:tab w:val="left" w:pos="851"/>
        </w:tabs>
        <w:spacing w:after="120"/>
        <w:contextualSpacing/>
        <w:jc w:val="both"/>
        <w:rPr>
          <w:rFonts w:ascii="Cambria" w:eastAsia="Calibri" w:hAnsi="Cambria"/>
          <w:b/>
          <w:color w:val="EE0000"/>
          <w:sz w:val="20"/>
        </w:rPr>
      </w:pPr>
      <w:r w:rsidRPr="00465071">
        <w:rPr>
          <w:rFonts w:ascii="Cambria" w:eastAsia="Calibri" w:hAnsi="Cambria"/>
          <w:b/>
          <w:i/>
          <w:color w:val="00000A"/>
          <w:sz w:val="20"/>
        </w:rPr>
        <w:t>International Council for the Exploration of the Sea (ICES)</w:t>
      </w:r>
    </w:p>
    <w:p w14:paraId="1D0CC726" w14:textId="77777777" w:rsidR="009D0FA0" w:rsidRPr="00465071" w:rsidRDefault="009D0FA0" w:rsidP="009D0FA0">
      <w:pPr>
        <w:tabs>
          <w:tab w:val="left" w:pos="851"/>
        </w:tabs>
        <w:spacing w:after="120"/>
        <w:contextualSpacing/>
        <w:jc w:val="both"/>
        <w:rPr>
          <w:rFonts w:ascii="Cambria" w:eastAsia="Calibri" w:hAnsi="Cambria"/>
          <w:color w:val="00000A"/>
          <w:sz w:val="20"/>
        </w:rPr>
      </w:pPr>
    </w:p>
    <w:p w14:paraId="0E40CDA8" w14:textId="77777777" w:rsidR="009D0FA0" w:rsidRPr="00465071" w:rsidRDefault="009D0FA0" w:rsidP="009D0FA0">
      <w:pPr>
        <w:tabs>
          <w:tab w:val="left" w:pos="851"/>
        </w:tabs>
        <w:spacing w:after="120"/>
        <w:contextualSpacing/>
        <w:jc w:val="both"/>
        <w:rPr>
          <w:rFonts w:ascii="Cambria" w:eastAsia="Calibri" w:hAnsi="Cambria"/>
          <w:color w:val="00000A"/>
          <w:sz w:val="20"/>
          <w:szCs w:val="20"/>
        </w:rPr>
      </w:pPr>
      <w:r w:rsidRPr="00465071">
        <w:rPr>
          <w:rFonts w:ascii="Cambria" w:eastAsia="Calibri" w:hAnsi="Cambria"/>
          <w:color w:val="00000A"/>
          <w:sz w:val="20"/>
          <w:szCs w:val="20"/>
        </w:rPr>
        <w:t>In 2026, the ICCAT and ICES Secretariats were in contact as part of the coordination arrangements set out in the MoU they had signed. ICES will continue its ongoing porbeagle advisory process while keeping ICCAT informed, recognizing ICCAT’s management authority for the fishery and exploring options for closer coordination of future scientific advice, potentially including a joint benchmark assessment. Discussions are also underway regarding a possible joint ICCAT-ICES benchmark for northeast Atlantic porbeagle around 2029. More broadly, the two organizations are considering ways to give greater practical effect to their MoU through regular exchanges on scientific activities of mutual interest and joint work on cross-cutting issues such as ecosystem-based fisheries management and climate change.</w:t>
      </w:r>
    </w:p>
    <w:p w14:paraId="671E5921" w14:textId="77777777" w:rsidR="009D0FA0" w:rsidRPr="00465071" w:rsidRDefault="009D0FA0" w:rsidP="009D0FA0">
      <w:pPr>
        <w:tabs>
          <w:tab w:val="left" w:pos="851"/>
        </w:tabs>
        <w:spacing w:after="120"/>
        <w:contextualSpacing/>
        <w:jc w:val="both"/>
        <w:rPr>
          <w:rFonts w:ascii="Cambria" w:eastAsia="Calibri" w:hAnsi="Cambria"/>
          <w:color w:val="00000A"/>
          <w:sz w:val="20"/>
        </w:rPr>
      </w:pPr>
    </w:p>
    <w:p w14:paraId="0230D9ED" w14:textId="77777777" w:rsidR="009D0FA0" w:rsidRDefault="009D0FA0" w:rsidP="009D0FA0">
      <w:pPr>
        <w:tabs>
          <w:tab w:val="left" w:pos="851"/>
        </w:tabs>
        <w:spacing w:after="120"/>
        <w:contextualSpacing/>
        <w:jc w:val="both"/>
        <w:rPr>
          <w:rFonts w:ascii="Cambria" w:eastAsia="Calibri" w:hAnsi="Cambria"/>
          <w:b/>
          <w:i/>
          <w:color w:val="00000A"/>
          <w:sz w:val="20"/>
        </w:rPr>
      </w:pPr>
    </w:p>
    <w:p w14:paraId="124E428C" w14:textId="22647031" w:rsidR="009D0FA0" w:rsidRPr="00465071" w:rsidRDefault="009D0FA0" w:rsidP="009D0FA0">
      <w:pPr>
        <w:tabs>
          <w:tab w:val="left" w:pos="851"/>
        </w:tabs>
        <w:spacing w:after="120"/>
        <w:contextualSpacing/>
        <w:jc w:val="both"/>
        <w:rPr>
          <w:rFonts w:ascii="Cambria" w:eastAsia="Calibri" w:hAnsi="Cambria"/>
          <w:color w:val="00000A"/>
          <w:sz w:val="20"/>
        </w:rPr>
      </w:pPr>
      <w:r w:rsidRPr="00465071">
        <w:rPr>
          <w:rFonts w:ascii="Cambria" w:eastAsia="Calibri" w:hAnsi="Cambria"/>
          <w:b/>
          <w:i/>
          <w:color w:val="00000A"/>
          <w:sz w:val="20"/>
        </w:rPr>
        <w:t>Mediterranean Advisory Council (MEDAC)</w:t>
      </w:r>
    </w:p>
    <w:p w14:paraId="5F5BBC7D" w14:textId="77777777" w:rsidR="009D0FA0" w:rsidRPr="00465071" w:rsidRDefault="009D0FA0" w:rsidP="009D0FA0">
      <w:pPr>
        <w:tabs>
          <w:tab w:val="left" w:pos="851"/>
        </w:tabs>
        <w:spacing w:after="120"/>
        <w:contextualSpacing/>
        <w:jc w:val="both"/>
        <w:rPr>
          <w:rFonts w:ascii="Cambria" w:eastAsia="Calibri" w:hAnsi="Cambria"/>
          <w:b/>
          <w:color w:val="00000A"/>
          <w:sz w:val="20"/>
        </w:rPr>
      </w:pPr>
    </w:p>
    <w:p w14:paraId="5D5AFA20" w14:textId="77777777" w:rsidR="009D0FA0" w:rsidRPr="00465071" w:rsidRDefault="009D0FA0" w:rsidP="009D0FA0">
      <w:pPr>
        <w:tabs>
          <w:tab w:val="left" w:pos="851"/>
        </w:tabs>
        <w:spacing w:after="120"/>
        <w:contextualSpacing/>
        <w:jc w:val="both"/>
        <w:rPr>
          <w:rFonts w:ascii="Cambria" w:eastAsia="Calibri" w:hAnsi="Cambria"/>
          <w:color w:val="00000A"/>
          <w:sz w:val="20"/>
        </w:rPr>
      </w:pPr>
      <w:r w:rsidRPr="00465071">
        <w:rPr>
          <w:rFonts w:ascii="Cambria" w:eastAsia="Calibri" w:hAnsi="Cambria"/>
          <w:color w:val="00000A"/>
          <w:sz w:val="20"/>
        </w:rPr>
        <w:t>The role of the Mediterranean Advisory Council (MEDAC) includes preparation of opinions on fisheries management and socio-economic aspects in support of the fisheries sector in the Mediterranean, to be submitted to the European Member States and institutions aiming to facilitate the achievement of the objectives of the European Union Common Fisheries Policy (CFP).</w:t>
      </w:r>
    </w:p>
    <w:p w14:paraId="063A7AFD" w14:textId="77777777" w:rsidR="009D0FA0" w:rsidRPr="00465071" w:rsidRDefault="009D0FA0" w:rsidP="009D0FA0">
      <w:pPr>
        <w:tabs>
          <w:tab w:val="left" w:pos="851"/>
        </w:tabs>
        <w:spacing w:after="120"/>
        <w:contextualSpacing/>
        <w:jc w:val="both"/>
        <w:rPr>
          <w:rFonts w:ascii="Cambria" w:eastAsia="Calibri" w:hAnsi="Cambria"/>
          <w:color w:val="00000A"/>
          <w:sz w:val="20"/>
        </w:rPr>
      </w:pPr>
    </w:p>
    <w:p w14:paraId="0C8CFBD4" w14:textId="77777777" w:rsidR="009D0FA0" w:rsidRPr="00465071" w:rsidRDefault="009D0FA0" w:rsidP="009D0FA0">
      <w:pPr>
        <w:tabs>
          <w:tab w:val="left" w:pos="851"/>
        </w:tabs>
        <w:spacing w:after="120"/>
        <w:contextualSpacing/>
        <w:jc w:val="both"/>
        <w:rPr>
          <w:rFonts w:ascii="Cambria" w:eastAsia="Calibri" w:hAnsi="Cambria"/>
          <w:color w:val="00000A"/>
          <w:sz w:val="20"/>
        </w:rPr>
      </w:pPr>
      <w:r w:rsidRPr="00465071">
        <w:rPr>
          <w:rFonts w:ascii="Cambria" w:eastAsia="Calibri" w:hAnsi="Cambria"/>
          <w:color w:val="00000A"/>
          <w:sz w:val="20"/>
        </w:rPr>
        <w:t xml:space="preserve">In 2025 the MEDAC changed its schedule of the WG2 Big Pelagic Fishes that normally deal with ICCAT species in the Mediterranean. Due to this change the Secretariat did not participate in the 2025 meeting. The report of the MEDAC advice related to ICCAT species is available </w:t>
      </w:r>
      <w:hyperlink r:id="rId16" w:history="1">
        <w:r w:rsidRPr="00465071">
          <w:rPr>
            <w:rStyle w:val="Hyperlink"/>
            <w:rFonts w:ascii="Cambria" w:eastAsia="Calibri" w:hAnsi="Cambria"/>
            <w:sz w:val="20"/>
            <w:u w:val="none"/>
          </w:rPr>
          <w:t>here</w:t>
        </w:r>
      </w:hyperlink>
      <w:r w:rsidRPr="00465071">
        <w:rPr>
          <w:rFonts w:ascii="Cambria" w:eastAsia="Calibri" w:hAnsi="Cambria"/>
          <w:color w:val="00000A"/>
          <w:sz w:val="20"/>
        </w:rPr>
        <w:t xml:space="preserve">. </w:t>
      </w:r>
      <w:hyperlink r:id="rId17" w:history="1"/>
    </w:p>
    <w:p w14:paraId="17A5A52C" w14:textId="77777777" w:rsidR="009D0FA0" w:rsidRPr="00465071" w:rsidRDefault="009D0FA0" w:rsidP="009D0FA0">
      <w:pPr>
        <w:tabs>
          <w:tab w:val="left" w:pos="851"/>
        </w:tabs>
        <w:spacing w:after="120"/>
        <w:contextualSpacing/>
        <w:jc w:val="both"/>
        <w:rPr>
          <w:rFonts w:ascii="Cambria" w:eastAsia="Calibri" w:hAnsi="Cambria"/>
          <w:color w:val="00000A"/>
          <w:sz w:val="20"/>
        </w:rPr>
      </w:pPr>
    </w:p>
    <w:p w14:paraId="734D2F99" w14:textId="77777777" w:rsidR="009D0FA0" w:rsidRDefault="009D0FA0" w:rsidP="009D0FA0">
      <w:pPr>
        <w:tabs>
          <w:tab w:val="left" w:pos="851"/>
        </w:tabs>
        <w:spacing w:after="120"/>
        <w:contextualSpacing/>
        <w:jc w:val="both"/>
        <w:rPr>
          <w:rFonts w:ascii="Cambria" w:eastAsia="Calibri" w:hAnsi="Cambria"/>
          <w:b/>
          <w:bCs/>
          <w:i/>
          <w:iCs/>
          <w:color w:val="00000A"/>
          <w:sz w:val="20"/>
          <w:szCs w:val="20"/>
        </w:rPr>
      </w:pPr>
    </w:p>
    <w:p w14:paraId="48BE4274" w14:textId="69155AE7" w:rsidR="009D0FA0" w:rsidRPr="00465071" w:rsidRDefault="009D0FA0" w:rsidP="009D0FA0">
      <w:pPr>
        <w:tabs>
          <w:tab w:val="left" w:pos="851"/>
        </w:tabs>
        <w:spacing w:after="120"/>
        <w:contextualSpacing/>
        <w:jc w:val="both"/>
        <w:rPr>
          <w:rFonts w:ascii="Cambria" w:eastAsia="Calibri" w:hAnsi="Cambria"/>
          <w:i/>
          <w:iCs/>
          <w:color w:val="00000A"/>
          <w:sz w:val="20"/>
          <w:szCs w:val="20"/>
        </w:rPr>
      </w:pPr>
      <w:r w:rsidRPr="00465071">
        <w:rPr>
          <w:rFonts w:ascii="Cambria" w:eastAsia="Calibri" w:hAnsi="Cambria"/>
          <w:b/>
          <w:bCs/>
          <w:i/>
          <w:iCs/>
          <w:color w:val="00000A"/>
          <w:sz w:val="20"/>
          <w:szCs w:val="20"/>
        </w:rPr>
        <w:t>Biodiversity Beyond National Jurisdiction (</w:t>
      </w:r>
      <w:r w:rsidRPr="00465071">
        <w:rPr>
          <w:rFonts w:ascii="Cambria" w:hAnsi="Cambria"/>
          <w:b/>
          <w:bCs/>
          <w:i/>
          <w:iCs/>
          <w:color w:val="00000A"/>
          <w:sz w:val="20"/>
          <w:szCs w:val="20"/>
        </w:rPr>
        <w:t>BBNJ)</w:t>
      </w:r>
    </w:p>
    <w:p w14:paraId="46084231" w14:textId="77777777" w:rsidR="009D0FA0" w:rsidRPr="00465071" w:rsidRDefault="009D0FA0" w:rsidP="009D0FA0">
      <w:pPr>
        <w:jc w:val="both"/>
        <w:rPr>
          <w:rFonts w:ascii="Cambria" w:hAnsi="Cambria"/>
          <w:color w:val="00000A"/>
          <w:sz w:val="20"/>
          <w:szCs w:val="20"/>
        </w:rPr>
      </w:pPr>
    </w:p>
    <w:p w14:paraId="45E03AC6" w14:textId="77777777" w:rsidR="009D0FA0" w:rsidRPr="00465071" w:rsidRDefault="009D0FA0" w:rsidP="009D0FA0">
      <w:pPr>
        <w:jc w:val="both"/>
      </w:pPr>
      <w:r w:rsidRPr="00465071">
        <w:rPr>
          <w:rFonts w:ascii="Cambria" w:hAnsi="Cambria"/>
          <w:color w:val="00000A"/>
          <w:sz w:val="20"/>
          <w:szCs w:val="20"/>
        </w:rPr>
        <w:t xml:space="preserve">The Executive Secretary attended the </w:t>
      </w:r>
      <w:hyperlink r:id="rId18" w:history="1">
        <w:r w:rsidRPr="00465071">
          <w:rPr>
            <w:rStyle w:val="Hyperlink"/>
            <w:rFonts w:ascii="Cambria" w:hAnsi="Cambria"/>
            <w:sz w:val="20"/>
            <w:szCs w:val="20"/>
            <w:u w:val="none"/>
          </w:rPr>
          <w:t>BBNJ Agreement Preparatory Commission – Third session</w:t>
        </w:r>
      </w:hyperlink>
      <w:r w:rsidRPr="00465071">
        <w:rPr>
          <w:rFonts w:ascii="Cambria" w:hAnsi="Cambria"/>
          <w:color w:val="00000A"/>
          <w:sz w:val="20"/>
          <w:szCs w:val="20"/>
        </w:rPr>
        <w:t xml:space="preserve"> (in</w:t>
      </w:r>
      <w:r w:rsidRPr="00465071">
        <w:rPr>
          <w:rFonts w:ascii="Cambria" w:hAnsi="Cambria"/>
          <w:color w:val="00000A"/>
          <w:sz w:val="20"/>
          <w:szCs w:val="20"/>
        </w:rPr>
        <w:noBreakHyphen/>
        <w:t xml:space="preserve">person/UNHQ, New York (USA), 30 March to 2 April 2026). The Preparatory Commission continued to discuss the matters to be addressed by the first Conference of the Parties, reviewing the texts governing the functioning of the various bodies of the BBNJ. The following items were addressed by the Preparatory Commission: rules of procedure for the Conference of the Parties, terms of reference and modalities for the operation of, and rules of procedure for, the subsidiary bodies, including the selection process for their members, </w:t>
      </w:r>
      <w:r w:rsidRPr="00465071">
        <w:rPr>
          <w:rFonts w:ascii="Cambria" w:hAnsi="Cambria"/>
          <w:color w:val="00000A"/>
          <w:sz w:val="20"/>
          <w:szCs w:val="20"/>
          <w:lang w:val="en-US"/>
        </w:rPr>
        <w:t xml:space="preserve">arrangements for the functioning of the Secretariat, </w:t>
      </w:r>
      <w:r w:rsidRPr="00465071">
        <w:rPr>
          <w:rFonts w:ascii="Cambria" w:hAnsi="Cambria"/>
          <w:color w:val="00000A"/>
          <w:sz w:val="20"/>
          <w:szCs w:val="20"/>
        </w:rPr>
        <w:t>financial rules, arrangements with the Global Environment Facility, arrangements to enhance cooperation with relevant legal instruments and frameworks and relevant global, regional, subregional and sectoral bodies (IFBs), and voluntary trust fund.</w:t>
      </w:r>
      <w:r w:rsidRPr="00465071">
        <w:t xml:space="preserve"> </w:t>
      </w:r>
    </w:p>
    <w:p w14:paraId="463BAA20" w14:textId="77777777" w:rsidR="009D0FA0" w:rsidRPr="00465071" w:rsidRDefault="009D0FA0" w:rsidP="009D0FA0">
      <w:pPr>
        <w:jc w:val="both"/>
        <w:rPr>
          <w:rFonts w:ascii="Cambria" w:hAnsi="Cambria"/>
          <w:color w:val="00000A"/>
          <w:sz w:val="20"/>
          <w:szCs w:val="20"/>
        </w:rPr>
      </w:pPr>
      <w:r w:rsidRPr="00465071">
        <w:rPr>
          <w:rFonts w:ascii="Cambria" w:hAnsi="Cambria"/>
          <w:color w:val="00000A"/>
          <w:sz w:val="20"/>
          <w:szCs w:val="20"/>
        </w:rPr>
        <w:t xml:space="preserve"> </w:t>
      </w:r>
    </w:p>
    <w:p w14:paraId="79FA728D" w14:textId="77777777" w:rsidR="009D0FA0" w:rsidRPr="00465071" w:rsidRDefault="009D0FA0" w:rsidP="009D0FA0">
      <w:pPr>
        <w:jc w:val="both"/>
        <w:rPr>
          <w:rFonts w:ascii="Cambria" w:hAnsi="Cambria"/>
          <w:color w:val="00000A"/>
          <w:sz w:val="20"/>
          <w:szCs w:val="20"/>
        </w:rPr>
      </w:pPr>
      <w:r w:rsidRPr="00465071">
        <w:rPr>
          <w:rFonts w:ascii="Cambria" w:hAnsi="Cambria"/>
          <w:color w:val="00000A"/>
          <w:sz w:val="20"/>
          <w:szCs w:val="20"/>
        </w:rPr>
        <w:t xml:space="preserve">The tuna RFMOs made a </w:t>
      </w:r>
      <w:hyperlink r:id="rId19" w:history="1">
        <w:r w:rsidRPr="00465071">
          <w:rPr>
            <w:rFonts w:ascii="Cambria" w:hAnsi="Cambria"/>
            <w:color w:val="00000A"/>
            <w:sz w:val="20"/>
            <w:szCs w:val="20"/>
          </w:rPr>
          <w:t>Joint Statement</w:t>
        </w:r>
      </w:hyperlink>
      <w:r w:rsidRPr="00465071">
        <w:rPr>
          <w:rFonts w:ascii="Cambria" w:hAnsi="Cambria"/>
          <w:color w:val="00000A"/>
          <w:sz w:val="20"/>
          <w:szCs w:val="20"/>
        </w:rPr>
        <w:t xml:space="preserve"> during the meeting. As in the previous meetings, they recalled their experience in the conservation and management of fisheries stocks, which contributes to biodiversity conservation.</w:t>
      </w:r>
    </w:p>
    <w:p w14:paraId="18097EC4" w14:textId="77777777" w:rsidR="009D0FA0" w:rsidRPr="00465071" w:rsidRDefault="009D0FA0" w:rsidP="009D0FA0">
      <w:pPr>
        <w:jc w:val="both"/>
        <w:rPr>
          <w:rFonts w:ascii="Cambria" w:hAnsi="Cambria"/>
          <w:color w:val="00000A"/>
          <w:sz w:val="20"/>
          <w:szCs w:val="20"/>
        </w:rPr>
      </w:pPr>
    </w:p>
    <w:p w14:paraId="3F50DC47" w14:textId="77777777" w:rsidR="009D0FA0" w:rsidRPr="00465071" w:rsidRDefault="009D0FA0" w:rsidP="009D0FA0">
      <w:pPr>
        <w:jc w:val="both"/>
        <w:rPr>
          <w:rFonts w:ascii="Cambria" w:hAnsi="Cambria"/>
          <w:sz w:val="20"/>
          <w:szCs w:val="20"/>
        </w:rPr>
      </w:pPr>
      <w:r w:rsidRPr="00465071">
        <w:rPr>
          <w:rFonts w:ascii="Cambria" w:hAnsi="Cambria"/>
          <w:color w:val="00000A"/>
          <w:sz w:val="20"/>
          <w:szCs w:val="20"/>
        </w:rPr>
        <w:t xml:space="preserve">The first meeting of the Conference of the Parties to the BBNJ Agreement will be convened from 11 to 22 January 2027 at United Nations Headquarters. </w:t>
      </w:r>
      <w:r w:rsidRPr="00465071">
        <w:rPr>
          <w:rFonts w:ascii="Cambria" w:hAnsi="Cambria"/>
          <w:sz w:val="20"/>
          <w:szCs w:val="20"/>
        </w:rPr>
        <w:t xml:space="preserve">Link to the </w:t>
      </w:r>
      <w:hyperlink r:id="rId20" w:history="1">
        <w:r w:rsidRPr="00465071">
          <w:rPr>
            <w:rStyle w:val="Hyperlink"/>
            <w:rFonts w:ascii="Cambria" w:hAnsi="Cambria"/>
            <w:sz w:val="20"/>
            <w:szCs w:val="20"/>
            <w:u w:val="none"/>
          </w:rPr>
          <w:t>BBNJ website</w:t>
        </w:r>
      </w:hyperlink>
      <w:r w:rsidRPr="00465071">
        <w:rPr>
          <w:rFonts w:ascii="Cambria" w:hAnsi="Cambria"/>
          <w:sz w:val="20"/>
          <w:szCs w:val="20"/>
        </w:rPr>
        <w:t>.</w:t>
      </w:r>
    </w:p>
    <w:p w14:paraId="1C1F56AD" w14:textId="77777777" w:rsidR="009D0FA0" w:rsidRDefault="009D0FA0" w:rsidP="009D0FA0">
      <w:pPr>
        <w:tabs>
          <w:tab w:val="left" w:pos="851"/>
        </w:tabs>
        <w:spacing w:after="120"/>
        <w:contextualSpacing/>
        <w:jc w:val="both"/>
        <w:rPr>
          <w:rFonts w:ascii="Cambria" w:eastAsia="Calibri" w:hAnsi="Cambria"/>
          <w:b/>
          <w:bCs/>
          <w:i/>
          <w:iCs/>
          <w:color w:val="00000A"/>
          <w:sz w:val="20"/>
          <w:szCs w:val="20"/>
        </w:rPr>
      </w:pPr>
    </w:p>
    <w:p w14:paraId="6DB29870" w14:textId="77777777" w:rsidR="009D0FA0" w:rsidRDefault="009D0FA0" w:rsidP="009D0FA0">
      <w:pPr>
        <w:tabs>
          <w:tab w:val="left" w:pos="851"/>
        </w:tabs>
        <w:spacing w:after="120"/>
        <w:contextualSpacing/>
        <w:jc w:val="both"/>
        <w:rPr>
          <w:rFonts w:ascii="Cambria" w:eastAsia="Calibri" w:hAnsi="Cambria"/>
          <w:b/>
          <w:bCs/>
          <w:i/>
          <w:iCs/>
          <w:color w:val="00000A"/>
          <w:sz w:val="20"/>
          <w:szCs w:val="20"/>
        </w:rPr>
      </w:pPr>
    </w:p>
    <w:p w14:paraId="794CFE3D" w14:textId="67C0E232" w:rsidR="009D0FA0" w:rsidRPr="00465071" w:rsidRDefault="009D0FA0" w:rsidP="009D0FA0">
      <w:pPr>
        <w:tabs>
          <w:tab w:val="left" w:pos="851"/>
        </w:tabs>
        <w:spacing w:after="120"/>
        <w:contextualSpacing/>
        <w:jc w:val="both"/>
        <w:rPr>
          <w:rFonts w:ascii="Cambria" w:eastAsia="Calibri" w:hAnsi="Cambria"/>
          <w:b/>
          <w:bCs/>
          <w:i/>
          <w:iCs/>
          <w:color w:val="00000A"/>
          <w:sz w:val="20"/>
          <w:szCs w:val="20"/>
        </w:rPr>
      </w:pPr>
      <w:r w:rsidRPr="00465071">
        <w:rPr>
          <w:rFonts w:ascii="Cambria" w:eastAsia="Calibri" w:hAnsi="Cambria"/>
          <w:b/>
          <w:bCs/>
          <w:i/>
          <w:iCs/>
          <w:color w:val="00000A"/>
          <w:sz w:val="20"/>
          <w:szCs w:val="20"/>
        </w:rPr>
        <w:t>Northwest Atlantic Fisheries Organization (NAFO)</w:t>
      </w:r>
    </w:p>
    <w:p w14:paraId="19C270BC"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p>
    <w:p w14:paraId="536B9877"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r w:rsidRPr="00465071">
        <w:rPr>
          <w:rFonts w:ascii="Cambria" w:eastAsia="Calibri" w:hAnsi="Cambria"/>
          <w:color w:val="00000A"/>
          <w:sz w:val="20"/>
          <w:szCs w:val="20"/>
          <w:lang w:val="en-US"/>
        </w:rPr>
        <w:t xml:space="preserve">Following the Commission’s decision at its 2025 Annual Meeting on the strengthening of cooperation with NAFO, the Secretariat has been in contact with NAFO. In March 2026, on the margins of the third BBNJ </w:t>
      </w:r>
      <w:r w:rsidRPr="00465071">
        <w:rPr>
          <w:rFonts w:ascii="Cambria" w:eastAsia="Calibri" w:hAnsi="Cambria"/>
          <w:color w:val="00000A"/>
          <w:sz w:val="20"/>
          <w:szCs w:val="20"/>
          <w:lang w:val="en-US"/>
        </w:rPr>
        <w:lastRenderedPageBreak/>
        <w:t>Preparatory Commission (</w:t>
      </w:r>
      <w:proofErr w:type="spellStart"/>
      <w:r w:rsidRPr="00465071">
        <w:rPr>
          <w:rFonts w:ascii="Cambria" w:eastAsia="Calibri" w:hAnsi="Cambria"/>
          <w:color w:val="00000A"/>
          <w:sz w:val="20"/>
          <w:szCs w:val="20"/>
          <w:lang w:val="en-US"/>
        </w:rPr>
        <w:t>PrepCom</w:t>
      </w:r>
      <w:proofErr w:type="spellEnd"/>
      <w:r w:rsidRPr="00465071">
        <w:rPr>
          <w:rFonts w:ascii="Cambria" w:eastAsia="Calibri" w:hAnsi="Cambria"/>
          <w:color w:val="00000A"/>
          <w:sz w:val="20"/>
          <w:szCs w:val="20"/>
          <w:lang w:val="en-US"/>
        </w:rPr>
        <w:t>) meeting in New York, the Executive Secretaries of NAFO and ICCAT discussed the proposed cooperation. Following that meeting, the two Secretariats worked on a draft MoU document and agreed on a text at their level, subject to their respective internal approval procedures. As NAFO’s meeting will take place earlier, NAFO indicated that it would update ICCAT on the outcome following that meeting.</w:t>
      </w:r>
    </w:p>
    <w:p w14:paraId="61C4E199" w14:textId="77777777" w:rsidR="009D0FA0" w:rsidRPr="00465071" w:rsidRDefault="009D0FA0" w:rsidP="009D0FA0">
      <w:pPr>
        <w:tabs>
          <w:tab w:val="left" w:pos="851"/>
        </w:tabs>
        <w:spacing w:after="120"/>
        <w:contextualSpacing/>
        <w:jc w:val="both"/>
        <w:rPr>
          <w:rFonts w:ascii="Cambria" w:eastAsia="Calibri" w:hAnsi="Cambria"/>
          <w:color w:val="00000A"/>
          <w:sz w:val="20"/>
          <w:szCs w:val="20"/>
        </w:rPr>
      </w:pPr>
    </w:p>
    <w:p w14:paraId="13E84826" w14:textId="77777777" w:rsidR="009D0FA0" w:rsidRDefault="009D0FA0" w:rsidP="009D0FA0">
      <w:pPr>
        <w:tabs>
          <w:tab w:val="left" w:pos="851"/>
        </w:tabs>
        <w:spacing w:after="120"/>
        <w:contextualSpacing/>
        <w:jc w:val="both"/>
        <w:rPr>
          <w:rFonts w:ascii="Cambria" w:eastAsia="Calibri" w:hAnsi="Cambria"/>
          <w:b/>
          <w:bCs/>
          <w:i/>
          <w:iCs/>
          <w:color w:val="00000A"/>
          <w:sz w:val="20"/>
          <w:szCs w:val="20"/>
        </w:rPr>
      </w:pPr>
    </w:p>
    <w:p w14:paraId="590F98A7" w14:textId="3B750908" w:rsidR="009D0FA0" w:rsidRPr="00465071" w:rsidRDefault="009D0FA0" w:rsidP="009D0FA0">
      <w:pPr>
        <w:tabs>
          <w:tab w:val="left" w:pos="851"/>
        </w:tabs>
        <w:spacing w:after="120"/>
        <w:contextualSpacing/>
        <w:jc w:val="both"/>
        <w:rPr>
          <w:rFonts w:ascii="Cambria" w:eastAsia="Calibri" w:hAnsi="Cambria"/>
          <w:b/>
          <w:bCs/>
          <w:i/>
          <w:iCs/>
          <w:color w:val="00000A"/>
          <w:sz w:val="20"/>
          <w:szCs w:val="20"/>
        </w:rPr>
      </w:pPr>
      <w:r w:rsidRPr="00465071">
        <w:rPr>
          <w:rFonts w:ascii="Cambria" w:eastAsia="Calibri" w:hAnsi="Cambria"/>
          <w:b/>
          <w:bCs/>
          <w:i/>
          <w:iCs/>
          <w:color w:val="00000A"/>
          <w:sz w:val="20"/>
          <w:szCs w:val="20"/>
        </w:rPr>
        <w:t>North-East Atlantic Fisheries Commission (NEAFC)</w:t>
      </w:r>
    </w:p>
    <w:p w14:paraId="466011FD"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p>
    <w:p w14:paraId="6E9EF026"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r w:rsidRPr="00465071">
        <w:rPr>
          <w:rFonts w:ascii="Cambria" w:eastAsia="Calibri" w:hAnsi="Cambria"/>
          <w:color w:val="00000A"/>
          <w:sz w:val="20"/>
          <w:szCs w:val="20"/>
          <w:lang w:val="en-US"/>
        </w:rPr>
        <w:t>Following the Commission’s decision at its 2025 Annual Meeting on the strengthening of cooperation with NEAFC, the Secretariat has been in contact with NEAFC. In March 2026, on the margins of the third BBNJ Preparatory Commission (</w:t>
      </w:r>
      <w:proofErr w:type="spellStart"/>
      <w:r w:rsidRPr="00465071">
        <w:rPr>
          <w:rFonts w:ascii="Cambria" w:eastAsia="Calibri" w:hAnsi="Cambria"/>
          <w:color w:val="00000A"/>
          <w:sz w:val="20"/>
          <w:szCs w:val="20"/>
          <w:lang w:val="en-US"/>
        </w:rPr>
        <w:t>PrepCom</w:t>
      </w:r>
      <w:proofErr w:type="spellEnd"/>
      <w:r w:rsidRPr="00465071">
        <w:rPr>
          <w:rFonts w:ascii="Cambria" w:eastAsia="Calibri" w:hAnsi="Cambria"/>
          <w:color w:val="00000A"/>
          <w:sz w:val="20"/>
          <w:szCs w:val="20"/>
          <w:lang w:val="en-US"/>
        </w:rPr>
        <w:t>) meeting in New York, the Executive Secretaries of NEAFC and ICCAT discussed the proposed cooperation. After that meeting, the two Secretariats worked on a draft MoU document. NEAFC later informed the ICCAT Secretariat that it would delay consideration of the MoU until its next meeting of the Strategic Working Group, expected to take place in 2027.</w:t>
      </w:r>
    </w:p>
    <w:p w14:paraId="626FC874" w14:textId="77777777" w:rsidR="009D0FA0" w:rsidRPr="00465071" w:rsidRDefault="009D0FA0" w:rsidP="009D0FA0">
      <w:pPr>
        <w:tabs>
          <w:tab w:val="left" w:pos="851"/>
        </w:tabs>
        <w:spacing w:after="120"/>
        <w:contextualSpacing/>
        <w:jc w:val="both"/>
        <w:rPr>
          <w:rFonts w:ascii="Cambria" w:eastAsia="Calibri" w:hAnsi="Cambria"/>
          <w:b/>
          <w:bCs/>
          <w:i/>
          <w:iCs/>
          <w:color w:val="00000A"/>
          <w:sz w:val="20"/>
          <w:szCs w:val="20"/>
        </w:rPr>
      </w:pPr>
    </w:p>
    <w:p w14:paraId="72C99BAD" w14:textId="77777777" w:rsidR="009D0FA0" w:rsidRDefault="009D0FA0" w:rsidP="009D0FA0">
      <w:pPr>
        <w:tabs>
          <w:tab w:val="left" w:pos="851"/>
        </w:tabs>
        <w:spacing w:after="120"/>
        <w:contextualSpacing/>
        <w:jc w:val="both"/>
        <w:rPr>
          <w:rFonts w:ascii="Cambria" w:eastAsia="Calibri" w:hAnsi="Cambria"/>
          <w:b/>
          <w:bCs/>
          <w:i/>
          <w:iCs/>
          <w:color w:val="00000A"/>
          <w:sz w:val="20"/>
          <w:szCs w:val="20"/>
        </w:rPr>
      </w:pPr>
    </w:p>
    <w:p w14:paraId="756A04A5" w14:textId="3AB2A751" w:rsidR="009D0FA0" w:rsidRPr="00465071" w:rsidRDefault="009D0FA0" w:rsidP="009D0FA0">
      <w:pPr>
        <w:tabs>
          <w:tab w:val="left" w:pos="851"/>
        </w:tabs>
        <w:spacing w:after="120"/>
        <w:contextualSpacing/>
        <w:jc w:val="both"/>
        <w:rPr>
          <w:rFonts w:ascii="Cambria" w:eastAsia="Calibri" w:hAnsi="Cambria"/>
          <w:b/>
          <w:bCs/>
          <w:i/>
          <w:iCs/>
          <w:color w:val="00000A"/>
          <w:sz w:val="20"/>
          <w:szCs w:val="20"/>
        </w:rPr>
      </w:pPr>
      <w:r w:rsidRPr="00465071">
        <w:rPr>
          <w:rFonts w:ascii="Cambria" w:eastAsia="Calibri" w:hAnsi="Cambria"/>
          <w:b/>
          <w:bCs/>
          <w:i/>
          <w:iCs/>
          <w:color w:val="00000A"/>
          <w:sz w:val="20"/>
          <w:szCs w:val="20"/>
        </w:rPr>
        <w:t>Convention for the Protection of the Marine Environment of the North-East Atlantic (OSPAR)</w:t>
      </w:r>
    </w:p>
    <w:p w14:paraId="7F412D77" w14:textId="77777777" w:rsidR="009D0FA0" w:rsidRPr="00465071" w:rsidRDefault="009D0FA0" w:rsidP="009D0FA0">
      <w:pPr>
        <w:tabs>
          <w:tab w:val="left" w:pos="851"/>
        </w:tabs>
        <w:spacing w:after="120"/>
        <w:contextualSpacing/>
        <w:jc w:val="both"/>
        <w:rPr>
          <w:rFonts w:ascii="Cambria" w:eastAsia="Calibri" w:hAnsi="Cambria"/>
          <w:color w:val="00000A"/>
          <w:sz w:val="12"/>
          <w:szCs w:val="12"/>
          <w:lang w:val="en-US"/>
        </w:rPr>
      </w:pPr>
    </w:p>
    <w:p w14:paraId="027A346E" w14:textId="77777777" w:rsidR="009D0FA0" w:rsidRPr="00465071" w:rsidRDefault="009D0FA0" w:rsidP="009D0FA0">
      <w:pPr>
        <w:tabs>
          <w:tab w:val="left" w:pos="851"/>
        </w:tabs>
        <w:spacing w:after="120"/>
        <w:contextualSpacing/>
        <w:jc w:val="both"/>
        <w:rPr>
          <w:rFonts w:ascii="Cambria" w:eastAsia="Calibri" w:hAnsi="Cambria"/>
          <w:color w:val="00000A"/>
          <w:sz w:val="20"/>
          <w:szCs w:val="20"/>
        </w:rPr>
      </w:pPr>
      <w:r w:rsidRPr="00465071">
        <w:rPr>
          <w:rFonts w:ascii="Cambria" w:eastAsia="Calibri" w:hAnsi="Cambria"/>
          <w:color w:val="00000A"/>
          <w:sz w:val="20"/>
          <w:szCs w:val="20"/>
          <w:lang w:val="en-US"/>
        </w:rPr>
        <w:t>In June 2026, the Secretariat of the Convention for the Protection of the Marine Environment of the North</w:t>
      </w:r>
      <w:r w:rsidRPr="00465071">
        <w:rPr>
          <w:rFonts w:ascii="Cambria" w:eastAsia="Calibri" w:hAnsi="Cambria"/>
          <w:color w:val="00000A"/>
          <w:sz w:val="20"/>
          <w:szCs w:val="20"/>
          <w:lang w:val="en-US"/>
        </w:rPr>
        <w:noBreakHyphen/>
        <w:t>East Atlantic (OSPAR) contacted ICCAT Secretariat to discuss the interest of establishing an MoU to further strengthen the cooperation between the two organizations. The ICCAT Secretariat noted the request and informed OSPAR that it will bring the matter to the Annual Meeting of the Commission to seek guidance on the way forward. As OSPAR will have its meeting before ICCAT’s, it was also requested to keep the Secretariat informed of the conclusions of OSPAR’s meeting.</w:t>
      </w:r>
    </w:p>
    <w:p w14:paraId="253A1FBA" w14:textId="77777777" w:rsidR="009D0FA0" w:rsidRPr="00465071" w:rsidRDefault="009D0FA0" w:rsidP="009D0FA0">
      <w:pPr>
        <w:tabs>
          <w:tab w:val="left" w:pos="851"/>
        </w:tabs>
        <w:spacing w:after="120"/>
        <w:contextualSpacing/>
        <w:jc w:val="both"/>
        <w:rPr>
          <w:rFonts w:ascii="Cambria" w:eastAsia="Calibri" w:hAnsi="Cambria"/>
          <w:bCs/>
          <w:color w:val="00000A"/>
          <w:sz w:val="20"/>
          <w:szCs w:val="20"/>
        </w:rPr>
      </w:pPr>
    </w:p>
    <w:p w14:paraId="53EB01B7" w14:textId="77777777" w:rsidR="009D0FA0" w:rsidRDefault="009D0FA0" w:rsidP="009D0FA0">
      <w:pPr>
        <w:jc w:val="both"/>
        <w:rPr>
          <w:rFonts w:ascii="Cambria" w:hAnsi="Cambria"/>
          <w:b/>
          <w:bCs/>
          <w:i/>
          <w:iCs/>
          <w:color w:val="00000A"/>
          <w:sz w:val="20"/>
          <w:szCs w:val="20"/>
        </w:rPr>
      </w:pPr>
    </w:p>
    <w:p w14:paraId="41DFEC27" w14:textId="1D334BAE" w:rsidR="009D0FA0" w:rsidRPr="00465071" w:rsidRDefault="009D0FA0" w:rsidP="009D0FA0">
      <w:pPr>
        <w:jc w:val="both"/>
        <w:rPr>
          <w:rFonts w:ascii="Cambria" w:hAnsi="Cambria"/>
          <w:b/>
          <w:bCs/>
          <w:i/>
          <w:iCs/>
          <w:color w:val="00000A"/>
          <w:sz w:val="20"/>
          <w:szCs w:val="20"/>
        </w:rPr>
      </w:pPr>
      <w:r w:rsidRPr="00465071">
        <w:rPr>
          <w:rFonts w:ascii="Cambria" w:hAnsi="Cambria"/>
          <w:b/>
          <w:bCs/>
          <w:i/>
          <w:iCs/>
          <w:color w:val="00000A"/>
          <w:sz w:val="20"/>
          <w:szCs w:val="20"/>
        </w:rPr>
        <w:t>Workshop on distributional issues around tuna fisheries</w:t>
      </w:r>
    </w:p>
    <w:p w14:paraId="46736CE2" w14:textId="77777777" w:rsidR="009D0FA0" w:rsidRPr="00465071" w:rsidRDefault="009D0FA0" w:rsidP="009D0FA0">
      <w:pPr>
        <w:jc w:val="both"/>
        <w:rPr>
          <w:rFonts w:ascii="Cambria" w:hAnsi="Cambria"/>
          <w:b/>
          <w:bCs/>
          <w:color w:val="00000A"/>
          <w:sz w:val="20"/>
          <w:szCs w:val="20"/>
        </w:rPr>
      </w:pPr>
    </w:p>
    <w:p w14:paraId="5524F656" w14:textId="77777777" w:rsidR="009D0FA0" w:rsidRPr="00465071" w:rsidRDefault="009D0FA0" w:rsidP="009D0FA0">
      <w:pPr>
        <w:jc w:val="both"/>
        <w:rPr>
          <w:rFonts w:ascii="Cambria" w:hAnsi="Cambria"/>
          <w:color w:val="00000A"/>
          <w:sz w:val="20"/>
          <w:szCs w:val="20"/>
        </w:rPr>
      </w:pPr>
      <w:r w:rsidRPr="00465071">
        <w:rPr>
          <w:rFonts w:ascii="Cambria" w:hAnsi="Cambria"/>
          <w:color w:val="00000A"/>
          <w:sz w:val="20"/>
          <w:szCs w:val="20"/>
        </w:rPr>
        <w:t xml:space="preserve">The Secretariat participated in a workshop addressing distributional issues around tuna fisheries, which was held in </w:t>
      </w:r>
      <w:proofErr w:type="spellStart"/>
      <w:r w:rsidRPr="00465071">
        <w:rPr>
          <w:rFonts w:ascii="Cambria" w:hAnsi="Cambria"/>
          <w:color w:val="00000A"/>
          <w:sz w:val="20"/>
          <w:szCs w:val="20"/>
        </w:rPr>
        <w:t>Sète</w:t>
      </w:r>
      <w:proofErr w:type="spellEnd"/>
      <w:r w:rsidRPr="00465071">
        <w:rPr>
          <w:rFonts w:ascii="Cambria" w:hAnsi="Cambria"/>
          <w:color w:val="00000A"/>
          <w:sz w:val="20"/>
          <w:szCs w:val="20"/>
        </w:rPr>
        <w:t xml:space="preserve"> (France) on 24-25 March 2026. The workshop reviewed the theory-grounded principles of social welfare and fair division and how to possibly transfer these to the discussions of allocation rights in tuna Regional Fisheries Management Organizations (</w:t>
      </w:r>
      <w:proofErr w:type="spellStart"/>
      <w:r w:rsidRPr="00465071">
        <w:rPr>
          <w:rFonts w:ascii="Cambria" w:hAnsi="Cambria"/>
          <w:color w:val="00000A"/>
          <w:sz w:val="20"/>
          <w:szCs w:val="20"/>
        </w:rPr>
        <w:t>tRFMOs</w:t>
      </w:r>
      <w:proofErr w:type="spellEnd"/>
      <w:r w:rsidRPr="00465071">
        <w:rPr>
          <w:rFonts w:ascii="Cambria" w:hAnsi="Cambria"/>
          <w:color w:val="00000A"/>
          <w:sz w:val="20"/>
          <w:szCs w:val="20"/>
        </w:rPr>
        <w:t>). The objectives</w:t>
      </w:r>
      <w:r w:rsidRPr="00465071" w:rsidDel="0014571E">
        <w:rPr>
          <w:rFonts w:ascii="Cambria" w:hAnsi="Cambria"/>
          <w:color w:val="00000A"/>
          <w:sz w:val="20"/>
          <w:szCs w:val="20"/>
        </w:rPr>
        <w:t xml:space="preserve"> </w:t>
      </w:r>
      <w:r w:rsidRPr="00465071">
        <w:rPr>
          <w:rFonts w:ascii="Cambria" w:hAnsi="Cambria"/>
          <w:color w:val="00000A"/>
          <w:sz w:val="20"/>
          <w:szCs w:val="20"/>
        </w:rPr>
        <w:t xml:space="preserve">of principles guiding a Common-Pool Resource allocation process were discussed, </w:t>
      </w:r>
      <w:proofErr w:type="gramStart"/>
      <w:r w:rsidRPr="00465071">
        <w:rPr>
          <w:rFonts w:ascii="Cambria" w:hAnsi="Cambria"/>
          <w:color w:val="00000A"/>
          <w:sz w:val="20"/>
          <w:szCs w:val="20"/>
        </w:rPr>
        <w:t>in particular regarding</w:t>
      </w:r>
      <w:proofErr w:type="gramEnd"/>
      <w:r w:rsidRPr="00465071">
        <w:rPr>
          <w:rFonts w:ascii="Cambria" w:hAnsi="Cambria"/>
          <w:color w:val="00000A"/>
          <w:sz w:val="20"/>
          <w:szCs w:val="20"/>
        </w:rPr>
        <w:t xml:space="preserve"> the equality of opportunity concept. Other aspects discussed included: i) Identifying equity and fairness principles adapted to the catch allocation of transboundary tuna stocks, particularly in the specific context of Indian Ocean fisheries; and ii) Defining operational indicators and metrics corresponding to these allocation principles. </w:t>
      </w:r>
    </w:p>
    <w:p w14:paraId="060B3217" w14:textId="77777777" w:rsidR="009D0FA0" w:rsidRPr="00465071" w:rsidRDefault="009D0FA0" w:rsidP="009D0FA0">
      <w:pPr>
        <w:jc w:val="both"/>
        <w:rPr>
          <w:rFonts w:ascii="Cambria" w:hAnsi="Cambria"/>
          <w:color w:val="00000A"/>
          <w:sz w:val="20"/>
          <w:szCs w:val="20"/>
        </w:rPr>
      </w:pPr>
    </w:p>
    <w:p w14:paraId="768D3E98" w14:textId="77777777" w:rsidR="009D0FA0" w:rsidRPr="00465071" w:rsidRDefault="009D0FA0" w:rsidP="009D0FA0">
      <w:pPr>
        <w:jc w:val="both"/>
        <w:rPr>
          <w:rFonts w:ascii="Cambria" w:hAnsi="Cambria"/>
          <w:color w:val="00000A"/>
          <w:sz w:val="20"/>
          <w:szCs w:val="20"/>
        </w:rPr>
      </w:pPr>
      <w:r w:rsidRPr="00465071">
        <w:rPr>
          <w:rFonts w:ascii="Cambria" w:hAnsi="Cambria"/>
          <w:color w:val="00000A"/>
          <w:sz w:val="20"/>
          <w:szCs w:val="20"/>
        </w:rPr>
        <w:t xml:space="preserve">The Secretariat provided a summary of the role of scientific information and data for the access rules in force in ICCAT. </w:t>
      </w:r>
    </w:p>
    <w:p w14:paraId="23A74DCC" w14:textId="77777777" w:rsidR="009D0FA0" w:rsidRPr="00465071" w:rsidRDefault="009D0FA0" w:rsidP="009D0FA0">
      <w:pPr>
        <w:jc w:val="both"/>
        <w:rPr>
          <w:rFonts w:ascii="Cambria" w:hAnsi="Cambria"/>
          <w:color w:val="00000A"/>
          <w:sz w:val="20"/>
          <w:szCs w:val="20"/>
        </w:rPr>
      </w:pPr>
    </w:p>
    <w:p w14:paraId="64605942" w14:textId="77777777" w:rsidR="009D0FA0" w:rsidRPr="00465071" w:rsidRDefault="009D0FA0" w:rsidP="009D0FA0">
      <w:pPr>
        <w:jc w:val="both"/>
        <w:rPr>
          <w:rFonts w:ascii="Cambria" w:hAnsi="Cambria"/>
          <w:color w:val="00000A"/>
          <w:sz w:val="20"/>
          <w:szCs w:val="20"/>
        </w:rPr>
      </w:pPr>
      <w:r w:rsidRPr="00465071">
        <w:rPr>
          <w:rFonts w:ascii="Cambria" w:hAnsi="Cambria"/>
          <w:color w:val="00000A"/>
          <w:sz w:val="20"/>
          <w:szCs w:val="20"/>
        </w:rPr>
        <w:t xml:space="preserve">A peer-review journal publication entitled “Fair and equitable allocation for transboundary tuna fisheries” is being prepared that will reflect the main outcomes and conclusions of the workshop to be submitted to Fish and Fisheries journal.  </w:t>
      </w:r>
    </w:p>
    <w:p w14:paraId="1879F04C" w14:textId="77777777" w:rsidR="009D0FA0" w:rsidRDefault="009D0FA0" w:rsidP="009D0FA0">
      <w:pPr>
        <w:tabs>
          <w:tab w:val="left" w:pos="851"/>
        </w:tabs>
        <w:spacing w:after="120"/>
        <w:contextualSpacing/>
        <w:jc w:val="both"/>
        <w:rPr>
          <w:rFonts w:ascii="Cambria" w:eastAsia="Calibri" w:hAnsi="Cambria"/>
          <w:b/>
          <w:bCs/>
          <w:i/>
          <w:iCs/>
          <w:color w:val="00000A"/>
          <w:sz w:val="20"/>
          <w:szCs w:val="20"/>
        </w:rPr>
      </w:pPr>
    </w:p>
    <w:p w14:paraId="3A437FBE" w14:textId="3C049FF9" w:rsidR="009D0FA0" w:rsidRPr="00465071" w:rsidRDefault="009D0FA0" w:rsidP="009D0FA0">
      <w:pPr>
        <w:tabs>
          <w:tab w:val="left" w:pos="851"/>
        </w:tabs>
        <w:spacing w:after="120"/>
        <w:contextualSpacing/>
        <w:jc w:val="both"/>
        <w:rPr>
          <w:rFonts w:ascii="Cambria" w:eastAsia="Calibri" w:hAnsi="Cambria"/>
          <w:b/>
          <w:bCs/>
          <w:i/>
          <w:iCs/>
          <w:color w:val="00000A"/>
          <w:sz w:val="20"/>
          <w:szCs w:val="20"/>
          <w:lang w:val="en-US"/>
        </w:rPr>
      </w:pPr>
      <w:r w:rsidRPr="00465071">
        <w:rPr>
          <w:rFonts w:ascii="Cambria" w:eastAsia="Calibri" w:hAnsi="Cambria"/>
          <w:b/>
          <w:bCs/>
          <w:i/>
          <w:iCs/>
          <w:color w:val="00000A"/>
          <w:sz w:val="20"/>
          <w:szCs w:val="20"/>
        </w:rPr>
        <w:t xml:space="preserve">European Union Regional Coordination Group on Large </w:t>
      </w:r>
      <w:proofErr w:type="spellStart"/>
      <w:r w:rsidRPr="00465071">
        <w:rPr>
          <w:rFonts w:ascii="Cambria" w:eastAsia="Calibri" w:hAnsi="Cambria"/>
          <w:b/>
          <w:bCs/>
          <w:i/>
          <w:iCs/>
          <w:color w:val="00000A"/>
          <w:sz w:val="20"/>
          <w:szCs w:val="20"/>
        </w:rPr>
        <w:t>Pelagics</w:t>
      </w:r>
      <w:proofErr w:type="spellEnd"/>
      <w:r w:rsidRPr="00465071">
        <w:rPr>
          <w:rFonts w:ascii="Cambria" w:eastAsia="Calibri" w:hAnsi="Cambria"/>
          <w:b/>
          <w:bCs/>
          <w:i/>
          <w:iCs/>
          <w:color w:val="00000A"/>
          <w:sz w:val="20"/>
          <w:szCs w:val="20"/>
        </w:rPr>
        <w:t xml:space="preserve"> (RCG LP)</w:t>
      </w:r>
    </w:p>
    <w:p w14:paraId="4A88769D" w14:textId="77777777" w:rsidR="009D0FA0" w:rsidRPr="00465071" w:rsidRDefault="009D0FA0" w:rsidP="009D0FA0">
      <w:pPr>
        <w:tabs>
          <w:tab w:val="left" w:pos="851"/>
        </w:tabs>
        <w:spacing w:after="120"/>
        <w:contextualSpacing/>
        <w:jc w:val="both"/>
        <w:rPr>
          <w:rFonts w:ascii="Cambria" w:eastAsia="Calibri" w:hAnsi="Cambria"/>
          <w:bCs/>
          <w:color w:val="00000A"/>
          <w:sz w:val="20"/>
          <w:szCs w:val="20"/>
        </w:rPr>
      </w:pPr>
    </w:p>
    <w:p w14:paraId="703B2FA9" w14:textId="77777777" w:rsidR="009D0FA0" w:rsidRPr="00465071" w:rsidRDefault="009D0FA0" w:rsidP="009D0FA0">
      <w:pPr>
        <w:tabs>
          <w:tab w:val="left" w:pos="851"/>
        </w:tabs>
        <w:spacing w:after="120"/>
        <w:contextualSpacing/>
        <w:jc w:val="both"/>
        <w:rPr>
          <w:rFonts w:ascii="Cambria" w:eastAsia="Calibri" w:hAnsi="Cambria"/>
          <w:color w:val="00000A"/>
          <w:sz w:val="20"/>
          <w:szCs w:val="20"/>
          <w:lang w:val="en-US"/>
        </w:rPr>
      </w:pPr>
      <w:r w:rsidRPr="00465071">
        <w:rPr>
          <w:rFonts w:ascii="Cambria" w:eastAsia="Calibri" w:hAnsi="Cambria"/>
          <w:color w:val="00000A"/>
          <w:sz w:val="20"/>
          <w:szCs w:val="20"/>
          <w:lang w:val="en-US"/>
        </w:rPr>
        <w:t xml:space="preserve">The Secretariat was invited and attended remotely in the 2026 Annual Meeting of the European Union Regional Coordination Group on Large </w:t>
      </w:r>
      <w:proofErr w:type="spellStart"/>
      <w:r w:rsidRPr="00465071">
        <w:rPr>
          <w:rFonts w:ascii="Cambria" w:eastAsia="Calibri" w:hAnsi="Cambria"/>
          <w:color w:val="00000A"/>
          <w:sz w:val="20"/>
          <w:szCs w:val="20"/>
          <w:lang w:val="en-US"/>
        </w:rPr>
        <w:t>Pelagics</w:t>
      </w:r>
      <w:proofErr w:type="spellEnd"/>
      <w:r w:rsidRPr="00465071">
        <w:rPr>
          <w:rFonts w:ascii="Cambria" w:eastAsia="Calibri" w:hAnsi="Cambria"/>
          <w:color w:val="00000A"/>
          <w:sz w:val="20"/>
          <w:szCs w:val="20"/>
          <w:lang w:val="en-US"/>
        </w:rPr>
        <w:t xml:space="preserve"> (RCG LP), held in Heraklion (Greece), from 23 to 25 June 2026. The meeting addressed the coordination of data collection and reporting for large pelagic fisheries by EU Member States, including the preparation of the Regional Work Plan for 2028–2030, regional database developments, and data transmission to ICCAT and IOTC. The Secretariat presented an overview of ICCAT statistical reporting requirements, available data dissemination and evaluation tools, and the reporting performance of EU Member States. It also highlighted areas where further improvements in EU data submissions would be beneficial, </w:t>
      </w:r>
      <w:r w:rsidRPr="00465071">
        <w:rPr>
          <w:rFonts w:ascii="Cambria" w:eastAsia="Calibri" w:hAnsi="Cambria"/>
          <w:color w:val="00000A"/>
          <w:sz w:val="20"/>
          <w:szCs w:val="20"/>
          <w:lang w:val="en-US"/>
        </w:rPr>
        <w:lastRenderedPageBreak/>
        <w:t xml:space="preserve">particularly regarding data completeness, consistency and standardization across Task 1 and Task 2 datasets, as well as the need to continue improving tools to facilitate data review and verification. </w:t>
      </w:r>
    </w:p>
    <w:p w14:paraId="15C9FA6F" w14:textId="77777777" w:rsidR="00F2499A" w:rsidRPr="00844CE5" w:rsidRDefault="00F2499A" w:rsidP="00F2499A">
      <w:pPr>
        <w:spacing w:after="120"/>
        <w:ind w:left="426" w:hanging="426"/>
        <w:contextualSpacing/>
        <w:jc w:val="center"/>
        <w:rPr>
          <w:rFonts w:ascii="Cambria" w:eastAsia="Calibri" w:hAnsi="Cambria"/>
          <w:b/>
          <w:color w:val="00000A"/>
          <w:sz w:val="20"/>
          <w:szCs w:val="20"/>
          <w:lang w:val="en-US"/>
        </w:rPr>
      </w:pPr>
    </w:p>
    <w:sectPr w:rsidR="00F2499A" w:rsidRPr="00844CE5" w:rsidSect="00F2499A">
      <w:headerReference w:type="default" r:id="rId21"/>
      <w:footerReference w:type="default" r:id="rId22"/>
      <w:pgSz w:w="12240" w:h="15840"/>
      <w:pgMar w:top="1440" w:right="1440" w:bottom="1440" w:left="1440"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E338B" w14:textId="77777777" w:rsidR="00DF12DD" w:rsidRDefault="00DF12DD" w:rsidP="00F2499A">
      <w:r>
        <w:separator/>
      </w:r>
    </w:p>
  </w:endnote>
  <w:endnote w:type="continuationSeparator" w:id="0">
    <w:p w14:paraId="0967D81F" w14:textId="77777777" w:rsidR="00DF12DD" w:rsidRDefault="00DF12DD" w:rsidP="00F249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DEC37" w14:textId="6EF3621B" w:rsidR="00A15558" w:rsidRPr="00A15558" w:rsidRDefault="00DF12DD" w:rsidP="00A15558">
    <w:pPr>
      <w:tabs>
        <w:tab w:val="center" w:pos="4535"/>
        <w:tab w:val="center" w:pos="4680"/>
        <w:tab w:val="left" w:pos="6150"/>
        <w:tab w:val="right" w:pos="9360"/>
      </w:tabs>
      <w:jc w:val="center"/>
      <w:rPr>
        <w:rFonts w:ascii="Cambria" w:hAnsi="Cambria"/>
        <w:sz w:val="20"/>
        <w:szCs w:val="20"/>
      </w:rPr>
    </w:pPr>
    <w:sdt>
      <w:sdtPr>
        <w:rPr>
          <w:rFonts w:ascii="Cambria" w:eastAsia="Calibri" w:hAnsi="Cambria" w:cs="Calibri"/>
          <w:sz w:val="20"/>
          <w:szCs w:val="20"/>
        </w:rPr>
        <w:id w:val="399259623"/>
        <w:docPartObj>
          <w:docPartGallery w:val="Page Numbers (Top of Page)"/>
          <w:docPartUnique/>
        </w:docPartObj>
      </w:sdtPr>
      <w:sdtEndPr/>
      <w:sdtContent>
        <w:r w:rsidR="00A15558" w:rsidRPr="00FD26B9">
          <w:rPr>
            <w:rFonts w:ascii="Cambria" w:eastAsia="Calibri" w:hAnsi="Cambria" w:cs="Calibri"/>
            <w:sz w:val="20"/>
            <w:szCs w:val="20"/>
          </w:rPr>
          <w:fldChar w:fldCharType="begin"/>
        </w:r>
        <w:r w:rsidR="00A15558" w:rsidRPr="00FD26B9">
          <w:rPr>
            <w:rFonts w:ascii="Cambria" w:eastAsia="Calibri" w:hAnsi="Cambria" w:cs="Calibri"/>
            <w:sz w:val="20"/>
            <w:szCs w:val="20"/>
          </w:rPr>
          <w:instrText xml:space="preserve"> PAGE </w:instrText>
        </w:r>
        <w:r w:rsidR="00A15558" w:rsidRPr="00FD26B9">
          <w:rPr>
            <w:rFonts w:ascii="Cambria" w:eastAsia="Calibri" w:hAnsi="Cambria" w:cs="Calibri"/>
            <w:sz w:val="20"/>
            <w:szCs w:val="20"/>
          </w:rPr>
          <w:fldChar w:fldCharType="separate"/>
        </w:r>
        <w:r w:rsidR="00A15558">
          <w:rPr>
            <w:rFonts w:ascii="Cambria" w:eastAsia="Calibri" w:hAnsi="Cambria" w:cs="Calibri"/>
            <w:sz w:val="20"/>
            <w:szCs w:val="20"/>
          </w:rPr>
          <w:t>1</w:t>
        </w:r>
        <w:r w:rsidR="00A15558" w:rsidRPr="00FD26B9">
          <w:rPr>
            <w:rFonts w:ascii="Cambria" w:eastAsia="Calibri" w:hAnsi="Cambria" w:cs="Calibri"/>
            <w:sz w:val="20"/>
            <w:szCs w:val="20"/>
          </w:rPr>
          <w:fldChar w:fldCharType="end"/>
        </w:r>
        <w:r w:rsidR="00A15558" w:rsidRPr="00FD26B9">
          <w:rPr>
            <w:rFonts w:ascii="Cambria" w:eastAsia="Calibri" w:hAnsi="Cambria" w:cs="Calibri"/>
            <w:sz w:val="20"/>
            <w:szCs w:val="20"/>
          </w:rPr>
          <w:t xml:space="preserve"> / </w:t>
        </w:r>
        <w:r w:rsidR="00A15558" w:rsidRPr="00FD26B9">
          <w:rPr>
            <w:rFonts w:ascii="Cambria" w:eastAsia="Calibri" w:hAnsi="Cambria" w:cs="Calibri"/>
            <w:sz w:val="20"/>
            <w:szCs w:val="20"/>
          </w:rPr>
          <w:fldChar w:fldCharType="begin"/>
        </w:r>
        <w:r w:rsidR="00A15558" w:rsidRPr="00FD26B9">
          <w:rPr>
            <w:rFonts w:ascii="Cambria" w:eastAsia="Calibri" w:hAnsi="Cambria" w:cs="Calibri"/>
            <w:sz w:val="20"/>
            <w:szCs w:val="20"/>
          </w:rPr>
          <w:instrText xml:space="preserve"> NUMPAGES  </w:instrText>
        </w:r>
        <w:r w:rsidR="00A15558" w:rsidRPr="00FD26B9">
          <w:rPr>
            <w:rFonts w:ascii="Cambria" w:eastAsia="Calibri" w:hAnsi="Cambria" w:cs="Calibri"/>
            <w:sz w:val="20"/>
            <w:szCs w:val="20"/>
          </w:rPr>
          <w:fldChar w:fldCharType="separate"/>
        </w:r>
        <w:r w:rsidR="00A15558">
          <w:rPr>
            <w:rFonts w:ascii="Cambria" w:eastAsia="Calibri" w:hAnsi="Cambria" w:cs="Calibri"/>
            <w:sz w:val="20"/>
            <w:szCs w:val="20"/>
          </w:rPr>
          <w:t>4</w:t>
        </w:r>
        <w:r w:rsidR="00A15558" w:rsidRPr="00FD26B9">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572A3" w14:textId="77777777" w:rsidR="00DF12DD" w:rsidRDefault="00DF12DD" w:rsidP="00F2499A">
      <w:r>
        <w:separator/>
      </w:r>
    </w:p>
  </w:footnote>
  <w:footnote w:type="continuationSeparator" w:id="0">
    <w:p w14:paraId="48DFC1A5" w14:textId="77777777" w:rsidR="00DF12DD" w:rsidRDefault="00DF12DD" w:rsidP="00F249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D6231" w14:textId="05AAF917" w:rsidR="00F2499A" w:rsidRPr="00F2499A" w:rsidRDefault="00F2499A" w:rsidP="00F2499A">
    <w:pPr>
      <w:tabs>
        <w:tab w:val="center" w:pos="4680"/>
        <w:tab w:val="left" w:pos="6520"/>
        <w:tab w:val="right" w:pos="9360"/>
        <w:tab w:val="right" w:pos="14240"/>
      </w:tabs>
      <w:jc w:val="right"/>
      <w:rPr>
        <w:rFonts w:ascii="Cambria" w:eastAsia="Cambria" w:hAnsi="Cambria" w:cs="Cambria"/>
        <w:b/>
        <w:sz w:val="20"/>
        <w:szCs w:val="20"/>
      </w:rPr>
    </w:pPr>
    <w:r w:rsidRPr="00F2499A">
      <w:rPr>
        <w:rFonts w:ascii="Cambria" w:eastAsia="Cambria" w:hAnsi="Cambria" w:cs="Cambria"/>
        <w:b/>
        <w:sz w:val="20"/>
        <w:szCs w:val="20"/>
      </w:rPr>
      <w:t>PLE_106/202</w:t>
    </w:r>
    <w:r w:rsidR="009D0FA0">
      <w:rPr>
        <w:rFonts w:ascii="Cambria" w:eastAsia="Cambria" w:hAnsi="Cambria" w:cs="Cambria"/>
        <w:b/>
        <w:sz w:val="20"/>
        <w:szCs w:val="20"/>
      </w:rPr>
      <w:t>6</w:t>
    </w:r>
  </w:p>
  <w:p w14:paraId="4B1A8517" w14:textId="16A71239" w:rsidR="00F2499A" w:rsidRDefault="00F2499A" w:rsidP="00F2499A">
    <w:pPr>
      <w:tabs>
        <w:tab w:val="center" w:pos="4680"/>
        <w:tab w:val="right" w:pos="9360"/>
      </w:tabs>
      <w:jc w:val="right"/>
    </w:pPr>
    <w:r w:rsidRPr="00F2499A">
      <w:rPr>
        <w:rFonts w:ascii="Cambria" w:eastAsia="Cambria" w:hAnsi="Cambria" w:cs="Cambria"/>
        <w:b/>
        <w:color w:val="000000"/>
        <w:sz w:val="16"/>
        <w:szCs w:val="16"/>
      </w:rPr>
      <w:t>13/11/2023 16:25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C20734"/>
    <w:multiLevelType w:val="hybridMultilevel"/>
    <w:tmpl w:val="ECD0A1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61652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A3E"/>
    <w:rsid w:val="0008370B"/>
    <w:rsid w:val="000A3341"/>
    <w:rsid w:val="000E3428"/>
    <w:rsid w:val="00101259"/>
    <w:rsid w:val="00111E18"/>
    <w:rsid w:val="001133CD"/>
    <w:rsid w:val="00117298"/>
    <w:rsid w:val="0015429A"/>
    <w:rsid w:val="00180BDE"/>
    <w:rsid w:val="001B01A8"/>
    <w:rsid w:val="001C6DBA"/>
    <w:rsid w:val="002031E0"/>
    <w:rsid w:val="00214FDE"/>
    <w:rsid w:val="00221766"/>
    <w:rsid w:val="00225DD0"/>
    <w:rsid w:val="00297934"/>
    <w:rsid w:val="002D0BED"/>
    <w:rsid w:val="002D14D2"/>
    <w:rsid w:val="002E522F"/>
    <w:rsid w:val="003202BF"/>
    <w:rsid w:val="0035289C"/>
    <w:rsid w:val="0036784C"/>
    <w:rsid w:val="00374501"/>
    <w:rsid w:val="0037775D"/>
    <w:rsid w:val="00384BFA"/>
    <w:rsid w:val="003D7E9C"/>
    <w:rsid w:val="004103DD"/>
    <w:rsid w:val="004419CC"/>
    <w:rsid w:val="00445FC0"/>
    <w:rsid w:val="00475333"/>
    <w:rsid w:val="004A2F11"/>
    <w:rsid w:val="004C59C2"/>
    <w:rsid w:val="005279B6"/>
    <w:rsid w:val="0055319F"/>
    <w:rsid w:val="005546F0"/>
    <w:rsid w:val="005753AE"/>
    <w:rsid w:val="00581EC5"/>
    <w:rsid w:val="00587ED0"/>
    <w:rsid w:val="005A0B66"/>
    <w:rsid w:val="005C2239"/>
    <w:rsid w:val="005E6CA3"/>
    <w:rsid w:val="006312B9"/>
    <w:rsid w:val="006455A7"/>
    <w:rsid w:val="00660DF1"/>
    <w:rsid w:val="0066306B"/>
    <w:rsid w:val="00663991"/>
    <w:rsid w:val="00694319"/>
    <w:rsid w:val="00697DB0"/>
    <w:rsid w:val="006A00A3"/>
    <w:rsid w:val="006C5A7F"/>
    <w:rsid w:val="006D30B9"/>
    <w:rsid w:val="006F4CF1"/>
    <w:rsid w:val="007203E9"/>
    <w:rsid w:val="00721EA8"/>
    <w:rsid w:val="00740BD0"/>
    <w:rsid w:val="0074792B"/>
    <w:rsid w:val="007815D4"/>
    <w:rsid w:val="00787C92"/>
    <w:rsid w:val="0080394C"/>
    <w:rsid w:val="00844CE5"/>
    <w:rsid w:val="00852FED"/>
    <w:rsid w:val="0088027E"/>
    <w:rsid w:val="00890A85"/>
    <w:rsid w:val="00903C5D"/>
    <w:rsid w:val="0092394F"/>
    <w:rsid w:val="00936F2F"/>
    <w:rsid w:val="00957CA6"/>
    <w:rsid w:val="009650D8"/>
    <w:rsid w:val="009657CA"/>
    <w:rsid w:val="009823EA"/>
    <w:rsid w:val="009B06B3"/>
    <w:rsid w:val="009B7AE9"/>
    <w:rsid w:val="009D0FA0"/>
    <w:rsid w:val="009F43A7"/>
    <w:rsid w:val="00A15558"/>
    <w:rsid w:val="00A16B4E"/>
    <w:rsid w:val="00A20117"/>
    <w:rsid w:val="00A6111F"/>
    <w:rsid w:val="00A64F65"/>
    <w:rsid w:val="00A94B48"/>
    <w:rsid w:val="00B6377A"/>
    <w:rsid w:val="00B67695"/>
    <w:rsid w:val="00BF5F1A"/>
    <w:rsid w:val="00BF666F"/>
    <w:rsid w:val="00C00597"/>
    <w:rsid w:val="00C037A4"/>
    <w:rsid w:val="00C23975"/>
    <w:rsid w:val="00C75CA9"/>
    <w:rsid w:val="00C91C26"/>
    <w:rsid w:val="00C97BF2"/>
    <w:rsid w:val="00CA27E6"/>
    <w:rsid w:val="00CD134A"/>
    <w:rsid w:val="00CE1808"/>
    <w:rsid w:val="00CE672C"/>
    <w:rsid w:val="00CF7E74"/>
    <w:rsid w:val="00D066D8"/>
    <w:rsid w:val="00D3425C"/>
    <w:rsid w:val="00D50F8C"/>
    <w:rsid w:val="00D5411F"/>
    <w:rsid w:val="00D60236"/>
    <w:rsid w:val="00D73C45"/>
    <w:rsid w:val="00DA3238"/>
    <w:rsid w:val="00DA7D4E"/>
    <w:rsid w:val="00DC0335"/>
    <w:rsid w:val="00DC6473"/>
    <w:rsid w:val="00DE11E2"/>
    <w:rsid w:val="00DF12DD"/>
    <w:rsid w:val="00E03A3E"/>
    <w:rsid w:val="00E07D94"/>
    <w:rsid w:val="00E10F65"/>
    <w:rsid w:val="00E17DC2"/>
    <w:rsid w:val="00E20FF2"/>
    <w:rsid w:val="00E54F3A"/>
    <w:rsid w:val="00EB522F"/>
    <w:rsid w:val="00EC53D1"/>
    <w:rsid w:val="00EC5401"/>
    <w:rsid w:val="00F0218B"/>
    <w:rsid w:val="00F2499A"/>
    <w:rsid w:val="00F30015"/>
    <w:rsid w:val="00F475A0"/>
    <w:rsid w:val="00F53157"/>
    <w:rsid w:val="00F67584"/>
    <w:rsid w:val="00F9580D"/>
    <w:rsid w:val="00FB70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811B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A3E"/>
    <w:pPr>
      <w:spacing w:after="0" w:line="240" w:lineRule="auto"/>
    </w:pPr>
    <w:rPr>
      <w:rFonts w:ascii="Times New Roman" w:eastAsia="Times New Roman" w:hAnsi="Times New Roman" w:cs="Times New Roman"/>
      <w:kern w:val="0"/>
      <w:lang w:val="en-GB"/>
      <w14:ligatures w14:val="none"/>
    </w:rPr>
  </w:style>
  <w:style w:type="paragraph" w:styleId="Heading1">
    <w:name w:val="heading 1"/>
    <w:basedOn w:val="Normal"/>
    <w:next w:val="Normal"/>
    <w:link w:val="Heading1Char"/>
    <w:uiPriority w:val="9"/>
    <w:qFormat/>
    <w:rsid w:val="00E03A3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E03A3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E03A3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E03A3E"/>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E03A3E"/>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E03A3E"/>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E03A3E"/>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E03A3E"/>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E03A3E"/>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3A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3A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3A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3A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3A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3A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03A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03A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03A3E"/>
    <w:rPr>
      <w:rFonts w:eastAsiaTheme="majorEastAsia" w:cstheme="majorBidi"/>
      <w:color w:val="272727" w:themeColor="text1" w:themeTint="D8"/>
    </w:rPr>
  </w:style>
  <w:style w:type="paragraph" w:styleId="Title">
    <w:name w:val="Title"/>
    <w:basedOn w:val="Normal"/>
    <w:next w:val="Normal"/>
    <w:link w:val="TitleChar"/>
    <w:uiPriority w:val="10"/>
    <w:qFormat/>
    <w:rsid w:val="00E03A3E"/>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03A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3A3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03A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3A3E"/>
    <w:pPr>
      <w:spacing w:before="160" w:after="160" w:line="278"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E03A3E"/>
    <w:rPr>
      <w:i/>
      <w:iCs/>
      <w:color w:val="404040" w:themeColor="text1" w:themeTint="BF"/>
    </w:rPr>
  </w:style>
  <w:style w:type="paragraph" w:styleId="ListParagraph">
    <w:name w:val="List Paragraph"/>
    <w:basedOn w:val="Normal"/>
    <w:uiPriority w:val="34"/>
    <w:qFormat/>
    <w:rsid w:val="00E03A3E"/>
    <w:pPr>
      <w:spacing w:after="160" w:line="278"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E03A3E"/>
    <w:rPr>
      <w:i/>
      <w:iCs/>
      <w:color w:val="0F4761" w:themeColor="accent1" w:themeShade="BF"/>
    </w:rPr>
  </w:style>
  <w:style w:type="paragraph" w:styleId="IntenseQuote">
    <w:name w:val="Intense Quote"/>
    <w:basedOn w:val="Normal"/>
    <w:next w:val="Normal"/>
    <w:link w:val="IntenseQuoteChar"/>
    <w:uiPriority w:val="30"/>
    <w:qFormat/>
    <w:rsid w:val="00E03A3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E03A3E"/>
    <w:rPr>
      <w:i/>
      <w:iCs/>
      <w:color w:val="0F4761" w:themeColor="accent1" w:themeShade="BF"/>
    </w:rPr>
  </w:style>
  <w:style w:type="character" w:styleId="IntenseReference">
    <w:name w:val="Intense Reference"/>
    <w:basedOn w:val="DefaultParagraphFont"/>
    <w:uiPriority w:val="32"/>
    <w:qFormat/>
    <w:rsid w:val="00E03A3E"/>
    <w:rPr>
      <w:b/>
      <w:bCs/>
      <w:smallCaps/>
      <w:color w:val="0F4761" w:themeColor="accent1" w:themeShade="BF"/>
      <w:spacing w:val="5"/>
    </w:rPr>
  </w:style>
  <w:style w:type="character" w:styleId="Hyperlink">
    <w:name w:val="Hyperlink"/>
    <w:basedOn w:val="DefaultParagraphFont"/>
    <w:uiPriority w:val="99"/>
    <w:unhideWhenUsed/>
    <w:rsid w:val="00E03A3E"/>
    <w:rPr>
      <w:color w:val="467886" w:themeColor="hyperlink"/>
      <w:u w:val="single"/>
    </w:rPr>
  </w:style>
  <w:style w:type="paragraph" w:styleId="Header">
    <w:name w:val="header"/>
    <w:basedOn w:val="Normal"/>
    <w:link w:val="HeaderChar"/>
    <w:uiPriority w:val="99"/>
    <w:unhideWhenUsed/>
    <w:rsid w:val="00F2499A"/>
    <w:pPr>
      <w:tabs>
        <w:tab w:val="center" w:pos="4680"/>
        <w:tab w:val="right" w:pos="9360"/>
      </w:tabs>
    </w:pPr>
  </w:style>
  <w:style w:type="character" w:customStyle="1" w:styleId="HeaderChar">
    <w:name w:val="Header Char"/>
    <w:basedOn w:val="DefaultParagraphFont"/>
    <w:link w:val="Header"/>
    <w:uiPriority w:val="99"/>
    <w:rsid w:val="00F2499A"/>
    <w:rPr>
      <w:rFonts w:ascii="Times New Roman" w:eastAsia="Times New Roman" w:hAnsi="Times New Roman" w:cs="Times New Roman"/>
      <w:kern w:val="0"/>
      <w:lang w:val="en-GB"/>
      <w14:ligatures w14:val="none"/>
    </w:rPr>
  </w:style>
  <w:style w:type="paragraph" w:styleId="Footer">
    <w:name w:val="footer"/>
    <w:basedOn w:val="Normal"/>
    <w:link w:val="FooterChar"/>
    <w:uiPriority w:val="99"/>
    <w:unhideWhenUsed/>
    <w:rsid w:val="00F2499A"/>
    <w:pPr>
      <w:tabs>
        <w:tab w:val="center" w:pos="4680"/>
        <w:tab w:val="right" w:pos="9360"/>
      </w:tabs>
    </w:pPr>
  </w:style>
  <w:style w:type="character" w:customStyle="1" w:styleId="FooterChar">
    <w:name w:val="Footer Char"/>
    <w:basedOn w:val="DefaultParagraphFont"/>
    <w:link w:val="Footer"/>
    <w:uiPriority w:val="99"/>
    <w:rsid w:val="00F2499A"/>
    <w:rPr>
      <w:rFonts w:ascii="Times New Roman" w:eastAsia="Times New Roman" w:hAnsi="Times New Roman" w:cs="Times New Roman"/>
      <w:kern w:val="0"/>
      <w:lang w:val="en-GB"/>
      <w14:ligatures w14:val="none"/>
    </w:rPr>
  </w:style>
  <w:style w:type="paragraph" w:styleId="Revision">
    <w:name w:val="Revision"/>
    <w:hidden/>
    <w:uiPriority w:val="99"/>
    <w:semiHidden/>
    <w:rsid w:val="00A20117"/>
    <w:pPr>
      <w:spacing w:after="0" w:line="240" w:lineRule="auto"/>
    </w:pPr>
    <w:rPr>
      <w:rFonts w:ascii="Times New Roman" w:eastAsia="Times New Roman" w:hAnsi="Times New Roman" w:cs="Times New Roman"/>
      <w:kern w:val="0"/>
      <w:lang w:val="en-GB"/>
      <w14:ligatures w14:val="none"/>
    </w:rPr>
  </w:style>
  <w:style w:type="paragraph" w:customStyle="1" w:styleId="Default">
    <w:name w:val="Default"/>
    <w:rsid w:val="000E3428"/>
    <w:pPr>
      <w:autoSpaceDE w:val="0"/>
      <w:autoSpaceDN w:val="0"/>
      <w:adjustRightInd w:val="0"/>
      <w:spacing w:after="0" w:line="240" w:lineRule="auto"/>
    </w:pPr>
    <w:rPr>
      <w:rFonts w:ascii="Arial" w:hAnsi="Arial" w:cs="Arial"/>
      <w:color w:val="000000"/>
      <w:kern w:val="0"/>
    </w:rPr>
  </w:style>
  <w:style w:type="character" w:styleId="CommentReference">
    <w:name w:val="annotation reference"/>
    <w:basedOn w:val="DefaultParagraphFont"/>
    <w:uiPriority w:val="99"/>
    <w:semiHidden/>
    <w:unhideWhenUsed/>
    <w:rsid w:val="009F43A7"/>
    <w:rPr>
      <w:sz w:val="16"/>
      <w:szCs w:val="16"/>
    </w:rPr>
  </w:style>
  <w:style w:type="paragraph" w:styleId="CommentText">
    <w:name w:val="annotation text"/>
    <w:basedOn w:val="Normal"/>
    <w:link w:val="CommentTextChar"/>
    <w:uiPriority w:val="99"/>
    <w:unhideWhenUsed/>
    <w:rsid w:val="009F43A7"/>
    <w:rPr>
      <w:sz w:val="20"/>
      <w:szCs w:val="20"/>
    </w:rPr>
  </w:style>
  <w:style w:type="character" w:customStyle="1" w:styleId="CommentTextChar">
    <w:name w:val="Comment Text Char"/>
    <w:basedOn w:val="DefaultParagraphFont"/>
    <w:link w:val="CommentText"/>
    <w:uiPriority w:val="99"/>
    <w:rsid w:val="009F43A7"/>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9F43A7"/>
    <w:rPr>
      <w:b/>
      <w:bCs/>
    </w:rPr>
  </w:style>
  <w:style w:type="character" w:customStyle="1" w:styleId="CommentSubjectChar">
    <w:name w:val="Comment Subject Char"/>
    <w:basedOn w:val="CommentTextChar"/>
    <w:link w:val="CommentSubject"/>
    <w:uiPriority w:val="99"/>
    <w:semiHidden/>
    <w:rsid w:val="009F43A7"/>
    <w:rPr>
      <w:rFonts w:ascii="Times New Roman" w:eastAsia="Times New Roman" w:hAnsi="Times New Roman" w:cs="Times New Roman"/>
      <w:b/>
      <w:bCs/>
      <w:kern w:val="0"/>
      <w:sz w:val="20"/>
      <w:szCs w:val="20"/>
      <w:lang w:val="en-GB"/>
      <w14:ligatures w14:val="none"/>
    </w:rPr>
  </w:style>
  <w:style w:type="character" w:styleId="UnresolvedMention">
    <w:name w:val="Unresolved Mention"/>
    <w:basedOn w:val="DefaultParagraphFont"/>
    <w:uiPriority w:val="99"/>
    <w:semiHidden/>
    <w:unhideWhenUsed/>
    <w:rsid w:val="00F0218B"/>
    <w:rPr>
      <w:color w:val="605E5C"/>
      <w:shd w:val="clear" w:color="auto" w:fill="E1DFDD"/>
    </w:rPr>
  </w:style>
  <w:style w:type="paragraph" w:styleId="FootnoteText">
    <w:name w:val="footnote text"/>
    <w:basedOn w:val="Normal"/>
    <w:link w:val="FootnoteTextChar"/>
    <w:uiPriority w:val="99"/>
    <w:semiHidden/>
    <w:unhideWhenUsed/>
    <w:rsid w:val="00CE672C"/>
    <w:pPr>
      <w:spacing w:after="200" w:line="276" w:lineRule="auto"/>
    </w:pPr>
    <w:rPr>
      <w:rFonts w:ascii="Calibri" w:eastAsia="Calibri" w:hAnsi="Calibri"/>
      <w:sz w:val="20"/>
      <w:szCs w:val="20"/>
      <w:lang w:val="en-AU"/>
    </w:rPr>
  </w:style>
  <w:style w:type="character" w:customStyle="1" w:styleId="FootnoteTextChar">
    <w:name w:val="Footnote Text Char"/>
    <w:basedOn w:val="DefaultParagraphFont"/>
    <w:link w:val="FootnoteText"/>
    <w:uiPriority w:val="99"/>
    <w:semiHidden/>
    <w:rsid w:val="00CE672C"/>
    <w:rPr>
      <w:rFonts w:ascii="Calibri" w:eastAsia="Calibri" w:hAnsi="Calibri" w:cs="Times New Roman"/>
      <w:kern w:val="0"/>
      <w:sz w:val="20"/>
      <w:szCs w:val="20"/>
      <w:lang w:val="en-AU"/>
      <w14:ligatures w14:val="none"/>
    </w:rPr>
  </w:style>
  <w:style w:type="character" w:styleId="FootnoteReference">
    <w:name w:val="footnote reference"/>
    <w:basedOn w:val="DefaultParagraphFont"/>
    <w:uiPriority w:val="99"/>
    <w:semiHidden/>
    <w:unhideWhenUsed/>
    <w:rsid w:val="00CE672C"/>
    <w:rPr>
      <w:vertAlign w:val="superscript"/>
    </w:rPr>
  </w:style>
  <w:style w:type="character" w:styleId="FollowedHyperlink">
    <w:name w:val="FollowedHyperlink"/>
    <w:basedOn w:val="DefaultParagraphFont"/>
    <w:uiPriority w:val="99"/>
    <w:semiHidden/>
    <w:unhideWhenUsed/>
    <w:rsid w:val="00D3425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o.org/fishery/en/collection/firms-tuna-atlas" TargetMode="External"/><Relationship Id="rId13" Type="http://schemas.openxmlformats.org/officeDocument/2006/relationships/hyperlink" Target="https://www.fao.org/fishery/en" TargetMode="External"/><Relationship Id="rId18" Type="http://schemas.openxmlformats.org/officeDocument/2006/relationships/hyperlink" Target="https://www.un.org/bbnjagreement/en/meetings/preparatory-commission/documents/second-session-18-29-august-2025"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firms.fao.org/firms/en" TargetMode="External"/><Relationship Id="rId12" Type="http://schemas.openxmlformats.org/officeDocument/2006/relationships/hyperlink" Target="https://www.iccat.int/en/pubs_CVSP.html" TargetMode="External"/><Relationship Id="rId17" Type="http://schemas.openxmlformats.org/officeDocument/2006/relationships/hyperlink" Target="https://www.med-ac.eu/pareri-lettere/medac-advice-iccat-plenary-session-2026/" TargetMode="External"/><Relationship Id="rId2" Type="http://schemas.openxmlformats.org/officeDocument/2006/relationships/styles" Target="styles.xml"/><Relationship Id="rId16" Type="http://schemas.openxmlformats.org/officeDocument/2006/relationships/hyperlink" Target="https://www.med-ac.eu/pareri-lettere/medac-advice-iccat-plenary-session-2026" TargetMode="External"/><Relationship Id="rId20" Type="http://schemas.openxmlformats.org/officeDocument/2006/relationships/hyperlink" Target="https://www.un.org/bbnjagreement/e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cat.int/en/pubs_CVSP.html"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iccat.int/Documents/Meetings/Docs/2026/reports/2026_WG-ORT_ENG.pdf" TargetMode="External"/><Relationship Id="rId23" Type="http://schemas.openxmlformats.org/officeDocument/2006/relationships/fontTable" Target="fontTable.xml"/><Relationship Id="rId10" Type="http://schemas.openxmlformats.org/officeDocument/2006/relationships/hyperlink" Target="https://www.iccat.int/en/pubs_CVSP.html" TargetMode="External"/><Relationship Id="rId19" Type="http://schemas.openxmlformats.org/officeDocument/2006/relationships/hyperlink" Target="https://www.un.org/bbnjagreement/sites/default/files/2026-03/TunaRfmos_CoopArrang_23MarchRev2.pdf" TargetMode="External"/><Relationship Id="rId4" Type="http://schemas.openxmlformats.org/officeDocument/2006/relationships/webSettings" Target="webSettings.xml"/><Relationship Id="rId9" Type="http://schemas.openxmlformats.org/officeDocument/2006/relationships/hyperlink" Target="https://www.iccat.int/en/" TargetMode="External"/><Relationship Id="rId14" Type="http://schemas.openxmlformats.org/officeDocument/2006/relationships/hyperlink" Target="https://www.fao.org/fishery/en/openasf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2476</Words>
  <Characters>14117</Characters>
  <Application>Microsoft Office Word</Application>
  <DocSecurity>4</DocSecurity>
  <Lines>117</Lines>
  <Paragraphs>33</Paragraphs>
  <ScaleCrop>false</ScaleCrop>
  <Company/>
  <LinksUpToDate>false</LinksUpToDate>
  <CharactersWithSpaces>16560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2026-10-15T12:09:00Z</dcterms:created>
  <dcterms:modified xsi:type="dcterms:W3CDTF">2026-10-15T12:09:00Z</dcterms:modified>
</cp:coreProperties>
</file>