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BF2D4" w14:textId="7DDFA5C3" w:rsidR="00A8753E" w:rsidRPr="00920E3A" w:rsidRDefault="00A8753E" w:rsidP="00A8753E">
      <w:pPr>
        <w:tabs>
          <w:tab w:val="left" w:pos="7797"/>
          <w:tab w:val="left" w:pos="8505"/>
        </w:tabs>
        <w:autoSpaceDE w:val="0"/>
        <w:autoSpaceDN w:val="0"/>
        <w:adjustRightInd w:val="0"/>
        <w:jc w:val="right"/>
        <w:rPr>
          <w:rFonts w:eastAsia="MS PGothic" w:cs="Times New Roman"/>
          <w:b/>
          <w:color w:val="000000"/>
          <w:lang w:bidi="es-ES"/>
        </w:rPr>
      </w:pPr>
      <w:r w:rsidRPr="00920E3A">
        <w:rPr>
          <w:rFonts w:eastAsia="MS PGothic" w:cs="Times New Roman"/>
          <w:b/>
          <w:color w:val="000000"/>
          <w:lang w:bidi="es-ES"/>
        </w:rPr>
        <w:t>Original: inglés</w:t>
      </w:r>
    </w:p>
    <w:p w14:paraId="489B4CE2" w14:textId="77777777" w:rsidR="00A8753E" w:rsidRPr="00920E3A" w:rsidRDefault="00A8753E" w:rsidP="00A8753E">
      <w:pPr>
        <w:tabs>
          <w:tab w:val="left" w:pos="7797"/>
          <w:tab w:val="left" w:pos="8505"/>
        </w:tabs>
        <w:autoSpaceDE w:val="0"/>
        <w:autoSpaceDN w:val="0"/>
        <w:adjustRightInd w:val="0"/>
        <w:jc w:val="right"/>
        <w:rPr>
          <w:rFonts w:eastAsia="MS PGothic" w:cs="Times New Roman"/>
          <w:b/>
          <w:color w:val="000000"/>
          <w:lang w:bidi="es-ES"/>
        </w:rPr>
      </w:pPr>
    </w:p>
    <w:p w14:paraId="08A01D28" w14:textId="18C6B683" w:rsidR="008346AE" w:rsidRPr="00920E3A" w:rsidRDefault="001A13B1" w:rsidP="001A13B1">
      <w:pPr>
        <w:jc w:val="center"/>
        <w:rPr>
          <w:rFonts w:eastAsia="MS PGothic" w:cs="Times New Roman"/>
          <w:b/>
          <w:color w:val="000000"/>
          <w:lang w:bidi="es-ES"/>
        </w:rPr>
      </w:pPr>
      <w:r w:rsidRPr="00920E3A">
        <w:rPr>
          <w:rFonts w:eastAsia="MS PGothic" w:cs="Times New Roman"/>
          <w:b/>
          <w:color w:val="000000"/>
          <w:lang w:bidi="es-ES"/>
        </w:rPr>
        <w:t>P</w:t>
      </w:r>
      <w:r w:rsidR="008346AE" w:rsidRPr="00920E3A">
        <w:rPr>
          <w:b/>
          <w:szCs w:val="22"/>
        </w:rPr>
        <w:t>ortada para acompañar nuevas propuestas</w:t>
      </w:r>
    </w:p>
    <w:p w14:paraId="2CAEAE08" w14:textId="77777777" w:rsidR="009D4B66" w:rsidRPr="00920E3A" w:rsidRDefault="009D4B66" w:rsidP="009D4B66">
      <w:pPr>
        <w:tabs>
          <w:tab w:val="left" w:pos="284"/>
        </w:tabs>
        <w:jc w:val="center"/>
        <w:rPr>
          <w:i/>
        </w:rPr>
      </w:pPr>
      <w:r w:rsidRPr="00920E3A">
        <w:rPr>
          <w:rFonts w:eastAsia="Times New Roman" w:cs="Times New Roman"/>
          <w:i/>
          <w:iCs/>
        </w:rPr>
        <w:t>(presentado por Belice, Barbados y Granada)</w:t>
      </w:r>
    </w:p>
    <w:p w14:paraId="5649830D" w14:textId="77777777" w:rsidR="008346AE" w:rsidRPr="00920E3A" w:rsidRDefault="008346AE" w:rsidP="008346AE">
      <w:pPr>
        <w:widowControl w:val="0"/>
        <w:autoSpaceDE w:val="0"/>
        <w:autoSpaceDN w:val="0"/>
        <w:ind w:right="392"/>
        <w:jc w:val="left"/>
        <w:rPr>
          <w:b/>
        </w:rPr>
      </w:pPr>
    </w:p>
    <w:p w14:paraId="5D3572B2" w14:textId="77777777" w:rsidR="008346AE" w:rsidRPr="00920E3A" w:rsidRDefault="008346AE" w:rsidP="008346AE">
      <w:pPr>
        <w:widowControl w:val="0"/>
        <w:autoSpaceDE w:val="0"/>
        <w:autoSpaceDN w:val="0"/>
        <w:jc w:val="left"/>
      </w:pPr>
    </w:p>
    <w:p w14:paraId="7F726569" w14:textId="0863C59E" w:rsidR="008346AE" w:rsidRPr="00920E3A" w:rsidRDefault="008346AE" w:rsidP="008346AE">
      <w:pPr>
        <w:tabs>
          <w:tab w:val="left" w:pos="7797"/>
          <w:tab w:val="left" w:pos="8505"/>
        </w:tabs>
        <w:autoSpaceDE w:val="0"/>
        <w:autoSpaceDN w:val="0"/>
        <w:adjustRightInd w:val="0"/>
        <w:rPr>
          <w:rFonts w:eastAsia="MS PGothic" w:cs="Times New Roman"/>
          <w:bCs/>
          <w:color w:val="000000"/>
          <w:lang w:bidi="es-ES"/>
        </w:rPr>
      </w:pPr>
      <w:r w:rsidRPr="00920E3A">
        <w:rPr>
          <w:b/>
          <w:szCs w:val="22"/>
        </w:rPr>
        <w:t>Título de la propuesta de Proyecto de Recomendación/Resolución:</w:t>
      </w:r>
      <w:r w:rsidRPr="00920E3A">
        <w:rPr>
          <w:bCs/>
          <w:szCs w:val="22"/>
        </w:rPr>
        <w:t xml:space="preserve"> </w:t>
      </w:r>
      <w:r w:rsidRPr="00920E3A">
        <w:rPr>
          <w:rFonts w:eastAsia="MS PGothic" w:cs="Times New Roman"/>
          <w:bCs/>
          <w:color w:val="EE0000"/>
          <w:lang w:bidi="es-ES"/>
        </w:rPr>
        <w:t>Proyecto de Recomendación de ICCAT para establecer programas de recuperación para la aguja azul y aguja blanca/marlín peto</w:t>
      </w:r>
    </w:p>
    <w:p w14:paraId="0CF86311" w14:textId="77777777" w:rsidR="008346AE" w:rsidRPr="00920E3A" w:rsidRDefault="008346AE" w:rsidP="008346AE">
      <w:pPr>
        <w:widowControl w:val="0"/>
        <w:autoSpaceDE w:val="0"/>
        <w:autoSpaceDN w:val="0"/>
        <w:ind w:left="318"/>
      </w:pPr>
    </w:p>
    <w:p w14:paraId="2FFD3FA5" w14:textId="5D6E9009" w:rsidR="008346AE" w:rsidRPr="00920E3A" w:rsidRDefault="008346AE" w:rsidP="008346AE">
      <w:pPr>
        <w:widowControl w:val="0"/>
        <w:autoSpaceDE w:val="0"/>
        <w:autoSpaceDN w:val="0"/>
        <w:rPr>
          <w:rFonts w:eastAsia="MS PGothic" w:cs="Times New Roman"/>
          <w:bCs/>
          <w:color w:val="EE0000"/>
          <w:lang w:bidi="es-ES"/>
        </w:rPr>
      </w:pPr>
      <w:r w:rsidRPr="00920E3A">
        <w:rPr>
          <w:b/>
          <w:szCs w:val="22"/>
        </w:rPr>
        <w:t>Título de la(s) recomendación(es) o resolución(es) actualmente vigente(s) que aborda(n) la misma cuestión o cuestiones relacionadas:</w:t>
      </w:r>
      <w:r w:rsidR="009D4B66" w:rsidRPr="00920E3A">
        <w:rPr>
          <w:b/>
          <w:szCs w:val="22"/>
        </w:rPr>
        <w:t xml:space="preserve"> </w:t>
      </w:r>
      <w:r w:rsidR="009D4B66" w:rsidRPr="00920E3A">
        <w:rPr>
          <w:rFonts w:eastAsia="MS PGothic" w:cs="Times New Roman"/>
          <w:bCs/>
          <w:i/>
          <w:iCs/>
          <w:color w:val="EE0000"/>
          <w:lang w:bidi="es-ES"/>
        </w:rPr>
        <w:t>Recomendación de ICCAT para establecer programas de recuperación para la aguja azul y aguja blanca/marlín pet</w:t>
      </w:r>
      <w:r w:rsidR="009D4B66" w:rsidRPr="00920E3A">
        <w:rPr>
          <w:rFonts w:eastAsia="MS PGothic" w:cs="Times New Roman"/>
          <w:bCs/>
          <w:color w:val="EE0000"/>
          <w:lang w:bidi="es-ES"/>
        </w:rPr>
        <w:t>o</w:t>
      </w:r>
      <w:r w:rsidR="00440779" w:rsidRPr="00920E3A">
        <w:rPr>
          <w:rFonts w:eastAsia="MS PGothic" w:cs="Times New Roman"/>
          <w:bCs/>
          <w:color w:val="EE0000"/>
          <w:lang w:bidi="es-ES"/>
        </w:rPr>
        <w:t xml:space="preserve"> (Rec. 19-05)</w:t>
      </w:r>
    </w:p>
    <w:p w14:paraId="6494DA87" w14:textId="77777777" w:rsidR="00EF3BE8" w:rsidRPr="00920E3A" w:rsidRDefault="00EF3BE8" w:rsidP="008346AE">
      <w:pPr>
        <w:widowControl w:val="0"/>
        <w:autoSpaceDE w:val="0"/>
        <w:autoSpaceDN w:val="0"/>
        <w:rPr>
          <w:rFonts w:eastAsia="MS PGothic" w:cs="Times New Roman"/>
          <w:bCs/>
          <w:color w:val="EE0000"/>
          <w:lang w:bidi="es-ES"/>
        </w:rPr>
      </w:pPr>
    </w:p>
    <w:p w14:paraId="663DB844" w14:textId="68D3029C" w:rsidR="00EF3BE8" w:rsidRPr="00920E3A" w:rsidRDefault="00EF3BE8" w:rsidP="008346AE">
      <w:pPr>
        <w:widowControl w:val="0"/>
        <w:autoSpaceDE w:val="0"/>
        <w:autoSpaceDN w:val="0"/>
        <w:rPr>
          <w:rFonts w:eastAsia="MS PGothic" w:cs="Times New Roman"/>
          <w:bCs/>
          <w:i/>
          <w:iCs/>
          <w:color w:val="EE0000"/>
          <w:lang w:bidi="es-ES"/>
        </w:rPr>
      </w:pPr>
      <w:r w:rsidRPr="00920E3A">
        <w:rPr>
          <w:rFonts w:eastAsia="MS PGothic" w:cs="Times New Roman"/>
          <w:bCs/>
          <w:i/>
          <w:iCs/>
          <w:color w:val="EE0000"/>
          <w:lang w:bidi="es-ES"/>
        </w:rPr>
        <w:t xml:space="preserve">Recomendación de ICCAT para establecer medidas provisionales para las CPC costeras en desarrollo de ICCAT ante circunstancias atenuantes en relación con la Recomendación 19-05 </w:t>
      </w:r>
      <w:r w:rsidRPr="00920E3A">
        <w:rPr>
          <w:rFonts w:eastAsia="MS PGothic" w:cs="Times New Roman"/>
          <w:bCs/>
          <w:color w:val="EE0000"/>
          <w:lang w:bidi="es-ES"/>
        </w:rPr>
        <w:t>(Rec. 25-06)</w:t>
      </w:r>
    </w:p>
    <w:p w14:paraId="217F66D3" w14:textId="77777777" w:rsidR="008346AE" w:rsidRPr="00920E3A" w:rsidRDefault="008346AE" w:rsidP="008346AE">
      <w:pPr>
        <w:widowControl w:val="0"/>
        <w:autoSpaceDE w:val="0"/>
        <w:autoSpaceDN w:val="0"/>
        <w:ind w:left="318"/>
      </w:pPr>
    </w:p>
    <w:p w14:paraId="2F9863E0" w14:textId="77777777" w:rsidR="008346AE" w:rsidRPr="00920E3A" w:rsidRDefault="008346AE" w:rsidP="008346AE">
      <w:pPr>
        <w:widowControl w:val="0"/>
        <w:autoSpaceDE w:val="0"/>
        <w:autoSpaceDN w:val="0"/>
        <w:ind w:left="318"/>
      </w:pPr>
    </w:p>
    <w:p w14:paraId="043C5D33" w14:textId="77777777" w:rsidR="008346AE" w:rsidRPr="00920E3A" w:rsidRDefault="008346AE" w:rsidP="008346AE">
      <w:pPr>
        <w:widowControl w:val="0"/>
        <w:numPr>
          <w:ilvl w:val="0"/>
          <w:numId w:val="8"/>
        </w:numPr>
        <w:autoSpaceDE w:val="0"/>
        <w:autoSpaceDN w:val="0"/>
        <w:ind w:left="426" w:hanging="426"/>
        <w:jc w:val="left"/>
      </w:pPr>
      <w:r w:rsidRPr="00920E3A">
        <w:rPr>
          <w:szCs w:val="22"/>
        </w:rPr>
        <w:t xml:space="preserve">¿Crea nuevas </w:t>
      </w:r>
      <w:r w:rsidRPr="00920E3A">
        <w:rPr>
          <w:b/>
          <w:szCs w:val="22"/>
        </w:rPr>
        <w:t xml:space="preserve">obligaciones de comunicación </w:t>
      </w:r>
      <w:r w:rsidRPr="00920E3A">
        <w:rPr>
          <w:szCs w:val="22"/>
        </w:rPr>
        <w:t xml:space="preserve">para las CPC?    </w:t>
      </w:r>
    </w:p>
    <w:p w14:paraId="1AD01252" w14:textId="77777777" w:rsidR="008346AE" w:rsidRPr="00920E3A" w:rsidRDefault="008346AE" w:rsidP="008346AE">
      <w:pPr>
        <w:widowControl w:val="0"/>
        <w:autoSpaceDE w:val="0"/>
        <w:autoSpaceDN w:val="0"/>
        <w:ind w:left="426"/>
        <w:rPr>
          <w:szCs w:val="22"/>
        </w:rPr>
      </w:pPr>
    </w:p>
    <w:p w14:paraId="3B5B8E62" w14:textId="447C2340" w:rsidR="008346AE" w:rsidRPr="00920E3A" w:rsidRDefault="008346AE" w:rsidP="008346AE">
      <w:pPr>
        <w:widowControl w:val="0"/>
        <w:autoSpaceDE w:val="0"/>
        <w:autoSpaceDN w:val="0"/>
        <w:ind w:left="426"/>
      </w:pPr>
      <w:r w:rsidRPr="00920E3A">
        <w:rPr>
          <w:szCs w:val="22"/>
        </w:rPr>
        <w:t xml:space="preserve"> Sí </w:t>
      </w:r>
      <w:sdt>
        <w:sdtPr>
          <w:rPr>
            <w:spacing w:val="-2"/>
          </w:rPr>
          <w:id w:val="-485468198"/>
          <w14:checkbox>
            <w14:checked w14:val="0"/>
            <w14:checkedState w14:val="2612" w14:font="MS Gothic"/>
            <w14:uncheckedState w14:val="2610" w14:font="MS Gothic"/>
          </w14:checkbox>
        </w:sdtPr>
        <w:sdtEndPr/>
        <w:sdtContent>
          <w:r w:rsidRPr="00920E3A">
            <w:rPr>
              <w:rFonts w:ascii="Segoe UI Symbol" w:hAnsi="Segoe UI Symbol" w:cs="Segoe UI Symbol"/>
              <w:spacing w:val="-2"/>
            </w:rPr>
            <w:t>☐</w:t>
          </w:r>
        </w:sdtContent>
      </w:sdt>
      <w:r w:rsidRPr="00920E3A">
        <w:rPr>
          <w:szCs w:val="22"/>
        </w:rPr>
        <w:tab/>
      </w:r>
      <w:r w:rsidRPr="00920E3A">
        <w:rPr>
          <w:color w:val="FF0000"/>
          <w:szCs w:val="22"/>
        </w:rPr>
        <w:t xml:space="preserve">No </w:t>
      </w:r>
      <w:sdt>
        <w:sdtPr>
          <w:rPr>
            <w:color w:val="FF0000"/>
            <w:spacing w:val="-2"/>
          </w:rPr>
          <w:id w:val="1023908184"/>
          <w14:checkbox>
            <w14:checked w14:val="1"/>
            <w14:checkedState w14:val="2612" w14:font="MS Gothic"/>
            <w14:uncheckedState w14:val="2610" w14:font="MS Gothic"/>
          </w14:checkbox>
        </w:sdtPr>
        <w:sdtEndPr/>
        <w:sdtContent>
          <w:r w:rsidR="00440779" w:rsidRPr="00920E3A">
            <w:rPr>
              <w:rFonts w:ascii="MS Gothic" w:eastAsia="MS Gothic" w:hAnsi="MS Gothic" w:hint="eastAsia"/>
              <w:color w:val="FF0000"/>
              <w:spacing w:val="-2"/>
            </w:rPr>
            <w:t>☒</w:t>
          </w:r>
        </w:sdtContent>
      </w:sdt>
    </w:p>
    <w:p w14:paraId="42722117" w14:textId="77777777" w:rsidR="008346AE" w:rsidRPr="00920E3A" w:rsidRDefault="008346AE" w:rsidP="008346AE">
      <w:pPr>
        <w:widowControl w:val="0"/>
        <w:autoSpaceDE w:val="0"/>
        <w:autoSpaceDN w:val="0"/>
        <w:jc w:val="left"/>
      </w:pPr>
    </w:p>
    <w:p w14:paraId="2F6C40E1" w14:textId="77777777" w:rsidR="008346AE" w:rsidRPr="00920E3A" w:rsidRDefault="008346AE" w:rsidP="008346AE">
      <w:pPr>
        <w:widowControl w:val="0"/>
        <w:autoSpaceDE w:val="0"/>
        <w:autoSpaceDN w:val="0"/>
        <w:ind w:left="426"/>
      </w:pPr>
      <w:r w:rsidRPr="00920E3A">
        <w:rPr>
          <w:szCs w:val="22"/>
        </w:rPr>
        <w:t>Breve descripción de la(s) nueva(s) obligación(es) de comunicación:</w:t>
      </w:r>
    </w:p>
    <w:p w14:paraId="6701C330" w14:textId="77777777" w:rsidR="008346AE" w:rsidRPr="00920E3A" w:rsidRDefault="008346AE" w:rsidP="008346AE">
      <w:pPr>
        <w:widowControl w:val="0"/>
        <w:autoSpaceDE w:val="0"/>
        <w:autoSpaceDN w:val="0"/>
        <w:jc w:val="left"/>
      </w:pPr>
    </w:p>
    <w:p w14:paraId="49AA0545" w14:textId="77777777" w:rsidR="008346AE" w:rsidRPr="00920E3A" w:rsidRDefault="008346AE" w:rsidP="008346AE">
      <w:pPr>
        <w:widowControl w:val="0"/>
        <w:autoSpaceDE w:val="0"/>
        <w:autoSpaceDN w:val="0"/>
        <w:jc w:val="left"/>
      </w:pPr>
    </w:p>
    <w:p w14:paraId="1A98F312" w14:textId="77777777" w:rsidR="008346AE" w:rsidRPr="00920E3A" w:rsidRDefault="008346AE" w:rsidP="008346AE">
      <w:pPr>
        <w:widowControl w:val="0"/>
        <w:autoSpaceDE w:val="0"/>
        <w:autoSpaceDN w:val="0"/>
        <w:ind w:left="318"/>
        <w:jc w:val="left"/>
      </w:pPr>
    </w:p>
    <w:p w14:paraId="78B1CC8E" w14:textId="77777777" w:rsidR="008346AE" w:rsidRPr="00920E3A" w:rsidRDefault="008346AE" w:rsidP="008346AE">
      <w:pPr>
        <w:widowControl w:val="0"/>
        <w:numPr>
          <w:ilvl w:val="0"/>
          <w:numId w:val="8"/>
        </w:numPr>
        <w:tabs>
          <w:tab w:val="left" w:pos="6804"/>
        </w:tabs>
        <w:autoSpaceDE w:val="0"/>
        <w:autoSpaceDN w:val="0"/>
        <w:ind w:left="426" w:hanging="426"/>
        <w:jc w:val="left"/>
      </w:pPr>
      <w:r w:rsidRPr="00920E3A">
        <w:rPr>
          <w:szCs w:val="22"/>
        </w:rPr>
        <w:t xml:space="preserve">¿Requiere aportaciones o </w:t>
      </w:r>
      <w:r w:rsidRPr="00920E3A">
        <w:rPr>
          <w:b/>
          <w:szCs w:val="22"/>
        </w:rPr>
        <w:t xml:space="preserve">trabajo </w:t>
      </w:r>
      <w:r w:rsidRPr="00920E3A">
        <w:rPr>
          <w:bCs/>
          <w:szCs w:val="22"/>
        </w:rPr>
        <w:t>adicional</w:t>
      </w:r>
      <w:r w:rsidRPr="00920E3A">
        <w:rPr>
          <w:b/>
          <w:szCs w:val="22"/>
        </w:rPr>
        <w:t xml:space="preserve"> por parte del SCRS</w:t>
      </w:r>
      <w:r w:rsidRPr="00920E3A">
        <w:rPr>
          <w:szCs w:val="22"/>
        </w:rPr>
        <w:t xml:space="preserve">?   </w:t>
      </w:r>
    </w:p>
    <w:p w14:paraId="58016DAD" w14:textId="77777777" w:rsidR="008346AE" w:rsidRPr="00920E3A" w:rsidRDefault="008346AE" w:rsidP="008346AE">
      <w:pPr>
        <w:widowControl w:val="0"/>
        <w:tabs>
          <w:tab w:val="left" w:pos="6804"/>
        </w:tabs>
        <w:autoSpaceDE w:val="0"/>
        <w:autoSpaceDN w:val="0"/>
        <w:ind w:left="426"/>
        <w:rPr>
          <w:szCs w:val="22"/>
        </w:rPr>
      </w:pPr>
    </w:p>
    <w:p w14:paraId="49D97D0F" w14:textId="3E57F337" w:rsidR="008346AE" w:rsidRPr="00920E3A" w:rsidRDefault="008346AE" w:rsidP="008346AE">
      <w:pPr>
        <w:widowControl w:val="0"/>
        <w:tabs>
          <w:tab w:val="left" w:pos="6804"/>
        </w:tabs>
        <w:autoSpaceDE w:val="0"/>
        <w:autoSpaceDN w:val="0"/>
        <w:ind w:left="426"/>
      </w:pPr>
      <w:r w:rsidRPr="00920E3A">
        <w:rPr>
          <w:szCs w:val="22"/>
        </w:rPr>
        <w:t xml:space="preserve"> Sí </w:t>
      </w:r>
      <w:sdt>
        <w:sdtPr>
          <w:rPr>
            <w:spacing w:val="-2"/>
          </w:rPr>
          <w:id w:val="-1931580304"/>
          <w14:checkbox>
            <w14:checked w14:val="0"/>
            <w14:checkedState w14:val="2612" w14:font="MS Gothic"/>
            <w14:uncheckedState w14:val="2610" w14:font="MS Gothic"/>
          </w14:checkbox>
        </w:sdtPr>
        <w:sdtEndPr/>
        <w:sdtContent>
          <w:r w:rsidRPr="00920E3A">
            <w:rPr>
              <w:rFonts w:ascii="Segoe UI Symbol" w:hAnsi="Segoe UI Symbol" w:cs="Segoe UI Symbol"/>
              <w:spacing w:val="-2"/>
            </w:rPr>
            <w:t>☐</w:t>
          </w:r>
        </w:sdtContent>
      </w:sdt>
      <w:r w:rsidRPr="00920E3A">
        <w:rPr>
          <w:szCs w:val="22"/>
        </w:rPr>
        <w:t xml:space="preserve">          </w:t>
      </w:r>
      <w:r w:rsidRPr="00920E3A">
        <w:rPr>
          <w:color w:val="FF0000"/>
          <w:szCs w:val="22"/>
        </w:rPr>
        <w:t xml:space="preserve">   No </w:t>
      </w:r>
      <w:sdt>
        <w:sdtPr>
          <w:rPr>
            <w:color w:val="FF0000"/>
            <w:spacing w:val="-2"/>
          </w:rPr>
          <w:id w:val="1897850327"/>
          <w14:checkbox>
            <w14:checked w14:val="1"/>
            <w14:checkedState w14:val="2612" w14:font="MS Gothic"/>
            <w14:uncheckedState w14:val="2610" w14:font="MS Gothic"/>
          </w14:checkbox>
        </w:sdtPr>
        <w:sdtEndPr/>
        <w:sdtContent>
          <w:r w:rsidR="00440779" w:rsidRPr="00920E3A">
            <w:rPr>
              <w:rFonts w:ascii="MS Gothic" w:eastAsia="MS Gothic" w:hAnsi="MS Gothic" w:hint="eastAsia"/>
              <w:color w:val="FF0000"/>
              <w:spacing w:val="-2"/>
            </w:rPr>
            <w:t>☒</w:t>
          </w:r>
        </w:sdtContent>
      </w:sdt>
    </w:p>
    <w:p w14:paraId="379F81EA" w14:textId="77777777" w:rsidR="008346AE" w:rsidRPr="00920E3A" w:rsidRDefault="008346AE" w:rsidP="008346AE">
      <w:pPr>
        <w:widowControl w:val="0"/>
        <w:autoSpaceDE w:val="0"/>
        <w:autoSpaceDN w:val="0"/>
        <w:ind w:left="360"/>
        <w:jc w:val="left"/>
      </w:pPr>
    </w:p>
    <w:p w14:paraId="7D47C333" w14:textId="77777777" w:rsidR="008346AE" w:rsidRPr="00920E3A" w:rsidRDefault="008346AE" w:rsidP="008346AE">
      <w:pPr>
        <w:widowControl w:val="0"/>
        <w:tabs>
          <w:tab w:val="left" w:pos="6804"/>
          <w:tab w:val="left" w:pos="7371"/>
        </w:tabs>
        <w:autoSpaceDE w:val="0"/>
        <w:autoSpaceDN w:val="0"/>
        <w:ind w:left="360" w:firstLine="66"/>
        <w:rPr>
          <w:szCs w:val="22"/>
        </w:rPr>
      </w:pPr>
      <w:r w:rsidRPr="00920E3A">
        <w:rPr>
          <w:szCs w:val="22"/>
        </w:rPr>
        <w:t>¿Está este trabajo ya incluido en el Plan de trabajo actual del SCRS?</w:t>
      </w:r>
      <w:r w:rsidRPr="00920E3A">
        <w:rPr>
          <w:szCs w:val="22"/>
        </w:rPr>
        <w:tab/>
      </w:r>
    </w:p>
    <w:p w14:paraId="45186986" w14:textId="77777777" w:rsidR="008346AE" w:rsidRPr="00920E3A" w:rsidRDefault="008346AE" w:rsidP="008346AE">
      <w:pPr>
        <w:widowControl w:val="0"/>
        <w:autoSpaceDE w:val="0"/>
        <w:autoSpaceDN w:val="0"/>
        <w:ind w:left="360"/>
        <w:jc w:val="left"/>
      </w:pPr>
    </w:p>
    <w:p w14:paraId="54950608" w14:textId="40828E82" w:rsidR="008346AE" w:rsidRPr="00920E3A" w:rsidRDefault="008346AE" w:rsidP="008346AE">
      <w:pPr>
        <w:widowControl w:val="0"/>
        <w:tabs>
          <w:tab w:val="left" w:pos="6804"/>
        </w:tabs>
        <w:autoSpaceDE w:val="0"/>
        <w:autoSpaceDN w:val="0"/>
        <w:ind w:left="426"/>
      </w:pPr>
      <w:r w:rsidRPr="00920E3A">
        <w:rPr>
          <w:szCs w:val="22"/>
        </w:rPr>
        <w:t xml:space="preserve"> </w:t>
      </w:r>
      <w:r w:rsidRPr="00920E3A">
        <w:rPr>
          <w:color w:val="EE0000"/>
          <w:szCs w:val="22"/>
        </w:rPr>
        <w:t xml:space="preserve">Sí </w:t>
      </w:r>
      <w:sdt>
        <w:sdtPr>
          <w:rPr>
            <w:color w:val="EE0000"/>
            <w:spacing w:val="-2"/>
          </w:rPr>
          <w:id w:val="-2054992072"/>
          <w14:checkbox>
            <w14:checked w14:val="1"/>
            <w14:checkedState w14:val="2612" w14:font="MS Gothic"/>
            <w14:uncheckedState w14:val="2610" w14:font="MS Gothic"/>
          </w14:checkbox>
        </w:sdtPr>
        <w:sdtEndPr/>
        <w:sdtContent>
          <w:r w:rsidR="004073A0" w:rsidRPr="00920E3A">
            <w:rPr>
              <w:rFonts w:ascii="MS Gothic" w:eastAsia="MS Gothic" w:hAnsi="MS Gothic" w:hint="eastAsia"/>
              <w:color w:val="EE0000"/>
              <w:spacing w:val="-2"/>
            </w:rPr>
            <w:t>☒</w:t>
          </w:r>
        </w:sdtContent>
      </w:sdt>
      <w:r w:rsidRPr="00920E3A">
        <w:rPr>
          <w:color w:val="EE0000"/>
          <w:szCs w:val="22"/>
        </w:rPr>
        <w:t xml:space="preserve">  </w:t>
      </w:r>
      <w:r w:rsidRPr="00920E3A">
        <w:rPr>
          <w:szCs w:val="22"/>
        </w:rPr>
        <w:t xml:space="preserve">           No </w:t>
      </w:r>
      <w:sdt>
        <w:sdtPr>
          <w:rPr>
            <w:spacing w:val="-2"/>
          </w:rPr>
          <w:id w:val="1894932277"/>
          <w14:checkbox>
            <w14:checked w14:val="0"/>
            <w14:checkedState w14:val="2612" w14:font="MS Gothic"/>
            <w14:uncheckedState w14:val="2610" w14:font="MS Gothic"/>
          </w14:checkbox>
        </w:sdtPr>
        <w:sdtEndPr/>
        <w:sdtContent>
          <w:r w:rsidRPr="00920E3A">
            <w:rPr>
              <w:rFonts w:ascii="Segoe UI Symbol" w:hAnsi="Segoe UI Symbol" w:cs="Segoe UI Symbol"/>
              <w:spacing w:val="-2"/>
            </w:rPr>
            <w:t>☐</w:t>
          </w:r>
        </w:sdtContent>
      </w:sdt>
    </w:p>
    <w:p w14:paraId="74153E44" w14:textId="77777777" w:rsidR="008346AE" w:rsidRPr="00920E3A" w:rsidRDefault="008346AE" w:rsidP="008346AE">
      <w:pPr>
        <w:widowControl w:val="0"/>
        <w:autoSpaceDE w:val="0"/>
        <w:autoSpaceDN w:val="0"/>
        <w:ind w:left="360"/>
        <w:jc w:val="left"/>
      </w:pPr>
    </w:p>
    <w:p w14:paraId="6E029CFA" w14:textId="77777777" w:rsidR="008346AE" w:rsidRPr="00920E3A" w:rsidRDefault="008346AE" w:rsidP="008346AE">
      <w:pPr>
        <w:widowControl w:val="0"/>
        <w:autoSpaceDE w:val="0"/>
        <w:autoSpaceDN w:val="0"/>
        <w:ind w:left="360"/>
      </w:pPr>
      <w:r w:rsidRPr="00920E3A">
        <w:rPr>
          <w:szCs w:val="22"/>
        </w:rPr>
        <w:t xml:space="preserve">Breve descripción del nuevo trabajo científico necesario (es decir, evaluación del stock, análisis, consultor externo): </w:t>
      </w:r>
    </w:p>
    <w:p w14:paraId="754D20C6" w14:textId="77777777" w:rsidR="008346AE" w:rsidRPr="00920E3A" w:rsidRDefault="008346AE" w:rsidP="008346AE">
      <w:pPr>
        <w:widowControl w:val="0"/>
        <w:autoSpaceDE w:val="0"/>
        <w:autoSpaceDN w:val="0"/>
        <w:ind w:left="318"/>
        <w:jc w:val="left"/>
      </w:pPr>
    </w:p>
    <w:p w14:paraId="2AEF32CF" w14:textId="77777777" w:rsidR="008346AE" w:rsidRPr="00920E3A" w:rsidRDefault="008346AE" w:rsidP="008346AE">
      <w:pPr>
        <w:widowControl w:val="0"/>
        <w:autoSpaceDE w:val="0"/>
        <w:autoSpaceDN w:val="0"/>
        <w:ind w:left="318"/>
        <w:jc w:val="left"/>
      </w:pPr>
    </w:p>
    <w:p w14:paraId="357CF1D0" w14:textId="77777777" w:rsidR="008346AE" w:rsidRPr="00920E3A" w:rsidRDefault="008346AE" w:rsidP="008346AE">
      <w:pPr>
        <w:widowControl w:val="0"/>
        <w:autoSpaceDE w:val="0"/>
        <w:autoSpaceDN w:val="0"/>
        <w:ind w:left="318"/>
        <w:jc w:val="left"/>
      </w:pPr>
    </w:p>
    <w:p w14:paraId="15557E66" w14:textId="77777777" w:rsidR="008346AE" w:rsidRPr="00920E3A" w:rsidRDefault="008346AE" w:rsidP="008346AE">
      <w:pPr>
        <w:widowControl w:val="0"/>
        <w:numPr>
          <w:ilvl w:val="0"/>
          <w:numId w:val="8"/>
        </w:numPr>
        <w:autoSpaceDE w:val="0"/>
        <w:autoSpaceDN w:val="0"/>
        <w:ind w:left="426" w:hanging="426"/>
        <w:jc w:val="left"/>
      </w:pPr>
      <w:r w:rsidRPr="00920E3A">
        <w:rPr>
          <w:szCs w:val="22"/>
        </w:rPr>
        <w:t xml:space="preserve">¿Implica la creación de un </w:t>
      </w:r>
      <w:r w:rsidRPr="00920E3A">
        <w:rPr>
          <w:b/>
          <w:szCs w:val="22"/>
        </w:rPr>
        <w:t>nuevo grupo de trabajo o proceso intersesiones</w:t>
      </w:r>
      <w:r w:rsidRPr="00920E3A">
        <w:rPr>
          <w:szCs w:val="22"/>
        </w:rPr>
        <w:t xml:space="preserve">?   </w:t>
      </w:r>
    </w:p>
    <w:p w14:paraId="0BDECDA0" w14:textId="77777777" w:rsidR="008346AE" w:rsidRPr="00920E3A" w:rsidRDefault="008346AE" w:rsidP="008346AE">
      <w:pPr>
        <w:widowControl w:val="0"/>
        <w:autoSpaceDE w:val="0"/>
        <w:autoSpaceDN w:val="0"/>
        <w:ind w:left="426"/>
        <w:rPr>
          <w:szCs w:val="22"/>
        </w:rPr>
      </w:pPr>
    </w:p>
    <w:p w14:paraId="7D8319EF" w14:textId="7DB961E1" w:rsidR="008346AE" w:rsidRPr="00920E3A" w:rsidRDefault="008346AE" w:rsidP="008346AE">
      <w:pPr>
        <w:widowControl w:val="0"/>
        <w:autoSpaceDE w:val="0"/>
        <w:autoSpaceDN w:val="0"/>
        <w:ind w:left="426"/>
        <w:rPr>
          <w:color w:val="EE0000"/>
        </w:rPr>
      </w:pPr>
      <w:r w:rsidRPr="00920E3A">
        <w:rPr>
          <w:szCs w:val="22"/>
        </w:rPr>
        <w:t xml:space="preserve"> Sí </w:t>
      </w:r>
      <w:sdt>
        <w:sdtPr>
          <w:rPr>
            <w:spacing w:val="-2"/>
          </w:rPr>
          <w:id w:val="487145199"/>
          <w14:checkbox>
            <w14:checked w14:val="0"/>
            <w14:checkedState w14:val="2612" w14:font="MS Gothic"/>
            <w14:uncheckedState w14:val="2610" w14:font="MS Gothic"/>
          </w14:checkbox>
        </w:sdtPr>
        <w:sdtEndPr/>
        <w:sdtContent>
          <w:r w:rsidRPr="00920E3A">
            <w:rPr>
              <w:rFonts w:ascii="Segoe UI Symbol" w:hAnsi="Segoe UI Symbol" w:cs="Segoe UI Symbol"/>
              <w:spacing w:val="-2"/>
            </w:rPr>
            <w:t>☐</w:t>
          </w:r>
        </w:sdtContent>
      </w:sdt>
      <w:r w:rsidRPr="00920E3A">
        <w:rPr>
          <w:szCs w:val="22"/>
        </w:rPr>
        <w:t xml:space="preserve">   </w:t>
      </w:r>
      <w:r w:rsidRPr="00920E3A">
        <w:rPr>
          <w:color w:val="EE0000"/>
          <w:szCs w:val="22"/>
        </w:rPr>
        <w:t xml:space="preserve"> No </w:t>
      </w:r>
      <w:sdt>
        <w:sdtPr>
          <w:rPr>
            <w:rFonts w:ascii="Wingdings" w:hAnsi="Wingdings"/>
            <w:color w:val="EE0000"/>
            <w:spacing w:val="-2"/>
          </w:rPr>
          <w:id w:val="124045408"/>
          <w14:checkbox>
            <w14:checked w14:val="1"/>
            <w14:checkedState w14:val="2612" w14:font="MS Gothic"/>
            <w14:uncheckedState w14:val="2610" w14:font="MS Gothic"/>
          </w14:checkbox>
        </w:sdtPr>
        <w:sdtEndPr/>
        <w:sdtContent>
          <w:r w:rsidR="004073A0" w:rsidRPr="00920E3A">
            <w:rPr>
              <w:rFonts w:ascii="MS Gothic" w:eastAsia="MS Gothic" w:hAnsi="MS Gothic" w:hint="eastAsia"/>
              <w:color w:val="EE0000"/>
              <w:spacing w:val="-2"/>
            </w:rPr>
            <w:t>☒</w:t>
          </w:r>
        </w:sdtContent>
      </w:sdt>
    </w:p>
    <w:p w14:paraId="2986E97A" w14:textId="77777777" w:rsidR="008346AE" w:rsidRPr="00920E3A" w:rsidRDefault="008346AE" w:rsidP="008346AE">
      <w:pPr>
        <w:widowControl w:val="0"/>
        <w:autoSpaceDE w:val="0"/>
        <w:autoSpaceDN w:val="0"/>
        <w:ind w:left="318"/>
        <w:jc w:val="left"/>
      </w:pPr>
    </w:p>
    <w:p w14:paraId="37B7A657" w14:textId="77777777" w:rsidR="008346AE" w:rsidRPr="00920E3A" w:rsidRDefault="008346AE" w:rsidP="008346AE">
      <w:pPr>
        <w:widowControl w:val="0"/>
        <w:autoSpaceDE w:val="0"/>
        <w:autoSpaceDN w:val="0"/>
        <w:ind w:left="318"/>
        <w:jc w:val="left"/>
      </w:pPr>
    </w:p>
    <w:p w14:paraId="1B753A37" w14:textId="77777777" w:rsidR="008346AE" w:rsidRPr="00920E3A" w:rsidRDefault="008346AE" w:rsidP="008346AE">
      <w:pPr>
        <w:widowControl w:val="0"/>
        <w:numPr>
          <w:ilvl w:val="0"/>
          <w:numId w:val="8"/>
        </w:numPr>
        <w:autoSpaceDE w:val="0"/>
        <w:autoSpaceDN w:val="0"/>
        <w:ind w:left="426" w:hanging="426"/>
        <w:jc w:val="left"/>
      </w:pPr>
      <w:r w:rsidRPr="00920E3A">
        <w:rPr>
          <w:szCs w:val="22"/>
        </w:rPr>
        <w:t xml:space="preserve">¿Requiere un nuevo </w:t>
      </w:r>
      <w:r w:rsidRPr="00920E3A">
        <w:rPr>
          <w:b/>
          <w:szCs w:val="22"/>
        </w:rPr>
        <w:t>programa o actividades adicionales que deba gestionar la Secretaría</w:t>
      </w:r>
      <w:r w:rsidRPr="00920E3A">
        <w:rPr>
          <w:szCs w:val="22"/>
        </w:rPr>
        <w:t xml:space="preserve">?  </w:t>
      </w:r>
    </w:p>
    <w:p w14:paraId="7B4704F4" w14:textId="77777777" w:rsidR="008346AE" w:rsidRPr="00920E3A" w:rsidRDefault="008346AE" w:rsidP="008346AE">
      <w:pPr>
        <w:widowControl w:val="0"/>
        <w:autoSpaceDE w:val="0"/>
        <w:autoSpaceDN w:val="0"/>
        <w:ind w:left="426"/>
        <w:jc w:val="left"/>
        <w:rPr>
          <w:spacing w:val="-2"/>
        </w:rPr>
      </w:pPr>
    </w:p>
    <w:p w14:paraId="6E95EE96" w14:textId="06D04E39" w:rsidR="008346AE" w:rsidRPr="00920E3A" w:rsidRDefault="008346AE" w:rsidP="008346AE">
      <w:pPr>
        <w:widowControl w:val="0"/>
        <w:autoSpaceDE w:val="0"/>
        <w:autoSpaceDN w:val="0"/>
        <w:ind w:left="318" w:firstLine="108"/>
        <w:jc w:val="left"/>
        <w:rPr>
          <w:rFonts w:ascii="Wingdings" w:hAnsi="Wingdings"/>
          <w:spacing w:val="-2"/>
        </w:rPr>
      </w:pPr>
      <w:r w:rsidRPr="00920E3A">
        <w:rPr>
          <w:szCs w:val="22"/>
        </w:rPr>
        <w:t xml:space="preserve">Sí </w:t>
      </w:r>
      <w:sdt>
        <w:sdtPr>
          <w:rPr>
            <w:spacing w:val="-2"/>
          </w:rPr>
          <w:id w:val="1287232970"/>
          <w14:checkbox>
            <w14:checked w14:val="0"/>
            <w14:checkedState w14:val="2612" w14:font="MS Gothic"/>
            <w14:uncheckedState w14:val="2610" w14:font="MS Gothic"/>
          </w14:checkbox>
        </w:sdtPr>
        <w:sdtEndPr/>
        <w:sdtContent>
          <w:r w:rsidRPr="00920E3A">
            <w:rPr>
              <w:rFonts w:ascii="Segoe UI Symbol" w:hAnsi="Segoe UI Symbol" w:cs="Segoe UI Symbol"/>
              <w:spacing w:val="-2"/>
            </w:rPr>
            <w:t>☐</w:t>
          </w:r>
        </w:sdtContent>
      </w:sdt>
      <w:r w:rsidRPr="00920E3A">
        <w:rPr>
          <w:szCs w:val="22"/>
        </w:rPr>
        <w:t xml:space="preserve">    </w:t>
      </w:r>
      <w:r w:rsidRPr="00920E3A">
        <w:rPr>
          <w:color w:val="FF0000"/>
          <w:szCs w:val="22"/>
        </w:rPr>
        <w:t xml:space="preserve">No </w:t>
      </w:r>
      <w:sdt>
        <w:sdtPr>
          <w:rPr>
            <w:rFonts w:ascii="Wingdings" w:hAnsi="Wingdings"/>
            <w:color w:val="FF0000"/>
            <w:spacing w:val="-2"/>
          </w:rPr>
          <w:id w:val="-1378082529"/>
          <w14:checkbox>
            <w14:checked w14:val="1"/>
            <w14:checkedState w14:val="2612" w14:font="MS Gothic"/>
            <w14:uncheckedState w14:val="2610" w14:font="MS Gothic"/>
          </w14:checkbox>
        </w:sdtPr>
        <w:sdtEndPr/>
        <w:sdtContent>
          <w:r w:rsidR="004073A0" w:rsidRPr="00920E3A">
            <w:rPr>
              <w:rFonts w:ascii="MS Gothic" w:eastAsia="MS Gothic" w:hAnsi="MS Gothic" w:hint="eastAsia"/>
              <w:color w:val="FF0000"/>
              <w:spacing w:val="-2"/>
            </w:rPr>
            <w:t>☒</w:t>
          </w:r>
        </w:sdtContent>
      </w:sdt>
    </w:p>
    <w:p w14:paraId="08EEEAB4" w14:textId="77777777" w:rsidR="008346AE" w:rsidRPr="00920E3A" w:rsidRDefault="008346AE" w:rsidP="008346AE">
      <w:pPr>
        <w:widowControl w:val="0"/>
        <w:autoSpaceDE w:val="0"/>
        <w:autoSpaceDN w:val="0"/>
        <w:ind w:left="318"/>
        <w:jc w:val="left"/>
      </w:pPr>
    </w:p>
    <w:p w14:paraId="50AEB8C2" w14:textId="77777777" w:rsidR="008346AE" w:rsidRPr="00920E3A" w:rsidRDefault="008346AE" w:rsidP="008346AE">
      <w:pPr>
        <w:widowControl w:val="0"/>
        <w:autoSpaceDE w:val="0"/>
        <w:autoSpaceDN w:val="0"/>
        <w:ind w:left="360" w:firstLine="66"/>
        <w:rPr>
          <w:spacing w:val="-2"/>
        </w:rPr>
      </w:pPr>
      <w:r w:rsidRPr="00920E3A">
        <w:rPr>
          <w:szCs w:val="22"/>
        </w:rPr>
        <w:t>Breve descripción del nuevo trabajo necesario de la Secretaría:</w:t>
      </w:r>
    </w:p>
    <w:p w14:paraId="59F2BB3F" w14:textId="77777777" w:rsidR="008346AE" w:rsidRPr="00920E3A" w:rsidRDefault="008346AE" w:rsidP="008346AE">
      <w:pPr>
        <w:widowControl w:val="0"/>
        <w:autoSpaceDE w:val="0"/>
        <w:autoSpaceDN w:val="0"/>
        <w:jc w:val="left"/>
        <w:rPr>
          <w:spacing w:val="-2"/>
        </w:rPr>
      </w:pPr>
    </w:p>
    <w:p w14:paraId="500658BF" w14:textId="77777777" w:rsidR="008346AE" w:rsidRPr="00920E3A" w:rsidRDefault="008346AE" w:rsidP="008346AE">
      <w:pPr>
        <w:widowControl w:val="0"/>
        <w:autoSpaceDE w:val="0"/>
        <w:autoSpaceDN w:val="0"/>
        <w:jc w:val="left"/>
        <w:rPr>
          <w:spacing w:val="-2"/>
        </w:rPr>
      </w:pPr>
    </w:p>
    <w:p w14:paraId="1E8770B4" w14:textId="77777777" w:rsidR="008346AE" w:rsidRPr="00920E3A" w:rsidRDefault="008346AE" w:rsidP="008346AE">
      <w:pPr>
        <w:widowControl w:val="0"/>
        <w:numPr>
          <w:ilvl w:val="0"/>
          <w:numId w:val="8"/>
        </w:numPr>
        <w:autoSpaceDE w:val="0"/>
        <w:autoSpaceDN w:val="0"/>
        <w:ind w:left="426" w:hanging="426"/>
        <w:jc w:val="left"/>
        <w:rPr>
          <w:spacing w:val="-2"/>
        </w:rPr>
      </w:pPr>
      <w:r w:rsidRPr="00920E3A">
        <w:rPr>
          <w:szCs w:val="22"/>
        </w:rPr>
        <w:t>¿Cuál es el calendario propuesto para la implementación? ¿Existen distintos calendarios específicos para determinadas CPC, pesquerías, regiones, etc.?</w:t>
      </w:r>
    </w:p>
    <w:p w14:paraId="4CFB70A6" w14:textId="77777777" w:rsidR="008346AE" w:rsidRPr="00920E3A" w:rsidRDefault="008346AE" w:rsidP="008346AE">
      <w:pPr>
        <w:widowControl w:val="0"/>
        <w:autoSpaceDE w:val="0"/>
        <w:autoSpaceDN w:val="0"/>
        <w:ind w:left="426"/>
        <w:rPr>
          <w:spacing w:val="-2"/>
        </w:rPr>
      </w:pPr>
    </w:p>
    <w:p w14:paraId="651D602D" w14:textId="77777777" w:rsidR="008346AE" w:rsidRPr="00920E3A" w:rsidRDefault="008346AE" w:rsidP="008346AE">
      <w:pPr>
        <w:widowControl w:val="0"/>
        <w:autoSpaceDE w:val="0"/>
        <w:autoSpaceDN w:val="0"/>
        <w:jc w:val="left"/>
        <w:rPr>
          <w:spacing w:val="-2"/>
        </w:rPr>
      </w:pPr>
    </w:p>
    <w:p w14:paraId="32FF9051" w14:textId="77777777" w:rsidR="008346AE" w:rsidRPr="00920E3A" w:rsidRDefault="008346AE" w:rsidP="008346AE">
      <w:pPr>
        <w:widowControl w:val="0"/>
        <w:numPr>
          <w:ilvl w:val="0"/>
          <w:numId w:val="8"/>
        </w:numPr>
        <w:autoSpaceDE w:val="0"/>
        <w:autoSpaceDN w:val="0"/>
        <w:ind w:left="426" w:hanging="426"/>
        <w:jc w:val="left"/>
        <w:rPr>
          <w:spacing w:val="-2"/>
        </w:rPr>
      </w:pPr>
      <w:r w:rsidRPr="00920E3A">
        <w:rPr>
          <w:szCs w:val="22"/>
        </w:rPr>
        <w:t>¿Hay alguna otra información pertinente sobre las repercusiones de la propuesta en lo referente a los recursos y a la carga de trabajo?</w:t>
      </w:r>
    </w:p>
    <w:p w14:paraId="11503178" w14:textId="77777777" w:rsidR="008346AE" w:rsidRPr="00920E3A" w:rsidRDefault="008346AE" w:rsidP="008346AE">
      <w:pPr>
        <w:widowControl w:val="0"/>
        <w:autoSpaceDE w:val="0"/>
        <w:autoSpaceDN w:val="0"/>
        <w:ind w:left="426"/>
        <w:jc w:val="left"/>
        <w:rPr>
          <w:spacing w:val="-2"/>
        </w:rPr>
      </w:pPr>
    </w:p>
    <w:p w14:paraId="4C868B5B" w14:textId="77777777" w:rsidR="008346AE" w:rsidRPr="00920E3A" w:rsidRDefault="008346AE" w:rsidP="008346AE">
      <w:pPr>
        <w:widowControl w:val="0"/>
        <w:autoSpaceDE w:val="0"/>
        <w:autoSpaceDN w:val="0"/>
        <w:ind w:left="426"/>
        <w:rPr>
          <w:i/>
          <w:iCs/>
          <w:spacing w:val="-2"/>
        </w:rPr>
      </w:pPr>
    </w:p>
    <w:p w14:paraId="4D3CDE61" w14:textId="3B26004B" w:rsidR="008346AE" w:rsidRPr="00920E3A" w:rsidRDefault="004073A0" w:rsidP="00841CA3">
      <w:pPr>
        <w:widowControl w:val="0"/>
        <w:tabs>
          <w:tab w:val="left" w:pos="8064"/>
        </w:tabs>
        <w:autoSpaceDE w:val="0"/>
        <w:autoSpaceDN w:val="0"/>
        <w:jc w:val="right"/>
        <w:rPr>
          <w:rFonts w:eastAsia="MS PGothic" w:cs="Times New Roman"/>
          <w:b/>
          <w:color w:val="000000"/>
          <w:lang w:bidi="es-ES"/>
        </w:rPr>
      </w:pPr>
      <w:r w:rsidRPr="00920E3A">
        <w:rPr>
          <w:rFonts w:eastAsia="MS PGothic" w:cs="Times New Roman"/>
          <w:b/>
          <w:color w:val="000000"/>
          <w:lang w:bidi="es-ES"/>
        </w:rPr>
        <w:lastRenderedPageBreak/>
        <w:t>Original: inglés</w:t>
      </w:r>
    </w:p>
    <w:p w14:paraId="0D4150D1" w14:textId="77777777" w:rsidR="004073A0" w:rsidRPr="00920E3A" w:rsidRDefault="004073A0" w:rsidP="004073A0">
      <w:pPr>
        <w:jc w:val="right"/>
        <w:rPr>
          <w:rFonts w:eastAsia="MS PGothic" w:cs="Times New Roman"/>
          <w:b/>
          <w:color w:val="000000"/>
          <w:lang w:bidi="es-ES"/>
        </w:rPr>
      </w:pPr>
    </w:p>
    <w:p w14:paraId="47C2B1B2" w14:textId="1ED78603" w:rsidR="00A8753E" w:rsidRPr="00920E3A" w:rsidRDefault="00AF3C5F" w:rsidP="00AF3C5F">
      <w:pPr>
        <w:tabs>
          <w:tab w:val="left" w:pos="7797"/>
          <w:tab w:val="left" w:pos="8505"/>
        </w:tabs>
        <w:autoSpaceDE w:val="0"/>
        <w:autoSpaceDN w:val="0"/>
        <w:adjustRightInd w:val="0"/>
        <w:jc w:val="center"/>
        <w:rPr>
          <w:rFonts w:eastAsia="MS PGothic" w:cs="Times New Roman"/>
          <w:b/>
          <w:color w:val="000000"/>
          <w:lang w:bidi="es-ES"/>
        </w:rPr>
      </w:pPr>
      <w:r w:rsidRPr="00920E3A">
        <w:rPr>
          <w:rFonts w:eastAsia="MS PGothic" w:cs="Times New Roman"/>
          <w:b/>
          <w:color w:val="000000"/>
          <w:lang w:bidi="es-ES"/>
        </w:rPr>
        <w:t xml:space="preserve">Proyecto de Recomendación de ICCAT para establecer programas de recuperación </w:t>
      </w:r>
    </w:p>
    <w:p w14:paraId="1D2B02DB" w14:textId="08E15691" w:rsidR="00582CCE" w:rsidRPr="00920E3A" w:rsidRDefault="00AF3C5F" w:rsidP="00AF3C5F">
      <w:pPr>
        <w:tabs>
          <w:tab w:val="left" w:pos="7797"/>
          <w:tab w:val="left" w:pos="8505"/>
        </w:tabs>
        <w:autoSpaceDE w:val="0"/>
        <w:autoSpaceDN w:val="0"/>
        <w:adjustRightInd w:val="0"/>
        <w:jc w:val="center"/>
        <w:rPr>
          <w:rFonts w:eastAsia="MS PGothic" w:cs="Times New Roman"/>
          <w:b/>
          <w:color w:val="000000"/>
          <w:lang w:bidi="es-ES"/>
        </w:rPr>
      </w:pPr>
      <w:r w:rsidRPr="00920E3A">
        <w:rPr>
          <w:rFonts w:eastAsia="MS PGothic" w:cs="Times New Roman"/>
          <w:b/>
          <w:color w:val="000000"/>
          <w:lang w:bidi="es-ES"/>
        </w:rPr>
        <w:t>para la aguja azul y aguja blanca/marlín peto</w:t>
      </w:r>
    </w:p>
    <w:p w14:paraId="161954B1" w14:textId="77777777" w:rsidR="00582CCE" w:rsidRPr="00920E3A" w:rsidRDefault="00582CCE" w:rsidP="00AF3C5F">
      <w:pPr>
        <w:jc w:val="center"/>
        <w:rPr>
          <w:i/>
          <w:color w:val="000000"/>
        </w:rPr>
      </w:pPr>
    </w:p>
    <w:p w14:paraId="2D133F30" w14:textId="77777777" w:rsidR="00A12676" w:rsidRPr="00920E3A" w:rsidRDefault="00A12676" w:rsidP="00A12676">
      <w:pPr>
        <w:tabs>
          <w:tab w:val="left" w:pos="284"/>
        </w:tabs>
        <w:jc w:val="center"/>
        <w:rPr>
          <w:rFonts w:eastAsia="Times New Roman" w:cs="Times New Roman"/>
          <w:i/>
          <w:iCs/>
        </w:rPr>
      </w:pPr>
      <w:r w:rsidRPr="00920E3A">
        <w:rPr>
          <w:rFonts w:eastAsia="Times New Roman" w:cs="Times New Roman"/>
          <w:i/>
          <w:iCs/>
        </w:rPr>
        <w:t>(una nueva propuesta para modificar la Recomendación 19-05 y l</w:t>
      </w:r>
      <w:r w:rsidRPr="00920E3A">
        <w:rPr>
          <w:rFonts w:eastAsia="Times New Roman" w:cs="Times New Roman"/>
          <w:i/>
          <w:iCs/>
          <w:u w:val="single"/>
        </w:rPr>
        <w:t>a Recomendación 25-06 vigentes</w:t>
      </w:r>
      <w:r w:rsidRPr="00920E3A">
        <w:rPr>
          <w:rFonts w:eastAsia="Times New Roman" w:cs="Times New Roman"/>
          <w:i/>
          <w:iCs/>
        </w:rPr>
        <w:t>)</w:t>
      </w:r>
    </w:p>
    <w:p w14:paraId="61503D74" w14:textId="6AD684E6" w:rsidR="001D76E9" w:rsidRPr="00920E3A" w:rsidRDefault="00A12676" w:rsidP="00A12676">
      <w:pPr>
        <w:tabs>
          <w:tab w:val="left" w:pos="284"/>
        </w:tabs>
        <w:jc w:val="center"/>
        <w:rPr>
          <w:i/>
          <w:u w:val="single"/>
        </w:rPr>
      </w:pPr>
      <w:r w:rsidRPr="00920E3A">
        <w:rPr>
          <w:rFonts w:eastAsia="Times New Roman" w:cs="Times New Roman"/>
          <w:i/>
          <w:iCs/>
        </w:rPr>
        <w:t xml:space="preserve">(presentado por Belice, </w:t>
      </w:r>
      <w:r w:rsidRPr="00920E3A">
        <w:rPr>
          <w:rFonts w:eastAsia="Times New Roman" w:cs="Times New Roman"/>
          <w:i/>
          <w:iCs/>
          <w:u w:val="single"/>
        </w:rPr>
        <w:t>Barbados y Granada)</w:t>
      </w:r>
    </w:p>
    <w:p w14:paraId="1BA50F97" w14:textId="77777777" w:rsidR="001D76E9" w:rsidRPr="00920E3A" w:rsidRDefault="001D76E9" w:rsidP="00A12676">
      <w:pPr>
        <w:tabs>
          <w:tab w:val="left" w:pos="284"/>
        </w:tabs>
        <w:jc w:val="center"/>
        <w:rPr>
          <w:i/>
        </w:rPr>
      </w:pPr>
    </w:p>
    <w:p w14:paraId="01463A03" w14:textId="1F0992A2" w:rsidR="004B18CD" w:rsidRPr="00920E3A" w:rsidRDefault="00F37A49">
      <w:pPr>
        <w:tabs>
          <w:tab w:val="left" w:pos="284"/>
        </w:tabs>
      </w:pPr>
      <w:r w:rsidRPr="00920E3A">
        <w:rPr>
          <w:i/>
        </w:rPr>
        <w:t xml:space="preserve">   </w:t>
      </w:r>
      <w:r w:rsidRPr="00920E3A">
        <w:rPr>
          <w:i/>
          <w:iCs/>
        </w:rPr>
        <w:t>RECORDANDO</w:t>
      </w:r>
      <w:r w:rsidRPr="00920E3A">
        <w:t xml:space="preserve"> la evaluación de stock de aguja azul de 2000, que halló que el stock estaba por debajo del B</w:t>
      </w:r>
      <w:r w:rsidRPr="00920E3A">
        <w:rPr>
          <w:vertAlign w:val="subscript"/>
        </w:rPr>
        <w:t>RMS</w:t>
      </w:r>
      <w:r w:rsidRPr="00920E3A">
        <w:t xml:space="preserve"> (sobrepescado) con una mortalidad por pesca por encima de F</w:t>
      </w:r>
      <w:r w:rsidRPr="00920E3A">
        <w:rPr>
          <w:vertAlign w:val="subscript"/>
        </w:rPr>
        <w:t>RMS</w:t>
      </w:r>
      <w:r w:rsidRPr="00920E3A">
        <w:t xml:space="preserve"> (experimenta</w:t>
      </w:r>
      <w:r w:rsidR="00955B3C" w:rsidRPr="00920E3A">
        <w:t>n</w:t>
      </w:r>
      <w:r w:rsidRPr="00920E3A">
        <w:t>do sobrepes</w:t>
      </w:r>
      <w:r w:rsidRPr="00920E3A">
        <w:rPr>
          <w:u w:val="single"/>
        </w:rPr>
        <w:t>ca)</w:t>
      </w:r>
      <w:r w:rsidR="00FA4B4B" w:rsidRPr="00920E3A">
        <w:rPr>
          <w:u w:val="single"/>
        </w:rPr>
        <w:t>;</w:t>
      </w:r>
      <w:r w:rsidR="00FA4B4B" w:rsidRPr="00920E3A">
        <w:t xml:space="preserve"> </w:t>
      </w:r>
    </w:p>
    <w:p w14:paraId="56A08642" w14:textId="77777777" w:rsidR="00FA4B4B" w:rsidRPr="00920E3A" w:rsidRDefault="00FA4B4B">
      <w:pPr>
        <w:tabs>
          <w:tab w:val="left" w:pos="284"/>
        </w:tabs>
        <w:rPr>
          <w:sz w:val="14"/>
          <w:szCs w:val="14"/>
        </w:rPr>
      </w:pPr>
    </w:p>
    <w:p w14:paraId="7E2C3185" w14:textId="0A0B4FEE" w:rsidR="004B18CD" w:rsidRPr="00920E3A" w:rsidRDefault="00F37A49">
      <w:pPr>
        <w:tabs>
          <w:tab w:val="left" w:pos="284"/>
        </w:tabs>
      </w:pPr>
      <w:r w:rsidRPr="00920E3A">
        <w:rPr>
          <w:i/>
        </w:rPr>
        <w:tab/>
      </w:r>
      <w:r w:rsidRPr="00920E3A">
        <w:rPr>
          <w:i/>
          <w:iCs/>
        </w:rPr>
        <w:t>RECONOCIENDO</w:t>
      </w:r>
      <w:r w:rsidRPr="00920E3A">
        <w:t xml:space="preserve"> la evaluación de 2019 del stock de aguja blanca/marlín peto, que ha constatado que no se </w:t>
      </w:r>
      <w:r w:rsidRPr="00920E3A">
        <w:rPr>
          <w:u w:val="single"/>
        </w:rPr>
        <w:t>est</w:t>
      </w:r>
      <w:r w:rsidR="00DE00B5" w:rsidRPr="00920E3A">
        <w:rPr>
          <w:u w:val="single"/>
        </w:rPr>
        <w:t>aba</w:t>
      </w:r>
      <w:r w:rsidR="00DE00B5" w:rsidRPr="00920E3A">
        <w:t xml:space="preserve"> </w:t>
      </w:r>
      <w:r w:rsidRPr="00920E3A">
        <w:t xml:space="preserve">produciendo sobrepesca, pero que el stock </w:t>
      </w:r>
      <w:r w:rsidR="00DE00B5" w:rsidRPr="00920E3A">
        <w:rPr>
          <w:u w:val="single"/>
        </w:rPr>
        <w:t>seguía</w:t>
      </w:r>
      <w:r w:rsidRPr="00920E3A">
        <w:t xml:space="preserve"> estando sobrepescado tras más de veinte años de ordenación por parte de ICCAT;</w:t>
      </w:r>
    </w:p>
    <w:p w14:paraId="3EA9C2A9" w14:textId="77777777" w:rsidR="00841CA3" w:rsidRPr="00920E3A" w:rsidRDefault="00841CA3" w:rsidP="00841CA3">
      <w:pPr>
        <w:tabs>
          <w:tab w:val="left" w:pos="284"/>
        </w:tabs>
        <w:rPr>
          <w:sz w:val="14"/>
          <w:szCs w:val="14"/>
        </w:rPr>
      </w:pPr>
    </w:p>
    <w:p w14:paraId="3DBA7566" w14:textId="77777777" w:rsidR="00AA2B72" w:rsidRPr="00920E3A" w:rsidRDefault="00AA2B72" w:rsidP="00AA2B72">
      <w:pPr>
        <w:widowControl w:val="0"/>
        <w:pBdr>
          <w:top w:val="nil"/>
          <w:left w:val="nil"/>
          <w:bottom w:val="nil"/>
          <w:right w:val="nil"/>
          <w:between w:val="nil"/>
        </w:pBdr>
        <w:ind w:right="142" w:firstLine="426"/>
        <w:rPr>
          <w:u w:val="single"/>
          <w:lang w:eastAsia="en-GB"/>
        </w:rPr>
      </w:pPr>
      <w:r w:rsidRPr="00920E3A">
        <w:rPr>
          <w:rFonts w:eastAsia="Times New Roman" w:cs="Times New Roman"/>
          <w:i/>
          <w:iCs/>
          <w:u w:val="single"/>
          <w:lang w:eastAsia="en-GB"/>
        </w:rPr>
        <w:t>RECORDANDO ADEMÁS</w:t>
      </w:r>
      <w:r w:rsidRPr="00920E3A">
        <w:rPr>
          <w:rFonts w:eastAsia="Times New Roman" w:cs="Times New Roman"/>
          <w:u w:val="single"/>
          <w:lang w:eastAsia="en-GB"/>
        </w:rPr>
        <w:t xml:space="preserve"> las evaluaciones de los stocks de aguja azul de 2024 y de aguja blanca/marlín peto de 2025, en las que se concluyó que no se está produciendo sobrepesca en ningún stock, aunque el nivel de ambos sigue situándose por debajo de B</w:t>
      </w:r>
      <w:r w:rsidRPr="00920E3A">
        <w:rPr>
          <w:rFonts w:eastAsia="Times New Roman" w:cs="Times New Roman"/>
          <w:u w:val="single"/>
          <w:vertAlign w:val="subscript"/>
          <w:lang w:eastAsia="en-GB"/>
        </w:rPr>
        <w:t xml:space="preserve">RMS </w:t>
      </w:r>
      <w:r w:rsidRPr="00920E3A">
        <w:rPr>
          <w:rFonts w:eastAsia="Times New Roman" w:cs="Times New Roman"/>
          <w:u w:val="single"/>
          <w:lang w:eastAsia="en-GB"/>
        </w:rPr>
        <w:t xml:space="preserve">(sobrepescado). </w:t>
      </w:r>
    </w:p>
    <w:p w14:paraId="458862A7" w14:textId="77777777" w:rsidR="00841CA3" w:rsidRPr="00920E3A" w:rsidRDefault="00841CA3" w:rsidP="00841CA3">
      <w:pPr>
        <w:tabs>
          <w:tab w:val="left" w:pos="284"/>
        </w:tabs>
        <w:rPr>
          <w:sz w:val="14"/>
          <w:szCs w:val="14"/>
        </w:rPr>
      </w:pPr>
    </w:p>
    <w:p w14:paraId="17A42D8A" w14:textId="575ED2D8" w:rsidR="004B18CD" w:rsidRPr="00920E3A" w:rsidRDefault="00F37A49">
      <w:pPr>
        <w:tabs>
          <w:tab w:val="left" w:pos="284"/>
        </w:tabs>
      </w:pPr>
      <w:r w:rsidRPr="00920E3A">
        <w:tab/>
      </w:r>
      <w:r w:rsidRPr="00920E3A">
        <w:rPr>
          <w:i/>
          <w:iCs/>
        </w:rPr>
        <w:t>CONSCIENTE</w:t>
      </w:r>
      <w:r w:rsidRPr="00920E3A">
        <w:t xml:space="preserve"> de las medidas adoptadas por la Comisión en los últimos 2</w:t>
      </w:r>
      <w:r w:rsidR="00952451" w:rsidRPr="00920E3A">
        <w:t>6</w:t>
      </w:r>
      <w:r w:rsidRPr="00920E3A">
        <w:t xml:space="preserve"> años para mejorar el estado de la aguja azul y aguja blanca, lo que incluye la </w:t>
      </w:r>
      <w:r w:rsidRPr="00920E3A">
        <w:rPr>
          <w:i/>
          <w:iCs/>
        </w:rPr>
        <w:t xml:space="preserve">Recomendación de ICCAT para establecer un Plan de recuperación de las poblaciones de aguja azul y aguja blanca </w:t>
      </w:r>
      <w:r w:rsidRPr="00920E3A">
        <w:t>(Rec. 00-13), la</w:t>
      </w:r>
      <w:r w:rsidRPr="00920E3A">
        <w:rPr>
          <w:i/>
          <w:iCs/>
        </w:rPr>
        <w:t xml:space="preserve"> Recomendación de ICCAT para un mayor reforzamiento del Plan de recuperación de las poblaciones de aguja azul y aguja blanca</w:t>
      </w:r>
      <w:r w:rsidRPr="00920E3A">
        <w:t xml:space="preserve"> (Rec. 12-04), y las recomendaciones posteriores;</w:t>
      </w:r>
    </w:p>
    <w:p w14:paraId="7B866FE7" w14:textId="77777777" w:rsidR="00841CA3" w:rsidRPr="00920E3A" w:rsidRDefault="00841CA3" w:rsidP="00841CA3">
      <w:pPr>
        <w:tabs>
          <w:tab w:val="left" w:pos="284"/>
        </w:tabs>
        <w:rPr>
          <w:sz w:val="14"/>
          <w:szCs w:val="14"/>
        </w:rPr>
      </w:pPr>
    </w:p>
    <w:p w14:paraId="618CD0B1" w14:textId="77777777" w:rsidR="00C7639E" w:rsidRPr="00920E3A" w:rsidRDefault="00C7639E" w:rsidP="00C7639E">
      <w:pPr>
        <w:widowControl w:val="0"/>
        <w:pBdr>
          <w:top w:val="nil"/>
          <w:left w:val="nil"/>
          <w:bottom w:val="nil"/>
          <w:right w:val="nil"/>
          <w:between w:val="nil"/>
        </w:pBdr>
        <w:ind w:right="142" w:firstLine="426"/>
        <w:rPr>
          <w:u w:val="single"/>
          <w:lang w:eastAsia="en-GB"/>
        </w:rPr>
      </w:pPr>
      <w:r w:rsidRPr="00920E3A">
        <w:rPr>
          <w:rFonts w:eastAsia="Times New Roman" w:cs="Times New Roman"/>
          <w:i/>
          <w:iCs/>
          <w:u w:val="single"/>
          <w:lang w:eastAsia="en-GB"/>
        </w:rPr>
        <w:t>RESALTANDO</w:t>
      </w:r>
      <w:r w:rsidRPr="00920E3A">
        <w:rPr>
          <w:rFonts w:eastAsia="Times New Roman" w:cs="Times New Roman"/>
          <w:u w:val="single"/>
          <w:lang w:eastAsia="en-GB"/>
        </w:rPr>
        <w:t xml:space="preserve"> que, en respuesta al párrafo 21 de la </w:t>
      </w:r>
      <w:r w:rsidRPr="00920E3A">
        <w:rPr>
          <w:rFonts w:eastAsia="Times New Roman" w:cs="Times New Roman"/>
          <w:i/>
          <w:iCs/>
          <w:u w:val="single"/>
          <w:lang w:eastAsia="en-GB"/>
        </w:rPr>
        <w:t>Recomendación de ICCAT para establecer programas de recuperación para la aguja azul y aguja blanca/marlín peto</w:t>
      </w:r>
      <w:r w:rsidRPr="00920E3A">
        <w:rPr>
          <w:rFonts w:eastAsia="Times New Roman" w:cs="Times New Roman"/>
          <w:u w:val="single"/>
          <w:lang w:eastAsia="en-GB"/>
        </w:rPr>
        <w:t xml:space="preserve"> (Rec. 19-05) , el SCRS concluyó en su informe anual de 2024 que la investigación experimental ha demostrado que, en la pesca con palangre, el uso de anzuelos circulares dio lugar a una reducción de las tasas de captura de marlines y de la mortalidad durante la virada. </w:t>
      </w:r>
    </w:p>
    <w:p w14:paraId="788B9049" w14:textId="77777777" w:rsidR="009B14EC" w:rsidRPr="00920E3A" w:rsidRDefault="009B14EC"/>
    <w:p w14:paraId="18E07E52" w14:textId="499238A8" w:rsidR="00C56E54" w:rsidRPr="00920E3A" w:rsidRDefault="00C56E54" w:rsidP="00C56E54">
      <w:pPr>
        <w:widowControl w:val="0"/>
        <w:pBdr>
          <w:top w:val="nil"/>
          <w:left w:val="nil"/>
          <w:bottom w:val="nil"/>
          <w:right w:val="nil"/>
          <w:between w:val="nil"/>
        </w:pBdr>
        <w:ind w:right="142" w:firstLine="426"/>
        <w:rPr>
          <w:u w:val="single"/>
          <w:lang w:eastAsia="en-GB"/>
        </w:rPr>
      </w:pPr>
      <w:r w:rsidRPr="00920E3A">
        <w:rPr>
          <w:i/>
          <w:iCs/>
        </w:rPr>
        <w:t>C</w:t>
      </w:r>
      <w:r w:rsidR="00F37A49" w:rsidRPr="00920E3A">
        <w:rPr>
          <w:i/>
          <w:iCs/>
        </w:rPr>
        <w:t>OMPRENDIENDO</w:t>
      </w:r>
      <w:r w:rsidR="00F37A49" w:rsidRPr="00920E3A">
        <w:t xml:space="preserve">, sin embargo, el asesoramiento del SCRS de 2019 de que las capturas totales de aguja azul deberían reducirse a 1.750 t o menos para ofrecer al menos un 50 % de posibilidades de recuperación </w:t>
      </w:r>
      <w:r w:rsidR="00E066F4" w:rsidRPr="00920E3A">
        <w:t xml:space="preserve">del stock </w:t>
      </w:r>
      <w:r w:rsidR="00F37A49" w:rsidRPr="00920E3A">
        <w:t>para 2028, y que las capturas totales de aguja blanca/marlín peto no deberían superar las 400 t para respaldar la recuperación</w:t>
      </w:r>
      <w:r w:rsidR="000D6608" w:rsidRPr="00920E3A">
        <w:t xml:space="preserve">. </w:t>
      </w:r>
      <w:r w:rsidRPr="00920E3A">
        <w:rPr>
          <w:rFonts w:eastAsia="Times New Roman" w:cs="Times New Roman"/>
          <w:u w:val="single"/>
          <w:lang w:eastAsia="en-GB"/>
        </w:rPr>
        <w:t>Este asesoramiento del SCRS se reiteró en 2025, tomando como niveles recomendados los límites vigentes de 1.670 t para la aguja azul y 355 t para la aguja blanca/marlín peto.</w:t>
      </w:r>
      <w:r w:rsidRPr="00920E3A">
        <w:rPr>
          <w:rFonts w:eastAsia="Times New Roman" w:cs="Times New Roman"/>
          <w:color w:val="000000"/>
          <w:u w:val="single"/>
          <w:lang w:eastAsia="en-GB"/>
        </w:rPr>
        <w:t xml:space="preserve"> </w:t>
      </w:r>
    </w:p>
    <w:p w14:paraId="77AA7458" w14:textId="77777777" w:rsidR="00E551B5" w:rsidRPr="00920E3A" w:rsidRDefault="00E551B5">
      <w:pPr>
        <w:tabs>
          <w:tab w:val="left" w:pos="284"/>
        </w:tabs>
        <w:rPr>
          <w:sz w:val="16"/>
          <w:szCs w:val="16"/>
        </w:rPr>
      </w:pPr>
    </w:p>
    <w:p w14:paraId="0BC1FB9E" w14:textId="1325885E" w:rsidR="00DE5148" w:rsidRPr="00920E3A" w:rsidRDefault="00DE5148" w:rsidP="00DE5148">
      <w:pPr>
        <w:widowControl w:val="0"/>
        <w:pBdr>
          <w:top w:val="nil"/>
          <w:left w:val="nil"/>
          <w:bottom w:val="nil"/>
          <w:right w:val="nil"/>
          <w:between w:val="nil"/>
        </w:pBdr>
        <w:ind w:right="142" w:firstLine="426"/>
        <w:rPr>
          <w:u w:val="single"/>
          <w:lang w:eastAsia="en-GB"/>
        </w:rPr>
      </w:pPr>
      <w:r w:rsidRPr="00920E3A">
        <w:rPr>
          <w:rFonts w:eastAsia="Times New Roman" w:cs="Times New Roman"/>
          <w:i/>
          <w:iCs/>
          <w:u w:val="single"/>
          <w:lang w:eastAsia="en-GB"/>
        </w:rPr>
        <w:t>TOMANDO NOTA</w:t>
      </w:r>
      <w:r w:rsidRPr="00920E3A">
        <w:rPr>
          <w:rFonts w:eastAsia="Times New Roman" w:cs="Times New Roman"/>
          <w:u w:val="single"/>
          <w:lang w:eastAsia="en-GB"/>
        </w:rPr>
        <w:t xml:space="preserve"> de que los límites anuales adoptados en la Rec. 19-05, </w:t>
      </w:r>
      <w:r w:rsidR="006D031B" w:rsidRPr="00920E3A">
        <w:rPr>
          <w:rFonts w:eastAsia="Times New Roman" w:cs="Times New Roman"/>
          <w:u w:val="single"/>
          <w:lang w:eastAsia="en-GB"/>
        </w:rPr>
        <w:t xml:space="preserve">de </w:t>
      </w:r>
      <w:r w:rsidRPr="00920E3A">
        <w:rPr>
          <w:rFonts w:eastAsia="Times New Roman" w:cs="Times New Roman"/>
          <w:u w:val="single"/>
          <w:lang w:eastAsia="en-GB"/>
        </w:rPr>
        <w:t xml:space="preserve">1.670 t para la aguja azul y 355 t para la aguja blanca/marlín peto, representaban una disminución con respecto al asesoramiento del SCRS de 2019, que era de 1.750 t y 400 t, respectivamente. Se adoptaron los límites inferiores con el objetivo de establecer límites anuales que tengan en cuenta los descartes de peces muertos declarados </w:t>
      </w:r>
      <w:r w:rsidR="00E961E2" w:rsidRPr="00920E3A">
        <w:rPr>
          <w:rFonts w:eastAsia="Times New Roman" w:cs="Times New Roman"/>
          <w:u w:val="single"/>
          <w:lang w:eastAsia="en-GB"/>
        </w:rPr>
        <w:t>y</w:t>
      </w:r>
      <w:r w:rsidRPr="00920E3A">
        <w:rPr>
          <w:rFonts w:eastAsia="Times New Roman" w:cs="Times New Roman"/>
          <w:u w:val="single"/>
          <w:lang w:eastAsia="en-GB"/>
        </w:rPr>
        <w:t xml:space="preserve"> una cantidad adicional para las capturas no declaradas, con el fin de garantizar que las capturas anuales globales no superen los niveles recomendados por el SCRS en 2019;  </w:t>
      </w:r>
    </w:p>
    <w:p w14:paraId="2B41DAFF" w14:textId="77777777" w:rsidR="00E551B5" w:rsidRPr="00920E3A" w:rsidRDefault="00E551B5">
      <w:pPr>
        <w:tabs>
          <w:tab w:val="left" w:pos="284"/>
        </w:tabs>
        <w:rPr>
          <w:sz w:val="16"/>
          <w:szCs w:val="16"/>
        </w:rPr>
      </w:pPr>
    </w:p>
    <w:p w14:paraId="2964BFC1" w14:textId="64B5F061" w:rsidR="00C53328" w:rsidRPr="00920E3A" w:rsidRDefault="00F37A49" w:rsidP="00C53328">
      <w:pPr>
        <w:rPr>
          <w:u w:val="single"/>
        </w:rPr>
      </w:pPr>
      <w:r w:rsidRPr="00920E3A">
        <w:rPr>
          <w:i/>
        </w:rPr>
        <w:tab/>
      </w:r>
      <w:r w:rsidRPr="00920E3A">
        <w:rPr>
          <w:i/>
          <w:iCs/>
        </w:rPr>
        <w:t>RECONOCIENDO</w:t>
      </w:r>
      <w:r w:rsidRPr="00920E3A">
        <w:t xml:space="preserve"> que los descartes de peces muertos no se </w:t>
      </w:r>
      <w:r w:rsidR="003F2D69" w:rsidRPr="00920E3A">
        <w:rPr>
          <w:u w:val="single"/>
        </w:rPr>
        <w:t>incluían anteriormente</w:t>
      </w:r>
      <w:r w:rsidRPr="00920E3A">
        <w:t xml:space="preserve"> en los límites anuales de la R</w:t>
      </w:r>
      <w:r w:rsidRPr="00920E3A">
        <w:rPr>
          <w:i/>
          <w:iCs/>
        </w:rPr>
        <w:t>ecomendación de ICCAT que reemplaza a la Rec. 15-05 para un mayor reforzamiento del Plan de recuperación de los stocks de aguja azul y aguja blanca</w:t>
      </w:r>
      <w:r w:rsidRPr="00920E3A">
        <w:t xml:space="preserve"> (Rec. 18-04);</w:t>
      </w:r>
      <w:r w:rsidRPr="00920E3A">
        <w:rPr>
          <w:i/>
        </w:rPr>
        <w:t xml:space="preserve"> </w:t>
      </w:r>
      <w:r w:rsidR="00C53328" w:rsidRPr="00920E3A">
        <w:rPr>
          <w:u w:val="single"/>
        </w:rPr>
        <w:t xml:space="preserve">pero se abordaron en la disposición relativa a límites de capturas de la Recomendación 19-05;  </w:t>
      </w:r>
    </w:p>
    <w:p w14:paraId="1288F850" w14:textId="191D0D88" w:rsidR="004B18CD" w:rsidRPr="00920E3A" w:rsidRDefault="004B18CD">
      <w:pPr>
        <w:tabs>
          <w:tab w:val="left" w:pos="284"/>
        </w:tabs>
        <w:rPr>
          <w:iCs/>
          <w:sz w:val="12"/>
          <w:szCs w:val="12"/>
        </w:rPr>
      </w:pPr>
    </w:p>
    <w:p w14:paraId="60387B9F" w14:textId="47CD4C72" w:rsidR="004B18CD" w:rsidRPr="00920E3A" w:rsidRDefault="00F673D2">
      <w:pPr>
        <w:tabs>
          <w:tab w:val="left" w:pos="284"/>
        </w:tabs>
        <w:rPr>
          <w:rFonts w:eastAsia="Times New Roman" w:cs="Times New Roman"/>
          <w:iCs/>
          <w:sz w:val="17"/>
          <w:szCs w:val="17"/>
        </w:rPr>
      </w:pPr>
      <w:r w:rsidRPr="00920E3A">
        <w:rPr>
          <w:iCs/>
          <w:sz w:val="17"/>
          <w:szCs w:val="17"/>
        </w:rPr>
        <w:t>[…]</w:t>
      </w:r>
    </w:p>
    <w:p w14:paraId="71EB66F0" w14:textId="77777777" w:rsidR="004B18CD" w:rsidRPr="00920E3A" w:rsidRDefault="004B18CD">
      <w:pPr>
        <w:tabs>
          <w:tab w:val="left" w:pos="284"/>
        </w:tabs>
        <w:rPr>
          <w:rFonts w:eastAsia="Times New Roman" w:cs="Times New Roman"/>
          <w:sz w:val="13"/>
          <w:szCs w:val="13"/>
        </w:rPr>
      </w:pPr>
    </w:p>
    <w:p w14:paraId="6ED8FFC5" w14:textId="66FCCCDB" w:rsidR="004B18CD" w:rsidRPr="00920E3A" w:rsidRDefault="00F37A49">
      <w:pPr>
        <w:tabs>
          <w:tab w:val="left" w:pos="284"/>
        </w:tabs>
      </w:pPr>
      <w:r w:rsidRPr="00920E3A">
        <w:rPr>
          <w:i/>
        </w:rPr>
        <w:tab/>
      </w:r>
      <w:r w:rsidRPr="00920E3A">
        <w:rPr>
          <w:i/>
          <w:iCs/>
        </w:rPr>
        <w:t>SUBRAYANDO</w:t>
      </w:r>
      <w:r w:rsidRPr="00920E3A">
        <w:t xml:space="preserve"> las obligaciones existentes de las CPC de requerir la recopilación de datos sobre descartes muertos y vivos en sus programas nacionales de observadores y de cuadernos de pesca con arreglo a la  </w:t>
      </w:r>
      <w:r w:rsidRPr="00920E3A">
        <w:rPr>
          <w:i/>
          <w:iCs/>
        </w:rPr>
        <w:t xml:space="preserve">Recomendación de ICCAT sobre recopilación de información y armonización de datos sobre captura fortuita y descartes en las pesquerías de ICCAT </w:t>
      </w:r>
      <w:r w:rsidR="008170FD" w:rsidRPr="00920E3A">
        <w:t>(</w:t>
      </w:r>
      <w:r w:rsidRPr="00920E3A">
        <w:t>Rec. 11-10</w:t>
      </w:r>
      <w:r w:rsidR="008170FD" w:rsidRPr="00920E3A">
        <w:t>)</w:t>
      </w:r>
      <w:r w:rsidRPr="00920E3A">
        <w:t xml:space="preserve">, de conformidad con la </w:t>
      </w:r>
      <w:r w:rsidRPr="00920E3A">
        <w:rPr>
          <w:i/>
          <w:iCs/>
        </w:rPr>
        <w:t>Recomendación de ICCAT para establecer unas normas mínimas para programas de observadores científicos en buques pesqueros</w:t>
      </w:r>
      <w:r w:rsidRPr="00920E3A">
        <w:t xml:space="preserve"> (Rec. 16-14), y de comunicar estos datos a ICCAT;</w:t>
      </w:r>
    </w:p>
    <w:p w14:paraId="36B1B94B" w14:textId="77777777" w:rsidR="00C30800" w:rsidRPr="00920E3A" w:rsidRDefault="00C30800">
      <w:pPr>
        <w:tabs>
          <w:tab w:val="left" w:pos="284"/>
        </w:tabs>
        <w:rPr>
          <w:sz w:val="16"/>
          <w:szCs w:val="16"/>
        </w:rPr>
      </w:pPr>
    </w:p>
    <w:p w14:paraId="11625110" w14:textId="0E045619" w:rsidR="004F746C" w:rsidRPr="00920E3A" w:rsidRDefault="004F746C" w:rsidP="00976711">
      <w:pPr>
        <w:widowControl w:val="0"/>
        <w:autoSpaceDE w:val="0"/>
        <w:autoSpaceDN w:val="0"/>
        <w:ind w:firstLine="425"/>
        <w:rPr>
          <w:rFonts w:eastAsia="Times New Roman" w:cs="Times New Roman"/>
          <w:color w:val="000000"/>
          <w:u w:val="single"/>
          <w:lang w:eastAsia="en-GB"/>
        </w:rPr>
      </w:pPr>
      <w:r w:rsidRPr="00920E3A">
        <w:rPr>
          <w:rFonts w:eastAsia="Times New Roman" w:cs="Times New Roman"/>
          <w:i/>
          <w:iCs/>
          <w:u w:val="single"/>
          <w:lang w:eastAsia="en-GB"/>
        </w:rPr>
        <w:t>CONSCIENTE</w:t>
      </w:r>
      <w:r w:rsidRPr="00920E3A">
        <w:rPr>
          <w:rFonts w:eastAsia="Times New Roman" w:cs="Times New Roman"/>
          <w:u w:val="single"/>
          <w:lang w:eastAsia="en-GB"/>
        </w:rPr>
        <w:t xml:space="preserve"> de que los marlines abundan de forma natural durante todo el año en las zonas bajo la jurisdicción nacional de los </w:t>
      </w:r>
      <w:r w:rsidR="00FD6FC8" w:rsidRPr="00920E3A">
        <w:rPr>
          <w:rFonts w:eastAsia="Times New Roman" w:cs="Times New Roman"/>
          <w:u w:val="single"/>
          <w:lang w:eastAsia="en-GB"/>
        </w:rPr>
        <w:t>pequeños Estados insulares en desarrollo (</w:t>
      </w:r>
      <w:r w:rsidRPr="00920E3A">
        <w:rPr>
          <w:rFonts w:eastAsia="Times New Roman" w:cs="Times New Roman"/>
          <w:u w:val="single"/>
          <w:lang w:eastAsia="en-GB"/>
        </w:rPr>
        <w:t>SIDS</w:t>
      </w:r>
      <w:r w:rsidR="00FD6FC8" w:rsidRPr="00920E3A">
        <w:rPr>
          <w:rFonts w:eastAsia="Times New Roman" w:cs="Times New Roman"/>
          <w:u w:val="single"/>
          <w:lang w:eastAsia="en-GB"/>
        </w:rPr>
        <w:t xml:space="preserve">) </w:t>
      </w:r>
      <w:r w:rsidRPr="00920E3A">
        <w:rPr>
          <w:rFonts w:eastAsia="Times New Roman" w:cs="Times New Roman"/>
          <w:u w:val="single"/>
          <w:lang w:eastAsia="en-GB"/>
        </w:rPr>
        <w:t xml:space="preserve">del Caribe y, por lo tanto, suelen ser capturados de forma oportunista por las pesquerías con múltiples artes de estos países, y de que </w:t>
      </w:r>
      <w:r w:rsidRPr="00920E3A">
        <w:rPr>
          <w:rFonts w:eastAsia="Times New Roman" w:cs="Times New Roman"/>
          <w:u w:val="single"/>
          <w:lang w:eastAsia="en-GB"/>
        </w:rPr>
        <w:lastRenderedPageBreak/>
        <w:t>estos marlines no se descartan tradicionalmente debido a su valor de contribución socioeconómica integral a los países en cuestión, lo que está en consonancia con varios de los Objetivos de Desarrollo Sostenible (SDG) de Naciones Unidas, en particular los objetivos 1, 2, 8, 14 y 17;</w:t>
      </w:r>
      <w:r w:rsidRPr="00920E3A">
        <w:rPr>
          <w:rFonts w:eastAsia="Times New Roman" w:cs="Times New Roman"/>
          <w:color w:val="000000"/>
          <w:u w:val="single"/>
          <w:lang w:eastAsia="en-GB"/>
        </w:rPr>
        <w:t xml:space="preserve"> </w:t>
      </w:r>
    </w:p>
    <w:p w14:paraId="38343F20" w14:textId="77777777" w:rsidR="00976711" w:rsidRPr="00920E3A" w:rsidRDefault="00976711" w:rsidP="00976711">
      <w:pPr>
        <w:widowControl w:val="0"/>
        <w:autoSpaceDE w:val="0"/>
        <w:autoSpaceDN w:val="0"/>
        <w:ind w:firstLine="425"/>
        <w:rPr>
          <w:iCs/>
          <w:color w:val="000000"/>
          <w:sz w:val="16"/>
          <w:szCs w:val="16"/>
          <w:u w:val="single"/>
          <w:lang w:eastAsia="en-GB"/>
        </w:rPr>
      </w:pPr>
    </w:p>
    <w:p w14:paraId="03CC83F8" w14:textId="77777777" w:rsidR="004F746C" w:rsidRPr="00920E3A" w:rsidRDefault="004F746C" w:rsidP="00976711">
      <w:pPr>
        <w:widowControl w:val="0"/>
        <w:autoSpaceDE w:val="0"/>
        <w:autoSpaceDN w:val="0"/>
        <w:ind w:firstLine="425"/>
        <w:rPr>
          <w:rFonts w:eastAsia="Times New Roman" w:cs="Times New Roman"/>
          <w:color w:val="000000"/>
          <w:u w:val="single"/>
          <w:lang w:eastAsia="en-GB"/>
        </w:rPr>
      </w:pPr>
      <w:r w:rsidRPr="00920E3A">
        <w:rPr>
          <w:rFonts w:eastAsia="Times New Roman" w:cs="Times New Roman"/>
          <w:i/>
          <w:iCs/>
          <w:color w:val="000000"/>
          <w:u w:val="single"/>
          <w:lang w:eastAsia="en-GB"/>
        </w:rPr>
        <w:t>RECONOCIENDO</w:t>
      </w:r>
      <w:r w:rsidRPr="00920E3A">
        <w:rPr>
          <w:rFonts w:eastAsia="Times New Roman" w:cs="Times New Roman"/>
          <w:color w:val="000000"/>
          <w:u w:val="single"/>
          <w:lang w:eastAsia="en-GB"/>
        </w:rPr>
        <w:t>, por lo tanto, que se necesitan urgentemente disposiciones especiales para las CPC SID del Caribe, de conformidad con la R</w:t>
      </w:r>
      <w:r w:rsidRPr="00920E3A">
        <w:rPr>
          <w:rFonts w:eastAsia="Times New Roman" w:cs="Times New Roman"/>
          <w:i/>
          <w:iCs/>
          <w:color w:val="000000"/>
          <w:u w:val="single"/>
          <w:lang w:eastAsia="en-GB"/>
        </w:rPr>
        <w:t>esolución de ICCAT sobre criterios para la asignación de posibilidades de pesca</w:t>
      </w:r>
      <w:r w:rsidRPr="00920E3A">
        <w:rPr>
          <w:rFonts w:eastAsia="Times New Roman" w:cs="Times New Roman"/>
          <w:color w:val="000000"/>
          <w:u w:val="single"/>
          <w:lang w:eastAsia="en-GB"/>
        </w:rPr>
        <w:t xml:space="preserve"> (Res. 15-13), incluidas sus condiciones de aplicación, prestando así atención al historial de dependencia tradicional y socioeconómica de las CPC SID del Caribe de las pesquerías de marlines, y a la necesidad de crear una carga de conservación justa y equitativa y, por lo tanto, disposiciones que apoyen oportunidades de pesca viables para estos Estados, adaptadas a su cooperación práctica en el uso sostenible, y en espera del establecimiento de asignaciones revisadas de cuotas de captura de aguja azul y aguja blanca/marlín peto;</w:t>
      </w:r>
    </w:p>
    <w:p w14:paraId="44B90174" w14:textId="77777777" w:rsidR="00976711" w:rsidRPr="00920E3A" w:rsidRDefault="00976711" w:rsidP="00976711">
      <w:pPr>
        <w:widowControl w:val="0"/>
        <w:autoSpaceDE w:val="0"/>
        <w:autoSpaceDN w:val="0"/>
        <w:ind w:firstLine="425"/>
        <w:rPr>
          <w:rFonts w:eastAsia="Times New Roman" w:cs="Calibri"/>
          <w:iCs/>
          <w:color w:val="000000"/>
          <w:sz w:val="16"/>
          <w:szCs w:val="16"/>
          <w:u w:val="single"/>
          <w:lang w:eastAsia="en-GB"/>
        </w:rPr>
      </w:pPr>
    </w:p>
    <w:p w14:paraId="57EF7A90" w14:textId="77777777" w:rsidR="004F746C" w:rsidRPr="00920E3A" w:rsidRDefault="004F746C" w:rsidP="00976711">
      <w:pPr>
        <w:widowControl w:val="0"/>
        <w:autoSpaceDE w:val="0"/>
        <w:autoSpaceDN w:val="0"/>
        <w:ind w:firstLine="425"/>
        <w:rPr>
          <w:rFonts w:eastAsia="Times New Roman" w:cs="Times New Roman"/>
          <w:i/>
          <w:color w:val="000000"/>
          <w:u w:val="single"/>
          <w:lang w:eastAsia="en-GB"/>
        </w:rPr>
      </w:pPr>
      <w:r w:rsidRPr="00920E3A">
        <w:rPr>
          <w:rFonts w:eastAsia="Times New Roman" w:cs="Times New Roman"/>
          <w:i/>
          <w:color w:val="000000"/>
          <w:u w:val="single"/>
          <w:lang w:eastAsia="en-GB"/>
        </w:rPr>
        <w:t xml:space="preserve">RECONOCIENDO TAMBIÉN </w:t>
      </w:r>
      <w:r w:rsidRPr="00920E3A">
        <w:rPr>
          <w:rFonts w:eastAsia="Times New Roman" w:cs="Times New Roman"/>
          <w:iCs/>
          <w:color w:val="000000"/>
          <w:u w:val="single"/>
          <w:lang w:eastAsia="en-GB"/>
        </w:rPr>
        <w:t>las</w:t>
      </w:r>
      <w:r w:rsidRPr="00920E3A">
        <w:rPr>
          <w:rFonts w:eastAsia="Times New Roman" w:cs="Times New Roman"/>
          <w:color w:val="000000"/>
          <w:u w:val="single"/>
          <w:lang w:eastAsia="en-GB"/>
        </w:rPr>
        <w:t xml:space="preserve"> preocupaciones expresadas en la 29.</w:t>
      </w:r>
      <w:r w:rsidRPr="00920E3A">
        <w:rPr>
          <w:rFonts w:eastAsia="Times New Roman" w:cs="Times New Roman"/>
          <w:color w:val="000000"/>
          <w:u w:val="single"/>
          <w:vertAlign w:val="superscript"/>
          <w:lang w:eastAsia="en-GB"/>
        </w:rPr>
        <w:t>a</w:t>
      </w:r>
      <w:r w:rsidRPr="00920E3A">
        <w:rPr>
          <w:rFonts w:eastAsia="Times New Roman" w:cs="Times New Roman"/>
          <w:color w:val="000000"/>
          <w:u w:val="single"/>
          <w:lang w:eastAsia="en-GB"/>
        </w:rPr>
        <w:t xml:space="preserve"> reunión ordinaria de la Comisión por parte de varias CPC en desarrollo, en el sentido de que la Rec. 19-05 no reconoce debidamente su situación pesquera específica, especialmente en lo que respecta a las disposiciones sobre límites de captura y sanciones de la Rec. 19-05, que dieron lugar a la adopción de la Rec. 25-06, por la que se establecen medidas provisionales para las CPC costeras en desarrollo de ICCAT ante circunstancias atenuantes en relación con la Recomendación 19-05, y que permitiría a la Comisión disponer de tiempo para revisar y elaborar una Recomendación adecuada que reemplace la Rec. 19-05</w:t>
      </w:r>
      <w:r w:rsidRPr="00920E3A">
        <w:rPr>
          <w:rFonts w:eastAsia="Times New Roman" w:cs="Times New Roman"/>
          <w:i/>
          <w:color w:val="000000"/>
          <w:u w:val="single"/>
          <w:lang w:eastAsia="en-GB"/>
        </w:rPr>
        <w:t>;</w:t>
      </w:r>
    </w:p>
    <w:p w14:paraId="01A93D4F" w14:textId="77777777" w:rsidR="00976711" w:rsidRPr="00920E3A" w:rsidRDefault="00976711" w:rsidP="00976711">
      <w:pPr>
        <w:widowControl w:val="0"/>
        <w:autoSpaceDE w:val="0"/>
        <w:autoSpaceDN w:val="0"/>
        <w:ind w:firstLine="425"/>
        <w:rPr>
          <w:rFonts w:eastAsia="Times New Roman" w:cs="Calibri"/>
          <w:iCs/>
          <w:color w:val="000000"/>
          <w:sz w:val="10"/>
          <w:szCs w:val="10"/>
          <w:u w:val="single"/>
          <w:lang w:eastAsia="en-GB"/>
        </w:rPr>
      </w:pPr>
    </w:p>
    <w:p w14:paraId="14B4F5A3" w14:textId="77777777" w:rsidR="004B18CD" w:rsidRPr="00920E3A" w:rsidRDefault="00F37A49">
      <w:pPr>
        <w:pBdr>
          <w:top w:val="nil"/>
          <w:left w:val="nil"/>
          <w:bottom w:val="nil"/>
          <w:right w:val="nil"/>
          <w:between w:val="nil"/>
        </w:pBdr>
        <w:jc w:val="center"/>
        <w:rPr>
          <w:color w:val="000000"/>
        </w:rPr>
      </w:pPr>
      <w:r w:rsidRPr="00920E3A">
        <w:rPr>
          <w:color w:val="000000"/>
        </w:rPr>
        <w:t>LA COMISIÓN INTERNACIONAL PARA LA</w:t>
      </w:r>
    </w:p>
    <w:p w14:paraId="7D401BD8" w14:textId="77777777" w:rsidR="004B18CD" w:rsidRPr="00920E3A" w:rsidRDefault="00F37A49">
      <w:pPr>
        <w:pBdr>
          <w:top w:val="nil"/>
          <w:left w:val="nil"/>
          <w:bottom w:val="nil"/>
          <w:right w:val="nil"/>
          <w:between w:val="nil"/>
        </w:pBdr>
        <w:jc w:val="center"/>
        <w:rPr>
          <w:b/>
          <w:color w:val="000000"/>
        </w:rPr>
      </w:pPr>
      <w:r w:rsidRPr="00920E3A">
        <w:rPr>
          <w:color w:val="000000"/>
        </w:rPr>
        <w:t>CONSERVACIÓN DEL ATÚN ATLÁNTICO (ICCAT) RECOMIENDA LO SIGUIENTE:</w:t>
      </w:r>
    </w:p>
    <w:p w14:paraId="1F791F10" w14:textId="07C94374" w:rsidR="004B18CD" w:rsidRPr="00920E3A" w:rsidRDefault="004B18CD">
      <w:pPr>
        <w:pBdr>
          <w:top w:val="nil"/>
          <w:left w:val="nil"/>
          <w:bottom w:val="nil"/>
          <w:right w:val="nil"/>
          <w:between w:val="nil"/>
        </w:pBdr>
        <w:rPr>
          <w:rFonts w:eastAsia="Times New Roman" w:cs="Times New Roman"/>
          <w:sz w:val="12"/>
          <w:szCs w:val="12"/>
        </w:rPr>
      </w:pPr>
    </w:p>
    <w:p w14:paraId="2041E966" w14:textId="1146A6BF" w:rsidR="00E97AE4" w:rsidRPr="00920E3A" w:rsidRDefault="00E97AE4" w:rsidP="00E97AE4">
      <w:pPr>
        <w:ind w:left="426" w:hanging="426"/>
        <w:rPr>
          <w:rFonts w:cs="Times New Roman"/>
        </w:rPr>
      </w:pPr>
      <w:r w:rsidRPr="00920E3A">
        <w:rPr>
          <w:rFonts w:eastAsia="Times New Roman" w:cs="Times New Roman"/>
        </w:rPr>
        <w:t>1.</w:t>
      </w:r>
      <w:r w:rsidRPr="00920E3A">
        <w:rPr>
          <w:rFonts w:eastAsia="Times New Roman" w:cs="Times New Roman"/>
        </w:rPr>
        <w:tab/>
        <w:t>Las CPC implementarán medida</w:t>
      </w:r>
      <w:r w:rsidRPr="00920E3A">
        <w:rPr>
          <w:rFonts w:eastAsia="Times New Roman" w:cs="Times New Roman"/>
          <w:u w:val="single"/>
        </w:rPr>
        <w:t>s p</w:t>
      </w:r>
      <w:r w:rsidRPr="00920E3A">
        <w:rPr>
          <w:rFonts w:eastAsia="Times New Roman" w:cs="Times New Roman"/>
        </w:rPr>
        <w:t>ara recuperar los stocks de aguja azul</w:t>
      </w:r>
      <w:r w:rsidR="00301274" w:rsidRPr="00920E3A">
        <w:rPr>
          <w:rFonts w:eastAsia="Times New Roman" w:cs="Times New Roman"/>
        </w:rPr>
        <w:t xml:space="preserve"> y </w:t>
      </w:r>
      <w:r w:rsidRPr="00920E3A">
        <w:rPr>
          <w:rFonts w:eastAsia="Times New Roman" w:cs="Times New Roman"/>
        </w:rPr>
        <w:t>aguja blanca/marlín peto hasta sus niveles respectivos de B</w:t>
      </w:r>
      <w:r w:rsidRPr="00920E3A">
        <w:rPr>
          <w:rFonts w:eastAsia="Times New Roman" w:cs="Times New Roman"/>
          <w:vertAlign w:val="subscript"/>
        </w:rPr>
        <w:t>RMS</w:t>
      </w:r>
      <w:r w:rsidRPr="00920E3A">
        <w:rPr>
          <w:rFonts w:eastAsia="Times New Roman" w:cs="Times New Roman"/>
        </w:rPr>
        <w:t xml:space="preserve"> de la siguiente manera:</w:t>
      </w:r>
    </w:p>
    <w:p w14:paraId="7262BC3D" w14:textId="77777777" w:rsidR="004B18CD" w:rsidRPr="00920E3A" w:rsidRDefault="00F37A49">
      <w:pPr>
        <w:pBdr>
          <w:top w:val="nil"/>
          <w:left w:val="nil"/>
          <w:bottom w:val="nil"/>
          <w:right w:val="nil"/>
          <w:between w:val="nil"/>
        </w:pBdr>
        <w:rPr>
          <w:color w:val="000000"/>
        </w:rPr>
      </w:pPr>
      <w:r w:rsidRPr="00920E3A">
        <w:rPr>
          <w:color w:val="000000"/>
        </w:rPr>
        <w:tab/>
        <w:t xml:space="preserve"> </w:t>
      </w:r>
    </w:p>
    <w:p w14:paraId="50DC686B" w14:textId="77777777" w:rsidR="004B18CD" w:rsidRPr="00920E3A" w:rsidRDefault="00F37A49">
      <w:pPr>
        <w:pBdr>
          <w:top w:val="nil"/>
          <w:left w:val="nil"/>
          <w:bottom w:val="nil"/>
          <w:right w:val="nil"/>
          <w:between w:val="nil"/>
        </w:pBdr>
        <w:rPr>
          <w:b/>
          <w:color w:val="000000"/>
        </w:rPr>
      </w:pPr>
      <w:r w:rsidRPr="00920E3A">
        <w:rPr>
          <w:b/>
          <w:color w:val="000000"/>
        </w:rPr>
        <w:t>Límites anuales y disposiciones relacionadas</w:t>
      </w:r>
    </w:p>
    <w:p w14:paraId="329EBF3E" w14:textId="77777777" w:rsidR="004B18CD" w:rsidRPr="00920E3A" w:rsidRDefault="00F37A49">
      <w:pPr>
        <w:pBdr>
          <w:top w:val="nil"/>
          <w:left w:val="nil"/>
          <w:bottom w:val="nil"/>
          <w:right w:val="nil"/>
          <w:between w:val="nil"/>
        </w:pBdr>
        <w:rPr>
          <w:color w:val="000000"/>
        </w:rPr>
      </w:pPr>
      <w:r w:rsidRPr="00920E3A">
        <w:rPr>
          <w:color w:val="000000"/>
        </w:rPr>
        <w:t xml:space="preserve"> </w:t>
      </w:r>
    </w:p>
    <w:p w14:paraId="0F1B765B" w14:textId="578B6162" w:rsidR="004B18CD" w:rsidRPr="00920E3A" w:rsidRDefault="00F37A49" w:rsidP="00955B3C">
      <w:pPr>
        <w:ind w:left="426" w:hanging="426"/>
        <w:rPr>
          <w:color w:val="000000"/>
        </w:rPr>
      </w:pPr>
      <w:r w:rsidRPr="00920E3A">
        <w:rPr>
          <w:color w:val="000000"/>
        </w:rPr>
        <w:t xml:space="preserve">2.  </w:t>
      </w:r>
      <w:r w:rsidRPr="00920E3A">
        <w:rPr>
          <w:color w:val="000000"/>
        </w:rPr>
        <w:tab/>
      </w:r>
      <w:r w:rsidRPr="00920E3A">
        <w:rPr>
          <w:rFonts w:eastAsia="Times New Roman" w:cs="Times New Roman"/>
        </w:rPr>
        <w:t>Comenzando</w:t>
      </w:r>
      <w:r w:rsidRPr="00920E3A">
        <w:t xml:space="preserve"> en 2020 se establecerá un límite anual de 1.</w:t>
      </w:r>
      <w:r w:rsidR="00B15822" w:rsidRPr="00920E3A">
        <w:t>670</w:t>
      </w:r>
      <w:r w:rsidRPr="00920E3A">
        <w:t xml:space="preserve"> t para la aguja azul y de </w:t>
      </w:r>
      <w:r w:rsidR="00B15822" w:rsidRPr="00920E3A">
        <w:t>355</w:t>
      </w:r>
      <w:r w:rsidRPr="00920E3A">
        <w:t xml:space="preserve"> </w:t>
      </w:r>
      <w:r w:rsidR="00FD2F97" w:rsidRPr="00920E3A">
        <w:t>t</w:t>
      </w:r>
      <w:r w:rsidRPr="00920E3A">
        <w:t xml:space="preserve"> para la aguja blanca/marlín peto.</w:t>
      </w:r>
      <w:r w:rsidRPr="00920E3A">
        <w:rPr>
          <w:color w:val="000000"/>
        </w:rPr>
        <w:t xml:space="preserve"> </w:t>
      </w:r>
      <w:r w:rsidRPr="00920E3A">
        <w:t>Los límites de desembarque se implementarán del siguiente modo</w:t>
      </w:r>
      <w:r w:rsidR="00B15822" w:rsidRPr="00920E3A">
        <w:t>:</w:t>
      </w:r>
    </w:p>
    <w:p w14:paraId="2B9849D1" w14:textId="4D03BC16" w:rsidR="007670A0" w:rsidRPr="00920E3A" w:rsidRDefault="00F37A49">
      <w:pPr>
        <w:pBdr>
          <w:top w:val="nil"/>
          <w:left w:val="nil"/>
          <w:bottom w:val="nil"/>
          <w:right w:val="nil"/>
          <w:between w:val="nil"/>
        </w:pBdr>
        <w:ind w:right="260"/>
        <w:rPr>
          <w:color w:val="000000"/>
        </w:rPr>
      </w:pPr>
      <w:r w:rsidRPr="00920E3A">
        <w:rPr>
          <w:color w:val="000000"/>
        </w:rPr>
        <w:t xml:space="preserve"> </w:t>
      </w:r>
    </w:p>
    <w:tbl>
      <w:tblPr>
        <w:tblW w:w="7083" w:type="dxa"/>
        <w:jc w:val="center"/>
        <w:tblCellMar>
          <w:top w:w="100" w:type="dxa"/>
          <w:left w:w="100" w:type="dxa"/>
          <w:bottom w:w="100" w:type="dxa"/>
          <w:right w:w="100" w:type="dxa"/>
        </w:tblCellMar>
        <w:tblLook w:val="0400" w:firstRow="0" w:lastRow="0" w:firstColumn="0" w:lastColumn="0" w:noHBand="0" w:noVBand="1"/>
      </w:tblPr>
      <w:tblGrid>
        <w:gridCol w:w="2753"/>
        <w:gridCol w:w="4330"/>
      </w:tblGrid>
      <w:tr w:rsidR="00537DFC" w:rsidRPr="00920E3A" w14:paraId="7836A4C9" w14:textId="77777777" w:rsidTr="00920E3A">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357A5D3" w14:textId="77777777" w:rsidR="00537DFC" w:rsidRPr="001F15ED" w:rsidRDefault="00537DFC" w:rsidP="00E15C3A">
            <w:pPr>
              <w:rPr>
                <w:rFonts w:eastAsia="Times New Roman" w:cs="Times New Roman"/>
                <w:i/>
              </w:rPr>
            </w:pPr>
            <w:r w:rsidRPr="001F15ED">
              <w:rPr>
                <w:rFonts w:eastAsia="Times New Roman" w:cs="Times New Roman"/>
                <w:i/>
              </w:rPr>
              <w:t>Aguja azul</w:t>
            </w:r>
          </w:p>
        </w:tc>
        <w:tc>
          <w:tcPr>
            <w:tcW w:w="0" w:type="auto"/>
            <w:tcBorders>
              <w:top w:val="single" w:sz="4" w:space="0" w:color="000000"/>
              <w:left w:val="single" w:sz="4" w:space="0" w:color="000000"/>
              <w:bottom w:val="single" w:sz="4" w:space="0" w:color="000000"/>
              <w:right w:val="single" w:sz="4" w:space="0" w:color="000000"/>
            </w:tcBorders>
            <w:hideMark/>
          </w:tcPr>
          <w:p w14:paraId="04818777" w14:textId="77777777" w:rsidR="00537DFC" w:rsidRPr="001F15ED" w:rsidRDefault="00537DFC" w:rsidP="00E15C3A">
            <w:pPr>
              <w:autoSpaceDE w:val="0"/>
              <w:autoSpaceDN w:val="0"/>
              <w:adjustRightInd w:val="0"/>
              <w:jc w:val="center"/>
              <w:rPr>
                <w:color w:val="000000"/>
              </w:rPr>
            </w:pPr>
            <w:r w:rsidRPr="001F15ED">
              <w:rPr>
                <w:i/>
              </w:rPr>
              <w:t xml:space="preserve">Límites de desembarques (en t) </w:t>
            </w:r>
          </w:p>
        </w:tc>
      </w:tr>
      <w:tr w:rsidR="00537DFC" w:rsidRPr="00920E3A" w14:paraId="7CCFB41B"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635CBAF0" w14:textId="77777777" w:rsidR="00537DFC" w:rsidRPr="001F15ED" w:rsidRDefault="00537DFC" w:rsidP="00E15C3A">
            <w:pPr>
              <w:rPr>
                <w:rFonts w:eastAsia="Times New Roman" w:cs="Times New Roman"/>
              </w:rPr>
            </w:pPr>
            <w:r w:rsidRPr="001F15ED">
              <w:rPr>
                <w:rFonts w:eastAsia="Times New Roman" w:cs="Times New Roman"/>
              </w:rPr>
              <w:t>Brasil</w:t>
            </w:r>
          </w:p>
        </w:tc>
        <w:tc>
          <w:tcPr>
            <w:tcW w:w="0" w:type="auto"/>
            <w:tcBorders>
              <w:top w:val="nil"/>
              <w:left w:val="single" w:sz="4" w:space="0" w:color="000000"/>
              <w:bottom w:val="nil"/>
              <w:right w:val="single" w:sz="4" w:space="0" w:color="000000"/>
            </w:tcBorders>
            <w:vAlign w:val="center"/>
            <w:hideMark/>
          </w:tcPr>
          <w:p w14:paraId="777C7635"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42800A87"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473D5C88" w14:textId="77777777" w:rsidR="00537DFC" w:rsidRPr="001F15ED" w:rsidRDefault="00537DFC" w:rsidP="00E15C3A">
            <w:pPr>
              <w:rPr>
                <w:rFonts w:eastAsia="Times New Roman" w:cs="Times New Roman"/>
              </w:rPr>
            </w:pPr>
            <w:r w:rsidRPr="001F15ED">
              <w:rPr>
                <w:rFonts w:eastAsia="Times New Roman" w:cs="Times New Roman"/>
              </w:rPr>
              <w:t>China, R.P.</w:t>
            </w:r>
          </w:p>
        </w:tc>
        <w:tc>
          <w:tcPr>
            <w:tcW w:w="0" w:type="auto"/>
            <w:tcBorders>
              <w:top w:val="nil"/>
              <w:left w:val="single" w:sz="4" w:space="0" w:color="000000"/>
              <w:bottom w:val="nil"/>
              <w:right w:val="single" w:sz="4" w:space="0" w:color="000000"/>
            </w:tcBorders>
            <w:hideMark/>
          </w:tcPr>
          <w:p w14:paraId="18139677"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534DBF7A"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4520B8D5" w14:textId="77777777" w:rsidR="00537DFC" w:rsidRPr="001F15ED" w:rsidRDefault="00537DFC" w:rsidP="00E15C3A">
            <w:pPr>
              <w:rPr>
                <w:rFonts w:eastAsia="Times New Roman" w:cs="Times New Roman"/>
              </w:rPr>
            </w:pPr>
            <w:r w:rsidRPr="001F15ED">
              <w:rPr>
                <w:rFonts w:eastAsia="Times New Roman" w:cs="Times New Roman"/>
              </w:rPr>
              <w:t>Taipei Chino</w:t>
            </w:r>
          </w:p>
        </w:tc>
        <w:tc>
          <w:tcPr>
            <w:tcW w:w="0" w:type="auto"/>
            <w:tcBorders>
              <w:top w:val="nil"/>
              <w:left w:val="single" w:sz="4" w:space="0" w:color="000000"/>
              <w:bottom w:val="nil"/>
              <w:right w:val="single" w:sz="4" w:space="0" w:color="000000"/>
            </w:tcBorders>
            <w:hideMark/>
          </w:tcPr>
          <w:p w14:paraId="135F8A6A"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6CF207CC"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68B78349" w14:textId="77777777" w:rsidR="00537DFC" w:rsidRPr="001F15ED" w:rsidRDefault="00537DFC" w:rsidP="00E15C3A">
            <w:pPr>
              <w:rPr>
                <w:rFonts w:eastAsia="Times New Roman" w:cs="Times New Roman"/>
              </w:rPr>
            </w:pPr>
            <w:r w:rsidRPr="001F15ED">
              <w:rPr>
                <w:rFonts w:eastAsia="Times New Roman" w:cs="Times New Roman"/>
              </w:rPr>
              <w:t>Côte d’Ivoire</w:t>
            </w:r>
          </w:p>
        </w:tc>
        <w:tc>
          <w:tcPr>
            <w:tcW w:w="0" w:type="auto"/>
            <w:tcBorders>
              <w:top w:val="nil"/>
              <w:left w:val="single" w:sz="4" w:space="0" w:color="000000"/>
              <w:bottom w:val="nil"/>
              <w:right w:val="single" w:sz="4" w:space="0" w:color="000000"/>
            </w:tcBorders>
            <w:hideMark/>
          </w:tcPr>
          <w:p w14:paraId="63346ACC"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6DF0AF2B"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1C220856" w14:textId="64FD3FFE" w:rsidR="00537DFC" w:rsidRPr="001F15ED" w:rsidRDefault="00537DFC" w:rsidP="00E15C3A">
            <w:pPr>
              <w:rPr>
                <w:rFonts w:eastAsia="Times New Roman" w:cs="Times New Roman"/>
              </w:rPr>
            </w:pPr>
            <w:r w:rsidRPr="001F15ED">
              <w:rPr>
                <w:rFonts w:eastAsia="Times New Roman" w:cs="Times New Roman"/>
              </w:rPr>
              <w:t>Unión Europea</w:t>
            </w:r>
          </w:p>
        </w:tc>
        <w:tc>
          <w:tcPr>
            <w:tcW w:w="0" w:type="auto"/>
            <w:tcBorders>
              <w:top w:val="nil"/>
              <w:left w:val="single" w:sz="4" w:space="0" w:color="000000"/>
              <w:bottom w:val="nil"/>
              <w:right w:val="single" w:sz="4" w:space="0" w:color="000000"/>
            </w:tcBorders>
            <w:hideMark/>
          </w:tcPr>
          <w:p w14:paraId="60A67C05"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09A26182"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457CFF47" w14:textId="77777777" w:rsidR="00537DFC" w:rsidRPr="001F15ED" w:rsidRDefault="00537DFC" w:rsidP="00E15C3A">
            <w:pPr>
              <w:rPr>
                <w:rFonts w:eastAsia="Times New Roman" w:cs="Times New Roman"/>
              </w:rPr>
            </w:pPr>
            <w:r w:rsidRPr="001F15ED">
              <w:rPr>
                <w:rFonts w:eastAsia="Times New Roman" w:cs="Times New Roman"/>
              </w:rPr>
              <w:t>Ghana</w:t>
            </w:r>
          </w:p>
        </w:tc>
        <w:tc>
          <w:tcPr>
            <w:tcW w:w="0" w:type="auto"/>
            <w:tcBorders>
              <w:top w:val="nil"/>
              <w:left w:val="single" w:sz="4" w:space="0" w:color="000000"/>
              <w:bottom w:val="nil"/>
              <w:right w:val="single" w:sz="4" w:space="0" w:color="000000"/>
            </w:tcBorders>
            <w:hideMark/>
          </w:tcPr>
          <w:p w14:paraId="675A2DF8"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751FE0A2"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3583669C" w14:textId="77777777" w:rsidR="00537DFC" w:rsidRPr="001F15ED" w:rsidRDefault="00537DFC" w:rsidP="00E15C3A">
            <w:pPr>
              <w:rPr>
                <w:rFonts w:eastAsia="Times New Roman" w:cs="Times New Roman"/>
              </w:rPr>
            </w:pPr>
            <w:r w:rsidRPr="001F15ED">
              <w:rPr>
                <w:rFonts w:eastAsia="Times New Roman" w:cs="Times New Roman"/>
              </w:rPr>
              <w:t>Japón</w:t>
            </w:r>
          </w:p>
        </w:tc>
        <w:tc>
          <w:tcPr>
            <w:tcW w:w="0" w:type="auto"/>
            <w:tcBorders>
              <w:top w:val="nil"/>
              <w:left w:val="single" w:sz="4" w:space="0" w:color="000000"/>
              <w:bottom w:val="nil"/>
              <w:right w:val="single" w:sz="4" w:space="0" w:color="000000"/>
            </w:tcBorders>
            <w:hideMark/>
          </w:tcPr>
          <w:p w14:paraId="0D0432DC"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184D1503"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62F9A853" w14:textId="77777777" w:rsidR="00537DFC" w:rsidRPr="001F15ED" w:rsidRDefault="00537DFC" w:rsidP="00E15C3A">
            <w:pPr>
              <w:rPr>
                <w:rFonts w:eastAsia="Times New Roman" w:cs="Times New Roman"/>
              </w:rPr>
            </w:pPr>
            <w:r w:rsidRPr="001F15ED">
              <w:rPr>
                <w:rFonts w:eastAsia="Times New Roman" w:cs="Times New Roman"/>
              </w:rPr>
              <w:t>Corea, Rep.</w:t>
            </w:r>
          </w:p>
        </w:tc>
        <w:tc>
          <w:tcPr>
            <w:tcW w:w="0" w:type="auto"/>
            <w:tcBorders>
              <w:top w:val="nil"/>
              <w:left w:val="single" w:sz="4" w:space="0" w:color="000000"/>
              <w:bottom w:val="nil"/>
              <w:right w:val="single" w:sz="4" w:space="0" w:color="000000"/>
            </w:tcBorders>
            <w:hideMark/>
          </w:tcPr>
          <w:p w14:paraId="1EBB7390"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3D785660"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602BC252" w14:textId="77777777" w:rsidR="00537DFC" w:rsidRPr="001F15ED" w:rsidRDefault="00537DFC" w:rsidP="00E15C3A">
            <w:pPr>
              <w:rPr>
                <w:rFonts w:eastAsia="Times New Roman" w:cs="Times New Roman"/>
              </w:rPr>
            </w:pPr>
            <w:r w:rsidRPr="001F15ED">
              <w:rPr>
                <w:rFonts w:eastAsia="Times New Roman" w:cs="Times New Roman"/>
              </w:rPr>
              <w:t>México</w:t>
            </w:r>
          </w:p>
        </w:tc>
        <w:tc>
          <w:tcPr>
            <w:tcW w:w="0" w:type="auto"/>
            <w:tcBorders>
              <w:top w:val="nil"/>
              <w:left w:val="single" w:sz="4" w:space="0" w:color="000000"/>
              <w:bottom w:val="nil"/>
              <w:right w:val="single" w:sz="4" w:space="0" w:color="000000"/>
            </w:tcBorders>
            <w:hideMark/>
          </w:tcPr>
          <w:p w14:paraId="09CAA067"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3609E6CB"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4C967B3D" w14:textId="5938B592" w:rsidR="00537DFC" w:rsidRPr="001F15ED" w:rsidRDefault="00537DFC" w:rsidP="00E15C3A">
            <w:pPr>
              <w:rPr>
                <w:rFonts w:eastAsia="Times New Roman" w:cs="Times New Roman"/>
              </w:rPr>
            </w:pPr>
            <w:r w:rsidRPr="001F15ED">
              <w:rPr>
                <w:rFonts w:eastAsia="Times New Roman" w:cs="Times New Roman"/>
              </w:rPr>
              <w:t>S</w:t>
            </w:r>
            <w:r w:rsidR="009E25B1" w:rsidRPr="001F15ED">
              <w:rPr>
                <w:rFonts w:eastAsia="Times New Roman" w:cs="Times New Roman"/>
              </w:rPr>
              <w:t xml:space="preserve">. </w:t>
            </w:r>
            <w:r w:rsidRPr="001F15ED">
              <w:rPr>
                <w:rFonts w:eastAsia="Times New Roman" w:cs="Times New Roman"/>
              </w:rPr>
              <w:t xml:space="preserve">Tomé </w:t>
            </w:r>
            <w:proofErr w:type="spellStart"/>
            <w:r w:rsidR="009E25B1" w:rsidRPr="001F15ED">
              <w:rPr>
                <w:rFonts w:eastAsia="Times New Roman" w:cs="Times New Roman"/>
              </w:rPr>
              <w:t>e</w:t>
            </w:r>
            <w:proofErr w:type="spellEnd"/>
            <w:r w:rsidRPr="001F15ED">
              <w:rPr>
                <w:rFonts w:eastAsia="Times New Roman" w:cs="Times New Roman"/>
              </w:rPr>
              <w:t xml:space="preserve"> Príncipe</w:t>
            </w:r>
          </w:p>
        </w:tc>
        <w:tc>
          <w:tcPr>
            <w:tcW w:w="0" w:type="auto"/>
            <w:tcBorders>
              <w:top w:val="nil"/>
              <w:left w:val="single" w:sz="4" w:space="0" w:color="000000"/>
              <w:bottom w:val="nil"/>
              <w:right w:val="single" w:sz="4" w:space="0" w:color="000000"/>
            </w:tcBorders>
            <w:hideMark/>
          </w:tcPr>
          <w:p w14:paraId="4402AF3F"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20F7C8C5"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34E7CA98" w14:textId="77777777" w:rsidR="00537DFC" w:rsidRPr="001F15ED" w:rsidRDefault="00537DFC" w:rsidP="00E15C3A">
            <w:pPr>
              <w:rPr>
                <w:rFonts w:eastAsia="Times New Roman" w:cs="Times New Roman"/>
              </w:rPr>
            </w:pPr>
            <w:r w:rsidRPr="001F15ED">
              <w:rPr>
                <w:rFonts w:eastAsia="Times New Roman" w:cs="Times New Roman"/>
              </w:rPr>
              <w:t>Senegal</w:t>
            </w:r>
          </w:p>
        </w:tc>
        <w:tc>
          <w:tcPr>
            <w:tcW w:w="0" w:type="auto"/>
            <w:tcBorders>
              <w:top w:val="nil"/>
              <w:left w:val="single" w:sz="4" w:space="0" w:color="000000"/>
              <w:bottom w:val="nil"/>
              <w:right w:val="single" w:sz="4" w:space="0" w:color="000000"/>
            </w:tcBorders>
            <w:hideMark/>
          </w:tcPr>
          <w:p w14:paraId="3B5402AF"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0D61A21A" w14:textId="77777777" w:rsidTr="00920E3A">
        <w:trPr>
          <w:trHeight w:hRule="exact" w:val="340"/>
          <w:jc w:val="center"/>
        </w:trPr>
        <w:tc>
          <w:tcPr>
            <w:tcW w:w="0" w:type="auto"/>
            <w:tcBorders>
              <w:top w:val="nil"/>
              <w:left w:val="single" w:sz="4" w:space="0" w:color="000000"/>
              <w:bottom w:val="nil"/>
              <w:right w:val="single" w:sz="4" w:space="0" w:color="000000"/>
            </w:tcBorders>
            <w:vAlign w:val="bottom"/>
            <w:hideMark/>
          </w:tcPr>
          <w:p w14:paraId="5CDDF532" w14:textId="77777777" w:rsidR="00537DFC" w:rsidRPr="001F15ED" w:rsidRDefault="00537DFC" w:rsidP="00E15C3A">
            <w:pPr>
              <w:rPr>
                <w:rFonts w:eastAsia="Times New Roman" w:cs="Times New Roman"/>
              </w:rPr>
            </w:pPr>
            <w:r w:rsidRPr="001F15ED">
              <w:rPr>
                <w:rFonts w:eastAsia="Times New Roman" w:cs="Times New Roman"/>
              </w:rPr>
              <w:t>Trinidad y Tobago</w:t>
            </w:r>
          </w:p>
        </w:tc>
        <w:tc>
          <w:tcPr>
            <w:tcW w:w="0" w:type="auto"/>
            <w:tcBorders>
              <w:top w:val="nil"/>
              <w:left w:val="single" w:sz="4" w:space="0" w:color="000000"/>
              <w:bottom w:val="nil"/>
              <w:right w:val="single" w:sz="4" w:space="0" w:color="000000"/>
            </w:tcBorders>
            <w:hideMark/>
          </w:tcPr>
          <w:p w14:paraId="4A1471E1"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1BF7AE06" w14:textId="77777777" w:rsidTr="00920E3A">
        <w:trPr>
          <w:trHeight w:hRule="exact" w:val="340"/>
          <w:jc w:val="center"/>
        </w:trPr>
        <w:tc>
          <w:tcPr>
            <w:tcW w:w="0" w:type="auto"/>
            <w:tcBorders>
              <w:top w:val="nil"/>
              <w:left w:val="single" w:sz="4" w:space="0" w:color="000000"/>
              <w:bottom w:val="single" w:sz="4" w:space="0" w:color="000000"/>
              <w:right w:val="single" w:sz="4" w:space="0" w:color="000000"/>
            </w:tcBorders>
            <w:vAlign w:val="bottom"/>
            <w:hideMark/>
          </w:tcPr>
          <w:p w14:paraId="75947F5B" w14:textId="77777777" w:rsidR="00537DFC" w:rsidRPr="001F15ED" w:rsidRDefault="00537DFC" w:rsidP="00E15C3A">
            <w:pPr>
              <w:rPr>
                <w:rFonts w:eastAsia="Times New Roman" w:cs="Times New Roman"/>
              </w:rPr>
            </w:pPr>
            <w:r w:rsidRPr="001F15ED">
              <w:rPr>
                <w:rFonts w:eastAsia="Times New Roman" w:cs="Times New Roman"/>
              </w:rPr>
              <w:t>Venezuela</w:t>
            </w:r>
          </w:p>
        </w:tc>
        <w:tc>
          <w:tcPr>
            <w:tcW w:w="0" w:type="auto"/>
            <w:tcBorders>
              <w:top w:val="nil"/>
              <w:left w:val="single" w:sz="4" w:space="0" w:color="000000"/>
              <w:bottom w:val="single" w:sz="4" w:space="0" w:color="000000"/>
              <w:right w:val="single" w:sz="4" w:space="0" w:color="000000"/>
            </w:tcBorders>
            <w:hideMark/>
          </w:tcPr>
          <w:p w14:paraId="5CE6C3F0"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r w:rsidR="00537DFC" w:rsidRPr="00920E3A" w14:paraId="36E70BF6" w14:textId="77777777" w:rsidTr="00920E3A">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vAlign w:val="bottom"/>
            <w:hideMark/>
          </w:tcPr>
          <w:p w14:paraId="07DBDBDF" w14:textId="77777777" w:rsidR="00537DFC" w:rsidRPr="001F15ED" w:rsidRDefault="00537DFC" w:rsidP="00E15C3A">
            <w:pPr>
              <w:rPr>
                <w:rFonts w:eastAsia="Times New Roman" w:cs="Times New Roman"/>
                <w:b/>
              </w:rPr>
            </w:pPr>
            <w:r w:rsidRPr="001F15ED">
              <w:rPr>
                <w:rFonts w:eastAsia="Times New Roman" w:cs="Times New Roman"/>
                <w:b/>
              </w:rPr>
              <w:t>TOTAL</w:t>
            </w:r>
          </w:p>
        </w:tc>
        <w:tc>
          <w:tcPr>
            <w:tcW w:w="0" w:type="auto"/>
            <w:tcBorders>
              <w:top w:val="single" w:sz="4" w:space="0" w:color="000000"/>
              <w:left w:val="single" w:sz="4" w:space="0" w:color="000000"/>
              <w:bottom w:val="single" w:sz="4" w:space="0" w:color="000000"/>
              <w:right w:val="single" w:sz="4" w:space="0" w:color="000000"/>
            </w:tcBorders>
            <w:hideMark/>
          </w:tcPr>
          <w:p w14:paraId="188EBCA0" w14:textId="77777777" w:rsidR="00537DFC" w:rsidRPr="00920E3A" w:rsidRDefault="00537DFC" w:rsidP="00E15C3A">
            <w:pPr>
              <w:widowControl w:val="0"/>
              <w:jc w:val="center"/>
              <w:rPr>
                <w:rFonts w:eastAsia="Times New Roman" w:cs="Times New Roman"/>
                <w:u w:val="single"/>
              </w:rPr>
            </w:pPr>
            <w:r w:rsidRPr="00920E3A">
              <w:rPr>
                <w:rFonts w:eastAsia="Times New Roman" w:cs="Times New Roman"/>
                <w:u w:val="single"/>
              </w:rPr>
              <w:t>XX</w:t>
            </w:r>
          </w:p>
        </w:tc>
      </w:tr>
    </w:tbl>
    <w:p w14:paraId="5A89CC16" w14:textId="73674B32" w:rsidR="00B15822" w:rsidRPr="00920E3A" w:rsidRDefault="00B15822" w:rsidP="00841CA3">
      <w:pPr>
        <w:pBdr>
          <w:top w:val="nil"/>
          <w:left w:val="nil"/>
          <w:bottom w:val="nil"/>
          <w:right w:val="nil"/>
          <w:between w:val="nil"/>
        </w:pBdr>
        <w:ind w:right="260"/>
        <w:rPr>
          <w:color w:val="000000"/>
        </w:rPr>
      </w:pPr>
    </w:p>
    <w:tbl>
      <w:tblPr>
        <w:tblStyle w:val="a0"/>
        <w:tblW w:w="0" w:type="auto"/>
        <w:jc w:val="center"/>
        <w:tblLayout w:type="fixed"/>
        <w:tblLook w:val="0400" w:firstRow="0" w:lastRow="0" w:firstColumn="0" w:lastColumn="0" w:noHBand="0" w:noVBand="1"/>
      </w:tblPr>
      <w:tblGrid>
        <w:gridCol w:w="3132"/>
        <w:gridCol w:w="2560"/>
      </w:tblGrid>
      <w:tr w:rsidR="00B15822" w:rsidRPr="00920E3A" w14:paraId="29A79C0D" w14:textId="77777777" w:rsidTr="001D76E9">
        <w:trPr>
          <w:jc w:val="center"/>
        </w:trPr>
        <w:tc>
          <w:tcPr>
            <w:tcW w:w="3132" w:type="dxa"/>
            <w:tcBorders>
              <w:top w:val="single" w:sz="4" w:space="0" w:color="000000"/>
              <w:left w:val="single" w:sz="4" w:space="0" w:color="000000"/>
              <w:bottom w:val="single" w:sz="4" w:space="0" w:color="000000"/>
              <w:right w:val="single" w:sz="4" w:space="0" w:color="000000"/>
            </w:tcBorders>
            <w:vAlign w:val="center"/>
          </w:tcPr>
          <w:p w14:paraId="1E9A34F6" w14:textId="5D6EDD7D" w:rsidR="00B15822" w:rsidRPr="00920E3A" w:rsidRDefault="00B15822" w:rsidP="00B15822">
            <w:pPr>
              <w:pBdr>
                <w:top w:val="nil"/>
                <w:left w:val="nil"/>
                <w:bottom w:val="nil"/>
                <w:right w:val="nil"/>
                <w:between w:val="nil"/>
              </w:pBdr>
              <w:spacing w:line="276" w:lineRule="auto"/>
              <w:rPr>
                <w:i/>
                <w:color w:val="000000"/>
              </w:rPr>
            </w:pPr>
            <w:r w:rsidRPr="00920E3A">
              <w:rPr>
                <w:i/>
              </w:rPr>
              <w:t>Aguja blanca/m</w:t>
            </w:r>
            <w:r w:rsidRPr="00920E3A">
              <w:rPr>
                <w:i/>
                <w:color w:val="000000"/>
              </w:rPr>
              <w:t>arlín peto</w:t>
            </w:r>
          </w:p>
        </w:tc>
        <w:tc>
          <w:tcPr>
            <w:tcW w:w="2560" w:type="dxa"/>
            <w:tcBorders>
              <w:top w:val="single" w:sz="4" w:space="0" w:color="000000"/>
              <w:left w:val="single" w:sz="4" w:space="0" w:color="000000"/>
              <w:bottom w:val="single" w:sz="4" w:space="0" w:color="000000"/>
              <w:right w:val="single" w:sz="4" w:space="0" w:color="000000"/>
            </w:tcBorders>
            <w:vAlign w:val="center"/>
          </w:tcPr>
          <w:p w14:paraId="1CEE7A9D" w14:textId="0133EF90" w:rsidR="00B15822" w:rsidRPr="00920E3A" w:rsidRDefault="00B15822">
            <w:pPr>
              <w:spacing w:line="276" w:lineRule="auto"/>
              <w:jc w:val="center"/>
              <w:rPr>
                <w:i/>
                <w:color w:val="000000"/>
              </w:rPr>
            </w:pPr>
            <w:r w:rsidRPr="00920E3A">
              <w:rPr>
                <w:i/>
              </w:rPr>
              <w:t xml:space="preserve">Límites de desembarques (t) </w:t>
            </w:r>
          </w:p>
        </w:tc>
      </w:tr>
      <w:tr w:rsidR="00F87C89" w:rsidRPr="00920E3A" w14:paraId="1781BD4F" w14:textId="77777777" w:rsidTr="00C0577E">
        <w:trPr>
          <w:jc w:val="center"/>
        </w:trPr>
        <w:tc>
          <w:tcPr>
            <w:tcW w:w="3132" w:type="dxa"/>
            <w:tcBorders>
              <w:top w:val="nil"/>
              <w:left w:val="single" w:sz="4" w:space="0" w:color="000000"/>
              <w:bottom w:val="nil"/>
              <w:right w:val="single" w:sz="4" w:space="0" w:color="000000"/>
            </w:tcBorders>
            <w:vAlign w:val="bottom"/>
          </w:tcPr>
          <w:p w14:paraId="1E1A636F"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Barbados</w:t>
            </w:r>
          </w:p>
        </w:tc>
        <w:tc>
          <w:tcPr>
            <w:tcW w:w="2560" w:type="dxa"/>
            <w:tcBorders>
              <w:top w:val="nil"/>
              <w:left w:val="single" w:sz="4" w:space="0" w:color="000000"/>
              <w:bottom w:val="nil"/>
              <w:right w:val="single" w:sz="4" w:space="0" w:color="000000"/>
            </w:tcBorders>
          </w:tcPr>
          <w:p w14:paraId="75656274" w14:textId="4528B9A7"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2CACDC46" w14:textId="77777777" w:rsidTr="00C0577E">
        <w:trPr>
          <w:jc w:val="center"/>
        </w:trPr>
        <w:tc>
          <w:tcPr>
            <w:tcW w:w="3132" w:type="dxa"/>
            <w:tcBorders>
              <w:top w:val="nil"/>
              <w:left w:val="single" w:sz="4" w:space="0" w:color="000000"/>
              <w:bottom w:val="nil"/>
              <w:right w:val="single" w:sz="4" w:space="0" w:color="000000"/>
            </w:tcBorders>
            <w:vAlign w:val="bottom"/>
          </w:tcPr>
          <w:p w14:paraId="67484E12"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Brasil</w:t>
            </w:r>
          </w:p>
        </w:tc>
        <w:tc>
          <w:tcPr>
            <w:tcW w:w="2560" w:type="dxa"/>
            <w:tcBorders>
              <w:top w:val="nil"/>
              <w:left w:val="single" w:sz="4" w:space="0" w:color="000000"/>
              <w:bottom w:val="nil"/>
              <w:right w:val="single" w:sz="4" w:space="0" w:color="000000"/>
            </w:tcBorders>
          </w:tcPr>
          <w:p w14:paraId="5BE80897" w14:textId="7AF0568F"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2C74D270" w14:textId="77777777" w:rsidTr="00C0577E">
        <w:trPr>
          <w:jc w:val="center"/>
        </w:trPr>
        <w:tc>
          <w:tcPr>
            <w:tcW w:w="3132" w:type="dxa"/>
            <w:tcBorders>
              <w:top w:val="nil"/>
              <w:left w:val="single" w:sz="4" w:space="0" w:color="000000"/>
              <w:bottom w:val="nil"/>
              <w:right w:val="single" w:sz="4" w:space="0" w:color="000000"/>
            </w:tcBorders>
            <w:vAlign w:val="bottom"/>
          </w:tcPr>
          <w:p w14:paraId="7E8B36FA"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Canadá</w:t>
            </w:r>
          </w:p>
        </w:tc>
        <w:tc>
          <w:tcPr>
            <w:tcW w:w="2560" w:type="dxa"/>
            <w:tcBorders>
              <w:top w:val="nil"/>
              <w:left w:val="single" w:sz="4" w:space="0" w:color="000000"/>
              <w:bottom w:val="nil"/>
              <w:right w:val="single" w:sz="4" w:space="0" w:color="000000"/>
            </w:tcBorders>
          </w:tcPr>
          <w:p w14:paraId="3DC914F3" w14:textId="342B39B4"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5F60BB7D" w14:textId="77777777" w:rsidTr="00C0577E">
        <w:trPr>
          <w:jc w:val="center"/>
        </w:trPr>
        <w:tc>
          <w:tcPr>
            <w:tcW w:w="3132" w:type="dxa"/>
            <w:tcBorders>
              <w:top w:val="nil"/>
              <w:left w:val="single" w:sz="4" w:space="0" w:color="000000"/>
              <w:bottom w:val="nil"/>
              <w:right w:val="single" w:sz="4" w:space="0" w:color="000000"/>
            </w:tcBorders>
            <w:vAlign w:val="bottom"/>
          </w:tcPr>
          <w:p w14:paraId="18B9D84C"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China, RP</w:t>
            </w:r>
          </w:p>
        </w:tc>
        <w:tc>
          <w:tcPr>
            <w:tcW w:w="2560" w:type="dxa"/>
            <w:tcBorders>
              <w:top w:val="nil"/>
              <w:left w:val="single" w:sz="4" w:space="0" w:color="000000"/>
              <w:bottom w:val="nil"/>
              <w:right w:val="single" w:sz="4" w:space="0" w:color="000000"/>
            </w:tcBorders>
          </w:tcPr>
          <w:p w14:paraId="2CABABA2" w14:textId="48BE8747"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7925DC50" w14:textId="77777777" w:rsidTr="00C0577E">
        <w:trPr>
          <w:jc w:val="center"/>
        </w:trPr>
        <w:tc>
          <w:tcPr>
            <w:tcW w:w="3132" w:type="dxa"/>
            <w:tcBorders>
              <w:top w:val="nil"/>
              <w:left w:val="single" w:sz="4" w:space="0" w:color="000000"/>
              <w:bottom w:val="nil"/>
              <w:right w:val="single" w:sz="4" w:space="0" w:color="000000"/>
            </w:tcBorders>
            <w:vAlign w:val="bottom"/>
          </w:tcPr>
          <w:p w14:paraId="1D059449"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Taipei Chino</w:t>
            </w:r>
          </w:p>
        </w:tc>
        <w:tc>
          <w:tcPr>
            <w:tcW w:w="2560" w:type="dxa"/>
            <w:tcBorders>
              <w:top w:val="nil"/>
              <w:left w:val="single" w:sz="4" w:space="0" w:color="000000"/>
              <w:bottom w:val="nil"/>
              <w:right w:val="single" w:sz="4" w:space="0" w:color="000000"/>
            </w:tcBorders>
          </w:tcPr>
          <w:p w14:paraId="7A16813E" w14:textId="6E818BE7"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717BFF59" w14:textId="77777777" w:rsidTr="00C0577E">
        <w:trPr>
          <w:jc w:val="center"/>
        </w:trPr>
        <w:tc>
          <w:tcPr>
            <w:tcW w:w="3132" w:type="dxa"/>
            <w:tcBorders>
              <w:top w:val="nil"/>
              <w:left w:val="single" w:sz="4" w:space="0" w:color="000000"/>
              <w:bottom w:val="nil"/>
              <w:right w:val="single" w:sz="4" w:space="0" w:color="000000"/>
            </w:tcBorders>
            <w:vAlign w:val="bottom"/>
          </w:tcPr>
          <w:p w14:paraId="3C81EFC9"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Unión Europea</w:t>
            </w:r>
          </w:p>
        </w:tc>
        <w:tc>
          <w:tcPr>
            <w:tcW w:w="2560" w:type="dxa"/>
            <w:tcBorders>
              <w:top w:val="nil"/>
              <w:left w:val="single" w:sz="4" w:space="0" w:color="000000"/>
              <w:bottom w:val="nil"/>
              <w:right w:val="single" w:sz="4" w:space="0" w:color="000000"/>
            </w:tcBorders>
          </w:tcPr>
          <w:p w14:paraId="5FD8BC46" w14:textId="25F0E4FF"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6611909A" w14:textId="77777777" w:rsidTr="00C0577E">
        <w:trPr>
          <w:jc w:val="center"/>
        </w:trPr>
        <w:tc>
          <w:tcPr>
            <w:tcW w:w="3132" w:type="dxa"/>
            <w:tcBorders>
              <w:top w:val="nil"/>
              <w:left w:val="single" w:sz="4" w:space="0" w:color="000000"/>
              <w:bottom w:val="nil"/>
              <w:right w:val="single" w:sz="4" w:space="0" w:color="000000"/>
            </w:tcBorders>
            <w:vAlign w:val="bottom"/>
          </w:tcPr>
          <w:p w14:paraId="3CFFECB9"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Côte d’Ivoire</w:t>
            </w:r>
          </w:p>
        </w:tc>
        <w:tc>
          <w:tcPr>
            <w:tcW w:w="2560" w:type="dxa"/>
            <w:tcBorders>
              <w:top w:val="nil"/>
              <w:left w:val="single" w:sz="4" w:space="0" w:color="000000"/>
              <w:bottom w:val="nil"/>
              <w:right w:val="single" w:sz="4" w:space="0" w:color="000000"/>
            </w:tcBorders>
          </w:tcPr>
          <w:p w14:paraId="4129448E" w14:textId="4EE7B4FA"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6AF86ACB" w14:textId="77777777" w:rsidTr="00C0577E">
        <w:trPr>
          <w:jc w:val="center"/>
        </w:trPr>
        <w:tc>
          <w:tcPr>
            <w:tcW w:w="3132" w:type="dxa"/>
            <w:tcBorders>
              <w:top w:val="nil"/>
              <w:left w:val="single" w:sz="4" w:space="0" w:color="000000"/>
              <w:bottom w:val="nil"/>
              <w:right w:val="single" w:sz="4" w:space="0" w:color="000000"/>
            </w:tcBorders>
            <w:vAlign w:val="bottom"/>
          </w:tcPr>
          <w:p w14:paraId="4AE54A72"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Japón</w:t>
            </w:r>
          </w:p>
        </w:tc>
        <w:tc>
          <w:tcPr>
            <w:tcW w:w="2560" w:type="dxa"/>
            <w:tcBorders>
              <w:top w:val="nil"/>
              <w:left w:val="single" w:sz="4" w:space="0" w:color="000000"/>
              <w:bottom w:val="nil"/>
              <w:right w:val="single" w:sz="4" w:space="0" w:color="000000"/>
            </w:tcBorders>
          </w:tcPr>
          <w:p w14:paraId="5965E3D6" w14:textId="42E71709"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5FA86DE6" w14:textId="77777777" w:rsidTr="00C0577E">
        <w:trPr>
          <w:jc w:val="center"/>
        </w:trPr>
        <w:tc>
          <w:tcPr>
            <w:tcW w:w="3132" w:type="dxa"/>
            <w:tcBorders>
              <w:top w:val="nil"/>
              <w:left w:val="single" w:sz="4" w:space="0" w:color="000000"/>
              <w:bottom w:val="nil"/>
              <w:right w:val="single" w:sz="4" w:space="0" w:color="000000"/>
            </w:tcBorders>
            <w:vAlign w:val="bottom"/>
          </w:tcPr>
          <w:p w14:paraId="5725CC28"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Corea, Rep.</w:t>
            </w:r>
          </w:p>
        </w:tc>
        <w:tc>
          <w:tcPr>
            <w:tcW w:w="2560" w:type="dxa"/>
            <w:tcBorders>
              <w:top w:val="nil"/>
              <w:left w:val="single" w:sz="4" w:space="0" w:color="000000"/>
              <w:bottom w:val="nil"/>
              <w:right w:val="single" w:sz="4" w:space="0" w:color="000000"/>
            </w:tcBorders>
          </w:tcPr>
          <w:p w14:paraId="6015EF46" w14:textId="54DBF500"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5C5D0B05" w14:textId="77777777" w:rsidTr="00C0577E">
        <w:trPr>
          <w:jc w:val="center"/>
        </w:trPr>
        <w:tc>
          <w:tcPr>
            <w:tcW w:w="3132" w:type="dxa"/>
            <w:tcBorders>
              <w:top w:val="nil"/>
              <w:left w:val="single" w:sz="4" w:space="0" w:color="000000"/>
              <w:bottom w:val="nil"/>
              <w:right w:val="single" w:sz="4" w:space="0" w:color="000000"/>
            </w:tcBorders>
            <w:vAlign w:val="bottom"/>
          </w:tcPr>
          <w:p w14:paraId="5B8CEBAB"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México</w:t>
            </w:r>
          </w:p>
        </w:tc>
        <w:tc>
          <w:tcPr>
            <w:tcW w:w="2560" w:type="dxa"/>
            <w:tcBorders>
              <w:top w:val="nil"/>
              <w:left w:val="single" w:sz="4" w:space="0" w:color="000000"/>
              <w:bottom w:val="nil"/>
              <w:right w:val="single" w:sz="4" w:space="0" w:color="000000"/>
            </w:tcBorders>
          </w:tcPr>
          <w:p w14:paraId="4839D42A" w14:textId="29C71791"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37AB5E96" w14:textId="77777777" w:rsidTr="00C0577E">
        <w:trPr>
          <w:jc w:val="center"/>
        </w:trPr>
        <w:tc>
          <w:tcPr>
            <w:tcW w:w="3132" w:type="dxa"/>
            <w:tcBorders>
              <w:top w:val="nil"/>
              <w:left w:val="single" w:sz="4" w:space="0" w:color="000000"/>
              <w:bottom w:val="nil"/>
              <w:right w:val="single" w:sz="4" w:space="0" w:color="000000"/>
            </w:tcBorders>
            <w:vAlign w:val="bottom"/>
          </w:tcPr>
          <w:p w14:paraId="787C9B80" w14:textId="53B789F7" w:rsidR="00F87C89" w:rsidRPr="00920E3A" w:rsidRDefault="00F87C89" w:rsidP="00F87C89">
            <w:pPr>
              <w:pBdr>
                <w:top w:val="nil"/>
                <w:left w:val="nil"/>
                <w:bottom w:val="nil"/>
                <w:right w:val="nil"/>
                <w:between w:val="nil"/>
              </w:pBdr>
              <w:spacing w:line="276" w:lineRule="auto"/>
              <w:rPr>
                <w:color w:val="000000"/>
              </w:rPr>
            </w:pPr>
            <w:r w:rsidRPr="00920E3A">
              <w:rPr>
                <w:color w:val="000000"/>
              </w:rPr>
              <w:t>S</w:t>
            </w:r>
            <w:r w:rsidR="005012A1" w:rsidRPr="00920E3A">
              <w:rPr>
                <w:color w:val="000000"/>
              </w:rPr>
              <w:t>.</w:t>
            </w:r>
            <w:r w:rsidRPr="00920E3A">
              <w:rPr>
                <w:color w:val="000000"/>
              </w:rPr>
              <w:t xml:space="preserve"> Tomé </w:t>
            </w:r>
            <w:proofErr w:type="spellStart"/>
            <w:r w:rsidR="005012A1" w:rsidRPr="00920E3A">
              <w:rPr>
                <w:color w:val="000000"/>
              </w:rPr>
              <w:t>e</w:t>
            </w:r>
            <w:proofErr w:type="spellEnd"/>
            <w:r w:rsidRPr="00920E3A">
              <w:rPr>
                <w:color w:val="000000"/>
              </w:rPr>
              <w:t xml:space="preserve"> Príncipe</w:t>
            </w:r>
          </w:p>
        </w:tc>
        <w:tc>
          <w:tcPr>
            <w:tcW w:w="2560" w:type="dxa"/>
            <w:tcBorders>
              <w:top w:val="nil"/>
              <w:left w:val="single" w:sz="4" w:space="0" w:color="000000"/>
              <w:bottom w:val="nil"/>
              <w:right w:val="single" w:sz="4" w:space="0" w:color="000000"/>
            </w:tcBorders>
          </w:tcPr>
          <w:p w14:paraId="5F6671CA" w14:textId="0A703294"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1630D6AC" w14:textId="77777777" w:rsidTr="00C0577E">
        <w:trPr>
          <w:trHeight w:val="151"/>
          <w:jc w:val="center"/>
        </w:trPr>
        <w:tc>
          <w:tcPr>
            <w:tcW w:w="3132" w:type="dxa"/>
            <w:tcBorders>
              <w:top w:val="nil"/>
              <w:left w:val="single" w:sz="4" w:space="0" w:color="000000"/>
              <w:bottom w:val="nil"/>
              <w:right w:val="single" w:sz="4" w:space="0" w:color="000000"/>
            </w:tcBorders>
            <w:vAlign w:val="bottom"/>
          </w:tcPr>
          <w:p w14:paraId="44588007"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Trinidad y Tobago</w:t>
            </w:r>
          </w:p>
        </w:tc>
        <w:tc>
          <w:tcPr>
            <w:tcW w:w="2560" w:type="dxa"/>
            <w:tcBorders>
              <w:top w:val="nil"/>
              <w:left w:val="single" w:sz="4" w:space="0" w:color="000000"/>
              <w:bottom w:val="nil"/>
              <w:right w:val="single" w:sz="4" w:space="0" w:color="000000"/>
            </w:tcBorders>
          </w:tcPr>
          <w:p w14:paraId="123456BA" w14:textId="78C19FD9"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F87C89" w:rsidRPr="00920E3A" w14:paraId="5319C789" w14:textId="77777777" w:rsidTr="00C0577E">
        <w:trPr>
          <w:jc w:val="center"/>
        </w:trPr>
        <w:tc>
          <w:tcPr>
            <w:tcW w:w="3132" w:type="dxa"/>
            <w:tcBorders>
              <w:top w:val="nil"/>
              <w:left w:val="single" w:sz="4" w:space="0" w:color="000000"/>
              <w:bottom w:val="single" w:sz="4" w:space="0" w:color="000000"/>
              <w:right w:val="single" w:sz="4" w:space="0" w:color="000000"/>
            </w:tcBorders>
            <w:vAlign w:val="bottom"/>
          </w:tcPr>
          <w:p w14:paraId="6AA85122" w14:textId="77777777" w:rsidR="00F87C89" w:rsidRPr="00920E3A" w:rsidRDefault="00F87C89" w:rsidP="00F87C89">
            <w:pPr>
              <w:pBdr>
                <w:top w:val="nil"/>
                <w:left w:val="nil"/>
                <w:bottom w:val="nil"/>
                <w:right w:val="nil"/>
                <w:between w:val="nil"/>
              </w:pBdr>
              <w:spacing w:line="276" w:lineRule="auto"/>
              <w:rPr>
                <w:color w:val="000000"/>
              </w:rPr>
            </w:pPr>
            <w:r w:rsidRPr="00920E3A">
              <w:rPr>
                <w:color w:val="000000"/>
              </w:rPr>
              <w:t>Venezuela</w:t>
            </w:r>
          </w:p>
        </w:tc>
        <w:tc>
          <w:tcPr>
            <w:tcW w:w="2560" w:type="dxa"/>
            <w:tcBorders>
              <w:top w:val="nil"/>
              <w:left w:val="single" w:sz="4" w:space="0" w:color="000000"/>
              <w:bottom w:val="single" w:sz="4" w:space="0" w:color="000000"/>
              <w:right w:val="single" w:sz="4" w:space="0" w:color="000000"/>
            </w:tcBorders>
          </w:tcPr>
          <w:p w14:paraId="563D7E96" w14:textId="1EE99C97" w:rsidR="00F87C89" w:rsidRPr="001F15ED" w:rsidRDefault="00F87C89" w:rsidP="00F87C89">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r w:rsidR="00B15822" w:rsidRPr="00920E3A" w14:paraId="6894A4BF" w14:textId="77777777" w:rsidTr="001D76E9">
        <w:trPr>
          <w:jc w:val="center"/>
        </w:trPr>
        <w:tc>
          <w:tcPr>
            <w:tcW w:w="3132" w:type="dxa"/>
            <w:tcBorders>
              <w:top w:val="single" w:sz="4" w:space="0" w:color="000000"/>
              <w:left w:val="single" w:sz="4" w:space="0" w:color="000000"/>
              <w:bottom w:val="single" w:sz="4" w:space="0" w:color="000000"/>
              <w:right w:val="single" w:sz="4" w:space="0" w:color="000000"/>
            </w:tcBorders>
            <w:vAlign w:val="bottom"/>
          </w:tcPr>
          <w:p w14:paraId="1F08A485" w14:textId="77777777" w:rsidR="00B15822" w:rsidRPr="00920E3A" w:rsidRDefault="00B15822">
            <w:pPr>
              <w:pBdr>
                <w:top w:val="nil"/>
                <w:left w:val="nil"/>
                <w:bottom w:val="nil"/>
                <w:right w:val="nil"/>
                <w:between w:val="nil"/>
              </w:pBdr>
              <w:spacing w:line="276" w:lineRule="auto"/>
              <w:rPr>
                <w:b/>
                <w:color w:val="000000"/>
              </w:rPr>
            </w:pPr>
            <w:r w:rsidRPr="00920E3A">
              <w:rPr>
                <w:b/>
                <w:color w:val="000000"/>
              </w:rPr>
              <w:t>TOTAL</w:t>
            </w:r>
          </w:p>
        </w:tc>
        <w:tc>
          <w:tcPr>
            <w:tcW w:w="2560" w:type="dxa"/>
            <w:tcBorders>
              <w:top w:val="single" w:sz="4" w:space="0" w:color="000000"/>
              <w:left w:val="single" w:sz="4" w:space="0" w:color="000000"/>
              <w:bottom w:val="single" w:sz="4" w:space="0" w:color="000000"/>
              <w:right w:val="single" w:sz="4" w:space="0" w:color="000000"/>
            </w:tcBorders>
            <w:vAlign w:val="center"/>
          </w:tcPr>
          <w:p w14:paraId="299C3C50" w14:textId="0AFCA2A3" w:rsidR="00B15822" w:rsidRPr="001F15ED" w:rsidRDefault="00F91D6D">
            <w:pPr>
              <w:widowControl w:val="0"/>
              <w:pBdr>
                <w:top w:val="nil"/>
                <w:left w:val="nil"/>
                <w:bottom w:val="nil"/>
                <w:right w:val="nil"/>
                <w:between w:val="nil"/>
              </w:pBdr>
              <w:jc w:val="center"/>
              <w:rPr>
                <w:u w:val="single"/>
              </w:rPr>
            </w:pPr>
            <w:r w:rsidRPr="001F15ED">
              <w:rPr>
                <w:rFonts w:eastAsia="Times New Roman" w:cs="Times New Roman"/>
                <w:sz w:val="22"/>
                <w:szCs w:val="22"/>
                <w:u w:val="single"/>
              </w:rPr>
              <w:t>XX</w:t>
            </w:r>
          </w:p>
        </w:tc>
      </w:tr>
    </w:tbl>
    <w:p w14:paraId="29812235" w14:textId="77777777" w:rsidR="004B18CD" w:rsidRPr="00920E3A" w:rsidRDefault="004B18CD">
      <w:pPr>
        <w:pBdr>
          <w:top w:val="nil"/>
          <w:left w:val="nil"/>
          <w:bottom w:val="nil"/>
          <w:right w:val="nil"/>
          <w:between w:val="nil"/>
        </w:pBdr>
        <w:spacing w:line="276" w:lineRule="auto"/>
        <w:jc w:val="left"/>
        <w:rPr>
          <w:color w:val="000000"/>
        </w:rPr>
      </w:pPr>
    </w:p>
    <w:p w14:paraId="5A0A1788" w14:textId="288423FD" w:rsidR="004B18CD" w:rsidRPr="00920E3A" w:rsidRDefault="00F37A49">
      <w:pPr>
        <w:pBdr>
          <w:top w:val="nil"/>
          <w:left w:val="nil"/>
          <w:bottom w:val="nil"/>
          <w:right w:val="nil"/>
          <w:between w:val="nil"/>
        </w:pBdr>
        <w:tabs>
          <w:tab w:val="left" w:pos="284"/>
        </w:tabs>
        <w:rPr>
          <w:color w:val="000000"/>
        </w:rPr>
      </w:pPr>
      <w:r w:rsidRPr="00920E3A">
        <w:rPr>
          <w:color w:val="000000"/>
        </w:rPr>
        <w:t xml:space="preserve">Estados Unidos limitará anualmente sus desembarques a 250 ejemplares de aguja azul y de aguja blanca/marlín peto </w:t>
      </w:r>
      <w:r w:rsidR="002859A8" w:rsidRPr="00920E3A">
        <w:rPr>
          <w:color w:val="000000"/>
        </w:rPr>
        <w:t xml:space="preserve">del Atlántico </w:t>
      </w:r>
      <w:r w:rsidRPr="00920E3A">
        <w:rPr>
          <w:color w:val="000000"/>
        </w:rPr>
        <w:t xml:space="preserve">combinados, capturados por la </w:t>
      </w:r>
      <w:r w:rsidR="003B4BC0" w:rsidRPr="00920E3A">
        <w:rPr>
          <w:color w:val="000000"/>
        </w:rPr>
        <w:t>pesquería</w:t>
      </w:r>
      <w:r w:rsidRPr="00920E3A">
        <w:rPr>
          <w:color w:val="000000"/>
        </w:rPr>
        <w:t xml:space="preserve"> de recreo. Las demás CPC limitarán sus desembarques a un máximo de </w:t>
      </w:r>
      <w:r w:rsidR="001F2F72" w:rsidRPr="00920E3A">
        <w:rPr>
          <w:color w:val="000000"/>
          <w:u w:val="single"/>
        </w:rPr>
        <w:t>XX</w:t>
      </w:r>
      <w:r w:rsidRPr="00920E3A">
        <w:rPr>
          <w:color w:val="000000"/>
        </w:rPr>
        <w:t xml:space="preserve"> t de aguja azul y a </w:t>
      </w:r>
      <w:r w:rsidR="001F2F72" w:rsidRPr="00920E3A">
        <w:rPr>
          <w:color w:val="000000"/>
          <w:u w:val="single"/>
        </w:rPr>
        <w:t>XX</w:t>
      </w:r>
      <w:r w:rsidRPr="00920E3A">
        <w:rPr>
          <w:color w:val="000000"/>
        </w:rPr>
        <w:t xml:space="preserve"> t de aguja blanca/marlín peto </w:t>
      </w:r>
      <w:r w:rsidR="003B4BC0" w:rsidRPr="00920E3A">
        <w:rPr>
          <w:color w:val="000000"/>
        </w:rPr>
        <w:t xml:space="preserve">del Atlántico </w:t>
      </w:r>
      <w:r w:rsidRPr="00920E3A">
        <w:rPr>
          <w:color w:val="000000"/>
        </w:rPr>
        <w:t xml:space="preserve">combinados. </w:t>
      </w:r>
    </w:p>
    <w:p w14:paraId="503592CC" w14:textId="77777777" w:rsidR="004B18CD" w:rsidRPr="00920E3A" w:rsidRDefault="004B18CD">
      <w:pPr>
        <w:pBdr>
          <w:top w:val="nil"/>
          <w:left w:val="nil"/>
          <w:bottom w:val="nil"/>
          <w:right w:val="nil"/>
          <w:between w:val="nil"/>
        </w:pBdr>
        <w:rPr>
          <w:color w:val="000000"/>
        </w:rPr>
      </w:pPr>
    </w:p>
    <w:p w14:paraId="324D8682" w14:textId="70300B4F" w:rsidR="004B18CD" w:rsidRPr="00920E3A" w:rsidRDefault="00F37A49" w:rsidP="00171C6A">
      <w:pPr>
        <w:pBdr>
          <w:top w:val="nil"/>
          <w:left w:val="nil"/>
          <w:bottom w:val="nil"/>
          <w:right w:val="nil"/>
          <w:between w:val="nil"/>
        </w:pBdr>
        <w:tabs>
          <w:tab w:val="left" w:pos="284"/>
        </w:tabs>
        <w:ind w:left="567" w:hanging="567"/>
        <w:rPr>
          <w:color w:val="000000"/>
        </w:rPr>
      </w:pPr>
      <w:r w:rsidRPr="00920E3A">
        <w:rPr>
          <w:color w:val="000000"/>
        </w:rPr>
        <w:t xml:space="preserve">3.  </w:t>
      </w:r>
      <w:r w:rsidRPr="00920E3A">
        <w:rPr>
          <w:color w:val="000000"/>
        </w:rPr>
        <w:tab/>
      </w:r>
      <w:r w:rsidRPr="00920E3A">
        <w:t>(a) Cualquier superación de los límites de desembarque anuales establecidos en el párrafo 2 se deducirá de los límites de desembarques respectivos antes o durante el año de ajuste, del siguiente modo:</w:t>
      </w:r>
    </w:p>
    <w:p w14:paraId="632E005E" w14:textId="77777777" w:rsidR="004B18CD" w:rsidRPr="00920E3A" w:rsidRDefault="004B18CD">
      <w:pPr>
        <w:pBdr>
          <w:top w:val="nil"/>
          <w:left w:val="nil"/>
          <w:bottom w:val="nil"/>
          <w:right w:val="nil"/>
          <w:between w:val="nil"/>
        </w:pBdr>
        <w:rPr>
          <w:color w:val="000000"/>
        </w:rPr>
      </w:pPr>
    </w:p>
    <w:tbl>
      <w:tblPr>
        <w:tblStyle w:val="a1"/>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4B18CD" w:rsidRPr="00920E3A" w14:paraId="14C04BB6" w14:textId="77777777">
        <w:trPr>
          <w:trHeight w:val="420"/>
          <w:jc w:val="center"/>
        </w:trPr>
        <w:tc>
          <w:tcPr>
            <w:tcW w:w="1709" w:type="dxa"/>
            <w:tcMar>
              <w:top w:w="100" w:type="dxa"/>
              <w:left w:w="100" w:type="dxa"/>
              <w:bottom w:w="100" w:type="dxa"/>
              <w:right w:w="100" w:type="dxa"/>
            </w:tcMar>
            <w:vAlign w:val="center"/>
          </w:tcPr>
          <w:p w14:paraId="76D0F980" w14:textId="77777777" w:rsidR="004B18CD" w:rsidRPr="00920E3A" w:rsidRDefault="00F37A49">
            <w:pPr>
              <w:pBdr>
                <w:top w:val="nil"/>
                <w:left w:val="nil"/>
                <w:bottom w:val="nil"/>
                <w:right w:val="nil"/>
                <w:between w:val="nil"/>
              </w:pBdr>
              <w:jc w:val="center"/>
              <w:rPr>
                <w:i/>
                <w:color w:val="000000"/>
              </w:rPr>
            </w:pPr>
            <w:r w:rsidRPr="00920E3A">
              <w:rPr>
                <w:i/>
                <w:color w:val="000000"/>
              </w:rPr>
              <w:t>Año de captura</w:t>
            </w:r>
          </w:p>
        </w:tc>
        <w:tc>
          <w:tcPr>
            <w:tcW w:w="2028" w:type="dxa"/>
            <w:tcMar>
              <w:top w:w="100" w:type="dxa"/>
              <w:left w:w="100" w:type="dxa"/>
              <w:bottom w:w="100" w:type="dxa"/>
              <w:right w:w="100" w:type="dxa"/>
            </w:tcMar>
            <w:vAlign w:val="center"/>
          </w:tcPr>
          <w:p w14:paraId="4A009E28" w14:textId="77777777" w:rsidR="004B18CD" w:rsidRPr="00920E3A" w:rsidRDefault="00F37A49">
            <w:pPr>
              <w:pBdr>
                <w:top w:val="nil"/>
                <w:left w:val="nil"/>
                <w:bottom w:val="nil"/>
                <w:right w:val="nil"/>
                <w:between w:val="nil"/>
              </w:pBdr>
              <w:jc w:val="center"/>
              <w:rPr>
                <w:i/>
                <w:color w:val="000000"/>
              </w:rPr>
            </w:pPr>
            <w:r w:rsidRPr="00920E3A">
              <w:rPr>
                <w:i/>
                <w:color w:val="000000"/>
              </w:rPr>
              <w:t>Año de ajuste</w:t>
            </w:r>
          </w:p>
        </w:tc>
      </w:tr>
      <w:tr w:rsidR="009A1056" w:rsidRPr="00920E3A" w14:paraId="0F1DB5F0" w14:textId="77777777" w:rsidTr="00AB7E73">
        <w:trPr>
          <w:trHeight w:val="177"/>
          <w:jc w:val="center"/>
        </w:trPr>
        <w:tc>
          <w:tcPr>
            <w:tcW w:w="1709" w:type="dxa"/>
            <w:tcMar>
              <w:top w:w="100" w:type="dxa"/>
              <w:left w:w="100" w:type="dxa"/>
              <w:bottom w:w="100" w:type="dxa"/>
              <w:right w:w="100" w:type="dxa"/>
            </w:tcMar>
          </w:tcPr>
          <w:p w14:paraId="7AE6570B" w14:textId="4C16E6D5"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c>
          <w:tcPr>
            <w:tcW w:w="2028" w:type="dxa"/>
            <w:tcMar>
              <w:top w:w="100" w:type="dxa"/>
              <w:left w:w="100" w:type="dxa"/>
              <w:bottom w:w="100" w:type="dxa"/>
              <w:right w:w="100" w:type="dxa"/>
            </w:tcMar>
          </w:tcPr>
          <w:p w14:paraId="71A62D1D" w14:textId="25A2571E"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r>
      <w:tr w:rsidR="009A1056" w:rsidRPr="00920E3A" w14:paraId="565C518A" w14:textId="77777777" w:rsidTr="00AB7E73">
        <w:trPr>
          <w:trHeight w:val="177"/>
          <w:jc w:val="center"/>
        </w:trPr>
        <w:tc>
          <w:tcPr>
            <w:tcW w:w="1709" w:type="dxa"/>
            <w:tcMar>
              <w:top w:w="100" w:type="dxa"/>
              <w:left w:w="100" w:type="dxa"/>
              <w:bottom w:w="100" w:type="dxa"/>
              <w:right w:w="100" w:type="dxa"/>
            </w:tcMar>
          </w:tcPr>
          <w:p w14:paraId="01D96A2B" w14:textId="5FF4D64A"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c>
          <w:tcPr>
            <w:tcW w:w="2028" w:type="dxa"/>
            <w:tcMar>
              <w:top w:w="100" w:type="dxa"/>
              <w:left w:w="100" w:type="dxa"/>
              <w:bottom w:w="100" w:type="dxa"/>
              <w:right w:w="100" w:type="dxa"/>
            </w:tcMar>
          </w:tcPr>
          <w:p w14:paraId="0CCAAD05" w14:textId="4ECDBE28"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r>
      <w:tr w:rsidR="009A1056" w:rsidRPr="00920E3A" w14:paraId="1EEB5A82" w14:textId="77777777" w:rsidTr="00AB7E73">
        <w:trPr>
          <w:trHeight w:val="177"/>
          <w:jc w:val="center"/>
        </w:trPr>
        <w:tc>
          <w:tcPr>
            <w:tcW w:w="1709" w:type="dxa"/>
            <w:tcMar>
              <w:top w:w="100" w:type="dxa"/>
              <w:left w:w="100" w:type="dxa"/>
              <w:bottom w:w="100" w:type="dxa"/>
              <w:right w:w="100" w:type="dxa"/>
            </w:tcMar>
          </w:tcPr>
          <w:p w14:paraId="2EB0F8DC" w14:textId="4604E63D"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c>
          <w:tcPr>
            <w:tcW w:w="2028" w:type="dxa"/>
            <w:tcMar>
              <w:top w:w="100" w:type="dxa"/>
              <w:left w:w="100" w:type="dxa"/>
              <w:bottom w:w="100" w:type="dxa"/>
              <w:right w:w="100" w:type="dxa"/>
            </w:tcMar>
          </w:tcPr>
          <w:p w14:paraId="5647E364" w14:textId="4501869B" w:rsidR="009A1056" w:rsidRPr="00920E3A" w:rsidRDefault="009A1056" w:rsidP="009A1056">
            <w:pPr>
              <w:pBdr>
                <w:top w:val="nil"/>
                <w:left w:val="nil"/>
                <w:bottom w:val="nil"/>
                <w:right w:val="nil"/>
                <w:between w:val="nil"/>
              </w:pBdr>
              <w:jc w:val="center"/>
              <w:rPr>
                <w:u w:val="single"/>
              </w:rPr>
            </w:pPr>
            <w:r w:rsidRPr="00920E3A">
              <w:rPr>
                <w:color w:val="000000"/>
                <w:lang w:val="en"/>
              </w:rPr>
              <w:t>[…]</w:t>
            </w:r>
          </w:p>
        </w:tc>
      </w:tr>
      <w:tr w:rsidR="00CF3C38" w:rsidRPr="00920E3A" w14:paraId="785AD882" w14:textId="77777777" w:rsidTr="00C7022B">
        <w:trPr>
          <w:trHeight w:val="177"/>
          <w:jc w:val="center"/>
        </w:trPr>
        <w:tc>
          <w:tcPr>
            <w:tcW w:w="1709" w:type="dxa"/>
            <w:tcMar>
              <w:top w:w="100" w:type="dxa"/>
              <w:left w:w="100" w:type="dxa"/>
              <w:bottom w:w="100" w:type="dxa"/>
              <w:right w:w="100" w:type="dxa"/>
            </w:tcMar>
            <w:vAlign w:val="center"/>
          </w:tcPr>
          <w:p w14:paraId="16056F8D" w14:textId="79D78356" w:rsidR="00CF3C38" w:rsidRPr="00920E3A" w:rsidRDefault="00CF3C38" w:rsidP="00CF3C38">
            <w:pPr>
              <w:pBdr>
                <w:top w:val="nil"/>
                <w:left w:val="nil"/>
                <w:bottom w:val="nil"/>
                <w:right w:val="nil"/>
                <w:between w:val="nil"/>
              </w:pBdr>
              <w:jc w:val="center"/>
              <w:rPr>
                <w:u w:val="single"/>
              </w:rPr>
            </w:pPr>
            <w:r w:rsidRPr="00920E3A">
              <w:rPr>
                <w:u w:val="single"/>
              </w:rPr>
              <w:t>20</w:t>
            </w:r>
            <w:r w:rsidR="000947FA" w:rsidRPr="00920E3A">
              <w:rPr>
                <w:u w:val="single"/>
              </w:rPr>
              <w:t>2</w:t>
            </w:r>
            <w:r w:rsidRPr="00920E3A">
              <w:rPr>
                <w:u w:val="single"/>
              </w:rPr>
              <w:t>6</w:t>
            </w:r>
          </w:p>
        </w:tc>
        <w:tc>
          <w:tcPr>
            <w:tcW w:w="2028" w:type="dxa"/>
            <w:tcMar>
              <w:top w:w="100" w:type="dxa"/>
              <w:left w:w="100" w:type="dxa"/>
              <w:bottom w:w="100" w:type="dxa"/>
              <w:right w:w="100" w:type="dxa"/>
            </w:tcMar>
            <w:vAlign w:val="center"/>
          </w:tcPr>
          <w:p w14:paraId="150EEB05" w14:textId="1DC09F24" w:rsidR="00CF3C38" w:rsidRPr="00920E3A" w:rsidRDefault="00CF3C38" w:rsidP="00CF3C38">
            <w:pPr>
              <w:pBdr>
                <w:top w:val="nil"/>
                <w:left w:val="nil"/>
                <w:bottom w:val="nil"/>
                <w:right w:val="nil"/>
                <w:between w:val="nil"/>
              </w:pBdr>
              <w:jc w:val="center"/>
              <w:rPr>
                <w:u w:val="single"/>
              </w:rPr>
            </w:pPr>
            <w:r w:rsidRPr="00920E3A">
              <w:rPr>
                <w:u w:val="single"/>
              </w:rPr>
              <w:t>2028</w:t>
            </w:r>
          </w:p>
        </w:tc>
      </w:tr>
      <w:tr w:rsidR="00CF3C38" w:rsidRPr="00920E3A" w14:paraId="319477F4" w14:textId="77777777" w:rsidTr="00C7022B">
        <w:trPr>
          <w:trHeight w:val="177"/>
          <w:jc w:val="center"/>
        </w:trPr>
        <w:tc>
          <w:tcPr>
            <w:tcW w:w="1709" w:type="dxa"/>
            <w:tcMar>
              <w:top w:w="100" w:type="dxa"/>
              <w:left w:w="100" w:type="dxa"/>
              <w:bottom w:w="100" w:type="dxa"/>
              <w:right w:w="100" w:type="dxa"/>
            </w:tcMar>
            <w:vAlign w:val="center"/>
          </w:tcPr>
          <w:p w14:paraId="1E10FEFE" w14:textId="4E15A160" w:rsidR="00CF3C38" w:rsidRPr="00920E3A" w:rsidRDefault="00CF3C38" w:rsidP="00CF3C38">
            <w:pPr>
              <w:pBdr>
                <w:top w:val="nil"/>
                <w:left w:val="nil"/>
                <w:bottom w:val="nil"/>
                <w:right w:val="nil"/>
                <w:between w:val="nil"/>
              </w:pBdr>
              <w:jc w:val="center"/>
              <w:rPr>
                <w:u w:val="single"/>
              </w:rPr>
            </w:pPr>
            <w:r w:rsidRPr="00920E3A">
              <w:rPr>
                <w:u w:val="single"/>
              </w:rPr>
              <w:t>2027</w:t>
            </w:r>
          </w:p>
        </w:tc>
        <w:tc>
          <w:tcPr>
            <w:tcW w:w="2028" w:type="dxa"/>
            <w:tcMar>
              <w:top w:w="100" w:type="dxa"/>
              <w:left w:w="100" w:type="dxa"/>
              <w:bottom w:w="100" w:type="dxa"/>
              <w:right w:w="100" w:type="dxa"/>
            </w:tcMar>
            <w:vAlign w:val="center"/>
          </w:tcPr>
          <w:p w14:paraId="0D131EE2" w14:textId="57E98E73" w:rsidR="00CF3C38" w:rsidRPr="00920E3A" w:rsidRDefault="00CF3C38" w:rsidP="00CF3C38">
            <w:pPr>
              <w:pBdr>
                <w:top w:val="nil"/>
                <w:left w:val="nil"/>
                <w:bottom w:val="nil"/>
                <w:right w:val="nil"/>
                <w:between w:val="nil"/>
              </w:pBdr>
              <w:jc w:val="center"/>
              <w:rPr>
                <w:u w:val="single"/>
              </w:rPr>
            </w:pPr>
            <w:r w:rsidRPr="00920E3A">
              <w:rPr>
                <w:u w:val="single"/>
              </w:rPr>
              <w:t>2029</w:t>
            </w:r>
          </w:p>
        </w:tc>
      </w:tr>
      <w:tr w:rsidR="00C7022B" w:rsidRPr="00920E3A" w14:paraId="1036A78E" w14:textId="77777777" w:rsidTr="00C7022B">
        <w:trPr>
          <w:trHeight w:val="177"/>
          <w:jc w:val="center"/>
        </w:trPr>
        <w:tc>
          <w:tcPr>
            <w:tcW w:w="1709" w:type="dxa"/>
            <w:tcMar>
              <w:top w:w="100" w:type="dxa"/>
              <w:left w:w="100" w:type="dxa"/>
              <w:bottom w:w="100" w:type="dxa"/>
              <w:right w:w="100" w:type="dxa"/>
            </w:tcMar>
            <w:vAlign w:val="center"/>
          </w:tcPr>
          <w:p w14:paraId="5AF8C281" w14:textId="630467B7" w:rsidR="00C7022B" w:rsidRPr="00920E3A" w:rsidRDefault="00C7022B" w:rsidP="00C7022B">
            <w:pPr>
              <w:pBdr>
                <w:top w:val="nil"/>
                <w:left w:val="nil"/>
                <w:bottom w:val="nil"/>
                <w:right w:val="nil"/>
                <w:between w:val="nil"/>
              </w:pBdr>
              <w:jc w:val="center"/>
              <w:rPr>
                <w:u w:val="single"/>
              </w:rPr>
            </w:pPr>
            <w:r w:rsidRPr="00920E3A">
              <w:rPr>
                <w:u w:val="single"/>
              </w:rPr>
              <w:t>202</w:t>
            </w:r>
            <w:r w:rsidR="00CF3C38" w:rsidRPr="00920E3A">
              <w:rPr>
                <w:u w:val="single"/>
              </w:rPr>
              <w:t>8</w:t>
            </w:r>
          </w:p>
        </w:tc>
        <w:tc>
          <w:tcPr>
            <w:tcW w:w="2028" w:type="dxa"/>
            <w:tcMar>
              <w:top w:w="100" w:type="dxa"/>
              <w:left w:w="100" w:type="dxa"/>
              <w:bottom w:w="100" w:type="dxa"/>
              <w:right w:w="100" w:type="dxa"/>
            </w:tcMar>
            <w:vAlign w:val="center"/>
          </w:tcPr>
          <w:p w14:paraId="144AAF60" w14:textId="379AB79F" w:rsidR="00C7022B" w:rsidRPr="00920E3A" w:rsidRDefault="00464F5A" w:rsidP="00C7022B">
            <w:pPr>
              <w:pBdr>
                <w:top w:val="nil"/>
                <w:left w:val="nil"/>
                <w:bottom w:val="nil"/>
                <w:right w:val="nil"/>
                <w:between w:val="nil"/>
              </w:pBdr>
              <w:jc w:val="center"/>
              <w:rPr>
                <w:u w:val="single"/>
              </w:rPr>
            </w:pPr>
            <w:r w:rsidRPr="00920E3A">
              <w:rPr>
                <w:u w:val="single"/>
              </w:rPr>
              <w:t>2030</w:t>
            </w:r>
          </w:p>
        </w:tc>
      </w:tr>
      <w:tr w:rsidR="00C7022B" w:rsidRPr="00920E3A" w14:paraId="2FEA8F92" w14:textId="77777777" w:rsidTr="00C7022B">
        <w:trPr>
          <w:trHeight w:val="177"/>
          <w:jc w:val="center"/>
        </w:trPr>
        <w:tc>
          <w:tcPr>
            <w:tcW w:w="1709" w:type="dxa"/>
            <w:tcMar>
              <w:top w:w="100" w:type="dxa"/>
              <w:left w:w="100" w:type="dxa"/>
              <w:bottom w:w="100" w:type="dxa"/>
              <w:right w:w="100" w:type="dxa"/>
            </w:tcMar>
            <w:vAlign w:val="center"/>
          </w:tcPr>
          <w:p w14:paraId="5993557E" w14:textId="4B0303EF" w:rsidR="00C7022B" w:rsidRPr="00920E3A" w:rsidRDefault="00C7022B" w:rsidP="00C7022B">
            <w:pPr>
              <w:pBdr>
                <w:top w:val="nil"/>
                <w:left w:val="nil"/>
                <w:bottom w:val="nil"/>
                <w:right w:val="nil"/>
                <w:between w:val="nil"/>
              </w:pBdr>
              <w:jc w:val="center"/>
              <w:rPr>
                <w:u w:val="single"/>
              </w:rPr>
            </w:pPr>
            <w:r w:rsidRPr="00920E3A">
              <w:rPr>
                <w:u w:val="single"/>
              </w:rPr>
              <w:t>202</w:t>
            </w:r>
            <w:r w:rsidR="00CF3C38" w:rsidRPr="00920E3A">
              <w:rPr>
                <w:u w:val="single"/>
              </w:rPr>
              <w:t>9</w:t>
            </w:r>
          </w:p>
        </w:tc>
        <w:tc>
          <w:tcPr>
            <w:tcW w:w="2028" w:type="dxa"/>
            <w:tcMar>
              <w:top w:w="100" w:type="dxa"/>
              <w:left w:w="100" w:type="dxa"/>
              <w:bottom w:w="100" w:type="dxa"/>
              <w:right w:w="100" w:type="dxa"/>
            </w:tcMar>
            <w:vAlign w:val="center"/>
          </w:tcPr>
          <w:p w14:paraId="04439653" w14:textId="2F41691D" w:rsidR="00C7022B" w:rsidRPr="00920E3A" w:rsidRDefault="00C7022B" w:rsidP="00C7022B">
            <w:pPr>
              <w:pBdr>
                <w:top w:val="nil"/>
                <w:left w:val="nil"/>
                <w:bottom w:val="nil"/>
                <w:right w:val="nil"/>
                <w:between w:val="nil"/>
              </w:pBdr>
              <w:jc w:val="center"/>
              <w:rPr>
                <w:u w:val="single"/>
              </w:rPr>
            </w:pPr>
            <w:r w:rsidRPr="00920E3A">
              <w:rPr>
                <w:u w:val="single"/>
              </w:rPr>
              <w:t>20</w:t>
            </w:r>
            <w:r w:rsidR="00464F5A" w:rsidRPr="00920E3A">
              <w:rPr>
                <w:u w:val="single"/>
              </w:rPr>
              <w:t>31</w:t>
            </w:r>
          </w:p>
        </w:tc>
      </w:tr>
    </w:tbl>
    <w:p w14:paraId="5030EE2F" w14:textId="77777777" w:rsidR="004B18CD" w:rsidRPr="00920E3A" w:rsidRDefault="004B18CD">
      <w:pPr>
        <w:rPr>
          <w:color w:val="222222"/>
        </w:rPr>
      </w:pPr>
    </w:p>
    <w:p w14:paraId="002E5DC4" w14:textId="0A7A2F89" w:rsidR="004B18CD" w:rsidRPr="00920E3A" w:rsidRDefault="00F37A49" w:rsidP="00171C6A">
      <w:pPr>
        <w:ind w:left="709" w:hanging="283"/>
        <w:rPr>
          <w:color w:val="222222"/>
        </w:rPr>
      </w:pPr>
      <w:r w:rsidRPr="00920E3A">
        <w:rPr>
          <w:color w:val="222222"/>
        </w:rPr>
        <w:t xml:space="preserve">(b) </w:t>
      </w:r>
      <w:r w:rsidR="005C1EEB" w:rsidRPr="00920E3A">
        <w:rPr>
          <w:color w:val="222222"/>
        </w:rPr>
        <w:t>A</w:t>
      </w:r>
      <w:r w:rsidR="005C1EEB" w:rsidRPr="00920E3A">
        <w:rPr>
          <w:color w:val="222222"/>
          <w:u w:val="single"/>
        </w:rPr>
        <w:t>demás de la devolución requerida con arreglo al párrafo 3</w:t>
      </w:r>
      <w:r w:rsidRPr="00920E3A">
        <w:rPr>
          <w:color w:val="222222"/>
          <w:u w:val="single"/>
        </w:rPr>
        <w:t>(a)</w:t>
      </w:r>
      <w:r w:rsidRPr="00920E3A">
        <w:rPr>
          <w:color w:val="222222"/>
        </w:rPr>
        <w:t xml:space="preserve">, si cualquier CPC supera su límite de desembarques durante dos años consecutivos cualesquiera, su límite de desembarques se </w:t>
      </w:r>
      <w:r w:rsidRPr="00920E3A">
        <w:rPr>
          <w:color w:val="222222"/>
        </w:rPr>
        <w:lastRenderedPageBreak/>
        <w:t>reducirá en o antes del año de ajuste en al menos u</w:t>
      </w:r>
      <w:r w:rsidRPr="00920E3A">
        <w:rPr>
          <w:color w:val="222222"/>
          <w:u w:val="single"/>
        </w:rPr>
        <w:t xml:space="preserve">n 25 % </w:t>
      </w:r>
      <w:r w:rsidR="004F0B51" w:rsidRPr="00920E3A">
        <w:rPr>
          <w:color w:val="222222"/>
          <w:u w:val="single"/>
        </w:rPr>
        <w:t xml:space="preserve">adicional </w:t>
      </w:r>
      <w:r w:rsidRPr="00920E3A">
        <w:rPr>
          <w:color w:val="222222"/>
          <w:u w:val="single"/>
        </w:rPr>
        <w:t>del exceso de captura</w:t>
      </w:r>
      <w:r w:rsidR="00271471" w:rsidRPr="00920E3A">
        <w:rPr>
          <w:color w:val="222222"/>
          <w:u w:val="single"/>
        </w:rPr>
        <w:t xml:space="preserve"> </w:t>
      </w:r>
      <w:r w:rsidR="00271471" w:rsidRPr="00920E3A">
        <w:rPr>
          <w:color w:val="222222"/>
        </w:rPr>
        <w:t xml:space="preserve">con </w:t>
      </w:r>
      <w:r w:rsidR="00271471" w:rsidRPr="00920E3A">
        <w:rPr>
          <w:color w:val="222222"/>
          <w:u w:val="single"/>
        </w:rPr>
        <w:t xml:space="preserve">respecto al límite de desembarque de base </w:t>
      </w:r>
      <w:r w:rsidR="005D6FDB" w:rsidRPr="00920E3A">
        <w:rPr>
          <w:color w:val="222222"/>
          <w:u w:val="single"/>
        </w:rPr>
        <w:t>de la CPC en el segundo año consecutivo</w:t>
      </w:r>
      <w:r w:rsidRPr="00920E3A">
        <w:rPr>
          <w:color w:val="222222"/>
          <w:u w:val="single"/>
        </w:rPr>
        <w:t xml:space="preserve"> </w:t>
      </w:r>
      <w:r w:rsidRPr="00920E3A">
        <w:rPr>
          <w:color w:val="222222"/>
        </w:rPr>
        <w:t>y la Comisión podrá recomendar acciones adicionales, cuando proceda.</w:t>
      </w:r>
    </w:p>
    <w:p w14:paraId="0DCFCFC5" w14:textId="77777777" w:rsidR="004B18CD" w:rsidRPr="00920E3A" w:rsidRDefault="004B18CD">
      <w:pPr>
        <w:ind w:firstLine="720"/>
        <w:rPr>
          <w:color w:val="222222"/>
        </w:rPr>
      </w:pPr>
    </w:p>
    <w:p w14:paraId="78626872" w14:textId="5614A16A" w:rsidR="004B18CD" w:rsidRPr="00920E3A" w:rsidRDefault="00F37A49" w:rsidP="00171C6A">
      <w:pPr>
        <w:ind w:left="709" w:hanging="283"/>
        <w:rPr>
          <w:color w:val="222222"/>
        </w:rPr>
      </w:pPr>
      <w:r w:rsidRPr="00920E3A">
        <w:rPr>
          <w:color w:val="222222"/>
        </w:rPr>
        <w:t xml:space="preserve">(c) </w:t>
      </w:r>
      <w:r w:rsidR="00C7022B" w:rsidRPr="00920E3A">
        <w:rPr>
          <w:color w:val="222222"/>
          <w:u w:val="single"/>
        </w:rPr>
        <w:t>Cual</w:t>
      </w:r>
      <w:r w:rsidR="00C7022B" w:rsidRPr="00920E3A">
        <w:rPr>
          <w:color w:val="222222"/>
        </w:rPr>
        <w:t xml:space="preserve">quier remanente </w:t>
      </w:r>
      <w:r w:rsidRPr="00920E3A">
        <w:rPr>
          <w:color w:val="222222"/>
        </w:rPr>
        <w:t>de su límite de desembarque</w:t>
      </w:r>
      <w:r w:rsidR="00E066F4" w:rsidRPr="00920E3A">
        <w:rPr>
          <w:color w:val="222222"/>
        </w:rPr>
        <w:t>s</w:t>
      </w:r>
      <w:r w:rsidRPr="00920E3A">
        <w:rPr>
          <w:color w:val="222222"/>
        </w:rPr>
        <w:t xml:space="preserve"> anual no podrá traspasarse a un año subsiguiente. </w:t>
      </w:r>
    </w:p>
    <w:p w14:paraId="2A6ADE5F" w14:textId="77777777" w:rsidR="00E2254C" w:rsidRPr="00920E3A" w:rsidRDefault="00E2254C" w:rsidP="00171C6A">
      <w:pPr>
        <w:ind w:left="709" w:hanging="283"/>
        <w:rPr>
          <w:color w:val="222222"/>
        </w:rPr>
      </w:pPr>
    </w:p>
    <w:p w14:paraId="4BA2614B" w14:textId="0EFDF7E2" w:rsidR="00E2254C" w:rsidRPr="00920E3A" w:rsidRDefault="00E2254C" w:rsidP="00171C6A">
      <w:pPr>
        <w:ind w:left="709" w:hanging="283"/>
        <w:rPr>
          <w:color w:val="222222"/>
        </w:rPr>
      </w:pPr>
      <w:r w:rsidRPr="00920E3A">
        <w:rPr>
          <w:color w:val="222222"/>
        </w:rPr>
        <w:t>[…]</w:t>
      </w:r>
    </w:p>
    <w:p w14:paraId="724DC83E" w14:textId="77777777" w:rsidR="004B18CD" w:rsidRPr="00920E3A" w:rsidRDefault="004B18CD">
      <w:pPr>
        <w:pBdr>
          <w:top w:val="nil"/>
          <w:left w:val="nil"/>
          <w:bottom w:val="nil"/>
          <w:right w:val="nil"/>
          <w:between w:val="nil"/>
        </w:pBdr>
        <w:rPr>
          <w:color w:val="000000"/>
        </w:rPr>
      </w:pPr>
    </w:p>
    <w:p w14:paraId="2D07D50E" w14:textId="4183C046" w:rsidR="004B18CD" w:rsidRPr="00920E3A" w:rsidRDefault="00C8620F">
      <w:pPr>
        <w:pBdr>
          <w:top w:val="nil"/>
          <w:left w:val="nil"/>
          <w:bottom w:val="nil"/>
          <w:right w:val="nil"/>
          <w:between w:val="nil"/>
        </w:pBdr>
        <w:rPr>
          <w:b/>
          <w:color w:val="000000"/>
        </w:rPr>
      </w:pPr>
      <w:r w:rsidRPr="00920E3A">
        <w:rPr>
          <w:b/>
          <w:color w:val="000000"/>
          <w:u w:val="single"/>
        </w:rPr>
        <w:t>Mitigación de la mortalidad, r</w:t>
      </w:r>
      <w:r w:rsidR="00F37A49" w:rsidRPr="00920E3A">
        <w:rPr>
          <w:b/>
          <w:color w:val="000000"/>
        </w:rPr>
        <w:t>equisito de liberación de ejemplares vivos y tolerancias de retención</w:t>
      </w:r>
    </w:p>
    <w:p w14:paraId="3BE28F58" w14:textId="77777777" w:rsidR="00750AA5" w:rsidRPr="00920E3A" w:rsidRDefault="00750AA5">
      <w:pPr>
        <w:pBdr>
          <w:top w:val="nil"/>
          <w:left w:val="nil"/>
          <w:bottom w:val="nil"/>
          <w:right w:val="nil"/>
          <w:between w:val="nil"/>
        </w:pBdr>
        <w:rPr>
          <w:b/>
          <w:color w:val="000000"/>
        </w:rPr>
      </w:pPr>
    </w:p>
    <w:p w14:paraId="28A5E6A5" w14:textId="77777777" w:rsidR="00750AA5" w:rsidRPr="00920E3A" w:rsidRDefault="00750AA5" w:rsidP="00750AA5">
      <w:pPr>
        <w:widowControl w:val="0"/>
        <w:pBdr>
          <w:top w:val="nil"/>
          <w:left w:val="nil"/>
          <w:bottom w:val="nil"/>
          <w:right w:val="nil"/>
          <w:between w:val="nil"/>
        </w:pBdr>
        <w:ind w:left="426" w:hanging="426"/>
        <w:rPr>
          <w:u w:val="single"/>
          <w:lang w:eastAsia="en-GB"/>
        </w:rPr>
      </w:pPr>
      <w:r w:rsidRPr="00920E3A">
        <w:rPr>
          <w:rFonts w:eastAsia="Times New Roman" w:cs="Times New Roman"/>
          <w:u w:val="single"/>
          <w:lang w:eastAsia="en-GB"/>
        </w:rPr>
        <w:t>3bis.</w:t>
      </w:r>
      <w:r w:rsidRPr="00920E3A">
        <w:rPr>
          <w:rFonts w:eastAsia="Times New Roman" w:cs="Times New Roman"/>
          <w:u w:val="single"/>
          <w:lang w:eastAsia="en-GB"/>
        </w:rPr>
        <w:tab/>
        <w:t>Con el fin de reducir las tasas de capturas [fortuitas] y la mortalidad en la virada,  se animará a las CPC con buques palangreros que realizan calados poco profundos</w:t>
      </w:r>
      <w:r w:rsidRPr="00920E3A">
        <w:rPr>
          <w:u w:val="single"/>
          <w:vertAlign w:val="superscript"/>
          <w:lang w:val="en"/>
        </w:rPr>
        <w:footnoteReference w:id="1"/>
      </w:r>
      <w:r w:rsidRPr="00920E3A">
        <w:rPr>
          <w:rFonts w:eastAsia="Times New Roman" w:cs="Times New Roman"/>
          <w:u w:val="single"/>
          <w:lang w:eastAsia="en-GB"/>
        </w:rPr>
        <w:t xml:space="preserve"> a utilizar anzuelos circulares de gran tamaño</w:t>
      </w:r>
      <w:r w:rsidRPr="00920E3A">
        <w:rPr>
          <w:u w:val="single"/>
          <w:vertAlign w:val="superscript"/>
          <w:lang w:val="en"/>
        </w:rPr>
        <w:footnoteReference w:id="2"/>
      </w:r>
      <w:r w:rsidRPr="00920E3A">
        <w:rPr>
          <w:rFonts w:eastAsia="Times New Roman" w:cs="Times New Roman"/>
          <w:u w:val="single"/>
          <w:lang w:eastAsia="en-GB"/>
        </w:rPr>
        <w:t xml:space="preserve">, o a aplicar cualquier otra medida(s)  o enfoque(s) que haya(n) sido evaluado(s) y considerado(s) eficaz(ces) por el SCRS y aprobado(s) por la Comisión como capaz(ces) de reducir las capturas fortuitas de marlines.  </w:t>
      </w:r>
    </w:p>
    <w:p w14:paraId="20854E88" w14:textId="77777777" w:rsidR="004B18CD" w:rsidRPr="00920E3A" w:rsidRDefault="00F37A49" w:rsidP="00E97AE4">
      <w:pPr>
        <w:pBdr>
          <w:top w:val="nil"/>
          <w:left w:val="nil"/>
          <w:bottom w:val="nil"/>
          <w:right w:val="nil"/>
          <w:between w:val="nil"/>
        </w:pBdr>
        <w:rPr>
          <w:color w:val="000000"/>
          <w:sz w:val="18"/>
          <w:szCs w:val="18"/>
        </w:rPr>
      </w:pPr>
      <w:r w:rsidRPr="00920E3A">
        <w:rPr>
          <w:color w:val="000000"/>
        </w:rPr>
        <w:t xml:space="preserve"> </w:t>
      </w:r>
    </w:p>
    <w:p w14:paraId="215549C9" w14:textId="2B13F2B4" w:rsidR="00E97AE4" w:rsidRPr="00920E3A" w:rsidRDefault="00E97AE4" w:rsidP="00E97AE4">
      <w:pPr>
        <w:ind w:left="426" w:hanging="426"/>
        <w:rPr>
          <w:rFonts w:eastAsia="Times New Roman" w:cs="Times New Roman"/>
        </w:rPr>
      </w:pPr>
      <w:r w:rsidRPr="00920E3A">
        <w:rPr>
          <w:rFonts w:eastAsia="Times New Roman" w:cs="Times New Roman"/>
        </w:rPr>
        <w:t>4.</w:t>
      </w:r>
      <w:r w:rsidRPr="00920E3A">
        <w:rPr>
          <w:rFonts w:eastAsia="Times New Roman" w:cs="Times New Roman"/>
        </w:rPr>
        <w:tab/>
      </w:r>
      <w:r w:rsidR="0031513D" w:rsidRPr="00920E3A">
        <w:rPr>
          <w:rFonts w:eastAsia="Times New Roman" w:cs="Times New Roman"/>
        </w:rPr>
        <w:t>En la medida de lo posible, l</w:t>
      </w:r>
      <w:r w:rsidRPr="00920E3A">
        <w:rPr>
          <w:rFonts w:eastAsia="Times New Roman" w:cs="Times New Roman"/>
        </w:rPr>
        <w:t>as CPC requerirán a los palangreros pelágicos y cerqueros que enarbolan su pabellón que liberen sin demora los ejemplares de aguja azul y aguja blanca/marlín peto que estén vivos en la virada, prestando la debida consideración a la seguridad de los miembros de la tripulación, de tal forma que se les cause el menor daño posible y que se maximicen sus posibilidades de supervivencia tras la liberación.</w:t>
      </w:r>
    </w:p>
    <w:p w14:paraId="5FFC632F" w14:textId="77777777" w:rsidR="00E97AE4" w:rsidRPr="00920E3A" w:rsidRDefault="00E97AE4" w:rsidP="00E97AE4">
      <w:pPr>
        <w:ind w:left="426" w:hanging="426"/>
        <w:rPr>
          <w:rFonts w:cs="Times New Roman"/>
          <w:sz w:val="16"/>
        </w:rPr>
      </w:pPr>
    </w:p>
    <w:p w14:paraId="7075E0A2" w14:textId="5A680D1C" w:rsidR="00E97AE4" w:rsidRPr="00920E3A" w:rsidRDefault="00E97AE4" w:rsidP="00E97AE4">
      <w:pPr>
        <w:numPr>
          <w:ilvl w:val="0"/>
          <w:numId w:val="1"/>
        </w:numPr>
        <w:contextualSpacing/>
        <w:rPr>
          <w:rFonts w:cs="Times New Roman"/>
          <w:szCs w:val="16"/>
        </w:rPr>
      </w:pPr>
      <w:r w:rsidRPr="00920E3A">
        <w:rPr>
          <w:szCs w:val="16"/>
        </w:rPr>
        <w:t>Las CPC fomentarán la implementación de normas mínimas para procedimientos de manipulación y liberación seguras</w:t>
      </w:r>
      <w:r w:rsidR="00FD2F97" w:rsidRPr="00920E3A">
        <w:rPr>
          <w:szCs w:val="16"/>
        </w:rPr>
        <w:t xml:space="preserve"> de ejemplares vivos</w:t>
      </w:r>
      <w:r w:rsidRPr="00920E3A">
        <w:rPr>
          <w:szCs w:val="16"/>
        </w:rPr>
        <w:t xml:space="preserve">, tal y como se especifican en el </w:t>
      </w:r>
      <w:r w:rsidR="00807F4E" w:rsidRPr="00920E3A">
        <w:rPr>
          <w:b/>
          <w:bCs/>
          <w:szCs w:val="16"/>
        </w:rPr>
        <w:t>apéndice</w:t>
      </w:r>
      <w:r w:rsidR="005672E0" w:rsidRPr="00920E3A">
        <w:rPr>
          <w:b/>
          <w:bCs/>
          <w:szCs w:val="16"/>
        </w:rPr>
        <w:t xml:space="preserve"> </w:t>
      </w:r>
      <w:r w:rsidRPr="00920E3A">
        <w:rPr>
          <w:b/>
          <w:bCs/>
          <w:szCs w:val="16"/>
        </w:rPr>
        <w:t>1</w:t>
      </w:r>
      <w:r w:rsidRPr="00920E3A">
        <w:rPr>
          <w:szCs w:val="16"/>
        </w:rPr>
        <w:t>, prestando la debida consideración a la seguridad de la tripulación. Los buques pesqueros deberían tener fácilmente disponibles en la cubierta, donde la tripulación pueda cogerlos con rapidez, un mecanismo elevador, un cortador de pernos, un desanzuelador/extractor de anzuelos y un cortador de línea para liberar de forma segura a los marlines vivos capturados.</w:t>
      </w:r>
    </w:p>
    <w:p w14:paraId="75378987" w14:textId="77777777" w:rsidR="00E97AE4" w:rsidRPr="00920E3A" w:rsidRDefault="00E97AE4" w:rsidP="00E97AE4">
      <w:pPr>
        <w:ind w:left="360"/>
        <w:contextualSpacing/>
        <w:rPr>
          <w:rFonts w:cs="Times New Roman"/>
          <w:sz w:val="22"/>
          <w:szCs w:val="18"/>
        </w:rPr>
      </w:pPr>
    </w:p>
    <w:p w14:paraId="6EA408C9" w14:textId="4FFAF8D8" w:rsidR="00E97AE4" w:rsidRPr="00920E3A" w:rsidRDefault="00E97AE4" w:rsidP="00E97AE4">
      <w:pPr>
        <w:numPr>
          <w:ilvl w:val="0"/>
          <w:numId w:val="1"/>
        </w:numPr>
        <w:contextualSpacing/>
        <w:rPr>
          <w:rFonts w:cs="Times New Roman"/>
        </w:rPr>
      </w:pPr>
      <w:r w:rsidRPr="00920E3A">
        <w:t xml:space="preserve">Las CPC deberían asegurar que el patrón y los miembros de la tripulación de sus buques pesqueros están adecuadamente formados, conocen y utilizan técnicas adecuadas de mitigación, identificación, manipulación y liberación y de que llevan a bordo todo el equipo necesario para la liberación de los marlines, de conformidad con las normas mínimas para los procedimientos de manipulación segura especificadas en el </w:t>
      </w:r>
      <w:r w:rsidR="00807F4E" w:rsidRPr="00920E3A">
        <w:rPr>
          <w:b/>
          <w:bCs/>
          <w:szCs w:val="16"/>
        </w:rPr>
        <w:t xml:space="preserve">apéndice </w:t>
      </w:r>
      <w:r w:rsidRPr="00920E3A">
        <w:rPr>
          <w:b/>
          <w:bCs/>
        </w:rPr>
        <w:t>1</w:t>
      </w:r>
      <w:r w:rsidRPr="00920E3A">
        <w:t xml:space="preserve">.  </w:t>
      </w:r>
      <w:r w:rsidRPr="00920E3A">
        <w:rPr>
          <w:shd w:val="clear" w:color="auto" w:fill="FFFFFF"/>
        </w:rPr>
        <w:t>Nada de lo establecido en esta medida impedirá a las CPC adoptar medidas más estrictas.</w:t>
      </w:r>
    </w:p>
    <w:p w14:paraId="25F1F3E4" w14:textId="77777777" w:rsidR="00E97AE4" w:rsidRPr="00920E3A" w:rsidRDefault="00E97AE4" w:rsidP="00E97AE4">
      <w:pPr>
        <w:ind w:left="360"/>
        <w:contextualSpacing/>
        <w:rPr>
          <w:rFonts w:cs="Times New Roman"/>
          <w:sz w:val="22"/>
          <w:szCs w:val="18"/>
        </w:rPr>
      </w:pPr>
    </w:p>
    <w:p w14:paraId="4E2648D2" w14:textId="51B9B00A" w:rsidR="00E97AE4" w:rsidRPr="00920E3A" w:rsidRDefault="00E97AE4" w:rsidP="00E97AE4">
      <w:pPr>
        <w:numPr>
          <w:ilvl w:val="0"/>
          <w:numId w:val="1"/>
        </w:numPr>
        <w:contextualSpacing/>
        <w:rPr>
          <w:rFonts w:cs="Times New Roman"/>
        </w:rPr>
      </w:pPr>
      <w:r w:rsidRPr="00920E3A">
        <w:t xml:space="preserve">Las CPC se esforzarán </w:t>
      </w:r>
      <w:r w:rsidR="00E066F4" w:rsidRPr="00920E3A">
        <w:t>para</w:t>
      </w:r>
      <w:r w:rsidRPr="00920E3A">
        <w:t xml:space="preserve"> minimizar la mortalidad posterior a la liberación de los marlines/marlín peto en sus pesquerías de ICCAT.</w:t>
      </w:r>
    </w:p>
    <w:p w14:paraId="6A45333B" w14:textId="77777777" w:rsidR="004B18CD" w:rsidRPr="00920E3A" w:rsidRDefault="004B18CD">
      <w:pPr>
        <w:pBdr>
          <w:top w:val="nil"/>
          <w:left w:val="nil"/>
          <w:bottom w:val="nil"/>
          <w:right w:val="nil"/>
          <w:between w:val="nil"/>
        </w:pBdr>
        <w:rPr>
          <w:color w:val="000000"/>
        </w:rPr>
      </w:pPr>
    </w:p>
    <w:p w14:paraId="7BCB5C89" w14:textId="6789FED6" w:rsidR="004B18CD" w:rsidRPr="00920E3A" w:rsidRDefault="00E97AE4" w:rsidP="00E97AE4">
      <w:pPr>
        <w:pStyle w:val="ListParagraph"/>
        <w:numPr>
          <w:ilvl w:val="0"/>
          <w:numId w:val="1"/>
        </w:numPr>
        <w:pBdr>
          <w:top w:val="nil"/>
          <w:left w:val="nil"/>
          <w:bottom w:val="nil"/>
          <w:right w:val="nil"/>
          <w:between w:val="nil"/>
        </w:pBdr>
        <w:tabs>
          <w:tab w:val="left" w:pos="284"/>
        </w:tabs>
      </w:pPr>
      <w:r w:rsidRPr="00920E3A">
        <w:t>Las CPC podrán autorizar a sus palangreros pelágicos y a sus cerqueros a capturar y retener a bordo, transbordar o desembarcar aguja azul y aguja blanca/marlín peto que estén muertos, dentro de sus límites de desembarques.</w:t>
      </w:r>
    </w:p>
    <w:p w14:paraId="23A3634D" w14:textId="77777777" w:rsidR="00490697" w:rsidRPr="00920E3A" w:rsidRDefault="00490697" w:rsidP="00490697">
      <w:pPr>
        <w:pBdr>
          <w:top w:val="nil"/>
          <w:left w:val="nil"/>
          <w:bottom w:val="nil"/>
          <w:right w:val="nil"/>
          <w:between w:val="nil"/>
        </w:pBdr>
        <w:tabs>
          <w:tab w:val="left" w:pos="284"/>
        </w:tabs>
      </w:pPr>
    </w:p>
    <w:p w14:paraId="61DBD184" w14:textId="77777777" w:rsidR="00490697" w:rsidRPr="00920E3A" w:rsidRDefault="00490697" w:rsidP="00490697">
      <w:pPr>
        <w:widowControl w:val="0"/>
        <w:pBdr>
          <w:top w:val="nil"/>
          <w:left w:val="nil"/>
          <w:bottom w:val="nil"/>
          <w:right w:val="nil"/>
          <w:between w:val="nil"/>
        </w:pBdr>
        <w:tabs>
          <w:tab w:val="left" w:pos="499"/>
          <w:tab w:val="left" w:pos="501"/>
        </w:tabs>
        <w:spacing w:before="1"/>
        <w:ind w:left="426" w:right="141" w:hanging="426"/>
        <w:rPr>
          <w:u w:val="single"/>
          <w:lang w:eastAsia="en-GB"/>
        </w:rPr>
      </w:pPr>
      <w:r w:rsidRPr="00920E3A">
        <w:rPr>
          <w:rFonts w:eastAsia="Times New Roman" w:cs="Times New Roman"/>
          <w:u w:val="single"/>
          <w:lang w:eastAsia="en-GB"/>
        </w:rPr>
        <w:t>8bis.</w:t>
      </w:r>
      <w:r w:rsidRPr="00920E3A">
        <w:rPr>
          <w:rFonts w:eastAsia="Times New Roman" w:cs="Times New Roman"/>
          <w:u w:val="single"/>
          <w:lang w:eastAsia="en-GB"/>
        </w:rPr>
        <w:tab/>
        <w:t>Para mayor claridad, cuando una CPC alcance su límite de desembarque, se descartarán todas las capturas de aguja azul y aguja blanca/marlín peto. Las CPC deberían fomentar que dichos descartes se realicen de conformidad con lo dispuesto en el párrafo 5.</w:t>
      </w:r>
    </w:p>
    <w:p w14:paraId="27B61BA9" w14:textId="77777777" w:rsidR="00490697" w:rsidRPr="00920E3A" w:rsidRDefault="00490697" w:rsidP="00490697">
      <w:pPr>
        <w:pBdr>
          <w:top w:val="nil"/>
          <w:left w:val="nil"/>
          <w:bottom w:val="nil"/>
          <w:right w:val="nil"/>
          <w:between w:val="nil"/>
        </w:pBdr>
        <w:tabs>
          <w:tab w:val="left" w:pos="284"/>
        </w:tabs>
      </w:pPr>
    </w:p>
    <w:p w14:paraId="708ED098" w14:textId="17B05107" w:rsidR="00A0650E" w:rsidRPr="00920E3A" w:rsidRDefault="00A0650E" w:rsidP="00A0650E">
      <w:pPr>
        <w:pStyle w:val="ListParagraph"/>
        <w:numPr>
          <w:ilvl w:val="0"/>
          <w:numId w:val="1"/>
        </w:numPr>
        <w:pBdr>
          <w:top w:val="nil"/>
          <w:left w:val="nil"/>
          <w:bottom w:val="nil"/>
          <w:right w:val="nil"/>
          <w:between w:val="nil"/>
        </w:pBdr>
        <w:tabs>
          <w:tab w:val="left" w:pos="284"/>
        </w:tabs>
        <w:rPr>
          <w:color w:val="000000"/>
          <w:u w:val="single"/>
          <w:lang w:eastAsia="en-GB"/>
        </w:rPr>
      </w:pPr>
      <w:r w:rsidRPr="00920E3A">
        <w:rPr>
          <w:rFonts w:eastAsia="Times New Roman" w:cs="Times New Roman"/>
          <w:u w:val="single"/>
          <w:lang w:eastAsia="en-GB"/>
        </w:rPr>
        <w:tab/>
        <w:t xml:space="preserve">No obstante lo dispuesto en el párrafo 8 bis, </w:t>
      </w:r>
      <w:r w:rsidRPr="00920E3A">
        <w:rPr>
          <w:rFonts w:eastAsia="Times New Roman" w:cs="Times New Roman"/>
          <w:lang w:eastAsia="en-GB"/>
        </w:rPr>
        <w:t xml:space="preserve">en el caso de las </w:t>
      </w:r>
      <w:r w:rsidRPr="00920E3A">
        <w:rPr>
          <w:rFonts w:eastAsia="Times New Roman" w:cs="Times New Roman"/>
          <w:u w:val="single"/>
          <w:lang w:eastAsia="en-GB"/>
        </w:rPr>
        <w:t xml:space="preserve">CPC cuya legislación nacional prohíba </w:t>
      </w:r>
      <w:r w:rsidRPr="00920E3A">
        <w:rPr>
          <w:rFonts w:eastAsia="Times New Roman" w:cs="Times New Roman"/>
          <w:lang w:eastAsia="en-GB"/>
        </w:rPr>
        <w:t>los descartes de ejemplares muertos, s</w:t>
      </w:r>
      <w:r w:rsidRPr="00920E3A">
        <w:rPr>
          <w:rFonts w:eastAsia="Times New Roman" w:cs="Times New Roman"/>
          <w:u w:val="single"/>
          <w:lang w:eastAsia="en-GB"/>
        </w:rPr>
        <w:t xml:space="preserve">e </w:t>
      </w:r>
      <w:r w:rsidR="001C205B" w:rsidRPr="00920E3A">
        <w:rPr>
          <w:rFonts w:eastAsia="Times New Roman" w:cs="Times New Roman"/>
          <w:u w:val="single"/>
          <w:lang w:eastAsia="en-GB"/>
        </w:rPr>
        <w:t>pueden</w:t>
      </w:r>
      <w:r w:rsidRPr="00920E3A">
        <w:rPr>
          <w:rFonts w:eastAsia="Times New Roman" w:cs="Times New Roman"/>
          <w:u w:val="single"/>
          <w:lang w:eastAsia="en-GB"/>
        </w:rPr>
        <w:t xml:space="preserve"> conservar l</w:t>
      </w:r>
      <w:r w:rsidRPr="00920E3A">
        <w:rPr>
          <w:rFonts w:eastAsia="Times New Roman" w:cs="Times New Roman"/>
          <w:lang w:eastAsia="en-GB"/>
        </w:rPr>
        <w:t xml:space="preserve">os ejemplares de agua azul y aguja blanca/marlín peto que se encuentren muertos al ser acercados al costado del buque, </w:t>
      </w:r>
      <w:r w:rsidRPr="00920E3A">
        <w:rPr>
          <w:rFonts w:eastAsia="Times New Roman" w:cs="Times New Roman"/>
          <w:u w:val="single"/>
          <w:lang w:eastAsia="en-GB"/>
        </w:rPr>
        <w:t xml:space="preserve">y los desembarques de dichos peces </w:t>
      </w:r>
      <w:r w:rsidRPr="00920E3A">
        <w:rPr>
          <w:rFonts w:eastAsia="Times New Roman" w:cs="Times New Roman"/>
          <w:lang w:eastAsia="en-GB"/>
        </w:rPr>
        <w:t xml:space="preserve">no se contabilizarán a efectos de los límites establecidos en el párrafo 2, </w:t>
      </w:r>
      <w:r w:rsidRPr="00920E3A">
        <w:rPr>
          <w:rFonts w:eastAsia="Times New Roman" w:cs="Times New Roman"/>
          <w:u w:val="single"/>
          <w:lang w:eastAsia="en-GB"/>
        </w:rPr>
        <w:t>siempre que:</w:t>
      </w:r>
      <w:r w:rsidRPr="00920E3A">
        <w:rPr>
          <w:rFonts w:eastAsia="Times New Roman" w:cs="Times New Roman"/>
          <w:color w:val="000000"/>
          <w:u w:val="single"/>
          <w:lang w:eastAsia="en-GB"/>
        </w:rPr>
        <w:t xml:space="preserve"> </w:t>
      </w:r>
    </w:p>
    <w:p w14:paraId="31E54B0F" w14:textId="77777777" w:rsidR="00A0650E" w:rsidRPr="00920E3A" w:rsidRDefault="00A0650E" w:rsidP="00A0650E">
      <w:pPr>
        <w:ind w:left="720"/>
        <w:rPr>
          <w:u w:val="single"/>
        </w:rPr>
      </w:pPr>
    </w:p>
    <w:p w14:paraId="447D5165" w14:textId="77777777" w:rsidR="00A0650E" w:rsidRPr="00920E3A" w:rsidRDefault="00A0650E" w:rsidP="00A0650E">
      <w:pPr>
        <w:widowControl w:val="0"/>
        <w:numPr>
          <w:ilvl w:val="0"/>
          <w:numId w:val="6"/>
        </w:numPr>
        <w:ind w:left="851" w:hanging="425"/>
        <w:contextualSpacing/>
        <w:jc w:val="left"/>
        <w:rPr>
          <w:u w:val="single"/>
          <w:lang w:eastAsia="en-GB"/>
        </w:rPr>
      </w:pPr>
      <w:r w:rsidRPr="00920E3A">
        <w:rPr>
          <w:rFonts w:eastAsia="Times New Roman" w:cs="Times New Roman"/>
          <w:u w:val="single"/>
          <w:lang w:eastAsia="en-GB"/>
        </w:rPr>
        <w:t>la CPC prohíba la venta o la comercialización de estos peces de algún otro modo, y</w:t>
      </w:r>
    </w:p>
    <w:p w14:paraId="16A86C75" w14:textId="77777777" w:rsidR="00A0650E" w:rsidRPr="00920E3A" w:rsidRDefault="00A0650E" w:rsidP="00A0650E">
      <w:pPr>
        <w:ind w:left="1440"/>
        <w:rPr>
          <w:u w:val="single"/>
        </w:rPr>
      </w:pPr>
    </w:p>
    <w:p w14:paraId="56557309" w14:textId="77777777" w:rsidR="00A0650E" w:rsidRPr="00920E3A" w:rsidRDefault="00A0650E" w:rsidP="000639B6">
      <w:pPr>
        <w:widowControl w:val="0"/>
        <w:numPr>
          <w:ilvl w:val="0"/>
          <w:numId w:val="6"/>
        </w:numPr>
        <w:ind w:left="851" w:hanging="425"/>
        <w:contextualSpacing/>
        <w:rPr>
          <w:u w:val="single"/>
          <w:lang w:eastAsia="en-GB"/>
        </w:rPr>
      </w:pPr>
      <w:r w:rsidRPr="00920E3A">
        <w:rPr>
          <w:rFonts w:eastAsia="Times New Roman" w:cs="Times New Roman"/>
          <w:u w:val="single"/>
          <w:lang w:eastAsia="en-GB"/>
        </w:rPr>
        <w:t>la CPC notifique a la Secretaría de ICCAT su intención de aplicar esta excepción y proporcione información a la Comisión en la parte del cuestionario de su Informe anual sobre sus requisitos de retención y las medidas vigentes para prohibir la venta y la comercialización.</w:t>
      </w:r>
    </w:p>
    <w:p w14:paraId="2356E374" w14:textId="77777777" w:rsidR="00E97AE4" w:rsidRPr="00920E3A" w:rsidRDefault="00E97AE4" w:rsidP="00E97AE4">
      <w:r w:rsidRPr="00920E3A">
        <w:t xml:space="preserve"> </w:t>
      </w:r>
    </w:p>
    <w:p w14:paraId="7B916B6A" w14:textId="1372560B" w:rsidR="00C27CC1" w:rsidRPr="00920E3A" w:rsidRDefault="00E97AE4" w:rsidP="00C27CC1">
      <w:pPr>
        <w:pBdr>
          <w:top w:val="nil"/>
          <w:left w:val="nil"/>
          <w:bottom w:val="nil"/>
          <w:right w:val="nil"/>
          <w:between w:val="nil"/>
        </w:pBdr>
        <w:tabs>
          <w:tab w:val="left" w:pos="284"/>
        </w:tabs>
        <w:ind w:left="284" w:hanging="284"/>
        <w:rPr>
          <w:sz w:val="36"/>
          <w:szCs w:val="16"/>
        </w:rPr>
      </w:pPr>
      <w:r w:rsidRPr="00920E3A">
        <w:t xml:space="preserve">10. </w:t>
      </w:r>
      <w:r w:rsidR="00EF1492" w:rsidRPr="00920E3A">
        <w:t xml:space="preserve">Los ejemplares de aguja azul y aguja blanca/marlín peto capturados para consumo local por CPC costeras en desarrollo </w:t>
      </w:r>
      <w:r w:rsidR="00EF1492" w:rsidRPr="00920E3A">
        <w:rPr>
          <w:szCs w:val="16"/>
        </w:rPr>
        <w:t xml:space="preserve">o por pesquerías costeras de pequeña escala, de subsistencia y artesanales de </w:t>
      </w:r>
      <w:r w:rsidR="008170FD" w:rsidRPr="00920E3A">
        <w:rPr>
          <w:szCs w:val="16"/>
        </w:rPr>
        <w:t xml:space="preserve">islas pequeñas de otras CPC </w:t>
      </w:r>
      <w:r w:rsidR="00EF1492" w:rsidRPr="00920E3A">
        <w:t xml:space="preserve">están </w:t>
      </w:r>
      <w:r w:rsidR="00EF1492" w:rsidRPr="00920E3A">
        <w:rPr>
          <w:color w:val="000000"/>
        </w:rPr>
        <w:t>exentos</w:t>
      </w:r>
      <w:r w:rsidR="00EF1492" w:rsidRPr="00920E3A">
        <w:t xml:space="preserve"> de </w:t>
      </w:r>
      <w:r w:rsidR="00C27CC1" w:rsidRPr="00920E3A">
        <w:t xml:space="preserve"> las disposiciones del</w:t>
      </w:r>
      <w:r w:rsidR="00EF1492" w:rsidRPr="00920E3A">
        <w:t xml:space="preserve"> párrafo 4, siempre </w:t>
      </w:r>
      <w:r w:rsidR="00C27CC1" w:rsidRPr="00920E3A">
        <w:t xml:space="preserve">y cuando </w:t>
      </w:r>
      <w:r w:rsidR="00EF1492" w:rsidRPr="00920E3A">
        <w:t>estas CP</w:t>
      </w:r>
      <w:r w:rsidR="00D53DD6" w:rsidRPr="00920E3A">
        <w:t>C:</w:t>
      </w:r>
      <w:r w:rsidR="00EF1492" w:rsidRPr="00920E3A">
        <w:t xml:space="preserve"> a) presenten los datos de Tarea </w:t>
      </w:r>
      <w:r w:rsidR="00E63419" w:rsidRPr="00920E3A">
        <w:t xml:space="preserve">1 </w:t>
      </w:r>
      <w:r w:rsidR="00EF1492" w:rsidRPr="00920E3A">
        <w:t xml:space="preserve">y Tarea </w:t>
      </w:r>
      <w:r w:rsidR="00E63419" w:rsidRPr="00920E3A">
        <w:t>2</w:t>
      </w:r>
      <w:r w:rsidR="00EF1492" w:rsidRPr="00920E3A">
        <w:t xml:space="preserve"> de acuerdo con los procedimientos de comunicación establecidos por el SCRS, y </w:t>
      </w:r>
      <w:r w:rsidR="00C27CC1" w:rsidRPr="00920E3A">
        <w:rPr>
          <w:szCs w:val="16"/>
        </w:rPr>
        <w:t xml:space="preserve">(b) en el caso de CPC costeras no en desarrollo, notifiquen a la Comisión su solicitud de exención y las medidas adoptadas para limitar la aplicación de esta exención a dichas pesquerías.  </w:t>
      </w:r>
    </w:p>
    <w:p w14:paraId="3E5AC86D" w14:textId="3DD47A26" w:rsidR="00E97AE4" w:rsidRPr="00920E3A" w:rsidRDefault="00E97AE4" w:rsidP="00E97AE4">
      <w:pPr>
        <w:rPr>
          <w:color w:val="000000"/>
        </w:rPr>
      </w:pPr>
    </w:p>
    <w:p w14:paraId="59109435" w14:textId="1433BF31" w:rsidR="00E97AE4" w:rsidRPr="00920E3A" w:rsidRDefault="00E97AE4" w:rsidP="00E97AE4">
      <w:pPr>
        <w:rPr>
          <w:color w:val="000000"/>
        </w:rPr>
      </w:pPr>
      <w:r w:rsidRPr="00920E3A">
        <w:rPr>
          <w:color w:val="000000"/>
        </w:rPr>
        <w:t>11. Para las pesquerías deportivas y de recreo:</w:t>
      </w:r>
    </w:p>
    <w:p w14:paraId="43A9E882" w14:textId="77777777" w:rsidR="004B18CD" w:rsidRPr="00920E3A" w:rsidRDefault="004B18CD">
      <w:pPr>
        <w:pBdr>
          <w:top w:val="nil"/>
          <w:left w:val="nil"/>
          <w:bottom w:val="nil"/>
          <w:right w:val="nil"/>
          <w:between w:val="nil"/>
        </w:pBdr>
        <w:rPr>
          <w:color w:val="000000"/>
        </w:rPr>
      </w:pPr>
    </w:p>
    <w:p w14:paraId="68499D10" w14:textId="1557E97F" w:rsidR="004B18CD" w:rsidRPr="00920E3A" w:rsidRDefault="00F37A49" w:rsidP="00011ADA">
      <w:pPr>
        <w:pBdr>
          <w:top w:val="nil"/>
          <w:left w:val="nil"/>
          <w:bottom w:val="nil"/>
          <w:right w:val="nil"/>
          <w:between w:val="nil"/>
        </w:pBdr>
        <w:ind w:left="567" w:hanging="283"/>
        <w:rPr>
          <w:color w:val="000000"/>
        </w:rPr>
      </w:pPr>
      <w:r w:rsidRPr="00920E3A">
        <w:t>a</w:t>
      </w:r>
      <w:r w:rsidR="00C27CC1" w:rsidRPr="00920E3A">
        <w:t>)</w:t>
      </w:r>
      <w:r w:rsidRPr="00920E3A">
        <w:t xml:space="preserve"> </w:t>
      </w:r>
      <w:r w:rsidR="00011ADA" w:rsidRPr="00920E3A">
        <w:tab/>
      </w:r>
      <w:r w:rsidRPr="00920E3A">
        <w:t>Las CPC adoptarán las medidas adecuadas para garantizar que cualquier pez liberado se libera de tal modo que se le cause el menor daño.</w:t>
      </w:r>
    </w:p>
    <w:p w14:paraId="6B1B66D8" w14:textId="77777777" w:rsidR="004B18CD" w:rsidRPr="00920E3A" w:rsidRDefault="004B18CD" w:rsidP="00171C6A">
      <w:pPr>
        <w:pBdr>
          <w:top w:val="nil"/>
          <w:left w:val="nil"/>
          <w:bottom w:val="nil"/>
          <w:right w:val="nil"/>
          <w:between w:val="nil"/>
        </w:pBdr>
        <w:ind w:left="567" w:hanging="141"/>
        <w:rPr>
          <w:color w:val="000000"/>
        </w:rPr>
      </w:pPr>
    </w:p>
    <w:p w14:paraId="15456C39" w14:textId="777E06D6" w:rsidR="004B18CD" w:rsidRPr="00920E3A" w:rsidRDefault="00F37A49" w:rsidP="00011ADA">
      <w:pPr>
        <w:pBdr>
          <w:top w:val="nil"/>
          <w:left w:val="nil"/>
          <w:bottom w:val="nil"/>
          <w:right w:val="nil"/>
          <w:between w:val="nil"/>
        </w:pBdr>
        <w:ind w:left="567" w:hanging="283"/>
        <w:rPr>
          <w:color w:val="000000"/>
        </w:rPr>
      </w:pPr>
      <w:r w:rsidRPr="00920E3A">
        <w:t>b</w:t>
      </w:r>
      <w:r w:rsidR="00C27CC1" w:rsidRPr="00920E3A">
        <w:t>)</w:t>
      </w:r>
      <w:r w:rsidRPr="00920E3A">
        <w:t xml:space="preserve"> </w:t>
      </w:r>
      <w:r w:rsidR="00011ADA" w:rsidRPr="00920E3A">
        <w:tab/>
      </w:r>
      <w:r w:rsidRPr="00920E3A">
        <w:t>Las CPC establecerán tallas mínimas de retención iguales o superiores a las siguientes tallas:</w:t>
      </w:r>
      <w:r w:rsidRPr="00920E3A">
        <w:rPr>
          <w:color w:val="000000"/>
        </w:rPr>
        <w:t xml:space="preserve"> 251 cm mandíbula inferior a la horquilla (LJFL) para la aguja azul y 168 cm LJFL para la aguja blanca/marlín peto.</w:t>
      </w:r>
    </w:p>
    <w:p w14:paraId="23559502" w14:textId="77777777" w:rsidR="004B18CD" w:rsidRPr="00920E3A" w:rsidRDefault="004B18CD" w:rsidP="00171C6A">
      <w:pPr>
        <w:pBdr>
          <w:top w:val="nil"/>
          <w:left w:val="nil"/>
          <w:bottom w:val="nil"/>
          <w:right w:val="nil"/>
          <w:between w:val="nil"/>
        </w:pBdr>
        <w:ind w:left="567" w:hanging="141"/>
        <w:rPr>
          <w:color w:val="000000"/>
        </w:rPr>
      </w:pPr>
    </w:p>
    <w:p w14:paraId="25424073" w14:textId="26B7FE3C" w:rsidR="004B18CD" w:rsidRPr="00920E3A" w:rsidRDefault="00F37A49" w:rsidP="00011ADA">
      <w:pPr>
        <w:pBdr>
          <w:top w:val="nil"/>
          <w:left w:val="nil"/>
          <w:bottom w:val="nil"/>
          <w:right w:val="nil"/>
          <w:between w:val="nil"/>
        </w:pBdr>
        <w:ind w:left="567" w:hanging="283"/>
        <w:rPr>
          <w:color w:val="000000"/>
        </w:rPr>
      </w:pPr>
      <w:r w:rsidRPr="00920E3A">
        <w:t>c</w:t>
      </w:r>
      <w:r w:rsidR="00C27CC1" w:rsidRPr="00920E3A">
        <w:t>)</w:t>
      </w:r>
      <w:r w:rsidRPr="00920E3A">
        <w:t xml:space="preserve"> </w:t>
      </w:r>
      <w:r w:rsidR="00011ADA" w:rsidRPr="00920E3A">
        <w:tab/>
      </w:r>
      <w:r w:rsidRPr="00920E3A">
        <w:t>Las CPC prohibirán vender u ofrecer para su venta cualquier parte o la carcasa entera de ejemplares de aguja azul o aguja blanca/marlín peto capturados en las pesquerías deportivas y de recreo.</w:t>
      </w:r>
    </w:p>
    <w:p w14:paraId="79AF43A1" w14:textId="77777777" w:rsidR="004B18CD" w:rsidRPr="00920E3A" w:rsidRDefault="004B18CD">
      <w:pPr>
        <w:pBdr>
          <w:top w:val="nil"/>
          <w:left w:val="nil"/>
          <w:bottom w:val="nil"/>
          <w:right w:val="nil"/>
          <w:between w:val="nil"/>
        </w:pBdr>
        <w:tabs>
          <w:tab w:val="left" w:pos="426"/>
        </w:tabs>
      </w:pPr>
    </w:p>
    <w:p w14:paraId="5F8A249D" w14:textId="77777777" w:rsidR="00301274" w:rsidRPr="00920E3A" w:rsidRDefault="00301274" w:rsidP="00301274">
      <w:pPr>
        <w:rPr>
          <w:rFonts w:eastAsia="Times New Roman" w:cs="Times New Roman"/>
          <w:b/>
        </w:rPr>
      </w:pPr>
      <w:r w:rsidRPr="00920E3A">
        <w:rPr>
          <w:rFonts w:eastAsia="Times New Roman" w:cs="Times New Roman"/>
          <w:b/>
        </w:rPr>
        <w:t>Programa de observadores</w:t>
      </w:r>
    </w:p>
    <w:p w14:paraId="51AB9145" w14:textId="77777777" w:rsidR="00301274" w:rsidRPr="00920E3A" w:rsidRDefault="00301274" w:rsidP="00301274">
      <w:pPr>
        <w:rPr>
          <w:rFonts w:eastAsia="Times New Roman" w:cs="Times New Roman"/>
          <w:b/>
        </w:rPr>
      </w:pPr>
    </w:p>
    <w:p w14:paraId="67803C82" w14:textId="77777777" w:rsidR="000D3B33" w:rsidRPr="00920E3A" w:rsidRDefault="00301274" w:rsidP="009D3136">
      <w:pPr>
        <w:ind w:left="426" w:hanging="426"/>
        <w:rPr>
          <w:color w:val="000000"/>
          <w:u w:val="single"/>
          <w:lang w:eastAsia="en-GB"/>
        </w:rPr>
      </w:pPr>
      <w:r w:rsidRPr="00920E3A">
        <w:rPr>
          <w:rFonts w:eastAsia="Times New Roman" w:cs="Times New Roman"/>
        </w:rPr>
        <w:t>12.</w:t>
      </w:r>
      <w:r w:rsidRPr="00920E3A">
        <w:rPr>
          <w:rFonts w:eastAsia="Times New Roman" w:cs="Times New Roman"/>
        </w:rPr>
        <w:tab/>
      </w:r>
      <w:r w:rsidR="00C27CC1" w:rsidRPr="00920E3A">
        <w:rPr>
          <w:color w:val="222222"/>
        </w:rPr>
        <w:t xml:space="preserve">Las CPC </w:t>
      </w:r>
      <w:r w:rsidR="00C27CC1" w:rsidRPr="00920E3A">
        <w:rPr>
          <w:color w:val="000000"/>
        </w:rPr>
        <w:t>recopilarán</w:t>
      </w:r>
      <w:r w:rsidR="00C27CC1" w:rsidRPr="00920E3A">
        <w:rPr>
          <w:color w:val="222222"/>
        </w:rPr>
        <w:t xml:space="preserve"> datos de captura de aguja azul y aguja blanca/marlín peto lo que incluye los descartes de ejemplares vivos y muertos, mediante los cuadernos de pesca y los programas de observadores científicos, tal y como se requiere en la Rec. 11-10 y la Rec. 16-14.  Las CPC incluirán sus estimaciones de descartes vivos y </w:t>
      </w:r>
      <w:r w:rsidR="00C27CC1" w:rsidRPr="00920E3A">
        <w:t>muertos</w:t>
      </w:r>
      <w:r w:rsidR="00C27CC1" w:rsidRPr="00920E3A">
        <w:rPr>
          <w:color w:val="222222"/>
        </w:rPr>
        <w:t xml:space="preserve"> totales en sus presentaciones de datos de captura nominal de Tarea </w:t>
      </w:r>
      <w:r w:rsidR="000D3B33" w:rsidRPr="00920E3A">
        <w:rPr>
          <w:color w:val="222222"/>
        </w:rPr>
        <w:t>1</w:t>
      </w:r>
      <w:r w:rsidR="00C27CC1" w:rsidRPr="00920E3A">
        <w:rPr>
          <w:color w:val="222222"/>
        </w:rPr>
        <w:t>.</w:t>
      </w:r>
      <w:r w:rsidR="000D3B33" w:rsidRPr="00920E3A">
        <w:rPr>
          <w:color w:val="222222"/>
        </w:rPr>
        <w:t xml:space="preserve"> </w:t>
      </w:r>
      <w:r w:rsidR="000D3B33" w:rsidRPr="00920E3A">
        <w:rPr>
          <w:rFonts w:eastAsia="Times New Roman" w:cs="Times New Roman"/>
          <w:u w:val="single"/>
          <w:lang w:eastAsia="en-GB"/>
        </w:rPr>
        <w:t xml:space="preserve">De conformidad con los párrafos 3 y 4 de la </w:t>
      </w:r>
      <w:r w:rsidR="000D3B33" w:rsidRPr="00920E3A">
        <w:rPr>
          <w:rFonts w:eastAsia="Times New Roman" w:cs="Times New Roman"/>
          <w:i/>
          <w:iCs/>
          <w:u w:val="single"/>
          <w:lang w:eastAsia="en-GB"/>
        </w:rPr>
        <w:t>Recomendación de ICCAT que establece normas mínimas y requisitos del programa para el uso de sistemas de seguimiento electrónico (EMS) en las pesquerías de ICCAT</w:t>
      </w:r>
      <w:r w:rsidR="000D3B33" w:rsidRPr="00920E3A">
        <w:rPr>
          <w:rFonts w:eastAsia="Times New Roman" w:cs="Times New Roman"/>
          <w:u w:val="single"/>
          <w:lang w:eastAsia="en-GB"/>
        </w:rPr>
        <w:t xml:space="preserve"> (Rec. 23-18), las CPC pueden utilizar los EMS para complementar el nivel requerido de cobertura de observadores humanos y las tareas que deben realizar dichos observadores, tal y como se detallan en la Rec. 16-14.</w:t>
      </w:r>
    </w:p>
    <w:p w14:paraId="3DF0F608" w14:textId="3D9E31ED" w:rsidR="00301274" w:rsidRPr="00920E3A" w:rsidRDefault="00301274" w:rsidP="00301274">
      <w:pPr>
        <w:ind w:left="426" w:hanging="426"/>
        <w:rPr>
          <w:rFonts w:eastAsia="Times New Roman" w:cs="Times New Roman"/>
        </w:rPr>
      </w:pPr>
    </w:p>
    <w:p w14:paraId="601B754F" w14:textId="77777777" w:rsidR="00301274" w:rsidRPr="00920E3A" w:rsidRDefault="00301274" w:rsidP="00301274">
      <w:pPr>
        <w:ind w:left="360"/>
        <w:contextualSpacing/>
        <w:rPr>
          <w:rFonts w:cs="Times New Roman"/>
        </w:rPr>
      </w:pPr>
    </w:p>
    <w:p w14:paraId="187040D4" w14:textId="67C938D5" w:rsidR="00301274" w:rsidRPr="00920E3A" w:rsidRDefault="00301274" w:rsidP="00301274">
      <w:pPr>
        <w:ind w:left="426" w:hanging="426"/>
        <w:rPr>
          <w:rFonts w:eastAsia="Times New Roman" w:cs="Times New Roman"/>
        </w:rPr>
      </w:pPr>
      <w:r w:rsidRPr="00920E3A">
        <w:rPr>
          <w:rFonts w:eastAsia="Times New Roman" w:cs="Times New Roman"/>
        </w:rPr>
        <w:t>13.</w:t>
      </w:r>
      <w:r w:rsidRPr="00920E3A">
        <w:rPr>
          <w:rFonts w:eastAsia="Times New Roman" w:cs="Times New Roman"/>
        </w:rPr>
        <w:tab/>
      </w:r>
      <w:r w:rsidR="009D3136" w:rsidRPr="00920E3A">
        <w:rPr>
          <w:rFonts w:eastAsia="Times New Roman" w:cs="Times New Roman"/>
          <w:u w:val="single"/>
        </w:rPr>
        <w:t>Además, l</w:t>
      </w:r>
      <w:r w:rsidRPr="00920E3A">
        <w:rPr>
          <w:rFonts w:eastAsia="Times New Roman" w:cs="Times New Roman"/>
        </w:rPr>
        <w:t xml:space="preserve">as CPC establecerán o mantendrán programas de recopilación de datos en las pesquerías deportivas y de recreo, lo que incluye una cobertura mínima de observadores científicos del 5 % de los torneos de aguja azul y aguja blanca/marlín peto, para garantizar que las capturas se comunican de conformidad con las obligaciones existentes en materia de comunicación </w:t>
      </w:r>
      <w:r w:rsidR="00E066F4" w:rsidRPr="00920E3A">
        <w:rPr>
          <w:rFonts w:eastAsia="Times New Roman" w:cs="Times New Roman"/>
        </w:rPr>
        <w:t>a</w:t>
      </w:r>
      <w:r w:rsidRPr="00920E3A">
        <w:rPr>
          <w:rFonts w:eastAsia="Times New Roman" w:cs="Times New Roman"/>
        </w:rPr>
        <w:t xml:space="preserve"> ICCAT. </w:t>
      </w:r>
    </w:p>
    <w:p w14:paraId="645F618E" w14:textId="3A2E7833" w:rsidR="00C27CC1" w:rsidRPr="00920E3A" w:rsidRDefault="00C27CC1" w:rsidP="00301274">
      <w:pPr>
        <w:ind w:left="426" w:hanging="426"/>
        <w:rPr>
          <w:rFonts w:eastAsia="Times New Roman" w:cs="Times New Roman"/>
        </w:rPr>
      </w:pPr>
    </w:p>
    <w:p w14:paraId="3FD85DA3" w14:textId="77777777" w:rsidR="004B18CD" w:rsidRPr="00920E3A" w:rsidRDefault="00F37A49">
      <w:pPr>
        <w:pBdr>
          <w:top w:val="nil"/>
          <w:left w:val="nil"/>
          <w:bottom w:val="nil"/>
          <w:right w:val="nil"/>
          <w:between w:val="nil"/>
        </w:pBdr>
        <w:rPr>
          <w:b/>
          <w:color w:val="000000"/>
        </w:rPr>
      </w:pPr>
      <w:r w:rsidRPr="00920E3A">
        <w:rPr>
          <w:b/>
          <w:color w:val="000000"/>
        </w:rPr>
        <w:t>Recopilación y comunicación de datos</w:t>
      </w:r>
    </w:p>
    <w:p w14:paraId="6A8CFD9F" w14:textId="77777777" w:rsidR="004B18CD" w:rsidRPr="00920E3A" w:rsidRDefault="00F37A49">
      <w:pPr>
        <w:pBdr>
          <w:top w:val="nil"/>
          <w:left w:val="nil"/>
          <w:bottom w:val="nil"/>
          <w:right w:val="nil"/>
          <w:between w:val="nil"/>
        </w:pBdr>
        <w:rPr>
          <w:color w:val="333333"/>
        </w:rPr>
      </w:pPr>
      <w:r w:rsidRPr="00920E3A">
        <w:rPr>
          <w:color w:val="000000"/>
        </w:rPr>
        <w:t xml:space="preserve"> </w:t>
      </w:r>
    </w:p>
    <w:p w14:paraId="3AE9ECF6" w14:textId="56C3DAB3" w:rsidR="00301274" w:rsidRPr="00920E3A" w:rsidRDefault="00301274" w:rsidP="00301274">
      <w:pPr>
        <w:ind w:left="426" w:hanging="426"/>
        <w:rPr>
          <w:rFonts w:eastAsia="Times New Roman" w:cs="Times New Roman"/>
        </w:rPr>
      </w:pPr>
      <w:r w:rsidRPr="00920E3A">
        <w:rPr>
          <w:rFonts w:eastAsia="Times New Roman" w:cs="Times New Roman"/>
        </w:rPr>
        <w:t>14.</w:t>
      </w:r>
      <w:r w:rsidRPr="00920E3A">
        <w:rPr>
          <w:rFonts w:eastAsia="Times New Roman" w:cs="Times New Roman"/>
        </w:rPr>
        <w:tab/>
      </w:r>
      <w:r w:rsidRPr="00920E3A">
        <w:t>Las CPC facilitarán sus estimaciones de descartes</w:t>
      </w:r>
      <w:r w:rsidR="00FD2F97" w:rsidRPr="00920E3A">
        <w:t xml:space="preserve"> totales</w:t>
      </w:r>
      <w:r w:rsidRPr="00920E3A">
        <w:t xml:space="preserve"> de ejemplares vivos y muertos de aguja azul y aguja blanca/marlín peto, basadas en los cuadernos de pesca, las declaraciones de desembarque o documentos equivalentes en la</w:t>
      </w:r>
      <w:r w:rsidRPr="00920E3A">
        <w:rPr>
          <w:rFonts w:eastAsia="Times New Roman" w:cs="Times New Roman"/>
        </w:rPr>
        <w:t>s</w:t>
      </w:r>
      <w:r w:rsidRPr="00920E3A">
        <w:t xml:space="preserve"> pesquerías deportivas y de recreo, así como en informes de los observadores científicos, como parte</w:t>
      </w:r>
      <w:r w:rsidR="00A744C6" w:rsidRPr="00920E3A">
        <w:t xml:space="preserve"> de</w:t>
      </w:r>
      <w:r w:rsidRPr="00920E3A">
        <w:t xml:space="preserve"> su envío de los datos de Tarea </w:t>
      </w:r>
      <w:r w:rsidR="00A744C6" w:rsidRPr="00920E3A">
        <w:t xml:space="preserve">1 </w:t>
      </w:r>
      <w:r w:rsidRPr="00920E3A">
        <w:t xml:space="preserve">y Tarea </w:t>
      </w:r>
      <w:r w:rsidR="00A744C6" w:rsidRPr="00920E3A">
        <w:t>2</w:t>
      </w:r>
      <w:r w:rsidRPr="00920E3A">
        <w:t xml:space="preserve"> para respaldar el proceso de evaluación de stock. </w:t>
      </w:r>
    </w:p>
    <w:p w14:paraId="3B346738" w14:textId="77777777" w:rsidR="00301274" w:rsidRPr="00920E3A" w:rsidRDefault="00301274" w:rsidP="00301274">
      <w:pPr>
        <w:ind w:left="360"/>
        <w:contextualSpacing/>
      </w:pPr>
    </w:p>
    <w:p w14:paraId="64689E9E" w14:textId="63669424" w:rsidR="00301274" w:rsidRPr="00920E3A" w:rsidRDefault="00301274" w:rsidP="00301274">
      <w:pPr>
        <w:ind w:left="426" w:hanging="426"/>
        <w:rPr>
          <w:rFonts w:eastAsia="Times New Roman" w:cs="Times New Roman"/>
        </w:rPr>
      </w:pPr>
      <w:r w:rsidRPr="00920E3A">
        <w:rPr>
          <w:rFonts w:eastAsia="Times New Roman" w:cs="Times New Roman"/>
        </w:rPr>
        <w:t>15.</w:t>
      </w:r>
      <w:r w:rsidRPr="00920E3A">
        <w:rPr>
          <w:rFonts w:eastAsia="Times New Roman" w:cs="Times New Roman"/>
        </w:rPr>
        <w:tab/>
      </w:r>
      <w:r w:rsidR="009D3136" w:rsidRPr="00920E3A">
        <w:rPr>
          <w:rFonts w:eastAsia="Times New Roman" w:cs="Times New Roman"/>
          <w:u w:val="single"/>
        </w:rPr>
        <w:t>S</w:t>
      </w:r>
      <w:r w:rsidRPr="00920E3A">
        <w:rPr>
          <w:rFonts w:eastAsia="Times New Roman" w:cs="Times New Roman"/>
          <w:u w:val="single"/>
        </w:rPr>
        <w:t>i n</w:t>
      </w:r>
      <w:r w:rsidRPr="00920E3A">
        <w:rPr>
          <w:rFonts w:eastAsia="Times New Roman" w:cs="Times New Roman"/>
        </w:rPr>
        <w:t xml:space="preserve">o se comunican los datos de Tarea </w:t>
      </w:r>
      <w:r w:rsidR="00B51D48" w:rsidRPr="00920E3A">
        <w:rPr>
          <w:rFonts w:eastAsia="Times New Roman" w:cs="Times New Roman"/>
        </w:rPr>
        <w:t>1</w:t>
      </w:r>
      <w:r w:rsidRPr="00920E3A">
        <w:rPr>
          <w:rFonts w:eastAsia="Times New Roman" w:cs="Times New Roman"/>
        </w:rPr>
        <w:t xml:space="preserve">, incluidos los descartes muertos de aguja azul y aguja blanca/marlín peto de acuerdo con los requisitos establecidos por ICCAT, se prohibirá la retención de estas especies de acuerdo con la </w:t>
      </w:r>
      <w:r w:rsidRPr="00920E3A">
        <w:rPr>
          <w:rFonts w:eastAsia="Times New Roman" w:cs="Times New Roman"/>
          <w:i/>
          <w:iCs/>
        </w:rPr>
        <w:t>Recomendación de ICCAT sobre las penalizaciones aplicables en caso de incumplimiento de las obligaciones en materia de comunicación</w:t>
      </w:r>
      <w:r w:rsidRPr="00920E3A">
        <w:rPr>
          <w:rFonts w:eastAsia="Times New Roman" w:cs="Times New Roman"/>
        </w:rPr>
        <w:t xml:space="preserve"> (Rec. 11-15). </w:t>
      </w:r>
    </w:p>
    <w:p w14:paraId="07C490AA" w14:textId="77777777" w:rsidR="00A05039" w:rsidRPr="00920E3A" w:rsidRDefault="00A05039" w:rsidP="00301274">
      <w:pPr>
        <w:ind w:left="426" w:hanging="426"/>
        <w:rPr>
          <w:rFonts w:eastAsia="Times New Roman" w:cs="Times New Roman"/>
        </w:rPr>
      </w:pPr>
    </w:p>
    <w:p w14:paraId="2F403E57" w14:textId="4FD7C180" w:rsidR="00A05039" w:rsidRPr="00920E3A" w:rsidRDefault="00A05039" w:rsidP="00A05039">
      <w:pPr>
        <w:widowControl w:val="0"/>
        <w:pBdr>
          <w:top w:val="nil"/>
          <w:left w:val="nil"/>
          <w:bottom w:val="nil"/>
          <w:right w:val="nil"/>
          <w:between w:val="nil"/>
        </w:pBdr>
        <w:tabs>
          <w:tab w:val="left" w:pos="565"/>
          <w:tab w:val="left" w:pos="568"/>
        </w:tabs>
        <w:ind w:left="568" w:right="2" w:hanging="568"/>
        <w:rPr>
          <w:u w:val="single"/>
          <w:lang w:eastAsia="en-GB"/>
        </w:rPr>
      </w:pPr>
      <w:r w:rsidRPr="00920E3A">
        <w:rPr>
          <w:rFonts w:eastAsia="Times New Roman" w:cs="Times New Roman"/>
          <w:u w:val="single"/>
          <w:lang w:eastAsia="en-GB"/>
        </w:rPr>
        <w:t>15 bis. Para facilitar la comunicación de los datos sobre desembarques y descartes, las CPC pueden utilizar la herramienta de estimación de capturas fortuitas</w:t>
      </w:r>
      <w:r w:rsidR="00216CFD" w:rsidRPr="00920E3A">
        <w:rPr>
          <w:rFonts w:eastAsia="Times New Roman" w:cs="Times New Roman"/>
          <w:u w:val="single"/>
          <w:lang w:eastAsia="en-GB"/>
        </w:rPr>
        <w:t xml:space="preserve"> (BYET)</w:t>
      </w:r>
      <w:r w:rsidRPr="00920E3A">
        <w:rPr>
          <w:rFonts w:eastAsia="Times New Roman" w:cs="Times New Roman"/>
          <w:u w:val="single"/>
          <w:lang w:eastAsia="en-GB"/>
        </w:rPr>
        <w:t xml:space="preserve"> para proporcionar estimaciones del total de los descartes, tanto vivos como muertos, de aguja azul y aguja blanca/marlín peto, como parte de </w:t>
      </w:r>
      <w:r w:rsidRPr="00920E3A">
        <w:rPr>
          <w:rFonts w:eastAsia="Times New Roman" w:cs="Times New Roman"/>
          <w:u w:val="single"/>
          <w:lang w:eastAsia="en-GB"/>
        </w:rPr>
        <w:lastRenderedPageBreak/>
        <w:t xml:space="preserve">la presentación de datos de las Tareas 1 y 2, con el fin de respaldar el proceso de evaluación de stock. </w:t>
      </w:r>
    </w:p>
    <w:p w14:paraId="4EA45942" w14:textId="77777777" w:rsidR="00A05039" w:rsidRPr="00920E3A" w:rsidRDefault="00A05039" w:rsidP="00A05039">
      <w:pPr>
        <w:widowControl w:val="0"/>
        <w:pBdr>
          <w:top w:val="nil"/>
          <w:left w:val="nil"/>
          <w:bottom w:val="nil"/>
          <w:right w:val="nil"/>
          <w:between w:val="nil"/>
        </w:pBdr>
        <w:tabs>
          <w:tab w:val="left" w:pos="565"/>
          <w:tab w:val="left" w:pos="568"/>
        </w:tabs>
        <w:ind w:left="568" w:right="2" w:hanging="568"/>
        <w:rPr>
          <w:color w:val="000000"/>
          <w:u w:val="single"/>
        </w:rPr>
      </w:pPr>
    </w:p>
    <w:p w14:paraId="12012806" w14:textId="41F16E69" w:rsidR="00A05039" w:rsidRPr="00920E3A" w:rsidRDefault="00A05039" w:rsidP="00A05039">
      <w:pPr>
        <w:widowControl w:val="0"/>
        <w:pBdr>
          <w:top w:val="nil"/>
          <w:left w:val="nil"/>
          <w:bottom w:val="nil"/>
          <w:right w:val="nil"/>
          <w:between w:val="nil"/>
        </w:pBdr>
        <w:tabs>
          <w:tab w:val="left" w:pos="565"/>
          <w:tab w:val="left" w:pos="568"/>
        </w:tabs>
        <w:ind w:left="568" w:right="2" w:hanging="568"/>
        <w:rPr>
          <w:u w:val="single"/>
          <w:lang w:eastAsia="en-GB"/>
        </w:rPr>
      </w:pPr>
      <w:r w:rsidRPr="00920E3A">
        <w:rPr>
          <w:rFonts w:eastAsia="Times New Roman" w:cs="Times New Roman"/>
          <w:u w:val="single"/>
          <w:lang w:eastAsia="en-GB"/>
        </w:rPr>
        <w:t>15 tris. Con el fin de promover la recuperación del stock y facilitar el intercambio de información sobre las mejores prácticas, las CPC que logren reducir las capturas fortuitas y/o los descartes de aguja azul y aguja blanca/marlín peto</w:t>
      </w:r>
      <w:r w:rsidR="00420BCC" w:rsidRPr="00920E3A">
        <w:rPr>
          <w:rFonts w:eastAsia="Times New Roman" w:cs="Times New Roman"/>
          <w:u w:val="single"/>
          <w:lang w:eastAsia="en-GB"/>
        </w:rPr>
        <w:t xml:space="preserve"> </w:t>
      </w:r>
      <w:r w:rsidRPr="00920E3A">
        <w:rPr>
          <w:rFonts w:eastAsia="Times New Roman" w:cs="Times New Roman"/>
          <w:u w:val="single"/>
          <w:lang w:eastAsia="en-GB"/>
        </w:rPr>
        <w:t xml:space="preserve">deberán resumir e informar sobre los cambios en el comportamiento o las prácticas pesqueras empleados para reducir estas interacciones y la mortalidad asociada. </w:t>
      </w:r>
    </w:p>
    <w:p w14:paraId="1C99F3FC" w14:textId="77777777" w:rsidR="00301274" w:rsidRPr="00920E3A" w:rsidRDefault="00301274" w:rsidP="00301274">
      <w:pPr>
        <w:ind w:left="720"/>
        <w:contextualSpacing/>
      </w:pPr>
    </w:p>
    <w:p w14:paraId="14E22361" w14:textId="2CBB1EC1" w:rsidR="00171C6A" w:rsidRPr="00920E3A" w:rsidRDefault="00301274" w:rsidP="00301274">
      <w:pPr>
        <w:ind w:left="426" w:hanging="426"/>
        <w:rPr>
          <w:color w:val="222222"/>
        </w:rPr>
      </w:pPr>
      <w:r w:rsidRPr="00920E3A">
        <w:rPr>
          <w:rFonts w:eastAsia="Times New Roman" w:cs="Times New Roman"/>
        </w:rPr>
        <w:t>16.</w:t>
      </w:r>
      <w:r w:rsidRPr="00920E3A">
        <w:rPr>
          <w:rFonts w:eastAsia="Times New Roman" w:cs="Times New Roman"/>
        </w:rPr>
        <w:tab/>
      </w:r>
      <w:r w:rsidR="00A05039" w:rsidRPr="00920E3A">
        <w:rPr>
          <w:rFonts w:eastAsia="Times New Roman" w:cs="Times New Roman"/>
          <w:u w:val="single"/>
        </w:rPr>
        <w:t>Las</w:t>
      </w:r>
      <w:r w:rsidR="00A05039" w:rsidRPr="00920E3A">
        <w:rPr>
          <w:rFonts w:eastAsia="Times New Roman" w:cs="Times New Roman"/>
        </w:rPr>
        <w:t xml:space="preserve"> </w:t>
      </w:r>
      <w:r w:rsidRPr="00920E3A">
        <w:rPr>
          <w:rFonts w:eastAsia="Times New Roman" w:cs="Times New Roman"/>
        </w:rPr>
        <w:t>CPC presentarán al SCRS la metodología estadística utilizada para estimar los descartes de ejemplares vivos y muertos. Las CPC con pesquerías artesanales y de pequeña escala proporcionarán también información sobre sus programas de recopilación de datos.</w:t>
      </w:r>
    </w:p>
    <w:p w14:paraId="1F6FF2B7" w14:textId="24BF0982" w:rsidR="00777391" w:rsidRPr="00920E3A" w:rsidRDefault="00777391" w:rsidP="00171C6A">
      <w:pPr>
        <w:pBdr>
          <w:top w:val="nil"/>
          <w:left w:val="nil"/>
          <w:bottom w:val="nil"/>
          <w:right w:val="nil"/>
          <w:between w:val="nil"/>
        </w:pBdr>
        <w:tabs>
          <w:tab w:val="left" w:pos="284"/>
        </w:tabs>
        <w:ind w:left="284" w:hanging="284"/>
        <w:rPr>
          <w:color w:val="222222"/>
        </w:rPr>
      </w:pPr>
    </w:p>
    <w:p w14:paraId="7EA3046F" w14:textId="40446C08" w:rsidR="00777391" w:rsidRPr="00920E3A" w:rsidRDefault="00301274" w:rsidP="00301274">
      <w:pPr>
        <w:ind w:left="426" w:hanging="426"/>
        <w:rPr>
          <w:color w:val="222222"/>
        </w:rPr>
      </w:pPr>
      <w:r w:rsidRPr="00920E3A">
        <w:rPr>
          <w:color w:val="222222"/>
        </w:rPr>
        <w:tab/>
      </w:r>
      <w:r w:rsidR="00777391" w:rsidRPr="00920E3A">
        <w:rPr>
          <w:color w:val="222222"/>
        </w:rPr>
        <w:t xml:space="preserve">El SCRS </w:t>
      </w:r>
      <w:r w:rsidR="00777391" w:rsidRPr="00920E3A">
        <w:rPr>
          <w:rFonts w:eastAsia="Times New Roman" w:cs="Times New Roman"/>
        </w:rPr>
        <w:t>revisará</w:t>
      </w:r>
      <w:r w:rsidR="00777391" w:rsidRPr="00920E3A">
        <w:rPr>
          <w:color w:val="222222"/>
        </w:rPr>
        <w:t xml:space="preserve"> estas metodologías y</w:t>
      </w:r>
      <w:r w:rsidR="00E066F4" w:rsidRPr="00920E3A">
        <w:rPr>
          <w:color w:val="222222"/>
        </w:rPr>
        <w:t>,</w:t>
      </w:r>
      <w:r w:rsidR="00777391" w:rsidRPr="00920E3A">
        <w:rPr>
          <w:color w:val="222222"/>
        </w:rPr>
        <w:t xml:space="preserve"> si determina que una metodología no está bien fundamentada desde el punto de vista científico, el SCRS proporcionará el feedback pertinente a la</w:t>
      </w:r>
      <w:r w:rsidR="00296263" w:rsidRPr="00920E3A">
        <w:rPr>
          <w:color w:val="222222"/>
        </w:rPr>
        <w:t>s</w:t>
      </w:r>
      <w:r w:rsidR="00777391" w:rsidRPr="00920E3A">
        <w:rPr>
          <w:color w:val="222222"/>
        </w:rPr>
        <w:t xml:space="preserve"> CPC en cuestión para mejorar </w:t>
      </w:r>
      <w:r w:rsidR="00777391" w:rsidRPr="00920E3A">
        <w:t>las</w:t>
      </w:r>
      <w:r w:rsidR="00777391" w:rsidRPr="00920E3A">
        <w:rPr>
          <w:color w:val="222222"/>
        </w:rPr>
        <w:t xml:space="preserve"> metodologías.  </w:t>
      </w:r>
    </w:p>
    <w:p w14:paraId="1E535142" w14:textId="77777777" w:rsidR="00777391" w:rsidRPr="00920E3A" w:rsidRDefault="00777391" w:rsidP="00777391">
      <w:pPr>
        <w:pBdr>
          <w:top w:val="nil"/>
          <w:left w:val="nil"/>
          <w:bottom w:val="nil"/>
          <w:right w:val="nil"/>
          <w:between w:val="nil"/>
        </w:pBdr>
        <w:tabs>
          <w:tab w:val="left" w:pos="284"/>
        </w:tabs>
        <w:ind w:left="284" w:hanging="284"/>
        <w:rPr>
          <w:color w:val="222222"/>
        </w:rPr>
      </w:pPr>
    </w:p>
    <w:p w14:paraId="0F3C6F64" w14:textId="08261668" w:rsidR="00777391" w:rsidRPr="00920E3A" w:rsidRDefault="00777391" w:rsidP="00301274">
      <w:pPr>
        <w:ind w:left="426" w:hanging="426"/>
        <w:rPr>
          <w:color w:val="222222"/>
        </w:rPr>
      </w:pPr>
      <w:r w:rsidRPr="00920E3A">
        <w:rPr>
          <w:color w:val="222222"/>
        </w:rPr>
        <w:tab/>
        <w:t xml:space="preserve">El SCRS </w:t>
      </w:r>
      <w:r w:rsidRPr="00920E3A">
        <w:rPr>
          <w:rFonts w:eastAsia="Times New Roman" w:cs="Times New Roman"/>
        </w:rPr>
        <w:t>determinará</w:t>
      </w:r>
      <w:r w:rsidRPr="00920E3A">
        <w:rPr>
          <w:color w:val="222222"/>
        </w:rPr>
        <w:t xml:space="preserve"> también si está justificado impartir talleres de creación de capacidad </w:t>
      </w:r>
      <w:r w:rsidR="007E2242" w:rsidRPr="00920E3A">
        <w:rPr>
          <w:color w:val="222222"/>
          <w:u w:val="single"/>
        </w:rPr>
        <w:t>adicionales</w:t>
      </w:r>
      <w:r w:rsidR="007E2242" w:rsidRPr="00920E3A">
        <w:rPr>
          <w:color w:val="222222"/>
        </w:rPr>
        <w:t xml:space="preserve"> </w:t>
      </w:r>
      <w:r w:rsidRPr="00920E3A">
        <w:rPr>
          <w:color w:val="222222"/>
        </w:rPr>
        <w:t xml:space="preserve">para ayudar a las CPC a cumplir los requisitos de comunicar los descartes vivos y muertos totales.  En caso afirmativo, la Secretaría en coordinación con el SCRS debería comenzar a organizar el(los) taller(es) recomendado(s) por el SCRS en </w:t>
      </w:r>
      <w:r w:rsidRPr="00920E3A">
        <w:rPr>
          <w:color w:val="222222"/>
          <w:u w:val="single"/>
        </w:rPr>
        <w:t>202</w:t>
      </w:r>
      <w:r w:rsidR="007E2242" w:rsidRPr="00920E3A">
        <w:rPr>
          <w:color w:val="222222"/>
          <w:u w:val="single"/>
        </w:rPr>
        <w:t>7</w:t>
      </w:r>
      <w:r w:rsidRPr="00920E3A">
        <w:rPr>
          <w:color w:val="222222"/>
        </w:rPr>
        <w:t>, con miras a impartirlo(s) en cuanto sea viable.</w:t>
      </w:r>
    </w:p>
    <w:p w14:paraId="13BDD789" w14:textId="75024DED" w:rsidR="00777391" w:rsidRPr="00920E3A" w:rsidRDefault="00777391" w:rsidP="00777391">
      <w:pPr>
        <w:pBdr>
          <w:top w:val="nil"/>
          <w:left w:val="nil"/>
          <w:bottom w:val="nil"/>
          <w:right w:val="nil"/>
          <w:between w:val="nil"/>
        </w:pBdr>
        <w:tabs>
          <w:tab w:val="left" w:pos="284"/>
        </w:tabs>
        <w:ind w:left="284" w:hanging="284"/>
        <w:rPr>
          <w:color w:val="222222"/>
        </w:rPr>
      </w:pPr>
    </w:p>
    <w:p w14:paraId="0E733C46" w14:textId="3865AF20" w:rsidR="00777391" w:rsidRPr="00920E3A" w:rsidRDefault="00777391" w:rsidP="00301274">
      <w:pPr>
        <w:ind w:left="426" w:hanging="426"/>
        <w:rPr>
          <w:color w:val="222222"/>
        </w:rPr>
      </w:pPr>
      <w:r w:rsidRPr="00920E3A">
        <w:rPr>
          <w:color w:val="222222"/>
        </w:rPr>
        <w:t>17.</w:t>
      </w:r>
      <w:r w:rsidR="00301274" w:rsidRPr="00920E3A">
        <w:rPr>
          <w:rFonts w:eastAsia="Times New Roman" w:cs="Times New Roman"/>
        </w:rPr>
        <w:t xml:space="preserve"> </w:t>
      </w:r>
      <w:r w:rsidR="00301274" w:rsidRPr="00920E3A">
        <w:rPr>
          <w:rFonts w:eastAsia="Times New Roman" w:cs="Times New Roman"/>
        </w:rPr>
        <w:tab/>
        <w:t xml:space="preserve">El SCRS evaluará la exhaustividad de envíos de los datos de Tarea </w:t>
      </w:r>
      <w:r w:rsidR="00551C7B" w:rsidRPr="00920E3A">
        <w:rPr>
          <w:rFonts w:eastAsia="Times New Roman" w:cs="Times New Roman"/>
        </w:rPr>
        <w:t>1</w:t>
      </w:r>
      <w:r w:rsidR="00301274" w:rsidRPr="00920E3A">
        <w:rPr>
          <w:rFonts w:eastAsia="Times New Roman" w:cs="Times New Roman"/>
        </w:rPr>
        <w:t xml:space="preserve"> y Tarea </w:t>
      </w:r>
      <w:r w:rsidR="00551C7B" w:rsidRPr="00920E3A">
        <w:rPr>
          <w:rFonts w:eastAsia="Times New Roman" w:cs="Times New Roman"/>
        </w:rPr>
        <w:t>2</w:t>
      </w:r>
      <w:r w:rsidR="00301274" w:rsidRPr="00920E3A">
        <w:rPr>
          <w:rFonts w:eastAsia="Times New Roman" w:cs="Times New Roman"/>
        </w:rPr>
        <w:t xml:space="preserve">, lo que incluye las estimaciones de descartes vivos y muertos totales, y determinará la vialidad de estimar las mortalidades por pesca en las pesquerías industriales (lo que incluye palangre y cerco), en las pesquerías artesanales y en las pesquerías de recreo. </w:t>
      </w:r>
      <w:r w:rsidR="002A17EE" w:rsidRPr="00920E3A">
        <w:rPr>
          <w:color w:val="222222"/>
        </w:rPr>
        <w:t xml:space="preserve">Si tras dicha evaluación, el SCRS determina que existen importantes lagunas en la </w:t>
      </w:r>
      <w:r w:rsidR="002A17EE" w:rsidRPr="00920E3A">
        <w:t>comunicación</w:t>
      </w:r>
      <w:r w:rsidR="002A17EE" w:rsidRPr="00920E3A">
        <w:rPr>
          <w:color w:val="222222"/>
        </w:rPr>
        <w:t xml:space="preserve"> de datos, el SCRS debería explorar enfoques para estimar el nivel de capturas no comunicadas a incluir en evaluaciones futuras del stock, con el fin de reforzar la base sobre la que se proporciona el asesoramiento de ordenación a la Comisión.</w:t>
      </w:r>
    </w:p>
    <w:p w14:paraId="3BA8F370" w14:textId="5B8FEDF2" w:rsidR="00777391" w:rsidRPr="00920E3A" w:rsidRDefault="00777391" w:rsidP="00777391">
      <w:pPr>
        <w:pBdr>
          <w:top w:val="nil"/>
          <w:left w:val="nil"/>
          <w:bottom w:val="nil"/>
          <w:right w:val="nil"/>
          <w:between w:val="nil"/>
        </w:pBdr>
        <w:tabs>
          <w:tab w:val="left" w:pos="284"/>
        </w:tabs>
        <w:ind w:left="284" w:hanging="284"/>
        <w:rPr>
          <w:color w:val="222222"/>
        </w:rPr>
      </w:pPr>
    </w:p>
    <w:p w14:paraId="1F49BF34" w14:textId="6BBC9772" w:rsidR="00777391" w:rsidRPr="00920E3A" w:rsidRDefault="00777391" w:rsidP="00777391">
      <w:pPr>
        <w:pBdr>
          <w:top w:val="nil"/>
          <w:left w:val="nil"/>
          <w:bottom w:val="nil"/>
          <w:right w:val="nil"/>
          <w:between w:val="nil"/>
        </w:pBdr>
        <w:tabs>
          <w:tab w:val="left" w:pos="284"/>
        </w:tabs>
        <w:ind w:left="284" w:hanging="284"/>
        <w:rPr>
          <w:b/>
          <w:bCs/>
          <w:color w:val="222222"/>
        </w:rPr>
      </w:pPr>
      <w:r w:rsidRPr="00920E3A">
        <w:rPr>
          <w:b/>
          <w:bCs/>
          <w:color w:val="222222"/>
        </w:rPr>
        <w:t>Solicitud de asesoramiento científico y trabajos del SCRS</w:t>
      </w:r>
    </w:p>
    <w:p w14:paraId="1C8A02CE" w14:textId="77777777" w:rsidR="00777391" w:rsidRPr="00920E3A" w:rsidRDefault="00777391" w:rsidP="00777391">
      <w:pPr>
        <w:pBdr>
          <w:top w:val="nil"/>
          <w:left w:val="nil"/>
          <w:bottom w:val="nil"/>
          <w:right w:val="nil"/>
          <w:between w:val="nil"/>
        </w:pBdr>
        <w:tabs>
          <w:tab w:val="left" w:pos="284"/>
        </w:tabs>
        <w:ind w:left="284" w:hanging="284"/>
        <w:rPr>
          <w:color w:val="222222"/>
        </w:rPr>
      </w:pPr>
    </w:p>
    <w:p w14:paraId="14C5A21A" w14:textId="6E1A11CB" w:rsidR="002A17EE" w:rsidRPr="00920E3A" w:rsidRDefault="002A17EE" w:rsidP="002A17EE">
      <w:pPr>
        <w:ind w:left="426" w:hanging="426"/>
        <w:rPr>
          <w:rFonts w:eastAsia="Times New Roman" w:cs="Times New Roman"/>
        </w:rPr>
      </w:pPr>
      <w:r w:rsidRPr="00920E3A">
        <w:rPr>
          <w:rFonts w:eastAsia="Times New Roman" w:cs="Times New Roman"/>
        </w:rPr>
        <w:t>18.</w:t>
      </w:r>
      <w:r w:rsidRPr="00920E3A">
        <w:rPr>
          <w:rFonts w:eastAsia="Times New Roman" w:cs="Times New Roman"/>
        </w:rPr>
        <w:tab/>
        <w:t xml:space="preserve">El SCRS continuará su trabajo </w:t>
      </w:r>
      <w:r w:rsidR="00FD2F97" w:rsidRPr="00920E3A">
        <w:rPr>
          <w:rFonts w:eastAsia="Times New Roman" w:cs="Times New Roman"/>
        </w:rPr>
        <w:t>para seguir mejorando</w:t>
      </w:r>
      <w:r w:rsidRPr="00920E3A">
        <w:rPr>
          <w:rFonts w:eastAsia="Times New Roman" w:cs="Times New Roman"/>
        </w:rPr>
        <w:t xml:space="preserve"> las iniciativas de recopilación de datos como parte del Programa ICCAT de investigación intensiva sobre marlines para solucionar los problemas de lagunas en los datos de dichas pesquerías, en particular de las pesquerías artesanales de las CPC en desarrollo para aportar información a las decisiones futuras de la Comisión.</w:t>
      </w:r>
    </w:p>
    <w:p w14:paraId="7CE87B03" w14:textId="77777777" w:rsidR="002A17EE" w:rsidRPr="00920E3A" w:rsidRDefault="002A17EE" w:rsidP="002A17EE">
      <w:pPr>
        <w:ind w:left="360"/>
        <w:contextualSpacing/>
      </w:pPr>
    </w:p>
    <w:p w14:paraId="7DC40B70" w14:textId="576E8DDD" w:rsidR="002A17EE" w:rsidRPr="00920E3A" w:rsidRDefault="002A17EE" w:rsidP="002A17EE">
      <w:pPr>
        <w:ind w:left="426" w:hanging="426"/>
        <w:rPr>
          <w:rFonts w:eastAsia="Times New Roman" w:cs="Times New Roman"/>
        </w:rPr>
      </w:pPr>
      <w:r w:rsidRPr="00920E3A">
        <w:rPr>
          <w:rFonts w:eastAsia="Times New Roman" w:cs="Times New Roman"/>
        </w:rPr>
        <w:t>19.</w:t>
      </w:r>
      <w:r w:rsidRPr="00920E3A">
        <w:rPr>
          <w:rFonts w:eastAsia="Times New Roman" w:cs="Times New Roman"/>
        </w:rPr>
        <w:tab/>
        <w:t>La Secretaría, con el respaldo de la Comisión y del SCRS, continuará su revisión de los trabajos pertinentes realizados por organizaciones internacionales</w:t>
      </w:r>
      <w:r w:rsidR="0040108C" w:rsidRPr="00920E3A">
        <w:rPr>
          <w:rFonts w:eastAsia="Times New Roman" w:cs="Times New Roman"/>
        </w:rPr>
        <w:t xml:space="preserve">, </w:t>
      </w:r>
      <w:r w:rsidRPr="00920E3A">
        <w:rPr>
          <w:rFonts w:eastAsia="Times New Roman" w:cs="Times New Roman"/>
        </w:rPr>
        <w:t xml:space="preserve">regionales y subregionales, de un modo similar a la revisión realizada para África occidental, centrándose sobre todo en el Caribe y América Latina. Se insta también a la Secretaría y a las CPC a colaborar con la Comisión de pesca para el Atlántico centro-occidental (COPACO) en las estadísticas pesqueras de especies de ICCAT. </w:t>
      </w:r>
    </w:p>
    <w:p w14:paraId="64F7B083" w14:textId="77777777" w:rsidR="002A17EE" w:rsidRPr="00920E3A" w:rsidRDefault="002A17EE" w:rsidP="002A17EE">
      <w:pPr>
        <w:ind w:left="720"/>
        <w:contextualSpacing/>
        <w:rPr>
          <w:rFonts w:cs="Times New Roman"/>
        </w:rPr>
      </w:pPr>
    </w:p>
    <w:p w14:paraId="0D3B6FEE" w14:textId="474C624D" w:rsidR="002A17EE" w:rsidRPr="00920E3A" w:rsidRDefault="002A17EE" w:rsidP="002A17EE">
      <w:pPr>
        <w:ind w:left="426"/>
        <w:rPr>
          <w:rFonts w:eastAsia="Times New Roman" w:cs="Times New Roman"/>
        </w:rPr>
      </w:pPr>
      <w:r w:rsidRPr="00920E3A">
        <w:rPr>
          <w:rFonts w:eastAsia="Times New Roman" w:cs="Times New Roman"/>
        </w:rPr>
        <w:t>Teniendo en cuenta los hallazgos de estas revisiones regionales, las CPC emprenderán acciones, cuando proceda, para mejorar los programas de recopilación y comunicación de datos de conformidad con cualquier asesoramiento del SCRS con miras a la preparación de la</w:t>
      </w:r>
      <w:r w:rsidR="00E066F4" w:rsidRPr="00920E3A">
        <w:rPr>
          <w:rFonts w:eastAsia="Times New Roman" w:cs="Times New Roman"/>
        </w:rPr>
        <w:t>s</w:t>
      </w:r>
      <w:r w:rsidRPr="00920E3A">
        <w:rPr>
          <w:rFonts w:eastAsia="Times New Roman" w:cs="Times New Roman"/>
        </w:rPr>
        <w:t xml:space="preserve"> próxima</w:t>
      </w:r>
      <w:r w:rsidR="00E066F4" w:rsidRPr="00920E3A">
        <w:rPr>
          <w:rFonts w:eastAsia="Times New Roman" w:cs="Times New Roman"/>
        </w:rPr>
        <w:t>s</w:t>
      </w:r>
      <w:r w:rsidRPr="00920E3A">
        <w:rPr>
          <w:rFonts w:eastAsia="Times New Roman" w:cs="Times New Roman"/>
        </w:rPr>
        <w:t xml:space="preserve"> </w:t>
      </w:r>
      <w:r w:rsidR="00E066F4" w:rsidRPr="00920E3A">
        <w:rPr>
          <w:rFonts w:eastAsia="Times New Roman" w:cs="Times New Roman"/>
        </w:rPr>
        <w:t>evaluaciones</w:t>
      </w:r>
      <w:r w:rsidRPr="00920E3A">
        <w:rPr>
          <w:rFonts w:eastAsia="Times New Roman" w:cs="Times New Roman"/>
        </w:rPr>
        <w:t xml:space="preserve"> de los stocks de aguja blanca/marlín peto y de aguja azul.</w:t>
      </w:r>
    </w:p>
    <w:p w14:paraId="3C41A4E0" w14:textId="77777777" w:rsidR="002A17EE" w:rsidRPr="00920E3A" w:rsidRDefault="002A17EE" w:rsidP="002A17EE">
      <w:pPr>
        <w:rPr>
          <w:rFonts w:eastAsia="Times New Roman" w:cs="Times New Roman"/>
        </w:rPr>
      </w:pPr>
    </w:p>
    <w:p w14:paraId="16D021B4" w14:textId="77777777" w:rsidR="00FF2E01" w:rsidRPr="00920E3A" w:rsidRDefault="00FF2E01" w:rsidP="00FF2E01">
      <w:pPr>
        <w:widowControl w:val="0"/>
        <w:autoSpaceDE w:val="0"/>
        <w:autoSpaceDN w:val="0"/>
        <w:ind w:hanging="426"/>
        <w:rPr>
          <w:szCs w:val="22"/>
          <w:lang w:eastAsia="en-GB"/>
        </w:rPr>
      </w:pPr>
      <w:r w:rsidRPr="00920E3A">
        <w:rPr>
          <w:szCs w:val="22"/>
          <w:lang w:eastAsia="en-GB"/>
        </w:rPr>
        <w:t>[…]</w:t>
      </w:r>
    </w:p>
    <w:p w14:paraId="49A9BD46" w14:textId="77777777" w:rsidR="00FF2E01" w:rsidRPr="00920E3A" w:rsidRDefault="00FF2E01" w:rsidP="00FF2E01">
      <w:pPr>
        <w:widowControl w:val="0"/>
        <w:autoSpaceDE w:val="0"/>
        <w:autoSpaceDN w:val="0"/>
        <w:ind w:hanging="426"/>
        <w:rPr>
          <w:szCs w:val="22"/>
          <w:lang w:eastAsia="en-GB"/>
        </w:rPr>
      </w:pPr>
      <w:r w:rsidRPr="00920E3A">
        <w:rPr>
          <w:szCs w:val="22"/>
          <w:lang w:eastAsia="en-GB"/>
        </w:rPr>
        <w:t>[…]</w:t>
      </w:r>
    </w:p>
    <w:p w14:paraId="0FCEF9D4" w14:textId="77777777" w:rsidR="00FF2E01" w:rsidRPr="00920E3A" w:rsidRDefault="00FF2E01" w:rsidP="00FF2E01">
      <w:pPr>
        <w:widowControl w:val="0"/>
        <w:autoSpaceDE w:val="0"/>
        <w:autoSpaceDN w:val="0"/>
        <w:ind w:hanging="426"/>
        <w:rPr>
          <w:szCs w:val="22"/>
          <w:lang w:eastAsia="en-GB"/>
        </w:rPr>
      </w:pPr>
      <w:r w:rsidRPr="00920E3A">
        <w:rPr>
          <w:szCs w:val="22"/>
          <w:lang w:eastAsia="en-GB"/>
        </w:rPr>
        <w:t>[…]</w:t>
      </w:r>
    </w:p>
    <w:p w14:paraId="3C2323F2" w14:textId="77777777" w:rsidR="00D420D5" w:rsidRPr="00920E3A" w:rsidRDefault="00D420D5" w:rsidP="002A17EE">
      <w:pPr>
        <w:ind w:left="426" w:hanging="426"/>
        <w:rPr>
          <w:rFonts w:eastAsia="Times New Roman" w:cs="Times New Roman"/>
        </w:rPr>
      </w:pPr>
    </w:p>
    <w:p w14:paraId="4227F5B6" w14:textId="7EFF8F34" w:rsidR="002A17EE" w:rsidRPr="00920E3A" w:rsidRDefault="002A17EE" w:rsidP="002A17EE">
      <w:pPr>
        <w:ind w:left="426" w:hanging="426"/>
        <w:rPr>
          <w:rFonts w:eastAsia="Times New Roman" w:cs="Times New Roman"/>
        </w:rPr>
      </w:pPr>
      <w:r w:rsidRPr="00920E3A">
        <w:rPr>
          <w:rFonts w:eastAsia="Times New Roman" w:cs="Times New Roman"/>
        </w:rPr>
        <w:t>2</w:t>
      </w:r>
      <w:r w:rsidR="000540B2" w:rsidRPr="00920E3A">
        <w:rPr>
          <w:rFonts w:eastAsia="Times New Roman" w:cs="Times New Roman"/>
        </w:rPr>
        <w:t>0</w:t>
      </w:r>
      <w:r w:rsidRPr="00920E3A">
        <w:rPr>
          <w:rFonts w:eastAsia="Times New Roman" w:cs="Times New Roman"/>
        </w:rPr>
        <w:t>.</w:t>
      </w:r>
      <w:r w:rsidRPr="00920E3A">
        <w:rPr>
          <w:rFonts w:eastAsia="Times New Roman" w:cs="Times New Roman"/>
        </w:rPr>
        <w:tab/>
        <w:t xml:space="preserve">El SCRS, en colaboración con las CPC, explorará posibles cambios a las técnicas del arte terminal (como la forma del anzuelo, el tamaño del anzuelo, el tipo de cable, etc.) y a las prácticas de pesca (por ejemplo, el momento, el tiempo de calado, el cebo, las profundidades, las áreas) que podrían reducir la captura fortuita y la mortalidad </w:t>
      </w:r>
      <w:r w:rsidR="00BD3258" w:rsidRPr="00920E3A">
        <w:rPr>
          <w:rFonts w:eastAsia="Times New Roman" w:cs="Times New Roman"/>
        </w:rPr>
        <w:t>por</w:t>
      </w:r>
      <w:r w:rsidRPr="00920E3A">
        <w:rPr>
          <w:rFonts w:eastAsia="Times New Roman" w:cs="Times New Roman"/>
        </w:rPr>
        <w:t xml:space="preserve"> captura fortuita (en el buque y posterior a la liberación).  </w:t>
      </w:r>
      <w:r w:rsidR="00481F64" w:rsidRPr="00920E3A">
        <w:rPr>
          <w:rFonts w:eastAsia="Times New Roman" w:cs="Times New Roman"/>
          <w:u w:val="single"/>
        </w:rPr>
        <w:t>Los estudios</w:t>
      </w:r>
      <w:r w:rsidRPr="00920E3A">
        <w:rPr>
          <w:rFonts w:eastAsia="Times New Roman" w:cs="Times New Roman"/>
        </w:rPr>
        <w:t xml:space="preserve"> debería</w:t>
      </w:r>
      <w:r w:rsidR="00F73627" w:rsidRPr="00920E3A">
        <w:rPr>
          <w:rFonts w:eastAsia="Times New Roman" w:cs="Times New Roman"/>
        </w:rPr>
        <w:t>n</w:t>
      </w:r>
      <w:r w:rsidRPr="00920E3A">
        <w:rPr>
          <w:rFonts w:eastAsia="Times New Roman" w:cs="Times New Roman"/>
        </w:rPr>
        <w:t xml:space="preserve"> tener en cuenta la influencia de los tipos del material del cable y considerar posibles diferencias operativas entre las regiones y las flotas. </w:t>
      </w:r>
    </w:p>
    <w:p w14:paraId="120A0D07" w14:textId="77777777" w:rsidR="002A17EE" w:rsidRPr="00920E3A" w:rsidRDefault="002A17EE" w:rsidP="002A17EE">
      <w:pPr>
        <w:ind w:left="360"/>
        <w:contextualSpacing/>
        <w:rPr>
          <w:rFonts w:cs="Times New Roman"/>
        </w:rPr>
      </w:pPr>
    </w:p>
    <w:p w14:paraId="26A28B14" w14:textId="1D7E7F15" w:rsidR="002A17EE" w:rsidRPr="00920E3A" w:rsidRDefault="002A17EE" w:rsidP="002A17EE">
      <w:pPr>
        <w:ind w:left="426" w:hanging="426"/>
        <w:rPr>
          <w:rFonts w:eastAsia="Times New Roman" w:cs="Times New Roman"/>
        </w:rPr>
      </w:pPr>
      <w:r w:rsidRPr="00920E3A">
        <w:rPr>
          <w:rFonts w:eastAsia="Times New Roman" w:cs="Times New Roman"/>
        </w:rPr>
        <w:t>2</w:t>
      </w:r>
      <w:r w:rsidR="00BD3258" w:rsidRPr="00920E3A">
        <w:rPr>
          <w:rFonts w:eastAsia="Times New Roman" w:cs="Times New Roman"/>
        </w:rPr>
        <w:t>1</w:t>
      </w:r>
      <w:r w:rsidRPr="00920E3A">
        <w:rPr>
          <w:rFonts w:ascii="Times New Roman" w:eastAsia="Times New Roman" w:hAnsi="Times New Roman" w:cs="Times New Roman"/>
          <w:sz w:val="24"/>
          <w:szCs w:val="24"/>
        </w:rPr>
        <w:t xml:space="preserve">. </w:t>
      </w:r>
      <w:r w:rsidRPr="00920E3A">
        <w:rPr>
          <w:rFonts w:ascii="Times New Roman" w:eastAsia="Times New Roman" w:hAnsi="Times New Roman" w:cs="Times New Roman"/>
          <w:sz w:val="24"/>
          <w:szCs w:val="24"/>
        </w:rPr>
        <w:tab/>
      </w:r>
      <w:r w:rsidRPr="00920E3A">
        <w:rPr>
          <w:rFonts w:eastAsia="Times New Roman" w:cs="Times New Roman"/>
        </w:rPr>
        <w:t xml:space="preserve">El SCRS llevará a cabo </w:t>
      </w:r>
      <w:r w:rsidR="00E066F4" w:rsidRPr="00920E3A">
        <w:rPr>
          <w:rFonts w:eastAsia="Times New Roman" w:cs="Times New Roman"/>
        </w:rPr>
        <w:t xml:space="preserve">evaluaciones </w:t>
      </w:r>
      <w:r w:rsidRPr="00920E3A">
        <w:rPr>
          <w:rFonts w:eastAsia="Times New Roman" w:cs="Times New Roman"/>
        </w:rPr>
        <w:t xml:space="preserve">del stock de aguja azul en </w:t>
      </w:r>
      <w:r w:rsidR="00F73627" w:rsidRPr="00920E3A">
        <w:rPr>
          <w:rFonts w:eastAsia="Times New Roman" w:cs="Times New Roman"/>
          <w:u w:val="single"/>
        </w:rPr>
        <w:t>20XX</w:t>
      </w:r>
      <w:r w:rsidR="00F73627" w:rsidRPr="00920E3A">
        <w:rPr>
          <w:rFonts w:eastAsia="Times New Roman" w:cs="Times New Roman"/>
        </w:rPr>
        <w:t xml:space="preserve"> </w:t>
      </w:r>
      <w:r w:rsidRPr="00920E3A">
        <w:rPr>
          <w:rFonts w:eastAsia="Times New Roman" w:cs="Times New Roman"/>
        </w:rPr>
        <w:t xml:space="preserve">y del stock de aguja blanca/marlín peto en </w:t>
      </w:r>
      <w:r w:rsidR="00F73627" w:rsidRPr="00920E3A">
        <w:rPr>
          <w:rFonts w:eastAsia="Times New Roman" w:cs="Times New Roman"/>
          <w:u w:val="single"/>
        </w:rPr>
        <w:t>20XX</w:t>
      </w:r>
      <w:r w:rsidRPr="00920E3A">
        <w:rPr>
          <w:rFonts w:eastAsia="Times New Roman" w:cs="Times New Roman"/>
        </w:rPr>
        <w:t xml:space="preserve">.  </w:t>
      </w:r>
    </w:p>
    <w:p w14:paraId="44BE4752" w14:textId="77777777" w:rsidR="002A17EE" w:rsidRPr="00920E3A" w:rsidRDefault="002A17EE" w:rsidP="002A17EE">
      <w:pPr>
        <w:ind w:left="360"/>
        <w:contextualSpacing/>
        <w:rPr>
          <w:rFonts w:cs="Times New Roman"/>
        </w:rPr>
      </w:pPr>
    </w:p>
    <w:p w14:paraId="5EEF58DD" w14:textId="1F30FD8A" w:rsidR="00777391" w:rsidRPr="00920E3A" w:rsidRDefault="00777391" w:rsidP="00777391">
      <w:pPr>
        <w:pBdr>
          <w:top w:val="nil"/>
          <w:left w:val="nil"/>
          <w:bottom w:val="nil"/>
          <w:right w:val="nil"/>
          <w:between w:val="nil"/>
        </w:pBdr>
        <w:tabs>
          <w:tab w:val="left" w:pos="284"/>
        </w:tabs>
        <w:ind w:left="284" w:hanging="284"/>
        <w:rPr>
          <w:color w:val="000000"/>
        </w:rPr>
      </w:pPr>
    </w:p>
    <w:p w14:paraId="357B5626" w14:textId="1716DD51" w:rsidR="00777391" w:rsidRPr="00920E3A" w:rsidRDefault="00777391" w:rsidP="00777391">
      <w:pPr>
        <w:pBdr>
          <w:top w:val="nil"/>
          <w:left w:val="nil"/>
          <w:bottom w:val="nil"/>
          <w:right w:val="nil"/>
          <w:between w:val="nil"/>
        </w:pBdr>
        <w:tabs>
          <w:tab w:val="left" w:pos="284"/>
        </w:tabs>
        <w:ind w:left="284" w:hanging="284"/>
        <w:rPr>
          <w:b/>
          <w:bCs/>
          <w:color w:val="000000"/>
        </w:rPr>
      </w:pPr>
      <w:r w:rsidRPr="00920E3A">
        <w:rPr>
          <w:b/>
          <w:bCs/>
          <w:color w:val="000000"/>
        </w:rPr>
        <w:t xml:space="preserve">Cumplimiento </w:t>
      </w:r>
    </w:p>
    <w:p w14:paraId="63351B54" w14:textId="77777777" w:rsidR="002A17EE" w:rsidRPr="00920E3A" w:rsidRDefault="002A17EE" w:rsidP="00777391">
      <w:pPr>
        <w:pBdr>
          <w:top w:val="nil"/>
          <w:left w:val="nil"/>
          <w:bottom w:val="nil"/>
          <w:right w:val="nil"/>
          <w:between w:val="nil"/>
        </w:pBdr>
        <w:tabs>
          <w:tab w:val="left" w:pos="284"/>
        </w:tabs>
        <w:ind w:left="284" w:hanging="284"/>
        <w:rPr>
          <w:b/>
          <w:bCs/>
          <w:color w:val="000000"/>
        </w:rPr>
      </w:pPr>
    </w:p>
    <w:p w14:paraId="49FF45F3" w14:textId="30E1BC14" w:rsidR="004B18CD" w:rsidRPr="00920E3A" w:rsidRDefault="00777391" w:rsidP="00955B3C">
      <w:pPr>
        <w:ind w:left="426" w:hanging="426"/>
        <w:rPr>
          <w:color w:val="000000"/>
        </w:rPr>
      </w:pPr>
      <w:r w:rsidRPr="00920E3A">
        <w:t>2</w:t>
      </w:r>
      <w:r w:rsidR="001B325B" w:rsidRPr="00920E3A">
        <w:t>2</w:t>
      </w:r>
      <w:r w:rsidR="00D97453" w:rsidRPr="00920E3A">
        <w:t>.</w:t>
      </w:r>
      <w:r w:rsidR="00F37A49" w:rsidRPr="00920E3A">
        <w:rPr>
          <w:color w:val="000000"/>
        </w:rPr>
        <w:t xml:space="preserve">  </w:t>
      </w:r>
      <w:r w:rsidR="00955B3C" w:rsidRPr="00920E3A">
        <w:rPr>
          <w:color w:val="000000"/>
        </w:rPr>
        <w:tab/>
      </w:r>
      <w:r w:rsidR="00F37A49" w:rsidRPr="00920E3A">
        <w:t xml:space="preserve">De un </w:t>
      </w:r>
      <w:r w:rsidR="00F37A49" w:rsidRPr="00920E3A">
        <w:rPr>
          <w:rFonts w:eastAsia="Times New Roman" w:cs="Times New Roman"/>
        </w:rPr>
        <w:t>modo</w:t>
      </w:r>
      <w:r w:rsidR="00F37A49" w:rsidRPr="00920E3A">
        <w:t xml:space="preserve"> coherente con la</w:t>
      </w:r>
      <w:r w:rsidR="00F37A49" w:rsidRPr="00920E3A">
        <w:rPr>
          <w:i/>
          <w:iCs/>
        </w:rPr>
        <w:t xml:space="preserve"> Recomendación de ICCAT para mejorar la revisión del cumplimiento de las medidas de conservación y ordenación relacionadas con los istiofóridos capturados en la zona del Convenio de ICCAT</w:t>
      </w:r>
      <w:r w:rsidR="00F37A49" w:rsidRPr="00920E3A">
        <w:t xml:space="preserve"> [Rec. 18-05], las CPC presentarán detalles de su implementación de esta medida a través de la legislación o regulaciones nacionales, incluyendo medidas de seguimiento, control y vigilancia, y de su cumplimiento de esta medida utilizando la hoja de comprobación de istiofóridos.</w:t>
      </w:r>
    </w:p>
    <w:p w14:paraId="612B6992" w14:textId="77777777" w:rsidR="004B18CD" w:rsidRPr="00920E3A" w:rsidRDefault="004B18CD">
      <w:pPr>
        <w:pBdr>
          <w:top w:val="nil"/>
          <w:left w:val="nil"/>
          <w:bottom w:val="nil"/>
          <w:right w:val="nil"/>
          <w:between w:val="nil"/>
        </w:pBdr>
        <w:tabs>
          <w:tab w:val="left" w:pos="426"/>
        </w:tabs>
      </w:pPr>
    </w:p>
    <w:p w14:paraId="2AA0DC8B" w14:textId="3CA6D53A" w:rsidR="002A17EE" w:rsidRPr="00920E3A" w:rsidRDefault="00F73627" w:rsidP="00F73627">
      <w:pPr>
        <w:rPr>
          <w:b/>
          <w:color w:val="000000"/>
        </w:rPr>
      </w:pPr>
      <w:r w:rsidRPr="00920E3A">
        <w:rPr>
          <w:b/>
          <w:color w:val="000000"/>
        </w:rPr>
        <w:t>R</w:t>
      </w:r>
      <w:r w:rsidR="00F37A49" w:rsidRPr="00920E3A">
        <w:rPr>
          <w:b/>
          <w:color w:val="000000"/>
        </w:rPr>
        <w:t>evocaciones</w:t>
      </w:r>
      <w:r w:rsidR="00777391" w:rsidRPr="00920E3A">
        <w:rPr>
          <w:b/>
          <w:color w:val="000000"/>
        </w:rPr>
        <w:t xml:space="preserve"> y </w:t>
      </w:r>
      <w:r w:rsidR="00D97453" w:rsidRPr="00920E3A">
        <w:rPr>
          <w:b/>
          <w:color w:val="000000"/>
        </w:rPr>
        <w:t>cláusula</w:t>
      </w:r>
      <w:r w:rsidR="00777391" w:rsidRPr="00920E3A">
        <w:rPr>
          <w:b/>
          <w:color w:val="000000"/>
        </w:rPr>
        <w:t xml:space="preserve"> de revisión </w:t>
      </w:r>
    </w:p>
    <w:p w14:paraId="2CAF265D" w14:textId="77777777" w:rsidR="002A17EE" w:rsidRPr="00920E3A" w:rsidRDefault="002A17EE" w:rsidP="002A17EE">
      <w:pPr>
        <w:ind w:right="260"/>
        <w:rPr>
          <w:rFonts w:eastAsia="Times New Roman" w:cs="Times New Roman"/>
        </w:rPr>
      </w:pPr>
    </w:p>
    <w:p w14:paraId="6EC22006" w14:textId="1702EF21" w:rsidR="002A17EE" w:rsidRPr="00920E3A" w:rsidRDefault="002A17EE" w:rsidP="002A17EE">
      <w:pPr>
        <w:ind w:left="426" w:hanging="426"/>
        <w:rPr>
          <w:rFonts w:eastAsia="Times New Roman" w:cs="Times New Roman"/>
        </w:rPr>
      </w:pPr>
      <w:r w:rsidRPr="00920E3A">
        <w:rPr>
          <w:rFonts w:eastAsia="Times New Roman" w:cs="Times New Roman"/>
        </w:rPr>
        <w:t>2</w:t>
      </w:r>
      <w:r w:rsidR="001B325B" w:rsidRPr="00920E3A">
        <w:rPr>
          <w:rFonts w:eastAsia="Times New Roman" w:cs="Times New Roman"/>
        </w:rPr>
        <w:t>3</w:t>
      </w:r>
      <w:r w:rsidRPr="00920E3A">
        <w:rPr>
          <w:rFonts w:eastAsia="Times New Roman" w:cs="Times New Roman"/>
        </w:rPr>
        <w:t>.</w:t>
      </w:r>
      <w:r w:rsidRPr="00920E3A">
        <w:rPr>
          <w:rFonts w:eastAsia="Times New Roman" w:cs="Times New Roman"/>
        </w:rPr>
        <w:tab/>
      </w:r>
      <w:r w:rsidR="002331A0" w:rsidRPr="00920E3A">
        <w:rPr>
          <w:rFonts w:eastAsia="Times New Roman" w:cs="Times New Roman"/>
          <w:u w:val="single"/>
        </w:rPr>
        <w:t>La</w:t>
      </w:r>
      <w:r w:rsidR="002331A0" w:rsidRPr="00920E3A">
        <w:rPr>
          <w:rFonts w:eastAsia="Times New Roman" w:cs="Times New Roman"/>
        </w:rPr>
        <w:t xml:space="preserve"> C</w:t>
      </w:r>
      <w:r w:rsidRPr="00920E3A">
        <w:rPr>
          <w:rFonts w:eastAsia="Times New Roman" w:cs="Times New Roman"/>
        </w:rPr>
        <w:t>omisión revisará cualquier nuevo asesoramiento científico del SCRS</w:t>
      </w:r>
      <w:r w:rsidR="002331A0" w:rsidRPr="00920E3A">
        <w:rPr>
          <w:rFonts w:eastAsia="Times New Roman" w:cs="Times New Roman"/>
        </w:rPr>
        <w:t xml:space="preserve">, </w:t>
      </w:r>
      <w:r w:rsidR="002331A0" w:rsidRPr="00920E3A">
        <w:rPr>
          <w:rFonts w:eastAsia="Times New Roman" w:cs="Times New Roman"/>
          <w:u w:val="single"/>
        </w:rPr>
        <w:t>cuando esté disponible,</w:t>
      </w:r>
      <w:r w:rsidR="002331A0" w:rsidRPr="00920E3A">
        <w:rPr>
          <w:rFonts w:eastAsia="Times New Roman" w:cs="Times New Roman"/>
        </w:rPr>
        <w:t xml:space="preserve"> </w:t>
      </w:r>
      <w:r w:rsidRPr="00920E3A">
        <w:rPr>
          <w:rFonts w:eastAsia="Times New Roman" w:cs="Times New Roman"/>
        </w:rPr>
        <w:t xml:space="preserve">y considerará realizar ajustes, como la adopción de medidas de conservación y ordenación adicionales o la revisión de los límites de desembarque, según proceda. </w:t>
      </w:r>
    </w:p>
    <w:p w14:paraId="783989EC" w14:textId="77777777" w:rsidR="004B18CD" w:rsidRPr="00920E3A" w:rsidRDefault="004B18CD">
      <w:pPr>
        <w:pBdr>
          <w:top w:val="nil"/>
          <w:left w:val="nil"/>
          <w:bottom w:val="nil"/>
          <w:right w:val="nil"/>
          <w:between w:val="nil"/>
        </w:pBdr>
        <w:ind w:right="260"/>
        <w:rPr>
          <w:color w:val="000000"/>
        </w:rPr>
      </w:pPr>
    </w:p>
    <w:p w14:paraId="30585538" w14:textId="476C2869" w:rsidR="00D97B35" w:rsidRPr="00920E3A" w:rsidRDefault="00777391" w:rsidP="00D97B35">
      <w:pPr>
        <w:ind w:left="426" w:hanging="426"/>
        <w:rPr>
          <w:rFonts w:eastAsia="Times New Roman" w:cs="Times New Roman"/>
          <w:u w:val="single"/>
          <w:lang w:eastAsia="en-GB"/>
        </w:rPr>
      </w:pPr>
      <w:r w:rsidRPr="00920E3A">
        <w:t>2</w:t>
      </w:r>
      <w:r w:rsidR="001B325B" w:rsidRPr="00920E3A">
        <w:t>4</w:t>
      </w:r>
      <w:r w:rsidR="00D97453" w:rsidRPr="00920E3A">
        <w:t>.</w:t>
      </w:r>
      <w:r w:rsidR="00F37A49" w:rsidRPr="00920E3A">
        <w:rPr>
          <w:color w:val="000000"/>
        </w:rPr>
        <w:t xml:space="preserve">  </w:t>
      </w:r>
      <w:r w:rsidR="00955B3C" w:rsidRPr="00920E3A">
        <w:rPr>
          <w:color w:val="000000"/>
        </w:rPr>
        <w:tab/>
      </w:r>
      <w:r w:rsidR="00D97B35" w:rsidRPr="00920E3A">
        <w:rPr>
          <w:rFonts w:eastAsia="Times New Roman" w:cs="Times New Roman"/>
          <w:lang w:eastAsia="en-GB"/>
        </w:rPr>
        <w:t xml:space="preserve">Esta </w:t>
      </w:r>
      <w:r w:rsidR="00D97B35" w:rsidRPr="00920E3A">
        <w:rPr>
          <w:rFonts w:eastAsia="Times New Roman" w:cs="Times New Roman"/>
        </w:rPr>
        <w:t>Recomendación</w:t>
      </w:r>
      <w:r w:rsidR="00D97B35" w:rsidRPr="00920E3A">
        <w:rPr>
          <w:rFonts w:eastAsia="Times New Roman" w:cs="Times New Roman"/>
          <w:lang w:eastAsia="en-GB"/>
        </w:rPr>
        <w:t xml:space="preserve"> revoca la</w:t>
      </w:r>
      <w:r w:rsidR="00D97B35" w:rsidRPr="00920E3A">
        <w:rPr>
          <w:rFonts w:eastAsia="Times New Roman" w:cs="Times New Roman"/>
          <w:i/>
          <w:iCs/>
          <w:lang w:eastAsia="en-GB"/>
        </w:rPr>
        <w:t xml:space="preserve"> </w:t>
      </w:r>
      <w:r w:rsidR="00461719" w:rsidRPr="00920E3A">
        <w:rPr>
          <w:rFonts w:eastAsia="Times New Roman" w:cs="Times New Roman"/>
          <w:i/>
          <w:iCs/>
          <w:lang w:eastAsia="en-GB"/>
        </w:rPr>
        <w:t>R</w:t>
      </w:r>
      <w:r w:rsidR="00D97B35" w:rsidRPr="00920E3A">
        <w:rPr>
          <w:rFonts w:eastAsia="Times New Roman" w:cs="Times New Roman"/>
          <w:u w:val="single"/>
          <w:lang w:eastAsia="en-GB"/>
        </w:rPr>
        <w:t>ec</w:t>
      </w:r>
      <w:r w:rsidR="00461719" w:rsidRPr="00920E3A">
        <w:rPr>
          <w:rFonts w:eastAsia="Times New Roman" w:cs="Times New Roman"/>
          <w:u w:val="single"/>
          <w:lang w:eastAsia="en-GB"/>
        </w:rPr>
        <w:t>omendación</w:t>
      </w:r>
      <w:r w:rsidR="00D97B35" w:rsidRPr="00920E3A">
        <w:rPr>
          <w:rFonts w:eastAsia="Times New Roman" w:cs="Times New Roman"/>
          <w:u w:val="single"/>
          <w:lang w:eastAsia="en-GB"/>
        </w:rPr>
        <w:t xml:space="preserve"> 19-05 y la </w:t>
      </w:r>
      <w:r w:rsidR="00D97B35" w:rsidRPr="00920E3A">
        <w:rPr>
          <w:rFonts w:eastAsia="Times New Roman" w:cs="Times New Roman"/>
          <w:i/>
          <w:iCs/>
          <w:u w:val="single"/>
          <w:lang w:eastAsia="en-GB"/>
        </w:rPr>
        <w:t>Recomendación de ICCAT para establecer medidas provisionales para las CPC costeras en desarrollo de ICCAT ante circunstancias atenuantes en relación con la Recomendación 19-05</w:t>
      </w:r>
      <w:r w:rsidR="00D97B35" w:rsidRPr="00920E3A">
        <w:rPr>
          <w:rFonts w:eastAsia="Times New Roman" w:cs="Times New Roman"/>
          <w:u w:val="single"/>
          <w:lang w:eastAsia="en-GB"/>
        </w:rPr>
        <w:t xml:space="preserve"> (Rec. 25-06) y</w:t>
      </w:r>
      <w:r w:rsidR="00D97B35" w:rsidRPr="00920E3A">
        <w:rPr>
          <w:rFonts w:eastAsia="Times New Roman" w:cs="Times New Roman"/>
          <w:lang w:eastAsia="en-GB"/>
        </w:rPr>
        <w:t xml:space="preserve"> las sustituye.</w:t>
      </w:r>
    </w:p>
    <w:p w14:paraId="223C3CBA" w14:textId="47CA063B" w:rsidR="002A17EE" w:rsidRPr="00920E3A" w:rsidRDefault="002A17EE" w:rsidP="00D97B35">
      <w:pPr>
        <w:ind w:left="426" w:hanging="426"/>
      </w:pPr>
      <w:r w:rsidRPr="00920E3A">
        <w:br w:type="page"/>
      </w:r>
    </w:p>
    <w:p w14:paraId="3173BA50" w14:textId="5AA9953F" w:rsidR="002A17EE" w:rsidRPr="00920E3A" w:rsidRDefault="00807F4E" w:rsidP="00E066F4">
      <w:pPr>
        <w:spacing w:line="242" w:lineRule="auto"/>
        <w:ind w:right="129"/>
        <w:jc w:val="right"/>
        <w:rPr>
          <w:rFonts w:eastAsia="Times New Roman" w:cs="Times New Roman"/>
          <w:b/>
        </w:rPr>
      </w:pPr>
      <w:r w:rsidRPr="00920E3A">
        <w:rPr>
          <w:rFonts w:eastAsia="Times New Roman" w:cs="Times New Roman"/>
          <w:b/>
        </w:rPr>
        <w:lastRenderedPageBreak/>
        <w:t>Apéndice</w:t>
      </w:r>
      <w:r w:rsidR="00B35920" w:rsidRPr="00920E3A">
        <w:rPr>
          <w:rFonts w:eastAsia="Times New Roman" w:cs="Times New Roman"/>
          <w:b/>
        </w:rPr>
        <w:t xml:space="preserve"> </w:t>
      </w:r>
      <w:r w:rsidR="002A17EE" w:rsidRPr="00920E3A">
        <w:rPr>
          <w:rFonts w:eastAsia="Times New Roman" w:cs="Times New Roman"/>
          <w:b/>
        </w:rPr>
        <w:t>1</w:t>
      </w:r>
    </w:p>
    <w:p w14:paraId="3FBF5C04" w14:textId="77777777" w:rsidR="002A17EE" w:rsidRPr="00920E3A" w:rsidRDefault="002A17EE" w:rsidP="002A17EE">
      <w:pPr>
        <w:spacing w:line="242" w:lineRule="auto"/>
        <w:ind w:right="129"/>
        <w:rPr>
          <w:rFonts w:eastAsia="Times New Roman" w:cs="Times New Roman"/>
        </w:rPr>
      </w:pPr>
    </w:p>
    <w:p w14:paraId="2B39CDD6" w14:textId="77777777" w:rsidR="002A17EE" w:rsidRPr="00920E3A" w:rsidRDefault="002A17EE" w:rsidP="002A17EE">
      <w:pPr>
        <w:spacing w:line="242" w:lineRule="auto"/>
        <w:ind w:right="129"/>
        <w:jc w:val="center"/>
        <w:rPr>
          <w:rFonts w:eastAsia="Times New Roman" w:cs="Times New Roman"/>
          <w:b/>
          <w:bCs/>
        </w:rPr>
      </w:pPr>
      <w:r w:rsidRPr="00920E3A">
        <w:rPr>
          <w:rFonts w:eastAsia="Times New Roman" w:cs="Times New Roman"/>
          <w:b/>
          <w:bCs/>
        </w:rPr>
        <w:t xml:space="preserve">Normas mínimas para procedimientos de manipulación y liberación </w:t>
      </w:r>
    </w:p>
    <w:p w14:paraId="639A500D" w14:textId="77777777" w:rsidR="002A17EE" w:rsidRPr="00920E3A" w:rsidRDefault="002A17EE" w:rsidP="002A17EE">
      <w:pPr>
        <w:spacing w:line="242" w:lineRule="auto"/>
        <w:ind w:right="129"/>
        <w:jc w:val="center"/>
        <w:rPr>
          <w:rFonts w:eastAsia="Times New Roman" w:cs="Times New Roman"/>
          <w:b/>
          <w:bCs/>
        </w:rPr>
      </w:pPr>
      <w:r w:rsidRPr="00920E3A">
        <w:rPr>
          <w:rFonts w:eastAsia="Times New Roman" w:cs="Times New Roman"/>
          <w:b/>
          <w:bCs/>
        </w:rPr>
        <w:t>seguras de ejemplares vivos</w:t>
      </w:r>
      <w:r w:rsidRPr="00920E3A">
        <w:rPr>
          <w:rFonts w:eastAsia="Times New Roman" w:cs="Times New Roman"/>
          <w:b/>
          <w:bCs/>
          <w:vertAlign w:val="superscript"/>
        </w:rPr>
        <w:footnoteReference w:id="3"/>
      </w:r>
    </w:p>
    <w:p w14:paraId="31FDDD3D" w14:textId="77777777" w:rsidR="002A17EE" w:rsidRPr="00920E3A" w:rsidRDefault="002A17EE" w:rsidP="002A17EE">
      <w:pPr>
        <w:spacing w:line="242" w:lineRule="auto"/>
        <w:ind w:right="129"/>
        <w:rPr>
          <w:rFonts w:eastAsia="Times New Roman" w:cs="Times New Roman"/>
        </w:rPr>
      </w:pPr>
    </w:p>
    <w:p w14:paraId="731D30D1" w14:textId="3E51CB8C" w:rsidR="002A17EE" w:rsidRPr="00920E3A" w:rsidRDefault="002A17EE" w:rsidP="002A17EE">
      <w:pPr>
        <w:spacing w:line="242" w:lineRule="auto"/>
        <w:ind w:right="129"/>
        <w:rPr>
          <w:rFonts w:eastAsia="Times New Roman" w:cs="Times New Roman"/>
        </w:rPr>
      </w:pPr>
      <w:r w:rsidRPr="00920E3A">
        <w:rPr>
          <w:rFonts w:eastAsia="Times New Roman" w:cs="Times New Roman"/>
        </w:rPr>
        <w:t xml:space="preserve">Para reducir el estrés y los daños a los ejemplares de marlines y marlín peto capturados de forma incidental deberían seguirse los siguientes pasos para lograr la máxima probabilidad de supervivencia a la vez que se minimiza el riesgo de la seguridad de la tripulación. Los patrones y la tripulación deberán poner siempre su seguridad personal </w:t>
      </w:r>
      <w:r w:rsidR="001757FB" w:rsidRPr="00920E3A">
        <w:rPr>
          <w:rFonts w:eastAsia="Times New Roman" w:cs="Times New Roman"/>
        </w:rPr>
        <w:t xml:space="preserve">en primer lugar </w:t>
      </w:r>
      <w:r w:rsidRPr="00920E3A">
        <w:rPr>
          <w:rFonts w:eastAsia="Times New Roman" w:cs="Times New Roman"/>
        </w:rPr>
        <w:t>al liberar marlines y otros peces grandes. Deben llevar guantes y evitar trabajar alrededor del pico con forma de espada. Estas directrices básicas no sustituyen a otras normas de seguridad más estrictas establecidas por las autoridades nacionales de las CPC.</w:t>
      </w:r>
    </w:p>
    <w:p w14:paraId="41E6C2F4" w14:textId="77777777" w:rsidR="002A17EE" w:rsidRPr="00920E3A" w:rsidRDefault="002A17EE" w:rsidP="002A17EE">
      <w:pPr>
        <w:spacing w:line="242" w:lineRule="auto"/>
        <w:ind w:right="129"/>
        <w:rPr>
          <w:rFonts w:eastAsia="Times New Roman" w:cs="Times New Roman"/>
        </w:rPr>
      </w:pPr>
    </w:p>
    <w:p w14:paraId="4CD1DC63" w14:textId="5DDCCAAC" w:rsidR="002A17EE" w:rsidRPr="00920E3A" w:rsidRDefault="002A17EE" w:rsidP="002A17EE">
      <w:pPr>
        <w:numPr>
          <w:ilvl w:val="0"/>
          <w:numId w:val="5"/>
        </w:numPr>
        <w:spacing w:after="80"/>
        <w:ind w:left="426" w:right="130"/>
        <w:jc w:val="left"/>
        <w:rPr>
          <w:rFonts w:eastAsia="Times New Roman" w:cs="Times New Roman"/>
        </w:rPr>
      </w:pPr>
      <w:r w:rsidRPr="00920E3A">
        <w:rPr>
          <w:rFonts w:eastAsia="Times New Roman" w:cs="Times New Roman"/>
        </w:rPr>
        <w:t>Detener el buque o reducir en gran medida su velocidad.</w:t>
      </w:r>
    </w:p>
    <w:p w14:paraId="2A00A253" w14:textId="7F9F7D33" w:rsidR="002A17EE" w:rsidRPr="00920E3A" w:rsidRDefault="00092D25" w:rsidP="00FD2F97">
      <w:pPr>
        <w:numPr>
          <w:ilvl w:val="0"/>
          <w:numId w:val="5"/>
        </w:numPr>
        <w:spacing w:after="80"/>
        <w:ind w:left="426" w:right="130"/>
        <w:rPr>
          <w:rFonts w:eastAsia="Times New Roman" w:cs="Times New Roman"/>
        </w:rPr>
      </w:pPr>
      <w:r w:rsidRPr="00920E3A">
        <w:rPr>
          <w:rFonts w:eastAsia="Times New Roman" w:cs="Times New Roman"/>
        </w:rPr>
        <w:t>Sujetar firmemente</w:t>
      </w:r>
      <w:r w:rsidR="002A17EE" w:rsidRPr="00920E3A">
        <w:rPr>
          <w:rFonts w:eastAsia="Times New Roman" w:cs="Times New Roman"/>
        </w:rPr>
        <w:t xml:space="preserve"> el lado alejado de la línea principal del palangre al buque para evitar que cualquier parte del arte que quede en el agua tire de la línea y del animal.</w:t>
      </w:r>
    </w:p>
    <w:p w14:paraId="75601441" w14:textId="32B81B7B"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Traer el marlín lo más cerca posible del buque sin poner demasiada tensión en la brazolada para evitar que un anzuelo suelto o </w:t>
      </w:r>
      <w:r w:rsidR="001639D6" w:rsidRPr="00920E3A">
        <w:rPr>
          <w:rFonts w:eastAsia="Times New Roman" w:cs="Times New Roman"/>
        </w:rPr>
        <w:t xml:space="preserve">la </w:t>
      </w:r>
      <w:r w:rsidRPr="00920E3A">
        <w:rPr>
          <w:rFonts w:eastAsia="Times New Roman" w:cs="Times New Roman"/>
        </w:rPr>
        <w:t>brazolada</w:t>
      </w:r>
      <w:r w:rsidR="001757FB" w:rsidRPr="00920E3A">
        <w:rPr>
          <w:rFonts w:eastAsia="Times New Roman" w:cs="Times New Roman"/>
        </w:rPr>
        <w:t xml:space="preserve"> rota</w:t>
      </w:r>
      <w:r w:rsidRPr="00920E3A">
        <w:rPr>
          <w:rFonts w:eastAsia="Times New Roman" w:cs="Times New Roman"/>
        </w:rPr>
        <w:t xml:space="preserve"> pueda lanzar los anzuelos, los pesos u otras partes hacia el buque a gran velocidad. </w:t>
      </w:r>
    </w:p>
    <w:p w14:paraId="01F5F41C" w14:textId="7698C103" w:rsidR="002A17EE" w:rsidRPr="00920E3A" w:rsidRDefault="002A17EE" w:rsidP="002A17EE">
      <w:pPr>
        <w:numPr>
          <w:ilvl w:val="0"/>
          <w:numId w:val="5"/>
        </w:numPr>
        <w:spacing w:after="80"/>
        <w:ind w:left="426" w:right="130"/>
        <w:jc w:val="left"/>
        <w:rPr>
          <w:rFonts w:eastAsia="Times New Roman" w:cs="Times New Roman"/>
        </w:rPr>
      </w:pPr>
      <w:r w:rsidRPr="00920E3A">
        <w:rPr>
          <w:rFonts w:eastAsia="Times New Roman" w:cs="Times New Roman"/>
        </w:rPr>
        <w:t xml:space="preserve">No sacar al marlín vivo del agua </w:t>
      </w:r>
      <w:r w:rsidR="001757FB" w:rsidRPr="00920E3A">
        <w:rPr>
          <w:rFonts w:eastAsia="Times New Roman" w:cs="Times New Roman"/>
        </w:rPr>
        <w:t xml:space="preserve">cuando se acerca al costado del buque </w:t>
      </w:r>
      <w:r w:rsidRPr="00920E3A">
        <w:rPr>
          <w:rFonts w:eastAsia="Times New Roman" w:cs="Times New Roman"/>
        </w:rPr>
        <w:t>mientras se retira el anzuelo con seguridad.</w:t>
      </w:r>
    </w:p>
    <w:p w14:paraId="53A27843" w14:textId="77777777" w:rsidR="002A17EE" w:rsidRPr="00920E3A" w:rsidRDefault="002A17EE" w:rsidP="002A17EE">
      <w:pPr>
        <w:numPr>
          <w:ilvl w:val="0"/>
          <w:numId w:val="5"/>
        </w:numPr>
        <w:spacing w:after="80"/>
        <w:ind w:left="426" w:right="130"/>
        <w:jc w:val="left"/>
        <w:rPr>
          <w:rFonts w:eastAsia="Times New Roman" w:cs="Times New Roman"/>
        </w:rPr>
      </w:pPr>
      <w:r w:rsidRPr="00920E3A">
        <w:rPr>
          <w:rFonts w:eastAsia="Times New Roman" w:cs="Times New Roman"/>
        </w:rPr>
        <w:t>Limitar el número de manipulaciones.</w:t>
      </w:r>
    </w:p>
    <w:p w14:paraId="1AEC94FC" w14:textId="77777777" w:rsidR="002A17EE" w:rsidRPr="00920E3A" w:rsidRDefault="002A17EE" w:rsidP="002A17EE">
      <w:pPr>
        <w:numPr>
          <w:ilvl w:val="0"/>
          <w:numId w:val="5"/>
        </w:numPr>
        <w:spacing w:after="80"/>
        <w:ind w:left="426" w:right="130"/>
        <w:jc w:val="left"/>
        <w:rPr>
          <w:rFonts w:eastAsia="Times New Roman" w:cs="Times New Roman"/>
        </w:rPr>
      </w:pPr>
      <w:r w:rsidRPr="00920E3A">
        <w:rPr>
          <w:rFonts w:eastAsia="Times New Roman" w:cs="Times New Roman"/>
        </w:rPr>
        <w:t xml:space="preserve">No enganchar al pez en el cuerpo. </w:t>
      </w:r>
    </w:p>
    <w:p w14:paraId="011C4E95" w14:textId="7F6BA868" w:rsidR="002A17EE" w:rsidRPr="00920E3A" w:rsidRDefault="002A17EE" w:rsidP="002A17EE">
      <w:pPr>
        <w:numPr>
          <w:ilvl w:val="0"/>
          <w:numId w:val="5"/>
        </w:numPr>
        <w:spacing w:after="80"/>
        <w:ind w:left="426" w:right="130"/>
        <w:jc w:val="left"/>
        <w:rPr>
          <w:rFonts w:eastAsia="Times New Roman" w:cs="Times New Roman"/>
        </w:rPr>
      </w:pPr>
      <w:r w:rsidRPr="00920E3A">
        <w:rPr>
          <w:rFonts w:eastAsia="Times New Roman" w:cs="Times New Roman"/>
        </w:rPr>
        <w:t>Si es posible, evitar coger al marlín por el cuerpo y</w:t>
      </w:r>
      <w:r w:rsidR="001757FB" w:rsidRPr="00920E3A">
        <w:rPr>
          <w:rFonts w:eastAsia="Times New Roman" w:cs="Times New Roman"/>
        </w:rPr>
        <w:t xml:space="preserve"> utilizar</w:t>
      </w:r>
      <w:r w:rsidRPr="00920E3A">
        <w:rPr>
          <w:rFonts w:eastAsia="Times New Roman" w:cs="Times New Roman"/>
        </w:rPr>
        <w:t xml:space="preserve"> guante</w:t>
      </w:r>
      <w:r w:rsidR="001757FB" w:rsidRPr="00920E3A">
        <w:rPr>
          <w:rFonts w:eastAsia="Times New Roman" w:cs="Times New Roman"/>
        </w:rPr>
        <w:t xml:space="preserve">s para agarrarlo </w:t>
      </w:r>
      <w:r w:rsidR="00092D25" w:rsidRPr="00920E3A">
        <w:rPr>
          <w:rFonts w:eastAsia="Times New Roman" w:cs="Times New Roman"/>
        </w:rPr>
        <w:t>del</w:t>
      </w:r>
      <w:r w:rsidRPr="00920E3A">
        <w:rPr>
          <w:rFonts w:eastAsia="Times New Roman" w:cs="Times New Roman"/>
        </w:rPr>
        <w:t xml:space="preserve"> hocico.</w:t>
      </w:r>
    </w:p>
    <w:p w14:paraId="35FF6519" w14:textId="77777777"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En caso de que el anzuelo sea visible, mover ligeramente la brazolada para intentar desenganchar el anzuelo.  </w:t>
      </w:r>
    </w:p>
    <w:p w14:paraId="21D6480D" w14:textId="49535074"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Cuando sea posible, montar un dispositivo de medición para que el pez pueda ser medido aproximadamente en el agua (por ejemplo, </w:t>
      </w:r>
      <w:r w:rsidR="001757FB" w:rsidRPr="00920E3A">
        <w:rPr>
          <w:rFonts w:eastAsia="Times New Roman" w:cs="Times New Roman"/>
        </w:rPr>
        <w:t>marcar</w:t>
      </w:r>
      <w:r w:rsidRPr="00920E3A">
        <w:rPr>
          <w:rFonts w:eastAsia="Times New Roman" w:cs="Times New Roman"/>
        </w:rPr>
        <w:t xml:space="preserve"> un poste, cable y un flotador, marcar la regala del buque con marcas de medición).</w:t>
      </w:r>
    </w:p>
    <w:p w14:paraId="3496E31B" w14:textId="65A4B1AB"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Si el marlín se </w:t>
      </w:r>
      <w:r w:rsidR="00092D25" w:rsidRPr="00920E3A">
        <w:rPr>
          <w:rFonts w:eastAsia="Times New Roman" w:cs="Times New Roman"/>
        </w:rPr>
        <w:t>retuerce y gira vigorosamente sobre sí mismo de tal modo que</w:t>
      </w:r>
      <w:r w:rsidRPr="00920E3A">
        <w:rPr>
          <w:rFonts w:eastAsia="Times New Roman" w:cs="Times New Roman"/>
        </w:rPr>
        <w:t xml:space="preserve"> </w:t>
      </w:r>
      <w:r w:rsidR="008F2496" w:rsidRPr="00920E3A">
        <w:rPr>
          <w:rFonts w:eastAsia="Times New Roman" w:cs="Times New Roman"/>
        </w:rPr>
        <w:t>resulte</w:t>
      </w:r>
      <w:r w:rsidRPr="00920E3A">
        <w:rPr>
          <w:rFonts w:eastAsia="Times New Roman" w:cs="Times New Roman"/>
        </w:rPr>
        <w:t xml:space="preserve"> peligroso utilizar un desanzuelador/extractor de anzuelos o el marlín se ha tragado el anzuelo y</w:t>
      </w:r>
      <w:r w:rsidR="001757FB" w:rsidRPr="00920E3A">
        <w:rPr>
          <w:rFonts w:eastAsia="Times New Roman" w:cs="Times New Roman"/>
        </w:rPr>
        <w:t xml:space="preserve"> este</w:t>
      </w:r>
      <w:r w:rsidRPr="00920E3A">
        <w:rPr>
          <w:rFonts w:eastAsia="Times New Roman" w:cs="Times New Roman"/>
        </w:rPr>
        <w:t xml:space="preserve"> no se ve, utilizar un cortador de línea con un mango largo y cortar el cable/línea lo más cerca posible del pez que pueda hacerse con seguridad de forma que no cuelgue gran cantidad de línea que pueda reducir la supervivencia posterior a la liberación.</w:t>
      </w:r>
    </w:p>
    <w:p w14:paraId="1B93481F" w14:textId="50E5CC0E"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Ayudar al pez a </w:t>
      </w:r>
      <w:r w:rsidR="001757FB" w:rsidRPr="00920E3A">
        <w:rPr>
          <w:rFonts w:eastAsia="Times New Roman" w:cs="Times New Roman"/>
        </w:rPr>
        <w:t>re</w:t>
      </w:r>
      <w:r w:rsidR="001A5D63" w:rsidRPr="00920E3A">
        <w:rPr>
          <w:rFonts w:eastAsia="Times New Roman" w:cs="Times New Roman"/>
        </w:rPr>
        <w:t>vivir</w:t>
      </w:r>
      <w:r w:rsidRPr="00920E3A">
        <w:rPr>
          <w:rFonts w:eastAsia="Times New Roman" w:cs="Times New Roman"/>
        </w:rPr>
        <w:t xml:space="preserve"> remolcándolo lentamente </w:t>
      </w:r>
      <w:r w:rsidR="00092D25" w:rsidRPr="00920E3A">
        <w:rPr>
          <w:rFonts w:eastAsia="Times New Roman" w:cs="Times New Roman"/>
        </w:rPr>
        <w:t>en el</w:t>
      </w:r>
      <w:r w:rsidRPr="00920E3A">
        <w:rPr>
          <w:rFonts w:eastAsia="Times New Roman" w:cs="Times New Roman"/>
        </w:rPr>
        <w:t xml:space="preserve"> agua hasta que recupere su color o energía (5 minutos o más). Las especies altamente migratorias </w:t>
      </w:r>
      <w:r w:rsidR="00092D25" w:rsidRPr="00920E3A">
        <w:rPr>
          <w:rFonts w:eastAsia="Times New Roman" w:cs="Times New Roman"/>
        </w:rPr>
        <w:t>necesitan</w:t>
      </w:r>
      <w:r w:rsidRPr="00920E3A">
        <w:rPr>
          <w:rFonts w:eastAsia="Times New Roman" w:cs="Times New Roman"/>
        </w:rPr>
        <w:t xml:space="preserve"> </w:t>
      </w:r>
      <w:r w:rsidR="00092D25" w:rsidRPr="00920E3A">
        <w:rPr>
          <w:rFonts w:eastAsia="Times New Roman" w:cs="Times New Roman"/>
        </w:rPr>
        <w:t>que el</w:t>
      </w:r>
      <w:r w:rsidRPr="00920E3A">
        <w:rPr>
          <w:rFonts w:eastAsia="Times New Roman" w:cs="Times New Roman"/>
        </w:rPr>
        <w:t xml:space="preserve"> agua </w:t>
      </w:r>
      <w:r w:rsidR="00092D25" w:rsidRPr="00920E3A">
        <w:rPr>
          <w:rFonts w:eastAsia="Times New Roman" w:cs="Times New Roman"/>
        </w:rPr>
        <w:t xml:space="preserve">siga </w:t>
      </w:r>
      <w:r w:rsidRPr="00920E3A">
        <w:rPr>
          <w:rFonts w:eastAsia="Times New Roman" w:cs="Times New Roman"/>
        </w:rPr>
        <w:t xml:space="preserve">atravesando sus agallas para respirar. Con el buque en marcha, moverse lentamente hacia delante manteniendo la cabeza del pez en el agua.  </w:t>
      </w:r>
    </w:p>
    <w:p w14:paraId="7C428169" w14:textId="77777777"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Si está enganchado al anzuelo y el anzuelo puede verse en el cuerpo o en la boca, utilizar un cortador de pernos para quitar la barba del anzuelo y, a continuación, extraer el anzuelo.</w:t>
      </w:r>
    </w:p>
    <w:p w14:paraId="1E6B832C" w14:textId="6C76C28E"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 xml:space="preserve">No </w:t>
      </w:r>
      <w:r w:rsidR="001A5D63" w:rsidRPr="00920E3A">
        <w:rPr>
          <w:rFonts w:eastAsia="Times New Roman" w:cs="Times New Roman"/>
        </w:rPr>
        <w:t>enrollar</w:t>
      </w:r>
      <w:r w:rsidRPr="00920E3A">
        <w:rPr>
          <w:rFonts w:eastAsia="Times New Roman" w:cs="Times New Roman"/>
        </w:rPr>
        <w:t xml:space="preserve"> los dedos, manos o brazos en la línea al subir un marlín al </w:t>
      </w:r>
      <w:r w:rsidR="00955B3C" w:rsidRPr="00920E3A">
        <w:rPr>
          <w:rFonts w:eastAsia="Times New Roman" w:cs="Times New Roman"/>
        </w:rPr>
        <w:t>buque, para</w:t>
      </w:r>
      <w:r w:rsidR="001A5D63" w:rsidRPr="00920E3A">
        <w:rPr>
          <w:rFonts w:eastAsia="Times New Roman" w:cs="Times New Roman"/>
        </w:rPr>
        <w:t xml:space="preserve"> no</w:t>
      </w:r>
      <w:r w:rsidRPr="00920E3A">
        <w:rPr>
          <w:rFonts w:eastAsia="Times New Roman" w:cs="Times New Roman"/>
        </w:rPr>
        <w:t xml:space="preserve"> verse empujado por la borda.</w:t>
      </w:r>
    </w:p>
    <w:p w14:paraId="1D93E35D" w14:textId="77777777" w:rsidR="002A17EE" w:rsidRPr="00920E3A" w:rsidRDefault="002A17EE" w:rsidP="00092D25">
      <w:pPr>
        <w:numPr>
          <w:ilvl w:val="0"/>
          <w:numId w:val="5"/>
        </w:numPr>
        <w:spacing w:after="80"/>
        <w:ind w:left="426" w:right="130"/>
        <w:rPr>
          <w:rFonts w:eastAsia="Times New Roman" w:cs="Times New Roman"/>
        </w:rPr>
      </w:pPr>
      <w:r w:rsidRPr="00920E3A">
        <w:rPr>
          <w:rFonts w:eastAsia="Times New Roman" w:cs="Times New Roman"/>
        </w:rPr>
        <w:t>No levantarlo utilizando la brazolada, especialmente si está enganchado al anzuelo.</w:t>
      </w:r>
    </w:p>
    <w:p w14:paraId="4834E709" w14:textId="4A81052F" w:rsidR="004B18CD" w:rsidRPr="00920E3A" w:rsidRDefault="00FD2F97" w:rsidP="00016D5C">
      <w:pPr>
        <w:numPr>
          <w:ilvl w:val="0"/>
          <w:numId w:val="5"/>
        </w:numPr>
        <w:pBdr>
          <w:top w:val="nil"/>
          <w:left w:val="nil"/>
          <w:bottom w:val="nil"/>
          <w:right w:val="nil"/>
          <w:between w:val="nil"/>
        </w:pBdr>
        <w:spacing w:after="80" w:line="242" w:lineRule="auto"/>
        <w:ind w:left="284" w:right="260" w:hanging="284"/>
        <w:jc w:val="left"/>
        <w:rPr>
          <w:color w:val="000000"/>
        </w:rPr>
      </w:pPr>
      <w:r w:rsidRPr="00920E3A">
        <w:rPr>
          <w:rFonts w:eastAsia="Times New Roman" w:cs="Times New Roman"/>
        </w:rPr>
        <w:t xml:space="preserve">   </w:t>
      </w:r>
      <w:r w:rsidR="002A17EE" w:rsidRPr="00920E3A">
        <w:rPr>
          <w:rFonts w:eastAsia="Times New Roman" w:cs="Times New Roman"/>
        </w:rPr>
        <w:t xml:space="preserve">No levantarlo </w:t>
      </w:r>
      <w:r w:rsidRPr="00920E3A">
        <w:rPr>
          <w:rFonts w:eastAsia="Times New Roman" w:cs="Times New Roman"/>
        </w:rPr>
        <w:t>utilizando</w:t>
      </w:r>
      <w:r w:rsidR="002A17EE" w:rsidRPr="00920E3A">
        <w:rPr>
          <w:rFonts w:eastAsia="Times New Roman" w:cs="Times New Roman"/>
        </w:rPr>
        <w:t xml:space="preserve"> cables o alambres finos o solo por la cola.</w:t>
      </w:r>
    </w:p>
    <w:p w14:paraId="3FEDA26B" w14:textId="77777777" w:rsidR="004B18CD" w:rsidRPr="003D6C38" w:rsidRDefault="004B18CD">
      <w:pPr>
        <w:pBdr>
          <w:top w:val="nil"/>
          <w:left w:val="nil"/>
          <w:bottom w:val="nil"/>
          <w:right w:val="nil"/>
          <w:between w:val="nil"/>
        </w:pBdr>
        <w:ind w:right="260"/>
        <w:rPr>
          <w:color w:val="000000"/>
        </w:rPr>
      </w:pPr>
    </w:p>
    <w:sectPr w:rsidR="004B18CD" w:rsidRPr="003D6C38">
      <w:headerReference w:type="even" r:id="rId8"/>
      <w:headerReference w:type="default" r:id="rId9"/>
      <w:footerReference w:type="even" r:id="rId10"/>
      <w:footerReference w:type="default" r:id="rId11"/>
      <w:headerReference w:type="first" r:id="rId12"/>
      <w:footerReference w:type="first" r:id="rId13"/>
      <w:pgSz w:w="11907" w:h="16840"/>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493ED" w14:textId="77777777" w:rsidR="00543BAC" w:rsidRDefault="00543BAC">
      <w:r>
        <w:separator/>
      </w:r>
    </w:p>
  </w:endnote>
  <w:endnote w:type="continuationSeparator" w:id="0">
    <w:p w14:paraId="48B55E57" w14:textId="77777777" w:rsidR="00543BAC" w:rsidRDefault="0054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07C5"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B20C" w14:textId="686275A4" w:rsidR="004B18CD" w:rsidRPr="00BB3E83" w:rsidRDefault="00920E3A" w:rsidP="00BB3E83">
    <w:pPr>
      <w:tabs>
        <w:tab w:val="center" w:pos="4535"/>
        <w:tab w:val="center" w:pos="4680"/>
        <w:tab w:val="left" w:pos="6150"/>
        <w:tab w:val="right" w:pos="9360"/>
      </w:tabs>
      <w:jc w:val="center"/>
      <w:rPr>
        <w:rFonts w:eastAsia="Calibri" w:cs="Calibri"/>
        <w:szCs w:val="22"/>
      </w:rPr>
    </w:pPr>
    <w:r w:rsidRPr="0067469F">
      <w:rPr>
        <w:rFonts w:eastAsia="Calibri" w:cs="Calibri"/>
      </w:rPr>
      <w:fldChar w:fldCharType="begin"/>
    </w:r>
    <w:r w:rsidRPr="0067469F">
      <w:rPr>
        <w:rFonts w:eastAsia="Calibri" w:cs="Calibri"/>
      </w:rPr>
      <w:instrText xml:space="preserve"> PAGE </w:instrText>
    </w:r>
    <w:r w:rsidRPr="0067469F">
      <w:rPr>
        <w:rFonts w:eastAsia="Calibri" w:cs="Calibri"/>
      </w:rPr>
      <w:fldChar w:fldCharType="separate"/>
    </w:r>
    <w:r>
      <w:rPr>
        <w:rFonts w:eastAsia="Calibri" w:cs="Calibri"/>
      </w:rPr>
      <w:t>1</w:t>
    </w:r>
    <w:r w:rsidRPr="0067469F">
      <w:rPr>
        <w:rFonts w:eastAsia="Calibri" w:cs="Calibri"/>
      </w:rPr>
      <w:fldChar w:fldCharType="end"/>
    </w:r>
    <w:r>
      <w:t xml:space="preserve"> / </w:t>
    </w:r>
    <w:r w:rsidRPr="0067469F">
      <w:rPr>
        <w:rFonts w:eastAsia="Calibri" w:cs="Calibri"/>
      </w:rPr>
      <w:fldChar w:fldCharType="begin"/>
    </w:r>
    <w:r w:rsidRPr="0067469F">
      <w:rPr>
        <w:rFonts w:eastAsia="Calibri" w:cs="Calibri"/>
      </w:rPr>
      <w:instrText xml:space="preserve"> NUMPAGES </w:instrText>
    </w:r>
    <w:r w:rsidRPr="0067469F">
      <w:rPr>
        <w:rFonts w:eastAsia="Calibri" w:cs="Calibri"/>
      </w:rPr>
      <w:fldChar w:fldCharType="separate"/>
    </w:r>
    <w:r>
      <w:rPr>
        <w:rFonts w:eastAsia="Calibri" w:cs="Calibri"/>
      </w:rPr>
      <w:t>3</w:t>
    </w:r>
    <w:r w:rsidRPr="0067469F">
      <w:rPr>
        <w:rFonts w:eastAsia="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A55A"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D926A" w14:textId="77777777" w:rsidR="00543BAC" w:rsidRDefault="00543BAC">
      <w:r>
        <w:separator/>
      </w:r>
    </w:p>
  </w:footnote>
  <w:footnote w:type="continuationSeparator" w:id="0">
    <w:p w14:paraId="68875932" w14:textId="77777777" w:rsidR="00543BAC" w:rsidRDefault="00543BAC">
      <w:r>
        <w:continuationSeparator/>
      </w:r>
    </w:p>
  </w:footnote>
  <w:footnote w:id="1">
    <w:p w14:paraId="7F8E059B" w14:textId="2CF7FA24" w:rsidR="00750AA5" w:rsidRPr="008C0DFC" w:rsidRDefault="00750AA5" w:rsidP="00750AA5">
      <w:pPr>
        <w:pStyle w:val="FootnoteText"/>
        <w:rPr>
          <w:sz w:val="16"/>
          <w:szCs w:val="16"/>
          <w:u w:val="single"/>
        </w:rPr>
      </w:pPr>
      <w:r w:rsidRPr="008C0DFC">
        <w:rPr>
          <w:rStyle w:val="FootnoteReference"/>
          <w:sz w:val="16"/>
          <w:szCs w:val="16"/>
          <w:u w:val="single"/>
        </w:rPr>
        <w:footnoteRef/>
      </w:r>
      <w:r w:rsidRPr="008C0DFC">
        <w:rPr>
          <w:sz w:val="16"/>
          <w:szCs w:val="16"/>
          <w:u w:val="single"/>
        </w:rPr>
        <w:t xml:space="preserve"> En general, se consideran pesquerías que realizan calados poco profundos aquellas en las que la mayoría de los anzuelos pescan a menos de 100 </w:t>
      </w:r>
      <w:r w:rsidR="005146A8">
        <w:rPr>
          <w:sz w:val="16"/>
          <w:szCs w:val="16"/>
          <w:u w:val="single"/>
        </w:rPr>
        <w:t>m</w:t>
      </w:r>
      <w:r w:rsidRPr="008C0DFC">
        <w:rPr>
          <w:sz w:val="16"/>
          <w:szCs w:val="16"/>
          <w:u w:val="single"/>
        </w:rPr>
        <w:t xml:space="preserve"> de profundidad, tal y como lo determina el SCRS.</w:t>
      </w:r>
    </w:p>
  </w:footnote>
  <w:footnote w:id="2">
    <w:p w14:paraId="067A0EF6" w14:textId="77777777" w:rsidR="00750AA5" w:rsidRPr="008C0DFC" w:rsidRDefault="00750AA5" w:rsidP="00750AA5">
      <w:pPr>
        <w:pStyle w:val="FootnoteText"/>
        <w:rPr>
          <w:sz w:val="16"/>
          <w:szCs w:val="16"/>
        </w:rPr>
      </w:pPr>
      <w:r w:rsidRPr="008C0DFC">
        <w:rPr>
          <w:rStyle w:val="FootnoteReference"/>
          <w:sz w:val="16"/>
          <w:szCs w:val="16"/>
          <w:u w:val="single"/>
        </w:rPr>
        <w:footnoteRef/>
      </w:r>
      <w:r w:rsidRPr="008C0DFC">
        <w:rPr>
          <w:sz w:val="16"/>
          <w:szCs w:val="16"/>
          <w:u w:val="single"/>
        </w:rPr>
        <w:t>Anzuelo circular se define como un anzuelo con la punta girada en forma perpendicular hacia el vástago adoptando una forma generalmente circular u oval. Las CPC deberían adoptar el uso de anzuelos circulares con una inclinación de no más de 10 grados</w:t>
      </w:r>
      <w:r w:rsidRPr="008C0DFC">
        <w:rPr>
          <w:sz w:val="16"/>
          <w:szCs w:val="16"/>
        </w:rPr>
        <w:t>.</w:t>
      </w:r>
    </w:p>
  </w:footnote>
  <w:footnote w:id="3">
    <w:p w14:paraId="20926720" w14:textId="77777777" w:rsidR="002A17EE" w:rsidRPr="00955B3C" w:rsidRDefault="002A17EE" w:rsidP="002A17EE">
      <w:pPr>
        <w:pStyle w:val="FootnoteText"/>
        <w:rPr>
          <w:rFonts w:eastAsia="MS Mincho" w:cs="Times New Roman"/>
          <w:sz w:val="16"/>
          <w:szCs w:val="16"/>
        </w:rPr>
      </w:pPr>
      <w:r w:rsidRPr="00955B3C">
        <w:rPr>
          <w:rStyle w:val="FootnoteReference"/>
          <w:sz w:val="16"/>
          <w:szCs w:val="16"/>
        </w:rPr>
        <w:footnoteRef/>
      </w:r>
      <w:r w:rsidRPr="00955B3C">
        <w:rPr>
          <w:sz w:val="16"/>
          <w:szCs w:val="16"/>
        </w:rPr>
        <w:t xml:space="preserve"> </w:t>
      </w:r>
      <w:hyperlink r:id="rId1" w:history="1">
        <w:r w:rsidRPr="00955B3C">
          <w:rPr>
            <w:rStyle w:val="Hyperlink"/>
            <w:sz w:val="16"/>
            <w:szCs w:val="16"/>
          </w:rPr>
          <w:t>https://www.bmis-bycatch.org/index.php/mitigation-techniques/safe-handling-release</w:t>
        </w:r>
      </w:hyperlink>
      <w:r w:rsidRPr="00955B3C">
        <w:rPr>
          <w:sz w:val="16"/>
          <w:szCs w:val="16"/>
        </w:rPr>
        <w:t xml:space="preserve"> </w:t>
      </w:r>
    </w:p>
    <w:p w14:paraId="2B8B07A0"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Poisson F., Wendling B., Cornella D., </w:t>
      </w:r>
      <w:proofErr w:type="spellStart"/>
      <w:r w:rsidRPr="00955B3C">
        <w:rPr>
          <w:sz w:val="16"/>
          <w:szCs w:val="16"/>
          <w:lang w:val="en-US"/>
        </w:rPr>
        <w:t>Segorb</w:t>
      </w:r>
      <w:proofErr w:type="spellEnd"/>
      <w:r w:rsidRPr="00955B3C">
        <w:rPr>
          <w:sz w:val="16"/>
          <w:szCs w:val="16"/>
          <w:lang w:val="en-US"/>
        </w:rPr>
        <w:t xml:space="preserve"> C., 2016. </w:t>
      </w:r>
      <w:r w:rsidRPr="00955B3C">
        <w:rPr>
          <w:sz w:val="16"/>
          <w:szCs w:val="16"/>
          <w:lang w:val="fr-FR"/>
        </w:rPr>
        <w:t xml:space="preserve">Guide du pêcheur responsable : Bonnes pratiques pour réduire la mortalité des espèces sensibles capturées accidentellement par les palangriers pélagiques français en Méditerranée. </w:t>
      </w:r>
      <w:proofErr w:type="spellStart"/>
      <w:r w:rsidRPr="00955B3C">
        <w:rPr>
          <w:sz w:val="16"/>
          <w:szCs w:val="16"/>
        </w:rPr>
        <w:t>Projets</w:t>
      </w:r>
      <w:proofErr w:type="spellEnd"/>
      <w:r w:rsidRPr="00955B3C">
        <w:rPr>
          <w:sz w:val="16"/>
          <w:szCs w:val="16"/>
        </w:rPr>
        <w:t xml:space="preserve"> SELPAL et </w:t>
      </w:r>
      <w:proofErr w:type="spellStart"/>
      <w:r w:rsidRPr="00955B3C">
        <w:rPr>
          <w:sz w:val="16"/>
          <w:szCs w:val="16"/>
        </w:rPr>
        <w:t>RéPAST</w:t>
      </w:r>
      <w:proofErr w:type="spellEnd"/>
      <w:r w:rsidRPr="00955B3C">
        <w:rPr>
          <w:sz w:val="16"/>
          <w:szCs w:val="16"/>
        </w:rPr>
        <w:t xml:space="preserve">. 60 </w:t>
      </w:r>
      <w:proofErr w:type="spellStart"/>
      <w:r w:rsidRPr="00955B3C">
        <w:rPr>
          <w:sz w:val="16"/>
          <w:szCs w:val="16"/>
        </w:rPr>
        <w:t>pages</w:t>
      </w:r>
      <w:proofErr w:type="spellEnd"/>
    </w:p>
    <w:p w14:paraId="0FB0462B"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Poisson F., Vernet A. L., </w:t>
      </w:r>
      <w:proofErr w:type="spellStart"/>
      <w:r w:rsidRPr="00955B3C">
        <w:rPr>
          <w:sz w:val="16"/>
          <w:szCs w:val="16"/>
          <w:lang w:val="en-US"/>
        </w:rPr>
        <w:t>Séret</w:t>
      </w:r>
      <w:proofErr w:type="spellEnd"/>
      <w:r w:rsidRPr="00955B3C">
        <w:rPr>
          <w:sz w:val="16"/>
          <w:szCs w:val="16"/>
          <w:lang w:val="en-US"/>
        </w:rPr>
        <w:t xml:space="preserve"> B., </w:t>
      </w:r>
      <w:proofErr w:type="spellStart"/>
      <w:r w:rsidRPr="00955B3C">
        <w:rPr>
          <w:sz w:val="16"/>
          <w:szCs w:val="16"/>
          <w:lang w:val="en-US"/>
        </w:rPr>
        <w:t>Dagorn</w:t>
      </w:r>
      <w:proofErr w:type="spellEnd"/>
      <w:r w:rsidRPr="00955B3C">
        <w:rPr>
          <w:sz w:val="16"/>
          <w:szCs w:val="16"/>
          <w:lang w:val="en-US"/>
        </w:rPr>
        <w:t xml:space="preserve"> L. Good practices to reduce the mortality of sharks and rays caught incidentally by the tropical tuna purse seiners. </w:t>
      </w:r>
      <w:r w:rsidRPr="00955B3C">
        <w:rPr>
          <w:sz w:val="16"/>
          <w:szCs w:val="16"/>
        </w:rPr>
        <w:t xml:space="preserve">EU FP7 </w:t>
      </w:r>
      <w:proofErr w:type="spellStart"/>
      <w:r w:rsidRPr="00955B3C">
        <w:rPr>
          <w:sz w:val="16"/>
          <w:szCs w:val="16"/>
        </w:rPr>
        <w:t>project</w:t>
      </w:r>
      <w:proofErr w:type="spellEnd"/>
      <w:r w:rsidRPr="00955B3C">
        <w:rPr>
          <w:sz w:val="16"/>
          <w:szCs w:val="16"/>
        </w:rPr>
        <w:t xml:space="preserve"> #210496 MADE, </w:t>
      </w:r>
      <w:proofErr w:type="spellStart"/>
      <w:r w:rsidRPr="00955B3C">
        <w:rPr>
          <w:sz w:val="16"/>
          <w:szCs w:val="16"/>
        </w:rPr>
        <w:t>Deliverable</w:t>
      </w:r>
      <w:proofErr w:type="spellEnd"/>
      <w:r w:rsidRPr="00955B3C">
        <w:rPr>
          <w:sz w:val="16"/>
          <w:szCs w:val="16"/>
        </w:rPr>
        <w:t xml:space="preserve"> 7.2., 30p.</w:t>
      </w:r>
    </w:p>
    <w:p w14:paraId="78808635" w14:textId="77777777" w:rsidR="002A17EE" w:rsidRPr="00955B3C" w:rsidRDefault="002A17EE" w:rsidP="002A17EE">
      <w:pPr>
        <w:numPr>
          <w:ilvl w:val="0"/>
          <w:numId w:val="4"/>
        </w:numPr>
        <w:rPr>
          <w:rFonts w:eastAsia="MS Mincho"/>
          <w:sz w:val="16"/>
          <w:szCs w:val="16"/>
          <w:lang w:val="en-US"/>
        </w:rPr>
      </w:pPr>
      <w:r w:rsidRPr="00955B3C">
        <w:rPr>
          <w:sz w:val="16"/>
          <w:szCs w:val="16"/>
          <w:lang w:val="en-US"/>
        </w:rPr>
        <w:t>AFMA (2016) Shark and Ray Handling Practices - A guide for commercial fishers in southern Australia</w:t>
      </w:r>
    </w:p>
    <w:p w14:paraId="75A98DFF" w14:textId="77777777" w:rsidR="002A17EE" w:rsidRPr="00955B3C" w:rsidRDefault="002A17EE" w:rsidP="002A17EE">
      <w:pPr>
        <w:numPr>
          <w:ilvl w:val="0"/>
          <w:numId w:val="4"/>
        </w:numPr>
        <w:rPr>
          <w:rFonts w:eastAsia="MS Mincho"/>
          <w:sz w:val="16"/>
          <w:szCs w:val="16"/>
        </w:rPr>
      </w:pPr>
      <w:r w:rsidRPr="00955B3C">
        <w:rPr>
          <w:sz w:val="16"/>
          <w:szCs w:val="16"/>
          <w:lang w:val="en-US"/>
        </w:rPr>
        <w:t xml:space="preserve">NOAA fisheries, 2017, Careful Catch and Release Brochure. </w:t>
      </w:r>
      <w:r w:rsidRPr="00955B3C">
        <w:rPr>
          <w:sz w:val="16"/>
          <w:szCs w:val="16"/>
        </w:rPr>
        <w:t xml:space="preserve">2 </w:t>
      </w:r>
      <w:proofErr w:type="spellStart"/>
      <w:r w:rsidRPr="00955B3C">
        <w:rPr>
          <w:sz w:val="16"/>
          <w:szCs w:val="16"/>
        </w:rPr>
        <w:t>pages</w:t>
      </w:r>
      <w:proofErr w:type="spellEnd"/>
      <w:r w:rsidRPr="00955B3C">
        <w:rPr>
          <w:sz w:val="16"/>
          <w:szCs w:val="16"/>
        </w:rPr>
        <w:t xml:space="preserve"> </w:t>
      </w:r>
    </w:p>
    <w:p w14:paraId="04B95B76" w14:textId="77777777" w:rsidR="002A17EE" w:rsidRDefault="002A17EE" w:rsidP="002A17E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6F1"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B31C" w14:textId="632DDC7E" w:rsidR="00A8753E" w:rsidRPr="00A8753E" w:rsidRDefault="00A8753E" w:rsidP="00A8753E">
    <w:pPr>
      <w:widowControl w:val="0"/>
      <w:tabs>
        <w:tab w:val="center" w:pos="4680"/>
        <w:tab w:val="left" w:pos="6520"/>
        <w:tab w:val="right" w:pos="9360"/>
        <w:tab w:val="right" w:pos="14240"/>
      </w:tabs>
      <w:jc w:val="right"/>
      <w:rPr>
        <w:rFonts w:eastAsia="Calibri" w:cs="Times New Roman"/>
        <w:b/>
        <w:bCs/>
      </w:rPr>
    </w:pPr>
    <w:bookmarkStart w:id="0" w:name="_Hlk107908354"/>
    <w:bookmarkStart w:id="1" w:name="_Hlk107908355"/>
    <w:bookmarkStart w:id="2" w:name="_Hlk107908359"/>
    <w:bookmarkStart w:id="3" w:name="_Hlk107908360"/>
    <w:bookmarkStart w:id="4" w:name="_Hlk107908361"/>
    <w:bookmarkStart w:id="5" w:name="_Hlk107908362"/>
    <w:r w:rsidRPr="00A8753E">
      <w:rPr>
        <w:rFonts w:eastAsia="Calibri" w:cs="Times New Roman"/>
        <w:b/>
        <w:szCs w:val="22"/>
      </w:rPr>
      <w:t>PA4_</w:t>
    </w:r>
    <w:r>
      <w:rPr>
        <w:rFonts w:eastAsia="Calibri" w:cs="Times New Roman"/>
        <w:b/>
        <w:szCs w:val="22"/>
      </w:rPr>
      <w:t>808</w:t>
    </w:r>
    <w:r w:rsidRPr="00A8753E">
      <w:rPr>
        <w:rFonts w:eastAsia="Calibri" w:cs="Times New Roman"/>
        <w:b/>
        <w:szCs w:val="22"/>
      </w:rPr>
      <w:t>/2026</w:t>
    </w:r>
  </w:p>
  <w:p w14:paraId="05C692CC" w14:textId="07B5EA94" w:rsidR="00A8753E" w:rsidRDefault="00A8753E" w:rsidP="00A8753E">
    <w:pPr>
      <w:widowControl w:val="0"/>
      <w:tabs>
        <w:tab w:val="left" w:pos="7320"/>
      </w:tabs>
      <w:spacing w:line="240" w:lineRule="exact"/>
      <w:jc w:val="right"/>
    </w:pPr>
    <w:r w:rsidRPr="00A8753E">
      <w:rPr>
        <w:rFonts w:eastAsia="Calibri" w:cs="Times New Roman"/>
        <w:b/>
        <w:sz w:val="16"/>
        <w:szCs w:val="22"/>
      </w:rPr>
      <w:fldChar w:fldCharType="begin"/>
    </w:r>
    <w:r w:rsidRPr="00A8753E">
      <w:rPr>
        <w:rFonts w:eastAsia="Calibri" w:cs="Times New Roman"/>
        <w:b/>
        <w:sz w:val="16"/>
        <w:szCs w:val="22"/>
      </w:rPr>
      <w:instrText xml:space="preserve"> TIME \@ "dd/MM/yyyy H:mm" </w:instrText>
    </w:r>
    <w:r w:rsidRPr="00A8753E">
      <w:rPr>
        <w:rFonts w:eastAsia="Calibri" w:cs="Times New Roman"/>
        <w:b/>
        <w:sz w:val="16"/>
        <w:szCs w:val="22"/>
      </w:rPr>
      <w:fldChar w:fldCharType="separate"/>
    </w:r>
    <w:r w:rsidR="0018663D">
      <w:rPr>
        <w:rFonts w:eastAsia="Calibri" w:cs="Times New Roman"/>
        <w:b/>
        <w:noProof/>
        <w:sz w:val="16"/>
        <w:szCs w:val="22"/>
      </w:rPr>
      <w:t>26/10/2026 13:59</w:t>
    </w:r>
    <w:r w:rsidRPr="00A8753E">
      <w:rPr>
        <w:rFonts w:eastAsia="Calibri" w:cs="Times New Roman"/>
        <w:b/>
        <w:bCs/>
        <w:sz w:val="16"/>
        <w:szCs w:val="16"/>
        <w:lang w:val="es-ES_tradn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C455" w14:textId="77777777" w:rsidR="004B18CD" w:rsidRDefault="004B18CD">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48C5"/>
    <w:multiLevelType w:val="hybridMultilevel"/>
    <w:tmpl w:val="E294E1D4"/>
    <w:lvl w:ilvl="0" w:tplc="655CEE32">
      <w:start w:val="1"/>
      <w:numFmt w:val="bullet"/>
      <w:lvlText w:val="-"/>
      <w:lvlJc w:val="left"/>
      <w:pPr>
        <w:ind w:left="928" w:hanging="360"/>
      </w:pPr>
      <w:rPr>
        <w:rFonts w:ascii="Franklin Gothic Medium" w:hAnsi="Franklin Gothic Medium"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1" w15:restartNumberingAfterBreak="0">
    <w:nsid w:val="1D992C9C"/>
    <w:multiLevelType w:val="hybridMultilevel"/>
    <w:tmpl w:val="204C7FEC"/>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2" w15:restartNumberingAfterBreak="0">
    <w:nsid w:val="1FAE0F59"/>
    <w:multiLevelType w:val="hybridMultilevel"/>
    <w:tmpl w:val="FF841E80"/>
    <w:lvl w:ilvl="0" w:tplc="78E690D0">
      <w:start w:val="5"/>
      <w:numFmt w:val="decimal"/>
      <w:lvlText w:val="%1."/>
      <w:lvlJc w:val="left"/>
      <w:pPr>
        <w:ind w:left="360" w:hanging="360"/>
      </w:pPr>
      <w:rPr>
        <w:sz w:val="20"/>
        <w:szCs w:val="2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3FC9E485"/>
    <w:multiLevelType w:val="hybridMultilevel"/>
    <w:tmpl w:val="B9527B0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6" w15:restartNumberingAfterBreak="0">
    <w:nsid w:val="6412496B"/>
    <w:multiLevelType w:val="hybridMultilevel"/>
    <w:tmpl w:val="AA32A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10083244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9714646">
    <w:abstractNumId w:val="3"/>
    <w:lvlOverride w:ilvl="0">
      <w:startOverride w:val="1"/>
    </w:lvlOverride>
    <w:lvlOverride w:ilvl="1"/>
    <w:lvlOverride w:ilvl="2"/>
    <w:lvlOverride w:ilvl="3"/>
    <w:lvlOverride w:ilvl="4"/>
    <w:lvlOverride w:ilvl="5"/>
    <w:lvlOverride w:ilvl="6"/>
    <w:lvlOverride w:ilvl="7"/>
    <w:lvlOverride w:ilvl="8"/>
  </w:num>
  <w:num w:numId="3" w16cid:durableId="594435345">
    <w:abstractNumId w:val="1"/>
  </w:num>
  <w:num w:numId="4" w16cid:durableId="1994261423">
    <w:abstractNumId w:val="6"/>
  </w:num>
  <w:num w:numId="5" w16cid:durableId="338507762">
    <w:abstractNumId w:val="0"/>
  </w:num>
  <w:num w:numId="6" w16cid:durableId="232396508">
    <w:abstractNumId w:val="4"/>
  </w:num>
  <w:num w:numId="7" w16cid:durableId="152844358">
    <w:abstractNumId w:val="5"/>
  </w:num>
  <w:num w:numId="8" w16cid:durableId="371252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CD"/>
    <w:rsid w:val="00011ADA"/>
    <w:rsid w:val="000540B2"/>
    <w:rsid w:val="000541C4"/>
    <w:rsid w:val="000639B6"/>
    <w:rsid w:val="00080526"/>
    <w:rsid w:val="00081BDB"/>
    <w:rsid w:val="00092D25"/>
    <w:rsid w:val="000947FA"/>
    <w:rsid w:val="000A4A74"/>
    <w:rsid w:val="000C5E00"/>
    <w:rsid w:val="000D3B33"/>
    <w:rsid w:val="000D6608"/>
    <w:rsid w:val="000D79F6"/>
    <w:rsid w:val="001639D6"/>
    <w:rsid w:val="00171C6A"/>
    <w:rsid w:val="001757FB"/>
    <w:rsid w:val="00186590"/>
    <w:rsid w:val="0018663D"/>
    <w:rsid w:val="001A13B1"/>
    <w:rsid w:val="001A5D63"/>
    <w:rsid w:val="001A79EE"/>
    <w:rsid w:val="001B325B"/>
    <w:rsid w:val="001C205B"/>
    <w:rsid w:val="001D76E9"/>
    <w:rsid w:val="001F15ED"/>
    <w:rsid w:val="001F2F72"/>
    <w:rsid w:val="0020151D"/>
    <w:rsid w:val="00216CFD"/>
    <w:rsid w:val="00225A9B"/>
    <w:rsid w:val="002331A0"/>
    <w:rsid w:val="002433A6"/>
    <w:rsid w:val="0025167D"/>
    <w:rsid w:val="00251E98"/>
    <w:rsid w:val="00271471"/>
    <w:rsid w:val="00272DF1"/>
    <w:rsid w:val="00277397"/>
    <w:rsid w:val="002859A8"/>
    <w:rsid w:val="00296263"/>
    <w:rsid w:val="002A17EE"/>
    <w:rsid w:val="00301274"/>
    <w:rsid w:val="0031513D"/>
    <w:rsid w:val="003501D7"/>
    <w:rsid w:val="003B4BC0"/>
    <w:rsid w:val="003D6C38"/>
    <w:rsid w:val="003E751C"/>
    <w:rsid w:val="003F2D69"/>
    <w:rsid w:val="0040108C"/>
    <w:rsid w:val="004073A0"/>
    <w:rsid w:val="00420BCC"/>
    <w:rsid w:val="00440779"/>
    <w:rsid w:val="00461719"/>
    <w:rsid w:val="00464F5A"/>
    <w:rsid w:val="00481F64"/>
    <w:rsid w:val="00490697"/>
    <w:rsid w:val="0049762C"/>
    <w:rsid w:val="004B18CD"/>
    <w:rsid w:val="004C3070"/>
    <w:rsid w:val="004F0B51"/>
    <w:rsid w:val="004F2FE8"/>
    <w:rsid w:val="004F746C"/>
    <w:rsid w:val="005012A1"/>
    <w:rsid w:val="00512833"/>
    <w:rsid w:val="005146A8"/>
    <w:rsid w:val="00537DFC"/>
    <w:rsid w:val="00543BAC"/>
    <w:rsid w:val="00551C7B"/>
    <w:rsid w:val="005618AD"/>
    <w:rsid w:val="005672E0"/>
    <w:rsid w:val="00582CCE"/>
    <w:rsid w:val="005A7395"/>
    <w:rsid w:val="005B2E39"/>
    <w:rsid w:val="005C1EEB"/>
    <w:rsid w:val="005D6FDB"/>
    <w:rsid w:val="005E510F"/>
    <w:rsid w:val="0062680C"/>
    <w:rsid w:val="006433FE"/>
    <w:rsid w:val="0064647A"/>
    <w:rsid w:val="00660250"/>
    <w:rsid w:val="006C55FA"/>
    <w:rsid w:val="006D031B"/>
    <w:rsid w:val="006F252D"/>
    <w:rsid w:val="007111B4"/>
    <w:rsid w:val="00750AA5"/>
    <w:rsid w:val="007670A0"/>
    <w:rsid w:val="00777391"/>
    <w:rsid w:val="007849D0"/>
    <w:rsid w:val="007B08DF"/>
    <w:rsid w:val="007C68BA"/>
    <w:rsid w:val="007C6CF7"/>
    <w:rsid w:val="007D58B1"/>
    <w:rsid w:val="007E2242"/>
    <w:rsid w:val="00807F4E"/>
    <w:rsid w:val="008170FD"/>
    <w:rsid w:val="00821195"/>
    <w:rsid w:val="008346AE"/>
    <w:rsid w:val="00841CA3"/>
    <w:rsid w:val="00865909"/>
    <w:rsid w:val="008855B7"/>
    <w:rsid w:val="008F2496"/>
    <w:rsid w:val="00920E3A"/>
    <w:rsid w:val="009351E2"/>
    <w:rsid w:val="00952451"/>
    <w:rsid w:val="00955B3C"/>
    <w:rsid w:val="00976711"/>
    <w:rsid w:val="009A1056"/>
    <w:rsid w:val="009B14EC"/>
    <w:rsid w:val="009D3136"/>
    <w:rsid w:val="009D4B66"/>
    <w:rsid w:val="009E25B1"/>
    <w:rsid w:val="00A028C9"/>
    <w:rsid w:val="00A05039"/>
    <w:rsid w:val="00A0650E"/>
    <w:rsid w:val="00A12676"/>
    <w:rsid w:val="00A744C6"/>
    <w:rsid w:val="00A8753E"/>
    <w:rsid w:val="00AA2B72"/>
    <w:rsid w:val="00AF3C5F"/>
    <w:rsid w:val="00B15822"/>
    <w:rsid w:val="00B35920"/>
    <w:rsid w:val="00B51D48"/>
    <w:rsid w:val="00B57691"/>
    <w:rsid w:val="00B77BF2"/>
    <w:rsid w:val="00B8401F"/>
    <w:rsid w:val="00BB3E83"/>
    <w:rsid w:val="00BD3258"/>
    <w:rsid w:val="00C27CC1"/>
    <w:rsid w:val="00C30800"/>
    <w:rsid w:val="00C45A7C"/>
    <w:rsid w:val="00C53328"/>
    <w:rsid w:val="00C56E54"/>
    <w:rsid w:val="00C7022B"/>
    <w:rsid w:val="00C7639E"/>
    <w:rsid w:val="00C8620F"/>
    <w:rsid w:val="00CE6979"/>
    <w:rsid w:val="00CF3C38"/>
    <w:rsid w:val="00D33B55"/>
    <w:rsid w:val="00D420D5"/>
    <w:rsid w:val="00D53DD6"/>
    <w:rsid w:val="00D96DE0"/>
    <w:rsid w:val="00D97453"/>
    <w:rsid w:val="00D97B35"/>
    <w:rsid w:val="00DB45AC"/>
    <w:rsid w:val="00DE00B5"/>
    <w:rsid w:val="00DE5148"/>
    <w:rsid w:val="00E066F4"/>
    <w:rsid w:val="00E15C3A"/>
    <w:rsid w:val="00E2254C"/>
    <w:rsid w:val="00E52471"/>
    <w:rsid w:val="00E551B5"/>
    <w:rsid w:val="00E63419"/>
    <w:rsid w:val="00E92D6C"/>
    <w:rsid w:val="00E961E2"/>
    <w:rsid w:val="00E97AE4"/>
    <w:rsid w:val="00EF1492"/>
    <w:rsid w:val="00EF3BE8"/>
    <w:rsid w:val="00F37A49"/>
    <w:rsid w:val="00F673D2"/>
    <w:rsid w:val="00F73627"/>
    <w:rsid w:val="00F836C5"/>
    <w:rsid w:val="00F86027"/>
    <w:rsid w:val="00F87C89"/>
    <w:rsid w:val="00F91D6D"/>
    <w:rsid w:val="00F9570C"/>
    <w:rsid w:val="00FA4B4B"/>
    <w:rsid w:val="00FD2F97"/>
    <w:rsid w:val="00FD6FC8"/>
    <w:rsid w:val="00FF2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EDC9"/>
  <w15:docId w15:val="{7EF148FE-8967-3946-8996-14E2075D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line="276" w:lineRule="auto"/>
      <w:jc w:val="left"/>
      <w:outlineLvl w:val="0"/>
    </w:pPr>
    <w:rPr>
      <w:rFonts w:ascii="Arial" w:eastAsia="Arial" w:hAnsi="Arial" w:cs="Arial"/>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line="276" w:lineRule="auto"/>
      <w:jc w:val="left"/>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line="276" w:lineRule="auto"/>
      <w:jc w:val="left"/>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line="276" w:lineRule="auto"/>
      <w:jc w:val="left"/>
      <w:outlineLvl w:val="3"/>
    </w:pPr>
    <w:rPr>
      <w:rFonts w:ascii="Arial" w:eastAsia="Arial" w:hAnsi="Arial" w:cs="Arial"/>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line="276" w:lineRule="auto"/>
      <w:jc w:val="left"/>
    </w:pPr>
    <w:rPr>
      <w:rFonts w:ascii="Arial" w:eastAsia="Arial" w:hAnsi="Arial" w:cs="Arial"/>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line="276" w:lineRule="auto"/>
      <w:jc w:val="left"/>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71C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C6A"/>
    <w:rPr>
      <w:rFonts w:ascii="Segoe UI" w:hAnsi="Segoe UI" w:cs="Segoe UI"/>
      <w:sz w:val="18"/>
      <w:szCs w:val="18"/>
    </w:rPr>
  </w:style>
  <w:style w:type="paragraph" w:styleId="Footer">
    <w:name w:val="footer"/>
    <w:basedOn w:val="Normal"/>
    <w:link w:val="FooterChar"/>
    <w:uiPriority w:val="99"/>
    <w:unhideWhenUsed/>
    <w:rsid w:val="00DB45AC"/>
    <w:pPr>
      <w:tabs>
        <w:tab w:val="center" w:pos="4252"/>
        <w:tab w:val="right" w:pos="8504"/>
      </w:tabs>
      <w:jc w:val="left"/>
    </w:pPr>
    <w:rPr>
      <w:rFonts w:asciiTheme="minorHAnsi" w:eastAsiaTheme="minorEastAsia" w:hAnsiTheme="minorHAnsi" w:cstheme="minorBidi"/>
      <w:sz w:val="22"/>
      <w:szCs w:val="22"/>
      <w:lang w:val="fr-FR" w:eastAsia="es-ES"/>
    </w:rPr>
  </w:style>
  <w:style w:type="character" w:customStyle="1" w:styleId="FooterChar">
    <w:name w:val="Footer Char"/>
    <w:basedOn w:val="DefaultParagraphFont"/>
    <w:link w:val="Footer"/>
    <w:uiPriority w:val="99"/>
    <w:rsid w:val="00DB45AC"/>
    <w:rPr>
      <w:rFonts w:asciiTheme="minorHAnsi" w:eastAsiaTheme="minorEastAsia" w:hAnsiTheme="minorHAnsi" w:cstheme="minorBidi"/>
      <w:sz w:val="22"/>
      <w:szCs w:val="22"/>
      <w:lang w:val="fr-FR" w:eastAsia="es-ES"/>
    </w:rPr>
  </w:style>
  <w:style w:type="paragraph" w:styleId="ListParagraph">
    <w:name w:val="List Paragraph"/>
    <w:basedOn w:val="Normal"/>
    <w:uiPriority w:val="34"/>
    <w:qFormat/>
    <w:rsid w:val="00E97AE4"/>
    <w:pPr>
      <w:ind w:left="720"/>
      <w:contextualSpacing/>
    </w:pPr>
  </w:style>
  <w:style w:type="paragraph" w:styleId="FootnoteText">
    <w:name w:val="footnote text"/>
    <w:basedOn w:val="Normal"/>
    <w:link w:val="FootnoteTextChar"/>
    <w:uiPriority w:val="99"/>
    <w:semiHidden/>
    <w:unhideWhenUsed/>
    <w:rsid w:val="002A17EE"/>
  </w:style>
  <w:style w:type="character" w:customStyle="1" w:styleId="FootnoteTextChar">
    <w:name w:val="Footnote Text Char"/>
    <w:basedOn w:val="DefaultParagraphFont"/>
    <w:link w:val="FootnoteText"/>
    <w:uiPriority w:val="99"/>
    <w:semiHidden/>
    <w:rsid w:val="002A17EE"/>
  </w:style>
  <w:style w:type="character" w:styleId="FootnoteReference">
    <w:name w:val="footnote reference"/>
    <w:basedOn w:val="DefaultParagraphFont"/>
    <w:uiPriority w:val="99"/>
    <w:unhideWhenUsed/>
    <w:rsid w:val="002A17EE"/>
    <w:rPr>
      <w:vertAlign w:val="superscript"/>
    </w:rPr>
  </w:style>
  <w:style w:type="character" w:styleId="Hyperlink">
    <w:name w:val="Hyperlink"/>
    <w:basedOn w:val="DefaultParagraphFont"/>
    <w:uiPriority w:val="99"/>
    <w:semiHidden/>
    <w:unhideWhenUsed/>
    <w:rsid w:val="002A17EE"/>
    <w:rPr>
      <w:color w:val="0000FF"/>
      <w:u w:val="single"/>
    </w:rPr>
  </w:style>
  <w:style w:type="paragraph" w:styleId="Header">
    <w:name w:val="header"/>
    <w:basedOn w:val="Normal"/>
    <w:link w:val="HeaderChar"/>
    <w:uiPriority w:val="99"/>
    <w:unhideWhenUsed/>
    <w:rsid w:val="003D6C38"/>
    <w:pPr>
      <w:tabs>
        <w:tab w:val="center" w:pos="4252"/>
        <w:tab w:val="right" w:pos="8504"/>
      </w:tabs>
    </w:pPr>
  </w:style>
  <w:style w:type="character" w:customStyle="1" w:styleId="HeaderChar">
    <w:name w:val="Header Char"/>
    <w:basedOn w:val="DefaultParagraphFont"/>
    <w:link w:val="Header"/>
    <w:uiPriority w:val="99"/>
    <w:rsid w:val="003D6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14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4CC2B-4205-423F-9821-9F2787AFE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9</Pages>
  <Words>3751</Words>
  <Characters>21383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José Garcia Orad</dc:creator>
  <cp:lastModifiedBy>autor</cp:lastModifiedBy>
  <cp:revision>111</cp:revision>
  <cp:lastPrinted>2019-11-24T17:54:00Z</cp:lastPrinted>
  <dcterms:created xsi:type="dcterms:W3CDTF">2026-10-19T10:50:00Z</dcterms:created>
  <dcterms:modified xsi:type="dcterms:W3CDTF">2026-10-26T14:10:00Z</dcterms:modified>
</cp:coreProperties>
</file>