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28935" w14:textId="4DAEF414" w:rsidR="004C6C49" w:rsidRPr="0057470D" w:rsidRDefault="00F500D7" w:rsidP="00F500D7">
      <w:pPr>
        <w:tabs>
          <w:tab w:val="left" w:pos="5518"/>
        </w:tabs>
        <w:jc w:val="right"/>
        <w:rPr>
          <w:rFonts w:ascii="Cambria" w:hAnsi="Cambria"/>
          <w:b/>
          <w:bCs/>
          <w:sz w:val="20"/>
          <w:szCs w:val="20"/>
        </w:rPr>
      </w:pPr>
      <w:r w:rsidRPr="0057470D">
        <w:rPr>
          <w:rFonts w:ascii="Cambria" w:hAnsi="Cambria"/>
          <w:b/>
          <w:sz w:val="20"/>
          <w:szCs w:val="20"/>
        </w:rPr>
        <w:t xml:space="preserve">Original : </w:t>
      </w:r>
      <w:r w:rsidRPr="0057470D">
        <w:rPr>
          <w:rFonts w:ascii="Cambria" w:hAnsi="Cambria"/>
          <w:b/>
          <w:bCs/>
          <w:sz w:val="20"/>
          <w:szCs w:val="20"/>
        </w:rPr>
        <w:t>anglais</w:t>
      </w:r>
    </w:p>
    <w:p w14:paraId="1D6305BD" w14:textId="77777777" w:rsidR="00347104" w:rsidRPr="0057470D" w:rsidRDefault="00347104" w:rsidP="00F500D7">
      <w:pPr>
        <w:tabs>
          <w:tab w:val="left" w:pos="5518"/>
        </w:tabs>
        <w:jc w:val="right"/>
        <w:rPr>
          <w:rFonts w:ascii="Cambria" w:hAnsi="Cambria"/>
          <w:b/>
          <w:bCs/>
          <w:sz w:val="20"/>
          <w:szCs w:val="20"/>
        </w:rPr>
      </w:pPr>
    </w:p>
    <w:p w14:paraId="304B6A54" w14:textId="2BA62812" w:rsidR="004C6C49" w:rsidRPr="0057470D" w:rsidRDefault="004C6C49" w:rsidP="004C6C49">
      <w:pPr>
        <w:jc w:val="center"/>
        <w:rPr>
          <w:rFonts w:ascii="Cambria" w:hAnsi="Cambria"/>
          <w:b/>
          <w:sz w:val="20"/>
          <w:szCs w:val="20"/>
        </w:rPr>
      </w:pPr>
      <w:r w:rsidRPr="0057470D">
        <w:rPr>
          <w:rFonts w:ascii="Cambria" w:hAnsi="Cambria"/>
          <w:b/>
          <w:sz w:val="20"/>
          <w:szCs w:val="20"/>
        </w:rPr>
        <w:t>Page de garde accompagnant les nouvelles propositions</w:t>
      </w:r>
    </w:p>
    <w:p w14:paraId="583AF6B3" w14:textId="77777777" w:rsidR="004C6C49" w:rsidRPr="0057470D" w:rsidRDefault="004C6C49" w:rsidP="004C6C49">
      <w:pPr>
        <w:jc w:val="center"/>
        <w:rPr>
          <w:rFonts w:ascii="Cambria" w:hAnsi="Cambria"/>
          <w:b/>
          <w:bCs/>
          <w:i/>
          <w:iCs/>
          <w:sz w:val="20"/>
          <w:szCs w:val="20"/>
        </w:rPr>
      </w:pPr>
    </w:p>
    <w:p w14:paraId="6917173A" w14:textId="77777777" w:rsidR="004C6C49" w:rsidRPr="0057470D" w:rsidRDefault="004C6C49" w:rsidP="004C6C49">
      <w:pPr>
        <w:jc w:val="center"/>
        <w:rPr>
          <w:rFonts w:ascii="Cambria" w:hAnsi="Cambria"/>
          <w:i/>
          <w:iCs/>
          <w:sz w:val="20"/>
          <w:szCs w:val="20"/>
        </w:rPr>
      </w:pPr>
      <w:r w:rsidRPr="0057470D">
        <w:rPr>
          <w:rFonts w:ascii="Cambria" w:hAnsi="Cambria"/>
          <w:i/>
          <w:sz w:val="20"/>
          <w:szCs w:val="20"/>
        </w:rPr>
        <w:t>(présenté par la Barbade, le Belize et la Grenade)</w:t>
      </w:r>
    </w:p>
    <w:p w14:paraId="35E302FC" w14:textId="77777777" w:rsidR="004C6C49" w:rsidRPr="0057470D" w:rsidRDefault="004C6C49" w:rsidP="004C6C49">
      <w:pPr>
        <w:jc w:val="center"/>
        <w:rPr>
          <w:rFonts w:ascii="Cambria" w:hAnsi="Cambria"/>
          <w:i/>
          <w:iCs/>
          <w:sz w:val="20"/>
          <w:szCs w:val="20"/>
        </w:rPr>
      </w:pPr>
    </w:p>
    <w:p w14:paraId="60F63B23" w14:textId="2DF5786C" w:rsidR="004C6C49" w:rsidRPr="00C20797" w:rsidRDefault="004C6C49" w:rsidP="004C6C49">
      <w:pPr>
        <w:jc w:val="both"/>
        <w:outlineLvl w:val="0"/>
        <w:rPr>
          <w:rFonts w:ascii="Cambria" w:hAnsi="Cambria" w:cstheme="minorHAnsi"/>
          <w:bCs/>
          <w:i/>
          <w:iCs/>
          <w:color w:val="EE0000"/>
          <w:sz w:val="20"/>
          <w:szCs w:val="20"/>
          <w:u w:val="single"/>
        </w:rPr>
      </w:pPr>
      <w:r w:rsidRPr="0057470D">
        <w:rPr>
          <w:rFonts w:ascii="Cambria" w:hAnsi="Cambria"/>
          <w:b/>
          <w:sz w:val="20"/>
          <w:szCs w:val="20"/>
        </w:rPr>
        <w:t xml:space="preserve">Titre de la proposition de projet de Recommandation/Résolution : </w:t>
      </w:r>
      <w:r w:rsidRPr="00C20797">
        <w:rPr>
          <w:rFonts w:ascii="Cambria" w:hAnsi="Cambria"/>
          <w:i/>
          <w:iCs/>
          <w:color w:val="EE0000"/>
          <w:sz w:val="20"/>
          <w:szCs w:val="20"/>
        </w:rPr>
        <w:t>Projet de Recommandation de l'ICCAT visant à établir des programmes de rétablissement pour le makaire bleu et le makaire blanc/makaire épée</w:t>
      </w:r>
    </w:p>
    <w:p w14:paraId="61479364" w14:textId="77777777" w:rsidR="004C6C49" w:rsidRPr="0057470D" w:rsidRDefault="004C6C49" w:rsidP="004C6C49">
      <w:pPr>
        <w:jc w:val="both"/>
        <w:outlineLvl w:val="0"/>
        <w:rPr>
          <w:rFonts w:ascii="Cambria" w:hAnsi="Cambria"/>
          <w:bCs/>
          <w:color w:val="EE0000"/>
          <w:sz w:val="20"/>
          <w:szCs w:val="20"/>
          <w:u w:val="single"/>
        </w:rPr>
      </w:pPr>
    </w:p>
    <w:p w14:paraId="11EE4FD4" w14:textId="77777777" w:rsidR="004C6C49" w:rsidRPr="0057470D" w:rsidRDefault="004C6C49" w:rsidP="004C6C49">
      <w:pPr>
        <w:jc w:val="both"/>
        <w:rPr>
          <w:rFonts w:ascii="Cambria" w:hAnsi="Cambria"/>
          <w:color w:val="EE0000"/>
          <w:sz w:val="20"/>
          <w:szCs w:val="20"/>
        </w:rPr>
      </w:pPr>
      <w:r w:rsidRPr="0057470D">
        <w:rPr>
          <w:rFonts w:ascii="Cambria" w:hAnsi="Cambria"/>
          <w:b/>
          <w:sz w:val="20"/>
          <w:szCs w:val="20"/>
        </w:rPr>
        <w:t xml:space="preserve">Titre de la ou des Recommandations ou Résolutions en vigueur traitant des mêmes questions ou de questions connexes : </w:t>
      </w:r>
      <w:r w:rsidRPr="0057470D">
        <w:rPr>
          <w:rFonts w:ascii="Cambria" w:hAnsi="Cambria"/>
          <w:i/>
          <w:iCs/>
          <w:color w:val="EE0000"/>
          <w:sz w:val="20"/>
          <w:szCs w:val="20"/>
        </w:rPr>
        <w:t>Recommandation de l'ICCAT visant à établir des programmes de rétablissement pour le makaire bleu et le makaire blanc/makaire épée</w:t>
      </w:r>
      <w:r w:rsidRPr="0057470D">
        <w:rPr>
          <w:rFonts w:ascii="Cambria" w:hAnsi="Cambria"/>
          <w:color w:val="EE0000"/>
          <w:sz w:val="20"/>
          <w:szCs w:val="20"/>
        </w:rPr>
        <w:t xml:space="preserve"> (Rec. 19-05)</w:t>
      </w:r>
    </w:p>
    <w:p w14:paraId="31059C20" w14:textId="77777777" w:rsidR="008C065C" w:rsidRPr="0057470D" w:rsidRDefault="008C065C" w:rsidP="004C6C49">
      <w:pPr>
        <w:jc w:val="both"/>
        <w:rPr>
          <w:rFonts w:ascii="Cambria" w:hAnsi="Cambria"/>
          <w:color w:val="EE0000"/>
          <w:sz w:val="20"/>
          <w:szCs w:val="20"/>
        </w:rPr>
      </w:pPr>
    </w:p>
    <w:p w14:paraId="7E792C16" w14:textId="77777777" w:rsidR="004C6C49" w:rsidRPr="0057470D" w:rsidRDefault="004C6C49" w:rsidP="004C6C49">
      <w:pPr>
        <w:jc w:val="both"/>
        <w:rPr>
          <w:rFonts w:ascii="Cambria" w:hAnsi="Cambria"/>
          <w:sz w:val="20"/>
          <w:szCs w:val="20"/>
        </w:rPr>
      </w:pPr>
      <w:r w:rsidRPr="0057470D">
        <w:rPr>
          <w:rFonts w:ascii="Cambria" w:hAnsi="Cambria"/>
          <w:i/>
          <w:iCs/>
          <w:color w:val="EE0000"/>
          <w:sz w:val="20"/>
          <w:szCs w:val="20"/>
        </w:rPr>
        <w:t>Recommandation de l’ICCAT visant à accorder des mesures provisoires aux CPC côtières en développement de l’ICCAT au titre des circonstances atténuantes résultant de la Recommandation 19-05</w:t>
      </w:r>
      <w:r w:rsidRPr="0057470D">
        <w:rPr>
          <w:rFonts w:ascii="Cambria" w:hAnsi="Cambria"/>
          <w:color w:val="EE0000"/>
          <w:sz w:val="20"/>
          <w:szCs w:val="20"/>
        </w:rPr>
        <w:t xml:space="preserve"> (Rec. 25-06)</w:t>
      </w:r>
    </w:p>
    <w:p w14:paraId="099D516A" w14:textId="77777777" w:rsidR="004C6C49" w:rsidRPr="0057470D" w:rsidRDefault="004C6C49" w:rsidP="004C6C49">
      <w:pPr>
        <w:jc w:val="both"/>
        <w:rPr>
          <w:rFonts w:ascii="Cambria" w:hAnsi="Cambria"/>
          <w:bCs/>
          <w:i/>
          <w:iCs/>
          <w:color w:val="EE0000"/>
          <w:spacing w:val="-2"/>
          <w:sz w:val="20"/>
          <w:szCs w:val="20"/>
        </w:rPr>
      </w:pPr>
    </w:p>
    <w:p w14:paraId="734907ED" w14:textId="77777777" w:rsidR="004C6C49" w:rsidRPr="0057470D" w:rsidRDefault="004C6C49" w:rsidP="004C6C49">
      <w:pPr>
        <w:ind w:left="318"/>
        <w:jc w:val="both"/>
        <w:rPr>
          <w:rFonts w:ascii="Cambria" w:hAnsi="Cambria"/>
          <w:sz w:val="20"/>
          <w:szCs w:val="20"/>
        </w:rPr>
      </w:pPr>
    </w:p>
    <w:p w14:paraId="53C206AF" w14:textId="77777777" w:rsidR="004C6C49" w:rsidRPr="0057470D" w:rsidRDefault="004C6C49" w:rsidP="004C6C49">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57470D">
        <w:rPr>
          <w:rFonts w:ascii="Cambria" w:hAnsi="Cambria"/>
          <w:sz w:val="20"/>
          <w:szCs w:val="20"/>
        </w:rPr>
        <w:t xml:space="preserve">Cela crée-t-il de nouvelles </w:t>
      </w:r>
      <w:r w:rsidRPr="0057470D">
        <w:rPr>
          <w:rFonts w:ascii="Cambria" w:hAnsi="Cambria"/>
          <w:b/>
          <w:sz w:val="20"/>
          <w:szCs w:val="20"/>
        </w:rPr>
        <w:t xml:space="preserve">obligations de déclaration </w:t>
      </w:r>
      <w:r w:rsidRPr="0057470D">
        <w:rPr>
          <w:rFonts w:ascii="Cambria" w:hAnsi="Cambria"/>
          <w:sz w:val="20"/>
          <w:szCs w:val="20"/>
        </w:rPr>
        <w:t xml:space="preserve">pour les CPC ?     Oui  </w:t>
      </w:r>
      <w:sdt>
        <w:sdtPr>
          <w:rPr>
            <w:rFonts w:ascii="Cambria" w:hAnsi="Cambria"/>
            <w:spacing w:val="-2"/>
            <w:sz w:val="20"/>
            <w:szCs w:val="20"/>
          </w:rPr>
          <w:id w:val="1086880314"/>
          <w14:checkbox>
            <w14:checked w14:val="0"/>
            <w14:checkedState w14:val="2612" w14:font="MS Gothic"/>
            <w14:uncheckedState w14:val="2610" w14:font="MS Gothic"/>
          </w14:checkbox>
        </w:sdtPr>
        <w:sdtContent>
          <w:r w:rsidRPr="0057470D">
            <w:rPr>
              <w:rFonts w:ascii="Segoe UI Symbol" w:eastAsia="MS Gothic" w:hAnsi="Segoe UI Symbol" w:cs="Segoe UI Symbol"/>
              <w:spacing w:val="-2"/>
              <w:sz w:val="20"/>
              <w:szCs w:val="20"/>
            </w:rPr>
            <w:t>☐</w:t>
          </w:r>
        </w:sdtContent>
      </w:sdt>
      <w:r w:rsidRPr="0057470D">
        <w:rPr>
          <w:rFonts w:ascii="Cambria" w:hAnsi="Cambria"/>
          <w:sz w:val="20"/>
          <w:szCs w:val="20"/>
        </w:rPr>
        <w:tab/>
        <w:t xml:space="preserve"> </w:t>
      </w:r>
      <w:r w:rsidRPr="0057470D">
        <w:rPr>
          <w:rFonts w:ascii="Cambria" w:hAnsi="Cambria"/>
          <w:color w:val="EE0000"/>
          <w:sz w:val="20"/>
          <w:szCs w:val="20"/>
        </w:rPr>
        <w:t xml:space="preserve">Non </w:t>
      </w:r>
      <w:sdt>
        <w:sdtPr>
          <w:rPr>
            <w:rFonts w:ascii="Cambria" w:hAnsi="Cambria"/>
            <w:color w:val="EE0000"/>
            <w:spacing w:val="-2"/>
            <w:sz w:val="20"/>
            <w:szCs w:val="20"/>
          </w:rPr>
          <w:id w:val="-1567872128"/>
          <w14:checkbox>
            <w14:checked w14:val="1"/>
            <w14:checkedState w14:val="2612" w14:font="MS Gothic"/>
            <w14:uncheckedState w14:val="2610" w14:font="MS Gothic"/>
          </w14:checkbox>
        </w:sdtPr>
        <w:sdtContent>
          <w:r w:rsidRPr="0057470D">
            <w:rPr>
              <w:rFonts w:ascii="Segoe UI Symbol" w:eastAsia="MS Gothic" w:hAnsi="Segoe UI Symbol" w:cs="Segoe UI Symbol"/>
              <w:color w:val="EE0000"/>
              <w:spacing w:val="-2"/>
              <w:sz w:val="20"/>
              <w:szCs w:val="20"/>
            </w:rPr>
            <w:t>☒</w:t>
          </w:r>
        </w:sdtContent>
      </w:sdt>
    </w:p>
    <w:p w14:paraId="55873D84" w14:textId="77777777" w:rsidR="004C6C49" w:rsidRPr="0057470D" w:rsidRDefault="004C6C49" w:rsidP="004C6C49">
      <w:pPr>
        <w:pStyle w:val="BodyText"/>
      </w:pPr>
    </w:p>
    <w:p w14:paraId="404FD7E8" w14:textId="77777777" w:rsidR="004C6C49" w:rsidRPr="0057470D" w:rsidRDefault="004C6C49" w:rsidP="004C6C49">
      <w:pPr>
        <w:ind w:left="426"/>
        <w:jc w:val="both"/>
        <w:rPr>
          <w:rFonts w:ascii="Cambria" w:hAnsi="Cambria"/>
          <w:color w:val="EE0000"/>
          <w:sz w:val="20"/>
          <w:szCs w:val="20"/>
        </w:rPr>
      </w:pPr>
      <w:r w:rsidRPr="0057470D">
        <w:rPr>
          <w:rFonts w:ascii="Cambria" w:hAnsi="Cambria"/>
          <w:sz w:val="20"/>
          <w:szCs w:val="20"/>
        </w:rPr>
        <w:t xml:space="preserve">Brève description de la ou des nouvelle(s) obligation(s) de déclaration : </w:t>
      </w:r>
    </w:p>
    <w:p w14:paraId="521AA8C9" w14:textId="77777777" w:rsidR="004C6C49" w:rsidRPr="0057470D" w:rsidRDefault="004C6C49" w:rsidP="004C6C49">
      <w:pPr>
        <w:pStyle w:val="BodyText"/>
      </w:pPr>
    </w:p>
    <w:p w14:paraId="63CA0820" w14:textId="77777777" w:rsidR="004C6C49" w:rsidRPr="0057470D" w:rsidRDefault="004C6C49" w:rsidP="004C6C49">
      <w:pPr>
        <w:ind w:left="318"/>
        <w:rPr>
          <w:rFonts w:ascii="Cambria" w:hAnsi="Cambria"/>
          <w:sz w:val="20"/>
          <w:szCs w:val="20"/>
        </w:rPr>
      </w:pPr>
    </w:p>
    <w:p w14:paraId="58A69D0C" w14:textId="7CDCD9E6" w:rsidR="004C6C49" w:rsidRPr="0057470D" w:rsidRDefault="004C6C49" w:rsidP="004C6C49">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57470D">
        <w:rPr>
          <w:rFonts w:ascii="Cambria" w:hAnsi="Cambria"/>
          <w:sz w:val="20"/>
          <w:szCs w:val="20"/>
        </w:rPr>
        <w:t xml:space="preserve">Cela nécessite-t-il une contribution ou un </w:t>
      </w:r>
      <w:r w:rsidRPr="0057470D">
        <w:rPr>
          <w:rFonts w:ascii="Cambria" w:hAnsi="Cambria"/>
          <w:b/>
          <w:sz w:val="20"/>
          <w:szCs w:val="20"/>
        </w:rPr>
        <w:t>travail</w:t>
      </w:r>
      <w:r w:rsidRPr="0057470D">
        <w:rPr>
          <w:rFonts w:ascii="Cambria" w:hAnsi="Cambria"/>
          <w:sz w:val="20"/>
          <w:szCs w:val="20"/>
        </w:rPr>
        <w:t xml:space="preserve"> supplémentaire </w:t>
      </w:r>
      <w:r w:rsidRPr="0057470D">
        <w:rPr>
          <w:rFonts w:ascii="Cambria" w:hAnsi="Cambria"/>
          <w:b/>
          <w:sz w:val="20"/>
          <w:szCs w:val="20"/>
        </w:rPr>
        <w:t>de la part du SCRS</w:t>
      </w:r>
      <w:r w:rsidRPr="0057470D">
        <w:rPr>
          <w:rFonts w:ascii="Cambria" w:hAnsi="Cambria"/>
          <w:sz w:val="20"/>
          <w:szCs w:val="20"/>
        </w:rPr>
        <w:t xml:space="preserve"> ?  Oui </w:t>
      </w:r>
      <w:sdt>
        <w:sdtPr>
          <w:rPr>
            <w:rFonts w:ascii="Cambria" w:hAnsi="Cambria"/>
            <w:spacing w:val="-2"/>
            <w:sz w:val="20"/>
            <w:szCs w:val="20"/>
          </w:rPr>
          <w:id w:val="-820036170"/>
          <w14:checkbox>
            <w14:checked w14:val="0"/>
            <w14:checkedState w14:val="2612" w14:font="MS Gothic"/>
            <w14:uncheckedState w14:val="2610" w14:font="MS Gothic"/>
          </w14:checkbox>
        </w:sdtPr>
        <w:sdtContent>
          <w:r w:rsidRPr="0057470D">
            <w:rPr>
              <w:rFonts w:ascii="Segoe UI Symbol" w:eastAsia="MS Gothic" w:hAnsi="Segoe UI Symbol" w:cs="Segoe UI Symbol"/>
              <w:spacing w:val="-2"/>
              <w:sz w:val="20"/>
              <w:szCs w:val="20"/>
            </w:rPr>
            <w:t>☐</w:t>
          </w:r>
        </w:sdtContent>
      </w:sdt>
      <w:r w:rsidRPr="0057470D">
        <w:rPr>
          <w:rFonts w:ascii="Cambria" w:hAnsi="Cambria"/>
          <w:sz w:val="20"/>
          <w:szCs w:val="20"/>
        </w:rPr>
        <w:t xml:space="preserve">   </w:t>
      </w:r>
      <w:r w:rsidRPr="0057470D">
        <w:rPr>
          <w:rFonts w:ascii="Cambria" w:hAnsi="Cambria"/>
          <w:color w:val="EE0000"/>
          <w:sz w:val="20"/>
          <w:szCs w:val="20"/>
        </w:rPr>
        <w:t xml:space="preserve">Non </w:t>
      </w:r>
      <w:sdt>
        <w:sdtPr>
          <w:rPr>
            <w:rFonts w:ascii="Cambria" w:hAnsi="Cambria"/>
            <w:color w:val="EE0000"/>
            <w:spacing w:val="-2"/>
            <w:sz w:val="20"/>
            <w:szCs w:val="20"/>
          </w:rPr>
          <w:id w:val="-446314870"/>
          <w14:checkbox>
            <w14:checked w14:val="1"/>
            <w14:checkedState w14:val="2612" w14:font="MS Gothic"/>
            <w14:uncheckedState w14:val="2610" w14:font="MS Gothic"/>
          </w14:checkbox>
        </w:sdtPr>
        <w:sdtContent>
          <w:r w:rsidRPr="0057470D">
            <w:rPr>
              <w:rFonts w:ascii="Segoe UI Symbol" w:eastAsia="MS Gothic" w:hAnsi="Segoe UI Symbol" w:cs="Segoe UI Symbol"/>
              <w:color w:val="EE0000"/>
              <w:spacing w:val="-2"/>
              <w:sz w:val="20"/>
              <w:szCs w:val="20"/>
            </w:rPr>
            <w:t>☒</w:t>
          </w:r>
        </w:sdtContent>
      </w:sdt>
    </w:p>
    <w:p w14:paraId="0AE3C502" w14:textId="77777777" w:rsidR="004C6C49" w:rsidRPr="0057470D" w:rsidRDefault="004C6C49" w:rsidP="004C6C49">
      <w:pPr>
        <w:ind w:left="360"/>
        <w:rPr>
          <w:rFonts w:ascii="Cambria" w:hAnsi="Cambria"/>
          <w:sz w:val="20"/>
          <w:szCs w:val="20"/>
        </w:rPr>
      </w:pPr>
    </w:p>
    <w:p w14:paraId="5F098390" w14:textId="77777777" w:rsidR="004C6C49" w:rsidRPr="0057470D" w:rsidRDefault="004C6C49" w:rsidP="004C6C49">
      <w:pPr>
        <w:ind w:left="360" w:firstLine="66"/>
        <w:jc w:val="both"/>
        <w:rPr>
          <w:rFonts w:ascii="Cambria" w:hAnsi="Cambria"/>
          <w:sz w:val="20"/>
          <w:szCs w:val="20"/>
        </w:rPr>
      </w:pPr>
      <w:r w:rsidRPr="0057470D">
        <w:rPr>
          <w:rFonts w:ascii="Cambria" w:hAnsi="Cambria"/>
          <w:sz w:val="20"/>
          <w:szCs w:val="20"/>
        </w:rPr>
        <w:t xml:space="preserve">Ce travail est-il déjà inclus dans le plan de travail actuel du SCRS ? </w:t>
      </w:r>
      <w:r w:rsidRPr="0057470D">
        <w:rPr>
          <w:rFonts w:ascii="Cambria" w:hAnsi="Cambria"/>
          <w:color w:val="EE0000"/>
          <w:sz w:val="20"/>
          <w:szCs w:val="20"/>
        </w:rPr>
        <w:t xml:space="preserve">Oui </w:t>
      </w:r>
      <w:sdt>
        <w:sdtPr>
          <w:rPr>
            <w:rFonts w:ascii="Cambria" w:hAnsi="Cambria"/>
            <w:color w:val="EE0000"/>
            <w:spacing w:val="-2"/>
            <w:sz w:val="20"/>
            <w:szCs w:val="20"/>
          </w:rPr>
          <w:id w:val="1464841621"/>
          <w14:checkbox>
            <w14:checked w14:val="1"/>
            <w14:checkedState w14:val="2612" w14:font="MS Gothic"/>
            <w14:uncheckedState w14:val="2610" w14:font="MS Gothic"/>
          </w14:checkbox>
        </w:sdtPr>
        <w:sdtContent>
          <w:r w:rsidRPr="0057470D">
            <w:rPr>
              <w:rFonts w:ascii="Segoe UI Symbol" w:eastAsia="MS Gothic" w:hAnsi="Segoe UI Symbol" w:cs="Segoe UI Symbol"/>
              <w:color w:val="EE0000"/>
              <w:spacing w:val="-2"/>
              <w:sz w:val="20"/>
              <w:szCs w:val="20"/>
            </w:rPr>
            <w:t>☒</w:t>
          </w:r>
        </w:sdtContent>
      </w:sdt>
      <w:r w:rsidRPr="0057470D">
        <w:rPr>
          <w:rFonts w:ascii="Cambria" w:hAnsi="Cambria"/>
          <w:sz w:val="20"/>
          <w:szCs w:val="20"/>
        </w:rPr>
        <w:tab/>
        <w:t xml:space="preserve">Non </w:t>
      </w:r>
      <w:sdt>
        <w:sdtPr>
          <w:rPr>
            <w:rFonts w:ascii="Cambria" w:hAnsi="Cambria"/>
            <w:spacing w:val="-2"/>
            <w:sz w:val="20"/>
            <w:szCs w:val="20"/>
          </w:rPr>
          <w:id w:val="-1095398863"/>
          <w14:checkbox>
            <w14:checked w14:val="0"/>
            <w14:checkedState w14:val="2612" w14:font="MS Gothic"/>
            <w14:uncheckedState w14:val="2610" w14:font="MS Gothic"/>
          </w14:checkbox>
        </w:sdtPr>
        <w:sdtContent>
          <w:r w:rsidRPr="0057470D">
            <w:rPr>
              <w:rFonts w:ascii="Segoe UI Symbol" w:eastAsia="MS Gothic" w:hAnsi="Segoe UI Symbol" w:cs="Segoe UI Symbol"/>
              <w:spacing w:val="-2"/>
              <w:sz w:val="20"/>
              <w:szCs w:val="20"/>
            </w:rPr>
            <w:t>☐</w:t>
          </w:r>
        </w:sdtContent>
      </w:sdt>
    </w:p>
    <w:p w14:paraId="0B09211A" w14:textId="77777777" w:rsidR="004C6C49" w:rsidRPr="0057470D" w:rsidRDefault="004C6C49" w:rsidP="004C6C49">
      <w:pPr>
        <w:ind w:left="360"/>
        <w:rPr>
          <w:rFonts w:ascii="Cambria" w:hAnsi="Cambria"/>
          <w:sz w:val="20"/>
          <w:szCs w:val="20"/>
        </w:rPr>
      </w:pPr>
    </w:p>
    <w:p w14:paraId="7847AA99" w14:textId="36D3A843" w:rsidR="004C6C49" w:rsidRPr="0057470D" w:rsidRDefault="004C6C49" w:rsidP="00D65BE6">
      <w:pPr>
        <w:ind w:left="426"/>
        <w:jc w:val="both"/>
        <w:rPr>
          <w:rFonts w:ascii="Cambria" w:hAnsi="Cambria"/>
          <w:color w:val="EE0000"/>
          <w:spacing w:val="-2"/>
          <w:sz w:val="20"/>
          <w:szCs w:val="20"/>
        </w:rPr>
      </w:pPr>
      <w:r w:rsidRPr="0057470D">
        <w:rPr>
          <w:rFonts w:ascii="Cambria" w:hAnsi="Cambria"/>
          <w:sz w:val="20"/>
          <w:szCs w:val="20"/>
        </w:rPr>
        <w:t>Brève description des nouveaux travaux scientifiques requis (évaluation des stocks, analyse, consultant externe)</w:t>
      </w:r>
      <w:r w:rsidR="00D65BE6">
        <w:rPr>
          <w:rFonts w:ascii="Cambria" w:hAnsi="Cambria"/>
          <w:sz w:val="20"/>
          <w:szCs w:val="20"/>
        </w:rPr>
        <w:t> :</w:t>
      </w:r>
    </w:p>
    <w:p w14:paraId="7068ACB6" w14:textId="77777777" w:rsidR="004C6C49" w:rsidRPr="0057470D" w:rsidRDefault="004C6C49" w:rsidP="004C6C49">
      <w:pPr>
        <w:ind w:left="360" w:firstLine="66"/>
        <w:jc w:val="both"/>
        <w:rPr>
          <w:rFonts w:ascii="Cambria" w:hAnsi="Cambria"/>
          <w:sz w:val="20"/>
          <w:szCs w:val="20"/>
        </w:rPr>
      </w:pPr>
    </w:p>
    <w:p w14:paraId="7AB6A8FE" w14:textId="77777777" w:rsidR="004C6C49" w:rsidRPr="0057470D" w:rsidRDefault="004C6C49" w:rsidP="004C6C49">
      <w:pPr>
        <w:ind w:left="318"/>
        <w:rPr>
          <w:rFonts w:ascii="Cambria" w:hAnsi="Cambria"/>
          <w:sz w:val="20"/>
          <w:szCs w:val="20"/>
        </w:rPr>
      </w:pPr>
    </w:p>
    <w:p w14:paraId="4C7E013F" w14:textId="77777777" w:rsidR="004C6C49" w:rsidRPr="0057470D" w:rsidRDefault="004C6C49" w:rsidP="004C6C49">
      <w:pPr>
        <w:pStyle w:val="ListParagraph"/>
        <w:widowControl w:val="0"/>
        <w:numPr>
          <w:ilvl w:val="0"/>
          <w:numId w:val="58"/>
        </w:numPr>
        <w:autoSpaceDE w:val="0"/>
        <w:autoSpaceDN w:val="0"/>
        <w:ind w:left="426" w:hanging="426"/>
        <w:contextualSpacing w:val="0"/>
        <w:jc w:val="both"/>
        <w:rPr>
          <w:rFonts w:ascii="Cambria" w:hAnsi="Cambria"/>
          <w:color w:val="EE0000"/>
          <w:sz w:val="20"/>
          <w:szCs w:val="20"/>
        </w:rPr>
      </w:pPr>
      <w:r w:rsidRPr="0057470D">
        <w:rPr>
          <w:rFonts w:ascii="Cambria" w:hAnsi="Cambria"/>
          <w:sz w:val="20"/>
          <w:szCs w:val="20"/>
        </w:rPr>
        <w:t xml:space="preserve">Cela implique-t-il la création d'un </w:t>
      </w:r>
      <w:r w:rsidRPr="0057470D">
        <w:rPr>
          <w:rFonts w:ascii="Cambria" w:hAnsi="Cambria"/>
          <w:b/>
          <w:sz w:val="20"/>
          <w:szCs w:val="20"/>
        </w:rPr>
        <w:t xml:space="preserve">nouveau groupe de travail ou d'un processus intersessions </w:t>
      </w:r>
      <w:r w:rsidRPr="0057470D">
        <w:rPr>
          <w:rFonts w:ascii="Cambria" w:hAnsi="Cambria"/>
          <w:sz w:val="20"/>
          <w:szCs w:val="20"/>
        </w:rPr>
        <w:t xml:space="preserve">?    Oui </w:t>
      </w:r>
      <w:sdt>
        <w:sdtPr>
          <w:rPr>
            <w:rFonts w:ascii="Cambria" w:hAnsi="Cambria"/>
            <w:spacing w:val="-2"/>
            <w:sz w:val="20"/>
            <w:szCs w:val="20"/>
          </w:rPr>
          <w:id w:val="-193456379"/>
          <w14:checkbox>
            <w14:checked w14:val="0"/>
            <w14:checkedState w14:val="2612" w14:font="MS Gothic"/>
            <w14:uncheckedState w14:val="2610" w14:font="MS Gothic"/>
          </w14:checkbox>
        </w:sdtPr>
        <w:sdtContent>
          <w:r w:rsidRPr="0057470D">
            <w:rPr>
              <w:rFonts w:ascii="Segoe UI Symbol" w:eastAsia="MS Gothic" w:hAnsi="Segoe UI Symbol" w:cs="Segoe UI Symbol"/>
              <w:spacing w:val="-2"/>
              <w:sz w:val="20"/>
              <w:szCs w:val="20"/>
            </w:rPr>
            <w:t>☐</w:t>
          </w:r>
        </w:sdtContent>
      </w:sdt>
      <w:r w:rsidRPr="0057470D">
        <w:rPr>
          <w:rFonts w:ascii="Cambria" w:hAnsi="Cambria"/>
          <w:sz w:val="20"/>
          <w:szCs w:val="20"/>
        </w:rPr>
        <w:t xml:space="preserve">      </w:t>
      </w:r>
      <w:r w:rsidRPr="0057470D">
        <w:rPr>
          <w:rFonts w:ascii="Cambria" w:hAnsi="Cambria"/>
          <w:color w:val="EE0000"/>
          <w:sz w:val="20"/>
          <w:szCs w:val="20"/>
        </w:rPr>
        <w:t xml:space="preserve">Non </w:t>
      </w:r>
      <w:sdt>
        <w:sdtPr>
          <w:rPr>
            <w:rFonts w:ascii="Cambria" w:hAnsi="Cambria"/>
            <w:color w:val="EE0000"/>
            <w:spacing w:val="-2"/>
            <w:sz w:val="20"/>
            <w:szCs w:val="20"/>
          </w:rPr>
          <w:id w:val="249629051"/>
          <w14:checkbox>
            <w14:checked w14:val="1"/>
            <w14:checkedState w14:val="2612" w14:font="MS Gothic"/>
            <w14:uncheckedState w14:val="2610" w14:font="MS Gothic"/>
          </w14:checkbox>
        </w:sdtPr>
        <w:sdtContent>
          <w:r w:rsidRPr="0057470D">
            <w:rPr>
              <w:rFonts w:ascii="Segoe UI Symbol" w:eastAsia="MS Gothic" w:hAnsi="Segoe UI Symbol" w:cs="Segoe UI Symbol"/>
              <w:color w:val="EE0000"/>
              <w:spacing w:val="-2"/>
              <w:sz w:val="20"/>
              <w:szCs w:val="20"/>
            </w:rPr>
            <w:t>☒</w:t>
          </w:r>
        </w:sdtContent>
      </w:sdt>
    </w:p>
    <w:p w14:paraId="1902BA29" w14:textId="77777777" w:rsidR="004C6C49" w:rsidRPr="0057470D" w:rsidRDefault="004C6C49" w:rsidP="004C6C49">
      <w:pPr>
        <w:ind w:left="318"/>
        <w:rPr>
          <w:rFonts w:ascii="Cambria" w:hAnsi="Cambria"/>
          <w:sz w:val="20"/>
          <w:szCs w:val="20"/>
        </w:rPr>
      </w:pPr>
    </w:p>
    <w:p w14:paraId="18AC7C6E" w14:textId="77777777" w:rsidR="004C6C49" w:rsidRPr="0057470D" w:rsidRDefault="004C6C49" w:rsidP="004C6C49">
      <w:pPr>
        <w:ind w:left="318"/>
        <w:rPr>
          <w:rFonts w:ascii="Cambria" w:hAnsi="Cambria"/>
          <w:sz w:val="20"/>
          <w:szCs w:val="20"/>
        </w:rPr>
      </w:pPr>
    </w:p>
    <w:p w14:paraId="2C2E5104" w14:textId="77777777" w:rsidR="004C6C49" w:rsidRPr="0057470D" w:rsidRDefault="004C6C49" w:rsidP="004C6C49">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57470D">
        <w:rPr>
          <w:rFonts w:ascii="Cambria" w:hAnsi="Cambria"/>
          <w:sz w:val="20"/>
          <w:szCs w:val="20"/>
        </w:rPr>
        <w:t xml:space="preserve">Cela nécessite-t-il un nouveau </w:t>
      </w:r>
      <w:r w:rsidRPr="0057470D">
        <w:rPr>
          <w:rFonts w:ascii="Cambria" w:hAnsi="Cambria"/>
          <w:b/>
          <w:sz w:val="20"/>
          <w:szCs w:val="20"/>
        </w:rPr>
        <w:t xml:space="preserve">programme ou des activités supplémentaires à gérer par le Secrétariat </w:t>
      </w:r>
      <w:r w:rsidRPr="0057470D">
        <w:rPr>
          <w:rFonts w:ascii="Cambria" w:hAnsi="Cambria"/>
          <w:sz w:val="20"/>
          <w:szCs w:val="20"/>
        </w:rPr>
        <w:t xml:space="preserve">?  </w:t>
      </w:r>
    </w:p>
    <w:p w14:paraId="07E6E41E" w14:textId="77777777" w:rsidR="004C6C49" w:rsidRPr="0057470D" w:rsidRDefault="004C6C49" w:rsidP="004C6C49">
      <w:pPr>
        <w:pStyle w:val="ListParagraph"/>
        <w:ind w:left="426"/>
        <w:rPr>
          <w:rFonts w:ascii="Cambria" w:hAnsi="Cambria"/>
          <w:spacing w:val="-2"/>
          <w:sz w:val="20"/>
          <w:szCs w:val="20"/>
        </w:rPr>
      </w:pPr>
    </w:p>
    <w:p w14:paraId="3FCA0853" w14:textId="77777777" w:rsidR="004C6C49" w:rsidRPr="0057470D" w:rsidRDefault="004C6C49" w:rsidP="004C6C49">
      <w:pPr>
        <w:pStyle w:val="ListParagraph"/>
        <w:ind w:left="426"/>
        <w:rPr>
          <w:rFonts w:ascii="Cambria" w:hAnsi="Cambria"/>
          <w:sz w:val="20"/>
          <w:szCs w:val="20"/>
        </w:rPr>
      </w:pPr>
      <w:r w:rsidRPr="0057470D">
        <w:rPr>
          <w:rFonts w:ascii="Cambria" w:hAnsi="Cambria"/>
          <w:sz w:val="20"/>
          <w:szCs w:val="20"/>
        </w:rPr>
        <w:t xml:space="preserve">Oui </w:t>
      </w:r>
      <w:sdt>
        <w:sdtPr>
          <w:rPr>
            <w:rFonts w:ascii="Cambria" w:hAnsi="Cambria"/>
            <w:spacing w:val="-2"/>
            <w:sz w:val="20"/>
            <w:szCs w:val="20"/>
          </w:rPr>
          <w:id w:val="-107511921"/>
          <w14:checkbox>
            <w14:checked w14:val="0"/>
            <w14:checkedState w14:val="2612" w14:font="MS Gothic"/>
            <w14:uncheckedState w14:val="2610" w14:font="MS Gothic"/>
          </w14:checkbox>
        </w:sdtPr>
        <w:sdtContent>
          <w:r w:rsidRPr="0057470D">
            <w:rPr>
              <w:rFonts w:ascii="Segoe UI Symbol" w:eastAsia="MS Gothic" w:hAnsi="Segoe UI Symbol" w:cs="Segoe UI Symbol"/>
              <w:spacing w:val="-2"/>
              <w:sz w:val="20"/>
              <w:szCs w:val="20"/>
            </w:rPr>
            <w:t>☐</w:t>
          </w:r>
        </w:sdtContent>
      </w:sdt>
      <w:r w:rsidRPr="0057470D">
        <w:rPr>
          <w:rFonts w:ascii="Cambria" w:hAnsi="Cambria"/>
          <w:sz w:val="20"/>
          <w:szCs w:val="20"/>
        </w:rPr>
        <w:t xml:space="preserve">      </w:t>
      </w:r>
      <w:r w:rsidRPr="0057470D">
        <w:rPr>
          <w:rFonts w:ascii="Cambria" w:hAnsi="Cambria"/>
          <w:color w:val="EE0000"/>
          <w:sz w:val="20"/>
          <w:szCs w:val="20"/>
        </w:rPr>
        <w:t xml:space="preserve">Non </w:t>
      </w:r>
      <w:sdt>
        <w:sdtPr>
          <w:rPr>
            <w:rFonts w:ascii="Cambria" w:hAnsi="Cambria"/>
            <w:color w:val="EE0000"/>
            <w:spacing w:val="-2"/>
            <w:sz w:val="20"/>
            <w:szCs w:val="20"/>
          </w:rPr>
          <w:id w:val="-1989780713"/>
          <w14:checkbox>
            <w14:checked w14:val="1"/>
            <w14:checkedState w14:val="2612" w14:font="MS Gothic"/>
            <w14:uncheckedState w14:val="2610" w14:font="MS Gothic"/>
          </w14:checkbox>
        </w:sdtPr>
        <w:sdtContent>
          <w:r w:rsidRPr="0057470D">
            <w:rPr>
              <w:rFonts w:ascii="Segoe UI Symbol" w:eastAsia="MS Gothic" w:hAnsi="Segoe UI Symbol" w:cs="Segoe UI Symbol"/>
              <w:color w:val="EE0000"/>
              <w:spacing w:val="-2"/>
              <w:sz w:val="20"/>
              <w:szCs w:val="20"/>
            </w:rPr>
            <w:t>☒</w:t>
          </w:r>
        </w:sdtContent>
      </w:sdt>
    </w:p>
    <w:p w14:paraId="44AE1F2F" w14:textId="77777777" w:rsidR="004C6C49" w:rsidRPr="0057470D" w:rsidRDefault="004C6C49" w:rsidP="004C6C49">
      <w:pPr>
        <w:ind w:left="318"/>
        <w:rPr>
          <w:rFonts w:ascii="Cambria" w:hAnsi="Cambria"/>
          <w:sz w:val="20"/>
          <w:szCs w:val="20"/>
        </w:rPr>
      </w:pPr>
    </w:p>
    <w:p w14:paraId="66EF2F67" w14:textId="77777777" w:rsidR="004C6C49" w:rsidRPr="0057470D" w:rsidRDefault="004C6C49" w:rsidP="004C6C49">
      <w:pPr>
        <w:ind w:left="360" w:firstLine="66"/>
        <w:jc w:val="both"/>
        <w:rPr>
          <w:rFonts w:ascii="Cambria" w:hAnsi="Cambria"/>
          <w:spacing w:val="-2"/>
          <w:sz w:val="20"/>
          <w:szCs w:val="20"/>
        </w:rPr>
      </w:pPr>
      <w:r w:rsidRPr="0057470D">
        <w:rPr>
          <w:rFonts w:ascii="Cambria" w:hAnsi="Cambria"/>
          <w:sz w:val="20"/>
          <w:szCs w:val="20"/>
        </w:rPr>
        <w:t>Brève description du nouveau travail requis pour le Secrétariat :</w:t>
      </w:r>
    </w:p>
    <w:p w14:paraId="00FA80C0" w14:textId="77777777" w:rsidR="004C6C49" w:rsidRPr="0057470D" w:rsidRDefault="004C6C49" w:rsidP="004C6C49">
      <w:pPr>
        <w:ind w:left="360" w:firstLine="66"/>
        <w:jc w:val="both"/>
        <w:rPr>
          <w:rFonts w:ascii="Cambria" w:hAnsi="Cambria"/>
          <w:spacing w:val="-2"/>
          <w:sz w:val="20"/>
          <w:szCs w:val="20"/>
        </w:rPr>
      </w:pPr>
    </w:p>
    <w:p w14:paraId="252A02AB" w14:textId="77777777" w:rsidR="004C6C49" w:rsidRPr="0057470D" w:rsidRDefault="004C6C49" w:rsidP="004C6C49">
      <w:pPr>
        <w:ind w:left="360" w:firstLine="66"/>
        <w:jc w:val="both"/>
        <w:rPr>
          <w:rFonts w:ascii="Cambria" w:hAnsi="Cambria"/>
          <w:spacing w:val="-2"/>
          <w:sz w:val="20"/>
          <w:szCs w:val="20"/>
        </w:rPr>
      </w:pPr>
    </w:p>
    <w:p w14:paraId="57B52772" w14:textId="78625C19" w:rsidR="004C6C49" w:rsidRPr="0057470D" w:rsidRDefault="004C6C49" w:rsidP="004C6C49">
      <w:pPr>
        <w:pStyle w:val="ListParagraph"/>
        <w:widowControl w:val="0"/>
        <w:numPr>
          <w:ilvl w:val="0"/>
          <w:numId w:val="58"/>
        </w:numPr>
        <w:autoSpaceDE w:val="0"/>
        <w:autoSpaceDN w:val="0"/>
        <w:ind w:left="426" w:hanging="426"/>
        <w:contextualSpacing w:val="0"/>
        <w:jc w:val="both"/>
        <w:rPr>
          <w:rFonts w:ascii="Cambria" w:hAnsi="Cambria"/>
          <w:spacing w:val="-2"/>
          <w:sz w:val="20"/>
          <w:szCs w:val="20"/>
        </w:rPr>
      </w:pPr>
      <w:r w:rsidRPr="0057470D">
        <w:rPr>
          <w:rFonts w:ascii="Cambria" w:hAnsi="Cambria"/>
          <w:sz w:val="20"/>
          <w:szCs w:val="20"/>
        </w:rPr>
        <w:t>Quel est le calendrier proposé pour la mise en œuvre, et existe-t-il des calendriers spécifiques différents pour certaines CPC, pêcheries, régions, etc.</w:t>
      </w:r>
      <w:r w:rsidR="007E7E5B">
        <w:rPr>
          <w:rFonts w:ascii="Cambria" w:hAnsi="Cambria"/>
          <w:sz w:val="20"/>
          <w:szCs w:val="20"/>
        </w:rPr>
        <w:t> ?</w:t>
      </w:r>
    </w:p>
    <w:p w14:paraId="5BB73723" w14:textId="77777777" w:rsidR="004C6C49" w:rsidRPr="0057470D" w:rsidRDefault="004C6C49" w:rsidP="004C6C49">
      <w:pPr>
        <w:pStyle w:val="ListParagraph"/>
        <w:ind w:left="426"/>
        <w:rPr>
          <w:rFonts w:ascii="Cambria" w:hAnsi="Cambria"/>
          <w:color w:val="EE0000"/>
          <w:spacing w:val="-2"/>
          <w:sz w:val="20"/>
          <w:szCs w:val="20"/>
        </w:rPr>
      </w:pPr>
    </w:p>
    <w:p w14:paraId="1ECB1F78" w14:textId="77777777" w:rsidR="004C6C49" w:rsidRPr="0057470D" w:rsidRDefault="004C6C49" w:rsidP="004C6C49">
      <w:pPr>
        <w:rPr>
          <w:rFonts w:ascii="Cambria" w:hAnsi="Cambria"/>
          <w:spacing w:val="-2"/>
          <w:sz w:val="20"/>
          <w:szCs w:val="20"/>
        </w:rPr>
      </w:pPr>
    </w:p>
    <w:p w14:paraId="71830BB1" w14:textId="2F7BD3F2" w:rsidR="004C6C49" w:rsidRPr="0057470D" w:rsidRDefault="004C6C49" w:rsidP="004C6C49">
      <w:pPr>
        <w:pStyle w:val="ListParagraph"/>
        <w:widowControl w:val="0"/>
        <w:numPr>
          <w:ilvl w:val="0"/>
          <w:numId w:val="58"/>
        </w:numPr>
        <w:autoSpaceDE w:val="0"/>
        <w:autoSpaceDN w:val="0"/>
        <w:ind w:left="426" w:hanging="426"/>
        <w:contextualSpacing w:val="0"/>
        <w:jc w:val="both"/>
        <w:rPr>
          <w:rFonts w:ascii="Cambria" w:hAnsi="Cambria"/>
          <w:spacing w:val="-2"/>
          <w:sz w:val="20"/>
          <w:szCs w:val="20"/>
        </w:rPr>
      </w:pPr>
      <w:r w:rsidRPr="0057470D">
        <w:rPr>
          <w:rFonts w:ascii="Cambria" w:hAnsi="Cambria"/>
          <w:sz w:val="20"/>
          <w:szCs w:val="20"/>
        </w:rPr>
        <w:t>Existe-t-il d'autres informations pertinentes concernant les implications de la proposition en termes de ressources et de charge de travail</w:t>
      </w:r>
      <w:r w:rsidR="007E7E5B">
        <w:rPr>
          <w:rFonts w:ascii="Cambria" w:hAnsi="Cambria"/>
          <w:sz w:val="20"/>
          <w:szCs w:val="20"/>
        </w:rPr>
        <w:t> ?</w:t>
      </w:r>
    </w:p>
    <w:p w14:paraId="4B6481FB" w14:textId="77777777" w:rsidR="004C6C49" w:rsidRPr="0057470D" w:rsidRDefault="004C6C49" w:rsidP="004C6C49">
      <w:pPr>
        <w:rPr>
          <w:rFonts w:ascii="Cambria" w:hAnsi="Cambria"/>
          <w:sz w:val="20"/>
          <w:szCs w:val="20"/>
        </w:rPr>
      </w:pPr>
    </w:p>
    <w:p w14:paraId="00DC0011" w14:textId="69DB5D9C" w:rsidR="004C6C49" w:rsidRPr="0057470D" w:rsidRDefault="004C6C49">
      <w:pPr>
        <w:spacing w:after="160" w:line="259" w:lineRule="auto"/>
        <w:rPr>
          <w:rFonts w:ascii="Cambria" w:hAnsi="Cambria"/>
          <w:b/>
          <w:bCs/>
          <w:sz w:val="20"/>
          <w:szCs w:val="20"/>
          <w:lang w:eastAsia="en-US"/>
        </w:rPr>
      </w:pPr>
    </w:p>
    <w:p w14:paraId="127FA1F6" w14:textId="41D37000" w:rsidR="004C6C49" w:rsidRPr="0057470D" w:rsidRDefault="004C6C49">
      <w:pPr>
        <w:spacing w:after="160" w:line="259" w:lineRule="auto"/>
        <w:rPr>
          <w:rFonts w:ascii="Cambria" w:hAnsi="Cambria"/>
          <w:b/>
          <w:bCs/>
          <w:sz w:val="20"/>
          <w:szCs w:val="20"/>
          <w:u w:val="single"/>
        </w:rPr>
      </w:pPr>
      <w:r w:rsidRPr="0057470D">
        <w:rPr>
          <w:rFonts w:ascii="Cambria" w:hAnsi="Cambria"/>
          <w:sz w:val="20"/>
          <w:szCs w:val="20"/>
        </w:rPr>
        <w:br w:type="page"/>
      </w:r>
    </w:p>
    <w:p w14:paraId="677C85F1" w14:textId="791BE925" w:rsidR="006A1BDD" w:rsidRPr="0057470D" w:rsidRDefault="006A1BDD" w:rsidP="004C6C49">
      <w:pPr>
        <w:widowControl w:val="0"/>
        <w:tabs>
          <w:tab w:val="left" w:pos="5208"/>
        </w:tabs>
        <w:rPr>
          <w:rFonts w:ascii="Cambria" w:hAnsi="Cambria"/>
          <w:b/>
          <w:bCs/>
          <w:sz w:val="20"/>
          <w:szCs w:val="20"/>
        </w:rPr>
      </w:pPr>
    </w:p>
    <w:p w14:paraId="12FB47AD" w14:textId="77777777" w:rsidR="006A1BDD" w:rsidRPr="0057470D" w:rsidRDefault="006A1BDD" w:rsidP="006A1BDD">
      <w:pPr>
        <w:widowControl w:val="0"/>
        <w:jc w:val="center"/>
        <w:rPr>
          <w:rFonts w:ascii="Cambria" w:hAnsi="Cambria"/>
          <w:i/>
          <w:iCs/>
          <w:sz w:val="20"/>
          <w:szCs w:val="20"/>
        </w:rPr>
      </w:pPr>
      <w:r w:rsidRPr="0057470D">
        <w:rPr>
          <w:rFonts w:ascii="Cambria" w:hAnsi="Cambria"/>
          <w:b/>
          <w:sz w:val="20"/>
          <w:szCs w:val="20"/>
        </w:rPr>
        <w:t>Projet de Recommandation de l'ICCAT visant à établir des programmes de rétablissement pour le makaire bleu et le makaire blanc/makaire épée</w:t>
      </w:r>
    </w:p>
    <w:p w14:paraId="4CF96480" w14:textId="77777777" w:rsidR="006A1BDD" w:rsidRPr="0057470D" w:rsidRDefault="006A1BDD" w:rsidP="006A1BDD">
      <w:pPr>
        <w:jc w:val="center"/>
        <w:rPr>
          <w:rFonts w:ascii="Cambria" w:hAnsi="Cambria"/>
          <w:i/>
          <w:iCs/>
          <w:sz w:val="20"/>
          <w:szCs w:val="20"/>
        </w:rPr>
      </w:pPr>
      <w:r w:rsidRPr="0057470D">
        <w:rPr>
          <w:rFonts w:ascii="Cambria" w:hAnsi="Cambria"/>
          <w:i/>
          <w:sz w:val="20"/>
          <w:szCs w:val="20"/>
        </w:rPr>
        <w:t xml:space="preserve">(nouvelle proposition visant à amender la Recommandation 19-05 </w:t>
      </w:r>
      <w:r w:rsidRPr="0057470D">
        <w:rPr>
          <w:rFonts w:ascii="Cambria" w:hAnsi="Cambria"/>
          <w:i/>
          <w:sz w:val="20"/>
          <w:szCs w:val="20"/>
          <w:u w:val="single"/>
        </w:rPr>
        <w:t>ainsi que la Recommandation 25-06</w:t>
      </w:r>
      <w:r w:rsidRPr="0057470D">
        <w:rPr>
          <w:rFonts w:ascii="Cambria" w:hAnsi="Cambria"/>
          <w:i/>
          <w:sz w:val="20"/>
          <w:szCs w:val="20"/>
        </w:rPr>
        <w:t xml:space="preserve"> existantes)</w:t>
      </w:r>
    </w:p>
    <w:p w14:paraId="1691531B" w14:textId="1DEF1E14" w:rsidR="006A1BDD" w:rsidRPr="0057470D" w:rsidRDefault="006A1BDD" w:rsidP="006A1BDD">
      <w:pPr>
        <w:widowControl w:val="0"/>
        <w:autoSpaceDE w:val="0"/>
        <w:autoSpaceDN w:val="0"/>
        <w:jc w:val="center"/>
        <w:rPr>
          <w:rFonts w:ascii="Cambria" w:eastAsia="Cambria" w:hAnsi="Cambria" w:cs="Cambria"/>
          <w:i/>
          <w:iCs/>
          <w:color w:val="000000"/>
          <w:sz w:val="20"/>
          <w:szCs w:val="20"/>
        </w:rPr>
      </w:pPr>
      <w:r w:rsidRPr="0057470D">
        <w:rPr>
          <w:rFonts w:ascii="Cambria" w:hAnsi="Cambria"/>
          <w:i/>
          <w:color w:val="000000"/>
          <w:sz w:val="20"/>
          <w:szCs w:val="20"/>
        </w:rPr>
        <w:t>(</w:t>
      </w:r>
      <w:r w:rsidRPr="0057470D">
        <w:rPr>
          <w:rFonts w:ascii="Cambria" w:hAnsi="Cambria"/>
          <w:i/>
          <w:sz w:val="20"/>
          <w:szCs w:val="20"/>
        </w:rPr>
        <w:t xml:space="preserve">présenté par le Belize, </w:t>
      </w:r>
      <w:r w:rsidRPr="0057470D">
        <w:rPr>
          <w:rFonts w:ascii="Cambria" w:hAnsi="Cambria"/>
          <w:i/>
          <w:sz w:val="20"/>
          <w:szCs w:val="20"/>
          <w:u w:val="single"/>
        </w:rPr>
        <w:t>la Barbade</w:t>
      </w:r>
      <w:r w:rsidRPr="0057470D">
        <w:rPr>
          <w:rFonts w:ascii="Cambria" w:hAnsi="Cambria"/>
          <w:i/>
          <w:sz w:val="20"/>
          <w:szCs w:val="20"/>
          <w:highlight w:val="yellow"/>
          <w:u w:val="single"/>
        </w:rPr>
        <w:t xml:space="preserve"> et la Grenade)</w:t>
      </w:r>
    </w:p>
    <w:p w14:paraId="602DFF3C" w14:textId="77777777" w:rsidR="006A1BDD" w:rsidRPr="0057470D" w:rsidRDefault="006A1BDD" w:rsidP="006A1BDD">
      <w:pPr>
        <w:widowControl w:val="0"/>
        <w:autoSpaceDE w:val="0"/>
        <w:autoSpaceDN w:val="0"/>
        <w:jc w:val="center"/>
        <w:rPr>
          <w:rFonts w:ascii="Cambria" w:eastAsia="Cambria" w:hAnsi="Cambria" w:cs="Cambria"/>
          <w:color w:val="000000"/>
          <w:sz w:val="20"/>
          <w:szCs w:val="20"/>
          <w:lang w:eastAsia="en-US"/>
        </w:rPr>
      </w:pPr>
    </w:p>
    <w:p w14:paraId="5FA58520" w14:textId="77777777" w:rsidR="006A1BDD" w:rsidRPr="0057470D" w:rsidRDefault="006A1BDD" w:rsidP="006A1BDD">
      <w:pPr>
        <w:widowControl w:val="0"/>
        <w:autoSpaceDE w:val="0"/>
        <w:autoSpaceDN w:val="0"/>
        <w:jc w:val="center"/>
        <w:rPr>
          <w:rFonts w:ascii="Cambria" w:hAnsi="Cambria" w:cs="Calibri"/>
          <w:color w:val="000000"/>
          <w:sz w:val="20"/>
          <w:szCs w:val="20"/>
          <w:lang w:eastAsia="en-US"/>
        </w:rPr>
      </w:pPr>
    </w:p>
    <w:p w14:paraId="6BF0FEC7" w14:textId="7058899B" w:rsidR="006A1BDD" w:rsidRPr="0057470D" w:rsidRDefault="006A1BDD" w:rsidP="006A1BDD">
      <w:pPr>
        <w:pBdr>
          <w:top w:val="nil"/>
          <w:left w:val="nil"/>
          <w:bottom w:val="nil"/>
          <w:right w:val="nil"/>
          <w:between w:val="nil"/>
        </w:pBdr>
        <w:ind w:right="142" w:firstLine="426"/>
        <w:jc w:val="both"/>
        <w:rPr>
          <w:rFonts w:ascii="Cambria" w:eastAsia="Cambria" w:hAnsi="Cambria" w:cs="Cambria"/>
          <w:color w:val="000000"/>
          <w:sz w:val="20"/>
          <w:szCs w:val="20"/>
        </w:rPr>
      </w:pPr>
      <w:r w:rsidRPr="0057470D">
        <w:rPr>
          <w:rFonts w:ascii="Cambria" w:hAnsi="Cambria"/>
          <w:i/>
          <w:color w:val="000000"/>
          <w:sz w:val="20"/>
          <w:szCs w:val="20"/>
        </w:rPr>
        <w:t>RAPPELANT</w:t>
      </w:r>
      <w:r w:rsidRPr="0057470D">
        <w:rPr>
          <w:rFonts w:ascii="Cambria" w:hAnsi="Cambria"/>
          <w:color w:val="000000"/>
          <w:sz w:val="20"/>
          <w:szCs w:val="20"/>
        </w:rPr>
        <w:t xml:space="preserve"> l'évaluation du stock de makaire bleu de 2000, qui concluait que ce stock se trouvait en dessous de B</w:t>
      </w:r>
      <w:r w:rsidRPr="0057470D">
        <w:rPr>
          <w:rFonts w:ascii="Cambria" w:hAnsi="Cambria"/>
          <w:color w:val="000000"/>
          <w:sz w:val="20"/>
          <w:szCs w:val="20"/>
          <w:vertAlign w:val="subscript"/>
        </w:rPr>
        <w:t>PME</w:t>
      </w:r>
      <w:r w:rsidRPr="0057470D">
        <w:rPr>
          <w:rFonts w:ascii="Cambria" w:hAnsi="Cambria"/>
          <w:color w:val="000000"/>
          <w:sz w:val="20"/>
          <w:szCs w:val="20"/>
        </w:rPr>
        <w:t xml:space="preserve"> (surexploité) et que la mortalité par pêche se situait au-delà de F</w:t>
      </w:r>
      <w:r w:rsidRPr="0057470D">
        <w:rPr>
          <w:rFonts w:ascii="Cambria" w:hAnsi="Cambria"/>
          <w:color w:val="000000"/>
          <w:sz w:val="20"/>
          <w:szCs w:val="20"/>
          <w:vertAlign w:val="subscript"/>
        </w:rPr>
        <w:t>PME</w:t>
      </w:r>
      <w:r w:rsidRPr="0057470D">
        <w:rPr>
          <w:rFonts w:ascii="Cambria" w:hAnsi="Cambria"/>
          <w:color w:val="000000"/>
          <w:sz w:val="20"/>
          <w:szCs w:val="20"/>
        </w:rPr>
        <w:t xml:space="preserve"> (faisant l’objet de surpêc</w:t>
      </w:r>
      <w:r w:rsidRPr="0057470D">
        <w:rPr>
          <w:rFonts w:ascii="Cambria" w:hAnsi="Cambria"/>
          <w:color w:val="000000"/>
          <w:sz w:val="20"/>
          <w:szCs w:val="20"/>
          <w:u w:val="single"/>
        </w:rPr>
        <w:t>he) ;</w:t>
      </w:r>
      <w:r w:rsidRPr="0057470D">
        <w:rPr>
          <w:rFonts w:ascii="Cambria" w:hAnsi="Cambria"/>
          <w:color w:val="000000"/>
          <w:sz w:val="20"/>
          <w:szCs w:val="20"/>
        </w:rPr>
        <w:t xml:space="preserve"> </w:t>
      </w:r>
    </w:p>
    <w:p w14:paraId="176B168D" w14:textId="77777777" w:rsidR="006A1BDD" w:rsidRPr="0057470D" w:rsidRDefault="006A1BDD" w:rsidP="006A1BDD">
      <w:pPr>
        <w:widowControl w:val="0"/>
        <w:pBdr>
          <w:top w:val="nil"/>
          <w:left w:val="nil"/>
          <w:bottom w:val="nil"/>
          <w:right w:val="nil"/>
          <w:between w:val="nil"/>
        </w:pBdr>
        <w:spacing w:before="3"/>
        <w:rPr>
          <w:rFonts w:ascii="Cambria" w:eastAsia="Cambria" w:hAnsi="Cambria" w:cs="Cambria"/>
          <w:color w:val="000000"/>
          <w:sz w:val="20"/>
          <w:szCs w:val="20"/>
          <w:lang w:eastAsia="en-US"/>
        </w:rPr>
      </w:pPr>
    </w:p>
    <w:p w14:paraId="024CD540" w14:textId="7DF3B90E" w:rsidR="006A1BDD" w:rsidRPr="0057470D" w:rsidRDefault="006A1BDD" w:rsidP="006A1BDD">
      <w:pPr>
        <w:widowControl w:val="0"/>
        <w:pBdr>
          <w:top w:val="nil"/>
          <w:left w:val="nil"/>
          <w:bottom w:val="nil"/>
          <w:right w:val="nil"/>
          <w:between w:val="nil"/>
        </w:pBdr>
        <w:ind w:right="142" w:firstLine="426"/>
        <w:jc w:val="both"/>
        <w:rPr>
          <w:rFonts w:ascii="Cambria" w:eastAsia="Cambria" w:hAnsi="Cambria" w:cs="Cambria"/>
          <w:color w:val="000000"/>
          <w:sz w:val="20"/>
          <w:szCs w:val="20"/>
        </w:rPr>
      </w:pPr>
      <w:r w:rsidRPr="0057470D">
        <w:rPr>
          <w:rFonts w:ascii="Cambria" w:hAnsi="Cambria"/>
          <w:i/>
          <w:iCs/>
          <w:color w:val="000000"/>
          <w:sz w:val="20"/>
          <w:szCs w:val="20"/>
        </w:rPr>
        <w:t>PRENANT ACTE</w:t>
      </w:r>
      <w:r w:rsidRPr="0057470D">
        <w:rPr>
          <w:rFonts w:ascii="Cambria" w:hAnsi="Cambria"/>
          <w:color w:val="000000"/>
          <w:sz w:val="20"/>
          <w:szCs w:val="20"/>
        </w:rPr>
        <w:t xml:space="preserve"> de l'évaluation de 2019 des stocks de makaire blanc /de makaire épée, qui a conclu qu'il n'y </w:t>
      </w:r>
      <w:r w:rsidRPr="0057470D">
        <w:rPr>
          <w:rFonts w:ascii="Cambria" w:hAnsi="Cambria"/>
          <w:color w:val="000000"/>
          <w:sz w:val="20"/>
          <w:szCs w:val="20"/>
          <w:u w:val="single"/>
        </w:rPr>
        <w:t>avait</w:t>
      </w:r>
      <w:r w:rsidRPr="0057470D">
        <w:rPr>
          <w:rFonts w:ascii="Cambria" w:hAnsi="Cambria"/>
          <w:color w:val="000000"/>
          <w:sz w:val="20"/>
          <w:szCs w:val="20"/>
        </w:rPr>
        <w:t xml:space="preserve"> pas de surpêche, mais que le stock restait surexploité après plus de vingt ans de gestion par l’ICCAT</w:t>
      </w:r>
      <w:r w:rsidR="00225ADA">
        <w:rPr>
          <w:rFonts w:ascii="Cambria" w:hAnsi="Cambria"/>
          <w:color w:val="000000"/>
          <w:sz w:val="20"/>
          <w:szCs w:val="20"/>
        </w:rPr>
        <w:t> ;</w:t>
      </w:r>
    </w:p>
    <w:p w14:paraId="589DAA4D" w14:textId="77777777" w:rsidR="006A1BDD" w:rsidRPr="0057470D" w:rsidRDefault="006A1BDD" w:rsidP="006A1BDD">
      <w:pPr>
        <w:widowControl w:val="0"/>
        <w:pBdr>
          <w:top w:val="nil"/>
          <w:left w:val="nil"/>
          <w:bottom w:val="nil"/>
          <w:right w:val="nil"/>
          <w:between w:val="nil"/>
        </w:pBdr>
        <w:ind w:left="141" w:right="141" w:firstLine="426"/>
        <w:jc w:val="both"/>
        <w:rPr>
          <w:rFonts w:ascii="Cambria" w:eastAsia="Cambria" w:hAnsi="Cambria" w:cs="Cambria"/>
          <w:sz w:val="20"/>
          <w:szCs w:val="20"/>
          <w:lang w:eastAsia="en-US"/>
        </w:rPr>
      </w:pPr>
    </w:p>
    <w:p w14:paraId="339B32B4" w14:textId="24094FCF" w:rsidR="006A1BDD" w:rsidRPr="0057470D" w:rsidRDefault="006A1BDD" w:rsidP="006A1BDD">
      <w:pPr>
        <w:widowControl w:val="0"/>
        <w:pBdr>
          <w:top w:val="nil"/>
          <w:left w:val="nil"/>
          <w:bottom w:val="nil"/>
          <w:right w:val="nil"/>
          <w:between w:val="nil"/>
        </w:pBdr>
        <w:ind w:right="142" w:firstLine="426"/>
        <w:jc w:val="both"/>
        <w:rPr>
          <w:rFonts w:ascii="Cambria" w:eastAsia="Cambria" w:hAnsi="Cambria" w:cs="Cambria"/>
          <w:sz w:val="20"/>
          <w:szCs w:val="20"/>
          <w:highlight w:val="yellow"/>
        </w:rPr>
      </w:pPr>
      <w:r w:rsidRPr="0057470D">
        <w:rPr>
          <w:rFonts w:ascii="Cambria" w:hAnsi="Cambria"/>
          <w:i/>
          <w:iCs/>
          <w:sz w:val="20"/>
          <w:szCs w:val="20"/>
          <w:highlight w:val="yellow"/>
          <w:u w:val="single"/>
        </w:rPr>
        <w:t>RAPPELANT EN OUTRE</w:t>
      </w:r>
      <w:r w:rsidRPr="0057470D">
        <w:rPr>
          <w:rFonts w:ascii="Cambria" w:hAnsi="Cambria"/>
          <w:sz w:val="20"/>
          <w:szCs w:val="20"/>
          <w:highlight w:val="yellow"/>
          <w:u w:val="single"/>
        </w:rPr>
        <w:t xml:space="preserve"> les évaluations des stocks de makaire bleu de 2024 et de makaire blanc/makaire épée de 2025, qui ont conclu qu’aucun de ces deux stocks ne faisait l’objet d’une surpêche, bien qu’ils restent tous deux en dessous de la B</w:t>
      </w:r>
      <w:r w:rsidRPr="0057470D">
        <w:rPr>
          <w:rFonts w:ascii="Cambria" w:hAnsi="Cambria"/>
          <w:sz w:val="20"/>
          <w:szCs w:val="20"/>
          <w:highlight w:val="yellow"/>
          <w:u w:val="single"/>
          <w:vertAlign w:val="subscript"/>
        </w:rPr>
        <w:t>PME</w:t>
      </w:r>
      <w:r w:rsidRPr="0057470D">
        <w:rPr>
          <w:rFonts w:ascii="Cambria" w:hAnsi="Cambria"/>
          <w:sz w:val="20"/>
          <w:szCs w:val="20"/>
          <w:highlight w:val="yellow"/>
          <w:u w:val="single"/>
        </w:rPr>
        <w:t xml:space="preserve"> (surexploités)</w:t>
      </w:r>
      <w:r w:rsidR="00225ADA">
        <w:rPr>
          <w:rFonts w:ascii="Cambria" w:hAnsi="Cambria"/>
          <w:sz w:val="20"/>
          <w:szCs w:val="20"/>
          <w:highlight w:val="yellow"/>
          <w:u w:val="single"/>
        </w:rPr>
        <w:t> ;</w:t>
      </w:r>
    </w:p>
    <w:p w14:paraId="63F4EEFE" w14:textId="77777777" w:rsidR="006A1BDD" w:rsidRPr="0057470D" w:rsidRDefault="006A1BDD" w:rsidP="006A1BDD">
      <w:pPr>
        <w:widowControl w:val="0"/>
        <w:pBdr>
          <w:top w:val="nil"/>
          <w:left w:val="nil"/>
          <w:bottom w:val="nil"/>
          <w:right w:val="nil"/>
          <w:between w:val="nil"/>
        </w:pBdr>
        <w:ind w:right="142" w:firstLine="426"/>
        <w:jc w:val="both"/>
        <w:rPr>
          <w:rFonts w:ascii="Cambria" w:eastAsia="Cambria" w:hAnsi="Cambria" w:cs="Cambria"/>
          <w:i/>
          <w:iCs/>
          <w:sz w:val="20"/>
          <w:szCs w:val="20"/>
          <w:lang w:eastAsia="en-US"/>
        </w:rPr>
      </w:pPr>
    </w:p>
    <w:p w14:paraId="46816AAD" w14:textId="223C386A" w:rsidR="006A1BDD" w:rsidRPr="0057470D" w:rsidRDefault="006A1BDD" w:rsidP="006A1BDD">
      <w:pPr>
        <w:widowControl w:val="0"/>
        <w:pBdr>
          <w:top w:val="nil"/>
          <w:left w:val="nil"/>
          <w:bottom w:val="nil"/>
          <w:right w:val="nil"/>
          <w:between w:val="nil"/>
        </w:pBdr>
        <w:ind w:right="142" w:firstLine="426"/>
        <w:jc w:val="both"/>
        <w:rPr>
          <w:rFonts w:ascii="Cambria" w:eastAsia="Cambria" w:hAnsi="Cambria" w:cs="Cambria"/>
          <w:color w:val="EE0000"/>
          <w:sz w:val="20"/>
          <w:szCs w:val="20"/>
        </w:rPr>
      </w:pPr>
      <w:r w:rsidRPr="0057470D">
        <w:rPr>
          <w:rFonts w:ascii="Cambria" w:hAnsi="Cambria"/>
          <w:i/>
          <w:iCs/>
          <w:sz w:val="20"/>
          <w:szCs w:val="20"/>
        </w:rPr>
        <w:t>CONSCIENTE</w:t>
      </w:r>
      <w:r w:rsidRPr="0057470D">
        <w:rPr>
          <w:rFonts w:ascii="Cambria" w:hAnsi="Cambria"/>
          <w:sz w:val="20"/>
          <w:szCs w:val="20"/>
        </w:rPr>
        <w:t xml:space="preserve"> des mesures adoptées par la Commission au cours des 26 dernières années pour améliorer l’état des makaires bleus et des makaires blancs, y compris la </w:t>
      </w:r>
      <w:r w:rsidRPr="0057470D">
        <w:rPr>
          <w:rFonts w:ascii="Cambria" w:hAnsi="Cambria"/>
          <w:i/>
          <w:iCs/>
          <w:sz w:val="20"/>
          <w:szCs w:val="20"/>
        </w:rPr>
        <w:t>Recommandation de l’ICCAT sur la mise en place d’un plan de rétablissement des populations de makaire bleu et de makaire blanc</w:t>
      </w:r>
      <w:r w:rsidRPr="0057470D">
        <w:rPr>
          <w:rFonts w:ascii="Cambria" w:hAnsi="Cambria"/>
          <w:sz w:val="20"/>
          <w:szCs w:val="20"/>
        </w:rPr>
        <w:t xml:space="preserve"> (Rec. 00-13), la Recommandation de l’ICCAT visant à renforcer davantage le plan de rétablissement des stocks de makaire bleu et de makaire blanc (Rec. 12-04), ainsi que les recommandations ultérieures</w:t>
      </w:r>
      <w:r w:rsidR="00225ADA">
        <w:rPr>
          <w:rFonts w:ascii="Cambria" w:hAnsi="Cambria"/>
          <w:sz w:val="20"/>
          <w:szCs w:val="20"/>
        </w:rPr>
        <w:t> ;</w:t>
      </w:r>
    </w:p>
    <w:p w14:paraId="6DE657F8" w14:textId="77777777" w:rsidR="006A1BDD" w:rsidRPr="0057470D" w:rsidRDefault="006A1BDD" w:rsidP="006A1BDD">
      <w:pPr>
        <w:widowControl w:val="0"/>
        <w:pBdr>
          <w:top w:val="nil"/>
          <w:left w:val="nil"/>
          <w:bottom w:val="nil"/>
          <w:right w:val="nil"/>
          <w:between w:val="nil"/>
        </w:pBdr>
        <w:ind w:right="142"/>
        <w:jc w:val="both"/>
        <w:rPr>
          <w:rFonts w:ascii="Cambria" w:eastAsia="Cambria" w:hAnsi="Cambria" w:cs="Cambria"/>
          <w:sz w:val="20"/>
          <w:szCs w:val="20"/>
          <w:lang w:eastAsia="en-US"/>
        </w:rPr>
      </w:pPr>
    </w:p>
    <w:p w14:paraId="38C9BF3A" w14:textId="61FA1D07" w:rsidR="006A1BDD" w:rsidRPr="0057470D" w:rsidRDefault="006A1BDD" w:rsidP="006A1BDD">
      <w:pPr>
        <w:widowControl w:val="0"/>
        <w:pBdr>
          <w:top w:val="nil"/>
          <w:left w:val="nil"/>
          <w:bottom w:val="nil"/>
          <w:right w:val="nil"/>
          <w:between w:val="nil"/>
        </w:pBdr>
        <w:ind w:right="142" w:firstLine="426"/>
        <w:jc w:val="both"/>
        <w:rPr>
          <w:rFonts w:ascii="Cambria" w:eastAsia="Cambria" w:hAnsi="Cambria" w:cs="Cambria"/>
          <w:sz w:val="20"/>
          <w:szCs w:val="20"/>
          <w:highlight w:val="yellow"/>
          <w:u w:val="single"/>
        </w:rPr>
      </w:pPr>
      <w:r w:rsidRPr="0057470D">
        <w:rPr>
          <w:rFonts w:ascii="Cambria" w:hAnsi="Cambria"/>
          <w:i/>
          <w:iCs/>
          <w:sz w:val="20"/>
          <w:szCs w:val="20"/>
          <w:highlight w:val="yellow"/>
          <w:u w:val="single"/>
        </w:rPr>
        <w:t>SOULIGNANT</w:t>
      </w:r>
      <w:r w:rsidRPr="0057470D">
        <w:rPr>
          <w:rFonts w:ascii="Cambria" w:hAnsi="Cambria"/>
          <w:sz w:val="20"/>
          <w:szCs w:val="20"/>
          <w:highlight w:val="yellow"/>
          <w:u w:val="single"/>
        </w:rPr>
        <w:t xml:space="preserve"> que, en réponse au paragraphe 21 de la </w:t>
      </w:r>
      <w:r w:rsidRPr="0057470D">
        <w:rPr>
          <w:rFonts w:ascii="Cambria" w:hAnsi="Cambria"/>
          <w:i/>
          <w:iCs/>
          <w:sz w:val="20"/>
          <w:szCs w:val="20"/>
          <w:highlight w:val="yellow"/>
          <w:u w:val="single"/>
        </w:rPr>
        <w:t>Recommandation de l'ICCAT visant à établir des programmes de rétablissement pour le makaire bleu et le makaire blanc/makaire épée</w:t>
      </w:r>
      <w:r w:rsidRPr="0057470D">
        <w:rPr>
          <w:rFonts w:ascii="Cambria" w:hAnsi="Cambria"/>
          <w:sz w:val="20"/>
          <w:szCs w:val="20"/>
          <w:highlight w:val="yellow"/>
          <w:u w:val="single"/>
        </w:rPr>
        <w:t xml:space="preserve"> (Rec. 19-05), le SCRS a conclu dans son rapport annuel de 2024 que des recherches expérimentales avaient démontré que, dans les pêcheries à la palangre, l’utilisation d’hameçons circulaires entraînait une réduction des taux de capture de makaires et de la mortalité lors de la remontée</w:t>
      </w:r>
      <w:r w:rsidR="00225ADA">
        <w:rPr>
          <w:rFonts w:ascii="Cambria" w:hAnsi="Cambria"/>
          <w:sz w:val="20"/>
          <w:szCs w:val="20"/>
          <w:highlight w:val="yellow"/>
          <w:u w:val="single"/>
        </w:rPr>
        <w:t xml:space="preserve"> de l’engin ;</w:t>
      </w:r>
    </w:p>
    <w:p w14:paraId="2EB9F0C2" w14:textId="77777777" w:rsidR="006A1BDD" w:rsidRPr="0057470D" w:rsidRDefault="006A1BDD" w:rsidP="006A1BDD">
      <w:pPr>
        <w:widowControl w:val="0"/>
        <w:pBdr>
          <w:top w:val="nil"/>
          <w:left w:val="nil"/>
          <w:bottom w:val="nil"/>
          <w:right w:val="nil"/>
          <w:between w:val="nil"/>
        </w:pBdr>
        <w:spacing w:before="6"/>
        <w:rPr>
          <w:rFonts w:ascii="Cambria" w:eastAsia="Cambria" w:hAnsi="Cambria" w:cs="Cambria"/>
          <w:sz w:val="20"/>
          <w:szCs w:val="20"/>
          <w:lang w:eastAsia="en-US"/>
        </w:rPr>
      </w:pPr>
    </w:p>
    <w:p w14:paraId="2E561067" w14:textId="70CF67AA" w:rsidR="006A1BDD" w:rsidRPr="0057470D" w:rsidRDefault="006A1BDD" w:rsidP="006A1BDD">
      <w:pPr>
        <w:widowControl w:val="0"/>
        <w:pBdr>
          <w:top w:val="nil"/>
          <w:left w:val="nil"/>
          <w:bottom w:val="nil"/>
          <w:right w:val="nil"/>
          <w:between w:val="nil"/>
        </w:pBdr>
        <w:ind w:right="142" w:firstLine="426"/>
        <w:jc w:val="both"/>
        <w:rPr>
          <w:rFonts w:ascii="Cambria" w:eastAsia="Cambria" w:hAnsi="Cambria" w:cs="Cambria"/>
          <w:sz w:val="20"/>
          <w:szCs w:val="20"/>
        </w:rPr>
      </w:pPr>
      <w:r w:rsidRPr="0057470D">
        <w:rPr>
          <w:rFonts w:ascii="Cambria" w:hAnsi="Cambria"/>
          <w:i/>
          <w:iCs/>
          <w:color w:val="000000"/>
          <w:sz w:val="20"/>
          <w:szCs w:val="20"/>
        </w:rPr>
        <w:t>COMPRENANT</w:t>
      </w:r>
      <w:r w:rsidRPr="0057470D">
        <w:rPr>
          <w:rFonts w:ascii="Cambria" w:hAnsi="Cambria"/>
          <w:color w:val="000000"/>
          <w:sz w:val="20"/>
          <w:szCs w:val="20"/>
        </w:rPr>
        <w:t xml:space="preserve"> toutefois l'avis du SCRS de 2019 indiquant que les captures totales de makaire bleu devraient être ramenées à 1.750 t ou moins pour offrir au moins 50% de probabilité de rétablir le stock d'ici 2028 et que les captures totales de makaire blanc/makaire épée ne devraient pas dépasser 400 t pour soutenir le rétablisseme</w:t>
      </w:r>
      <w:r w:rsidRPr="0057470D">
        <w:rPr>
          <w:rFonts w:ascii="Cambria" w:hAnsi="Cambria"/>
          <w:color w:val="000000"/>
          <w:sz w:val="20"/>
          <w:szCs w:val="20"/>
          <w:u w:val="single"/>
        </w:rPr>
        <w:t>nt</w:t>
      </w:r>
      <w:r w:rsidR="00225ADA">
        <w:rPr>
          <w:rFonts w:ascii="Cambria" w:hAnsi="Cambria"/>
          <w:color w:val="000000"/>
          <w:sz w:val="20"/>
          <w:szCs w:val="20"/>
          <w:u w:val="single"/>
        </w:rPr>
        <w:t>.</w:t>
      </w:r>
      <w:r w:rsidRPr="0057470D">
        <w:rPr>
          <w:rFonts w:ascii="Cambria" w:hAnsi="Cambria"/>
          <w:color w:val="000000"/>
          <w:sz w:val="20"/>
          <w:szCs w:val="20"/>
          <w:highlight w:val="yellow"/>
          <w:u w:val="single"/>
        </w:rPr>
        <w:t xml:space="preserve"> </w:t>
      </w:r>
      <w:r w:rsidRPr="0057470D">
        <w:rPr>
          <w:rFonts w:ascii="Cambria" w:hAnsi="Cambria"/>
          <w:sz w:val="20"/>
          <w:szCs w:val="20"/>
          <w:u w:val="single"/>
        </w:rPr>
        <w:t>Cet avis du SCRS a été réitéré en 2025, en reprenant les limites existantes de 1.670 tonnes pour le makaire bleu et de 355 tonnes pour le makaire blanc et le makaire épée comme niveaux recommandés</w:t>
      </w:r>
      <w:r w:rsidR="00512F71">
        <w:rPr>
          <w:rFonts w:ascii="Cambria" w:hAnsi="Cambria"/>
          <w:sz w:val="20"/>
          <w:szCs w:val="20"/>
          <w:u w:val="single"/>
        </w:rPr>
        <w:t> ;</w:t>
      </w:r>
    </w:p>
    <w:p w14:paraId="36C015A9" w14:textId="77777777" w:rsidR="006A1BDD" w:rsidRPr="0057470D" w:rsidRDefault="006A1BDD" w:rsidP="006A1BDD">
      <w:pPr>
        <w:widowControl w:val="0"/>
        <w:pBdr>
          <w:top w:val="nil"/>
          <w:left w:val="nil"/>
          <w:bottom w:val="nil"/>
          <w:right w:val="nil"/>
          <w:between w:val="nil"/>
        </w:pBdr>
        <w:ind w:right="142" w:firstLine="426"/>
        <w:jc w:val="both"/>
        <w:rPr>
          <w:rFonts w:ascii="Cambria" w:eastAsia="Cambria" w:hAnsi="Cambria" w:cs="Cambria"/>
          <w:i/>
          <w:iCs/>
          <w:sz w:val="20"/>
          <w:szCs w:val="20"/>
          <w:lang w:eastAsia="en-US"/>
        </w:rPr>
      </w:pPr>
    </w:p>
    <w:p w14:paraId="020BD0DC" w14:textId="6F76AE9D" w:rsidR="006A1BDD" w:rsidRPr="0057470D" w:rsidRDefault="006A1BDD" w:rsidP="006A1BDD">
      <w:pPr>
        <w:widowControl w:val="0"/>
        <w:pBdr>
          <w:top w:val="nil"/>
          <w:left w:val="nil"/>
          <w:bottom w:val="nil"/>
          <w:right w:val="nil"/>
          <w:between w:val="nil"/>
        </w:pBdr>
        <w:ind w:right="142" w:firstLine="426"/>
        <w:jc w:val="both"/>
        <w:rPr>
          <w:rFonts w:ascii="Cambria" w:eastAsia="Cambria" w:hAnsi="Cambria" w:cs="Cambria"/>
          <w:sz w:val="20"/>
          <w:szCs w:val="20"/>
          <w:highlight w:val="yellow"/>
          <w:u w:val="single"/>
        </w:rPr>
      </w:pPr>
      <w:r w:rsidRPr="0057470D">
        <w:rPr>
          <w:rFonts w:ascii="Cambria" w:hAnsi="Cambria"/>
          <w:i/>
          <w:iCs/>
          <w:sz w:val="20"/>
          <w:szCs w:val="20"/>
          <w:u w:val="single"/>
        </w:rPr>
        <w:t>CONSTATANT</w:t>
      </w:r>
      <w:r w:rsidRPr="0057470D">
        <w:rPr>
          <w:rFonts w:ascii="Cambria" w:hAnsi="Cambria"/>
          <w:sz w:val="20"/>
          <w:szCs w:val="20"/>
          <w:u w:val="single"/>
        </w:rPr>
        <w:t xml:space="preserve"> que les limites annuelles adoptées dans la Rec. 19-05, s’élèvent à 1.670 t pour le makaire bleu et à 355 t pour le makaire blanc/makaire épée, représentaient une baisse par rapport à l’avis du SCRS de 2019, qui s’élevaient respectivement à 1.750 t et 400 t.</w:t>
      </w:r>
      <w:r w:rsidRPr="0057470D">
        <w:rPr>
          <w:rFonts w:ascii="Cambria" w:hAnsi="Cambria"/>
          <w:sz w:val="20"/>
          <w:szCs w:val="20"/>
          <w:highlight w:val="yellow"/>
          <w:u w:val="single"/>
        </w:rPr>
        <w:t xml:space="preserve"> Ces limites inférieures ont été adoptées dans le but d’établir des limites annuelles qui tiennent compte à la fois des rejets morts déclarés et d’une marge supplémentaire pour les captures non déclarées afin d’assurer que les captures annuelles globales ne dépasseront pas les niveaux recommandés par le SCRS en 2019</w:t>
      </w:r>
      <w:r w:rsidR="00512F71">
        <w:rPr>
          <w:rFonts w:ascii="Cambria" w:hAnsi="Cambria"/>
          <w:sz w:val="20"/>
          <w:szCs w:val="20"/>
          <w:highlight w:val="yellow"/>
          <w:u w:val="single"/>
        </w:rPr>
        <w:t> ;</w:t>
      </w:r>
    </w:p>
    <w:p w14:paraId="1A5840F2" w14:textId="77777777" w:rsidR="006A1BDD" w:rsidRPr="0057470D" w:rsidRDefault="006A1BDD" w:rsidP="006A1BDD">
      <w:pPr>
        <w:widowControl w:val="0"/>
        <w:pBdr>
          <w:top w:val="nil"/>
          <w:left w:val="nil"/>
          <w:bottom w:val="nil"/>
          <w:right w:val="nil"/>
          <w:between w:val="nil"/>
        </w:pBdr>
        <w:spacing w:before="3"/>
        <w:rPr>
          <w:rFonts w:ascii="Cambria" w:eastAsia="Cambria" w:hAnsi="Cambria" w:cs="Cambria"/>
          <w:sz w:val="20"/>
          <w:szCs w:val="20"/>
          <w:lang w:eastAsia="en-US"/>
        </w:rPr>
      </w:pPr>
    </w:p>
    <w:p w14:paraId="46C04029" w14:textId="56819A7D" w:rsidR="006A1BDD" w:rsidRPr="0057470D" w:rsidRDefault="006A1BDD" w:rsidP="006A1BDD">
      <w:pPr>
        <w:widowControl w:val="0"/>
        <w:pBdr>
          <w:top w:val="nil"/>
          <w:left w:val="nil"/>
          <w:bottom w:val="nil"/>
          <w:right w:val="nil"/>
          <w:between w:val="nil"/>
        </w:pBdr>
        <w:ind w:right="142" w:firstLine="426"/>
        <w:jc w:val="both"/>
        <w:rPr>
          <w:rFonts w:ascii="Cambria" w:eastAsia="Cambria" w:hAnsi="Cambria" w:cs="Cambria"/>
          <w:color w:val="EE0000"/>
          <w:sz w:val="20"/>
          <w:szCs w:val="20"/>
        </w:rPr>
      </w:pPr>
      <w:r w:rsidRPr="0057470D">
        <w:rPr>
          <w:rFonts w:ascii="Cambria" w:hAnsi="Cambria"/>
          <w:i/>
          <w:iCs/>
          <w:sz w:val="20"/>
          <w:szCs w:val="20"/>
        </w:rPr>
        <w:t>RECONNAISSANT</w:t>
      </w:r>
      <w:r w:rsidRPr="0057470D">
        <w:rPr>
          <w:rFonts w:ascii="Cambria" w:hAnsi="Cambria"/>
          <w:sz w:val="20"/>
          <w:szCs w:val="20"/>
        </w:rPr>
        <w:t xml:space="preserve"> que les rejets morts </w:t>
      </w:r>
      <w:r w:rsidRPr="0057470D">
        <w:rPr>
          <w:rFonts w:ascii="Cambria" w:hAnsi="Cambria"/>
          <w:sz w:val="20"/>
          <w:szCs w:val="20"/>
          <w:u w:val="single"/>
        </w:rPr>
        <w:t>n’étaient auparavant pas</w:t>
      </w:r>
      <w:r w:rsidRPr="0057470D">
        <w:rPr>
          <w:rFonts w:ascii="Cambria" w:hAnsi="Cambria"/>
          <w:sz w:val="20"/>
          <w:szCs w:val="20"/>
        </w:rPr>
        <w:t xml:space="preserve"> pris en compte dans les limites annuelles de la </w:t>
      </w:r>
      <w:r w:rsidRPr="0057470D">
        <w:rPr>
          <w:rFonts w:ascii="Cambria" w:hAnsi="Cambria"/>
          <w:i/>
          <w:iCs/>
          <w:sz w:val="20"/>
          <w:szCs w:val="20"/>
        </w:rPr>
        <w:t>Recommandation de l’ICCAT remplaçant la Recommandation 15-05 visant à renforcer davantage le plan de rétablissement des stocks de makaire bleu et de makaire blanc</w:t>
      </w:r>
      <w:r w:rsidRPr="0057470D">
        <w:rPr>
          <w:rFonts w:ascii="Cambria" w:hAnsi="Cambria"/>
          <w:sz w:val="20"/>
          <w:szCs w:val="20"/>
        </w:rPr>
        <w:t xml:space="preserve"> (Rec. 18-04), mais cette question a été traitée dans la disposition relative aux limites de capture de la Recommandation 19-05</w:t>
      </w:r>
      <w:r w:rsidR="00512F71">
        <w:rPr>
          <w:rFonts w:ascii="Cambria" w:hAnsi="Cambria"/>
          <w:sz w:val="20"/>
          <w:szCs w:val="20"/>
        </w:rPr>
        <w:t> ;</w:t>
      </w:r>
    </w:p>
    <w:p w14:paraId="586A30DF" w14:textId="77777777" w:rsidR="006A1BDD" w:rsidRPr="0057470D" w:rsidRDefault="006A1BDD" w:rsidP="006A1BDD">
      <w:pPr>
        <w:widowControl w:val="0"/>
        <w:pBdr>
          <w:top w:val="nil"/>
          <w:left w:val="nil"/>
          <w:bottom w:val="nil"/>
          <w:right w:val="nil"/>
          <w:between w:val="nil"/>
        </w:pBdr>
        <w:ind w:right="142" w:firstLine="426"/>
        <w:jc w:val="both"/>
        <w:rPr>
          <w:rFonts w:ascii="Cambria" w:eastAsia="Cambria" w:hAnsi="Cambria" w:cs="Cambria"/>
          <w:i/>
          <w:iCs/>
          <w:color w:val="000000"/>
          <w:sz w:val="20"/>
          <w:szCs w:val="20"/>
          <w:lang w:eastAsia="en-US"/>
        </w:rPr>
      </w:pPr>
    </w:p>
    <w:p w14:paraId="7CE1BBE4" w14:textId="460B6ABF" w:rsidR="006A1BDD" w:rsidRPr="0057470D" w:rsidRDefault="00AB3AE4" w:rsidP="006A1BDD">
      <w:pPr>
        <w:widowControl w:val="0"/>
        <w:pBdr>
          <w:top w:val="nil"/>
          <w:left w:val="nil"/>
          <w:bottom w:val="nil"/>
          <w:right w:val="nil"/>
          <w:between w:val="nil"/>
        </w:pBdr>
        <w:spacing w:before="2"/>
        <w:rPr>
          <w:rFonts w:ascii="Cambria" w:eastAsia="Cambria" w:hAnsi="Cambria" w:cs="Cambria"/>
          <w:color w:val="000000"/>
          <w:sz w:val="20"/>
          <w:szCs w:val="20"/>
        </w:rPr>
      </w:pPr>
      <w:r w:rsidRPr="0057470D">
        <w:rPr>
          <w:rFonts w:ascii="Cambria" w:hAnsi="Cambria"/>
          <w:color w:val="000000"/>
          <w:sz w:val="20"/>
          <w:szCs w:val="20"/>
          <w:highlight w:val="yellow"/>
        </w:rPr>
        <w:t>[…]</w:t>
      </w:r>
    </w:p>
    <w:p w14:paraId="7AF214B5" w14:textId="77777777" w:rsidR="006A1BDD" w:rsidRPr="0057470D" w:rsidRDefault="006A1BDD" w:rsidP="006A1BDD">
      <w:pPr>
        <w:widowControl w:val="0"/>
        <w:pBdr>
          <w:top w:val="nil"/>
          <w:left w:val="nil"/>
          <w:bottom w:val="nil"/>
          <w:right w:val="nil"/>
          <w:between w:val="nil"/>
        </w:pBdr>
        <w:spacing w:before="2"/>
        <w:rPr>
          <w:rFonts w:ascii="Cambria" w:eastAsia="Cambria" w:hAnsi="Cambria" w:cs="Cambria"/>
          <w:color w:val="000000"/>
          <w:sz w:val="20"/>
          <w:szCs w:val="20"/>
          <w:lang w:eastAsia="en-US"/>
        </w:rPr>
      </w:pPr>
    </w:p>
    <w:p w14:paraId="72EEF02A" w14:textId="3162E40A" w:rsidR="00225ADA" w:rsidRDefault="006A1BDD" w:rsidP="00225ADA">
      <w:pPr>
        <w:widowControl w:val="0"/>
        <w:pBdr>
          <w:top w:val="nil"/>
          <w:left w:val="nil"/>
          <w:bottom w:val="nil"/>
          <w:right w:val="nil"/>
          <w:between w:val="nil"/>
        </w:pBdr>
        <w:ind w:right="142" w:firstLine="426"/>
        <w:jc w:val="both"/>
        <w:rPr>
          <w:rFonts w:ascii="Cambria" w:hAnsi="Cambria"/>
          <w:i/>
          <w:iCs/>
          <w:sz w:val="20"/>
          <w:szCs w:val="20"/>
          <w:highlight w:val="yellow"/>
          <w:u w:val="single"/>
        </w:rPr>
      </w:pPr>
      <w:r w:rsidRPr="0057470D">
        <w:rPr>
          <w:rFonts w:ascii="Cambria" w:hAnsi="Cambria"/>
          <w:i/>
          <w:iCs/>
          <w:sz w:val="20"/>
          <w:szCs w:val="20"/>
        </w:rPr>
        <w:t>SOULIGNANT</w:t>
      </w:r>
      <w:r w:rsidRPr="0057470D">
        <w:rPr>
          <w:rFonts w:ascii="Cambria" w:hAnsi="Cambria"/>
          <w:sz w:val="20"/>
          <w:szCs w:val="20"/>
        </w:rPr>
        <w:t xml:space="preserve"> les obligations actuelles des CPC d'imposer la collecte de données sur les rejets vivants et morts dans le cadre de leurs programmes nationaux d'observateurs et de carnets de pêche, en vertu de la </w:t>
      </w:r>
      <w:r w:rsidRPr="0057470D">
        <w:rPr>
          <w:rFonts w:ascii="Cambria" w:hAnsi="Cambria"/>
          <w:i/>
          <w:iCs/>
          <w:sz w:val="20"/>
          <w:szCs w:val="20"/>
        </w:rPr>
        <w:t>Recommandation de l’ICCAT sur la collecte d'informations et l’harmonisation des données sur les prises accessoires et les rejets dans les pêcheries de l’ICCAT</w:t>
      </w:r>
      <w:r w:rsidRPr="0057470D">
        <w:rPr>
          <w:rFonts w:ascii="Cambria" w:hAnsi="Cambria"/>
          <w:sz w:val="20"/>
          <w:szCs w:val="20"/>
        </w:rPr>
        <w:t xml:space="preserve"> (Rec. 11-10), conformément à la </w:t>
      </w:r>
      <w:r w:rsidRPr="0057470D">
        <w:rPr>
          <w:rFonts w:ascii="Cambria" w:hAnsi="Cambria"/>
          <w:i/>
          <w:iCs/>
          <w:sz w:val="20"/>
          <w:szCs w:val="20"/>
        </w:rPr>
        <w:t>Recommandation de l’ICCAT visant à établir des normes minimales pour les programmes d’observateurs scientifiques à bord de navires de pêche</w:t>
      </w:r>
      <w:r w:rsidRPr="0057470D">
        <w:rPr>
          <w:rFonts w:ascii="Cambria" w:hAnsi="Cambria"/>
          <w:sz w:val="20"/>
          <w:szCs w:val="20"/>
        </w:rPr>
        <w:t xml:space="preserve"> (Rec. 16-14), et la déclaration de ces données à l’ICCAT</w:t>
      </w:r>
      <w:r w:rsidR="00225ADA">
        <w:rPr>
          <w:rFonts w:ascii="Cambria" w:hAnsi="Cambria"/>
          <w:sz w:val="20"/>
          <w:szCs w:val="20"/>
        </w:rPr>
        <w:t> ;</w:t>
      </w:r>
      <w:r w:rsidRPr="0057470D">
        <w:rPr>
          <w:rFonts w:ascii="Cambria" w:hAnsi="Cambria"/>
          <w:sz w:val="20"/>
          <w:szCs w:val="20"/>
        </w:rPr>
        <w:t xml:space="preserve"> </w:t>
      </w:r>
      <w:r w:rsidR="00225ADA">
        <w:rPr>
          <w:rFonts w:ascii="Cambria" w:hAnsi="Cambria"/>
          <w:i/>
          <w:iCs/>
          <w:sz w:val="20"/>
          <w:szCs w:val="20"/>
          <w:highlight w:val="yellow"/>
          <w:u w:val="single"/>
        </w:rPr>
        <w:br w:type="page"/>
      </w:r>
    </w:p>
    <w:p w14:paraId="68E2156D" w14:textId="28D6C6D8" w:rsidR="006A1BDD" w:rsidRPr="0057470D" w:rsidRDefault="006A1BDD" w:rsidP="00EB0AC9">
      <w:pPr>
        <w:widowControl w:val="0"/>
        <w:autoSpaceDE w:val="0"/>
        <w:autoSpaceDN w:val="0"/>
        <w:ind w:firstLine="426"/>
        <w:jc w:val="both"/>
        <w:rPr>
          <w:rFonts w:ascii="Cambria" w:eastAsia="Cambria" w:hAnsi="Cambria" w:cs="Cambria"/>
          <w:iCs/>
          <w:color w:val="000000"/>
          <w:sz w:val="20"/>
          <w:szCs w:val="20"/>
          <w:highlight w:val="yellow"/>
          <w:u w:val="single"/>
        </w:rPr>
      </w:pPr>
      <w:r w:rsidRPr="0057470D">
        <w:rPr>
          <w:rFonts w:ascii="Cambria" w:hAnsi="Cambria"/>
          <w:i/>
          <w:iCs/>
          <w:sz w:val="20"/>
          <w:szCs w:val="20"/>
          <w:highlight w:val="yellow"/>
          <w:u w:val="single"/>
        </w:rPr>
        <w:lastRenderedPageBreak/>
        <w:t>CONSCIENTE</w:t>
      </w:r>
      <w:r w:rsidRPr="0057470D">
        <w:rPr>
          <w:rFonts w:ascii="Cambria" w:hAnsi="Cambria"/>
          <w:sz w:val="20"/>
          <w:szCs w:val="20"/>
          <w:highlight w:val="yellow"/>
          <w:u w:val="single"/>
        </w:rPr>
        <w:t xml:space="preserve"> que les makaires sont naturellement abondants tout au long de l’année dans les zones relevant de la juridiction nationale des </w:t>
      </w:r>
      <w:r w:rsidR="00BA56F4" w:rsidRPr="00BA56F4">
        <w:rPr>
          <w:rFonts w:ascii="Cambria" w:hAnsi="Cambria"/>
          <w:sz w:val="20"/>
          <w:szCs w:val="20"/>
          <w:u w:val="single"/>
        </w:rPr>
        <w:t>Petits États insulaires en développement des Caraïbes</w:t>
      </w:r>
      <w:r w:rsidR="00BA56F4" w:rsidRPr="00BA56F4">
        <w:rPr>
          <w:rFonts w:ascii="Cambria" w:hAnsi="Cambria"/>
          <w:sz w:val="20"/>
          <w:szCs w:val="20"/>
          <w:highlight w:val="yellow"/>
          <w:u w:val="single"/>
        </w:rPr>
        <w:t xml:space="preserve"> </w:t>
      </w:r>
      <w:r w:rsidRPr="0057470D">
        <w:rPr>
          <w:rFonts w:ascii="Cambria" w:hAnsi="Cambria"/>
          <w:sz w:val="20"/>
          <w:szCs w:val="20"/>
          <w:highlight w:val="yellow"/>
          <w:u w:val="single"/>
        </w:rPr>
        <w:t>et sont donc généralement capturés de manière opportuniste par les pêcheries pluri-engins de ces pays, et que ces makaires ne sont traditionnellement pas rejetés en raison de la valeur de leur contribution socio-économique intégrale pour les pays concernés, ce qui est conforme à divers objectifs de développement durable (ODD) des Nations Unies, et notamment aux ODD 1, 2, 8, 14 et 17 ;</w:t>
      </w:r>
    </w:p>
    <w:p w14:paraId="445CE7F7" w14:textId="77777777" w:rsidR="006A1BDD" w:rsidRPr="0057470D" w:rsidRDefault="006A1BDD" w:rsidP="006A1BDD">
      <w:pPr>
        <w:widowControl w:val="0"/>
        <w:autoSpaceDE w:val="0"/>
        <w:autoSpaceDN w:val="0"/>
        <w:spacing w:before="100" w:beforeAutospacing="1" w:after="100" w:afterAutospacing="1"/>
        <w:ind w:firstLine="426"/>
        <w:jc w:val="both"/>
        <w:rPr>
          <w:rFonts w:ascii="Cambria" w:hAnsi="Cambria" w:cs="Calibri"/>
          <w:iCs/>
          <w:color w:val="000000"/>
          <w:sz w:val="20"/>
          <w:szCs w:val="20"/>
          <w:highlight w:val="yellow"/>
          <w:u w:val="single"/>
        </w:rPr>
      </w:pPr>
      <w:r w:rsidRPr="0057470D">
        <w:rPr>
          <w:rFonts w:ascii="Cambria" w:hAnsi="Cambria"/>
          <w:i/>
          <w:iCs/>
          <w:color w:val="000000"/>
          <w:sz w:val="20"/>
          <w:szCs w:val="20"/>
          <w:highlight w:val="yellow"/>
          <w:u w:val="single"/>
        </w:rPr>
        <w:t>RECONNAISSANT</w:t>
      </w:r>
      <w:r w:rsidRPr="0057470D">
        <w:rPr>
          <w:rFonts w:ascii="Cambria" w:hAnsi="Cambria"/>
          <w:color w:val="000000"/>
          <w:sz w:val="20"/>
          <w:szCs w:val="20"/>
          <w:highlight w:val="yellow"/>
          <w:u w:val="single"/>
        </w:rPr>
        <w:t>, en conséquence, qu’il est nécessaire de prévoir, de toute urgence, des dispositions particulières pour les CPC PEID des Caraïbes, conformément à la</w:t>
      </w:r>
      <w:r w:rsidRPr="0057470D">
        <w:rPr>
          <w:rFonts w:ascii="Cambria" w:hAnsi="Cambria"/>
          <w:i/>
          <w:iCs/>
          <w:color w:val="000000"/>
          <w:sz w:val="20"/>
          <w:szCs w:val="20"/>
          <w:highlight w:val="yellow"/>
          <w:u w:val="single"/>
        </w:rPr>
        <w:t xml:space="preserve"> Résolution de l’ICCAT portant sur les critères pour l’allocation de possibilités de pêche</w:t>
      </w:r>
      <w:r w:rsidRPr="0057470D">
        <w:rPr>
          <w:rFonts w:ascii="Cambria" w:hAnsi="Cambria"/>
          <w:color w:val="000000"/>
          <w:sz w:val="20"/>
          <w:szCs w:val="20"/>
          <w:highlight w:val="yellow"/>
          <w:u w:val="single"/>
        </w:rPr>
        <w:t xml:space="preserve"> (Rés. 15</w:t>
      </w:r>
      <w:r w:rsidRPr="0057470D">
        <w:rPr>
          <w:rFonts w:ascii="Cambria" w:hAnsi="Cambria"/>
          <w:color w:val="000000"/>
          <w:sz w:val="20"/>
          <w:szCs w:val="20"/>
          <w:highlight w:val="yellow"/>
          <w:u w:val="single"/>
        </w:rPr>
        <w:noBreakHyphen/>
        <w:t>13) et d’inclure les conditions de leur application, en prêtant ainsi attention à l’historique traditionnel de dépendance socio-économique des CPC PEID des Caraïbes à l’égard des pêcheries de makaires, et à la nécessité de créer une charge de conservation juste et équitable, et donc des dispositions qui soutiennent des opportunités de pêche viables pour ces États et qui sont adaptées à leur coopération concrète à l’utilisation durable, et en attendant que des allocations de quotas de captures révisées soient établies pour le makaire bleu et de makaire blanc/makaire épée ;</w:t>
      </w:r>
    </w:p>
    <w:p w14:paraId="2FDA9D80" w14:textId="58C73BFC" w:rsidR="002973B5" w:rsidRPr="0057470D" w:rsidRDefault="006A1BDD" w:rsidP="002973B5">
      <w:pPr>
        <w:widowControl w:val="0"/>
        <w:autoSpaceDE w:val="0"/>
        <w:autoSpaceDN w:val="0"/>
        <w:ind w:firstLine="426"/>
        <w:jc w:val="both"/>
        <w:rPr>
          <w:rFonts w:ascii="Cambria" w:hAnsi="Cambria" w:cs="Calibri"/>
          <w:iCs/>
          <w:color w:val="000000"/>
          <w:sz w:val="20"/>
          <w:szCs w:val="20"/>
          <w:highlight w:val="yellow"/>
          <w:u w:val="single"/>
        </w:rPr>
      </w:pPr>
      <w:r w:rsidRPr="0057470D">
        <w:rPr>
          <w:rFonts w:ascii="Cambria" w:hAnsi="Cambria"/>
          <w:i/>
          <w:iCs/>
          <w:color w:val="000000"/>
          <w:sz w:val="20"/>
          <w:szCs w:val="20"/>
          <w:u w:val="single"/>
        </w:rPr>
        <w:t>RECONNAISSANT EN OUTRE</w:t>
      </w:r>
      <w:r w:rsidRPr="0057470D">
        <w:rPr>
          <w:rFonts w:ascii="Cambria" w:hAnsi="Cambria"/>
          <w:color w:val="000000"/>
          <w:sz w:val="20"/>
          <w:szCs w:val="20"/>
          <w:u w:val="single"/>
        </w:rPr>
        <w:t xml:space="preserve"> les préoccupations exprimées lors de la 29e réunion ordinaire de la Commission par plusieurs CPC côtières en développement, selon lesquelles la Rec. 19-05 ne tient pas suffisamment compte de leurs situations particulières en matière de pêche, notamment en ce qui concerne les dispositions relatives aux limites de capture et aux pénalités prévues par la Rec. 19-05, ce qui a ensuite conduit à l’adoption de la Rec. 25-06 accordant des mesures provisoires aux CPC côtières en développement de l’ICCAT pour les circonstances atténuantes résultant de la Recommandation 19-05, et qui permettrait à la Commission de disposer du temps nécessaire pour examiner et élaborer une recommandation adéquate remplaçant la Rec. 19-05</w:t>
      </w:r>
      <w:r w:rsidR="00C86080">
        <w:rPr>
          <w:rFonts w:ascii="Cambria" w:hAnsi="Cambria"/>
          <w:color w:val="000000"/>
          <w:sz w:val="20"/>
          <w:szCs w:val="20"/>
          <w:u w:val="single"/>
        </w:rPr>
        <w:t> ;</w:t>
      </w:r>
    </w:p>
    <w:p w14:paraId="27601493" w14:textId="77777777" w:rsidR="002973B5" w:rsidRPr="0057470D" w:rsidRDefault="002973B5" w:rsidP="002973B5">
      <w:pPr>
        <w:widowControl w:val="0"/>
        <w:autoSpaceDE w:val="0"/>
        <w:autoSpaceDN w:val="0"/>
        <w:ind w:firstLine="426"/>
        <w:jc w:val="both"/>
        <w:rPr>
          <w:rFonts w:ascii="Cambria" w:hAnsi="Cambria" w:cs="Calibri"/>
          <w:iCs/>
          <w:color w:val="000000"/>
          <w:sz w:val="20"/>
          <w:szCs w:val="20"/>
          <w:highlight w:val="yellow"/>
          <w:u w:val="single"/>
          <w:lang w:eastAsia="en-US"/>
        </w:rPr>
      </w:pPr>
    </w:p>
    <w:p w14:paraId="68D19367" w14:textId="77777777" w:rsidR="002973B5" w:rsidRPr="0057470D" w:rsidRDefault="002973B5" w:rsidP="002973B5">
      <w:pPr>
        <w:widowControl w:val="0"/>
        <w:autoSpaceDE w:val="0"/>
        <w:autoSpaceDN w:val="0"/>
        <w:ind w:firstLine="426"/>
        <w:jc w:val="both"/>
        <w:rPr>
          <w:rFonts w:ascii="Cambria" w:hAnsi="Cambria" w:cs="Calibri"/>
          <w:iCs/>
          <w:color w:val="000000"/>
          <w:sz w:val="20"/>
          <w:szCs w:val="20"/>
          <w:highlight w:val="yellow"/>
          <w:u w:val="single"/>
          <w:lang w:eastAsia="en-US"/>
        </w:rPr>
      </w:pPr>
    </w:p>
    <w:p w14:paraId="4DF2E777" w14:textId="77777777" w:rsidR="00C86080" w:rsidRDefault="006A1BDD" w:rsidP="00C86080">
      <w:pPr>
        <w:widowControl w:val="0"/>
        <w:ind w:left="142" w:hanging="142"/>
        <w:jc w:val="center"/>
        <w:outlineLvl w:val="0"/>
        <w:rPr>
          <w:rFonts w:ascii="Cambria" w:hAnsi="Cambria"/>
          <w:bCs/>
          <w:sz w:val="20"/>
          <w:szCs w:val="20"/>
        </w:rPr>
      </w:pPr>
      <w:r w:rsidRPr="00C86080">
        <w:rPr>
          <w:rFonts w:ascii="Cambria" w:hAnsi="Cambria"/>
          <w:bCs/>
          <w:sz w:val="20"/>
          <w:szCs w:val="20"/>
        </w:rPr>
        <w:t>LA COMMISSION INTERNATIONALE POUR LA CONSERVATION</w:t>
      </w:r>
    </w:p>
    <w:p w14:paraId="7E84C67A" w14:textId="1FB3C0A9" w:rsidR="006A1BDD" w:rsidRPr="00C86080" w:rsidRDefault="006A1BDD" w:rsidP="00C86080">
      <w:pPr>
        <w:widowControl w:val="0"/>
        <w:ind w:left="142" w:hanging="142"/>
        <w:jc w:val="center"/>
        <w:outlineLvl w:val="0"/>
        <w:rPr>
          <w:rFonts w:ascii="Cambria" w:hAnsi="Cambria"/>
          <w:bCs/>
          <w:sz w:val="20"/>
          <w:szCs w:val="20"/>
        </w:rPr>
      </w:pPr>
      <w:r w:rsidRPr="00C86080">
        <w:rPr>
          <w:rFonts w:ascii="Cambria" w:hAnsi="Cambria"/>
          <w:bCs/>
          <w:sz w:val="20"/>
          <w:szCs w:val="20"/>
        </w:rPr>
        <w:t>DES THONIDÉS DE L’ATLANTIQUE (ICCAT) RECOMMANDE CE QUI SUIT :</w:t>
      </w:r>
    </w:p>
    <w:p w14:paraId="46BF2D75" w14:textId="0CF1B622" w:rsidR="006A1BDD" w:rsidRPr="0057470D" w:rsidRDefault="006A1BDD" w:rsidP="002973B5">
      <w:pPr>
        <w:widowControl w:val="0"/>
        <w:numPr>
          <w:ilvl w:val="0"/>
          <w:numId w:val="46"/>
        </w:numPr>
        <w:pBdr>
          <w:top w:val="nil"/>
          <w:left w:val="nil"/>
          <w:bottom w:val="nil"/>
          <w:right w:val="nil"/>
          <w:between w:val="nil"/>
        </w:pBdr>
        <w:spacing w:before="232"/>
        <w:ind w:left="426" w:right="142" w:hanging="426"/>
        <w:jc w:val="both"/>
        <w:rPr>
          <w:rFonts w:ascii="Cambria" w:eastAsia="Cambria" w:hAnsi="Cambria" w:cs="Cambria"/>
          <w:color w:val="000000"/>
          <w:sz w:val="20"/>
          <w:szCs w:val="20"/>
        </w:rPr>
      </w:pPr>
      <w:r w:rsidRPr="0057470D">
        <w:rPr>
          <w:rFonts w:ascii="Cambria" w:hAnsi="Cambria"/>
          <w:color w:val="000000"/>
          <w:sz w:val="20"/>
          <w:szCs w:val="20"/>
        </w:rPr>
        <w:t>Les CPC devront mettre en œuvre des mesure</w:t>
      </w:r>
      <w:r w:rsidRPr="0057470D">
        <w:rPr>
          <w:rFonts w:ascii="Cambria" w:hAnsi="Cambria"/>
          <w:color w:val="000000"/>
          <w:sz w:val="20"/>
          <w:szCs w:val="20"/>
          <w:u w:val="single"/>
        </w:rPr>
        <w:t>s af</w:t>
      </w:r>
      <w:r w:rsidRPr="0057470D">
        <w:rPr>
          <w:rFonts w:ascii="Cambria" w:hAnsi="Cambria"/>
          <w:color w:val="000000"/>
          <w:sz w:val="20"/>
          <w:szCs w:val="20"/>
        </w:rPr>
        <w:t>in de rétablir les stocks de makaire bleu et de makaire blanc/makaire épée à leur niveau de B</w:t>
      </w:r>
      <w:r w:rsidRPr="0057470D">
        <w:rPr>
          <w:rFonts w:ascii="Cambria" w:hAnsi="Cambria"/>
          <w:color w:val="000000"/>
          <w:sz w:val="20"/>
          <w:szCs w:val="20"/>
          <w:vertAlign w:val="subscript"/>
        </w:rPr>
        <w:t>PME</w:t>
      </w:r>
      <w:r w:rsidRPr="0057470D">
        <w:rPr>
          <w:rFonts w:ascii="Cambria" w:hAnsi="Cambria"/>
          <w:color w:val="000000"/>
          <w:sz w:val="20"/>
          <w:szCs w:val="20"/>
        </w:rPr>
        <w:t xml:space="preserve"> respectif, comme suit:</w:t>
      </w:r>
    </w:p>
    <w:p w14:paraId="2F3FB400" w14:textId="77777777" w:rsidR="006A1BDD" w:rsidRPr="0057470D" w:rsidRDefault="006A1BDD" w:rsidP="006A1BDD">
      <w:pPr>
        <w:widowControl w:val="0"/>
        <w:pBdr>
          <w:top w:val="nil"/>
          <w:left w:val="nil"/>
          <w:bottom w:val="nil"/>
          <w:right w:val="nil"/>
          <w:between w:val="nil"/>
        </w:pBdr>
        <w:rPr>
          <w:rFonts w:ascii="Cambria" w:eastAsia="Cambria" w:hAnsi="Cambria" w:cs="Cambria"/>
          <w:color w:val="000000"/>
          <w:sz w:val="20"/>
          <w:szCs w:val="20"/>
          <w:lang w:eastAsia="en-US"/>
        </w:rPr>
      </w:pPr>
    </w:p>
    <w:p w14:paraId="39E93D51" w14:textId="77777777" w:rsidR="006A1BDD" w:rsidRPr="0057470D" w:rsidRDefault="006A1BDD" w:rsidP="006A1BDD">
      <w:pPr>
        <w:widowControl w:val="0"/>
        <w:ind w:left="142" w:hanging="142"/>
        <w:outlineLvl w:val="0"/>
        <w:rPr>
          <w:rFonts w:ascii="Cambria" w:eastAsia="Cambria" w:hAnsi="Cambria" w:cs="Cambria"/>
          <w:b/>
          <w:bCs/>
          <w:sz w:val="20"/>
          <w:szCs w:val="20"/>
        </w:rPr>
      </w:pPr>
      <w:r w:rsidRPr="0057470D">
        <w:rPr>
          <w:rFonts w:ascii="Cambria" w:hAnsi="Cambria"/>
          <w:b/>
          <w:sz w:val="20"/>
          <w:szCs w:val="20"/>
        </w:rPr>
        <w:t>Limites annuelles et dispositions connexes</w:t>
      </w:r>
    </w:p>
    <w:p w14:paraId="43E213AF" w14:textId="77777777" w:rsidR="006A1BDD" w:rsidRPr="0057470D" w:rsidRDefault="006A1BDD" w:rsidP="006A1BDD">
      <w:pPr>
        <w:widowControl w:val="0"/>
        <w:pBdr>
          <w:top w:val="nil"/>
          <w:left w:val="nil"/>
          <w:bottom w:val="nil"/>
          <w:right w:val="nil"/>
          <w:between w:val="nil"/>
        </w:pBdr>
        <w:ind w:right="142"/>
        <w:jc w:val="both"/>
        <w:rPr>
          <w:rFonts w:ascii="Cambria" w:eastAsia="Cambria" w:hAnsi="Cambria" w:cs="Cambria"/>
          <w:color w:val="000000"/>
          <w:sz w:val="20"/>
          <w:szCs w:val="20"/>
          <w:lang w:val="en" w:eastAsia="en-US"/>
        </w:rPr>
      </w:pPr>
    </w:p>
    <w:p w14:paraId="25F160CE" w14:textId="5005549A" w:rsidR="006A1BDD" w:rsidRPr="0057470D" w:rsidRDefault="006A1BDD" w:rsidP="006A1BDD">
      <w:pPr>
        <w:pStyle w:val="ListParagraph"/>
        <w:widowControl w:val="0"/>
        <w:numPr>
          <w:ilvl w:val="0"/>
          <w:numId w:val="46"/>
        </w:numPr>
        <w:pBdr>
          <w:top w:val="nil"/>
          <w:left w:val="nil"/>
          <w:bottom w:val="nil"/>
          <w:right w:val="nil"/>
          <w:between w:val="nil"/>
        </w:pBdr>
        <w:ind w:right="142"/>
        <w:jc w:val="both"/>
        <w:rPr>
          <w:rFonts w:ascii="Cambria" w:eastAsia="Cambria" w:hAnsi="Cambria" w:cs="Cambria"/>
          <w:color w:val="000000"/>
          <w:sz w:val="20"/>
          <w:szCs w:val="20"/>
        </w:rPr>
      </w:pPr>
      <w:r w:rsidRPr="0057470D">
        <w:rPr>
          <w:rFonts w:ascii="Cambria" w:hAnsi="Cambria"/>
          <w:color w:val="000000"/>
          <w:sz w:val="20"/>
          <w:szCs w:val="20"/>
        </w:rPr>
        <w:t>Une limite annuelle de 1.670 t de makaire bleu et de 355 t de makaire blanc/makaire épée est établie à compter de 2020. Les limites de débarquement devront être mises en œuvre de la manière suivante:</w:t>
      </w:r>
    </w:p>
    <w:p w14:paraId="1255FDB5" w14:textId="77777777" w:rsidR="006A1BDD" w:rsidRPr="0057470D" w:rsidRDefault="006A1BDD" w:rsidP="006A1BDD">
      <w:pPr>
        <w:widowControl w:val="0"/>
        <w:pBdr>
          <w:top w:val="nil"/>
          <w:left w:val="nil"/>
          <w:bottom w:val="nil"/>
          <w:right w:val="nil"/>
          <w:between w:val="nil"/>
        </w:pBdr>
        <w:tabs>
          <w:tab w:val="left" w:pos="567"/>
        </w:tabs>
        <w:ind w:right="141"/>
        <w:rPr>
          <w:rFonts w:ascii="Cambria" w:eastAsia="Cambria" w:hAnsi="Cambria" w:cs="Cambria"/>
          <w:sz w:val="20"/>
          <w:szCs w:val="20"/>
          <w:lang w:eastAsia="en-US"/>
        </w:rPr>
      </w:pPr>
    </w:p>
    <w:tbl>
      <w:tblPr>
        <w:tblW w:w="0" w:type="auto"/>
        <w:tblInd w:w="1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4"/>
        <w:gridCol w:w="3600"/>
      </w:tblGrid>
      <w:tr w:rsidR="006A1BDD" w:rsidRPr="0057470D" w14:paraId="1D373216" w14:textId="77777777" w:rsidTr="003B5486">
        <w:trPr>
          <w:trHeight w:val="436"/>
        </w:trPr>
        <w:tc>
          <w:tcPr>
            <w:tcW w:w="2194" w:type="dxa"/>
          </w:tcPr>
          <w:p w14:paraId="35EADBB9" w14:textId="77777777" w:rsidR="006A1BDD" w:rsidRPr="0057470D" w:rsidRDefault="006A1BDD" w:rsidP="006A1BDD">
            <w:pPr>
              <w:widowControl w:val="0"/>
              <w:autoSpaceDE w:val="0"/>
              <w:autoSpaceDN w:val="0"/>
              <w:spacing w:before="102"/>
              <w:ind w:left="100"/>
              <w:rPr>
                <w:rFonts w:ascii="Cambria" w:eastAsia="Cambria" w:hAnsi="Cambria" w:cs="Cambria"/>
                <w:i/>
                <w:sz w:val="20"/>
                <w:szCs w:val="20"/>
              </w:rPr>
            </w:pPr>
            <w:r w:rsidRPr="0057470D">
              <w:rPr>
                <w:rFonts w:ascii="Cambria" w:hAnsi="Cambria"/>
                <w:i/>
                <w:sz w:val="20"/>
                <w:szCs w:val="20"/>
              </w:rPr>
              <w:t>Makaire bleu</w:t>
            </w:r>
          </w:p>
        </w:tc>
        <w:tc>
          <w:tcPr>
            <w:tcW w:w="3600" w:type="dxa"/>
          </w:tcPr>
          <w:p w14:paraId="0DFC257F" w14:textId="77777777" w:rsidR="006A1BDD" w:rsidRPr="0057470D" w:rsidRDefault="006A1BDD" w:rsidP="006A1BDD">
            <w:pPr>
              <w:widowControl w:val="0"/>
              <w:autoSpaceDE w:val="0"/>
              <w:autoSpaceDN w:val="0"/>
              <w:spacing w:before="102"/>
              <w:ind w:left="10" w:right="4"/>
              <w:jc w:val="center"/>
              <w:rPr>
                <w:rFonts w:ascii="Cambria" w:eastAsia="Cambria" w:hAnsi="Cambria" w:cs="Cambria"/>
                <w:i/>
                <w:sz w:val="20"/>
                <w:szCs w:val="20"/>
              </w:rPr>
            </w:pPr>
            <w:r w:rsidRPr="0057470D">
              <w:rPr>
                <w:rFonts w:ascii="Cambria" w:hAnsi="Cambria"/>
                <w:i/>
                <w:sz w:val="20"/>
                <w:szCs w:val="20"/>
              </w:rPr>
              <w:t>Limites de débarquement (t)</w:t>
            </w:r>
          </w:p>
        </w:tc>
      </w:tr>
      <w:tr w:rsidR="006A1BDD" w:rsidRPr="0057470D" w14:paraId="1545A179" w14:textId="77777777" w:rsidTr="003B5486">
        <w:trPr>
          <w:trHeight w:val="425"/>
        </w:trPr>
        <w:tc>
          <w:tcPr>
            <w:tcW w:w="2194" w:type="dxa"/>
            <w:tcBorders>
              <w:bottom w:val="nil"/>
            </w:tcBorders>
          </w:tcPr>
          <w:p w14:paraId="69892B44" w14:textId="77777777" w:rsidR="006A1BDD" w:rsidRPr="0057470D" w:rsidRDefault="006A1BDD" w:rsidP="006A1BDD">
            <w:pPr>
              <w:widowControl w:val="0"/>
              <w:autoSpaceDE w:val="0"/>
              <w:autoSpaceDN w:val="0"/>
              <w:spacing w:before="93"/>
              <w:ind w:left="100"/>
              <w:rPr>
                <w:rFonts w:ascii="Cambria" w:eastAsia="Cambria" w:hAnsi="Cambria" w:cs="Cambria"/>
                <w:sz w:val="20"/>
                <w:szCs w:val="20"/>
              </w:rPr>
            </w:pPr>
            <w:r w:rsidRPr="0057470D">
              <w:rPr>
                <w:rFonts w:ascii="Cambria" w:hAnsi="Cambria"/>
                <w:sz w:val="20"/>
                <w:szCs w:val="20"/>
              </w:rPr>
              <w:t>Brésil</w:t>
            </w:r>
          </w:p>
        </w:tc>
        <w:tc>
          <w:tcPr>
            <w:tcW w:w="3600" w:type="dxa"/>
            <w:tcBorders>
              <w:bottom w:val="nil"/>
            </w:tcBorders>
          </w:tcPr>
          <w:p w14:paraId="4E4DAF29" w14:textId="2FE4EB2D" w:rsidR="006A1BDD" w:rsidRPr="0057470D" w:rsidRDefault="006A1BDD" w:rsidP="006A1BDD">
            <w:pPr>
              <w:widowControl w:val="0"/>
              <w:autoSpaceDE w:val="0"/>
              <w:autoSpaceDN w:val="0"/>
              <w:spacing w:before="93"/>
              <w:ind w:left="10" w:right="5"/>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3CF1BEDA" w14:textId="77777777" w:rsidTr="003B5486">
        <w:trPr>
          <w:trHeight w:val="434"/>
        </w:trPr>
        <w:tc>
          <w:tcPr>
            <w:tcW w:w="2194" w:type="dxa"/>
            <w:tcBorders>
              <w:top w:val="nil"/>
              <w:bottom w:val="nil"/>
            </w:tcBorders>
          </w:tcPr>
          <w:p w14:paraId="2B504FD0" w14:textId="77777777" w:rsidR="006A1BDD" w:rsidRPr="0057470D" w:rsidRDefault="006A1BDD" w:rsidP="006A1BDD">
            <w:pPr>
              <w:widowControl w:val="0"/>
              <w:autoSpaceDE w:val="0"/>
              <w:autoSpaceDN w:val="0"/>
              <w:spacing w:before="99"/>
              <w:ind w:left="100"/>
              <w:rPr>
                <w:rFonts w:ascii="Cambria" w:eastAsia="Cambria" w:hAnsi="Cambria" w:cs="Cambria"/>
                <w:sz w:val="20"/>
                <w:szCs w:val="20"/>
              </w:rPr>
            </w:pPr>
            <w:r w:rsidRPr="0057470D">
              <w:rPr>
                <w:rFonts w:ascii="Cambria" w:hAnsi="Cambria"/>
                <w:sz w:val="20"/>
                <w:szCs w:val="20"/>
              </w:rPr>
              <w:t>Chine, R.P</w:t>
            </w:r>
          </w:p>
        </w:tc>
        <w:tc>
          <w:tcPr>
            <w:tcW w:w="3600" w:type="dxa"/>
            <w:tcBorders>
              <w:top w:val="nil"/>
              <w:bottom w:val="nil"/>
            </w:tcBorders>
          </w:tcPr>
          <w:p w14:paraId="4312A286" w14:textId="7C1EF95B" w:rsidR="006A1BDD" w:rsidRPr="0057470D" w:rsidRDefault="006A1BDD" w:rsidP="006A1BDD">
            <w:pPr>
              <w:widowControl w:val="0"/>
              <w:autoSpaceDE w:val="0"/>
              <w:autoSpaceDN w:val="0"/>
              <w:spacing w:before="99"/>
              <w:ind w:left="10"/>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43B8A40B" w14:textId="77777777" w:rsidTr="003B5486">
        <w:trPr>
          <w:trHeight w:val="434"/>
        </w:trPr>
        <w:tc>
          <w:tcPr>
            <w:tcW w:w="2194" w:type="dxa"/>
            <w:tcBorders>
              <w:top w:val="nil"/>
              <w:bottom w:val="nil"/>
            </w:tcBorders>
          </w:tcPr>
          <w:p w14:paraId="213398AC" w14:textId="77777777" w:rsidR="006A1BDD" w:rsidRPr="0057470D" w:rsidRDefault="006A1BDD" w:rsidP="006A1BDD">
            <w:pPr>
              <w:widowControl w:val="0"/>
              <w:autoSpaceDE w:val="0"/>
              <w:autoSpaceDN w:val="0"/>
              <w:spacing w:before="101"/>
              <w:ind w:left="100"/>
              <w:rPr>
                <w:rFonts w:ascii="Cambria" w:eastAsia="Cambria" w:hAnsi="Cambria" w:cs="Cambria"/>
                <w:sz w:val="20"/>
                <w:szCs w:val="20"/>
              </w:rPr>
            </w:pPr>
            <w:r w:rsidRPr="0057470D">
              <w:rPr>
                <w:rFonts w:ascii="Cambria" w:hAnsi="Cambria"/>
                <w:sz w:val="20"/>
                <w:szCs w:val="20"/>
              </w:rPr>
              <w:t>Taipei chinois</w:t>
            </w:r>
          </w:p>
        </w:tc>
        <w:tc>
          <w:tcPr>
            <w:tcW w:w="3600" w:type="dxa"/>
            <w:tcBorders>
              <w:top w:val="nil"/>
              <w:bottom w:val="nil"/>
            </w:tcBorders>
          </w:tcPr>
          <w:p w14:paraId="5374D267" w14:textId="4B511A5C" w:rsidR="006A1BDD" w:rsidRPr="0057470D" w:rsidRDefault="006A1BDD" w:rsidP="006A1BDD">
            <w:pPr>
              <w:widowControl w:val="0"/>
              <w:autoSpaceDE w:val="0"/>
              <w:autoSpaceDN w:val="0"/>
              <w:spacing w:before="101"/>
              <w:ind w:left="10" w:right="5"/>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35FFD94F" w14:textId="77777777" w:rsidTr="003B5486">
        <w:trPr>
          <w:trHeight w:val="434"/>
        </w:trPr>
        <w:tc>
          <w:tcPr>
            <w:tcW w:w="2194" w:type="dxa"/>
            <w:tcBorders>
              <w:top w:val="nil"/>
              <w:bottom w:val="nil"/>
            </w:tcBorders>
          </w:tcPr>
          <w:p w14:paraId="1D79FFAF" w14:textId="77777777" w:rsidR="006A1BDD" w:rsidRPr="0057470D" w:rsidRDefault="006A1BDD" w:rsidP="006A1BDD">
            <w:pPr>
              <w:widowControl w:val="0"/>
              <w:autoSpaceDE w:val="0"/>
              <w:autoSpaceDN w:val="0"/>
              <w:spacing w:before="99"/>
              <w:ind w:left="100"/>
              <w:rPr>
                <w:rFonts w:ascii="Cambria" w:eastAsia="Cambria" w:hAnsi="Cambria" w:cs="Cambria"/>
                <w:sz w:val="20"/>
                <w:szCs w:val="20"/>
              </w:rPr>
            </w:pPr>
            <w:r w:rsidRPr="0057470D">
              <w:rPr>
                <w:rFonts w:ascii="Cambria" w:hAnsi="Cambria"/>
                <w:sz w:val="20"/>
                <w:szCs w:val="20"/>
              </w:rPr>
              <w:t>Côte d'Ivoire</w:t>
            </w:r>
          </w:p>
        </w:tc>
        <w:tc>
          <w:tcPr>
            <w:tcW w:w="3600" w:type="dxa"/>
            <w:tcBorders>
              <w:top w:val="nil"/>
              <w:bottom w:val="nil"/>
            </w:tcBorders>
          </w:tcPr>
          <w:p w14:paraId="6C528D33" w14:textId="016D1078" w:rsidR="006A1BDD" w:rsidRPr="0057470D" w:rsidRDefault="006A1BDD" w:rsidP="006A1BDD">
            <w:pPr>
              <w:widowControl w:val="0"/>
              <w:autoSpaceDE w:val="0"/>
              <w:autoSpaceDN w:val="0"/>
              <w:spacing w:before="99"/>
              <w:ind w:left="10" w:right="5"/>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0BF12C4B" w14:textId="77777777" w:rsidTr="003B5486">
        <w:trPr>
          <w:trHeight w:val="434"/>
        </w:trPr>
        <w:tc>
          <w:tcPr>
            <w:tcW w:w="2194" w:type="dxa"/>
            <w:tcBorders>
              <w:top w:val="nil"/>
              <w:bottom w:val="nil"/>
            </w:tcBorders>
          </w:tcPr>
          <w:p w14:paraId="3340883D" w14:textId="77777777" w:rsidR="006A1BDD" w:rsidRPr="0057470D" w:rsidRDefault="006A1BDD" w:rsidP="006A1BDD">
            <w:pPr>
              <w:widowControl w:val="0"/>
              <w:autoSpaceDE w:val="0"/>
              <w:autoSpaceDN w:val="0"/>
              <w:spacing w:before="101"/>
              <w:ind w:left="100"/>
              <w:rPr>
                <w:rFonts w:ascii="Cambria" w:eastAsia="Cambria" w:hAnsi="Cambria" w:cs="Cambria"/>
                <w:position w:val="5"/>
                <w:sz w:val="20"/>
                <w:szCs w:val="20"/>
              </w:rPr>
            </w:pPr>
            <w:r w:rsidRPr="0057470D">
              <w:rPr>
                <w:rFonts w:ascii="Cambria" w:hAnsi="Cambria"/>
                <w:sz w:val="20"/>
                <w:szCs w:val="20"/>
              </w:rPr>
              <w:t>Union européenne</w:t>
            </w:r>
          </w:p>
        </w:tc>
        <w:tc>
          <w:tcPr>
            <w:tcW w:w="3600" w:type="dxa"/>
            <w:tcBorders>
              <w:top w:val="nil"/>
              <w:bottom w:val="nil"/>
            </w:tcBorders>
          </w:tcPr>
          <w:p w14:paraId="4DB74C26" w14:textId="501D854A" w:rsidR="006A1BDD" w:rsidRPr="0057470D" w:rsidRDefault="006A1BDD" w:rsidP="006A1BDD">
            <w:pPr>
              <w:widowControl w:val="0"/>
              <w:autoSpaceDE w:val="0"/>
              <w:autoSpaceDN w:val="0"/>
              <w:spacing w:before="101"/>
              <w:ind w:left="10" w:right="5"/>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2E565665" w14:textId="77777777" w:rsidTr="003B5486">
        <w:trPr>
          <w:trHeight w:val="434"/>
        </w:trPr>
        <w:tc>
          <w:tcPr>
            <w:tcW w:w="2194" w:type="dxa"/>
            <w:tcBorders>
              <w:top w:val="nil"/>
              <w:bottom w:val="nil"/>
            </w:tcBorders>
          </w:tcPr>
          <w:p w14:paraId="3E3CEE98" w14:textId="77777777" w:rsidR="006A1BDD" w:rsidRPr="0057470D" w:rsidRDefault="006A1BDD" w:rsidP="006A1BDD">
            <w:pPr>
              <w:widowControl w:val="0"/>
              <w:autoSpaceDE w:val="0"/>
              <w:autoSpaceDN w:val="0"/>
              <w:spacing w:before="99"/>
              <w:ind w:left="100"/>
              <w:rPr>
                <w:rFonts w:ascii="Cambria" w:eastAsia="Cambria" w:hAnsi="Cambria" w:cs="Cambria"/>
                <w:sz w:val="20"/>
                <w:szCs w:val="20"/>
              </w:rPr>
            </w:pPr>
            <w:r w:rsidRPr="0057470D">
              <w:rPr>
                <w:rFonts w:ascii="Cambria" w:hAnsi="Cambria"/>
                <w:sz w:val="20"/>
                <w:szCs w:val="20"/>
              </w:rPr>
              <w:t>Ghana</w:t>
            </w:r>
          </w:p>
        </w:tc>
        <w:tc>
          <w:tcPr>
            <w:tcW w:w="3600" w:type="dxa"/>
            <w:tcBorders>
              <w:top w:val="nil"/>
              <w:bottom w:val="nil"/>
            </w:tcBorders>
          </w:tcPr>
          <w:p w14:paraId="429A23A5" w14:textId="178F3C7B" w:rsidR="006A1BDD" w:rsidRPr="0057470D" w:rsidRDefault="006A1BDD" w:rsidP="006A1BDD">
            <w:pPr>
              <w:widowControl w:val="0"/>
              <w:autoSpaceDE w:val="0"/>
              <w:autoSpaceDN w:val="0"/>
              <w:spacing w:before="99"/>
              <w:ind w:left="10" w:right="5"/>
              <w:jc w:val="center"/>
              <w:rPr>
                <w:rFonts w:ascii="Cambria" w:eastAsia="Cambria" w:hAnsi="Cambria" w:cs="Cambria"/>
                <w:sz w:val="20"/>
                <w:szCs w:val="20"/>
                <w:highlight w:val="yellow"/>
              </w:rPr>
            </w:pPr>
            <w:r w:rsidRPr="0057470D">
              <w:rPr>
                <w:rFonts w:ascii="Cambria" w:hAnsi="Cambria"/>
                <w:sz w:val="20"/>
                <w:szCs w:val="20"/>
                <w:highlight w:val="yellow"/>
                <w:u w:val="single"/>
              </w:rPr>
              <w:t xml:space="preserve">XX </w:t>
            </w:r>
          </w:p>
        </w:tc>
      </w:tr>
      <w:tr w:rsidR="006A1BDD" w:rsidRPr="0057470D" w14:paraId="2A5580F0" w14:textId="77777777" w:rsidTr="003B5486">
        <w:trPr>
          <w:trHeight w:val="434"/>
        </w:trPr>
        <w:tc>
          <w:tcPr>
            <w:tcW w:w="2194" w:type="dxa"/>
            <w:tcBorders>
              <w:top w:val="nil"/>
              <w:bottom w:val="nil"/>
            </w:tcBorders>
          </w:tcPr>
          <w:p w14:paraId="413D3848" w14:textId="77777777" w:rsidR="006A1BDD" w:rsidRPr="0057470D" w:rsidRDefault="006A1BDD" w:rsidP="006A1BDD">
            <w:pPr>
              <w:widowControl w:val="0"/>
              <w:autoSpaceDE w:val="0"/>
              <w:autoSpaceDN w:val="0"/>
              <w:spacing w:before="101"/>
              <w:ind w:left="100"/>
              <w:rPr>
                <w:rFonts w:ascii="Cambria" w:eastAsia="Cambria" w:hAnsi="Cambria" w:cs="Cambria"/>
                <w:sz w:val="20"/>
                <w:szCs w:val="20"/>
              </w:rPr>
            </w:pPr>
            <w:r w:rsidRPr="0057470D">
              <w:rPr>
                <w:rFonts w:ascii="Cambria" w:hAnsi="Cambria"/>
                <w:sz w:val="20"/>
                <w:szCs w:val="20"/>
              </w:rPr>
              <w:t>Japon</w:t>
            </w:r>
          </w:p>
        </w:tc>
        <w:tc>
          <w:tcPr>
            <w:tcW w:w="3600" w:type="dxa"/>
            <w:tcBorders>
              <w:top w:val="nil"/>
              <w:bottom w:val="nil"/>
            </w:tcBorders>
          </w:tcPr>
          <w:p w14:paraId="64A508F5" w14:textId="6D0FFC65" w:rsidR="006A1BDD" w:rsidRPr="0057470D" w:rsidRDefault="006A1BDD" w:rsidP="006A1BDD">
            <w:pPr>
              <w:widowControl w:val="0"/>
              <w:autoSpaceDE w:val="0"/>
              <w:autoSpaceDN w:val="0"/>
              <w:spacing w:before="101"/>
              <w:ind w:left="10" w:right="5"/>
              <w:jc w:val="center"/>
              <w:rPr>
                <w:rFonts w:ascii="Cambria" w:eastAsia="Cambria" w:hAnsi="Cambria" w:cs="Cambria"/>
                <w:sz w:val="20"/>
                <w:szCs w:val="20"/>
                <w:highlight w:val="yellow"/>
              </w:rPr>
            </w:pPr>
            <w:r w:rsidRPr="0057470D">
              <w:rPr>
                <w:rFonts w:ascii="Cambria" w:hAnsi="Cambria"/>
                <w:sz w:val="20"/>
                <w:szCs w:val="20"/>
                <w:highlight w:val="yellow"/>
                <w:u w:val="single"/>
              </w:rPr>
              <w:t xml:space="preserve">XX </w:t>
            </w:r>
          </w:p>
        </w:tc>
      </w:tr>
      <w:tr w:rsidR="006A1BDD" w:rsidRPr="0057470D" w14:paraId="0E7B2DB9" w14:textId="77777777" w:rsidTr="003B5486">
        <w:trPr>
          <w:trHeight w:val="434"/>
        </w:trPr>
        <w:tc>
          <w:tcPr>
            <w:tcW w:w="2194" w:type="dxa"/>
            <w:tcBorders>
              <w:top w:val="nil"/>
              <w:bottom w:val="nil"/>
            </w:tcBorders>
          </w:tcPr>
          <w:p w14:paraId="2D403A2D" w14:textId="77777777" w:rsidR="006A1BDD" w:rsidRPr="0057470D" w:rsidRDefault="006A1BDD" w:rsidP="006A1BDD">
            <w:pPr>
              <w:widowControl w:val="0"/>
              <w:autoSpaceDE w:val="0"/>
              <w:autoSpaceDN w:val="0"/>
              <w:spacing w:before="99"/>
              <w:ind w:left="100"/>
              <w:rPr>
                <w:rFonts w:ascii="Cambria" w:eastAsia="Cambria" w:hAnsi="Cambria" w:cs="Cambria"/>
                <w:sz w:val="20"/>
                <w:szCs w:val="20"/>
              </w:rPr>
            </w:pPr>
            <w:r w:rsidRPr="0057470D">
              <w:rPr>
                <w:rFonts w:ascii="Cambria" w:hAnsi="Cambria"/>
                <w:sz w:val="20"/>
                <w:szCs w:val="20"/>
              </w:rPr>
              <w:t xml:space="preserve">Corée </w:t>
            </w:r>
            <w:proofErr w:type="spellStart"/>
            <w:r w:rsidRPr="0057470D">
              <w:rPr>
                <w:rFonts w:ascii="Cambria" w:hAnsi="Cambria"/>
                <w:sz w:val="20"/>
                <w:szCs w:val="20"/>
              </w:rPr>
              <w:t>Rép</w:t>
            </w:r>
            <w:proofErr w:type="spellEnd"/>
            <w:r w:rsidRPr="0057470D">
              <w:rPr>
                <w:rFonts w:ascii="Cambria" w:hAnsi="Cambria"/>
                <w:sz w:val="20"/>
                <w:szCs w:val="20"/>
              </w:rPr>
              <w:t>.</w:t>
            </w:r>
          </w:p>
        </w:tc>
        <w:tc>
          <w:tcPr>
            <w:tcW w:w="3600" w:type="dxa"/>
            <w:tcBorders>
              <w:top w:val="nil"/>
              <w:bottom w:val="nil"/>
            </w:tcBorders>
          </w:tcPr>
          <w:p w14:paraId="140492AA" w14:textId="195293FF" w:rsidR="006A1BDD" w:rsidRPr="0057470D" w:rsidRDefault="006A1BDD" w:rsidP="006A1BDD">
            <w:pPr>
              <w:widowControl w:val="0"/>
              <w:autoSpaceDE w:val="0"/>
              <w:autoSpaceDN w:val="0"/>
              <w:spacing w:before="99"/>
              <w:ind w:left="10"/>
              <w:jc w:val="center"/>
              <w:rPr>
                <w:rFonts w:ascii="Cambria" w:eastAsia="Cambria" w:hAnsi="Cambria" w:cs="Cambria"/>
                <w:sz w:val="20"/>
                <w:szCs w:val="20"/>
                <w:highlight w:val="yellow"/>
              </w:rPr>
            </w:pPr>
            <w:r w:rsidRPr="0057470D">
              <w:rPr>
                <w:rFonts w:ascii="Cambria" w:hAnsi="Cambria"/>
                <w:sz w:val="20"/>
                <w:szCs w:val="20"/>
                <w:highlight w:val="yellow"/>
                <w:u w:val="single"/>
              </w:rPr>
              <w:t xml:space="preserve">XX </w:t>
            </w:r>
          </w:p>
        </w:tc>
      </w:tr>
      <w:tr w:rsidR="006A1BDD" w:rsidRPr="0057470D" w14:paraId="15546606" w14:textId="77777777" w:rsidTr="003B5486">
        <w:trPr>
          <w:trHeight w:val="434"/>
        </w:trPr>
        <w:tc>
          <w:tcPr>
            <w:tcW w:w="2194" w:type="dxa"/>
            <w:tcBorders>
              <w:top w:val="nil"/>
              <w:bottom w:val="nil"/>
            </w:tcBorders>
          </w:tcPr>
          <w:p w14:paraId="2695BAE5" w14:textId="77777777" w:rsidR="006A1BDD" w:rsidRPr="0057470D" w:rsidRDefault="006A1BDD" w:rsidP="006A1BDD">
            <w:pPr>
              <w:widowControl w:val="0"/>
              <w:autoSpaceDE w:val="0"/>
              <w:autoSpaceDN w:val="0"/>
              <w:spacing w:before="101"/>
              <w:ind w:left="100"/>
              <w:rPr>
                <w:rFonts w:ascii="Cambria" w:eastAsia="Cambria" w:hAnsi="Cambria" w:cs="Cambria"/>
                <w:sz w:val="20"/>
                <w:szCs w:val="20"/>
              </w:rPr>
            </w:pPr>
            <w:r w:rsidRPr="0057470D">
              <w:rPr>
                <w:rFonts w:ascii="Cambria" w:hAnsi="Cambria"/>
                <w:sz w:val="20"/>
                <w:szCs w:val="20"/>
              </w:rPr>
              <w:t>Mexique</w:t>
            </w:r>
          </w:p>
        </w:tc>
        <w:tc>
          <w:tcPr>
            <w:tcW w:w="3600" w:type="dxa"/>
            <w:tcBorders>
              <w:top w:val="nil"/>
              <w:bottom w:val="nil"/>
            </w:tcBorders>
          </w:tcPr>
          <w:p w14:paraId="592FAEDE" w14:textId="1004674B" w:rsidR="006A1BDD" w:rsidRPr="0057470D" w:rsidRDefault="006A1BDD" w:rsidP="006A1BDD">
            <w:pPr>
              <w:widowControl w:val="0"/>
              <w:autoSpaceDE w:val="0"/>
              <w:autoSpaceDN w:val="0"/>
              <w:spacing w:before="101"/>
              <w:ind w:left="10"/>
              <w:jc w:val="center"/>
              <w:rPr>
                <w:rFonts w:ascii="Cambria" w:eastAsia="Cambria" w:hAnsi="Cambria" w:cs="Cambria"/>
                <w:sz w:val="20"/>
                <w:szCs w:val="20"/>
                <w:highlight w:val="yellow"/>
              </w:rPr>
            </w:pPr>
            <w:r w:rsidRPr="0057470D">
              <w:rPr>
                <w:rFonts w:ascii="Cambria" w:hAnsi="Cambria"/>
                <w:sz w:val="20"/>
                <w:szCs w:val="20"/>
                <w:highlight w:val="yellow"/>
                <w:u w:val="single"/>
              </w:rPr>
              <w:t xml:space="preserve">XX </w:t>
            </w:r>
          </w:p>
        </w:tc>
      </w:tr>
      <w:tr w:rsidR="006A1BDD" w:rsidRPr="0057470D" w14:paraId="259CD97E" w14:textId="77777777" w:rsidTr="003B5486">
        <w:trPr>
          <w:trHeight w:val="434"/>
        </w:trPr>
        <w:tc>
          <w:tcPr>
            <w:tcW w:w="2194" w:type="dxa"/>
            <w:tcBorders>
              <w:top w:val="nil"/>
              <w:bottom w:val="nil"/>
            </w:tcBorders>
          </w:tcPr>
          <w:p w14:paraId="61DAB2D1" w14:textId="77777777" w:rsidR="006A1BDD" w:rsidRPr="0057470D" w:rsidRDefault="006A1BDD" w:rsidP="006A1BDD">
            <w:pPr>
              <w:widowControl w:val="0"/>
              <w:autoSpaceDE w:val="0"/>
              <w:autoSpaceDN w:val="0"/>
              <w:spacing w:before="99"/>
              <w:ind w:left="100"/>
              <w:rPr>
                <w:rFonts w:ascii="Cambria" w:eastAsia="Cambria" w:hAnsi="Cambria" w:cs="Cambria"/>
                <w:sz w:val="20"/>
                <w:szCs w:val="20"/>
              </w:rPr>
            </w:pPr>
            <w:r w:rsidRPr="0057470D">
              <w:rPr>
                <w:rFonts w:ascii="Cambria" w:hAnsi="Cambria"/>
                <w:sz w:val="20"/>
                <w:szCs w:val="20"/>
              </w:rPr>
              <w:t>S. Tomé &amp; Príncipe</w:t>
            </w:r>
          </w:p>
        </w:tc>
        <w:tc>
          <w:tcPr>
            <w:tcW w:w="3600" w:type="dxa"/>
            <w:tcBorders>
              <w:top w:val="nil"/>
              <w:bottom w:val="nil"/>
            </w:tcBorders>
          </w:tcPr>
          <w:p w14:paraId="1E0AF670" w14:textId="13FB70EE" w:rsidR="006A1BDD" w:rsidRPr="0057470D" w:rsidRDefault="006A1BDD" w:rsidP="006A1BDD">
            <w:pPr>
              <w:widowControl w:val="0"/>
              <w:autoSpaceDE w:val="0"/>
              <w:autoSpaceDN w:val="0"/>
              <w:spacing w:before="99"/>
              <w:ind w:left="10"/>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479D7C98" w14:textId="77777777" w:rsidTr="003B5486">
        <w:trPr>
          <w:trHeight w:val="434"/>
        </w:trPr>
        <w:tc>
          <w:tcPr>
            <w:tcW w:w="2194" w:type="dxa"/>
            <w:tcBorders>
              <w:top w:val="nil"/>
              <w:bottom w:val="nil"/>
            </w:tcBorders>
          </w:tcPr>
          <w:p w14:paraId="0D507019" w14:textId="77777777" w:rsidR="006A1BDD" w:rsidRPr="0057470D" w:rsidRDefault="006A1BDD" w:rsidP="006A1BDD">
            <w:pPr>
              <w:widowControl w:val="0"/>
              <w:autoSpaceDE w:val="0"/>
              <w:autoSpaceDN w:val="0"/>
              <w:spacing w:before="101"/>
              <w:ind w:left="100"/>
              <w:rPr>
                <w:rFonts w:ascii="Cambria" w:eastAsia="Cambria" w:hAnsi="Cambria" w:cs="Cambria"/>
                <w:sz w:val="20"/>
                <w:szCs w:val="20"/>
              </w:rPr>
            </w:pPr>
            <w:r w:rsidRPr="0057470D">
              <w:rPr>
                <w:rFonts w:ascii="Cambria" w:hAnsi="Cambria"/>
                <w:sz w:val="20"/>
                <w:szCs w:val="20"/>
              </w:rPr>
              <w:lastRenderedPageBreak/>
              <w:t>Sénégal</w:t>
            </w:r>
          </w:p>
        </w:tc>
        <w:tc>
          <w:tcPr>
            <w:tcW w:w="3600" w:type="dxa"/>
            <w:tcBorders>
              <w:top w:val="nil"/>
              <w:bottom w:val="nil"/>
            </w:tcBorders>
          </w:tcPr>
          <w:p w14:paraId="61E920D5" w14:textId="30281548" w:rsidR="006A1BDD" w:rsidRPr="0057470D" w:rsidRDefault="006A1BDD" w:rsidP="006A1BDD">
            <w:pPr>
              <w:widowControl w:val="0"/>
              <w:autoSpaceDE w:val="0"/>
              <w:autoSpaceDN w:val="0"/>
              <w:spacing w:before="101"/>
              <w:ind w:left="10"/>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457DB508" w14:textId="77777777" w:rsidTr="003B5486">
        <w:trPr>
          <w:trHeight w:val="434"/>
        </w:trPr>
        <w:tc>
          <w:tcPr>
            <w:tcW w:w="2194" w:type="dxa"/>
            <w:tcBorders>
              <w:top w:val="nil"/>
              <w:bottom w:val="nil"/>
            </w:tcBorders>
          </w:tcPr>
          <w:p w14:paraId="7FC1BEAA" w14:textId="77777777" w:rsidR="006A1BDD" w:rsidRPr="0057470D" w:rsidRDefault="006A1BDD" w:rsidP="006A1BDD">
            <w:pPr>
              <w:widowControl w:val="0"/>
              <w:autoSpaceDE w:val="0"/>
              <w:autoSpaceDN w:val="0"/>
              <w:spacing w:before="99"/>
              <w:ind w:left="100"/>
              <w:rPr>
                <w:rFonts w:ascii="Cambria" w:eastAsia="Cambria" w:hAnsi="Cambria" w:cs="Cambria"/>
                <w:sz w:val="20"/>
                <w:szCs w:val="20"/>
              </w:rPr>
            </w:pPr>
            <w:r w:rsidRPr="0057470D">
              <w:rPr>
                <w:rFonts w:ascii="Cambria" w:hAnsi="Cambria"/>
                <w:sz w:val="20"/>
                <w:szCs w:val="20"/>
              </w:rPr>
              <w:t>Trinité-et-Tobago</w:t>
            </w:r>
          </w:p>
        </w:tc>
        <w:tc>
          <w:tcPr>
            <w:tcW w:w="3600" w:type="dxa"/>
            <w:tcBorders>
              <w:top w:val="nil"/>
              <w:bottom w:val="nil"/>
            </w:tcBorders>
          </w:tcPr>
          <w:p w14:paraId="46BC6BBB" w14:textId="0CC53530" w:rsidR="006A1BDD" w:rsidRPr="0057470D" w:rsidRDefault="006A1BDD" w:rsidP="006A1BDD">
            <w:pPr>
              <w:widowControl w:val="0"/>
              <w:autoSpaceDE w:val="0"/>
              <w:autoSpaceDN w:val="0"/>
              <w:spacing w:before="99"/>
              <w:ind w:left="10"/>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471DEB1C" w14:textId="77777777" w:rsidTr="003B5486">
        <w:trPr>
          <w:trHeight w:val="435"/>
        </w:trPr>
        <w:tc>
          <w:tcPr>
            <w:tcW w:w="2194" w:type="dxa"/>
            <w:tcBorders>
              <w:top w:val="nil"/>
            </w:tcBorders>
          </w:tcPr>
          <w:p w14:paraId="0296D46B" w14:textId="77777777" w:rsidR="006A1BDD" w:rsidRPr="0057470D" w:rsidRDefault="006A1BDD" w:rsidP="006A1BDD">
            <w:pPr>
              <w:widowControl w:val="0"/>
              <w:autoSpaceDE w:val="0"/>
              <w:autoSpaceDN w:val="0"/>
              <w:spacing w:before="101"/>
              <w:ind w:left="100"/>
              <w:rPr>
                <w:rFonts w:ascii="Cambria" w:eastAsia="Cambria" w:hAnsi="Cambria" w:cs="Cambria"/>
                <w:sz w:val="20"/>
                <w:szCs w:val="20"/>
              </w:rPr>
            </w:pPr>
            <w:r w:rsidRPr="0057470D">
              <w:rPr>
                <w:rFonts w:ascii="Cambria" w:hAnsi="Cambria"/>
                <w:sz w:val="20"/>
                <w:szCs w:val="20"/>
              </w:rPr>
              <w:t>Venezuela</w:t>
            </w:r>
          </w:p>
        </w:tc>
        <w:tc>
          <w:tcPr>
            <w:tcW w:w="3600" w:type="dxa"/>
            <w:tcBorders>
              <w:top w:val="nil"/>
            </w:tcBorders>
          </w:tcPr>
          <w:p w14:paraId="6F5FBE8C" w14:textId="0496379A" w:rsidR="006A1BDD" w:rsidRPr="0057470D" w:rsidRDefault="006A1BDD" w:rsidP="006A1BDD">
            <w:pPr>
              <w:widowControl w:val="0"/>
              <w:autoSpaceDE w:val="0"/>
              <w:autoSpaceDN w:val="0"/>
              <w:spacing w:before="101"/>
              <w:ind w:left="10"/>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549A880B" w14:textId="77777777" w:rsidTr="003B5486">
        <w:trPr>
          <w:trHeight w:val="431"/>
        </w:trPr>
        <w:tc>
          <w:tcPr>
            <w:tcW w:w="2194" w:type="dxa"/>
          </w:tcPr>
          <w:p w14:paraId="61D1714E" w14:textId="77777777" w:rsidR="006A1BDD" w:rsidRPr="0057470D" w:rsidRDefault="006A1BDD" w:rsidP="006A1BDD">
            <w:pPr>
              <w:widowControl w:val="0"/>
              <w:autoSpaceDE w:val="0"/>
              <w:autoSpaceDN w:val="0"/>
              <w:spacing w:before="97"/>
              <w:ind w:left="100"/>
              <w:rPr>
                <w:rFonts w:ascii="Cambria" w:eastAsia="Cambria" w:hAnsi="Cambria" w:cs="Cambria"/>
                <w:b/>
                <w:sz w:val="20"/>
                <w:szCs w:val="20"/>
              </w:rPr>
            </w:pPr>
            <w:r w:rsidRPr="0057470D">
              <w:rPr>
                <w:rFonts w:ascii="Cambria" w:hAnsi="Cambria"/>
                <w:b/>
                <w:sz w:val="20"/>
                <w:szCs w:val="20"/>
              </w:rPr>
              <w:t>TOTAL</w:t>
            </w:r>
          </w:p>
        </w:tc>
        <w:tc>
          <w:tcPr>
            <w:tcW w:w="3600" w:type="dxa"/>
          </w:tcPr>
          <w:p w14:paraId="3AF498E6" w14:textId="11DFB529" w:rsidR="006A1BDD" w:rsidRPr="0057470D" w:rsidRDefault="006A1BDD" w:rsidP="006A1BDD">
            <w:pPr>
              <w:widowControl w:val="0"/>
              <w:autoSpaceDE w:val="0"/>
              <w:autoSpaceDN w:val="0"/>
              <w:spacing w:before="97"/>
              <w:ind w:left="10" w:right="6"/>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bl>
    <w:p w14:paraId="550AA621" w14:textId="77777777" w:rsidR="006A1BDD" w:rsidRPr="0057470D" w:rsidRDefault="006A1BDD" w:rsidP="006A1BDD">
      <w:pPr>
        <w:widowControl w:val="0"/>
        <w:pBdr>
          <w:top w:val="nil"/>
          <w:left w:val="nil"/>
          <w:bottom w:val="nil"/>
          <w:right w:val="nil"/>
          <w:between w:val="nil"/>
        </w:pBdr>
        <w:tabs>
          <w:tab w:val="left" w:pos="567"/>
        </w:tabs>
        <w:ind w:right="141"/>
        <w:rPr>
          <w:rFonts w:ascii="Cambria" w:eastAsia="Cambria" w:hAnsi="Cambria" w:cs="Cambria"/>
          <w:sz w:val="20"/>
          <w:szCs w:val="20"/>
          <w:lang w:val="en" w:eastAsia="en-US"/>
        </w:rPr>
      </w:pPr>
    </w:p>
    <w:p w14:paraId="12E31258" w14:textId="77777777" w:rsidR="006A1BDD" w:rsidRPr="0057470D" w:rsidRDefault="006A1BDD" w:rsidP="006A1BDD">
      <w:pPr>
        <w:widowControl w:val="0"/>
        <w:pBdr>
          <w:top w:val="nil"/>
          <w:left w:val="nil"/>
          <w:bottom w:val="nil"/>
          <w:right w:val="nil"/>
          <w:between w:val="nil"/>
        </w:pBdr>
        <w:tabs>
          <w:tab w:val="left" w:pos="567"/>
        </w:tabs>
        <w:ind w:right="141"/>
        <w:rPr>
          <w:rFonts w:ascii="Cambria" w:eastAsia="Cambria" w:hAnsi="Cambria" w:cs="Cambria"/>
          <w:sz w:val="20"/>
          <w:szCs w:val="20"/>
          <w:lang w:val="en" w:eastAsia="en-US"/>
        </w:rPr>
      </w:pPr>
    </w:p>
    <w:tbl>
      <w:tblPr>
        <w:tblW w:w="0" w:type="auto"/>
        <w:tblInd w:w="1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7"/>
        <w:gridCol w:w="2559"/>
      </w:tblGrid>
      <w:tr w:rsidR="006A1BDD" w:rsidRPr="0057470D" w14:paraId="7D9C4E74" w14:textId="77777777" w:rsidTr="00225ADA">
        <w:trPr>
          <w:trHeight w:val="365"/>
        </w:trPr>
        <w:tc>
          <w:tcPr>
            <w:tcW w:w="3387" w:type="dxa"/>
          </w:tcPr>
          <w:p w14:paraId="35E8FE5E" w14:textId="77777777" w:rsidR="006A1BDD" w:rsidRPr="0057470D" w:rsidRDefault="006A1BDD" w:rsidP="006A1BDD">
            <w:pPr>
              <w:widowControl w:val="0"/>
              <w:autoSpaceDE w:val="0"/>
              <w:autoSpaceDN w:val="0"/>
              <w:ind w:left="100"/>
              <w:rPr>
                <w:rFonts w:ascii="Cambria" w:eastAsia="Cambria" w:hAnsi="Cambria" w:cs="Cambria"/>
                <w:i/>
                <w:sz w:val="20"/>
                <w:szCs w:val="20"/>
              </w:rPr>
            </w:pPr>
            <w:r w:rsidRPr="0057470D">
              <w:rPr>
                <w:rFonts w:ascii="Cambria" w:hAnsi="Cambria"/>
                <w:i/>
                <w:sz w:val="20"/>
                <w:szCs w:val="20"/>
              </w:rPr>
              <w:t>Makaire blanc/Makaire épée</w:t>
            </w:r>
          </w:p>
        </w:tc>
        <w:tc>
          <w:tcPr>
            <w:tcW w:w="2559" w:type="dxa"/>
          </w:tcPr>
          <w:p w14:paraId="4D3B78F6" w14:textId="77777777" w:rsidR="006A1BDD" w:rsidRPr="0057470D" w:rsidRDefault="006A1BDD" w:rsidP="006A1BDD">
            <w:pPr>
              <w:widowControl w:val="0"/>
              <w:autoSpaceDE w:val="0"/>
              <w:autoSpaceDN w:val="0"/>
              <w:ind w:left="6" w:right="2"/>
              <w:jc w:val="center"/>
              <w:rPr>
                <w:rFonts w:ascii="Cambria" w:eastAsia="Cambria" w:hAnsi="Cambria" w:cs="Cambria"/>
                <w:i/>
                <w:sz w:val="20"/>
                <w:szCs w:val="20"/>
              </w:rPr>
            </w:pPr>
            <w:r w:rsidRPr="0057470D">
              <w:rPr>
                <w:rFonts w:ascii="Cambria" w:hAnsi="Cambria"/>
                <w:i/>
                <w:sz w:val="20"/>
                <w:szCs w:val="20"/>
              </w:rPr>
              <w:t>Limites de débarquement (t)</w:t>
            </w:r>
          </w:p>
        </w:tc>
      </w:tr>
      <w:tr w:rsidR="006A1BDD" w:rsidRPr="0057470D" w14:paraId="0BD00DB0" w14:textId="77777777" w:rsidTr="002973B5">
        <w:trPr>
          <w:trHeight w:val="425"/>
        </w:trPr>
        <w:tc>
          <w:tcPr>
            <w:tcW w:w="3387" w:type="dxa"/>
            <w:tcBorders>
              <w:bottom w:val="nil"/>
            </w:tcBorders>
          </w:tcPr>
          <w:p w14:paraId="707AB737" w14:textId="77777777" w:rsidR="006A1BDD" w:rsidRPr="0057470D" w:rsidRDefault="006A1BDD" w:rsidP="006A1BDD">
            <w:pPr>
              <w:widowControl w:val="0"/>
              <w:autoSpaceDE w:val="0"/>
              <w:autoSpaceDN w:val="0"/>
              <w:spacing w:before="93"/>
              <w:ind w:left="100"/>
              <w:rPr>
                <w:rFonts w:ascii="Cambria" w:eastAsia="Cambria" w:hAnsi="Cambria" w:cs="Cambria"/>
                <w:sz w:val="20"/>
                <w:szCs w:val="20"/>
              </w:rPr>
            </w:pPr>
            <w:r w:rsidRPr="0057470D">
              <w:rPr>
                <w:rFonts w:ascii="Cambria" w:hAnsi="Cambria"/>
                <w:sz w:val="20"/>
                <w:szCs w:val="20"/>
              </w:rPr>
              <w:t>Barbade</w:t>
            </w:r>
          </w:p>
        </w:tc>
        <w:tc>
          <w:tcPr>
            <w:tcW w:w="2559" w:type="dxa"/>
            <w:tcBorders>
              <w:bottom w:val="nil"/>
            </w:tcBorders>
          </w:tcPr>
          <w:p w14:paraId="2ED3BB95" w14:textId="4E35B1CC" w:rsidR="006A1BDD" w:rsidRPr="0057470D" w:rsidRDefault="006A1BDD" w:rsidP="006A1BDD">
            <w:pPr>
              <w:widowControl w:val="0"/>
              <w:autoSpaceDE w:val="0"/>
              <w:autoSpaceDN w:val="0"/>
              <w:spacing w:before="93"/>
              <w:ind w:left="6"/>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0777A315" w14:textId="77777777" w:rsidTr="002973B5">
        <w:trPr>
          <w:trHeight w:val="434"/>
        </w:trPr>
        <w:tc>
          <w:tcPr>
            <w:tcW w:w="3387" w:type="dxa"/>
            <w:tcBorders>
              <w:top w:val="nil"/>
              <w:bottom w:val="nil"/>
            </w:tcBorders>
          </w:tcPr>
          <w:p w14:paraId="47A9C226" w14:textId="77777777" w:rsidR="006A1BDD" w:rsidRPr="0057470D" w:rsidRDefault="006A1BDD" w:rsidP="006A1BDD">
            <w:pPr>
              <w:widowControl w:val="0"/>
              <w:autoSpaceDE w:val="0"/>
              <w:autoSpaceDN w:val="0"/>
              <w:spacing w:before="99"/>
              <w:ind w:left="100"/>
              <w:rPr>
                <w:rFonts w:ascii="Cambria" w:eastAsia="Cambria" w:hAnsi="Cambria" w:cs="Cambria"/>
                <w:sz w:val="20"/>
                <w:szCs w:val="20"/>
              </w:rPr>
            </w:pPr>
            <w:r w:rsidRPr="0057470D">
              <w:rPr>
                <w:rFonts w:ascii="Cambria" w:hAnsi="Cambria"/>
                <w:sz w:val="20"/>
                <w:szCs w:val="20"/>
              </w:rPr>
              <w:t>Brésil</w:t>
            </w:r>
          </w:p>
        </w:tc>
        <w:tc>
          <w:tcPr>
            <w:tcW w:w="2559" w:type="dxa"/>
            <w:tcBorders>
              <w:top w:val="nil"/>
              <w:bottom w:val="nil"/>
            </w:tcBorders>
          </w:tcPr>
          <w:p w14:paraId="568A01E5" w14:textId="7CF2B905" w:rsidR="006A1BDD" w:rsidRPr="0057470D" w:rsidRDefault="006A1BDD" w:rsidP="006A1BDD">
            <w:pPr>
              <w:widowControl w:val="0"/>
              <w:autoSpaceDE w:val="0"/>
              <w:autoSpaceDN w:val="0"/>
              <w:spacing w:before="99"/>
              <w:ind w:left="6"/>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02FE3CF6" w14:textId="77777777" w:rsidTr="002973B5">
        <w:trPr>
          <w:trHeight w:val="434"/>
        </w:trPr>
        <w:tc>
          <w:tcPr>
            <w:tcW w:w="3387" w:type="dxa"/>
            <w:tcBorders>
              <w:top w:val="nil"/>
              <w:bottom w:val="nil"/>
            </w:tcBorders>
          </w:tcPr>
          <w:p w14:paraId="13B81DE5" w14:textId="77777777" w:rsidR="006A1BDD" w:rsidRPr="0057470D" w:rsidRDefault="006A1BDD" w:rsidP="006A1BDD">
            <w:pPr>
              <w:widowControl w:val="0"/>
              <w:autoSpaceDE w:val="0"/>
              <w:autoSpaceDN w:val="0"/>
              <w:spacing w:before="101"/>
              <w:ind w:left="100"/>
              <w:rPr>
                <w:rFonts w:ascii="Cambria" w:eastAsia="Cambria" w:hAnsi="Cambria" w:cs="Cambria"/>
                <w:sz w:val="20"/>
                <w:szCs w:val="20"/>
              </w:rPr>
            </w:pPr>
            <w:r w:rsidRPr="0057470D">
              <w:rPr>
                <w:rFonts w:ascii="Cambria" w:hAnsi="Cambria"/>
                <w:sz w:val="20"/>
                <w:szCs w:val="20"/>
              </w:rPr>
              <w:t>Canada</w:t>
            </w:r>
          </w:p>
        </w:tc>
        <w:tc>
          <w:tcPr>
            <w:tcW w:w="2559" w:type="dxa"/>
            <w:tcBorders>
              <w:top w:val="nil"/>
              <w:bottom w:val="nil"/>
            </w:tcBorders>
          </w:tcPr>
          <w:p w14:paraId="195F95B0" w14:textId="06B0F3D3" w:rsidR="006A1BDD" w:rsidRPr="0057470D" w:rsidRDefault="006A1BDD" w:rsidP="006A1BDD">
            <w:pPr>
              <w:widowControl w:val="0"/>
              <w:autoSpaceDE w:val="0"/>
              <w:autoSpaceDN w:val="0"/>
              <w:spacing w:before="101"/>
              <w:ind w:left="6"/>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2170DFCA" w14:textId="77777777" w:rsidTr="002973B5">
        <w:trPr>
          <w:trHeight w:val="434"/>
        </w:trPr>
        <w:tc>
          <w:tcPr>
            <w:tcW w:w="3387" w:type="dxa"/>
            <w:tcBorders>
              <w:top w:val="nil"/>
              <w:bottom w:val="nil"/>
            </w:tcBorders>
          </w:tcPr>
          <w:p w14:paraId="6E75496F" w14:textId="77777777" w:rsidR="006A1BDD" w:rsidRPr="0057470D" w:rsidRDefault="006A1BDD" w:rsidP="006A1BDD">
            <w:pPr>
              <w:widowControl w:val="0"/>
              <w:autoSpaceDE w:val="0"/>
              <w:autoSpaceDN w:val="0"/>
              <w:spacing w:before="99"/>
              <w:ind w:left="100"/>
              <w:rPr>
                <w:rFonts w:ascii="Cambria" w:eastAsia="Cambria" w:hAnsi="Cambria" w:cs="Cambria"/>
                <w:sz w:val="20"/>
                <w:szCs w:val="20"/>
              </w:rPr>
            </w:pPr>
            <w:r w:rsidRPr="0057470D">
              <w:rPr>
                <w:rFonts w:ascii="Cambria" w:hAnsi="Cambria"/>
                <w:sz w:val="20"/>
                <w:szCs w:val="20"/>
              </w:rPr>
              <w:t>Chine, R.P</w:t>
            </w:r>
          </w:p>
        </w:tc>
        <w:tc>
          <w:tcPr>
            <w:tcW w:w="2559" w:type="dxa"/>
            <w:tcBorders>
              <w:top w:val="nil"/>
              <w:bottom w:val="nil"/>
            </w:tcBorders>
          </w:tcPr>
          <w:p w14:paraId="248F1DA4" w14:textId="4D8694A2" w:rsidR="006A1BDD" w:rsidRPr="0057470D" w:rsidRDefault="006A1BDD" w:rsidP="006A1BDD">
            <w:pPr>
              <w:widowControl w:val="0"/>
              <w:autoSpaceDE w:val="0"/>
              <w:autoSpaceDN w:val="0"/>
              <w:spacing w:before="99"/>
              <w:ind w:left="6"/>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78100674" w14:textId="77777777" w:rsidTr="002973B5">
        <w:trPr>
          <w:trHeight w:val="434"/>
        </w:trPr>
        <w:tc>
          <w:tcPr>
            <w:tcW w:w="3387" w:type="dxa"/>
            <w:tcBorders>
              <w:top w:val="nil"/>
              <w:bottom w:val="nil"/>
            </w:tcBorders>
          </w:tcPr>
          <w:p w14:paraId="02461F9A" w14:textId="77777777" w:rsidR="006A1BDD" w:rsidRPr="0057470D" w:rsidRDefault="006A1BDD" w:rsidP="006A1BDD">
            <w:pPr>
              <w:widowControl w:val="0"/>
              <w:autoSpaceDE w:val="0"/>
              <w:autoSpaceDN w:val="0"/>
              <w:spacing w:before="101"/>
              <w:ind w:left="100"/>
              <w:rPr>
                <w:rFonts w:ascii="Cambria" w:eastAsia="Cambria" w:hAnsi="Cambria" w:cs="Cambria"/>
                <w:sz w:val="20"/>
                <w:szCs w:val="20"/>
              </w:rPr>
            </w:pPr>
            <w:r w:rsidRPr="0057470D">
              <w:rPr>
                <w:rFonts w:ascii="Cambria" w:hAnsi="Cambria"/>
                <w:sz w:val="20"/>
                <w:szCs w:val="20"/>
              </w:rPr>
              <w:t>Taipei chinois</w:t>
            </w:r>
          </w:p>
        </w:tc>
        <w:tc>
          <w:tcPr>
            <w:tcW w:w="2559" w:type="dxa"/>
            <w:tcBorders>
              <w:top w:val="nil"/>
              <w:bottom w:val="nil"/>
            </w:tcBorders>
          </w:tcPr>
          <w:p w14:paraId="57371AE7" w14:textId="3F00E06C" w:rsidR="006A1BDD" w:rsidRPr="0057470D" w:rsidRDefault="006A1BDD" w:rsidP="006A1BDD">
            <w:pPr>
              <w:widowControl w:val="0"/>
              <w:autoSpaceDE w:val="0"/>
              <w:autoSpaceDN w:val="0"/>
              <w:spacing w:before="101"/>
              <w:ind w:left="6"/>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0D9F567C" w14:textId="77777777" w:rsidTr="002973B5">
        <w:trPr>
          <w:trHeight w:val="434"/>
        </w:trPr>
        <w:tc>
          <w:tcPr>
            <w:tcW w:w="3387" w:type="dxa"/>
            <w:tcBorders>
              <w:top w:val="nil"/>
              <w:bottom w:val="nil"/>
            </w:tcBorders>
          </w:tcPr>
          <w:p w14:paraId="19D48E9F" w14:textId="77777777" w:rsidR="006A1BDD" w:rsidRPr="0057470D" w:rsidRDefault="006A1BDD" w:rsidP="006A1BDD">
            <w:pPr>
              <w:widowControl w:val="0"/>
              <w:autoSpaceDE w:val="0"/>
              <w:autoSpaceDN w:val="0"/>
              <w:spacing w:before="99"/>
              <w:ind w:left="100"/>
              <w:rPr>
                <w:rFonts w:ascii="Cambria" w:eastAsia="Cambria" w:hAnsi="Cambria" w:cs="Cambria"/>
                <w:sz w:val="20"/>
                <w:szCs w:val="20"/>
              </w:rPr>
            </w:pPr>
            <w:r w:rsidRPr="0057470D">
              <w:rPr>
                <w:rFonts w:ascii="Cambria" w:hAnsi="Cambria"/>
                <w:sz w:val="20"/>
                <w:szCs w:val="20"/>
              </w:rPr>
              <w:t>Union européenne</w:t>
            </w:r>
          </w:p>
        </w:tc>
        <w:tc>
          <w:tcPr>
            <w:tcW w:w="2559" w:type="dxa"/>
            <w:tcBorders>
              <w:top w:val="nil"/>
              <w:bottom w:val="nil"/>
            </w:tcBorders>
          </w:tcPr>
          <w:p w14:paraId="0A70349E" w14:textId="1FAE5359" w:rsidR="006A1BDD" w:rsidRPr="0057470D" w:rsidRDefault="006A1BDD" w:rsidP="006A1BDD">
            <w:pPr>
              <w:widowControl w:val="0"/>
              <w:autoSpaceDE w:val="0"/>
              <w:autoSpaceDN w:val="0"/>
              <w:spacing w:before="99"/>
              <w:ind w:left="6"/>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53C633A0" w14:textId="77777777" w:rsidTr="002973B5">
        <w:trPr>
          <w:trHeight w:val="434"/>
        </w:trPr>
        <w:tc>
          <w:tcPr>
            <w:tcW w:w="3387" w:type="dxa"/>
            <w:tcBorders>
              <w:top w:val="nil"/>
              <w:bottom w:val="nil"/>
            </w:tcBorders>
          </w:tcPr>
          <w:p w14:paraId="34C598A8" w14:textId="77777777" w:rsidR="006A1BDD" w:rsidRPr="0057470D" w:rsidRDefault="006A1BDD" w:rsidP="006A1BDD">
            <w:pPr>
              <w:widowControl w:val="0"/>
              <w:autoSpaceDE w:val="0"/>
              <w:autoSpaceDN w:val="0"/>
              <w:spacing w:before="101"/>
              <w:ind w:left="100"/>
              <w:rPr>
                <w:rFonts w:ascii="Cambria" w:eastAsia="Cambria" w:hAnsi="Cambria" w:cs="Cambria"/>
                <w:sz w:val="20"/>
                <w:szCs w:val="20"/>
              </w:rPr>
            </w:pPr>
            <w:r w:rsidRPr="0057470D">
              <w:rPr>
                <w:rFonts w:ascii="Cambria" w:hAnsi="Cambria"/>
                <w:sz w:val="20"/>
                <w:szCs w:val="20"/>
              </w:rPr>
              <w:t>Côte d'Ivoire</w:t>
            </w:r>
          </w:p>
        </w:tc>
        <w:tc>
          <w:tcPr>
            <w:tcW w:w="2559" w:type="dxa"/>
            <w:tcBorders>
              <w:top w:val="nil"/>
              <w:bottom w:val="nil"/>
            </w:tcBorders>
          </w:tcPr>
          <w:p w14:paraId="1B7E350F" w14:textId="7DC03513" w:rsidR="006A1BDD" w:rsidRPr="0057470D" w:rsidRDefault="006A1BDD" w:rsidP="006A1BDD">
            <w:pPr>
              <w:widowControl w:val="0"/>
              <w:autoSpaceDE w:val="0"/>
              <w:autoSpaceDN w:val="0"/>
              <w:spacing w:before="101"/>
              <w:ind w:left="6"/>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2CC3267F" w14:textId="77777777" w:rsidTr="002973B5">
        <w:trPr>
          <w:trHeight w:val="433"/>
        </w:trPr>
        <w:tc>
          <w:tcPr>
            <w:tcW w:w="3387" w:type="dxa"/>
            <w:tcBorders>
              <w:top w:val="nil"/>
              <w:bottom w:val="nil"/>
            </w:tcBorders>
          </w:tcPr>
          <w:p w14:paraId="75B75D49" w14:textId="77777777" w:rsidR="006A1BDD" w:rsidRPr="0057470D" w:rsidRDefault="006A1BDD" w:rsidP="006A1BDD">
            <w:pPr>
              <w:widowControl w:val="0"/>
              <w:autoSpaceDE w:val="0"/>
              <w:autoSpaceDN w:val="0"/>
              <w:spacing w:before="99"/>
              <w:ind w:left="100"/>
              <w:rPr>
                <w:rFonts w:ascii="Cambria" w:eastAsia="Cambria" w:hAnsi="Cambria" w:cs="Cambria"/>
                <w:sz w:val="20"/>
                <w:szCs w:val="20"/>
              </w:rPr>
            </w:pPr>
            <w:r w:rsidRPr="0057470D">
              <w:rPr>
                <w:rFonts w:ascii="Cambria" w:hAnsi="Cambria"/>
                <w:sz w:val="20"/>
                <w:szCs w:val="20"/>
              </w:rPr>
              <w:t>Japon</w:t>
            </w:r>
          </w:p>
        </w:tc>
        <w:tc>
          <w:tcPr>
            <w:tcW w:w="2559" w:type="dxa"/>
            <w:tcBorders>
              <w:top w:val="nil"/>
              <w:bottom w:val="nil"/>
            </w:tcBorders>
          </w:tcPr>
          <w:p w14:paraId="1682A365" w14:textId="51C11F80" w:rsidR="006A1BDD" w:rsidRPr="0057470D" w:rsidRDefault="006A1BDD" w:rsidP="006A1BDD">
            <w:pPr>
              <w:widowControl w:val="0"/>
              <w:autoSpaceDE w:val="0"/>
              <w:autoSpaceDN w:val="0"/>
              <w:spacing w:before="99"/>
              <w:ind w:left="6"/>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5178F9F9" w14:textId="77777777" w:rsidTr="002973B5">
        <w:trPr>
          <w:trHeight w:val="436"/>
        </w:trPr>
        <w:tc>
          <w:tcPr>
            <w:tcW w:w="3387" w:type="dxa"/>
            <w:tcBorders>
              <w:top w:val="nil"/>
              <w:bottom w:val="nil"/>
              <w:right w:val="single" w:sz="4" w:space="0" w:color="auto"/>
            </w:tcBorders>
          </w:tcPr>
          <w:p w14:paraId="55A89094" w14:textId="77777777" w:rsidR="006A1BDD" w:rsidRPr="0057470D" w:rsidRDefault="006A1BDD" w:rsidP="006A1BDD">
            <w:pPr>
              <w:widowControl w:val="0"/>
              <w:autoSpaceDE w:val="0"/>
              <w:autoSpaceDN w:val="0"/>
              <w:spacing w:before="102"/>
              <w:ind w:left="100"/>
              <w:rPr>
                <w:rFonts w:ascii="Cambria" w:eastAsia="Cambria" w:hAnsi="Cambria" w:cs="Cambria"/>
                <w:sz w:val="20"/>
                <w:szCs w:val="20"/>
              </w:rPr>
            </w:pPr>
            <w:r w:rsidRPr="0057470D">
              <w:rPr>
                <w:rFonts w:ascii="Cambria" w:hAnsi="Cambria"/>
                <w:sz w:val="20"/>
                <w:szCs w:val="20"/>
              </w:rPr>
              <w:t xml:space="preserve">Corée </w:t>
            </w:r>
            <w:proofErr w:type="spellStart"/>
            <w:r w:rsidRPr="0057470D">
              <w:rPr>
                <w:rFonts w:ascii="Cambria" w:hAnsi="Cambria"/>
                <w:sz w:val="20"/>
                <w:szCs w:val="20"/>
              </w:rPr>
              <w:t>Rép</w:t>
            </w:r>
            <w:proofErr w:type="spellEnd"/>
            <w:r w:rsidRPr="0057470D">
              <w:rPr>
                <w:rFonts w:ascii="Cambria" w:hAnsi="Cambria"/>
                <w:sz w:val="20"/>
                <w:szCs w:val="20"/>
              </w:rPr>
              <w:t>.</w:t>
            </w:r>
          </w:p>
        </w:tc>
        <w:tc>
          <w:tcPr>
            <w:tcW w:w="2559" w:type="dxa"/>
            <w:tcBorders>
              <w:top w:val="nil"/>
              <w:left w:val="single" w:sz="4" w:space="0" w:color="auto"/>
              <w:bottom w:val="nil"/>
            </w:tcBorders>
          </w:tcPr>
          <w:p w14:paraId="3EBF71AE" w14:textId="78E2463E" w:rsidR="006A1BDD" w:rsidRPr="0057470D" w:rsidRDefault="006A1BDD" w:rsidP="006A1BDD">
            <w:pPr>
              <w:widowControl w:val="0"/>
              <w:autoSpaceDE w:val="0"/>
              <w:autoSpaceDN w:val="0"/>
              <w:spacing w:before="102"/>
              <w:ind w:left="11"/>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224EF5A7" w14:textId="77777777" w:rsidTr="002973B5">
        <w:trPr>
          <w:trHeight w:val="433"/>
        </w:trPr>
        <w:tc>
          <w:tcPr>
            <w:tcW w:w="3387" w:type="dxa"/>
            <w:tcBorders>
              <w:top w:val="nil"/>
              <w:bottom w:val="nil"/>
            </w:tcBorders>
          </w:tcPr>
          <w:p w14:paraId="291AB687" w14:textId="77777777" w:rsidR="006A1BDD" w:rsidRPr="0057470D" w:rsidRDefault="006A1BDD" w:rsidP="006A1BDD">
            <w:pPr>
              <w:widowControl w:val="0"/>
              <w:autoSpaceDE w:val="0"/>
              <w:autoSpaceDN w:val="0"/>
              <w:spacing w:before="98"/>
              <w:ind w:left="100"/>
              <w:rPr>
                <w:rFonts w:ascii="Cambria" w:eastAsia="Cambria" w:hAnsi="Cambria" w:cs="Cambria"/>
                <w:sz w:val="20"/>
                <w:szCs w:val="20"/>
              </w:rPr>
            </w:pPr>
            <w:r w:rsidRPr="0057470D">
              <w:rPr>
                <w:rFonts w:ascii="Cambria" w:hAnsi="Cambria"/>
                <w:sz w:val="20"/>
                <w:szCs w:val="20"/>
              </w:rPr>
              <w:t>Mexique</w:t>
            </w:r>
          </w:p>
        </w:tc>
        <w:tc>
          <w:tcPr>
            <w:tcW w:w="2559" w:type="dxa"/>
            <w:tcBorders>
              <w:top w:val="nil"/>
              <w:bottom w:val="nil"/>
            </w:tcBorders>
          </w:tcPr>
          <w:p w14:paraId="00D91032" w14:textId="1BADA313" w:rsidR="006A1BDD" w:rsidRPr="0057470D" w:rsidRDefault="006A1BDD" w:rsidP="006A1BDD">
            <w:pPr>
              <w:widowControl w:val="0"/>
              <w:autoSpaceDE w:val="0"/>
              <w:autoSpaceDN w:val="0"/>
              <w:spacing w:before="98"/>
              <w:ind w:left="6"/>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37337F8C" w14:textId="77777777" w:rsidTr="002973B5">
        <w:trPr>
          <w:trHeight w:val="434"/>
        </w:trPr>
        <w:tc>
          <w:tcPr>
            <w:tcW w:w="3387" w:type="dxa"/>
            <w:tcBorders>
              <w:top w:val="nil"/>
              <w:bottom w:val="nil"/>
            </w:tcBorders>
          </w:tcPr>
          <w:p w14:paraId="4A32D6F1" w14:textId="77777777" w:rsidR="006A1BDD" w:rsidRPr="0057470D" w:rsidRDefault="006A1BDD" w:rsidP="006A1BDD">
            <w:pPr>
              <w:widowControl w:val="0"/>
              <w:autoSpaceDE w:val="0"/>
              <w:autoSpaceDN w:val="0"/>
              <w:spacing w:before="101"/>
              <w:ind w:left="100"/>
              <w:rPr>
                <w:rFonts w:ascii="Cambria" w:eastAsia="Cambria" w:hAnsi="Cambria" w:cs="Cambria"/>
                <w:sz w:val="20"/>
                <w:szCs w:val="20"/>
              </w:rPr>
            </w:pPr>
            <w:r w:rsidRPr="0057470D">
              <w:rPr>
                <w:rFonts w:ascii="Cambria" w:hAnsi="Cambria"/>
                <w:sz w:val="20"/>
                <w:szCs w:val="20"/>
              </w:rPr>
              <w:t>S. Tomé &amp; Príncipe</w:t>
            </w:r>
          </w:p>
        </w:tc>
        <w:tc>
          <w:tcPr>
            <w:tcW w:w="2559" w:type="dxa"/>
            <w:tcBorders>
              <w:top w:val="nil"/>
              <w:bottom w:val="nil"/>
            </w:tcBorders>
          </w:tcPr>
          <w:p w14:paraId="1B6CC7A3" w14:textId="6F55CEC4" w:rsidR="006A1BDD" w:rsidRPr="0057470D" w:rsidRDefault="006A1BDD" w:rsidP="006A1BDD">
            <w:pPr>
              <w:widowControl w:val="0"/>
              <w:autoSpaceDE w:val="0"/>
              <w:autoSpaceDN w:val="0"/>
              <w:spacing w:before="101"/>
              <w:ind w:left="6"/>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0F32A3CB" w14:textId="77777777" w:rsidTr="002973B5">
        <w:trPr>
          <w:trHeight w:val="434"/>
        </w:trPr>
        <w:tc>
          <w:tcPr>
            <w:tcW w:w="3387" w:type="dxa"/>
            <w:tcBorders>
              <w:top w:val="nil"/>
              <w:bottom w:val="nil"/>
            </w:tcBorders>
          </w:tcPr>
          <w:p w14:paraId="4DB0F4B3" w14:textId="77777777" w:rsidR="006A1BDD" w:rsidRPr="0057470D" w:rsidRDefault="006A1BDD" w:rsidP="006A1BDD">
            <w:pPr>
              <w:widowControl w:val="0"/>
              <w:autoSpaceDE w:val="0"/>
              <w:autoSpaceDN w:val="0"/>
              <w:spacing w:before="99"/>
              <w:ind w:left="100"/>
              <w:rPr>
                <w:rFonts w:ascii="Cambria" w:eastAsia="Cambria" w:hAnsi="Cambria" w:cs="Cambria"/>
                <w:sz w:val="20"/>
                <w:szCs w:val="20"/>
              </w:rPr>
            </w:pPr>
            <w:r w:rsidRPr="0057470D">
              <w:rPr>
                <w:rFonts w:ascii="Cambria" w:hAnsi="Cambria"/>
                <w:sz w:val="20"/>
                <w:szCs w:val="20"/>
              </w:rPr>
              <w:t>Trinité-et-Tobago</w:t>
            </w:r>
          </w:p>
        </w:tc>
        <w:tc>
          <w:tcPr>
            <w:tcW w:w="2559" w:type="dxa"/>
            <w:tcBorders>
              <w:top w:val="nil"/>
              <w:bottom w:val="nil"/>
            </w:tcBorders>
          </w:tcPr>
          <w:p w14:paraId="18A864E0" w14:textId="49EA1E41" w:rsidR="006A1BDD" w:rsidRPr="0057470D" w:rsidRDefault="006A1BDD" w:rsidP="006A1BDD">
            <w:pPr>
              <w:widowControl w:val="0"/>
              <w:autoSpaceDE w:val="0"/>
              <w:autoSpaceDN w:val="0"/>
              <w:spacing w:before="99"/>
              <w:ind w:left="6"/>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3EC84576" w14:textId="77777777" w:rsidTr="002973B5">
        <w:trPr>
          <w:trHeight w:val="435"/>
        </w:trPr>
        <w:tc>
          <w:tcPr>
            <w:tcW w:w="3387" w:type="dxa"/>
            <w:tcBorders>
              <w:top w:val="nil"/>
            </w:tcBorders>
          </w:tcPr>
          <w:p w14:paraId="24C261FD" w14:textId="77777777" w:rsidR="006A1BDD" w:rsidRPr="0057470D" w:rsidRDefault="006A1BDD" w:rsidP="006A1BDD">
            <w:pPr>
              <w:widowControl w:val="0"/>
              <w:autoSpaceDE w:val="0"/>
              <w:autoSpaceDN w:val="0"/>
              <w:spacing w:before="101"/>
              <w:ind w:left="100"/>
              <w:rPr>
                <w:rFonts w:ascii="Cambria" w:eastAsia="Cambria" w:hAnsi="Cambria" w:cs="Cambria"/>
                <w:sz w:val="20"/>
                <w:szCs w:val="20"/>
              </w:rPr>
            </w:pPr>
            <w:r w:rsidRPr="0057470D">
              <w:rPr>
                <w:rFonts w:ascii="Cambria" w:hAnsi="Cambria"/>
                <w:sz w:val="20"/>
                <w:szCs w:val="20"/>
              </w:rPr>
              <w:t>Venezuela</w:t>
            </w:r>
          </w:p>
        </w:tc>
        <w:tc>
          <w:tcPr>
            <w:tcW w:w="2559" w:type="dxa"/>
            <w:tcBorders>
              <w:top w:val="nil"/>
            </w:tcBorders>
          </w:tcPr>
          <w:p w14:paraId="5035E613" w14:textId="35977091" w:rsidR="006A1BDD" w:rsidRPr="0057470D" w:rsidRDefault="006A1BDD" w:rsidP="006A1BDD">
            <w:pPr>
              <w:widowControl w:val="0"/>
              <w:autoSpaceDE w:val="0"/>
              <w:autoSpaceDN w:val="0"/>
              <w:spacing w:before="101"/>
              <w:ind w:left="6"/>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r w:rsidR="006A1BDD" w:rsidRPr="0057470D" w14:paraId="170CAC17" w14:textId="77777777" w:rsidTr="002973B5">
        <w:trPr>
          <w:trHeight w:val="431"/>
        </w:trPr>
        <w:tc>
          <w:tcPr>
            <w:tcW w:w="3387" w:type="dxa"/>
          </w:tcPr>
          <w:p w14:paraId="241DA28D" w14:textId="77777777" w:rsidR="006A1BDD" w:rsidRPr="0057470D" w:rsidRDefault="006A1BDD" w:rsidP="006A1BDD">
            <w:pPr>
              <w:widowControl w:val="0"/>
              <w:autoSpaceDE w:val="0"/>
              <w:autoSpaceDN w:val="0"/>
              <w:spacing w:before="97"/>
              <w:ind w:left="100"/>
              <w:rPr>
                <w:rFonts w:ascii="Cambria" w:eastAsia="Cambria" w:hAnsi="Cambria" w:cs="Cambria"/>
                <w:b/>
                <w:sz w:val="20"/>
                <w:szCs w:val="20"/>
              </w:rPr>
            </w:pPr>
            <w:r w:rsidRPr="0057470D">
              <w:rPr>
                <w:rFonts w:ascii="Cambria" w:hAnsi="Cambria"/>
                <w:b/>
                <w:sz w:val="20"/>
                <w:szCs w:val="20"/>
              </w:rPr>
              <w:t>TOTAL</w:t>
            </w:r>
          </w:p>
        </w:tc>
        <w:tc>
          <w:tcPr>
            <w:tcW w:w="2559" w:type="dxa"/>
          </w:tcPr>
          <w:p w14:paraId="1FF1B72B" w14:textId="0DC6330F" w:rsidR="006A1BDD" w:rsidRPr="0057470D" w:rsidRDefault="006A1BDD" w:rsidP="006A1BDD">
            <w:pPr>
              <w:widowControl w:val="0"/>
              <w:autoSpaceDE w:val="0"/>
              <w:autoSpaceDN w:val="0"/>
              <w:spacing w:before="97"/>
              <w:ind w:left="6" w:right="5"/>
              <w:jc w:val="center"/>
              <w:rPr>
                <w:rFonts w:ascii="Cambria" w:eastAsia="Cambria" w:hAnsi="Cambria" w:cs="Cambria"/>
                <w:sz w:val="20"/>
                <w:szCs w:val="20"/>
                <w:highlight w:val="yellow"/>
              </w:rPr>
            </w:pPr>
            <w:r w:rsidRPr="0057470D">
              <w:rPr>
                <w:rFonts w:ascii="Cambria" w:hAnsi="Cambria"/>
                <w:sz w:val="20"/>
                <w:szCs w:val="20"/>
                <w:highlight w:val="yellow"/>
                <w:u w:val="single"/>
              </w:rPr>
              <w:t>XX</w:t>
            </w:r>
          </w:p>
        </w:tc>
      </w:tr>
    </w:tbl>
    <w:p w14:paraId="2C436AE6" w14:textId="77777777" w:rsidR="006A1BDD" w:rsidRPr="0057470D" w:rsidRDefault="006A1BDD" w:rsidP="006A1BDD">
      <w:pPr>
        <w:widowControl w:val="0"/>
        <w:pBdr>
          <w:top w:val="nil"/>
          <w:left w:val="nil"/>
          <w:bottom w:val="nil"/>
          <w:right w:val="nil"/>
          <w:between w:val="nil"/>
        </w:pBdr>
        <w:tabs>
          <w:tab w:val="left" w:pos="567"/>
        </w:tabs>
        <w:ind w:right="141"/>
        <w:rPr>
          <w:rFonts w:ascii="Cambria" w:eastAsia="Cambria" w:hAnsi="Cambria" w:cs="Cambria"/>
          <w:sz w:val="20"/>
          <w:szCs w:val="20"/>
          <w:lang w:val="en" w:eastAsia="en-US"/>
        </w:rPr>
      </w:pPr>
    </w:p>
    <w:p w14:paraId="5440B724" w14:textId="5B7B6BFD" w:rsidR="006A1BDD" w:rsidRPr="0057470D" w:rsidRDefault="006A1BDD" w:rsidP="006A1BDD">
      <w:pPr>
        <w:widowControl w:val="0"/>
        <w:pBdr>
          <w:top w:val="nil"/>
          <w:left w:val="nil"/>
          <w:bottom w:val="nil"/>
          <w:right w:val="nil"/>
          <w:between w:val="nil"/>
        </w:pBdr>
        <w:ind w:right="4"/>
        <w:jc w:val="both"/>
        <w:rPr>
          <w:rFonts w:ascii="Cambria" w:eastAsia="Cambria" w:hAnsi="Cambria" w:cs="Cambria"/>
          <w:color w:val="000000"/>
          <w:sz w:val="20"/>
          <w:szCs w:val="20"/>
          <w:highlight w:val="yellow"/>
        </w:rPr>
      </w:pPr>
      <w:r w:rsidRPr="0057470D">
        <w:rPr>
          <w:rFonts w:ascii="Cambria" w:hAnsi="Cambria"/>
          <w:color w:val="000000"/>
          <w:sz w:val="20"/>
          <w:szCs w:val="20"/>
        </w:rPr>
        <w:t xml:space="preserve">Les États-Unis devront limiter chaque année leurs débarquements à 250 spécimens de makaire bleu et de makaire blanc/makaire épée de l'Atlantique combinés capturés à des fins récréatives. Toutes les autres CPC devront limiter leurs débarquements à un maximum de </w:t>
      </w:r>
      <w:r w:rsidRPr="0057470D">
        <w:rPr>
          <w:rFonts w:ascii="Cambria" w:hAnsi="Cambria"/>
          <w:color w:val="000000"/>
          <w:sz w:val="20"/>
          <w:szCs w:val="20"/>
          <w:u w:val="single"/>
        </w:rPr>
        <w:t>XX</w:t>
      </w:r>
      <w:r w:rsidRPr="0057470D">
        <w:rPr>
          <w:rFonts w:ascii="Cambria" w:hAnsi="Cambria"/>
          <w:color w:val="000000"/>
          <w:sz w:val="20"/>
          <w:szCs w:val="20"/>
        </w:rPr>
        <w:t xml:space="preserve"> t de makaires bleus et à </w:t>
      </w:r>
      <w:r w:rsidRPr="0057470D">
        <w:rPr>
          <w:rFonts w:ascii="Cambria" w:hAnsi="Cambria"/>
          <w:color w:val="000000"/>
          <w:sz w:val="20"/>
          <w:szCs w:val="20"/>
          <w:u w:val="single"/>
        </w:rPr>
        <w:t>XX</w:t>
      </w:r>
      <w:r w:rsidRPr="0057470D">
        <w:rPr>
          <w:rFonts w:ascii="Cambria" w:hAnsi="Cambria"/>
          <w:color w:val="000000"/>
          <w:sz w:val="20"/>
          <w:szCs w:val="20"/>
        </w:rPr>
        <w:t xml:space="preserve"> t de makaires blancs/makaires épée de l’Atlantique combinés.</w:t>
      </w:r>
    </w:p>
    <w:p w14:paraId="51BEC05C" w14:textId="77777777" w:rsidR="006A1BDD" w:rsidRPr="0057470D" w:rsidRDefault="006A1BDD" w:rsidP="006A1BDD">
      <w:pPr>
        <w:widowControl w:val="0"/>
        <w:pBdr>
          <w:top w:val="nil"/>
          <w:left w:val="nil"/>
          <w:bottom w:val="nil"/>
          <w:right w:val="nil"/>
          <w:between w:val="nil"/>
        </w:pBdr>
        <w:ind w:left="141" w:right="145"/>
        <w:jc w:val="both"/>
        <w:rPr>
          <w:rFonts w:ascii="Cambria" w:eastAsia="Cambria" w:hAnsi="Cambria" w:cs="Cambria"/>
          <w:color w:val="000000"/>
          <w:sz w:val="20"/>
          <w:szCs w:val="20"/>
          <w:lang w:eastAsia="en-US"/>
        </w:rPr>
      </w:pPr>
    </w:p>
    <w:p w14:paraId="1DE672EC" w14:textId="77777777" w:rsidR="006A1BDD" w:rsidRPr="0057470D" w:rsidRDefault="006A1BDD" w:rsidP="006A1BDD">
      <w:pPr>
        <w:widowControl w:val="0"/>
        <w:numPr>
          <w:ilvl w:val="0"/>
          <w:numId w:val="46"/>
        </w:numPr>
        <w:pBdr>
          <w:top w:val="nil"/>
          <w:left w:val="nil"/>
          <w:bottom w:val="nil"/>
          <w:right w:val="nil"/>
          <w:between w:val="nil"/>
        </w:pBdr>
        <w:tabs>
          <w:tab w:val="left" w:pos="426"/>
        </w:tabs>
        <w:ind w:left="851" w:right="142" w:hanging="851"/>
        <w:jc w:val="both"/>
        <w:rPr>
          <w:rFonts w:ascii="Cambria" w:eastAsia="Cambria" w:hAnsi="Cambria" w:cs="Cambria"/>
          <w:color w:val="000000"/>
          <w:sz w:val="20"/>
          <w:szCs w:val="20"/>
        </w:rPr>
      </w:pPr>
      <w:r w:rsidRPr="0057470D">
        <w:rPr>
          <w:rFonts w:ascii="Cambria" w:hAnsi="Cambria"/>
          <w:color w:val="000000"/>
          <w:sz w:val="20"/>
          <w:szCs w:val="20"/>
        </w:rPr>
        <w:t xml:space="preserve">a) </w:t>
      </w:r>
      <w:r w:rsidRPr="0057470D">
        <w:rPr>
          <w:rFonts w:ascii="Cambria" w:hAnsi="Cambria"/>
          <w:color w:val="000000"/>
          <w:sz w:val="20"/>
          <w:szCs w:val="20"/>
        </w:rPr>
        <w:tab/>
        <w:t>Tout montant dépassant les limites de débarquements annuelles établies au paragraphe 2 devra être déduit des limites de débarquements respectives pendant, ou avant, l’année d’ajustement, de la manière suivante :</w:t>
      </w:r>
    </w:p>
    <w:p w14:paraId="6DCCF0C4" w14:textId="77777777" w:rsidR="000548CD" w:rsidRPr="0057470D" w:rsidRDefault="000548CD" w:rsidP="000548CD">
      <w:pPr>
        <w:widowControl w:val="0"/>
        <w:pBdr>
          <w:top w:val="nil"/>
          <w:left w:val="nil"/>
          <w:bottom w:val="nil"/>
          <w:right w:val="nil"/>
          <w:between w:val="nil"/>
        </w:pBdr>
        <w:tabs>
          <w:tab w:val="left" w:pos="426"/>
        </w:tabs>
        <w:ind w:right="142"/>
        <w:jc w:val="both"/>
        <w:rPr>
          <w:rFonts w:ascii="Cambria" w:eastAsia="Cambria" w:hAnsi="Cambria" w:cs="Cambria"/>
          <w:color w:val="000000"/>
          <w:sz w:val="20"/>
          <w:szCs w:val="20"/>
          <w:lang w:eastAsia="en-US"/>
        </w:rPr>
      </w:pPr>
    </w:p>
    <w:tbl>
      <w:tblPr>
        <w:tblStyle w:val="TableGrid0"/>
        <w:tblW w:w="0" w:type="auto"/>
        <w:jc w:val="center"/>
        <w:tblLook w:val="04A0" w:firstRow="1" w:lastRow="0" w:firstColumn="1" w:lastColumn="0" w:noHBand="0" w:noVBand="1"/>
      </w:tblPr>
      <w:tblGrid>
        <w:gridCol w:w="3071"/>
        <w:gridCol w:w="3071"/>
      </w:tblGrid>
      <w:tr w:rsidR="000548CD" w:rsidRPr="0057470D" w14:paraId="0D4958E7" w14:textId="77777777" w:rsidTr="00463687">
        <w:trPr>
          <w:trHeight w:val="255"/>
          <w:jc w:val="center"/>
        </w:trPr>
        <w:tc>
          <w:tcPr>
            <w:tcW w:w="3071" w:type="dxa"/>
          </w:tcPr>
          <w:p w14:paraId="0149BB0C" w14:textId="5BDF9BDD" w:rsidR="000548CD" w:rsidRPr="0057470D" w:rsidRDefault="000548CD" w:rsidP="00463687">
            <w:pPr>
              <w:widowControl w:val="0"/>
              <w:tabs>
                <w:tab w:val="left" w:pos="426"/>
              </w:tabs>
              <w:ind w:right="142"/>
              <w:jc w:val="center"/>
              <w:rPr>
                <w:rFonts w:ascii="Cambria" w:eastAsia="Cambria" w:hAnsi="Cambria" w:cs="Cambria"/>
                <w:color w:val="000000"/>
                <w:sz w:val="20"/>
                <w:szCs w:val="20"/>
              </w:rPr>
            </w:pPr>
            <w:r w:rsidRPr="0057470D">
              <w:rPr>
                <w:rFonts w:ascii="Cambria" w:hAnsi="Cambria"/>
                <w:i/>
                <w:color w:val="000000"/>
                <w:sz w:val="20"/>
                <w:szCs w:val="20"/>
              </w:rPr>
              <w:t>Année de capture</w:t>
            </w:r>
          </w:p>
        </w:tc>
        <w:tc>
          <w:tcPr>
            <w:tcW w:w="3071" w:type="dxa"/>
          </w:tcPr>
          <w:p w14:paraId="04996F24" w14:textId="495B4D03" w:rsidR="000548CD" w:rsidRPr="0057470D" w:rsidRDefault="000548CD" w:rsidP="00463687">
            <w:pPr>
              <w:widowControl w:val="0"/>
              <w:tabs>
                <w:tab w:val="left" w:pos="426"/>
              </w:tabs>
              <w:ind w:right="142"/>
              <w:jc w:val="center"/>
              <w:rPr>
                <w:rFonts w:ascii="Cambria" w:eastAsia="Cambria" w:hAnsi="Cambria" w:cs="Cambria"/>
                <w:color w:val="000000"/>
                <w:sz w:val="20"/>
                <w:szCs w:val="20"/>
              </w:rPr>
            </w:pPr>
            <w:r w:rsidRPr="0057470D">
              <w:rPr>
                <w:rFonts w:ascii="Cambria" w:hAnsi="Cambria"/>
                <w:i/>
                <w:color w:val="000000"/>
                <w:sz w:val="20"/>
                <w:szCs w:val="20"/>
              </w:rPr>
              <w:t>Année d’ajustement</w:t>
            </w:r>
          </w:p>
        </w:tc>
      </w:tr>
      <w:tr w:rsidR="00463687" w:rsidRPr="0057470D" w14:paraId="60BD2C9A" w14:textId="77777777" w:rsidTr="00463687">
        <w:trPr>
          <w:trHeight w:val="255"/>
          <w:jc w:val="center"/>
        </w:trPr>
        <w:tc>
          <w:tcPr>
            <w:tcW w:w="3071" w:type="dxa"/>
          </w:tcPr>
          <w:p w14:paraId="5A40B6A0" w14:textId="22A5ED02" w:rsidR="00463687" w:rsidRPr="0057470D" w:rsidRDefault="00463687" w:rsidP="00463687">
            <w:pPr>
              <w:widowControl w:val="0"/>
              <w:tabs>
                <w:tab w:val="left" w:pos="426"/>
              </w:tabs>
              <w:ind w:right="142"/>
              <w:jc w:val="center"/>
              <w:rPr>
                <w:rFonts w:ascii="Cambria" w:eastAsia="Cambria" w:hAnsi="Cambria" w:cs="Cambria"/>
                <w:color w:val="000000"/>
                <w:sz w:val="20"/>
                <w:szCs w:val="20"/>
                <w:highlight w:val="yellow"/>
              </w:rPr>
            </w:pPr>
            <w:r w:rsidRPr="0057470D">
              <w:rPr>
                <w:rFonts w:ascii="Cambria" w:hAnsi="Cambria"/>
                <w:color w:val="000000"/>
                <w:sz w:val="20"/>
                <w:szCs w:val="20"/>
                <w:highlight w:val="yellow"/>
              </w:rPr>
              <w:t>[…]</w:t>
            </w:r>
          </w:p>
        </w:tc>
        <w:tc>
          <w:tcPr>
            <w:tcW w:w="3071" w:type="dxa"/>
          </w:tcPr>
          <w:p w14:paraId="7FAB1121" w14:textId="6FB83597" w:rsidR="00463687" w:rsidRPr="0057470D" w:rsidRDefault="00463687" w:rsidP="00463687">
            <w:pPr>
              <w:widowControl w:val="0"/>
              <w:tabs>
                <w:tab w:val="left" w:pos="426"/>
              </w:tabs>
              <w:ind w:right="142"/>
              <w:jc w:val="center"/>
              <w:rPr>
                <w:rFonts w:ascii="Cambria" w:eastAsia="Cambria" w:hAnsi="Cambria" w:cs="Cambria"/>
                <w:i/>
                <w:iCs/>
                <w:color w:val="000000"/>
                <w:sz w:val="20"/>
                <w:szCs w:val="20"/>
                <w:highlight w:val="yellow"/>
              </w:rPr>
            </w:pPr>
            <w:r w:rsidRPr="0057470D">
              <w:rPr>
                <w:rFonts w:ascii="Cambria" w:hAnsi="Cambria"/>
                <w:color w:val="000000"/>
                <w:sz w:val="20"/>
                <w:szCs w:val="20"/>
                <w:highlight w:val="yellow"/>
              </w:rPr>
              <w:t>[…]</w:t>
            </w:r>
          </w:p>
        </w:tc>
      </w:tr>
      <w:tr w:rsidR="00463687" w:rsidRPr="0057470D" w14:paraId="206A485C" w14:textId="77777777" w:rsidTr="00463687">
        <w:trPr>
          <w:trHeight w:val="255"/>
          <w:jc w:val="center"/>
        </w:trPr>
        <w:tc>
          <w:tcPr>
            <w:tcW w:w="3071" w:type="dxa"/>
          </w:tcPr>
          <w:p w14:paraId="268907A3" w14:textId="07261C14" w:rsidR="00463687" w:rsidRPr="0057470D" w:rsidRDefault="00463687" w:rsidP="00463687">
            <w:pPr>
              <w:widowControl w:val="0"/>
              <w:tabs>
                <w:tab w:val="left" w:pos="426"/>
              </w:tabs>
              <w:ind w:right="142"/>
              <w:jc w:val="center"/>
              <w:rPr>
                <w:rFonts w:ascii="Cambria" w:eastAsia="Cambria" w:hAnsi="Cambria" w:cs="Cambria"/>
                <w:i/>
                <w:iCs/>
                <w:color w:val="000000"/>
                <w:sz w:val="20"/>
                <w:szCs w:val="20"/>
                <w:highlight w:val="yellow"/>
              </w:rPr>
            </w:pPr>
            <w:r w:rsidRPr="0057470D">
              <w:rPr>
                <w:rFonts w:ascii="Cambria" w:hAnsi="Cambria"/>
                <w:color w:val="000000"/>
                <w:sz w:val="20"/>
                <w:szCs w:val="20"/>
                <w:highlight w:val="yellow"/>
              </w:rPr>
              <w:t>[…]</w:t>
            </w:r>
          </w:p>
        </w:tc>
        <w:tc>
          <w:tcPr>
            <w:tcW w:w="3071" w:type="dxa"/>
          </w:tcPr>
          <w:p w14:paraId="71F6B428" w14:textId="08ECCECE" w:rsidR="00463687" w:rsidRPr="0057470D" w:rsidRDefault="00463687" w:rsidP="00463687">
            <w:pPr>
              <w:widowControl w:val="0"/>
              <w:tabs>
                <w:tab w:val="left" w:pos="426"/>
              </w:tabs>
              <w:ind w:right="142"/>
              <w:jc w:val="center"/>
              <w:rPr>
                <w:rFonts w:ascii="Cambria" w:eastAsia="Cambria" w:hAnsi="Cambria" w:cs="Cambria"/>
                <w:i/>
                <w:iCs/>
                <w:color w:val="000000"/>
                <w:sz w:val="20"/>
                <w:szCs w:val="20"/>
                <w:highlight w:val="yellow"/>
              </w:rPr>
            </w:pPr>
            <w:r w:rsidRPr="0057470D">
              <w:rPr>
                <w:rFonts w:ascii="Cambria" w:hAnsi="Cambria"/>
                <w:color w:val="000000"/>
                <w:sz w:val="20"/>
                <w:szCs w:val="20"/>
                <w:highlight w:val="yellow"/>
              </w:rPr>
              <w:t>[…]</w:t>
            </w:r>
          </w:p>
        </w:tc>
      </w:tr>
      <w:tr w:rsidR="00463687" w:rsidRPr="0057470D" w14:paraId="5228455A" w14:textId="77777777" w:rsidTr="00463687">
        <w:trPr>
          <w:trHeight w:val="255"/>
          <w:jc w:val="center"/>
        </w:trPr>
        <w:tc>
          <w:tcPr>
            <w:tcW w:w="3071" w:type="dxa"/>
          </w:tcPr>
          <w:p w14:paraId="2BB02BCA" w14:textId="5C0FE1D0" w:rsidR="00463687" w:rsidRPr="0057470D" w:rsidRDefault="00463687" w:rsidP="00463687">
            <w:pPr>
              <w:widowControl w:val="0"/>
              <w:tabs>
                <w:tab w:val="left" w:pos="426"/>
              </w:tabs>
              <w:ind w:right="142"/>
              <w:jc w:val="center"/>
              <w:rPr>
                <w:rFonts w:ascii="Cambria" w:eastAsia="Cambria" w:hAnsi="Cambria" w:cs="Cambria"/>
                <w:i/>
                <w:iCs/>
                <w:color w:val="000000"/>
                <w:sz w:val="20"/>
                <w:szCs w:val="20"/>
                <w:highlight w:val="yellow"/>
              </w:rPr>
            </w:pPr>
            <w:r w:rsidRPr="0057470D">
              <w:rPr>
                <w:rFonts w:ascii="Cambria" w:hAnsi="Cambria"/>
                <w:color w:val="000000"/>
                <w:sz w:val="20"/>
                <w:szCs w:val="20"/>
                <w:highlight w:val="yellow"/>
              </w:rPr>
              <w:t>[…]</w:t>
            </w:r>
          </w:p>
        </w:tc>
        <w:tc>
          <w:tcPr>
            <w:tcW w:w="3071" w:type="dxa"/>
          </w:tcPr>
          <w:p w14:paraId="208CBC80" w14:textId="7FC66C81" w:rsidR="00463687" w:rsidRPr="0057470D" w:rsidRDefault="00463687" w:rsidP="00463687">
            <w:pPr>
              <w:widowControl w:val="0"/>
              <w:tabs>
                <w:tab w:val="left" w:pos="426"/>
              </w:tabs>
              <w:ind w:right="142"/>
              <w:jc w:val="center"/>
              <w:rPr>
                <w:rFonts w:ascii="Cambria" w:eastAsia="Cambria" w:hAnsi="Cambria" w:cs="Cambria"/>
                <w:i/>
                <w:iCs/>
                <w:color w:val="000000"/>
                <w:sz w:val="20"/>
                <w:szCs w:val="20"/>
                <w:highlight w:val="yellow"/>
              </w:rPr>
            </w:pPr>
            <w:r w:rsidRPr="0057470D">
              <w:rPr>
                <w:rFonts w:ascii="Cambria" w:hAnsi="Cambria"/>
                <w:color w:val="000000"/>
                <w:sz w:val="20"/>
                <w:szCs w:val="20"/>
                <w:highlight w:val="yellow"/>
              </w:rPr>
              <w:t>[…]</w:t>
            </w:r>
          </w:p>
        </w:tc>
      </w:tr>
      <w:tr w:rsidR="000548CD" w:rsidRPr="0057470D" w14:paraId="25C7887F" w14:textId="77777777" w:rsidTr="00463687">
        <w:trPr>
          <w:trHeight w:val="269"/>
          <w:jc w:val="center"/>
        </w:trPr>
        <w:tc>
          <w:tcPr>
            <w:tcW w:w="3071" w:type="dxa"/>
          </w:tcPr>
          <w:p w14:paraId="51E443F5" w14:textId="3639567E" w:rsidR="000548CD" w:rsidRPr="0057470D" w:rsidRDefault="000548CD" w:rsidP="00463687">
            <w:pPr>
              <w:widowControl w:val="0"/>
              <w:tabs>
                <w:tab w:val="left" w:pos="426"/>
              </w:tabs>
              <w:ind w:right="142"/>
              <w:jc w:val="center"/>
              <w:rPr>
                <w:rFonts w:ascii="Cambria" w:eastAsia="Cambria" w:hAnsi="Cambria" w:cs="Cambria"/>
                <w:color w:val="000000"/>
                <w:sz w:val="20"/>
                <w:szCs w:val="20"/>
                <w:highlight w:val="yellow"/>
              </w:rPr>
            </w:pPr>
            <w:r w:rsidRPr="0057470D">
              <w:rPr>
                <w:rFonts w:ascii="Cambria" w:hAnsi="Cambria"/>
                <w:color w:val="000000"/>
                <w:sz w:val="20"/>
                <w:szCs w:val="20"/>
                <w:highlight w:val="yellow"/>
              </w:rPr>
              <w:t>2026</w:t>
            </w:r>
          </w:p>
        </w:tc>
        <w:tc>
          <w:tcPr>
            <w:tcW w:w="3071" w:type="dxa"/>
          </w:tcPr>
          <w:p w14:paraId="3D0FE4C1" w14:textId="2158FCE6" w:rsidR="000548CD" w:rsidRPr="0057470D" w:rsidRDefault="000548CD" w:rsidP="00463687">
            <w:pPr>
              <w:widowControl w:val="0"/>
              <w:tabs>
                <w:tab w:val="left" w:pos="426"/>
              </w:tabs>
              <w:ind w:right="142"/>
              <w:jc w:val="center"/>
              <w:rPr>
                <w:rFonts w:ascii="Cambria" w:eastAsia="Cambria" w:hAnsi="Cambria" w:cs="Cambria"/>
                <w:color w:val="000000"/>
                <w:sz w:val="20"/>
                <w:szCs w:val="20"/>
                <w:highlight w:val="yellow"/>
              </w:rPr>
            </w:pPr>
            <w:r w:rsidRPr="0057470D">
              <w:rPr>
                <w:rFonts w:ascii="Cambria" w:hAnsi="Cambria"/>
                <w:color w:val="000000"/>
                <w:sz w:val="20"/>
                <w:szCs w:val="20"/>
                <w:highlight w:val="yellow"/>
              </w:rPr>
              <w:t>2028</w:t>
            </w:r>
          </w:p>
        </w:tc>
      </w:tr>
      <w:tr w:rsidR="000548CD" w:rsidRPr="0057470D" w14:paraId="5700DE1F" w14:textId="77777777" w:rsidTr="00463687">
        <w:trPr>
          <w:trHeight w:val="255"/>
          <w:jc w:val="center"/>
        </w:trPr>
        <w:tc>
          <w:tcPr>
            <w:tcW w:w="3071" w:type="dxa"/>
          </w:tcPr>
          <w:p w14:paraId="72CC3571" w14:textId="617635E5" w:rsidR="000548CD" w:rsidRPr="0057470D" w:rsidRDefault="000548CD" w:rsidP="00463687">
            <w:pPr>
              <w:widowControl w:val="0"/>
              <w:tabs>
                <w:tab w:val="left" w:pos="426"/>
              </w:tabs>
              <w:ind w:right="142"/>
              <w:jc w:val="center"/>
              <w:rPr>
                <w:rFonts w:ascii="Cambria" w:eastAsia="Cambria" w:hAnsi="Cambria" w:cs="Cambria"/>
                <w:color w:val="000000"/>
                <w:sz w:val="20"/>
                <w:szCs w:val="20"/>
                <w:highlight w:val="yellow"/>
              </w:rPr>
            </w:pPr>
            <w:r w:rsidRPr="0057470D">
              <w:rPr>
                <w:rFonts w:ascii="Cambria" w:hAnsi="Cambria"/>
                <w:color w:val="000000"/>
                <w:sz w:val="20"/>
                <w:szCs w:val="20"/>
                <w:highlight w:val="yellow"/>
              </w:rPr>
              <w:t>2027</w:t>
            </w:r>
          </w:p>
        </w:tc>
        <w:tc>
          <w:tcPr>
            <w:tcW w:w="3071" w:type="dxa"/>
          </w:tcPr>
          <w:p w14:paraId="1F2B30EE" w14:textId="17997E93" w:rsidR="000548CD" w:rsidRPr="0057470D" w:rsidRDefault="000548CD" w:rsidP="00463687">
            <w:pPr>
              <w:widowControl w:val="0"/>
              <w:tabs>
                <w:tab w:val="left" w:pos="426"/>
              </w:tabs>
              <w:ind w:right="142"/>
              <w:jc w:val="center"/>
              <w:rPr>
                <w:rFonts w:ascii="Cambria" w:eastAsia="Cambria" w:hAnsi="Cambria" w:cs="Cambria"/>
                <w:color w:val="000000"/>
                <w:sz w:val="20"/>
                <w:szCs w:val="20"/>
                <w:highlight w:val="yellow"/>
              </w:rPr>
            </w:pPr>
            <w:r w:rsidRPr="0057470D">
              <w:rPr>
                <w:rFonts w:ascii="Cambria" w:hAnsi="Cambria"/>
                <w:color w:val="000000"/>
                <w:sz w:val="20"/>
                <w:szCs w:val="20"/>
                <w:highlight w:val="yellow"/>
              </w:rPr>
              <w:t>2029</w:t>
            </w:r>
          </w:p>
        </w:tc>
      </w:tr>
      <w:tr w:rsidR="000548CD" w:rsidRPr="0057470D" w14:paraId="6F486D15" w14:textId="77777777" w:rsidTr="00463687">
        <w:trPr>
          <w:trHeight w:val="255"/>
          <w:jc w:val="center"/>
        </w:trPr>
        <w:tc>
          <w:tcPr>
            <w:tcW w:w="3071" w:type="dxa"/>
          </w:tcPr>
          <w:p w14:paraId="575625ED" w14:textId="6C3B8870" w:rsidR="000548CD" w:rsidRPr="0057470D" w:rsidRDefault="000548CD" w:rsidP="00463687">
            <w:pPr>
              <w:widowControl w:val="0"/>
              <w:tabs>
                <w:tab w:val="left" w:pos="426"/>
              </w:tabs>
              <w:ind w:right="142"/>
              <w:jc w:val="center"/>
              <w:rPr>
                <w:rFonts w:ascii="Cambria" w:eastAsia="Cambria" w:hAnsi="Cambria" w:cs="Cambria"/>
                <w:color w:val="000000"/>
                <w:sz w:val="20"/>
                <w:szCs w:val="20"/>
                <w:highlight w:val="yellow"/>
              </w:rPr>
            </w:pPr>
            <w:r w:rsidRPr="0057470D">
              <w:rPr>
                <w:rFonts w:ascii="Cambria" w:hAnsi="Cambria"/>
                <w:color w:val="000000"/>
                <w:sz w:val="20"/>
                <w:szCs w:val="20"/>
                <w:highlight w:val="yellow"/>
              </w:rPr>
              <w:t>2028</w:t>
            </w:r>
          </w:p>
        </w:tc>
        <w:tc>
          <w:tcPr>
            <w:tcW w:w="3071" w:type="dxa"/>
          </w:tcPr>
          <w:p w14:paraId="1EF9C6B2" w14:textId="77735923" w:rsidR="000548CD" w:rsidRPr="0057470D" w:rsidRDefault="000548CD" w:rsidP="00463687">
            <w:pPr>
              <w:widowControl w:val="0"/>
              <w:tabs>
                <w:tab w:val="left" w:pos="426"/>
              </w:tabs>
              <w:ind w:right="142"/>
              <w:jc w:val="center"/>
              <w:rPr>
                <w:rFonts w:ascii="Cambria" w:eastAsia="Cambria" w:hAnsi="Cambria" w:cs="Cambria"/>
                <w:color w:val="000000"/>
                <w:sz w:val="20"/>
                <w:szCs w:val="20"/>
                <w:highlight w:val="yellow"/>
              </w:rPr>
            </w:pPr>
            <w:r w:rsidRPr="0057470D">
              <w:rPr>
                <w:rFonts w:ascii="Cambria" w:hAnsi="Cambria"/>
                <w:color w:val="000000"/>
                <w:sz w:val="20"/>
                <w:szCs w:val="20"/>
                <w:highlight w:val="yellow"/>
              </w:rPr>
              <w:t>2030</w:t>
            </w:r>
          </w:p>
        </w:tc>
      </w:tr>
      <w:tr w:rsidR="000548CD" w:rsidRPr="0057470D" w14:paraId="696F25EA" w14:textId="77777777" w:rsidTr="00463687">
        <w:trPr>
          <w:trHeight w:val="255"/>
          <w:jc w:val="center"/>
        </w:trPr>
        <w:tc>
          <w:tcPr>
            <w:tcW w:w="3071" w:type="dxa"/>
          </w:tcPr>
          <w:p w14:paraId="488DB757" w14:textId="493AD050" w:rsidR="000548CD" w:rsidRPr="0057470D" w:rsidRDefault="000548CD" w:rsidP="00463687">
            <w:pPr>
              <w:widowControl w:val="0"/>
              <w:tabs>
                <w:tab w:val="left" w:pos="426"/>
              </w:tabs>
              <w:ind w:right="142"/>
              <w:jc w:val="center"/>
              <w:rPr>
                <w:rFonts w:ascii="Cambria" w:eastAsia="Cambria" w:hAnsi="Cambria" w:cs="Cambria"/>
                <w:color w:val="000000"/>
                <w:sz w:val="20"/>
                <w:szCs w:val="20"/>
                <w:highlight w:val="yellow"/>
              </w:rPr>
            </w:pPr>
            <w:r w:rsidRPr="0057470D">
              <w:rPr>
                <w:rFonts w:ascii="Cambria" w:hAnsi="Cambria"/>
                <w:color w:val="000000"/>
                <w:sz w:val="20"/>
                <w:szCs w:val="20"/>
                <w:highlight w:val="yellow"/>
              </w:rPr>
              <w:t>2029</w:t>
            </w:r>
          </w:p>
        </w:tc>
        <w:tc>
          <w:tcPr>
            <w:tcW w:w="3071" w:type="dxa"/>
          </w:tcPr>
          <w:p w14:paraId="7FBF500E" w14:textId="44CC518E" w:rsidR="000548CD" w:rsidRPr="0057470D" w:rsidRDefault="000548CD" w:rsidP="00463687">
            <w:pPr>
              <w:widowControl w:val="0"/>
              <w:tabs>
                <w:tab w:val="left" w:pos="426"/>
              </w:tabs>
              <w:ind w:right="142"/>
              <w:jc w:val="center"/>
              <w:rPr>
                <w:rFonts w:ascii="Cambria" w:eastAsia="Cambria" w:hAnsi="Cambria" w:cs="Cambria"/>
                <w:color w:val="000000"/>
                <w:sz w:val="20"/>
                <w:szCs w:val="20"/>
                <w:highlight w:val="yellow"/>
              </w:rPr>
            </w:pPr>
            <w:r w:rsidRPr="0057470D">
              <w:rPr>
                <w:rFonts w:ascii="Cambria" w:hAnsi="Cambria"/>
                <w:color w:val="000000"/>
                <w:sz w:val="20"/>
                <w:szCs w:val="20"/>
                <w:highlight w:val="yellow"/>
              </w:rPr>
              <w:t>2031</w:t>
            </w:r>
          </w:p>
        </w:tc>
      </w:tr>
    </w:tbl>
    <w:p w14:paraId="561DE140" w14:textId="77777777" w:rsidR="000548CD" w:rsidRPr="0057470D" w:rsidRDefault="000548CD" w:rsidP="000548CD">
      <w:pPr>
        <w:widowControl w:val="0"/>
        <w:pBdr>
          <w:top w:val="nil"/>
          <w:left w:val="nil"/>
          <w:bottom w:val="nil"/>
          <w:right w:val="nil"/>
          <w:between w:val="nil"/>
        </w:pBdr>
        <w:tabs>
          <w:tab w:val="left" w:pos="426"/>
        </w:tabs>
        <w:ind w:right="142"/>
        <w:jc w:val="both"/>
        <w:rPr>
          <w:rFonts w:ascii="Cambria" w:eastAsia="Cambria" w:hAnsi="Cambria" w:cs="Cambria"/>
          <w:color w:val="000000"/>
          <w:sz w:val="20"/>
          <w:szCs w:val="20"/>
          <w:lang w:val="en" w:eastAsia="en-US"/>
        </w:rPr>
      </w:pPr>
    </w:p>
    <w:p w14:paraId="01022B00" w14:textId="77777777" w:rsidR="006A1BDD" w:rsidRPr="0057470D" w:rsidRDefault="006A1BDD" w:rsidP="002973B5">
      <w:pPr>
        <w:widowControl w:val="0"/>
        <w:pBdr>
          <w:top w:val="nil"/>
          <w:left w:val="nil"/>
          <w:bottom w:val="nil"/>
          <w:right w:val="nil"/>
          <w:between w:val="nil"/>
        </w:pBdr>
        <w:spacing w:before="4"/>
        <w:rPr>
          <w:rFonts w:ascii="Cambria" w:eastAsia="Cambria" w:hAnsi="Cambria" w:cs="Cambria"/>
          <w:color w:val="000000"/>
          <w:sz w:val="20"/>
          <w:szCs w:val="20"/>
          <w:lang w:val="en" w:eastAsia="en-US"/>
        </w:rPr>
      </w:pPr>
    </w:p>
    <w:p w14:paraId="3C1D37BE" w14:textId="77777777" w:rsidR="003B1C8F" w:rsidRDefault="003B1C8F">
      <w:pPr>
        <w:spacing w:after="160" w:line="259" w:lineRule="auto"/>
        <w:rPr>
          <w:rFonts w:ascii="Cambria" w:hAnsi="Cambria"/>
          <w:sz w:val="20"/>
          <w:szCs w:val="20"/>
          <w:u w:val="single"/>
        </w:rPr>
      </w:pPr>
      <w:r>
        <w:rPr>
          <w:rFonts w:ascii="Cambria" w:hAnsi="Cambria"/>
          <w:sz w:val="20"/>
          <w:szCs w:val="20"/>
          <w:u w:val="single"/>
        </w:rPr>
        <w:br w:type="page"/>
      </w:r>
    </w:p>
    <w:p w14:paraId="4B38588B" w14:textId="778B753A" w:rsidR="006A1BDD" w:rsidRPr="0057470D" w:rsidRDefault="006A1BDD" w:rsidP="006A1BDD">
      <w:pPr>
        <w:widowControl w:val="0"/>
        <w:numPr>
          <w:ilvl w:val="1"/>
          <w:numId w:val="46"/>
        </w:numPr>
        <w:pBdr>
          <w:top w:val="nil"/>
          <w:left w:val="nil"/>
          <w:bottom w:val="nil"/>
          <w:right w:val="nil"/>
          <w:between w:val="nil"/>
        </w:pBdr>
        <w:tabs>
          <w:tab w:val="left" w:pos="851"/>
        </w:tabs>
        <w:ind w:left="851" w:right="138" w:hanging="425"/>
        <w:jc w:val="both"/>
        <w:rPr>
          <w:rFonts w:ascii="Cambria" w:eastAsia="Cambria" w:hAnsi="Cambria" w:cs="Cambria"/>
          <w:color w:val="000000"/>
          <w:sz w:val="20"/>
          <w:szCs w:val="20"/>
        </w:rPr>
      </w:pPr>
      <w:r w:rsidRPr="0057470D">
        <w:rPr>
          <w:rFonts w:ascii="Cambria" w:hAnsi="Cambria"/>
          <w:sz w:val="20"/>
          <w:szCs w:val="20"/>
          <w:u w:val="single"/>
        </w:rPr>
        <w:lastRenderedPageBreak/>
        <w:t>Outre le remboursement prévu au paragraphe 3a)</w:t>
      </w:r>
      <w:r w:rsidRPr="0057470D">
        <w:rPr>
          <w:rFonts w:ascii="Cambria" w:hAnsi="Cambria"/>
          <w:sz w:val="20"/>
          <w:szCs w:val="20"/>
        </w:rPr>
        <w:t xml:space="preserve">, si une CPC dépasse sa limite de débarquements au cours de deux années consécutives, sa limite de débarquements devra être réduite au cours de l’année d’ajustement, ou avant celle-ci, </w:t>
      </w:r>
      <w:r w:rsidRPr="0057470D">
        <w:rPr>
          <w:rFonts w:ascii="Cambria" w:hAnsi="Cambria"/>
          <w:sz w:val="20"/>
          <w:szCs w:val="20"/>
          <w:u w:val="single"/>
        </w:rPr>
        <w:t>de 25% supplémentaires de la surconsommation par rapport à la limite de débarquements de base de la CPC au cours de la deuxième année consécutive, et,</w:t>
      </w:r>
      <w:r w:rsidRPr="0057470D">
        <w:rPr>
          <w:rFonts w:ascii="Cambria" w:hAnsi="Cambria"/>
          <w:sz w:val="20"/>
          <w:szCs w:val="20"/>
        </w:rPr>
        <w:t xml:space="preserve"> si nécessaire, la Commission pourrait recommander des mesures additionnelles.</w:t>
      </w:r>
    </w:p>
    <w:p w14:paraId="4BA9B984" w14:textId="77777777" w:rsidR="006A1BDD" w:rsidRPr="0057470D" w:rsidRDefault="006A1BDD" w:rsidP="00FB6568">
      <w:pPr>
        <w:widowControl w:val="0"/>
        <w:pBdr>
          <w:top w:val="nil"/>
          <w:left w:val="nil"/>
          <w:bottom w:val="nil"/>
          <w:right w:val="nil"/>
          <w:between w:val="nil"/>
        </w:pBdr>
        <w:tabs>
          <w:tab w:val="left" w:pos="988"/>
          <w:tab w:val="left" w:pos="990"/>
        </w:tabs>
        <w:ind w:right="138"/>
        <w:jc w:val="both"/>
        <w:rPr>
          <w:rFonts w:ascii="Cambria" w:eastAsia="Cambria" w:hAnsi="Cambria" w:cs="Cambria"/>
          <w:sz w:val="20"/>
          <w:szCs w:val="20"/>
          <w:highlight w:val="yellow"/>
          <w:lang w:eastAsia="en-US"/>
        </w:rPr>
      </w:pPr>
    </w:p>
    <w:p w14:paraId="0E2154A0" w14:textId="060F1A83" w:rsidR="006A1BDD" w:rsidRPr="0057470D" w:rsidRDefault="006A1BDD" w:rsidP="006A1BDD">
      <w:pPr>
        <w:widowControl w:val="0"/>
        <w:numPr>
          <w:ilvl w:val="1"/>
          <w:numId w:val="46"/>
        </w:numPr>
        <w:pBdr>
          <w:top w:val="nil"/>
          <w:left w:val="nil"/>
          <w:bottom w:val="nil"/>
          <w:right w:val="nil"/>
          <w:between w:val="nil"/>
        </w:pBdr>
        <w:tabs>
          <w:tab w:val="left" w:pos="851"/>
        </w:tabs>
        <w:ind w:left="851" w:right="138" w:hanging="425"/>
        <w:jc w:val="both"/>
        <w:rPr>
          <w:rFonts w:ascii="Cambria" w:eastAsia="Cambria" w:hAnsi="Cambria" w:cs="Cambria"/>
          <w:color w:val="000000"/>
          <w:sz w:val="20"/>
          <w:szCs w:val="20"/>
        </w:rPr>
      </w:pPr>
      <w:r w:rsidRPr="0057470D">
        <w:rPr>
          <w:rFonts w:ascii="Cambria" w:hAnsi="Cambria"/>
          <w:color w:val="000000"/>
          <w:sz w:val="20"/>
          <w:szCs w:val="20"/>
          <w:u w:val="single"/>
        </w:rPr>
        <w:t>T</w:t>
      </w:r>
      <w:r w:rsidRPr="0057470D">
        <w:rPr>
          <w:rFonts w:ascii="Cambria" w:hAnsi="Cambria"/>
          <w:color w:val="000000"/>
          <w:sz w:val="20"/>
          <w:szCs w:val="20"/>
        </w:rPr>
        <w:t>oute sous-consommation par une CPC de sa limite de débarquements annuels ne peut pas être reportée à une année suivante.</w:t>
      </w:r>
    </w:p>
    <w:p w14:paraId="33164ADF" w14:textId="7149B835" w:rsidR="006A1BDD" w:rsidRPr="0057470D" w:rsidRDefault="00287EAD" w:rsidP="006A1BDD">
      <w:pPr>
        <w:widowControl w:val="0"/>
        <w:autoSpaceDE w:val="0"/>
        <w:autoSpaceDN w:val="0"/>
        <w:spacing w:before="100" w:beforeAutospacing="1" w:after="100" w:afterAutospacing="1"/>
        <w:jc w:val="both"/>
        <w:rPr>
          <w:rFonts w:ascii="Cambria" w:hAnsi="Cambria" w:cs="Calibri"/>
          <w:iCs/>
          <w:color w:val="000000"/>
          <w:sz w:val="20"/>
          <w:szCs w:val="20"/>
          <w:highlight w:val="yellow"/>
          <w:u w:val="single"/>
        </w:rPr>
      </w:pPr>
      <w:r w:rsidRPr="0057470D">
        <w:rPr>
          <w:rFonts w:ascii="Cambria" w:hAnsi="Cambria"/>
          <w:color w:val="000000"/>
          <w:sz w:val="20"/>
          <w:szCs w:val="20"/>
          <w:highlight w:val="yellow"/>
        </w:rPr>
        <w:t>[…]</w:t>
      </w:r>
    </w:p>
    <w:p w14:paraId="79432067" w14:textId="342CB91F" w:rsidR="006A1BDD" w:rsidRPr="0057470D" w:rsidRDefault="006A1BDD" w:rsidP="006A1BDD">
      <w:pPr>
        <w:widowControl w:val="0"/>
        <w:pBdr>
          <w:top w:val="nil"/>
          <w:left w:val="nil"/>
          <w:bottom w:val="nil"/>
          <w:right w:val="nil"/>
          <w:between w:val="nil"/>
        </w:pBdr>
        <w:tabs>
          <w:tab w:val="left" w:pos="990"/>
        </w:tabs>
        <w:ind w:right="419"/>
        <w:rPr>
          <w:rFonts w:ascii="Cambria" w:eastAsia="Cambria" w:hAnsi="Cambria" w:cs="Cambria"/>
          <w:b/>
          <w:bCs/>
          <w:sz w:val="20"/>
          <w:szCs w:val="20"/>
        </w:rPr>
      </w:pPr>
      <w:r w:rsidRPr="0057470D">
        <w:rPr>
          <w:rFonts w:ascii="Cambria" w:hAnsi="Cambria"/>
          <w:b/>
          <w:sz w:val="20"/>
          <w:szCs w:val="20"/>
          <w:u w:val="single"/>
        </w:rPr>
        <w:t>Atténuation de la mortalité,</w:t>
      </w:r>
      <w:r w:rsidRPr="0057470D">
        <w:rPr>
          <w:rFonts w:ascii="Cambria" w:hAnsi="Cambria"/>
          <w:b/>
          <w:sz w:val="20"/>
          <w:szCs w:val="20"/>
        </w:rPr>
        <w:t xml:space="preserve"> exigence en matière de remise à l’eau à l’état vivant et tolérances de rétention</w:t>
      </w:r>
    </w:p>
    <w:p w14:paraId="1F3F15FE" w14:textId="77777777" w:rsidR="006A1BDD" w:rsidRPr="0057470D" w:rsidRDefault="006A1BDD" w:rsidP="006A1BDD">
      <w:pPr>
        <w:widowControl w:val="0"/>
        <w:pBdr>
          <w:top w:val="nil"/>
          <w:left w:val="nil"/>
          <w:bottom w:val="nil"/>
          <w:right w:val="nil"/>
          <w:between w:val="nil"/>
        </w:pBdr>
        <w:rPr>
          <w:rFonts w:ascii="Cambria" w:eastAsia="Cambria" w:hAnsi="Cambria" w:cs="Cambria"/>
          <w:sz w:val="20"/>
          <w:szCs w:val="20"/>
          <w:highlight w:val="yellow"/>
          <w:u w:val="single"/>
          <w:lang w:eastAsia="en-US"/>
        </w:rPr>
      </w:pPr>
    </w:p>
    <w:p w14:paraId="523B6D71" w14:textId="7F29B092" w:rsidR="006A1BDD" w:rsidRPr="0057470D" w:rsidRDefault="006A1BDD" w:rsidP="006A1BDD">
      <w:pPr>
        <w:widowControl w:val="0"/>
        <w:pBdr>
          <w:top w:val="nil"/>
          <w:left w:val="nil"/>
          <w:bottom w:val="nil"/>
          <w:right w:val="nil"/>
          <w:between w:val="nil"/>
        </w:pBdr>
        <w:ind w:left="426" w:hanging="426"/>
        <w:jc w:val="both"/>
        <w:rPr>
          <w:rFonts w:ascii="Cambria" w:eastAsia="Cambria" w:hAnsi="Cambria" w:cs="Cambria"/>
          <w:sz w:val="20"/>
          <w:szCs w:val="20"/>
          <w:highlight w:val="yellow"/>
          <w:u w:val="single"/>
        </w:rPr>
      </w:pPr>
      <w:r w:rsidRPr="0057470D">
        <w:rPr>
          <w:rFonts w:ascii="Cambria" w:hAnsi="Cambria"/>
          <w:sz w:val="20"/>
          <w:szCs w:val="20"/>
          <w:highlight w:val="yellow"/>
          <w:u w:val="single"/>
        </w:rPr>
        <w:t>3bis.</w:t>
      </w:r>
      <w:r w:rsidRPr="0057470D">
        <w:rPr>
          <w:rFonts w:ascii="Cambria" w:hAnsi="Cambria"/>
          <w:sz w:val="20"/>
          <w:szCs w:val="20"/>
        </w:rPr>
        <w:tab/>
      </w:r>
      <w:r w:rsidRPr="0057470D">
        <w:rPr>
          <w:rFonts w:ascii="Cambria" w:hAnsi="Cambria"/>
          <w:sz w:val="20"/>
          <w:szCs w:val="20"/>
          <w:u w:val="single"/>
        </w:rPr>
        <w:t>Afin de réduire les taux de prises [accessoires] et la mortalité lors de la remontée de l’engin, les CPC exploitant des palangriers pratiquant la pêche en eaux peu profondes</w:t>
      </w:r>
      <w:r w:rsidRPr="0057470D">
        <w:rPr>
          <w:rFonts w:ascii="Cambria" w:eastAsia="Cambria" w:hAnsi="Cambria" w:cs="Cambria"/>
          <w:sz w:val="20"/>
          <w:szCs w:val="20"/>
          <w:highlight w:val="yellow"/>
          <w:u w:val="single"/>
          <w:vertAlign w:val="superscript"/>
          <w:lang w:val="en" w:eastAsia="en-US"/>
        </w:rPr>
        <w:footnoteReference w:id="1"/>
      </w:r>
      <w:r w:rsidRPr="0057470D">
        <w:rPr>
          <w:rFonts w:ascii="Cambria" w:hAnsi="Cambria"/>
          <w:sz w:val="20"/>
          <w:szCs w:val="20"/>
          <w:u w:val="single"/>
        </w:rPr>
        <w:t xml:space="preserve"> devront être encouragées à utiliser de grands hameçons circulaires</w:t>
      </w:r>
      <w:r w:rsidRPr="0057470D">
        <w:rPr>
          <w:rFonts w:ascii="Cambria" w:eastAsia="Cambria" w:hAnsi="Cambria" w:cs="Cambria"/>
          <w:sz w:val="20"/>
          <w:szCs w:val="20"/>
          <w:highlight w:val="yellow"/>
          <w:u w:val="single"/>
          <w:vertAlign w:val="superscript"/>
          <w:lang w:val="en" w:eastAsia="en-US"/>
        </w:rPr>
        <w:footnoteReference w:id="2"/>
      </w:r>
      <w:r w:rsidRPr="0057470D">
        <w:rPr>
          <w:rFonts w:ascii="Cambria" w:hAnsi="Cambria"/>
          <w:sz w:val="20"/>
          <w:szCs w:val="20"/>
          <w:u w:val="single"/>
        </w:rPr>
        <w:t>, ou à recourir à toute autre mesure ou approche ayant été examinée et jugée efficace par le SCRS, et approuvée par la Commission comme étant susceptible de réduire les prises accessoires de makaires.</w:t>
      </w:r>
      <w:r w:rsidRPr="0057470D">
        <w:rPr>
          <w:rFonts w:ascii="Cambria" w:hAnsi="Cambria"/>
          <w:sz w:val="20"/>
          <w:szCs w:val="20"/>
          <w:highlight w:val="yellow"/>
          <w:u w:val="single"/>
        </w:rPr>
        <w:t xml:space="preserve">  </w:t>
      </w:r>
    </w:p>
    <w:p w14:paraId="4CE25C6B" w14:textId="2EF227BC" w:rsidR="006A1BDD" w:rsidRPr="0057470D" w:rsidRDefault="006A1BDD" w:rsidP="006A1BDD">
      <w:pPr>
        <w:widowControl w:val="0"/>
        <w:pBdr>
          <w:top w:val="nil"/>
          <w:left w:val="nil"/>
          <w:bottom w:val="nil"/>
          <w:right w:val="nil"/>
          <w:between w:val="nil"/>
        </w:pBdr>
        <w:spacing w:before="2"/>
        <w:rPr>
          <w:rFonts w:ascii="Cambria" w:eastAsia="Cambria" w:hAnsi="Cambria" w:cs="Cambria"/>
          <w:b/>
          <w:bCs/>
          <w:sz w:val="20"/>
          <w:szCs w:val="20"/>
        </w:rPr>
      </w:pPr>
    </w:p>
    <w:p w14:paraId="230062F1" w14:textId="77777777" w:rsidR="006A1BDD" w:rsidRPr="0057470D" w:rsidRDefault="006A1BDD" w:rsidP="006A1BDD">
      <w:pPr>
        <w:widowControl w:val="0"/>
        <w:numPr>
          <w:ilvl w:val="0"/>
          <w:numId w:val="46"/>
        </w:numPr>
        <w:pBdr>
          <w:top w:val="nil"/>
          <w:left w:val="nil"/>
          <w:bottom w:val="nil"/>
          <w:right w:val="nil"/>
          <w:between w:val="nil"/>
        </w:pBdr>
        <w:tabs>
          <w:tab w:val="left" w:pos="0"/>
        </w:tabs>
        <w:ind w:left="426" w:right="141" w:hanging="426"/>
        <w:jc w:val="both"/>
        <w:rPr>
          <w:rFonts w:ascii="Cambria" w:eastAsia="Cambria" w:hAnsi="Cambria" w:cs="Cambria"/>
          <w:color w:val="000000"/>
          <w:sz w:val="20"/>
          <w:szCs w:val="20"/>
        </w:rPr>
      </w:pPr>
      <w:r w:rsidRPr="0057470D">
        <w:rPr>
          <w:rFonts w:ascii="Cambria" w:hAnsi="Cambria"/>
          <w:color w:val="000000"/>
          <w:sz w:val="20"/>
          <w:szCs w:val="20"/>
        </w:rPr>
        <w:t>Dans la mesure du possible, les CPC devront exiger que les palangriers pélagiques et les senneurs battant leur pavillon remettent promptement à l’eau les makaires bleus et makaires blancs/makaires épée qui sont vivants à la remontée de l’engin, en tenant dûment compte de la sécurité des membres d’équipage, d'une manière causant le moins de dommages et optimise la survie après la libération.</w:t>
      </w:r>
    </w:p>
    <w:p w14:paraId="60E08ADF" w14:textId="77777777" w:rsidR="006A1BDD" w:rsidRPr="0057470D" w:rsidRDefault="006A1BDD" w:rsidP="006A1BDD">
      <w:pPr>
        <w:widowControl w:val="0"/>
        <w:pBdr>
          <w:top w:val="nil"/>
          <w:left w:val="nil"/>
          <w:bottom w:val="nil"/>
          <w:right w:val="nil"/>
          <w:between w:val="nil"/>
        </w:pBdr>
        <w:tabs>
          <w:tab w:val="left" w:pos="0"/>
        </w:tabs>
        <w:ind w:left="426" w:right="141"/>
        <w:jc w:val="both"/>
        <w:rPr>
          <w:rFonts w:ascii="Cambria" w:eastAsia="Cambria" w:hAnsi="Cambria" w:cs="Cambria"/>
          <w:color w:val="000000"/>
          <w:sz w:val="20"/>
          <w:szCs w:val="20"/>
          <w:lang w:eastAsia="en-US"/>
        </w:rPr>
      </w:pPr>
    </w:p>
    <w:p w14:paraId="213C6641" w14:textId="77777777" w:rsidR="006A1BDD" w:rsidRPr="0057470D" w:rsidRDefault="006A1BDD" w:rsidP="006A1BDD">
      <w:pPr>
        <w:widowControl w:val="0"/>
        <w:numPr>
          <w:ilvl w:val="0"/>
          <w:numId w:val="46"/>
        </w:numPr>
        <w:pBdr>
          <w:top w:val="nil"/>
          <w:left w:val="nil"/>
          <w:bottom w:val="nil"/>
          <w:right w:val="nil"/>
          <w:between w:val="nil"/>
        </w:pBdr>
        <w:tabs>
          <w:tab w:val="left" w:pos="0"/>
        </w:tabs>
        <w:ind w:left="426" w:right="141" w:hanging="426"/>
        <w:jc w:val="both"/>
        <w:rPr>
          <w:rFonts w:ascii="Cambria" w:eastAsia="Cambria" w:hAnsi="Cambria" w:cs="Cambria"/>
          <w:color w:val="000000"/>
          <w:sz w:val="20"/>
          <w:szCs w:val="20"/>
        </w:rPr>
      </w:pPr>
      <w:r w:rsidRPr="0057470D">
        <w:rPr>
          <w:rFonts w:ascii="Cambria" w:hAnsi="Cambria"/>
          <w:color w:val="000000"/>
          <w:sz w:val="20"/>
          <w:szCs w:val="20"/>
        </w:rPr>
        <w:t>Les CPC devront encourager la mise en œuvre des normes minimales des procédures de manipulation et de remise à l'eau en toute sécurité des spécimens vivants, comme spécifié à l'</w:t>
      </w:r>
      <w:r w:rsidRPr="0057470D">
        <w:rPr>
          <w:rFonts w:ascii="Cambria" w:hAnsi="Cambria"/>
          <w:b/>
          <w:color w:val="000000"/>
          <w:sz w:val="20"/>
          <w:szCs w:val="20"/>
        </w:rPr>
        <w:t>appendice 1</w:t>
      </w:r>
      <w:r w:rsidRPr="0057470D">
        <w:rPr>
          <w:rFonts w:ascii="Cambria" w:hAnsi="Cambria"/>
          <w:color w:val="000000"/>
          <w:sz w:val="20"/>
          <w:szCs w:val="20"/>
        </w:rPr>
        <w:t xml:space="preserve">, tout en tenant dûment compte de la sécurité de l'équipage. Un instrument de levage, des </w:t>
      </w:r>
      <w:proofErr w:type="spellStart"/>
      <w:r w:rsidRPr="0057470D">
        <w:rPr>
          <w:rFonts w:ascii="Cambria" w:hAnsi="Cambria"/>
          <w:color w:val="000000"/>
          <w:sz w:val="20"/>
          <w:szCs w:val="20"/>
        </w:rPr>
        <w:t>coupes-boulons</w:t>
      </w:r>
      <w:proofErr w:type="spellEnd"/>
      <w:r w:rsidRPr="0057470D">
        <w:rPr>
          <w:rFonts w:ascii="Cambria" w:hAnsi="Cambria"/>
          <w:color w:val="000000"/>
          <w:sz w:val="20"/>
          <w:szCs w:val="20"/>
        </w:rPr>
        <w:t>, un dispositif de retrait de l'hameçon/dégorgeoir et un coupe-ligne pour libérer en toute sécurité les makaires vivants capturés devraient être à portée de main à bord sur le pont des navires de pêche, où l'équipage peut rapidement y avoir accès.</w:t>
      </w:r>
    </w:p>
    <w:p w14:paraId="252B8BE7" w14:textId="77777777" w:rsidR="006A1BDD" w:rsidRPr="0057470D" w:rsidRDefault="006A1BDD" w:rsidP="006A1BDD">
      <w:pPr>
        <w:widowControl w:val="0"/>
        <w:ind w:left="720"/>
        <w:contextualSpacing/>
        <w:rPr>
          <w:rFonts w:ascii="Cambria" w:eastAsia="Cambria" w:hAnsi="Cambria" w:cs="Cambria"/>
          <w:color w:val="000000"/>
          <w:sz w:val="20"/>
          <w:szCs w:val="20"/>
          <w:lang w:eastAsia="en-US"/>
        </w:rPr>
      </w:pPr>
    </w:p>
    <w:p w14:paraId="12A2F0EA" w14:textId="1AEB34BC" w:rsidR="006A1BDD" w:rsidRPr="0057470D" w:rsidRDefault="006A1BDD" w:rsidP="006A1BDD">
      <w:pPr>
        <w:widowControl w:val="0"/>
        <w:numPr>
          <w:ilvl w:val="0"/>
          <w:numId w:val="46"/>
        </w:numPr>
        <w:pBdr>
          <w:top w:val="nil"/>
          <w:left w:val="nil"/>
          <w:bottom w:val="nil"/>
          <w:right w:val="nil"/>
          <w:between w:val="nil"/>
        </w:pBdr>
        <w:tabs>
          <w:tab w:val="left" w:pos="0"/>
        </w:tabs>
        <w:ind w:left="426" w:right="141" w:hanging="426"/>
        <w:jc w:val="both"/>
        <w:rPr>
          <w:rFonts w:ascii="Cambria" w:eastAsia="Cambria" w:hAnsi="Cambria" w:cs="Cambria"/>
          <w:color w:val="000000"/>
          <w:sz w:val="20"/>
          <w:szCs w:val="20"/>
        </w:rPr>
      </w:pPr>
      <w:r w:rsidRPr="0057470D">
        <w:rPr>
          <w:rFonts w:ascii="Cambria" w:hAnsi="Cambria"/>
          <w:color w:val="000000"/>
          <w:sz w:val="20"/>
          <w:szCs w:val="20"/>
        </w:rPr>
        <w:t>Les CPC devraient s'assurer que le capitaine et les membres d’équipage de leurs navires de pêche ont reçu une formation adéquate, connaissent et utilisent les techniques appropriées d'atténuation, d'identification, de manipulation et de libération et conservent à bord tout l'équipement nécessaire pour la libération des makaires conformément aux normes minimales des procédures de manipulation en toute sécurité, comme spécifié à l’</w:t>
      </w:r>
      <w:r w:rsidRPr="0057470D">
        <w:rPr>
          <w:rFonts w:ascii="Cambria" w:hAnsi="Cambria"/>
          <w:b/>
          <w:color w:val="000000"/>
          <w:sz w:val="20"/>
          <w:szCs w:val="20"/>
        </w:rPr>
        <w:t>appendice 1</w:t>
      </w:r>
      <w:r w:rsidRPr="0057470D">
        <w:rPr>
          <w:rFonts w:ascii="Cambria" w:hAnsi="Cambria"/>
          <w:color w:val="000000"/>
          <w:sz w:val="20"/>
          <w:szCs w:val="20"/>
        </w:rPr>
        <w:t>. Rien dans la présente mesure ne devra empêcher les CPC d’adopter des mesures plus strictes.</w:t>
      </w:r>
    </w:p>
    <w:p w14:paraId="10010C3D" w14:textId="77777777" w:rsidR="006A1BDD" w:rsidRPr="0057470D" w:rsidRDefault="006A1BDD" w:rsidP="006A1BDD">
      <w:pPr>
        <w:widowControl w:val="0"/>
        <w:pBdr>
          <w:top w:val="nil"/>
          <w:left w:val="nil"/>
          <w:bottom w:val="nil"/>
          <w:right w:val="nil"/>
          <w:between w:val="nil"/>
        </w:pBdr>
        <w:spacing w:before="8"/>
        <w:rPr>
          <w:rFonts w:ascii="Cambria" w:eastAsia="Cambria" w:hAnsi="Cambria" w:cs="Cambria"/>
          <w:color w:val="000000"/>
          <w:sz w:val="20"/>
          <w:szCs w:val="20"/>
          <w:lang w:eastAsia="en-US"/>
        </w:rPr>
      </w:pPr>
    </w:p>
    <w:p w14:paraId="133F41BA" w14:textId="77777777" w:rsidR="006A1BDD" w:rsidRPr="0057470D" w:rsidRDefault="006A1BDD" w:rsidP="006A1BDD">
      <w:pPr>
        <w:widowControl w:val="0"/>
        <w:numPr>
          <w:ilvl w:val="0"/>
          <w:numId w:val="46"/>
        </w:numPr>
        <w:pBdr>
          <w:top w:val="nil"/>
          <w:left w:val="nil"/>
          <w:bottom w:val="nil"/>
          <w:right w:val="nil"/>
          <w:between w:val="nil"/>
        </w:pBdr>
        <w:tabs>
          <w:tab w:val="left" w:pos="0"/>
        </w:tabs>
        <w:ind w:left="426" w:right="141" w:hanging="426"/>
        <w:jc w:val="both"/>
        <w:rPr>
          <w:rFonts w:ascii="Cambria" w:eastAsia="Cambria" w:hAnsi="Cambria" w:cs="Cambria"/>
          <w:color w:val="000000"/>
          <w:sz w:val="20"/>
          <w:szCs w:val="20"/>
        </w:rPr>
      </w:pPr>
      <w:r w:rsidRPr="0057470D">
        <w:rPr>
          <w:rFonts w:ascii="Cambria" w:hAnsi="Cambria"/>
          <w:color w:val="000000"/>
          <w:sz w:val="20"/>
          <w:szCs w:val="20"/>
        </w:rPr>
        <w:t>Les CPC devront s’efforcer de minimiser la mortalité après la libération des makaires/makaires épée dans leurs pêcheries de l’ICCAT.</w:t>
      </w:r>
    </w:p>
    <w:p w14:paraId="7CC92D92" w14:textId="77777777" w:rsidR="006A1BDD" w:rsidRPr="0057470D" w:rsidRDefault="006A1BDD" w:rsidP="006A1BDD">
      <w:pPr>
        <w:widowControl w:val="0"/>
        <w:pBdr>
          <w:top w:val="nil"/>
          <w:left w:val="nil"/>
          <w:bottom w:val="nil"/>
          <w:right w:val="nil"/>
          <w:between w:val="nil"/>
        </w:pBdr>
        <w:spacing w:before="2"/>
        <w:rPr>
          <w:rFonts w:ascii="Cambria" w:eastAsia="Cambria" w:hAnsi="Cambria" w:cs="Cambria"/>
          <w:color w:val="000000"/>
          <w:sz w:val="20"/>
          <w:szCs w:val="20"/>
          <w:lang w:eastAsia="en-US"/>
        </w:rPr>
      </w:pPr>
    </w:p>
    <w:p w14:paraId="4CE6324C" w14:textId="77777777" w:rsidR="006A1BDD" w:rsidRPr="0057470D" w:rsidRDefault="006A1BDD" w:rsidP="006A1BDD">
      <w:pPr>
        <w:widowControl w:val="0"/>
        <w:numPr>
          <w:ilvl w:val="0"/>
          <w:numId w:val="46"/>
        </w:numPr>
        <w:pBdr>
          <w:top w:val="nil"/>
          <w:left w:val="nil"/>
          <w:bottom w:val="nil"/>
          <w:right w:val="nil"/>
          <w:between w:val="nil"/>
        </w:pBdr>
        <w:tabs>
          <w:tab w:val="left" w:pos="0"/>
        </w:tabs>
        <w:ind w:left="426" w:right="141" w:hanging="426"/>
        <w:jc w:val="both"/>
        <w:rPr>
          <w:rFonts w:ascii="Cambria" w:eastAsia="Cambria" w:hAnsi="Cambria" w:cs="Cambria"/>
          <w:color w:val="000000"/>
          <w:sz w:val="20"/>
          <w:szCs w:val="20"/>
        </w:rPr>
      </w:pPr>
      <w:r w:rsidRPr="0057470D">
        <w:rPr>
          <w:rFonts w:ascii="Cambria" w:hAnsi="Cambria"/>
          <w:color w:val="000000"/>
          <w:sz w:val="20"/>
          <w:szCs w:val="20"/>
        </w:rPr>
        <w:t>Les CPC pourraient autoriser leurs palangriers pélagiques et leurs senneurs à capturer et retenir à bord, transborder ou débarquer des makaires bleus et makaires blancs/makaires épée, qui sont morts, dans le respect de leur limite de débarquements.</w:t>
      </w:r>
    </w:p>
    <w:p w14:paraId="36247BFB" w14:textId="77777777" w:rsidR="006A1BDD" w:rsidRPr="0057470D" w:rsidRDefault="006A1BDD" w:rsidP="006A1BDD">
      <w:pPr>
        <w:widowControl w:val="0"/>
        <w:pBdr>
          <w:top w:val="nil"/>
          <w:left w:val="nil"/>
          <w:bottom w:val="nil"/>
          <w:right w:val="nil"/>
          <w:between w:val="nil"/>
        </w:pBdr>
        <w:tabs>
          <w:tab w:val="left" w:pos="499"/>
          <w:tab w:val="left" w:pos="501"/>
        </w:tabs>
        <w:spacing w:before="1"/>
        <w:ind w:left="567" w:right="141"/>
        <w:jc w:val="both"/>
        <w:rPr>
          <w:rFonts w:ascii="Cambria" w:eastAsia="Cambria" w:hAnsi="Cambria" w:cs="Cambria"/>
          <w:sz w:val="20"/>
          <w:szCs w:val="20"/>
          <w:lang w:eastAsia="en-US"/>
        </w:rPr>
      </w:pPr>
    </w:p>
    <w:p w14:paraId="30B51504" w14:textId="77777777" w:rsidR="006A1BDD" w:rsidRPr="0057470D" w:rsidRDefault="006A1BDD" w:rsidP="006A1BDD">
      <w:pPr>
        <w:widowControl w:val="0"/>
        <w:pBdr>
          <w:top w:val="nil"/>
          <w:left w:val="nil"/>
          <w:bottom w:val="nil"/>
          <w:right w:val="nil"/>
          <w:between w:val="nil"/>
        </w:pBdr>
        <w:tabs>
          <w:tab w:val="left" w:pos="499"/>
          <w:tab w:val="left" w:pos="501"/>
        </w:tabs>
        <w:spacing w:before="1"/>
        <w:ind w:left="426" w:right="141" w:hanging="426"/>
        <w:jc w:val="both"/>
        <w:rPr>
          <w:rFonts w:ascii="Cambria" w:eastAsia="Cambria" w:hAnsi="Cambria" w:cs="Cambria"/>
          <w:sz w:val="20"/>
          <w:szCs w:val="20"/>
        </w:rPr>
      </w:pPr>
      <w:r w:rsidRPr="0057470D">
        <w:rPr>
          <w:rFonts w:ascii="Cambria" w:hAnsi="Cambria"/>
          <w:sz w:val="20"/>
          <w:szCs w:val="20"/>
          <w:highlight w:val="yellow"/>
          <w:u w:val="single"/>
        </w:rPr>
        <w:t>8bis.</w:t>
      </w:r>
      <w:r w:rsidRPr="0057470D">
        <w:rPr>
          <w:rFonts w:ascii="Cambria" w:hAnsi="Cambria"/>
          <w:sz w:val="20"/>
          <w:szCs w:val="20"/>
        </w:rPr>
        <w:tab/>
      </w:r>
      <w:r w:rsidRPr="0057470D">
        <w:rPr>
          <w:rFonts w:ascii="Cambria" w:hAnsi="Cambria"/>
          <w:sz w:val="20"/>
          <w:szCs w:val="20"/>
          <w:highlight w:val="yellow"/>
          <w:u w:val="single"/>
        </w:rPr>
        <w:t>Pour plus de clarté, une fois qu'une CPC atteint sa limite de débarquement, toutes les captures de makaire bleu et de makaire blanc/makaire épée devront être rejetées. Les CPC devraient encourager que ces rejets soient réalisés conformément au paragraphe 5.</w:t>
      </w:r>
    </w:p>
    <w:p w14:paraId="2DF40336" w14:textId="77777777" w:rsidR="006A1BDD" w:rsidRPr="0057470D" w:rsidRDefault="006A1BDD" w:rsidP="006A1BDD">
      <w:pPr>
        <w:widowControl w:val="0"/>
        <w:pBdr>
          <w:top w:val="nil"/>
          <w:left w:val="nil"/>
          <w:bottom w:val="nil"/>
          <w:right w:val="nil"/>
          <w:between w:val="nil"/>
        </w:pBdr>
        <w:tabs>
          <w:tab w:val="left" w:pos="499"/>
          <w:tab w:val="left" w:pos="501"/>
        </w:tabs>
        <w:spacing w:before="1"/>
        <w:ind w:left="426" w:right="141" w:hanging="426"/>
        <w:jc w:val="both"/>
        <w:rPr>
          <w:rFonts w:ascii="Cambria" w:eastAsia="Cambria" w:hAnsi="Cambria" w:cs="Cambria"/>
          <w:sz w:val="20"/>
          <w:szCs w:val="20"/>
          <w:lang w:eastAsia="en-US"/>
        </w:rPr>
      </w:pPr>
    </w:p>
    <w:p w14:paraId="2115D31C" w14:textId="77777777" w:rsidR="00945589" w:rsidRDefault="00945589">
      <w:pPr>
        <w:spacing w:after="160" w:line="259" w:lineRule="auto"/>
        <w:rPr>
          <w:rFonts w:ascii="Cambria" w:hAnsi="Cambria"/>
          <w:sz w:val="20"/>
          <w:szCs w:val="20"/>
          <w:u w:val="single"/>
        </w:rPr>
      </w:pPr>
      <w:r>
        <w:rPr>
          <w:rFonts w:ascii="Cambria" w:hAnsi="Cambria"/>
          <w:sz w:val="20"/>
          <w:szCs w:val="20"/>
          <w:u w:val="single"/>
        </w:rPr>
        <w:br w:type="page"/>
      </w:r>
    </w:p>
    <w:p w14:paraId="052BF068" w14:textId="4C52D72E" w:rsidR="006A1BDD" w:rsidRPr="0057470D" w:rsidRDefault="006A1BDD" w:rsidP="006A1BDD">
      <w:pPr>
        <w:widowControl w:val="0"/>
        <w:numPr>
          <w:ilvl w:val="0"/>
          <w:numId w:val="46"/>
        </w:numPr>
        <w:pBdr>
          <w:top w:val="nil"/>
          <w:left w:val="nil"/>
          <w:bottom w:val="nil"/>
          <w:right w:val="nil"/>
          <w:between w:val="nil"/>
        </w:pBdr>
        <w:tabs>
          <w:tab w:val="left" w:pos="0"/>
        </w:tabs>
        <w:ind w:left="426" w:right="141" w:hanging="426"/>
        <w:jc w:val="both"/>
        <w:rPr>
          <w:rFonts w:ascii="Cambria" w:eastAsia="Cambria" w:hAnsi="Cambria" w:cs="Cambria"/>
          <w:color w:val="000000"/>
          <w:sz w:val="20"/>
          <w:szCs w:val="20"/>
        </w:rPr>
      </w:pPr>
      <w:r w:rsidRPr="0057470D">
        <w:rPr>
          <w:rFonts w:ascii="Cambria" w:hAnsi="Cambria"/>
          <w:sz w:val="20"/>
          <w:szCs w:val="20"/>
          <w:u w:val="single"/>
        </w:rPr>
        <w:lastRenderedPageBreak/>
        <w:t>Par dérogation au paragraphe 8bis,</w:t>
      </w:r>
      <w:r w:rsidRPr="0057470D">
        <w:rPr>
          <w:rFonts w:ascii="Cambria" w:hAnsi="Cambria"/>
          <w:sz w:val="20"/>
          <w:szCs w:val="20"/>
        </w:rPr>
        <w:t xml:space="preserve"> pour les CPC dont</w:t>
      </w:r>
      <w:r w:rsidRPr="0057470D">
        <w:rPr>
          <w:rFonts w:ascii="Cambria" w:hAnsi="Cambria"/>
          <w:sz w:val="20"/>
          <w:szCs w:val="20"/>
          <w:u w:val="single"/>
        </w:rPr>
        <w:t xml:space="preserve"> la législation nationale</w:t>
      </w:r>
      <w:r w:rsidRPr="0057470D">
        <w:rPr>
          <w:rFonts w:ascii="Cambria" w:hAnsi="Cambria"/>
          <w:sz w:val="20"/>
          <w:szCs w:val="20"/>
        </w:rPr>
        <w:t xml:space="preserve"> interdit les rejets de poissons morts, les spécimens de makaire bleu et makaire blanc/ makaire épée qui sont morts lorsqu'ils sont amenés le long du navire </w:t>
      </w:r>
      <w:r w:rsidRPr="0057470D">
        <w:rPr>
          <w:rFonts w:ascii="Cambria" w:hAnsi="Cambria"/>
          <w:sz w:val="20"/>
          <w:szCs w:val="20"/>
          <w:u w:val="single"/>
        </w:rPr>
        <w:t>peuvent être retenus, et les débarquements de ces poissons</w:t>
      </w:r>
      <w:r w:rsidRPr="0057470D">
        <w:rPr>
          <w:rFonts w:ascii="Cambria" w:hAnsi="Cambria"/>
          <w:sz w:val="20"/>
          <w:szCs w:val="20"/>
        </w:rPr>
        <w:t xml:space="preserve"> ne devront pas être déduits des limites établies au paragraphe 2, </w:t>
      </w:r>
      <w:r w:rsidRPr="0057470D">
        <w:rPr>
          <w:rFonts w:ascii="Cambria" w:hAnsi="Cambria"/>
          <w:sz w:val="20"/>
          <w:szCs w:val="20"/>
          <w:u w:val="single"/>
        </w:rPr>
        <w:t>à condition que :</w:t>
      </w:r>
      <w:r w:rsidRPr="0057470D">
        <w:rPr>
          <w:rFonts w:ascii="Cambria" w:hAnsi="Cambria"/>
          <w:color w:val="000000"/>
          <w:sz w:val="20"/>
          <w:szCs w:val="20"/>
          <w:highlight w:val="yellow"/>
          <w:u w:val="single"/>
        </w:rPr>
        <w:t xml:space="preserve"> </w:t>
      </w:r>
    </w:p>
    <w:p w14:paraId="01B28BB2" w14:textId="77777777" w:rsidR="006A1BDD" w:rsidRPr="0057470D" w:rsidRDefault="006A1BDD" w:rsidP="006A1BDD">
      <w:pPr>
        <w:ind w:left="720"/>
        <w:rPr>
          <w:rFonts w:ascii="Cambria" w:eastAsia="Cambria" w:hAnsi="Cambria" w:cs="Cambria"/>
          <w:sz w:val="20"/>
          <w:szCs w:val="20"/>
          <w:highlight w:val="yellow"/>
          <w:u w:val="single"/>
          <w:lang w:eastAsia="en-US"/>
        </w:rPr>
      </w:pPr>
    </w:p>
    <w:p w14:paraId="39A5CAD6" w14:textId="77777777" w:rsidR="006A1BDD" w:rsidRPr="0057470D" w:rsidRDefault="006A1BDD" w:rsidP="006A1BDD">
      <w:pPr>
        <w:widowControl w:val="0"/>
        <w:numPr>
          <w:ilvl w:val="0"/>
          <w:numId w:val="22"/>
        </w:numPr>
        <w:ind w:left="851" w:hanging="425"/>
        <w:contextualSpacing/>
        <w:jc w:val="both"/>
        <w:rPr>
          <w:rFonts w:ascii="Cambria" w:eastAsia="Cambria" w:hAnsi="Cambria" w:cs="Cambria"/>
          <w:sz w:val="20"/>
          <w:szCs w:val="20"/>
          <w:highlight w:val="yellow"/>
          <w:u w:val="single"/>
        </w:rPr>
      </w:pPr>
      <w:r w:rsidRPr="0057470D">
        <w:rPr>
          <w:rFonts w:ascii="Cambria" w:hAnsi="Cambria"/>
          <w:sz w:val="20"/>
          <w:szCs w:val="20"/>
          <w:highlight w:val="yellow"/>
          <w:u w:val="single"/>
        </w:rPr>
        <w:t>La CPC interdise la vente ou la commercialisation de ces poissons, et</w:t>
      </w:r>
    </w:p>
    <w:p w14:paraId="28633CCD" w14:textId="77777777" w:rsidR="006A1BDD" w:rsidRPr="0057470D" w:rsidRDefault="006A1BDD" w:rsidP="006A1BDD">
      <w:pPr>
        <w:ind w:left="1440"/>
        <w:jc w:val="both"/>
        <w:rPr>
          <w:rFonts w:ascii="Cambria" w:eastAsia="Cambria" w:hAnsi="Cambria" w:cs="Cambria"/>
          <w:sz w:val="20"/>
          <w:szCs w:val="20"/>
          <w:highlight w:val="yellow"/>
          <w:u w:val="single"/>
          <w:lang w:eastAsia="en-US"/>
        </w:rPr>
      </w:pPr>
    </w:p>
    <w:p w14:paraId="022052C7" w14:textId="77777777" w:rsidR="006A1BDD" w:rsidRPr="0057470D" w:rsidRDefault="006A1BDD" w:rsidP="006A1BDD">
      <w:pPr>
        <w:widowControl w:val="0"/>
        <w:numPr>
          <w:ilvl w:val="0"/>
          <w:numId w:val="22"/>
        </w:numPr>
        <w:ind w:left="851" w:hanging="425"/>
        <w:contextualSpacing/>
        <w:jc w:val="both"/>
        <w:rPr>
          <w:rFonts w:ascii="Cambria" w:eastAsia="Cambria" w:hAnsi="Cambria" w:cs="Cambria"/>
          <w:sz w:val="20"/>
          <w:szCs w:val="20"/>
          <w:highlight w:val="yellow"/>
          <w:u w:val="single"/>
        </w:rPr>
      </w:pPr>
      <w:r w:rsidRPr="0057470D">
        <w:rPr>
          <w:rFonts w:ascii="Cambria" w:hAnsi="Cambria"/>
          <w:sz w:val="20"/>
          <w:szCs w:val="20"/>
          <w:highlight w:val="yellow"/>
          <w:u w:val="single"/>
        </w:rPr>
        <w:t>La CPC notifie au Secrétariat de l’ICCAT son intention d'exercer cette exception et fournisse à la Commission, dans la partie du questionnaire de son rapport annuel, des informations sur son exigence de rétention et sur les mesures mises en place pour interdire la vente et la commercialisation.</w:t>
      </w:r>
    </w:p>
    <w:p w14:paraId="2D1448A7" w14:textId="77777777" w:rsidR="006A1BDD" w:rsidRPr="0057470D" w:rsidRDefault="006A1BDD" w:rsidP="006A1BDD">
      <w:pPr>
        <w:widowControl w:val="0"/>
        <w:pBdr>
          <w:top w:val="nil"/>
          <w:left w:val="nil"/>
          <w:bottom w:val="nil"/>
          <w:right w:val="nil"/>
          <w:between w:val="nil"/>
        </w:pBdr>
        <w:rPr>
          <w:rFonts w:ascii="Cambria" w:eastAsia="Cambria" w:hAnsi="Cambria" w:cs="Cambria"/>
          <w:color w:val="000000"/>
          <w:sz w:val="20"/>
          <w:szCs w:val="20"/>
          <w:lang w:eastAsia="en-US"/>
        </w:rPr>
      </w:pPr>
    </w:p>
    <w:p w14:paraId="2A856AF1" w14:textId="77777777" w:rsidR="006A1BDD" w:rsidRPr="0057470D"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rPr>
      </w:pPr>
      <w:r w:rsidRPr="0057470D">
        <w:rPr>
          <w:rFonts w:ascii="Cambria" w:hAnsi="Cambria"/>
          <w:color w:val="000000"/>
          <w:sz w:val="20"/>
          <w:szCs w:val="20"/>
        </w:rPr>
        <w:t>Les makaires bleus et les makaires blancs/makaires épée capturés à des fins de consommation locale par des CPC côtières en développement ou dans le cadre de pêcheries côtières artisanales, de subsistance et de petits métiers de petites îles d’autres CPC, sont exonérés des dispositions du paragraphe 4, sous réserve que ces CPC a) soumettent les données de la tâche 1 et de la tâche 2, selon les procédures de déclaration établies par le SCRS et b) dans le cas des CPC côtières qui ne sont pas des États en développement, notifient à la Commission leur demande d’exemption ainsi que les mesures prises pour limiter l’application de cette exemption à ces pêcheries.</w:t>
      </w:r>
    </w:p>
    <w:p w14:paraId="0711B5D6" w14:textId="77777777" w:rsidR="00041C09" w:rsidRPr="0057470D" w:rsidRDefault="00041C09" w:rsidP="006A1BDD">
      <w:pPr>
        <w:widowControl w:val="0"/>
        <w:pBdr>
          <w:top w:val="nil"/>
          <w:left w:val="nil"/>
          <w:bottom w:val="nil"/>
          <w:right w:val="nil"/>
          <w:between w:val="nil"/>
        </w:pBdr>
        <w:tabs>
          <w:tab w:val="left" w:pos="426"/>
        </w:tabs>
        <w:ind w:left="426" w:right="2"/>
        <w:jc w:val="both"/>
        <w:rPr>
          <w:rFonts w:ascii="Cambria" w:eastAsia="Cambria" w:hAnsi="Cambria" w:cs="Cambria"/>
          <w:color w:val="000000"/>
          <w:sz w:val="20"/>
          <w:szCs w:val="20"/>
          <w:lang w:eastAsia="en-US"/>
        </w:rPr>
      </w:pPr>
    </w:p>
    <w:p w14:paraId="35E5A1C8" w14:textId="77777777" w:rsidR="006A1BDD" w:rsidRPr="0057470D"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rPr>
      </w:pPr>
      <w:r w:rsidRPr="0057470D">
        <w:rPr>
          <w:rFonts w:ascii="Cambria" w:hAnsi="Cambria"/>
          <w:color w:val="000000"/>
          <w:sz w:val="20"/>
          <w:szCs w:val="20"/>
        </w:rPr>
        <w:t>Pour les pêcheries sportives et récréatives:</w:t>
      </w:r>
    </w:p>
    <w:p w14:paraId="497DEB42" w14:textId="77777777" w:rsidR="00041C09" w:rsidRPr="0057470D" w:rsidRDefault="00041C09" w:rsidP="00041C09">
      <w:pPr>
        <w:widowControl w:val="0"/>
        <w:pBdr>
          <w:top w:val="nil"/>
          <w:left w:val="nil"/>
          <w:bottom w:val="nil"/>
          <w:right w:val="nil"/>
          <w:between w:val="nil"/>
        </w:pBdr>
        <w:tabs>
          <w:tab w:val="left" w:pos="426"/>
        </w:tabs>
        <w:ind w:left="426" w:right="2"/>
        <w:jc w:val="both"/>
        <w:rPr>
          <w:rFonts w:ascii="Cambria" w:eastAsia="Cambria" w:hAnsi="Cambria" w:cs="Cambria"/>
          <w:color w:val="000000"/>
          <w:sz w:val="20"/>
          <w:szCs w:val="20"/>
          <w:lang w:eastAsia="en-US"/>
        </w:rPr>
      </w:pPr>
    </w:p>
    <w:p w14:paraId="457C3E69" w14:textId="77777777" w:rsidR="006A1BDD" w:rsidRPr="0057470D" w:rsidRDefault="006A1BDD" w:rsidP="001D3F4A">
      <w:pPr>
        <w:widowControl w:val="0"/>
        <w:numPr>
          <w:ilvl w:val="0"/>
          <w:numId w:val="21"/>
        </w:numPr>
        <w:pBdr>
          <w:top w:val="nil"/>
          <w:left w:val="nil"/>
          <w:bottom w:val="nil"/>
          <w:right w:val="nil"/>
          <w:between w:val="nil"/>
        </w:pBdr>
        <w:ind w:left="851" w:right="2" w:hanging="425"/>
        <w:jc w:val="both"/>
        <w:rPr>
          <w:rFonts w:ascii="Cambria" w:eastAsia="Cambria" w:hAnsi="Cambria" w:cs="Cambria"/>
          <w:color w:val="000000"/>
          <w:sz w:val="20"/>
          <w:szCs w:val="20"/>
        </w:rPr>
      </w:pPr>
      <w:r w:rsidRPr="0057470D">
        <w:rPr>
          <w:rFonts w:ascii="Cambria" w:hAnsi="Cambria"/>
          <w:color w:val="000000"/>
          <w:sz w:val="20"/>
          <w:szCs w:val="20"/>
        </w:rPr>
        <w:t>Les CPC devront prendre les mesures appropriées pour s’assurer que les poissons relâchés sont remis à l’eau d’une manière qui occasionne le moins de dommages possibles.</w:t>
      </w:r>
    </w:p>
    <w:p w14:paraId="4A732A4B" w14:textId="2BCF0A45" w:rsidR="006A1BDD" w:rsidRPr="0057470D" w:rsidRDefault="006A1BDD" w:rsidP="001D3F4A">
      <w:pPr>
        <w:widowControl w:val="0"/>
        <w:numPr>
          <w:ilvl w:val="0"/>
          <w:numId w:val="21"/>
        </w:numPr>
        <w:pBdr>
          <w:top w:val="nil"/>
          <w:left w:val="nil"/>
          <w:bottom w:val="nil"/>
          <w:right w:val="nil"/>
          <w:between w:val="nil"/>
        </w:pBdr>
        <w:ind w:left="851" w:right="2" w:hanging="425"/>
        <w:jc w:val="both"/>
        <w:rPr>
          <w:rFonts w:ascii="Cambria" w:eastAsia="Cambria" w:hAnsi="Cambria" w:cs="Cambria"/>
          <w:color w:val="000000"/>
          <w:sz w:val="20"/>
          <w:szCs w:val="20"/>
        </w:rPr>
      </w:pPr>
      <w:r w:rsidRPr="0057470D">
        <w:rPr>
          <w:rFonts w:ascii="Cambria" w:hAnsi="Cambria"/>
          <w:color w:val="000000"/>
          <w:sz w:val="20"/>
          <w:szCs w:val="20"/>
        </w:rPr>
        <w:t>Les CPC devront établir des tailles minimales de rétention qui correspondent ou dépassent les longueurs suivantes : 251 cm de longueur maxillaire inférieur fourche (LJFL) pour le makaire bleu et 168 cm (LJFL) pour le makaire blanc/makaire épée.</w:t>
      </w:r>
    </w:p>
    <w:p w14:paraId="3F2A6B85" w14:textId="77777777" w:rsidR="006A1BDD" w:rsidRPr="0057470D" w:rsidRDefault="006A1BDD" w:rsidP="001D3F4A">
      <w:pPr>
        <w:widowControl w:val="0"/>
        <w:numPr>
          <w:ilvl w:val="0"/>
          <w:numId w:val="21"/>
        </w:numPr>
        <w:pBdr>
          <w:top w:val="nil"/>
          <w:left w:val="nil"/>
          <w:bottom w:val="nil"/>
          <w:right w:val="nil"/>
          <w:between w:val="nil"/>
        </w:pBdr>
        <w:ind w:left="851" w:right="2" w:hanging="425"/>
        <w:jc w:val="both"/>
        <w:rPr>
          <w:rFonts w:ascii="Cambria" w:eastAsia="Cambria" w:hAnsi="Cambria" w:cs="Cambria"/>
          <w:color w:val="000000"/>
          <w:sz w:val="20"/>
          <w:szCs w:val="20"/>
        </w:rPr>
      </w:pPr>
      <w:r w:rsidRPr="0057470D">
        <w:rPr>
          <w:rFonts w:ascii="Cambria" w:hAnsi="Cambria"/>
          <w:color w:val="000000"/>
          <w:sz w:val="20"/>
          <w:szCs w:val="20"/>
        </w:rPr>
        <w:t>Les CPC devront interdire la vente ou l’offre à la vente d’une partie ou de la totalité de la carcasse des makaires bleus ou des makaires blancs/makaires épée capturés dans les pêcheries sportives et récréatives.</w:t>
      </w:r>
    </w:p>
    <w:p w14:paraId="0EED7E41" w14:textId="77777777" w:rsidR="006A1BDD" w:rsidRPr="0057470D" w:rsidRDefault="006A1BDD" w:rsidP="006A1BDD">
      <w:pPr>
        <w:widowControl w:val="0"/>
        <w:pBdr>
          <w:top w:val="nil"/>
          <w:left w:val="nil"/>
          <w:bottom w:val="nil"/>
          <w:right w:val="nil"/>
          <w:between w:val="nil"/>
        </w:pBdr>
        <w:ind w:right="2"/>
        <w:rPr>
          <w:rFonts w:ascii="Cambria" w:eastAsia="Cambria" w:hAnsi="Cambria" w:cs="Cambria"/>
          <w:color w:val="000000"/>
          <w:sz w:val="20"/>
          <w:szCs w:val="20"/>
          <w:lang w:eastAsia="en-US"/>
        </w:rPr>
      </w:pPr>
    </w:p>
    <w:p w14:paraId="48113AE9" w14:textId="77777777" w:rsidR="006A1BDD" w:rsidRPr="0057470D" w:rsidRDefault="006A1BDD" w:rsidP="006A1BDD">
      <w:pPr>
        <w:widowControl w:val="0"/>
        <w:ind w:left="140" w:right="2" w:hanging="140"/>
        <w:outlineLvl w:val="0"/>
        <w:rPr>
          <w:rFonts w:ascii="Cambria" w:eastAsia="Cambria" w:hAnsi="Cambria" w:cs="Cambria"/>
          <w:b/>
          <w:bCs/>
          <w:sz w:val="20"/>
          <w:szCs w:val="20"/>
        </w:rPr>
      </w:pPr>
      <w:r w:rsidRPr="0057470D">
        <w:rPr>
          <w:rFonts w:ascii="Cambria" w:hAnsi="Cambria"/>
          <w:b/>
          <w:sz w:val="20"/>
          <w:szCs w:val="20"/>
        </w:rPr>
        <w:t>Programme d’observateurs</w:t>
      </w:r>
    </w:p>
    <w:p w14:paraId="580DD86E" w14:textId="77777777" w:rsidR="006A1BDD" w:rsidRPr="0057470D" w:rsidRDefault="006A1BDD" w:rsidP="006A1BDD">
      <w:pPr>
        <w:widowControl w:val="0"/>
        <w:pBdr>
          <w:top w:val="nil"/>
          <w:left w:val="nil"/>
          <w:bottom w:val="nil"/>
          <w:right w:val="nil"/>
          <w:between w:val="nil"/>
        </w:pBdr>
        <w:ind w:right="2"/>
        <w:rPr>
          <w:rFonts w:ascii="Cambria" w:eastAsia="Cambria" w:hAnsi="Cambria" w:cs="Cambria"/>
          <w:b/>
          <w:bCs/>
          <w:color w:val="000000"/>
          <w:sz w:val="20"/>
          <w:szCs w:val="20"/>
          <w:lang w:val="en" w:eastAsia="en-US"/>
        </w:rPr>
      </w:pPr>
    </w:p>
    <w:p w14:paraId="2634E15C" w14:textId="77777777" w:rsidR="006A1BDD" w:rsidRPr="0057470D"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rPr>
      </w:pPr>
      <w:r w:rsidRPr="0057470D">
        <w:rPr>
          <w:rFonts w:ascii="Cambria" w:hAnsi="Cambria"/>
          <w:color w:val="000000"/>
          <w:sz w:val="20"/>
          <w:szCs w:val="20"/>
        </w:rPr>
        <w:t>Les CPC devront collecter des données sur les prises de makaire bleu et de makaire blanc/makaire épée, y compris sur les rejets vivants et morts, au moyen des carnets de pêche et de programmes d'observateurs scientifiques, conformément aux exigences énoncées dans la Rec. 11-10 et la Rec. 16-14. Les CPC devront inclure leurs estimations des rejets morts et vivants totaux dans leur soumission de données de capture nominale de la tâche 1.</w:t>
      </w:r>
      <w:r w:rsidRPr="0057470D">
        <w:rPr>
          <w:rFonts w:ascii="Cambria" w:hAnsi="Cambria"/>
          <w:color w:val="000000"/>
          <w:sz w:val="20"/>
          <w:szCs w:val="20"/>
          <w:highlight w:val="yellow"/>
          <w:u w:val="single"/>
        </w:rPr>
        <w:t xml:space="preserve"> </w:t>
      </w:r>
      <w:r w:rsidRPr="0057470D">
        <w:rPr>
          <w:rFonts w:ascii="Cambria" w:hAnsi="Cambria"/>
          <w:sz w:val="20"/>
          <w:szCs w:val="20"/>
          <w:highlight w:val="yellow"/>
          <w:u w:val="single"/>
        </w:rPr>
        <w:t xml:space="preserve">Conformément aux paragraphes 3 et 4 de la </w:t>
      </w:r>
      <w:r w:rsidRPr="0057470D">
        <w:rPr>
          <w:rFonts w:ascii="Cambria" w:hAnsi="Cambria"/>
          <w:i/>
          <w:iCs/>
          <w:sz w:val="20"/>
          <w:szCs w:val="20"/>
          <w:highlight w:val="yellow"/>
          <w:u w:val="single"/>
        </w:rPr>
        <w:t>Recommandation de l’ICCAT visant à établir des normes minimales et des exigences du programme aux fins de l'utilisation des systèmes de surveillance électronique (EMS) dans les pêcheries de l’ICCAT</w:t>
      </w:r>
      <w:r w:rsidRPr="0057470D">
        <w:rPr>
          <w:rFonts w:ascii="Cambria" w:hAnsi="Cambria"/>
          <w:sz w:val="20"/>
          <w:szCs w:val="20"/>
          <w:highlight w:val="yellow"/>
          <w:u w:val="single"/>
        </w:rPr>
        <w:t xml:space="preserve"> (Rec. 23-18), les CPC peuvent recourir à des EMS pour compléter le niveau requis de couverture par des observateurs humains et les tâches que ceux-ci sont tenus d’accomplir, comme le précise la Rec. 16-14.</w:t>
      </w:r>
    </w:p>
    <w:p w14:paraId="55B64164" w14:textId="77777777" w:rsidR="006A1BDD" w:rsidRPr="0057470D" w:rsidRDefault="006A1BDD" w:rsidP="006A1BDD">
      <w:pPr>
        <w:widowControl w:val="0"/>
        <w:pBdr>
          <w:top w:val="nil"/>
          <w:left w:val="nil"/>
          <w:bottom w:val="nil"/>
          <w:right w:val="nil"/>
          <w:between w:val="nil"/>
        </w:pBdr>
        <w:tabs>
          <w:tab w:val="left" w:pos="564"/>
          <w:tab w:val="left" w:pos="567"/>
        </w:tabs>
        <w:ind w:left="567" w:right="2"/>
        <w:jc w:val="both"/>
        <w:rPr>
          <w:rFonts w:ascii="Cambria" w:eastAsia="Cambria" w:hAnsi="Cambria" w:cs="Cambria"/>
          <w:sz w:val="20"/>
          <w:szCs w:val="20"/>
          <w:lang w:eastAsia="en-US"/>
        </w:rPr>
      </w:pPr>
    </w:p>
    <w:p w14:paraId="4BF7714B" w14:textId="79B211FD" w:rsidR="006A1BDD" w:rsidRPr="0057470D"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rPr>
      </w:pPr>
      <w:r w:rsidRPr="0057470D">
        <w:rPr>
          <w:rFonts w:ascii="Cambria" w:hAnsi="Cambria"/>
          <w:sz w:val="20"/>
          <w:szCs w:val="20"/>
          <w:u w:val="single"/>
        </w:rPr>
        <w:t>En outre, l</w:t>
      </w:r>
      <w:r w:rsidRPr="0057470D">
        <w:rPr>
          <w:rFonts w:ascii="Cambria" w:hAnsi="Cambria"/>
          <w:sz w:val="20"/>
          <w:szCs w:val="20"/>
        </w:rPr>
        <w:t>es CPC devront établir ou maintenir des programmes de collecte des données dans les pêcheries sportives et récréatives, y compris une couverture par des observateurs scientifiques de 5% minimum des tournois de pêche de makaires bleus et de makaires blancs/makaires épée, pour s’assurer que les prises sont déclarées conformément aux obligations de déclaration existantes de l’ICCAT.</w:t>
      </w:r>
    </w:p>
    <w:p w14:paraId="6EC22D86" w14:textId="77777777" w:rsidR="006A1BDD" w:rsidRPr="0057470D" w:rsidRDefault="006A1BDD" w:rsidP="006A1BDD">
      <w:pPr>
        <w:widowControl w:val="0"/>
        <w:pBdr>
          <w:top w:val="nil"/>
          <w:left w:val="nil"/>
          <w:bottom w:val="nil"/>
          <w:right w:val="nil"/>
          <w:between w:val="nil"/>
        </w:pBdr>
        <w:ind w:right="142" w:firstLine="426"/>
        <w:jc w:val="both"/>
        <w:rPr>
          <w:rFonts w:ascii="Cambria" w:eastAsia="Cambria" w:hAnsi="Cambria" w:cs="Cambria"/>
          <w:sz w:val="20"/>
          <w:szCs w:val="20"/>
          <w:lang w:eastAsia="en-US"/>
        </w:rPr>
      </w:pPr>
    </w:p>
    <w:p w14:paraId="2A59615F" w14:textId="77777777" w:rsidR="006A1BDD" w:rsidRPr="0057470D" w:rsidRDefault="006A1BDD" w:rsidP="006A1BDD">
      <w:pPr>
        <w:widowControl w:val="0"/>
        <w:ind w:right="2"/>
        <w:outlineLvl w:val="0"/>
        <w:rPr>
          <w:rFonts w:ascii="Cambria" w:eastAsia="Cambria" w:hAnsi="Cambria" w:cs="Cambria"/>
          <w:b/>
          <w:bCs/>
          <w:sz w:val="20"/>
          <w:szCs w:val="20"/>
        </w:rPr>
      </w:pPr>
      <w:r w:rsidRPr="0057470D">
        <w:rPr>
          <w:rFonts w:ascii="Cambria" w:hAnsi="Cambria"/>
          <w:b/>
          <w:sz w:val="20"/>
          <w:szCs w:val="20"/>
        </w:rPr>
        <w:t>Collecte et déclaration des données</w:t>
      </w:r>
    </w:p>
    <w:p w14:paraId="41F93E5F" w14:textId="77777777" w:rsidR="006A1BDD" w:rsidRPr="0057470D" w:rsidRDefault="006A1BDD" w:rsidP="006A1BDD">
      <w:pPr>
        <w:widowControl w:val="0"/>
        <w:ind w:right="2"/>
        <w:rPr>
          <w:rFonts w:ascii="Cambria" w:eastAsia="Cambria" w:hAnsi="Cambria" w:cs="Cambria"/>
          <w:sz w:val="20"/>
          <w:szCs w:val="20"/>
          <w:lang w:val="en" w:eastAsia="en-US"/>
        </w:rPr>
      </w:pPr>
    </w:p>
    <w:p w14:paraId="11DA9995" w14:textId="77777777" w:rsidR="006A1BDD" w:rsidRPr="0057470D"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rPr>
      </w:pPr>
      <w:r w:rsidRPr="0057470D">
        <w:rPr>
          <w:rFonts w:ascii="Cambria" w:hAnsi="Cambria"/>
          <w:color w:val="000000"/>
          <w:sz w:val="20"/>
          <w:szCs w:val="20"/>
        </w:rPr>
        <w:t xml:space="preserve">Les CPC devront fournir leurs estimations du total des rejets vivants et morts de makaire bleu, de makaire blanc/makaire épée, sur la base des carnets de pêche, des déclarations de débarquement ou d'un document équivalent pour les pêcheries sportives/récréatives, ainsi que des rapports d’observateurs scientifiques, dans le cadre de leur soumission des données des tâches 1 et 2 pour soutenir le processus d'évaluation des stocks. </w:t>
      </w:r>
    </w:p>
    <w:p w14:paraId="0A429F28" w14:textId="77777777" w:rsidR="006A1BDD" w:rsidRPr="0057470D" w:rsidRDefault="006A1BDD" w:rsidP="006A1BDD">
      <w:pPr>
        <w:widowControl w:val="0"/>
        <w:pBdr>
          <w:top w:val="nil"/>
          <w:left w:val="nil"/>
          <w:bottom w:val="nil"/>
          <w:right w:val="nil"/>
          <w:between w:val="nil"/>
        </w:pBdr>
        <w:tabs>
          <w:tab w:val="left" w:pos="426"/>
        </w:tabs>
        <w:ind w:left="426" w:right="2"/>
        <w:jc w:val="both"/>
        <w:rPr>
          <w:rFonts w:ascii="Cambria" w:eastAsia="Cambria" w:hAnsi="Cambria" w:cs="Cambria"/>
          <w:color w:val="000000"/>
          <w:sz w:val="20"/>
          <w:szCs w:val="20"/>
          <w:lang w:eastAsia="en-US"/>
        </w:rPr>
      </w:pPr>
    </w:p>
    <w:p w14:paraId="0D8D1D84" w14:textId="77777777" w:rsidR="00945589" w:rsidRDefault="00945589">
      <w:pPr>
        <w:spacing w:after="160" w:line="259" w:lineRule="auto"/>
        <w:rPr>
          <w:rFonts w:ascii="Cambria" w:hAnsi="Cambria"/>
          <w:color w:val="000000"/>
          <w:sz w:val="20"/>
          <w:szCs w:val="20"/>
          <w:u w:val="single"/>
        </w:rPr>
      </w:pPr>
      <w:r>
        <w:rPr>
          <w:rFonts w:ascii="Cambria" w:hAnsi="Cambria"/>
          <w:color w:val="000000"/>
          <w:sz w:val="20"/>
          <w:szCs w:val="20"/>
          <w:u w:val="single"/>
        </w:rPr>
        <w:br w:type="page"/>
      </w:r>
    </w:p>
    <w:p w14:paraId="38E07396" w14:textId="62DB2E53" w:rsidR="006A1BDD" w:rsidRPr="0057470D"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rPr>
      </w:pPr>
      <w:r w:rsidRPr="0057470D">
        <w:rPr>
          <w:rFonts w:ascii="Cambria" w:hAnsi="Cambria"/>
          <w:color w:val="000000"/>
          <w:sz w:val="20"/>
          <w:szCs w:val="20"/>
          <w:u w:val="single"/>
        </w:rPr>
        <w:lastRenderedPageBreak/>
        <w:t>En</w:t>
      </w:r>
      <w:r w:rsidRPr="0057470D">
        <w:rPr>
          <w:rFonts w:ascii="Cambria" w:hAnsi="Cambria"/>
          <w:color w:val="000000"/>
          <w:sz w:val="20"/>
          <w:szCs w:val="20"/>
        </w:rPr>
        <w:t xml:space="preserve"> cas de non-déclaration des données de la tâche 1, rejets morts y compris, de makaire bleu et de makaire blanc/makaire épée, conformément aux exigences établies par l'ICCAT, il sera interdit de conserver ces espèces en vertu de la </w:t>
      </w:r>
      <w:r w:rsidRPr="0057470D">
        <w:rPr>
          <w:rFonts w:ascii="Cambria" w:hAnsi="Cambria"/>
          <w:i/>
          <w:color w:val="000000"/>
          <w:sz w:val="20"/>
          <w:szCs w:val="20"/>
        </w:rPr>
        <w:t>Recommandation de l’ICCAT sur les pénalisations applicables en cas de non-respect des obligations en matière de déclaration</w:t>
      </w:r>
      <w:r w:rsidRPr="0057470D">
        <w:rPr>
          <w:rFonts w:ascii="Cambria" w:hAnsi="Cambria"/>
          <w:color w:val="000000"/>
          <w:sz w:val="20"/>
          <w:szCs w:val="20"/>
        </w:rPr>
        <w:t xml:space="preserve"> (Rec. 11-15).</w:t>
      </w:r>
    </w:p>
    <w:p w14:paraId="15BF01DC" w14:textId="77777777" w:rsidR="006A1BDD" w:rsidRPr="0057470D" w:rsidRDefault="006A1BDD" w:rsidP="006A1BDD">
      <w:pPr>
        <w:ind w:left="720" w:right="2"/>
        <w:contextualSpacing/>
        <w:rPr>
          <w:rFonts w:ascii="Cambria" w:eastAsia="Cambria" w:hAnsi="Cambria" w:cs="Cambria"/>
          <w:color w:val="000000"/>
          <w:sz w:val="20"/>
          <w:szCs w:val="20"/>
          <w:lang w:eastAsia="en-US"/>
        </w:rPr>
      </w:pPr>
    </w:p>
    <w:p w14:paraId="5BB70985" w14:textId="77777777" w:rsidR="006A1BDD" w:rsidRPr="0057470D" w:rsidRDefault="006A1BDD" w:rsidP="006A1BDD">
      <w:pPr>
        <w:widowControl w:val="0"/>
        <w:pBdr>
          <w:top w:val="nil"/>
          <w:left w:val="nil"/>
          <w:bottom w:val="nil"/>
          <w:right w:val="nil"/>
          <w:between w:val="nil"/>
        </w:pBdr>
        <w:tabs>
          <w:tab w:val="left" w:pos="565"/>
          <w:tab w:val="left" w:pos="568"/>
        </w:tabs>
        <w:ind w:left="568" w:right="2" w:hanging="568"/>
        <w:jc w:val="both"/>
        <w:rPr>
          <w:rFonts w:ascii="Cambria" w:eastAsia="Cambria" w:hAnsi="Cambria" w:cs="Cambria"/>
          <w:sz w:val="20"/>
          <w:szCs w:val="20"/>
        </w:rPr>
      </w:pPr>
      <w:r w:rsidRPr="0057470D">
        <w:rPr>
          <w:rFonts w:ascii="Cambria" w:hAnsi="Cambria"/>
          <w:sz w:val="20"/>
          <w:szCs w:val="20"/>
          <w:highlight w:val="yellow"/>
          <w:u w:val="single"/>
        </w:rPr>
        <w:t xml:space="preserve">15 bis. </w:t>
      </w:r>
      <w:r w:rsidRPr="0057470D">
        <w:rPr>
          <w:rFonts w:ascii="Cambria" w:hAnsi="Cambria"/>
          <w:sz w:val="20"/>
          <w:szCs w:val="20"/>
          <w:u w:val="single"/>
        </w:rPr>
        <w:t>Afin de faciliter la déclaration des données relatives aux débarquements et aux rejets, les CPC peuvent utiliser l'outil d'estimation des prises accessoires (BYET) pour fournir des estimations du total des rejets, vivants et morts, de makaire bleu et de makaire blanc/makaire épée dans le cadre de la soumission de leurs données des tâches 1 et 2, afin de soutenir le processus d'évaluation de stocks.</w:t>
      </w:r>
      <w:r w:rsidRPr="0057470D">
        <w:rPr>
          <w:rFonts w:ascii="Cambria" w:hAnsi="Cambria"/>
          <w:sz w:val="20"/>
          <w:szCs w:val="20"/>
          <w:highlight w:val="yellow"/>
          <w:u w:val="single"/>
        </w:rPr>
        <w:t xml:space="preserve"> </w:t>
      </w:r>
    </w:p>
    <w:p w14:paraId="17F520CA" w14:textId="77777777" w:rsidR="006A1BDD" w:rsidRPr="0057470D" w:rsidRDefault="006A1BDD" w:rsidP="006A1BDD">
      <w:pPr>
        <w:widowControl w:val="0"/>
        <w:pBdr>
          <w:top w:val="nil"/>
          <w:left w:val="nil"/>
          <w:bottom w:val="nil"/>
          <w:right w:val="nil"/>
          <w:between w:val="nil"/>
        </w:pBdr>
        <w:tabs>
          <w:tab w:val="left" w:pos="565"/>
          <w:tab w:val="left" w:pos="568"/>
        </w:tabs>
        <w:ind w:left="568" w:right="2" w:hanging="568"/>
        <w:jc w:val="both"/>
        <w:rPr>
          <w:rFonts w:ascii="Cambria" w:eastAsia="Cambria" w:hAnsi="Cambria" w:cs="Cambria"/>
          <w:color w:val="000000"/>
          <w:sz w:val="20"/>
          <w:szCs w:val="20"/>
          <w:highlight w:val="yellow"/>
          <w:u w:val="single"/>
          <w:lang w:eastAsia="en-US"/>
        </w:rPr>
      </w:pPr>
    </w:p>
    <w:p w14:paraId="31F7A752" w14:textId="77777777" w:rsidR="006A1BDD" w:rsidRPr="0057470D" w:rsidRDefault="006A1BDD" w:rsidP="006A1BDD">
      <w:pPr>
        <w:widowControl w:val="0"/>
        <w:pBdr>
          <w:top w:val="nil"/>
          <w:left w:val="nil"/>
          <w:bottom w:val="nil"/>
          <w:right w:val="nil"/>
          <w:between w:val="nil"/>
        </w:pBdr>
        <w:tabs>
          <w:tab w:val="left" w:pos="565"/>
          <w:tab w:val="left" w:pos="568"/>
        </w:tabs>
        <w:ind w:left="568" w:right="2" w:hanging="568"/>
        <w:jc w:val="both"/>
        <w:rPr>
          <w:rFonts w:ascii="Cambria" w:eastAsia="Cambria" w:hAnsi="Cambria" w:cs="Cambria"/>
          <w:sz w:val="20"/>
          <w:szCs w:val="20"/>
          <w:highlight w:val="yellow"/>
          <w:u w:val="single"/>
        </w:rPr>
      </w:pPr>
      <w:r w:rsidRPr="0057470D">
        <w:rPr>
          <w:rFonts w:ascii="Cambria" w:hAnsi="Cambria"/>
          <w:sz w:val="20"/>
          <w:szCs w:val="20"/>
          <w:highlight w:val="yellow"/>
          <w:u w:val="single"/>
        </w:rPr>
        <w:t xml:space="preserve">15 tris. Afin de favoriser le rétablissement du stock et de faciliter le partage d'informations sur les meilleures pratiques, les CPC qui parviennent à réduire les prises accessoires et/ou les rejets de makaire bleu et de makaire blanc/makaire épée devraient résumer et déclarer les changements survenus dans les comportements ou les pratiques de pêche mis en œuvre pour réduire ces interactions et la mortalité qui en découle. </w:t>
      </w:r>
    </w:p>
    <w:p w14:paraId="04DAC8A3" w14:textId="77777777" w:rsidR="006A1BDD" w:rsidRPr="0057470D" w:rsidRDefault="006A1BDD" w:rsidP="006A1BDD">
      <w:pPr>
        <w:widowControl w:val="0"/>
        <w:pBdr>
          <w:top w:val="nil"/>
          <w:left w:val="nil"/>
          <w:bottom w:val="nil"/>
          <w:right w:val="nil"/>
          <w:between w:val="nil"/>
        </w:pBdr>
        <w:ind w:right="2"/>
        <w:rPr>
          <w:rFonts w:ascii="Cambria" w:eastAsia="Cambria" w:hAnsi="Cambria" w:cs="Cambria"/>
          <w:color w:val="000000"/>
          <w:sz w:val="20"/>
          <w:szCs w:val="20"/>
          <w:lang w:eastAsia="en-US"/>
        </w:rPr>
      </w:pPr>
    </w:p>
    <w:p w14:paraId="584FD281" w14:textId="60435924" w:rsidR="006A1BDD" w:rsidRPr="0057470D"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rPr>
      </w:pPr>
      <w:r w:rsidRPr="0057470D">
        <w:rPr>
          <w:rFonts w:ascii="Cambria" w:hAnsi="Cambria"/>
          <w:color w:val="000000"/>
          <w:sz w:val="20"/>
          <w:szCs w:val="20"/>
          <w:u w:val="single"/>
        </w:rPr>
        <w:t>L</w:t>
      </w:r>
      <w:r w:rsidRPr="0057470D">
        <w:rPr>
          <w:rFonts w:ascii="Cambria" w:hAnsi="Cambria"/>
          <w:color w:val="000000"/>
          <w:sz w:val="20"/>
          <w:szCs w:val="20"/>
        </w:rPr>
        <w:t>es CPC devront présenter au SCRS la méthodologie statistique utilisée pour estimer les rejets morts et vivants. Les CPC ayant des pêcheries artisanales et de petits métiers devront également fournir des informations sur leurs programmes de collecte de données.</w:t>
      </w:r>
      <w:r w:rsidRPr="0057470D">
        <w:rPr>
          <w:rFonts w:ascii="Cambria" w:hAnsi="Cambria"/>
          <w:color w:val="000000"/>
          <w:sz w:val="20"/>
          <w:szCs w:val="20"/>
          <w:highlight w:val="yellow"/>
          <w:u w:val="single"/>
        </w:rPr>
        <w:t xml:space="preserve"> </w:t>
      </w:r>
    </w:p>
    <w:p w14:paraId="094B8F09" w14:textId="77777777" w:rsidR="006A1BDD" w:rsidRPr="0057470D" w:rsidRDefault="006A1BDD" w:rsidP="006A1BDD">
      <w:pPr>
        <w:widowControl w:val="0"/>
        <w:pBdr>
          <w:top w:val="nil"/>
          <w:left w:val="nil"/>
          <w:bottom w:val="nil"/>
          <w:right w:val="nil"/>
          <w:between w:val="nil"/>
        </w:pBdr>
        <w:ind w:right="2"/>
        <w:rPr>
          <w:rFonts w:ascii="Cambria" w:eastAsia="Cambria" w:hAnsi="Cambria" w:cs="Cambria"/>
          <w:color w:val="000000"/>
          <w:sz w:val="20"/>
          <w:szCs w:val="20"/>
          <w:lang w:eastAsia="en-US"/>
        </w:rPr>
      </w:pPr>
    </w:p>
    <w:p w14:paraId="32BAFC86" w14:textId="77777777" w:rsidR="006A1BDD" w:rsidRPr="0057470D" w:rsidRDefault="006A1BDD" w:rsidP="006A1BDD">
      <w:pPr>
        <w:widowControl w:val="0"/>
        <w:pBdr>
          <w:top w:val="nil"/>
          <w:left w:val="nil"/>
          <w:bottom w:val="nil"/>
          <w:right w:val="nil"/>
          <w:between w:val="nil"/>
        </w:pBdr>
        <w:ind w:left="426" w:right="2"/>
        <w:jc w:val="both"/>
        <w:rPr>
          <w:rFonts w:ascii="Cambria" w:eastAsia="Cambria" w:hAnsi="Cambria" w:cs="Cambria"/>
          <w:color w:val="000000"/>
          <w:sz w:val="20"/>
          <w:szCs w:val="20"/>
        </w:rPr>
      </w:pPr>
      <w:r w:rsidRPr="0057470D">
        <w:rPr>
          <w:rFonts w:ascii="Cambria" w:hAnsi="Cambria"/>
          <w:color w:val="000000"/>
          <w:sz w:val="20"/>
          <w:szCs w:val="20"/>
        </w:rPr>
        <w:t>Le SCRS devra réviser ces méthodologies et, s’il détermine qu’une méthodologie n’est pas scientifiquement fondée, il devra fournir des observations pertinentes aux CPC concernées afin d’améliorer les méthodologies.</w:t>
      </w:r>
    </w:p>
    <w:p w14:paraId="4A76799F" w14:textId="77777777" w:rsidR="006A1BDD" w:rsidRPr="0057470D" w:rsidRDefault="006A1BDD" w:rsidP="006A1BDD">
      <w:pPr>
        <w:widowControl w:val="0"/>
        <w:pBdr>
          <w:top w:val="nil"/>
          <w:left w:val="nil"/>
          <w:bottom w:val="nil"/>
          <w:right w:val="nil"/>
          <w:between w:val="nil"/>
        </w:pBdr>
        <w:ind w:left="426" w:right="2"/>
        <w:jc w:val="both"/>
        <w:rPr>
          <w:rFonts w:ascii="Cambria" w:eastAsia="Cambria" w:hAnsi="Cambria" w:cs="Cambria"/>
          <w:color w:val="000000"/>
          <w:sz w:val="20"/>
          <w:szCs w:val="20"/>
          <w:lang w:eastAsia="en-US"/>
        </w:rPr>
      </w:pPr>
    </w:p>
    <w:p w14:paraId="3E24938A" w14:textId="5E68E433" w:rsidR="006A1BDD" w:rsidRPr="0057470D" w:rsidRDefault="006A1BDD" w:rsidP="006A1BDD">
      <w:pPr>
        <w:widowControl w:val="0"/>
        <w:pBdr>
          <w:top w:val="nil"/>
          <w:left w:val="nil"/>
          <w:bottom w:val="nil"/>
          <w:right w:val="nil"/>
          <w:between w:val="nil"/>
        </w:pBdr>
        <w:ind w:left="426" w:right="2"/>
        <w:jc w:val="both"/>
        <w:rPr>
          <w:rFonts w:ascii="Cambria" w:eastAsia="Cambria" w:hAnsi="Cambria" w:cs="Cambria"/>
          <w:color w:val="000000"/>
          <w:sz w:val="20"/>
          <w:szCs w:val="20"/>
        </w:rPr>
      </w:pPr>
      <w:r w:rsidRPr="0057470D">
        <w:rPr>
          <w:rFonts w:ascii="Cambria" w:hAnsi="Cambria"/>
          <w:color w:val="000000"/>
          <w:sz w:val="20"/>
          <w:szCs w:val="20"/>
        </w:rPr>
        <w:t>Le SCRS devra également déterminer si</w:t>
      </w:r>
      <w:r w:rsidRPr="0057470D">
        <w:rPr>
          <w:rFonts w:ascii="Cambria" w:hAnsi="Cambria"/>
          <w:sz w:val="20"/>
          <w:szCs w:val="20"/>
        </w:rPr>
        <w:t xml:space="preserve"> des </w:t>
      </w:r>
      <w:r w:rsidRPr="0057470D">
        <w:rPr>
          <w:rFonts w:ascii="Cambria" w:hAnsi="Cambria"/>
          <w:color w:val="000000"/>
          <w:sz w:val="20"/>
          <w:szCs w:val="20"/>
        </w:rPr>
        <w:t xml:space="preserve">ateliers de renforcement des capacités </w:t>
      </w:r>
      <w:r w:rsidRPr="0057470D">
        <w:rPr>
          <w:rFonts w:ascii="Cambria" w:hAnsi="Cambria"/>
          <w:color w:val="000000"/>
          <w:sz w:val="20"/>
          <w:szCs w:val="20"/>
          <w:u w:val="single"/>
        </w:rPr>
        <w:t>supplémentaires</w:t>
      </w:r>
      <w:r w:rsidRPr="0057470D">
        <w:rPr>
          <w:rFonts w:ascii="Cambria" w:hAnsi="Cambria"/>
          <w:color w:val="000000"/>
          <w:sz w:val="20"/>
          <w:szCs w:val="20"/>
        </w:rPr>
        <w:t xml:space="preserve"> sont justifiés pour aider les CPC à se conformer à l'obligation de déclarer le nombre total de rejets vivants et morts. </w:t>
      </w:r>
      <w:r w:rsidRPr="0057470D">
        <w:rPr>
          <w:rFonts w:ascii="Cambria" w:hAnsi="Cambria"/>
          <w:sz w:val="20"/>
          <w:szCs w:val="20"/>
        </w:rPr>
        <w:t xml:space="preserve">Si tel est le cas, le Secrétariat, en coordination avec le SCRS, devrait commencer à organiser le ou les ateliers recommandés par le SCRS en </w:t>
      </w:r>
      <w:r w:rsidRPr="0057470D">
        <w:rPr>
          <w:rFonts w:ascii="Cambria" w:hAnsi="Cambria"/>
          <w:color w:val="000000"/>
          <w:sz w:val="20"/>
          <w:szCs w:val="20"/>
        </w:rPr>
        <w:t>202</w:t>
      </w:r>
      <w:r w:rsidRPr="0057470D">
        <w:rPr>
          <w:rFonts w:ascii="Cambria" w:hAnsi="Cambria"/>
          <w:sz w:val="20"/>
          <w:szCs w:val="20"/>
          <w:highlight w:val="yellow"/>
          <w:u w:val="single"/>
        </w:rPr>
        <w:t>7</w:t>
      </w:r>
      <w:r w:rsidRPr="0057470D">
        <w:rPr>
          <w:rFonts w:ascii="Cambria" w:hAnsi="Cambria"/>
          <w:color w:val="000000"/>
          <w:sz w:val="20"/>
          <w:szCs w:val="20"/>
        </w:rPr>
        <w:t xml:space="preserve"> </w:t>
      </w:r>
      <w:r w:rsidRPr="0057470D">
        <w:rPr>
          <w:rFonts w:ascii="Cambria" w:hAnsi="Cambria"/>
          <w:sz w:val="20"/>
          <w:szCs w:val="20"/>
        </w:rPr>
        <w:t>en vue de les convoquer dès que possible.</w:t>
      </w:r>
    </w:p>
    <w:p w14:paraId="1C3CF99D" w14:textId="77777777" w:rsidR="006A1BDD" w:rsidRPr="0057470D" w:rsidRDefault="006A1BDD" w:rsidP="006A1BDD">
      <w:pPr>
        <w:widowControl w:val="0"/>
        <w:pBdr>
          <w:top w:val="nil"/>
          <w:left w:val="nil"/>
          <w:bottom w:val="nil"/>
          <w:right w:val="nil"/>
          <w:between w:val="nil"/>
        </w:pBdr>
        <w:ind w:right="2"/>
        <w:rPr>
          <w:rFonts w:ascii="Cambria" w:eastAsia="Cambria" w:hAnsi="Cambria" w:cs="Cambria"/>
          <w:color w:val="000000"/>
          <w:sz w:val="20"/>
          <w:szCs w:val="20"/>
          <w:lang w:eastAsia="en-US"/>
        </w:rPr>
      </w:pPr>
    </w:p>
    <w:p w14:paraId="6A40C5C3" w14:textId="77777777" w:rsidR="006A1BDD" w:rsidRPr="0057470D"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rPr>
      </w:pPr>
      <w:r w:rsidRPr="0057470D">
        <w:rPr>
          <w:rFonts w:ascii="Cambria" w:hAnsi="Cambria"/>
          <w:color w:val="000000"/>
          <w:sz w:val="20"/>
          <w:szCs w:val="20"/>
        </w:rPr>
        <w:t>Le SCRS devra évaluer l’exhaustivité des soumissions de données des tâches 1 et 2, y compris des estimations du nombre total de rejets morts et vivants, et déterminer la viabilité d'estimer les mortalités par pêche dues aux pêcheries industrielles (y compris de palangriers et de senneurs), aux pêcheries artisanales et aux pêcheries récréatives. Si, après avoir mené cette évaluation, le SCRS détermine qu'il existe des lacunes importantes dans la déclaration des données, il devrait explorer des méthodes permettant d'estimer le niveau des captures non déclarées à inclure dans les futures évaluations des stocks afin de renforcer la base sur laquelle il fournira des avis de gestion à la Commission.</w:t>
      </w:r>
    </w:p>
    <w:p w14:paraId="51EFBFDA" w14:textId="77777777" w:rsidR="006A1BDD" w:rsidRPr="0057470D" w:rsidRDefault="006A1BDD" w:rsidP="006A1BDD">
      <w:pPr>
        <w:widowControl w:val="0"/>
        <w:autoSpaceDE w:val="0"/>
        <w:autoSpaceDN w:val="0"/>
        <w:ind w:left="141" w:hanging="141"/>
        <w:outlineLvl w:val="0"/>
        <w:rPr>
          <w:rFonts w:ascii="Cambria" w:eastAsia="Cambria" w:hAnsi="Cambria" w:cs="Cambria"/>
          <w:b/>
          <w:bCs/>
          <w:sz w:val="20"/>
          <w:szCs w:val="20"/>
          <w:highlight w:val="yellow"/>
          <w:u w:val="single"/>
        </w:rPr>
      </w:pPr>
    </w:p>
    <w:p w14:paraId="759FEB41" w14:textId="77777777" w:rsidR="006A1BDD" w:rsidRPr="0057470D" w:rsidRDefault="006A1BDD" w:rsidP="006A1BDD">
      <w:pPr>
        <w:widowControl w:val="0"/>
        <w:autoSpaceDE w:val="0"/>
        <w:autoSpaceDN w:val="0"/>
        <w:ind w:left="141" w:hanging="141"/>
        <w:outlineLvl w:val="0"/>
        <w:rPr>
          <w:rFonts w:ascii="Cambria" w:eastAsia="Cambria" w:hAnsi="Cambria" w:cs="Cambria"/>
          <w:b/>
          <w:bCs/>
          <w:spacing w:val="-2"/>
          <w:sz w:val="20"/>
          <w:szCs w:val="20"/>
          <w:highlight w:val="yellow"/>
          <w:u w:val="single"/>
        </w:rPr>
      </w:pPr>
      <w:r w:rsidRPr="0057470D">
        <w:rPr>
          <w:rFonts w:ascii="Cambria" w:hAnsi="Cambria"/>
          <w:b/>
          <w:sz w:val="20"/>
          <w:szCs w:val="20"/>
        </w:rPr>
        <w:t>Travaux du SCRS et demande d’avis scientifique</w:t>
      </w:r>
    </w:p>
    <w:p w14:paraId="13110D62" w14:textId="77777777" w:rsidR="006A1BDD" w:rsidRPr="0057470D" w:rsidRDefault="006A1BDD" w:rsidP="006A1BDD">
      <w:pPr>
        <w:widowControl w:val="0"/>
        <w:autoSpaceDE w:val="0"/>
        <w:autoSpaceDN w:val="0"/>
        <w:ind w:left="141" w:hanging="141"/>
        <w:outlineLvl w:val="0"/>
        <w:rPr>
          <w:rFonts w:ascii="Cambria" w:eastAsia="Cambria" w:hAnsi="Cambria" w:cs="Cambria"/>
          <w:b/>
          <w:bCs/>
          <w:sz w:val="20"/>
          <w:szCs w:val="20"/>
        </w:rPr>
      </w:pPr>
    </w:p>
    <w:p w14:paraId="103B2A51" w14:textId="77777777" w:rsidR="006A1BDD" w:rsidRPr="0057470D" w:rsidRDefault="006A1BDD" w:rsidP="001D3F4A">
      <w:pPr>
        <w:widowControl w:val="0"/>
        <w:numPr>
          <w:ilvl w:val="0"/>
          <w:numId w:val="46"/>
        </w:numPr>
        <w:tabs>
          <w:tab w:val="left" w:pos="426"/>
        </w:tabs>
        <w:autoSpaceDE w:val="0"/>
        <w:autoSpaceDN w:val="0"/>
        <w:ind w:right="2"/>
        <w:jc w:val="both"/>
        <w:rPr>
          <w:rFonts w:ascii="Cambria" w:eastAsia="Cambria" w:hAnsi="Cambria" w:cs="Cambria"/>
          <w:sz w:val="20"/>
          <w:szCs w:val="20"/>
        </w:rPr>
      </w:pPr>
      <w:r w:rsidRPr="0057470D">
        <w:rPr>
          <w:rFonts w:ascii="Cambria" w:hAnsi="Cambria"/>
          <w:sz w:val="20"/>
          <w:szCs w:val="20"/>
        </w:rPr>
        <w:t>Le SCRS devra poursuivre ses travaux pour améliorer davantage les initiatives de collecte des données dans le cadre du Programme de ICCAT de recherche intensive sur les istiophoridés afin de solutionner les problèmes de lacunes en matière de données que connaissent ces pêcheries, notamment les pêcheries artisanales des CPC en développement, afin d’éclairer les futures décisions de la Commission.</w:t>
      </w:r>
    </w:p>
    <w:p w14:paraId="48D3245E" w14:textId="77777777" w:rsidR="006A1BDD" w:rsidRPr="0057470D" w:rsidRDefault="006A1BDD" w:rsidP="006A1BDD">
      <w:pPr>
        <w:widowControl w:val="0"/>
        <w:autoSpaceDE w:val="0"/>
        <w:autoSpaceDN w:val="0"/>
        <w:ind w:right="2"/>
        <w:jc w:val="both"/>
        <w:rPr>
          <w:rFonts w:ascii="Cambria" w:eastAsia="Cambria" w:hAnsi="Cambria" w:cs="Cambria"/>
          <w:sz w:val="20"/>
          <w:szCs w:val="20"/>
        </w:rPr>
      </w:pPr>
    </w:p>
    <w:p w14:paraId="6726F3CD" w14:textId="77777777" w:rsidR="006A1BDD" w:rsidRPr="0057470D" w:rsidRDefault="006A1BDD" w:rsidP="001D3F4A">
      <w:pPr>
        <w:widowControl w:val="0"/>
        <w:numPr>
          <w:ilvl w:val="0"/>
          <w:numId w:val="46"/>
        </w:numPr>
        <w:tabs>
          <w:tab w:val="left" w:pos="426"/>
        </w:tabs>
        <w:autoSpaceDE w:val="0"/>
        <w:autoSpaceDN w:val="0"/>
        <w:ind w:left="426" w:right="2" w:hanging="426"/>
        <w:jc w:val="both"/>
        <w:rPr>
          <w:rFonts w:ascii="Cambria" w:eastAsia="Cambria" w:hAnsi="Cambria" w:cs="Cambria"/>
          <w:sz w:val="20"/>
          <w:szCs w:val="20"/>
        </w:rPr>
      </w:pPr>
      <w:r w:rsidRPr="0057470D">
        <w:rPr>
          <w:rFonts w:ascii="Cambria" w:hAnsi="Cambria"/>
          <w:sz w:val="20"/>
          <w:szCs w:val="20"/>
        </w:rPr>
        <w:t>Le Secrétariat, avec l'appui de la Commission et du SCRS, devra poursuivre son examen des travaux pertinents réalisés par les organisations régionales et sous-régionales internationales, similaire à l'examen mené pour l'Afrique de l'Ouest, en se concentrant en priorité sur les Caraïbes et l'Amérique latine. Le Secrétariat et les CPC sont également encouragés à collaborer avec la Commission des pêcheries de l'Atlantique Centre-Ouest (COPACO) sur les statistiques de pêche des espèces relevant de l’ICCAT.</w:t>
      </w:r>
    </w:p>
    <w:p w14:paraId="5C63EE84" w14:textId="77777777" w:rsidR="006A1BDD" w:rsidRPr="0057470D" w:rsidRDefault="006A1BDD" w:rsidP="006A1BDD">
      <w:pPr>
        <w:widowControl w:val="0"/>
        <w:autoSpaceDE w:val="0"/>
        <w:autoSpaceDN w:val="0"/>
        <w:ind w:right="2"/>
        <w:jc w:val="both"/>
        <w:rPr>
          <w:rFonts w:ascii="Cambria" w:eastAsia="Cambria" w:hAnsi="Cambria" w:cs="Cambria"/>
          <w:sz w:val="20"/>
          <w:szCs w:val="20"/>
        </w:rPr>
      </w:pPr>
    </w:p>
    <w:p w14:paraId="00C21F24" w14:textId="77777777" w:rsidR="006A1BDD" w:rsidRPr="0057470D" w:rsidRDefault="006A1BDD" w:rsidP="006A1BDD">
      <w:pPr>
        <w:widowControl w:val="0"/>
        <w:autoSpaceDE w:val="0"/>
        <w:autoSpaceDN w:val="0"/>
        <w:ind w:left="426" w:right="2"/>
        <w:jc w:val="both"/>
        <w:rPr>
          <w:rFonts w:ascii="Cambria" w:eastAsia="Cambria" w:hAnsi="Cambria" w:cs="Cambria"/>
          <w:sz w:val="20"/>
          <w:szCs w:val="20"/>
        </w:rPr>
      </w:pPr>
      <w:r w:rsidRPr="0057470D">
        <w:rPr>
          <w:rFonts w:ascii="Cambria" w:hAnsi="Cambria"/>
          <w:sz w:val="20"/>
          <w:szCs w:val="20"/>
        </w:rPr>
        <w:t>Compte tenu des conclusions de ces examens régionaux, les CPC devront prendre des mesures, en tant que de besoin, pour améliorer les programmes de collecte et de déclaration des données conformément à tout avis formulé par le SCRS en vue de la préparation des prochaines évaluations du stock de makaire blanc/makaire épée et du stock de makaire bleu.</w:t>
      </w:r>
    </w:p>
    <w:p w14:paraId="32314BBF" w14:textId="77777777" w:rsidR="006A1BDD" w:rsidRPr="0057470D" w:rsidRDefault="006A1BDD" w:rsidP="006A1BDD">
      <w:pPr>
        <w:widowControl w:val="0"/>
        <w:autoSpaceDE w:val="0"/>
        <w:autoSpaceDN w:val="0"/>
        <w:ind w:left="426" w:right="2"/>
        <w:jc w:val="both"/>
        <w:rPr>
          <w:rFonts w:ascii="Cambria" w:eastAsia="Cambria" w:hAnsi="Cambria" w:cs="Cambria"/>
          <w:sz w:val="20"/>
          <w:szCs w:val="20"/>
        </w:rPr>
      </w:pPr>
    </w:p>
    <w:p w14:paraId="1C68C155" w14:textId="77777777" w:rsidR="008A22D9" w:rsidRDefault="008A22D9">
      <w:pPr>
        <w:spacing w:after="160" w:line="259" w:lineRule="auto"/>
        <w:rPr>
          <w:rFonts w:ascii="Cambria" w:hAnsi="Cambria"/>
          <w:sz w:val="20"/>
          <w:szCs w:val="20"/>
          <w:highlight w:val="yellow"/>
        </w:rPr>
      </w:pPr>
      <w:r>
        <w:rPr>
          <w:rFonts w:ascii="Cambria" w:hAnsi="Cambria"/>
          <w:sz w:val="20"/>
          <w:szCs w:val="20"/>
          <w:highlight w:val="yellow"/>
        </w:rPr>
        <w:br w:type="page"/>
      </w:r>
    </w:p>
    <w:p w14:paraId="42DC1142" w14:textId="115F9F23" w:rsidR="007B6643" w:rsidRPr="0057470D" w:rsidRDefault="007B6643" w:rsidP="00EB0AC9">
      <w:pPr>
        <w:widowControl w:val="0"/>
        <w:autoSpaceDE w:val="0"/>
        <w:autoSpaceDN w:val="0"/>
        <w:ind w:hanging="426"/>
        <w:jc w:val="both"/>
        <w:rPr>
          <w:rFonts w:ascii="Cambria" w:eastAsia="Cambria" w:hAnsi="Cambria" w:cs="Cambria"/>
          <w:sz w:val="20"/>
          <w:szCs w:val="20"/>
          <w:highlight w:val="yellow"/>
        </w:rPr>
      </w:pPr>
      <w:r w:rsidRPr="0057470D">
        <w:rPr>
          <w:rFonts w:ascii="Cambria" w:hAnsi="Cambria"/>
          <w:sz w:val="20"/>
          <w:szCs w:val="20"/>
          <w:highlight w:val="yellow"/>
        </w:rPr>
        <w:lastRenderedPageBreak/>
        <w:t>[…]</w:t>
      </w:r>
    </w:p>
    <w:p w14:paraId="2B854BB0" w14:textId="77777777" w:rsidR="007B6643" w:rsidRPr="0057470D" w:rsidRDefault="007B6643" w:rsidP="007B6643">
      <w:pPr>
        <w:widowControl w:val="0"/>
        <w:autoSpaceDE w:val="0"/>
        <w:autoSpaceDN w:val="0"/>
        <w:ind w:hanging="426"/>
        <w:jc w:val="both"/>
        <w:rPr>
          <w:rFonts w:ascii="Cambria" w:eastAsia="Cambria" w:hAnsi="Cambria" w:cs="Cambria"/>
          <w:sz w:val="20"/>
          <w:szCs w:val="20"/>
          <w:highlight w:val="yellow"/>
        </w:rPr>
      </w:pPr>
      <w:r w:rsidRPr="0057470D">
        <w:rPr>
          <w:rFonts w:ascii="Cambria" w:hAnsi="Cambria"/>
          <w:sz w:val="20"/>
          <w:szCs w:val="20"/>
          <w:highlight w:val="yellow"/>
        </w:rPr>
        <w:t>[…]</w:t>
      </w:r>
    </w:p>
    <w:p w14:paraId="30E833DB" w14:textId="77777777" w:rsidR="007B6643" w:rsidRPr="0057470D" w:rsidRDefault="007B6643" w:rsidP="007B6643">
      <w:pPr>
        <w:widowControl w:val="0"/>
        <w:autoSpaceDE w:val="0"/>
        <w:autoSpaceDN w:val="0"/>
        <w:ind w:hanging="426"/>
        <w:jc w:val="both"/>
        <w:rPr>
          <w:rFonts w:ascii="Cambria" w:eastAsia="Cambria" w:hAnsi="Cambria" w:cs="Cambria"/>
          <w:sz w:val="20"/>
          <w:szCs w:val="20"/>
          <w:highlight w:val="yellow"/>
        </w:rPr>
      </w:pPr>
      <w:r w:rsidRPr="0057470D">
        <w:rPr>
          <w:rFonts w:ascii="Cambria" w:hAnsi="Cambria"/>
          <w:sz w:val="20"/>
          <w:szCs w:val="20"/>
          <w:highlight w:val="yellow"/>
        </w:rPr>
        <w:t>[…]</w:t>
      </w:r>
    </w:p>
    <w:p w14:paraId="71007112" w14:textId="77777777" w:rsidR="006A1BDD" w:rsidRPr="0057470D" w:rsidRDefault="006A1BDD" w:rsidP="006A1BDD">
      <w:pPr>
        <w:widowControl w:val="0"/>
        <w:autoSpaceDE w:val="0"/>
        <w:autoSpaceDN w:val="0"/>
        <w:spacing w:before="2"/>
        <w:rPr>
          <w:rFonts w:ascii="Cambria" w:eastAsia="Cambria" w:hAnsi="Cambria" w:cs="Cambria"/>
          <w:sz w:val="20"/>
          <w:szCs w:val="20"/>
        </w:rPr>
      </w:pPr>
    </w:p>
    <w:p w14:paraId="38FEA5AB" w14:textId="22195045" w:rsidR="006A1BDD" w:rsidRPr="0057470D" w:rsidRDefault="006A1BDD" w:rsidP="001D3F4A">
      <w:pPr>
        <w:widowControl w:val="0"/>
        <w:numPr>
          <w:ilvl w:val="0"/>
          <w:numId w:val="46"/>
        </w:numPr>
        <w:tabs>
          <w:tab w:val="left" w:pos="426"/>
        </w:tabs>
        <w:autoSpaceDE w:val="0"/>
        <w:autoSpaceDN w:val="0"/>
        <w:ind w:left="426" w:right="2" w:hanging="426"/>
        <w:jc w:val="both"/>
        <w:rPr>
          <w:rFonts w:ascii="Cambria" w:eastAsia="Cambria" w:hAnsi="Cambria" w:cs="Cambria"/>
          <w:spacing w:val="-2"/>
          <w:sz w:val="20"/>
          <w:szCs w:val="20"/>
          <w:highlight w:val="yellow"/>
          <w:u w:val="single"/>
        </w:rPr>
      </w:pPr>
      <w:r w:rsidRPr="0057470D">
        <w:rPr>
          <w:rFonts w:ascii="Cambria" w:hAnsi="Cambria"/>
          <w:sz w:val="20"/>
          <w:szCs w:val="20"/>
        </w:rPr>
        <w:t xml:space="preserve">Le SCRS devra, en collaboration avec les CPC, étudier les changements techniques potentiels à l'engin terminal (tels que la forme de l'hameçon, la taille de l'hameçon, le type de bas de ligne, etc.) et les pratiques de pêche (par exemple, le moment, le temps d’immersion, les appâts, les profondeurs, les zones) qui pourraient réduire les prises accessoires et la mortalité de celles-ci (à bord du navire et après la remise à l'eau). Les </w:t>
      </w:r>
      <w:r w:rsidRPr="0057470D">
        <w:rPr>
          <w:rFonts w:ascii="Cambria" w:hAnsi="Cambria"/>
          <w:sz w:val="20"/>
          <w:szCs w:val="20"/>
          <w:u w:val="single"/>
        </w:rPr>
        <w:t>études</w:t>
      </w:r>
      <w:r w:rsidRPr="0057470D">
        <w:rPr>
          <w:rFonts w:ascii="Cambria" w:hAnsi="Cambria"/>
          <w:sz w:val="20"/>
          <w:szCs w:val="20"/>
        </w:rPr>
        <w:t xml:space="preserve"> devraient tenir compte de l'influence des types de matériaux du bas de ligne et tenir compte des différences opérationnelles potentielles entre les régions et les flottilles.</w:t>
      </w:r>
    </w:p>
    <w:p w14:paraId="1C265AC7" w14:textId="77777777" w:rsidR="006A1BDD" w:rsidRPr="0057470D" w:rsidRDefault="006A1BDD" w:rsidP="006A1BDD">
      <w:pPr>
        <w:widowControl w:val="0"/>
        <w:tabs>
          <w:tab w:val="left" w:pos="426"/>
        </w:tabs>
        <w:autoSpaceDE w:val="0"/>
        <w:autoSpaceDN w:val="0"/>
        <w:ind w:left="426" w:right="2" w:hanging="426"/>
        <w:jc w:val="both"/>
        <w:rPr>
          <w:rFonts w:ascii="Cambria" w:eastAsia="Cambria" w:hAnsi="Cambria" w:cs="Cambria"/>
          <w:sz w:val="20"/>
          <w:szCs w:val="20"/>
          <w:highlight w:val="yellow"/>
          <w:u w:val="single"/>
        </w:rPr>
      </w:pPr>
    </w:p>
    <w:p w14:paraId="5D16CDA3" w14:textId="014AF5CE" w:rsidR="006A1BDD" w:rsidRPr="0057470D" w:rsidRDefault="006A1BDD" w:rsidP="001D3F4A">
      <w:pPr>
        <w:widowControl w:val="0"/>
        <w:numPr>
          <w:ilvl w:val="0"/>
          <w:numId w:val="46"/>
        </w:numPr>
        <w:tabs>
          <w:tab w:val="left" w:pos="426"/>
        </w:tabs>
        <w:autoSpaceDE w:val="0"/>
        <w:autoSpaceDN w:val="0"/>
        <w:ind w:left="426" w:right="2" w:hanging="426"/>
        <w:jc w:val="both"/>
        <w:rPr>
          <w:rFonts w:ascii="Cambria" w:eastAsia="Cambria" w:hAnsi="Cambria" w:cs="Cambria"/>
          <w:sz w:val="20"/>
          <w:szCs w:val="20"/>
          <w:highlight w:val="yellow"/>
        </w:rPr>
      </w:pPr>
      <w:r w:rsidRPr="0057470D">
        <w:rPr>
          <w:rFonts w:ascii="Cambria" w:hAnsi="Cambria"/>
          <w:sz w:val="20"/>
          <w:szCs w:val="20"/>
        </w:rPr>
        <w:t xml:space="preserve">Le SCRS devra effectuer des évaluations du makaire bleu en </w:t>
      </w:r>
      <w:r w:rsidRPr="0057470D">
        <w:rPr>
          <w:rFonts w:ascii="Cambria" w:hAnsi="Cambria"/>
          <w:sz w:val="20"/>
          <w:szCs w:val="20"/>
          <w:u w:val="single"/>
        </w:rPr>
        <w:t xml:space="preserve">20XX </w:t>
      </w:r>
      <w:r w:rsidRPr="0057470D">
        <w:rPr>
          <w:rFonts w:ascii="Cambria" w:hAnsi="Cambria"/>
          <w:sz w:val="20"/>
          <w:szCs w:val="20"/>
        </w:rPr>
        <w:t xml:space="preserve">et du makaire blanc/makaire épée en </w:t>
      </w:r>
      <w:r w:rsidRPr="0057470D">
        <w:rPr>
          <w:rFonts w:ascii="Cambria" w:hAnsi="Cambria"/>
          <w:sz w:val="20"/>
          <w:szCs w:val="20"/>
          <w:u w:val="single"/>
        </w:rPr>
        <w:t>20XX</w:t>
      </w:r>
      <w:r w:rsidRPr="0057470D">
        <w:rPr>
          <w:rFonts w:ascii="Cambria" w:hAnsi="Cambria"/>
          <w:sz w:val="20"/>
          <w:szCs w:val="20"/>
        </w:rPr>
        <w:t>.</w:t>
      </w:r>
    </w:p>
    <w:p w14:paraId="4EDBD69B" w14:textId="77777777" w:rsidR="006A1BDD" w:rsidRPr="0057470D" w:rsidRDefault="006A1BDD" w:rsidP="006A1BDD">
      <w:pPr>
        <w:rPr>
          <w:rFonts w:ascii="Cambria" w:hAnsi="Cambria"/>
          <w:sz w:val="20"/>
          <w:szCs w:val="20"/>
          <w:highlight w:val="yellow"/>
        </w:rPr>
      </w:pPr>
    </w:p>
    <w:p w14:paraId="62C4E3D4" w14:textId="77777777" w:rsidR="006A1BDD" w:rsidRPr="0057470D" w:rsidRDefault="006A1BDD" w:rsidP="006A1BDD">
      <w:pPr>
        <w:widowControl w:val="0"/>
        <w:autoSpaceDE w:val="0"/>
        <w:autoSpaceDN w:val="0"/>
        <w:ind w:left="141" w:hanging="141"/>
        <w:outlineLvl w:val="0"/>
        <w:rPr>
          <w:rFonts w:ascii="Cambria" w:eastAsia="Cambria" w:hAnsi="Cambria" w:cs="Cambria"/>
          <w:b/>
          <w:bCs/>
          <w:sz w:val="20"/>
          <w:szCs w:val="20"/>
        </w:rPr>
      </w:pPr>
      <w:r w:rsidRPr="0057470D">
        <w:rPr>
          <w:rFonts w:ascii="Cambria" w:hAnsi="Cambria"/>
          <w:b/>
          <w:sz w:val="20"/>
          <w:szCs w:val="20"/>
        </w:rPr>
        <w:t>Application</w:t>
      </w:r>
    </w:p>
    <w:p w14:paraId="36652EF5" w14:textId="77777777" w:rsidR="006A1BDD" w:rsidRPr="0057470D" w:rsidRDefault="006A1BDD" w:rsidP="006A1BDD">
      <w:pPr>
        <w:widowControl w:val="0"/>
        <w:autoSpaceDE w:val="0"/>
        <w:autoSpaceDN w:val="0"/>
        <w:rPr>
          <w:rFonts w:ascii="Cambria" w:eastAsia="Cambria" w:hAnsi="Cambria" w:cs="Cambria"/>
          <w:b/>
          <w:sz w:val="20"/>
          <w:szCs w:val="20"/>
          <w:lang w:eastAsia="en-US"/>
        </w:rPr>
      </w:pPr>
    </w:p>
    <w:p w14:paraId="62C738E8" w14:textId="144EF887" w:rsidR="006A1BDD" w:rsidRPr="0057470D" w:rsidRDefault="006A1BDD" w:rsidP="001D3F4A">
      <w:pPr>
        <w:widowControl w:val="0"/>
        <w:numPr>
          <w:ilvl w:val="0"/>
          <w:numId w:val="46"/>
        </w:numPr>
        <w:tabs>
          <w:tab w:val="left" w:pos="426"/>
        </w:tabs>
        <w:autoSpaceDE w:val="0"/>
        <w:autoSpaceDN w:val="0"/>
        <w:ind w:left="426" w:right="2" w:hanging="426"/>
        <w:jc w:val="both"/>
        <w:rPr>
          <w:rFonts w:ascii="Cambria" w:eastAsia="Cambria" w:hAnsi="Cambria" w:cs="Cambria"/>
          <w:sz w:val="20"/>
          <w:szCs w:val="20"/>
          <w:u w:val="single"/>
        </w:rPr>
      </w:pPr>
      <w:r w:rsidRPr="0057470D">
        <w:rPr>
          <w:rFonts w:ascii="Cambria" w:hAnsi="Cambria"/>
          <w:sz w:val="20"/>
          <w:szCs w:val="20"/>
        </w:rPr>
        <w:t xml:space="preserve">Conformément à la </w:t>
      </w:r>
      <w:r w:rsidRPr="0057470D">
        <w:rPr>
          <w:rFonts w:ascii="Cambria" w:hAnsi="Cambria"/>
          <w:i/>
          <w:iCs/>
          <w:sz w:val="20"/>
          <w:szCs w:val="20"/>
        </w:rPr>
        <w:t>Recommandation de l’ICCAT en vue d’améliorer l’examen de l’application des mesures de conservation et de gestion s’appliquant aux istiophoridés capturés dans la zone de la Convention de l’ICCAT</w:t>
      </w:r>
      <w:r w:rsidRPr="0057470D">
        <w:rPr>
          <w:rFonts w:ascii="Cambria" w:hAnsi="Cambria"/>
          <w:sz w:val="20"/>
          <w:szCs w:val="20"/>
        </w:rPr>
        <w:t xml:space="preserve"> (Rec. 18-05), les CPC devront fournir des détails sur la mise en œuvre de cette mesure par le biais de lois ou de réglementations nationales, y compris des mesures de suivi, de contrôle et de surveillance, et sur leur application de cette mesure au moyen de la feuille de contrôle des mesures s’appliquant aux istiophoridés.</w:t>
      </w:r>
    </w:p>
    <w:p w14:paraId="0FDEF633" w14:textId="77777777" w:rsidR="006A1BDD" w:rsidRPr="0057470D" w:rsidRDefault="006A1BDD" w:rsidP="006A1BDD">
      <w:pPr>
        <w:widowControl w:val="0"/>
        <w:ind w:right="2"/>
        <w:outlineLvl w:val="0"/>
        <w:rPr>
          <w:rFonts w:ascii="Cambria" w:eastAsia="Cambria" w:hAnsi="Cambria" w:cs="Cambria"/>
          <w:b/>
          <w:bCs/>
          <w:sz w:val="20"/>
          <w:szCs w:val="20"/>
          <w:lang w:eastAsia="en-US"/>
        </w:rPr>
      </w:pPr>
    </w:p>
    <w:p w14:paraId="7797B4CD" w14:textId="77777777" w:rsidR="006A1BDD" w:rsidRPr="0057470D" w:rsidRDefault="006A1BDD" w:rsidP="006A1BDD">
      <w:pPr>
        <w:widowControl w:val="0"/>
        <w:ind w:right="2"/>
        <w:outlineLvl w:val="0"/>
        <w:rPr>
          <w:rFonts w:ascii="Cambria" w:eastAsia="Cambria" w:hAnsi="Cambria" w:cs="Cambria"/>
          <w:b/>
          <w:bCs/>
          <w:sz w:val="20"/>
          <w:szCs w:val="20"/>
        </w:rPr>
      </w:pPr>
      <w:r w:rsidRPr="0057470D">
        <w:rPr>
          <w:rFonts w:ascii="Cambria" w:hAnsi="Cambria"/>
          <w:b/>
          <w:sz w:val="20"/>
          <w:szCs w:val="20"/>
        </w:rPr>
        <w:t>Annulations et clause de révision</w:t>
      </w:r>
    </w:p>
    <w:p w14:paraId="1200181C" w14:textId="77777777" w:rsidR="006A1BDD" w:rsidRPr="0057470D" w:rsidRDefault="006A1BDD" w:rsidP="006A1BDD">
      <w:pPr>
        <w:widowControl w:val="0"/>
        <w:ind w:right="2"/>
        <w:rPr>
          <w:rFonts w:ascii="Cambria" w:eastAsia="Cambria" w:hAnsi="Cambria" w:cs="Cambria"/>
          <w:sz w:val="20"/>
          <w:szCs w:val="20"/>
          <w:lang w:val="en" w:eastAsia="en-US"/>
        </w:rPr>
      </w:pPr>
    </w:p>
    <w:p w14:paraId="28A99269" w14:textId="34A10D9A" w:rsidR="006A1BDD" w:rsidRPr="0057470D" w:rsidRDefault="006A1BDD" w:rsidP="001D3F4A">
      <w:pPr>
        <w:widowControl w:val="0"/>
        <w:numPr>
          <w:ilvl w:val="0"/>
          <w:numId w:val="46"/>
        </w:numPr>
        <w:tabs>
          <w:tab w:val="left" w:pos="426"/>
        </w:tabs>
        <w:autoSpaceDE w:val="0"/>
        <w:autoSpaceDN w:val="0"/>
        <w:ind w:left="426" w:right="2" w:hanging="426"/>
        <w:jc w:val="both"/>
        <w:rPr>
          <w:rFonts w:ascii="Cambria" w:eastAsia="Cambria" w:hAnsi="Cambria" w:cs="Cambria"/>
          <w:color w:val="000000"/>
          <w:sz w:val="20"/>
          <w:szCs w:val="20"/>
        </w:rPr>
      </w:pPr>
      <w:r w:rsidRPr="0057470D">
        <w:rPr>
          <w:rFonts w:ascii="Cambria" w:hAnsi="Cambria"/>
          <w:sz w:val="20"/>
          <w:szCs w:val="20"/>
          <w:u w:val="single"/>
        </w:rPr>
        <w:t xml:space="preserve">La </w:t>
      </w:r>
      <w:r w:rsidRPr="0057470D">
        <w:rPr>
          <w:rFonts w:ascii="Cambria" w:hAnsi="Cambria"/>
          <w:sz w:val="20"/>
          <w:szCs w:val="20"/>
        </w:rPr>
        <w:t xml:space="preserve">Commission devra examiner tout nouvel avis scientifique </w:t>
      </w:r>
      <w:r w:rsidRPr="0057470D">
        <w:rPr>
          <w:rFonts w:ascii="Cambria" w:hAnsi="Cambria"/>
          <w:sz w:val="20"/>
          <w:szCs w:val="20"/>
          <w:u w:val="single"/>
        </w:rPr>
        <w:t>lorsqu'il est disponible</w:t>
      </w:r>
      <w:r w:rsidRPr="0057470D">
        <w:rPr>
          <w:rFonts w:ascii="Cambria" w:hAnsi="Cambria"/>
          <w:sz w:val="20"/>
          <w:szCs w:val="20"/>
        </w:rPr>
        <w:t xml:space="preserve"> du SCRS et envisager des ajustements, tels que l'adoption de mesures de conservation et de gestion supplémentaires ou la révision des limites de débarquement, selon le cas.</w:t>
      </w:r>
    </w:p>
    <w:p w14:paraId="0C628E61" w14:textId="77777777" w:rsidR="006A1BDD" w:rsidRPr="0057470D" w:rsidRDefault="006A1BDD" w:rsidP="006A1BDD">
      <w:pPr>
        <w:widowControl w:val="0"/>
        <w:pBdr>
          <w:top w:val="nil"/>
          <w:left w:val="nil"/>
          <w:bottom w:val="nil"/>
          <w:right w:val="nil"/>
          <w:between w:val="nil"/>
        </w:pBdr>
        <w:ind w:right="2"/>
        <w:rPr>
          <w:rFonts w:ascii="Cambria" w:eastAsia="Cambria" w:hAnsi="Cambria" w:cs="Cambria"/>
          <w:color w:val="000000"/>
          <w:sz w:val="20"/>
          <w:szCs w:val="20"/>
          <w:lang w:eastAsia="en-US"/>
        </w:rPr>
      </w:pPr>
    </w:p>
    <w:p w14:paraId="7AEDFDCD" w14:textId="3BBA1B87" w:rsidR="006A1BDD" w:rsidRPr="0057470D" w:rsidRDefault="006A1BDD" w:rsidP="001D3F4A">
      <w:pPr>
        <w:widowControl w:val="0"/>
        <w:numPr>
          <w:ilvl w:val="0"/>
          <w:numId w:val="46"/>
        </w:numPr>
        <w:tabs>
          <w:tab w:val="left" w:pos="426"/>
        </w:tabs>
        <w:autoSpaceDE w:val="0"/>
        <w:autoSpaceDN w:val="0"/>
        <w:ind w:left="426" w:right="2" w:hanging="426"/>
        <w:jc w:val="both"/>
        <w:rPr>
          <w:rFonts w:ascii="Cambria" w:eastAsia="Cambria" w:hAnsi="Cambria" w:cs="Cambria"/>
          <w:color w:val="000000"/>
          <w:sz w:val="20"/>
          <w:szCs w:val="20"/>
        </w:rPr>
      </w:pPr>
      <w:r w:rsidRPr="0057470D">
        <w:rPr>
          <w:rFonts w:ascii="Cambria" w:hAnsi="Cambria"/>
          <w:sz w:val="20"/>
          <w:szCs w:val="20"/>
        </w:rPr>
        <w:t>La présente Recommandation abroge et remplace</w:t>
      </w:r>
      <w:r w:rsidRPr="0057470D">
        <w:rPr>
          <w:rFonts w:ascii="Cambria" w:hAnsi="Cambria"/>
          <w:sz w:val="20"/>
          <w:szCs w:val="20"/>
          <w:u w:val="single"/>
        </w:rPr>
        <w:t xml:space="preserve"> la</w:t>
      </w:r>
      <w:r w:rsidRPr="0057470D">
        <w:rPr>
          <w:rFonts w:ascii="Cambria" w:hAnsi="Cambria"/>
          <w:i/>
          <w:sz w:val="20"/>
          <w:szCs w:val="20"/>
          <w:u w:val="single"/>
        </w:rPr>
        <w:t xml:space="preserve"> </w:t>
      </w:r>
      <w:r w:rsidRPr="0057470D">
        <w:rPr>
          <w:rFonts w:ascii="Cambria" w:hAnsi="Cambria"/>
          <w:sz w:val="20"/>
          <w:szCs w:val="20"/>
          <w:u w:val="single"/>
        </w:rPr>
        <w:t>Recommandation 19-05 et la</w:t>
      </w:r>
      <w:r w:rsidRPr="0057470D">
        <w:rPr>
          <w:rFonts w:ascii="Cambria" w:hAnsi="Cambria"/>
          <w:i/>
          <w:sz w:val="20"/>
          <w:szCs w:val="20"/>
          <w:u w:val="single"/>
        </w:rPr>
        <w:t xml:space="preserve"> </w:t>
      </w:r>
      <w:r w:rsidRPr="0057470D">
        <w:rPr>
          <w:rFonts w:ascii="Cambria" w:hAnsi="Cambria"/>
          <w:sz w:val="20"/>
          <w:szCs w:val="20"/>
          <w:u w:val="single"/>
        </w:rPr>
        <w:t>Recommandation 25-06.</w:t>
      </w:r>
    </w:p>
    <w:p w14:paraId="172EA01B" w14:textId="77777777" w:rsidR="00EB0AC9" w:rsidRPr="0057470D" w:rsidRDefault="00EB0AC9" w:rsidP="00EB0AC9">
      <w:pPr>
        <w:pStyle w:val="ListParagraph"/>
        <w:rPr>
          <w:rFonts w:ascii="Cambria" w:eastAsia="Cambria" w:hAnsi="Cambria" w:cs="Cambria"/>
          <w:color w:val="000000"/>
          <w:sz w:val="20"/>
          <w:szCs w:val="20"/>
          <w:lang w:eastAsia="en-US"/>
        </w:rPr>
      </w:pPr>
    </w:p>
    <w:p w14:paraId="3BFCD69C" w14:textId="77777777" w:rsidR="00EB0AC9" w:rsidRPr="0057470D" w:rsidRDefault="00EB0AC9" w:rsidP="00C52C41">
      <w:pPr>
        <w:widowControl w:val="0"/>
        <w:numPr>
          <w:ilvl w:val="0"/>
          <w:numId w:val="59"/>
        </w:numPr>
        <w:pBdr>
          <w:top w:val="nil"/>
          <w:left w:val="nil"/>
          <w:bottom w:val="nil"/>
          <w:right w:val="nil"/>
          <w:between w:val="nil"/>
        </w:pBdr>
        <w:tabs>
          <w:tab w:val="left" w:pos="426"/>
        </w:tabs>
        <w:ind w:right="2"/>
        <w:jc w:val="both"/>
        <w:rPr>
          <w:rFonts w:ascii="Cambria" w:eastAsia="Cambria" w:hAnsi="Cambria" w:cs="Cambria"/>
          <w:color w:val="000000"/>
          <w:sz w:val="20"/>
          <w:szCs w:val="20"/>
          <w:lang w:eastAsia="en-US"/>
        </w:rPr>
        <w:sectPr w:rsidR="00EB0AC9" w:rsidRPr="0057470D" w:rsidSect="00C45A1B">
          <w:headerReference w:type="default" r:id="rId8"/>
          <w:footerReference w:type="default" r:id="rId9"/>
          <w:footnotePr>
            <w:numRestart w:val="eachSect"/>
          </w:footnotePr>
          <w:pgSz w:w="11910" w:h="16840" w:code="9"/>
          <w:pgMar w:top="1418" w:right="1418" w:bottom="1418" w:left="1418" w:header="851" w:footer="1134" w:gutter="0"/>
          <w:cols w:space="720"/>
        </w:sectPr>
      </w:pPr>
    </w:p>
    <w:p w14:paraId="6DC2016D" w14:textId="77777777" w:rsidR="006A1BDD" w:rsidRPr="0057470D" w:rsidRDefault="006A1BDD" w:rsidP="006A1BDD">
      <w:pPr>
        <w:widowControl w:val="0"/>
        <w:spacing w:before="79"/>
        <w:ind w:right="2"/>
        <w:jc w:val="right"/>
        <w:outlineLvl w:val="0"/>
        <w:rPr>
          <w:rFonts w:ascii="Cambria" w:eastAsia="Cambria" w:hAnsi="Cambria" w:cs="Cambria"/>
          <w:b/>
          <w:bCs/>
          <w:sz w:val="20"/>
          <w:szCs w:val="20"/>
        </w:rPr>
      </w:pPr>
      <w:r w:rsidRPr="0057470D">
        <w:rPr>
          <w:rFonts w:ascii="Cambria" w:hAnsi="Cambria"/>
          <w:b/>
          <w:sz w:val="20"/>
          <w:szCs w:val="20"/>
        </w:rPr>
        <w:lastRenderedPageBreak/>
        <w:t>Appendice 1</w:t>
      </w:r>
    </w:p>
    <w:p w14:paraId="46BD9BDF" w14:textId="77777777" w:rsidR="006A1BDD" w:rsidRPr="0057470D" w:rsidRDefault="006A1BDD" w:rsidP="006A1BDD">
      <w:pPr>
        <w:widowControl w:val="0"/>
        <w:pBdr>
          <w:top w:val="nil"/>
          <w:left w:val="nil"/>
          <w:bottom w:val="nil"/>
          <w:right w:val="nil"/>
          <w:between w:val="nil"/>
        </w:pBdr>
        <w:spacing w:before="6"/>
        <w:rPr>
          <w:rFonts w:ascii="Cambria" w:eastAsia="Cambria" w:hAnsi="Cambria" w:cs="Cambria"/>
          <w:b/>
          <w:bCs/>
          <w:color w:val="000000"/>
          <w:sz w:val="20"/>
          <w:szCs w:val="20"/>
          <w:lang w:eastAsia="en-US"/>
        </w:rPr>
      </w:pPr>
    </w:p>
    <w:p w14:paraId="73119BCA" w14:textId="77777777" w:rsidR="006A1BDD" w:rsidRPr="0057470D" w:rsidRDefault="006A1BDD" w:rsidP="006A1BDD">
      <w:pPr>
        <w:widowControl w:val="0"/>
        <w:spacing w:before="1"/>
        <w:ind w:right="132"/>
        <w:jc w:val="center"/>
        <w:rPr>
          <w:rFonts w:ascii="Cambria" w:eastAsia="Cambria" w:hAnsi="Cambria" w:cs="Cambria"/>
          <w:b/>
          <w:bCs/>
          <w:sz w:val="20"/>
          <w:szCs w:val="20"/>
          <w:vertAlign w:val="superscript"/>
        </w:rPr>
      </w:pPr>
      <w:r w:rsidRPr="0057470D">
        <w:rPr>
          <w:rFonts w:ascii="Cambria" w:hAnsi="Cambria"/>
          <w:b/>
          <w:sz w:val="20"/>
          <w:szCs w:val="20"/>
        </w:rPr>
        <w:t>Normes minimales des procédures de manipulation et de remise à l'eau en toute sécurité des spécimens vivants</w:t>
      </w:r>
      <w:r w:rsidRPr="0057470D">
        <w:rPr>
          <w:rFonts w:ascii="Cambria" w:eastAsia="Cambria" w:hAnsi="Cambria" w:cs="Cambria"/>
          <w:b/>
          <w:bCs/>
          <w:sz w:val="20"/>
          <w:szCs w:val="20"/>
          <w:vertAlign w:val="superscript"/>
          <w:lang w:val="en" w:eastAsia="en-US"/>
        </w:rPr>
        <w:footnoteReference w:id="3"/>
      </w:r>
    </w:p>
    <w:p w14:paraId="0592962A" w14:textId="77777777" w:rsidR="006A1BDD" w:rsidRPr="0057470D" w:rsidRDefault="006A1BDD" w:rsidP="006A1BDD">
      <w:pPr>
        <w:widowControl w:val="0"/>
        <w:pBdr>
          <w:top w:val="nil"/>
          <w:left w:val="nil"/>
          <w:bottom w:val="nil"/>
          <w:right w:val="nil"/>
          <w:between w:val="nil"/>
        </w:pBdr>
        <w:spacing w:before="6"/>
        <w:rPr>
          <w:rFonts w:ascii="Cambria" w:eastAsia="Cambria" w:hAnsi="Cambria" w:cs="Cambria"/>
          <w:b/>
          <w:bCs/>
          <w:color w:val="000000"/>
          <w:sz w:val="20"/>
          <w:szCs w:val="20"/>
          <w:lang w:eastAsia="en-US"/>
        </w:rPr>
      </w:pPr>
    </w:p>
    <w:p w14:paraId="63976D72" w14:textId="77777777" w:rsidR="006A1BDD" w:rsidRPr="0057470D" w:rsidRDefault="006A1BDD" w:rsidP="006A1BDD">
      <w:pPr>
        <w:widowControl w:val="0"/>
        <w:pBdr>
          <w:top w:val="nil"/>
          <w:left w:val="nil"/>
          <w:bottom w:val="nil"/>
          <w:right w:val="nil"/>
          <w:between w:val="nil"/>
        </w:pBdr>
        <w:spacing w:line="242" w:lineRule="auto"/>
        <w:ind w:right="2"/>
        <w:jc w:val="both"/>
        <w:rPr>
          <w:rFonts w:ascii="Cambria" w:eastAsia="Cambria" w:hAnsi="Cambria" w:cs="Cambria"/>
          <w:color w:val="000000"/>
          <w:sz w:val="20"/>
          <w:szCs w:val="20"/>
        </w:rPr>
      </w:pPr>
      <w:r w:rsidRPr="0057470D">
        <w:rPr>
          <w:rFonts w:ascii="Cambria" w:hAnsi="Cambria"/>
          <w:color w:val="000000"/>
          <w:sz w:val="20"/>
          <w:szCs w:val="20"/>
        </w:rPr>
        <w:t>Les étapes suivantes devraient être suivies pour réduire le stress et les blessures aux spécimens de makaires et de makaires épées capturés accidentellement pour atteindre une probabilité de survie maximale tout en minimisant le risque pour la sécurité de l'équipage. Les capitaines et les membres d'équipage devraient toujours mettre leur sécurité personnelle au premier plan lorsqu'ils remettent à l'eau des makaires et d'autres gros poissons. Ils devraient porter des gants et éviter de travailler autour du rostre en forme de lance. Ces directives de base ne remplacent pas les règles de sécurité plus strictes établies par les autorités nationales des CPC.</w:t>
      </w:r>
    </w:p>
    <w:p w14:paraId="434EA45A" w14:textId="77777777" w:rsidR="006A1BDD" w:rsidRPr="0057470D" w:rsidRDefault="006A1BDD" w:rsidP="006A1BDD">
      <w:pPr>
        <w:widowControl w:val="0"/>
        <w:pBdr>
          <w:top w:val="nil"/>
          <w:left w:val="nil"/>
          <w:bottom w:val="nil"/>
          <w:right w:val="nil"/>
          <w:between w:val="nil"/>
        </w:pBdr>
        <w:spacing w:before="7"/>
        <w:rPr>
          <w:rFonts w:ascii="Cambria" w:eastAsia="Cambria" w:hAnsi="Cambria" w:cs="Cambria"/>
          <w:color w:val="000000"/>
          <w:sz w:val="20"/>
          <w:szCs w:val="20"/>
          <w:lang w:eastAsia="en-US"/>
        </w:rPr>
      </w:pPr>
    </w:p>
    <w:p w14:paraId="3B03E6CA"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ourier New" w:hAnsi="Cambria" w:cs="Courier New"/>
          <w:color w:val="000000"/>
          <w:sz w:val="20"/>
          <w:szCs w:val="20"/>
        </w:rPr>
      </w:pPr>
      <w:r w:rsidRPr="0057470D">
        <w:rPr>
          <w:rFonts w:ascii="Cambria" w:hAnsi="Cambria"/>
          <w:color w:val="000000"/>
          <w:sz w:val="20"/>
          <w:szCs w:val="20"/>
        </w:rPr>
        <w:t>Arrêter le bateau ou réduire considérablement sa vitesse.</w:t>
      </w:r>
    </w:p>
    <w:p w14:paraId="1FB9A1E9"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ourier New" w:hAnsi="Cambria" w:cs="Courier New"/>
          <w:color w:val="000000"/>
          <w:sz w:val="20"/>
          <w:szCs w:val="20"/>
        </w:rPr>
      </w:pPr>
      <w:r w:rsidRPr="0057470D">
        <w:rPr>
          <w:rFonts w:ascii="Cambria" w:hAnsi="Cambria"/>
          <w:color w:val="000000"/>
          <w:sz w:val="20"/>
          <w:szCs w:val="20"/>
        </w:rPr>
        <w:t>Fixer l'autre côté de la ligne principale de la palangre au bateau pour éviter que tout engin restant dans l'eau ne tire sur la ligne et l'animal.</w:t>
      </w:r>
    </w:p>
    <w:p w14:paraId="2F8528E9"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ourier New" w:hAnsi="Cambria" w:cs="Courier New"/>
          <w:color w:val="000000"/>
          <w:sz w:val="20"/>
          <w:szCs w:val="20"/>
        </w:rPr>
      </w:pPr>
      <w:r w:rsidRPr="0057470D">
        <w:rPr>
          <w:rFonts w:ascii="Cambria" w:hAnsi="Cambria"/>
          <w:color w:val="000000"/>
          <w:sz w:val="20"/>
          <w:szCs w:val="20"/>
        </w:rPr>
        <w:t>Amener le makaire le plus près possible du bateau sans trop mettre de tension sur l’avançon pour éviter qu'un hameçon relâché ou une cassure d’avançon ne lance à grande vitesse vers le bateau des hameçons, des poids et autres pièces.</w:t>
      </w:r>
    </w:p>
    <w:p w14:paraId="227F2E24"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ourier New" w:hAnsi="Cambria" w:cs="Courier New"/>
          <w:color w:val="000000"/>
          <w:sz w:val="20"/>
          <w:szCs w:val="20"/>
        </w:rPr>
      </w:pPr>
      <w:r w:rsidRPr="0057470D">
        <w:rPr>
          <w:rFonts w:ascii="Cambria" w:hAnsi="Cambria"/>
          <w:color w:val="000000"/>
          <w:sz w:val="20"/>
          <w:szCs w:val="20"/>
        </w:rPr>
        <w:t>Ne pas sortir de l’eau le makaire vivant lorsqu’il est amené le long du bateau, tout en lui retirant l'hameçon en toute sécurité.</w:t>
      </w:r>
    </w:p>
    <w:p w14:paraId="0419D71A"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ourier New" w:hAnsi="Cambria" w:cs="Courier New"/>
          <w:color w:val="000000"/>
          <w:sz w:val="20"/>
          <w:szCs w:val="20"/>
        </w:rPr>
      </w:pPr>
      <w:r w:rsidRPr="0057470D">
        <w:rPr>
          <w:rFonts w:ascii="Cambria" w:hAnsi="Cambria"/>
          <w:color w:val="000000"/>
          <w:sz w:val="20"/>
          <w:szCs w:val="20"/>
        </w:rPr>
        <w:t>Limiter le nombre de manipulations.</w:t>
      </w:r>
    </w:p>
    <w:p w14:paraId="6E5DA083"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ourier New" w:hAnsi="Cambria" w:cs="Courier New"/>
          <w:color w:val="000000"/>
          <w:sz w:val="20"/>
          <w:szCs w:val="20"/>
        </w:rPr>
      </w:pPr>
      <w:r w:rsidRPr="0057470D">
        <w:rPr>
          <w:rFonts w:ascii="Cambria" w:hAnsi="Cambria"/>
          <w:color w:val="000000"/>
          <w:sz w:val="20"/>
          <w:szCs w:val="20"/>
        </w:rPr>
        <w:t>Ne pas gaffer le poisson dans le corps.</w:t>
      </w:r>
    </w:p>
    <w:p w14:paraId="18E3B7E8"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ourier New" w:hAnsi="Cambria" w:cs="Courier New"/>
          <w:color w:val="000000"/>
          <w:sz w:val="20"/>
          <w:szCs w:val="20"/>
        </w:rPr>
      </w:pPr>
      <w:r w:rsidRPr="0057470D">
        <w:rPr>
          <w:rFonts w:ascii="Cambria" w:hAnsi="Cambria"/>
          <w:color w:val="000000"/>
          <w:sz w:val="20"/>
          <w:szCs w:val="20"/>
        </w:rPr>
        <w:t>Si possible, éviter de saisir le makaire par le corps et utiliser des gants pour saisir le makaire par son museau.</w:t>
      </w:r>
    </w:p>
    <w:p w14:paraId="7312EB90"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ourier New" w:hAnsi="Cambria" w:cs="Courier New"/>
          <w:color w:val="000000"/>
          <w:sz w:val="20"/>
          <w:szCs w:val="20"/>
        </w:rPr>
      </w:pPr>
      <w:r w:rsidRPr="0057470D">
        <w:rPr>
          <w:rFonts w:ascii="Cambria" w:hAnsi="Cambria"/>
          <w:color w:val="000000"/>
          <w:sz w:val="20"/>
          <w:szCs w:val="20"/>
        </w:rPr>
        <w:t>Dans le cas où l’hameçon est visible, agiter légèrement l’avançon pour essayer de déloger l’hameçon.</w:t>
      </w:r>
    </w:p>
    <w:p w14:paraId="37E3DA91"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ourier New" w:hAnsi="Cambria" w:cs="Courier New"/>
          <w:color w:val="000000"/>
          <w:sz w:val="20"/>
          <w:szCs w:val="20"/>
        </w:rPr>
      </w:pPr>
      <w:r w:rsidRPr="0057470D">
        <w:rPr>
          <w:rFonts w:ascii="Cambria" w:hAnsi="Cambria"/>
          <w:color w:val="000000"/>
          <w:sz w:val="20"/>
          <w:szCs w:val="20"/>
        </w:rPr>
        <w:t>Dans la mesure du possible, installer un appareil de mesure pour que les poissons puissent être mesurés grossièrement dans l'eau (p. ex. marquer une perche, un bas de ligne et un flotteur ; marquer le plat-bord du bateau avec des marques de mesure).</w:t>
      </w:r>
    </w:p>
    <w:p w14:paraId="3B44ABB1"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ourier New" w:hAnsi="Cambria" w:cs="Courier New"/>
          <w:color w:val="000000"/>
          <w:sz w:val="20"/>
          <w:szCs w:val="20"/>
        </w:rPr>
      </w:pPr>
      <w:r w:rsidRPr="0057470D">
        <w:rPr>
          <w:rFonts w:ascii="Cambria" w:hAnsi="Cambria"/>
          <w:color w:val="000000"/>
          <w:sz w:val="20"/>
          <w:szCs w:val="20"/>
        </w:rPr>
        <w:t>Si le makaire se tord et tourne vigoureusement, ce qui rend trop dangereux l'utilisation d'un dispositif de retrait de l'hameçon/dégorgeoir, ou si le makaire a avalé l'hameçon qui n'est pas visible, utiliser un coupe-ligne à long manche et couper le bas de ligne/la ligne aussi près du poisson qu’il est possible de le faire en toute sécurité afin qu'il ne traîne pas de grandes quantités de ligne qui pourraient réduire sa survie après la remise à l'eau.</w:t>
      </w:r>
    </w:p>
    <w:p w14:paraId="547B75EC"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ourier New" w:hAnsi="Cambria" w:cs="Courier New"/>
          <w:color w:val="000000"/>
          <w:sz w:val="20"/>
          <w:szCs w:val="20"/>
        </w:rPr>
      </w:pPr>
      <w:r w:rsidRPr="0057470D">
        <w:rPr>
          <w:rFonts w:ascii="Cambria" w:hAnsi="Cambria"/>
          <w:color w:val="000000"/>
          <w:sz w:val="20"/>
          <w:szCs w:val="20"/>
        </w:rPr>
        <w:t>Aider à ranimer le poisson en le remorquant lentement dans l'eau jusqu'à ce que sa couleur ou son énergie revienne (5 minutes ou plus). Pour la plupart des espèces de grands migrateurs, l'eau doit continuer à couler sur leurs branchies pour leur permettre de respirer. Avec le bateau en marche, avancer lentement tout en gardant la tête du poisson dans l'eau.</w:t>
      </w:r>
    </w:p>
    <w:p w14:paraId="1F67C9A9"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ourier New" w:hAnsi="Cambria" w:cs="Courier New"/>
          <w:color w:val="000000"/>
          <w:sz w:val="20"/>
          <w:szCs w:val="20"/>
        </w:rPr>
      </w:pPr>
      <w:r w:rsidRPr="0057470D">
        <w:rPr>
          <w:rFonts w:ascii="Cambria" w:hAnsi="Cambria"/>
          <w:color w:val="000000"/>
          <w:sz w:val="20"/>
          <w:szCs w:val="20"/>
        </w:rPr>
        <w:t>Si l'hameçon est accroché et qu'il est visible dans le corps ou la bouche, utiliser un coupe-boulon pour enlever le barbillon de l’hameçon, puis retirer l’hameçon.</w:t>
      </w:r>
    </w:p>
    <w:p w14:paraId="6BB01396"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ourier New" w:hAnsi="Cambria" w:cs="Courier New"/>
          <w:color w:val="000000"/>
          <w:sz w:val="20"/>
          <w:szCs w:val="20"/>
        </w:rPr>
      </w:pPr>
      <w:r w:rsidRPr="0057470D">
        <w:rPr>
          <w:rFonts w:ascii="Cambria" w:hAnsi="Cambria"/>
          <w:color w:val="000000"/>
          <w:sz w:val="20"/>
          <w:szCs w:val="20"/>
        </w:rPr>
        <w:t>Ne pas enrouler les doigts, les mains ou les bras dans la ligne lorsqu’un makaire est amené vers le bateau - au risque de passer par-dessus bord.</w:t>
      </w:r>
    </w:p>
    <w:p w14:paraId="5CEC4E5D"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ourier New" w:hAnsi="Cambria" w:cs="Courier New"/>
          <w:color w:val="000000"/>
          <w:sz w:val="20"/>
          <w:szCs w:val="20"/>
        </w:rPr>
      </w:pPr>
      <w:r w:rsidRPr="0057470D">
        <w:rPr>
          <w:rFonts w:ascii="Cambria" w:hAnsi="Cambria"/>
          <w:color w:val="000000"/>
          <w:sz w:val="20"/>
          <w:szCs w:val="20"/>
        </w:rPr>
        <w:t>Ne pas le soulever à l'aide de l’avançon, surtout s’il est accroché à l'hameçon.</w:t>
      </w:r>
    </w:p>
    <w:p w14:paraId="70871CC6" w14:textId="77777777" w:rsidR="006A1BDD" w:rsidRPr="0057470D" w:rsidRDefault="006A1BDD" w:rsidP="001D3F4A">
      <w:pPr>
        <w:widowControl w:val="0"/>
        <w:numPr>
          <w:ilvl w:val="0"/>
          <w:numId w:val="47"/>
        </w:numPr>
        <w:pBdr>
          <w:top w:val="nil"/>
          <w:left w:val="nil"/>
          <w:bottom w:val="nil"/>
          <w:right w:val="nil"/>
          <w:between w:val="nil"/>
        </w:pBdr>
        <w:ind w:left="851" w:hanging="425"/>
        <w:jc w:val="both"/>
        <w:rPr>
          <w:rFonts w:ascii="Cambria" w:eastAsia="Cambria" w:hAnsi="Cambria" w:cs="Cambria"/>
          <w:color w:val="000000"/>
          <w:sz w:val="20"/>
          <w:szCs w:val="20"/>
        </w:rPr>
      </w:pPr>
      <w:r w:rsidRPr="0057470D">
        <w:rPr>
          <w:rFonts w:ascii="Cambria" w:hAnsi="Cambria"/>
          <w:color w:val="000000"/>
          <w:sz w:val="20"/>
          <w:szCs w:val="20"/>
        </w:rPr>
        <w:t>Ne pas le soulever à l'aide de fils ou de câbles minces ou par la queue seulement.</w:t>
      </w:r>
    </w:p>
    <w:p w14:paraId="2A41B389" w14:textId="77777777" w:rsidR="000A758C" w:rsidRPr="0057470D" w:rsidRDefault="000A758C" w:rsidP="00EB0AC9">
      <w:pPr>
        <w:pStyle w:val="Default"/>
        <w:rPr>
          <w:rFonts w:cs="Times New Roman"/>
          <w:color w:val="auto"/>
          <w:sz w:val="20"/>
          <w:szCs w:val="20"/>
        </w:rPr>
      </w:pPr>
    </w:p>
    <w:p w14:paraId="5F69CC5A" w14:textId="77777777" w:rsidR="00072968" w:rsidRPr="0057470D" w:rsidRDefault="00072968" w:rsidP="00072968">
      <w:pPr>
        <w:widowControl w:val="0"/>
        <w:autoSpaceDE w:val="0"/>
        <w:autoSpaceDN w:val="0"/>
        <w:rPr>
          <w:rFonts w:ascii="Cambria" w:eastAsia="Cambria" w:hAnsi="Cambria" w:cs="Cambria"/>
          <w:color w:val="000000"/>
          <w:sz w:val="20"/>
          <w:szCs w:val="20"/>
          <w:lang w:eastAsia="en-US"/>
        </w:rPr>
      </w:pPr>
    </w:p>
    <w:p w14:paraId="49AB2EF2" w14:textId="77777777" w:rsidR="00072968" w:rsidRPr="0057470D" w:rsidRDefault="00072968" w:rsidP="00EB0AC9">
      <w:pPr>
        <w:widowControl w:val="0"/>
        <w:pBdr>
          <w:top w:val="nil"/>
          <w:left w:val="nil"/>
          <w:bottom w:val="nil"/>
          <w:right w:val="nil"/>
          <w:between w:val="nil"/>
        </w:pBdr>
        <w:tabs>
          <w:tab w:val="left" w:pos="851"/>
        </w:tabs>
        <w:jc w:val="both"/>
        <w:rPr>
          <w:rFonts w:ascii="Cambria" w:hAnsi="Cambria"/>
          <w:sz w:val="20"/>
          <w:szCs w:val="20"/>
          <w:highlight w:val="yellow"/>
          <w:lang w:eastAsia="en-US"/>
        </w:rPr>
      </w:pPr>
    </w:p>
    <w:sectPr w:rsidR="00072968" w:rsidRPr="0057470D" w:rsidSect="00AB17F6">
      <w:pgSz w:w="11907" w:h="16840" w:code="9"/>
      <w:pgMar w:top="1418" w:right="1418" w:bottom="1418" w:left="1418" w:header="851" w:footer="113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A88B8" w14:textId="77777777" w:rsidR="002932A7" w:rsidRDefault="002932A7">
      <w:r>
        <w:separator/>
      </w:r>
    </w:p>
  </w:endnote>
  <w:endnote w:type="continuationSeparator" w:id="0">
    <w:p w14:paraId="5445A292" w14:textId="77777777" w:rsidR="002932A7" w:rsidRDefault="00293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7BCD" w14:textId="650BB6A7" w:rsidR="00B65DCD" w:rsidRPr="00607151" w:rsidRDefault="00B65DCD" w:rsidP="00B65DCD">
    <w:pPr>
      <w:tabs>
        <w:tab w:val="center" w:pos="4535"/>
        <w:tab w:val="center" w:pos="4680"/>
        <w:tab w:val="left" w:pos="6150"/>
        <w:tab w:val="right" w:pos="9360"/>
      </w:tabs>
      <w:jc w:val="center"/>
      <w:rPr>
        <w:rFonts w:ascii="Cambria" w:hAnsi="Cambria"/>
        <w:sz w:val="20"/>
      </w:rPr>
    </w:pPr>
    <w:r w:rsidRPr="00607151">
      <w:rPr>
        <w:rFonts w:ascii="Cambria" w:eastAsia="Calibri" w:hAnsi="Cambria" w:cs="Calibri"/>
        <w:sz w:val="20"/>
      </w:rPr>
      <w:fldChar w:fldCharType="begin"/>
    </w:r>
    <w:r w:rsidRPr="00607151">
      <w:rPr>
        <w:rFonts w:ascii="Cambria" w:eastAsia="Calibri" w:hAnsi="Cambria" w:cs="Calibri"/>
        <w:sz w:val="20"/>
      </w:rPr>
      <w:instrText xml:space="preserve"> PAGE </w:instrText>
    </w:r>
    <w:r w:rsidRPr="00607151">
      <w:rPr>
        <w:rFonts w:ascii="Cambria" w:eastAsia="Calibri" w:hAnsi="Cambria" w:cs="Calibri"/>
        <w:sz w:val="20"/>
      </w:rPr>
      <w:fldChar w:fldCharType="separate"/>
    </w:r>
    <w:r>
      <w:rPr>
        <w:rFonts w:ascii="Cambria" w:eastAsia="Calibri" w:hAnsi="Cambria" w:cs="Calibri"/>
        <w:sz w:val="20"/>
      </w:rPr>
      <w:t>1</w:t>
    </w:r>
    <w:r w:rsidRPr="00607151">
      <w:rPr>
        <w:rFonts w:ascii="Cambria" w:eastAsia="Calibri" w:hAnsi="Cambria" w:cs="Calibri"/>
        <w:sz w:val="20"/>
      </w:rPr>
      <w:fldChar w:fldCharType="end"/>
    </w:r>
    <w:r>
      <w:rPr>
        <w:rFonts w:ascii="Cambria" w:hAnsi="Cambria"/>
        <w:sz w:val="20"/>
      </w:rPr>
      <w:t xml:space="preserve"> / </w:t>
    </w:r>
    <w:r w:rsidRPr="00607151">
      <w:rPr>
        <w:rFonts w:ascii="Cambria" w:eastAsia="Calibri" w:hAnsi="Cambria" w:cs="Calibri"/>
        <w:sz w:val="20"/>
      </w:rPr>
      <w:fldChar w:fldCharType="begin"/>
    </w:r>
    <w:r w:rsidRPr="00607151">
      <w:rPr>
        <w:rFonts w:ascii="Cambria" w:eastAsia="Calibri" w:hAnsi="Cambria" w:cs="Calibri"/>
        <w:sz w:val="20"/>
      </w:rPr>
      <w:instrText xml:space="preserve"> NUMPAGES  </w:instrText>
    </w:r>
    <w:r w:rsidRPr="00607151">
      <w:rPr>
        <w:rFonts w:ascii="Cambria" w:eastAsia="Calibri" w:hAnsi="Cambria" w:cs="Calibri"/>
        <w:sz w:val="20"/>
      </w:rPr>
      <w:fldChar w:fldCharType="separate"/>
    </w:r>
    <w:r>
      <w:rPr>
        <w:rFonts w:ascii="Cambria" w:eastAsia="Calibri" w:hAnsi="Cambria" w:cs="Calibri"/>
        <w:sz w:val="20"/>
      </w:rPr>
      <w:t>4</w:t>
    </w:r>
    <w:r w:rsidRPr="00607151">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695B2" w14:textId="77777777" w:rsidR="002932A7" w:rsidRDefault="002932A7">
      <w:r>
        <w:separator/>
      </w:r>
    </w:p>
  </w:footnote>
  <w:footnote w:type="continuationSeparator" w:id="0">
    <w:p w14:paraId="3AEBCB89" w14:textId="77777777" w:rsidR="002932A7" w:rsidRDefault="002932A7">
      <w:r>
        <w:continuationSeparator/>
      </w:r>
    </w:p>
  </w:footnote>
  <w:footnote w:id="1">
    <w:p w14:paraId="3C1F6BBC" w14:textId="77777777" w:rsidR="006A1BDD" w:rsidRPr="00156BCB" w:rsidRDefault="006A1BDD" w:rsidP="007B6643">
      <w:pPr>
        <w:pStyle w:val="FootnoteText"/>
        <w:jc w:val="both"/>
        <w:rPr>
          <w:rFonts w:ascii="Cambria" w:hAnsi="Cambria"/>
          <w:sz w:val="16"/>
          <w:szCs w:val="16"/>
          <w:u w:val="single"/>
        </w:rPr>
      </w:pPr>
      <w:r w:rsidRPr="00156BCB">
        <w:rPr>
          <w:rStyle w:val="FootnoteReference"/>
          <w:rFonts w:ascii="Cambria" w:hAnsi="Cambria"/>
          <w:sz w:val="16"/>
          <w:szCs w:val="16"/>
          <w:u w:val="single"/>
        </w:rPr>
        <w:footnoteRef/>
      </w:r>
      <w:r w:rsidRPr="00156BCB">
        <w:rPr>
          <w:rFonts w:ascii="Cambria" w:hAnsi="Cambria"/>
          <w:sz w:val="16"/>
          <w:u w:val="single"/>
        </w:rPr>
        <w:t xml:space="preserve"> On considère généralement comme « pêcheries en eaux peu profondes » celles dans lesquelles la majorité des hameçons pêchent à une profondeur inférieure à 100 mètres, comme déterminé par le SCRS.</w:t>
      </w:r>
    </w:p>
  </w:footnote>
  <w:footnote w:id="2">
    <w:p w14:paraId="1C74ED3B" w14:textId="77777777" w:rsidR="006A1BDD" w:rsidRPr="001325B9" w:rsidRDefault="006A1BDD" w:rsidP="007B6643">
      <w:pPr>
        <w:pStyle w:val="FootnoteText"/>
        <w:jc w:val="both"/>
      </w:pPr>
      <w:r w:rsidRPr="00156BCB">
        <w:rPr>
          <w:rStyle w:val="FootnoteReference"/>
          <w:rFonts w:ascii="Cambria" w:hAnsi="Cambria"/>
          <w:sz w:val="16"/>
          <w:szCs w:val="16"/>
          <w:u w:val="single"/>
        </w:rPr>
        <w:footnoteRef/>
      </w:r>
      <w:r w:rsidRPr="00156BCB">
        <w:rPr>
          <w:rFonts w:ascii="Cambria" w:hAnsi="Cambria"/>
          <w:u w:val="single"/>
        </w:rPr>
        <w:t xml:space="preserve"> </w:t>
      </w:r>
      <w:r w:rsidRPr="00156BCB">
        <w:rPr>
          <w:rFonts w:ascii="Cambria" w:hAnsi="Cambria"/>
          <w:sz w:val="16"/>
          <w:u w:val="single"/>
        </w:rPr>
        <w:t>Les hameçons circulaires sont définis comme un hameçon dont la pointe est recourbée perpendiculairement vers la hampe présentant généralement une forme circulaire ou ovale. Les CPC devraient adopter l’utilisation d’hameçons circulaires dont la pointe ne présente pas de courbure supérieure à 10 degrés.</w:t>
      </w:r>
    </w:p>
  </w:footnote>
  <w:footnote w:id="3">
    <w:p w14:paraId="4CBDB36B" w14:textId="77777777" w:rsidR="006A1BDD" w:rsidRPr="007B6643" w:rsidRDefault="006A1BDD" w:rsidP="006A1BDD">
      <w:pPr>
        <w:ind w:left="140"/>
        <w:jc w:val="both"/>
        <w:rPr>
          <w:rFonts w:ascii="Cambria" w:hAnsi="Cambria"/>
          <w:sz w:val="16"/>
          <w:szCs w:val="16"/>
        </w:rPr>
      </w:pPr>
      <w:r>
        <w:rPr>
          <w:rStyle w:val="FootnoteReference"/>
          <w:rFonts w:ascii="Cambria" w:hAnsi="Cambria"/>
        </w:rPr>
        <w:footnoteRef/>
      </w:r>
      <w:r>
        <w:rPr>
          <w:rFonts w:ascii="Cambria" w:hAnsi="Cambria"/>
        </w:rPr>
        <w:t xml:space="preserve"> </w:t>
      </w:r>
      <w:r>
        <w:rPr>
          <w:rFonts w:ascii="Cambria" w:hAnsi="Cambria"/>
          <w:sz w:val="16"/>
        </w:rPr>
        <w:t xml:space="preserve"> </w:t>
      </w:r>
      <w:hyperlink r:id="rId1">
        <w:r>
          <w:rPr>
            <w:rFonts w:ascii="Cambria" w:hAnsi="Cambria"/>
            <w:color w:val="0000FF"/>
            <w:sz w:val="16"/>
          </w:rPr>
          <w:t>https://www.bmis-bycatch.org/index.php/mitigation-techniques/safe-handling-release</w:t>
        </w:r>
      </w:hyperlink>
    </w:p>
    <w:p w14:paraId="2498F88C" w14:textId="77777777" w:rsidR="006A1BDD" w:rsidRPr="007B6643" w:rsidRDefault="006A1BDD" w:rsidP="006A1BDD">
      <w:pPr>
        <w:widowControl w:val="0"/>
        <w:numPr>
          <w:ilvl w:val="0"/>
          <w:numId w:val="47"/>
        </w:numPr>
        <w:pBdr>
          <w:top w:val="nil"/>
          <w:left w:val="nil"/>
          <w:bottom w:val="nil"/>
          <w:right w:val="nil"/>
          <w:between w:val="nil"/>
        </w:pBdr>
        <w:tabs>
          <w:tab w:val="left" w:pos="859"/>
          <w:tab w:val="left" w:pos="861"/>
        </w:tabs>
        <w:ind w:left="861" w:right="2" w:hanging="361"/>
        <w:jc w:val="both"/>
        <w:rPr>
          <w:rFonts w:ascii="Cambria" w:eastAsia="Courier New" w:hAnsi="Cambria" w:cs="Courier New"/>
          <w:color w:val="000000"/>
          <w:sz w:val="16"/>
          <w:szCs w:val="16"/>
        </w:rPr>
      </w:pPr>
      <w:r w:rsidRPr="00347104">
        <w:rPr>
          <w:rFonts w:ascii="Cambria" w:hAnsi="Cambria"/>
          <w:color w:val="000000"/>
          <w:sz w:val="16"/>
          <w:lang w:val="en-US"/>
        </w:rPr>
        <w:t xml:space="preserve">Poisson F., Wendling B., Cornella D., </w:t>
      </w:r>
      <w:proofErr w:type="spellStart"/>
      <w:r w:rsidRPr="00347104">
        <w:rPr>
          <w:rFonts w:ascii="Cambria" w:hAnsi="Cambria"/>
          <w:color w:val="000000"/>
          <w:sz w:val="16"/>
          <w:lang w:val="en-US"/>
        </w:rPr>
        <w:t>Segorb</w:t>
      </w:r>
      <w:proofErr w:type="spellEnd"/>
      <w:r w:rsidRPr="00347104">
        <w:rPr>
          <w:rFonts w:ascii="Cambria" w:hAnsi="Cambria"/>
          <w:color w:val="000000"/>
          <w:sz w:val="16"/>
          <w:lang w:val="en-US"/>
        </w:rPr>
        <w:t xml:space="preserve"> C., 2016. </w:t>
      </w:r>
      <w:r>
        <w:rPr>
          <w:rFonts w:ascii="Cambria" w:hAnsi="Cambria"/>
          <w:color w:val="000000"/>
          <w:sz w:val="16"/>
        </w:rPr>
        <w:t xml:space="preserve">Guide du pêcheur responsable : Bonnes pratiques pour réduire la mortalité des espèces sensibles capturées accidentellement par les palangriers pélagiques français en Méditerranée. Projets SELPAL et </w:t>
      </w:r>
      <w:proofErr w:type="spellStart"/>
      <w:r>
        <w:rPr>
          <w:rFonts w:ascii="Cambria" w:hAnsi="Cambria"/>
          <w:color w:val="000000"/>
          <w:sz w:val="16"/>
        </w:rPr>
        <w:t>RéPAST</w:t>
      </w:r>
      <w:proofErr w:type="spellEnd"/>
      <w:r>
        <w:rPr>
          <w:rFonts w:ascii="Cambria" w:hAnsi="Cambria"/>
          <w:color w:val="000000"/>
          <w:sz w:val="16"/>
        </w:rPr>
        <w:t>. 60 pages.</w:t>
      </w:r>
    </w:p>
    <w:p w14:paraId="1B83E32F" w14:textId="77777777" w:rsidR="006A1BDD" w:rsidRPr="007B6643" w:rsidRDefault="006A1BDD" w:rsidP="006A1BDD">
      <w:pPr>
        <w:widowControl w:val="0"/>
        <w:numPr>
          <w:ilvl w:val="0"/>
          <w:numId w:val="47"/>
        </w:numPr>
        <w:pBdr>
          <w:top w:val="nil"/>
          <w:left w:val="nil"/>
          <w:bottom w:val="nil"/>
          <w:right w:val="nil"/>
          <w:between w:val="nil"/>
        </w:pBdr>
        <w:tabs>
          <w:tab w:val="left" w:pos="861"/>
        </w:tabs>
        <w:ind w:left="861" w:right="150" w:hanging="361"/>
        <w:jc w:val="both"/>
        <w:rPr>
          <w:rFonts w:ascii="Cambria" w:eastAsia="Courier New" w:hAnsi="Cambria" w:cs="Courier New"/>
          <w:color w:val="000000"/>
          <w:sz w:val="16"/>
          <w:szCs w:val="16"/>
        </w:rPr>
      </w:pPr>
      <w:r w:rsidRPr="00347104">
        <w:rPr>
          <w:rFonts w:ascii="Cambria" w:hAnsi="Cambria"/>
          <w:color w:val="000000"/>
          <w:sz w:val="16"/>
          <w:lang w:val="en-US"/>
        </w:rPr>
        <w:t xml:space="preserve">Poisson F., Vernet A. L., </w:t>
      </w:r>
      <w:proofErr w:type="spellStart"/>
      <w:r w:rsidRPr="00347104">
        <w:rPr>
          <w:rFonts w:ascii="Cambria" w:hAnsi="Cambria"/>
          <w:color w:val="000000"/>
          <w:sz w:val="16"/>
          <w:lang w:val="en-US"/>
        </w:rPr>
        <w:t>Séret</w:t>
      </w:r>
      <w:proofErr w:type="spellEnd"/>
      <w:r w:rsidRPr="00347104">
        <w:rPr>
          <w:rFonts w:ascii="Cambria" w:hAnsi="Cambria"/>
          <w:color w:val="000000"/>
          <w:sz w:val="16"/>
          <w:lang w:val="en-US"/>
        </w:rPr>
        <w:t xml:space="preserve"> B., </w:t>
      </w:r>
      <w:proofErr w:type="spellStart"/>
      <w:r w:rsidRPr="00347104">
        <w:rPr>
          <w:rFonts w:ascii="Cambria" w:hAnsi="Cambria"/>
          <w:color w:val="000000"/>
          <w:sz w:val="16"/>
          <w:lang w:val="en-US"/>
        </w:rPr>
        <w:t>Dagorn</w:t>
      </w:r>
      <w:proofErr w:type="spellEnd"/>
      <w:r w:rsidRPr="00347104">
        <w:rPr>
          <w:rFonts w:ascii="Cambria" w:hAnsi="Cambria"/>
          <w:color w:val="000000"/>
          <w:sz w:val="16"/>
          <w:lang w:val="en-US"/>
        </w:rPr>
        <w:t xml:space="preserve"> L. Good practices to reduce the mortality of sharks and rays caught incidentally by the tropical tuna purse seiners. </w:t>
      </w:r>
      <w:r>
        <w:rPr>
          <w:rFonts w:ascii="Cambria" w:hAnsi="Cambria"/>
          <w:color w:val="000000"/>
          <w:sz w:val="16"/>
        </w:rPr>
        <w:t xml:space="preserve">EU FP7 </w:t>
      </w:r>
      <w:proofErr w:type="spellStart"/>
      <w:r>
        <w:rPr>
          <w:rFonts w:ascii="Cambria" w:hAnsi="Cambria"/>
          <w:color w:val="000000"/>
          <w:sz w:val="16"/>
        </w:rPr>
        <w:t>project</w:t>
      </w:r>
      <w:proofErr w:type="spellEnd"/>
      <w:r>
        <w:rPr>
          <w:rFonts w:ascii="Cambria" w:hAnsi="Cambria"/>
          <w:color w:val="000000"/>
          <w:sz w:val="16"/>
        </w:rPr>
        <w:t xml:space="preserve"> #210496 MADE, </w:t>
      </w:r>
      <w:proofErr w:type="spellStart"/>
      <w:r>
        <w:rPr>
          <w:rFonts w:ascii="Cambria" w:hAnsi="Cambria"/>
          <w:color w:val="000000"/>
          <w:sz w:val="16"/>
        </w:rPr>
        <w:t>Deliverable</w:t>
      </w:r>
      <w:proofErr w:type="spellEnd"/>
      <w:r>
        <w:rPr>
          <w:rFonts w:ascii="Cambria" w:hAnsi="Cambria"/>
          <w:color w:val="000000"/>
          <w:sz w:val="16"/>
        </w:rPr>
        <w:t xml:space="preserve"> 7.2., 30p.</w:t>
      </w:r>
    </w:p>
    <w:p w14:paraId="2DAF5120" w14:textId="77777777" w:rsidR="006A1BDD" w:rsidRPr="00347104" w:rsidRDefault="006A1BDD" w:rsidP="006A1BDD">
      <w:pPr>
        <w:widowControl w:val="0"/>
        <w:numPr>
          <w:ilvl w:val="0"/>
          <w:numId w:val="47"/>
        </w:numPr>
        <w:pBdr>
          <w:top w:val="nil"/>
          <w:left w:val="nil"/>
          <w:bottom w:val="nil"/>
          <w:right w:val="nil"/>
          <w:between w:val="nil"/>
        </w:pBdr>
        <w:tabs>
          <w:tab w:val="left" w:pos="861"/>
        </w:tabs>
        <w:ind w:left="861" w:hanging="360"/>
        <w:jc w:val="both"/>
        <w:rPr>
          <w:rFonts w:ascii="Cambria" w:eastAsia="Courier New" w:hAnsi="Cambria" w:cs="Courier New"/>
          <w:color w:val="000000"/>
          <w:sz w:val="16"/>
          <w:szCs w:val="16"/>
          <w:lang w:val="en-US"/>
        </w:rPr>
      </w:pPr>
      <w:r w:rsidRPr="00347104">
        <w:rPr>
          <w:rFonts w:ascii="Cambria" w:hAnsi="Cambria"/>
          <w:color w:val="000000"/>
          <w:sz w:val="16"/>
          <w:lang w:val="en-US"/>
        </w:rPr>
        <w:t>AFMA (2016) Shark and Ray Handling Practices - A guide for commercial fishers in southern Australia.</w:t>
      </w:r>
    </w:p>
    <w:p w14:paraId="39C8044E" w14:textId="77777777" w:rsidR="006A1BDD" w:rsidRPr="009A0020" w:rsidRDefault="006A1BDD" w:rsidP="006A1BDD">
      <w:pPr>
        <w:widowControl w:val="0"/>
        <w:numPr>
          <w:ilvl w:val="0"/>
          <w:numId w:val="47"/>
        </w:numPr>
        <w:pBdr>
          <w:top w:val="nil"/>
          <w:left w:val="nil"/>
          <w:bottom w:val="nil"/>
          <w:right w:val="nil"/>
          <w:between w:val="nil"/>
        </w:pBdr>
        <w:tabs>
          <w:tab w:val="left" w:pos="861"/>
        </w:tabs>
        <w:ind w:left="861" w:hanging="360"/>
        <w:jc w:val="both"/>
        <w:rPr>
          <w:sz w:val="16"/>
          <w:szCs w:val="16"/>
        </w:rPr>
      </w:pPr>
      <w:r w:rsidRPr="00347104">
        <w:rPr>
          <w:rFonts w:ascii="Cambria" w:hAnsi="Cambria"/>
          <w:color w:val="000000"/>
          <w:sz w:val="16"/>
          <w:lang w:val="en-US"/>
        </w:rPr>
        <w:t xml:space="preserve">NOAA fisheries, 2017, Careful Catch and Release Brochure. </w:t>
      </w:r>
      <w:r>
        <w:rPr>
          <w:rFonts w:ascii="Cambria" w:hAnsi="Cambria"/>
          <w:color w:val="000000"/>
          <w:sz w:val="16"/>
        </w:rPr>
        <w:t>2 pages.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0599B" w14:textId="424B1089" w:rsidR="006A1BDD" w:rsidRPr="00CC630D" w:rsidRDefault="00C45A1B" w:rsidP="00C45A1B">
    <w:pPr>
      <w:pStyle w:val="Header"/>
      <w:tabs>
        <w:tab w:val="clear" w:pos="4680"/>
        <w:tab w:val="clear" w:pos="9360"/>
        <w:tab w:val="left" w:pos="0"/>
      </w:tabs>
      <w:jc w:val="right"/>
      <w:rPr>
        <w:rFonts w:ascii="Cambria" w:eastAsia="Yu Mincho" w:hAnsi="Cambria"/>
        <w:b/>
        <w:bCs/>
        <w:sz w:val="20"/>
        <w:szCs w:val="20"/>
      </w:rPr>
    </w:pPr>
    <w:r>
      <w:rPr>
        <w:rFonts w:ascii="Cambria" w:hAnsi="Cambria"/>
        <w:b/>
        <w:sz w:val="20"/>
      </w:rPr>
      <w:t>PA4_808/2026</w:t>
    </w:r>
  </w:p>
  <w:p w14:paraId="443CD239" w14:textId="2B40276B" w:rsidR="00BD5658" w:rsidRPr="00BD5658" w:rsidRDefault="00BD5658" w:rsidP="00BD5658">
    <w:pPr>
      <w:tabs>
        <w:tab w:val="left" w:pos="7320"/>
      </w:tabs>
      <w:spacing w:line="240" w:lineRule="exact"/>
      <w:jc w:val="right"/>
      <w:rPr>
        <w:rFonts w:ascii="Cambria" w:hAnsi="Cambria"/>
        <w:b/>
        <w:bCs/>
        <w:sz w:val="16"/>
        <w:szCs w:val="16"/>
      </w:rPr>
    </w:pPr>
    <w:r w:rsidRPr="00BD5658">
      <w:rPr>
        <w:rFonts w:ascii="Cambria" w:hAnsi="Cambria"/>
        <w:b/>
        <w:sz w:val="16"/>
      </w:rPr>
      <w:fldChar w:fldCharType="begin"/>
    </w:r>
    <w:r w:rsidRPr="00BD5658">
      <w:rPr>
        <w:rFonts w:ascii="Cambria" w:hAnsi="Cambria"/>
        <w:b/>
        <w:sz w:val="16"/>
      </w:rPr>
      <w:instrText xml:space="preserve"> TIME \@ "dd/MM/yyyy H:mm" </w:instrText>
    </w:r>
    <w:r w:rsidRPr="00BD5658">
      <w:rPr>
        <w:rFonts w:ascii="Cambria" w:hAnsi="Cambria"/>
        <w:b/>
        <w:sz w:val="16"/>
      </w:rPr>
      <w:fldChar w:fldCharType="separate"/>
    </w:r>
    <w:r w:rsidR="00347104">
      <w:rPr>
        <w:rFonts w:ascii="Cambria" w:hAnsi="Cambria"/>
        <w:b/>
        <w:noProof/>
        <w:sz w:val="16"/>
      </w:rPr>
      <w:t>26/10/2026 12:53</w:t>
    </w:r>
    <w:r w:rsidRPr="00BD5658">
      <w:rPr>
        <w:rFonts w:ascii="Cambria" w:hAnsi="Cambria"/>
        <w:b/>
        <w:bCs/>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07A279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D4E276A"/>
    <w:multiLevelType w:val="hybridMultilevel"/>
    <w:tmpl w:val="FFFFFFFF"/>
    <w:lvl w:ilvl="0" w:tplc="FFFFFFFF">
      <w:start w:val="1"/>
      <w:numFmt w:val="decimal"/>
      <w:lvlText w:val="%1."/>
      <w:lvlJc w:val="left"/>
    </w:lvl>
    <w:lvl w:ilvl="1" w:tplc="FFFFFFFF">
      <w:start w:val="1"/>
      <w:numFmt w:val="lowerLetter"/>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3806A10C"/>
    <w:lvl w:ilvl="0">
      <w:start w:val="1"/>
      <w:numFmt w:val="lowerRoman"/>
      <w:pStyle w:val="ListBullet"/>
      <w:lvlText w:val="(%1)"/>
      <w:lvlJc w:val="left"/>
      <w:pPr>
        <w:tabs>
          <w:tab w:val="num" w:pos="360"/>
        </w:tabs>
        <w:ind w:left="680" w:hanging="453"/>
      </w:pPr>
      <w:rPr>
        <w:rFonts w:ascii="Arial" w:eastAsiaTheme="minorEastAsia" w:hAnsi="Arial" w:cstheme="minorBidi" w:hint="default"/>
      </w:rPr>
    </w:lvl>
  </w:abstractNum>
  <w:abstractNum w:abstractNumId="3" w15:restartNumberingAfterBreak="0">
    <w:nsid w:val="00987CDD"/>
    <w:multiLevelType w:val="hybridMultilevel"/>
    <w:tmpl w:val="0A78DAF4"/>
    <w:lvl w:ilvl="0" w:tplc="A44A2E68">
      <w:start w:val="1"/>
      <w:numFmt w:val="lowerRoman"/>
      <w:lvlText w:val="(%1)"/>
      <w:lvlJc w:val="left"/>
      <w:pPr>
        <w:ind w:left="1080" w:hanging="720"/>
      </w:pPr>
      <w:rPr>
        <w:rFonts w:hint="default"/>
      </w:rPr>
    </w:lvl>
    <w:lvl w:ilvl="1" w:tplc="4E06AEF2">
      <w:start w:val="1"/>
      <w:numFmt w:val="decimal"/>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B20336"/>
    <w:multiLevelType w:val="hybridMultilevel"/>
    <w:tmpl w:val="AF468C6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F14A31"/>
    <w:multiLevelType w:val="hybridMultilevel"/>
    <w:tmpl w:val="2B329A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644299"/>
    <w:multiLevelType w:val="hybridMultilevel"/>
    <w:tmpl w:val="4A923D70"/>
    <w:lvl w:ilvl="0" w:tplc="1C065B5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5F5F12"/>
    <w:multiLevelType w:val="multilevel"/>
    <w:tmpl w:val="761C85B8"/>
    <w:styleLink w:val="CurrentList3"/>
    <w:lvl w:ilvl="0">
      <w:start w:val="1"/>
      <w:numFmt w:val="lowerRoman"/>
      <w:lvlText w:val="(%1)"/>
      <w:lvlJc w:val="left"/>
      <w:pPr>
        <w:ind w:left="624"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D397B59"/>
    <w:multiLevelType w:val="hybridMultilevel"/>
    <w:tmpl w:val="AA98F2E6"/>
    <w:lvl w:ilvl="0" w:tplc="1D90A638">
      <w:start w:val="1"/>
      <w:numFmt w:val="lowerLetter"/>
      <w:lvlText w:val="%1)"/>
      <w:lvlJc w:val="left"/>
      <w:pPr>
        <w:ind w:left="990" w:hanging="423"/>
      </w:pPr>
      <w:rPr>
        <w:rFonts w:ascii="Cambria" w:eastAsia="Cambria" w:hAnsi="Cambria" w:cs="Cambria" w:hint="default"/>
        <w:b w:val="0"/>
        <w:bCs w:val="0"/>
        <w:i w:val="0"/>
        <w:iCs w:val="0"/>
        <w:spacing w:val="0"/>
        <w:w w:val="100"/>
        <w:sz w:val="20"/>
        <w:szCs w:val="20"/>
        <w:lang w:val="en-US" w:eastAsia="en-US" w:bidi="ar-SA"/>
      </w:rPr>
    </w:lvl>
    <w:lvl w:ilvl="1" w:tplc="4D669FDA">
      <w:numFmt w:val="bullet"/>
      <w:lvlText w:val="•"/>
      <w:lvlJc w:val="left"/>
      <w:pPr>
        <w:ind w:left="1835" w:hanging="423"/>
      </w:pPr>
      <w:rPr>
        <w:rFonts w:hint="default"/>
        <w:lang w:val="en-US" w:eastAsia="en-US" w:bidi="ar-SA"/>
      </w:rPr>
    </w:lvl>
    <w:lvl w:ilvl="2" w:tplc="F3909B4E">
      <w:numFmt w:val="bullet"/>
      <w:lvlText w:val="•"/>
      <w:lvlJc w:val="left"/>
      <w:pPr>
        <w:ind w:left="2671" w:hanging="423"/>
      </w:pPr>
      <w:rPr>
        <w:rFonts w:hint="default"/>
        <w:lang w:val="en-US" w:eastAsia="en-US" w:bidi="ar-SA"/>
      </w:rPr>
    </w:lvl>
    <w:lvl w:ilvl="3" w:tplc="7D5A4FD0">
      <w:numFmt w:val="bullet"/>
      <w:lvlText w:val="•"/>
      <w:lvlJc w:val="left"/>
      <w:pPr>
        <w:ind w:left="3507" w:hanging="423"/>
      </w:pPr>
      <w:rPr>
        <w:rFonts w:hint="default"/>
        <w:lang w:val="en-US" w:eastAsia="en-US" w:bidi="ar-SA"/>
      </w:rPr>
    </w:lvl>
    <w:lvl w:ilvl="4" w:tplc="46FA3BD8">
      <w:numFmt w:val="bullet"/>
      <w:lvlText w:val="•"/>
      <w:lvlJc w:val="left"/>
      <w:pPr>
        <w:ind w:left="4343" w:hanging="423"/>
      </w:pPr>
      <w:rPr>
        <w:rFonts w:hint="default"/>
        <w:lang w:val="en-US" w:eastAsia="en-US" w:bidi="ar-SA"/>
      </w:rPr>
    </w:lvl>
    <w:lvl w:ilvl="5" w:tplc="60946E28">
      <w:numFmt w:val="bullet"/>
      <w:lvlText w:val="•"/>
      <w:lvlJc w:val="left"/>
      <w:pPr>
        <w:ind w:left="5179" w:hanging="423"/>
      </w:pPr>
      <w:rPr>
        <w:rFonts w:hint="default"/>
        <w:lang w:val="en-US" w:eastAsia="en-US" w:bidi="ar-SA"/>
      </w:rPr>
    </w:lvl>
    <w:lvl w:ilvl="6" w:tplc="85B61072">
      <w:numFmt w:val="bullet"/>
      <w:lvlText w:val="•"/>
      <w:lvlJc w:val="left"/>
      <w:pPr>
        <w:ind w:left="6015" w:hanging="423"/>
      </w:pPr>
      <w:rPr>
        <w:rFonts w:hint="default"/>
        <w:lang w:val="en-US" w:eastAsia="en-US" w:bidi="ar-SA"/>
      </w:rPr>
    </w:lvl>
    <w:lvl w:ilvl="7" w:tplc="50FEAA62">
      <w:numFmt w:val="bullet"/>
      <w:lvlText w:val="•"/>
      <w:lvlJc w:val="left"/>
      <w:pPr>
        <w:ind w:left="6851" w:hanging="423"/>
      </w:pPr>
      <w:rPr>
        <w:rFonts w:hint="default"/>
        <w:lang w:val="en-US" w:eastAsia="en-US" w:bidi="ar-SA"/>
      </w:rPr>
    </w:lvl>
    <w:lvl w:ilvl="8" w:tplc="0A4A0D18">
      <w:numFmt w:val="bullet"/>
      <w:lvlText w:val="•"/>
      <w:lvlJc w:val="left"/>
      <w:pPr>
        <w:ind w:left="7687" w:hanging="423"/>
      </w:pPr>
      <w:rPr>
        <w:rFonts w:hint="default"/>
        <w:lang w:val="en-US" w:eastAsia="en-US" w:bidi="ar-SA"/>
      </w:rPr>
    </w:lvl>
  </w:abstractNum>
  <w:abstractNum w:abstractNumId="9" w15:restartNumberingAfterBreak="0">
    <w:nsid w:val="144B271F"/>
    <w:multiLevelType w:val="multilevel"/>
    <w:tmpl w:val="0E5C4F24"/>
    <w:lvl w:ilvl="0">
      <w:start w:val="1"/>
      <w:numFmt w:val="lowerLetter"/>
      <w:lvlText w:val="%1)"/>
      <w:lvlJc w:val="left"/>
      <w:pPr>
        <w:ind w:left="990" w:hanging="423"/>
      </w:pPr>
      <w:rPr>
        <w:rFonts w:ascii="Cambria" w:eastAsia="Cambria" w:hAnsi="Cambria" w:cs="Cambria"/>
        <w:b w:val="0"/>
        <w:bCs w:val="0"/>
        <w:i w:val="0"/>
        <w:iCs w:val="0"/>
        <w:sz w:val="20"/>
        <w:szCs w:val="20"/>
      </w:rPr>
    </w:lvl>
    <w:lvl w:ilvl="1">
      <w:numFmt w:val="bullet"/>
      <w:lvlText w:val="•"/>
      <w:lvlJc w:val="left"/>
      <w:pPr>
        <w:ind w:left="1835" w:hanging="423"/>
      </w:pPr>
    </w:lvl>
    <w:lvl w:ilvl="2">
      <w:numFmt w:val="bullet"/>
      <w:lvlText w:val="•"/>
      <w:lvlJc w:val="left"/>
      <w:pPr>
        <w:ind w:left="2671" w:hanging="423"/>
      </w:p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10" w15:restartNumberingAfterBreak="0">
    <w:nsid w:val="15877DAC"/>
    <w:multiLevelType w:val="multilevel"/>
    <w:tmpl w:val="BCE8BD66"/>
    <w:styleLink w:val="CurrentList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6962E4D"/>
    <w:multiLevelType w:val="multilevel"/>
    <w:tmpl w:val="02E2E5D8"/>
    <w:styleLink w:val="CurrentList4"/>
    <w:lvl w:ilvl="0">
      <w:start w:val="1"/>
      <w:numFmt w:val="lowerRoman"/>
      <w:lvlText w:val="(%1)"/>
      <w:lvlJc w:val="left"/>
      <w:pPr>
        <w:ind w:left="680" w:hanging="51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BC16E8A"/>
    <w:multiLevelType w:val="hybridMultilevel"/>
    <w:tmpl w:val="7BB8AE4E"/>
    <w:lvl w:ilvl="0" w:tplc="9B3250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1C422AA"/>
    <w:multiLevelType w:val="hybridMultilevel"/>
    <w:tmpl w:val="5EFAF722"/>
    <w:lvl w:ilvl="0" w:tplc="76948D8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7E758C"/>
    <w:multiLevelType w:val="multilevel"/>
    <w:tmpl w:val="7658AFB6"/>
    <w:lvl w:ilvl="0">
      <w:numFmt w:val="bullet"/>
      <w:lvlText w:val="-"/>
      <w:lvlJc w:val="left"/>
      <w:pPr>
        <w:ind w:left="990" w:hanging="423"/>
      </w:pPr>
      <w:rPr>
        <w:rFonts w:ascii="Courier New" w:eastAsia="Courier New" w:hAnsi="Courier New" w:cs="Courier New"/>
      </w:rPr>
    </w:lvl>
    <w:lvl w:ilvl="1">
      <w:numFmt w:val="bullet"/>
      <w:lvlText w:val="•"/>
      <w:lvlJc w:val="left"/>
      <w:pPr>
        <w:ind w:left="1835" w:hanging="423"/>
      </w:pPr>
    </w:lvl>
    <w:lvl w:ilvl="2">
      <w:numFmt w:val="bullet"/>
      <w:lvlText w:val="•"/>
      <w:lvlJc w:val="left"/>
      <w:pPr>
        <w:ind w:left="2671" w:hanging="423"/>
      </w:p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15" w15:restartNumberingAfterBreak="0">
    <w:nsid w:val="23C61435"/>
    <w:multiLevelType w:val="multilevel"/>
    <w:tmpl w:val="256608FC"/>
    <w:styleLink w:val="CurrentList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48D671E"/>
    <w:multiLevelType w:val="hybridMultilevel"/>
    <w:tmpl w:val="612AE452"/>
    <w:lvl w:ilvl="0" w:tplc="DE04F03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8D408B0"/>
    <w:multiLevelType w:val="hybridMultilevel"/>
    <w:tmpl w:val="42089730"/>
    <w:lvl w:ilvl="0" w:tplc="FF3C5E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8E4E39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A7C0A1E"/>
    <w:multiLevelType w:val="hybridMultilevel"/>
    <w:tmpl w:val="982C4C52"/>
    <w:lvl w:ilvl="0" w:tplc="1E424B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FD30F1"/>
    <w:multiLevelType w:val="hybridMultilevel"/>
    <w:tmpl w:val="C3D0779E"/>
    <w:lvl w:ilvl="0" w:tplc="265AD73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2EB0107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38D62BF"/>
    <w:multiLevelType w:val="multilevel"/>
    <w:tmpl w:val="75C6B162"/>
    <w:styleLink w:val="CurrentList2"/>
    <w:lvl w:ilvl="0">
      <w:start w:val="1"/>
      <w:numFmt w:val="lowerRoman"/>
      <w:lvlText w:val="(%1)"/>
      <w:lvlJc w:val="left"/>
      <w:pPr>
        <w:ind w:left="624" w:hanging="26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A6E80FF"/>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B1A04CD"/>
    <w:multiLevelType w:val="hybridMultilevel"/>
    <w:tmpl w:val="10FE4C7C"/>
    <w:lvl w:ilvl="0" w:tplc="FFFFFFFF">
      <w:start w:val="1"/>
      <w:numFmt w:val="decimal"/>
      <w:lvlText w:val="%1."/>
      <w:lvlJc w:val="left"/>
      <w:pPr>
        <w:ind w:left="1440" w:hanging="360"/>
      </w:pPr>
    </w:lvl>
    <w:lvl w:ilvl="1" w:tplc="0809000F">
      <w:start w:val="1"/>
      <w:numFmt w:val="decimal"/>
      <w:lvlText w:val="%2."/>
      <w:lvlJc w:val="left"/>
      <w:pPr>
        <w:ind w:left="720" w:hanging="360"/>
      </w:pPr>
    </w:lvl>
    <w:lvl w:ilvl="2" w:tplc="BB621494">
      <w:start w:val="1"/>
      <w:numFmt w:val="lowerRoman"/>
      <w:lvlText w:val="(%3)"/>
      <w:lvlJc w:val="left"/>
      <w:pPr>
        <w:ind w:left="1077" w:hanging="72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3F0017B9"/>
    <w:multiLevelType w:val="hybridMultilevel"/>
    <w:tmpl w:val="D15426F6"/>
    <w:lvl w:ilvl="0" w:tplc="19F4FA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293EC7"/>
    <w:multiLevelType w:val="multilevel"/>
    <w:tmpl w:val="9F341D94"/>
    <w:styleLink w:val="CurrentList7"/>
    <w:lvl w:ilvl="0">
      <w:start w:val="1"/>
      <w:numFmt w:val="lowerRoman"/>
      <w:lvlText w:val="(%1)"/>
      <w:lvlJc w:val="left"/>
      <w:pPr>
        <w:ind w:left="947" w:hanging="720"/>
      </w:pPr>
      <w:rPr>
        <w:rFonts w:hint="default"/>
      </w:rPr>
    </w:lvl>
    <w:lvl w:ilvl="1">
      <w:start w:val="1"/>
      <w:numFmt w:val="lowerLetter"/>
      <w:lvlText w:val="%2."/>
      <w:lvlJc w:val="left"/>
      <w:pPr>
        <w:ind w:left="1307" w:hanging="360"/>
      </w:pPr>
    </w:lvl>
    <w:lvl w:ilvl="2">
      <w:start w:val="1"/>
      <w:numFmt w:val="lowerRoman"/>
      <w:lvlText w:val="%3."/>
      <w:lvlJc w:val="right"/>
      <w:pPr>
        <w:ind w:left="2027" w:hanging="180"/>
      </w:pPr>
    </w:lvl>
    <w:lvl w:ilvl="3">
      <w:start w:val="1"/>
      <w:numFmt w:val="decimal"/>
      <w:lvlText w:val="%4."/>
      <w:lvlJc w:val="left"/>
      <w:pPr>
        <w:ind w:left="2747" w:hanging="360"/>
      </w:pPr>
    </w:lvl>
    <w:lvl w:ilvl="4">
      <w:start w:val="1"/>
      <w:numFmt w:val="lowerLetter"/>
      <w:lvlText w:val="%5."/>
      <w:lvlJc w:val="left"/>
      <w:pPr>
        <w:ind w:left="3467" w:hanging="360"/>
      </w:pPr>
    </w:lvl>
    <w:lvl w:ilvl="5">
      <w:start w:val="1"/>
      <w:numFmt w:val="lowerRoman"/>
      <w:lvlText w:val="%6."/>
      <w:lvlJc w:val="right"/>
      <w:pPr>
        <w:ind w:left="4187" w:hanging="180"/>
      </w:pPr>
    </w:lvl>
    <w:lvl w:ilvl="6">
      <w:start w:val="1"/>
      <w:numFmt w:val="decimal"/>
      <w:lvlText w:val="%7."/>
      <w:lvlJc w:val="left"/>
      <w:pPr>
        <w:ind w:left="4907" w:hanging="360"/>
      </w:pPr>
    </w:lvl>
    <w:lvl w:ilvl="7">
      <w:start w:val="1"/>
      <w:numFmt w:val="lowerLetter"/>
      <w:lvlText w:val="%8."/>
      <w:lvlJc w:val="left"/>
      <w:pPr>
        <w:ind w:left="5627" w:hanging="360"/>
      </w:pPr>
    </w:lvl>
    <w:lvl w:ilvl="8">
      <w:start w:val="1"/>
      <w:numFmt w:val="lowerRoman"/>
      <w:lvlText w:val="%9."/>
      <w:lvlJc w:val="right"/>
      <w:pPr>
        <w:ind w:left="6347" w:hanging="180"/>
      </w:pPr>
    </w:lvl>
  </w:abstractNum>
  <w:abstractNum w:abstractNumId="27" w15:restartNumberingAfterBreak="0">
    <w:nsid w:val="43CC2B63"/>
    <w:multiLevelType w:val="hybridMultilevel"/>
    <w:tmpl w:val="BCE8BD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C87450"/>
    <w:multiLevelType w:val="hybridMultilevel"/>
    <w:tmpl w:val="FBAEF806"/>
    <w:lvl w:ilvl="0" w:tplc="9DB0E1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5010421"/>
    <w:multiLevelType w:val="multilevel"/>
    <w:tmpl w:val="94E6D836"/>
    <w:styleLink w:val="CurrentList6"/>
    <w:lvl w:ilvl="0">
      <w:start w:val="1"/>
      <w:numFmt w:val="lowerRoman"/>
      <w:lvlText w:val="(%1)"/>
      <w:lvlJc w:val="left"/>
      <w:pPr>
        <w:ind w:left="947" w:hanging="720"/>
      </w:pPr>
      <w:rPr>
        <w:rFonts w:hint="default"/>
      </w:rPr>
    </w:lvl>
    <w:lvl w:ilvl="1">
      <w:start w:val="1"/>
      <w:numFmt w:val="lowerLetter"/>
      <w:lvlText w:val="%2."/>
      <w:lvlJc w:val="left"/>
      <w:pPr>
        <w:ind w:left="1307" w:hanging="360"/>
      </w:pPr>
    </w:lvl>
    <w:lvl w:ilvl="2">
      <w:start w:val="1"/>
      <w:numFmt w:val="lowerRoman"/>
      <w:lvlText w:val="%3."/>
      <w:lvlJc w:val="right"/>
      <w:pPr>
        <w:ind w:left="2027" w:hanging="180"/>
      </w:pPr>
    </w:lvl>
    <w:lvl w:ilvl="3">
      <w:start w:val="1"/>
      <w:numFmt w:val="decimal"/>
      <w:lvlText w:val="%4."/>
      <w:lvlJc w:val="left"/>
      <w:pPr>
        <w:ind w:left="2747" w:hanging="360"/>
      </w:pPr>
    </w:lvl>
    <w:lvl w:ilvl="4">
      <w:start w:val="1"/>
      <w:numFmt w:val="lowerLetter"/>
      <w:lvlText w:val="%5."/>
      <w:lvlJc w:val="left"/>
      <w:pPr>
        <w:ind w:left="3467" w:hanging="360"/>
      </w:pPr>
    </w:lvl>
    <w:lvl w:ilvl="5">
      <w:start w:val="1"/>
      <w:numFmt w:val="lowerRoman"/>
      <w:lvlText w:val="%6."/>
      <w:lvlJc w:val="right"/>
      <w:pPr>
        <w:ind w:left="4187" w:hanging="180"/>
      </w:pPr>
    </w:lvl>
    <w:lvl w:ilvl="6">
      <w:start w:val="1"/>
      <w:numFmt w:val="decimal"/>
      <w:lvlText w:val="%7."/>
      <w:lvlJc w:val="left"/>
      <w:pPr>
        <w:ind w:left="4907" w:hanging="360"/>
      </w:pPr>
    </w:lvl>
    <w:lvl w:ilvl="7">
      <w:start w:val="1"/>
      <w:numFmt w:val="lowerLetter"/>
      <w:lvlText w:val="%8."/>
      <w:lvlJc w:val="left"/>
      <w:pPr>
        <w:ind w:left="5627" w:hanging="360"/>
      </w:pPr>
    </w:lvl>
    <w:lvl w:ilvl="8">
      <w:start w:val="1"/>
      <w:numFmt w:val="lowerRoman"/>
      <w:lvlText w:val="%9."/>
      <w:lvlJc w:val="right"/>
      <w:pPr>
        <w:ind w:left="6347" w:hanging="180"/>
      </w:pPr>
    </w:lvl>
  </w:abstractNum>
  <w:abstractNum w:abstractNumId="30" w15:restartNumberingAfterBreak="0">
    <w:nsid w:val="4700E82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9701E6A"/>
    <w:multiLevelType w:val="multilevel"/>
    <w:tmpl w:val="8FCCFCB6"/>
    <w:styleLink w:val="CurrentList13"/>
    <w:lvl w:ilvl="0">
      <w:start w:val="1"/>
      <w:numFmt w:val="decimal"/>
      <w:lvlText w:val="%1."/>
      <w:lvlJc w:val="left"/>
      <w:pPr>
        <w:ind w:left="720" w:hanging="360"/>
      </w:pPr>
      <w:rPr>
        <w:rFonts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9A042DC"/>
    <w:multiLevelType w:val="hybridMultilevel"/>
    <w:tmpl w:val="CCC43396"/>
    <w:lvl w:ilvl="0" w:tplc="6F661AA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4A4453F6"/>
    <w:multiLevelType w:val="multilevel"/>
    <w:tmpl w:val="01487F4C"/>
    <w:styleLink w:val="CurrentList1"/>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AB302E5"/>
    <w:multiLevelType w:val="hybridMultilevel"/>
    <w:tmpl w:val="B56EE6AA"/>
    <w:lvl w:ilvl="0" w:tplc="83DCFD70">
      <w:start w:val="1"/>
      <w:numFmt w:val="decimal"/>
      <w:lvlText w:val="%1."/>
      <w:lvlJc w:val="left"/>
      <w:pPr>
        <w:ind w:left="360" w:hanging="360"/>
      </w:pPr>
      <w:rPr>
        <w:rFonts w:ascii="Calibri" w:hAnsi="Calibri" w:cs="Calibri" w:hint="default"/>
        <w:sz w:val="28"/>
        <w:szCs w:val="28"/>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C7E51B8"/>
    <w:multiLevelType w:val="hybridMultilevel"/>
    <w:tmpl w:val="C930C38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4D41028D"/>
    <w:multiLevelType w:val="hybridMultilevel"/>
    <w:tmpl w:val="9536CDA6"/>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E973157"/>
    <w:multiLevelType w:val="multilevel"/>
    <w:tmpl w:val="866699FE"/>
    <w:styleLink w:val="CurrentList12"/>
    <w:lvl w:ilvl="0">
      <w:start w:val="1"/>
      <w:numFmt w:val="decimal"/>
      <w:lvlText w:val="%1."/>
      <w:lvlJc w:val="left"/>
      <w:pPr>
        <w:ind w:left="427" w:hanging="427"/>
      </w:pPr>
      <w:rPr>
        <w:rFonts w:ascii="Cambria" w:eastAsia="Cambria" w:hAnsi="Cambria" w:cs="Cambria" w:hint="default"/>
        <w:b w:val="0"/>
        <w:bCs w:val="0"/>
        <w:i w:val="0"/>
        <w:iCs w:val="0"/>
        <w:sz w:val="20"/>
        <w:szCs w:val="20"/>
      </w:rPr>
    </w:lvl>
    <w:lvl w:ilvl="1">
      <w:start w:val="2"/>
      <w:numFmt w:val="lowerLetter"/>
      <w:lvlText w:val="%2)"/>
      <w:lvlJc w:val="left"/>
      <w:pPr>
        <w:ind w:left="423" w:hanging="423"/>
      </w:pPr>
      <w:rPr>
        <w:rFonts w:ascii="Cambria" w:eastAsia="Cambria" w:hAnsi="Cambria" w:cs="Cambria" w:hint="default"/>
        <w:b w:val="0"/>
        <w:bCs w:val="0"/>
        <w:i w:val="0"/>
        <w:iCs w:val="0"/>
        <w:sz w:val="20"/>
        <w:szCs w:val="20"/>
      </w:rPr>
    </w:lvl>
    <w:lvl w:ilvl="2">
      <w:start w:val="2"/>
      <w:numFmt w:val="bullet"/>
      <w:lvlText w:val="-"/>
      <w:lvlJc w:val="left"/>
      <w:pPr>
        <w:ind w:left="1701" w:hanging="196"/>
      </w:pPr>
      <w:rPr>
        <w:rFonts w:ascii="Cambria" w:hAnsi="Cambria" w:hint="default"/>
      </w:rPr>
    </w:lvl>
    <w:lvl w:ilvl="3">
      <w:numFmt w:val="bullet"/>
      <w:lvlText w:val="•"/>
      <w:lvlJc w:val="left"/>
      <w:pPr>
        <w:ind w:left="2857" w:hanging="423"/>
      </w:pPr>
      <w:rPr>
        <w:rFonts w:hint="default"/>
      </w:rPr>
    </w:lvl>
    <w:lvl w:ilvl="4">
      <w:numFmt w:val="bullet"/>
      <w:lvlText w:val="•"/>
      <w:lvlJc w:val="left"/>
      <w:pPr>
        <w:ind w:left="3786" w:hanging="423"/>
      </w:pPr>
      <w:rPr>
        <w:rFonts w:hint="default"/>
      </w:rPr>
    </w:lvl>
    <w:lvl w:ilvl="5">
      <w:numFmt w:val="bullet"/>
      <w:lvlText w:val="•"/>
      <w:lvlJc w:val="left"/>
      <w:pPr>
        <w:ind w:left="4715" w:hanging="423"/>
      </w:pPr>
      <w:rPr>
        <w:rFonts w:hint="default"/>
      </w:rPr>
    </w:lvl>
    <w:lvl w:ilvl="6">
      <w:numFmt w:val="bullet"/>
      <w:lvlText w:val="•"/>
      <w:lvlJc w:val="left"/>
      <w:pPr>
        <w:ind w:left="5643" w:hanging="423"/>
      </w:pPr>
      <w:rPr>
        <w:rFonts w:hint="default"/>
      </w:rPr>
    </w:lvl>
    <w:lvl w:ilvl="7">
      <w:numFmt w:val="bullet"/>
      <w:lvlText w:val="•"/>
      <w:lvlJc w:val="left"/>
      <w:pPr>
        <w:ind w:left="6572" w:hanging="422"/>
      </w:pPr>
      <w:rPr>
        <w:rFonts w:hint="default"/>
      </w:rPr>
    </w:lvl>
    <w:lvl w:ilvl="8">
      <w:numFmt w:val="bullet"/>
      <w:lvlText w:val="•"/>
      <w:lvlJc w:val="left"/>
      <w:pPr>
        <w:ind w:left="7501" w:hanging="422"/>
      </w:pPr>
      <w:rPr>
        <w:rFonts w:hint="default"/>
      </w:rPr>
    </w:lvl>
  </w:abstractNum>
  <w:abstractNum w:abstractNumId="38" w15:restartNumberingAfterBreak="0">
    <w:nsid w:val="4FD5636D"/>
    <w:multiLevelType w:val="multilevel"/>
    <w:tmpl w:val="C9F8A864"/>
    <w:lvl w:ilvl="0">
      <w:numFmt w:val="bullet"/>
      <w:lvlText w:val="-"/>
      <w:lvlJc w:val="left"/>
      <w:pPr>
        <w:ind w:left="720" w:hanging="360"/>
      </w:pPr>
      <w:rPr>
        <w:rFonts w:ascii="Cambria" w:eastAsiaTheme="minorHAnsi" w:hAnsi="Cambria"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2AF4D89"/>
    <w:multiLevelType w:val="hybridMultilevel"/>
    <w:tmpl w:val="1CA68786"/>
    <w:lvl w:ilvl="0" w:tplc="3C4ED00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2C62CE1"/>
    <w:multiLevelType w:val="hybridMultilevel"/>
    <w:tmpl w:val="2370D8E0"/>
    <w:lvl w:ilvl="0" w:tplc="3C90D3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54767984"/>
    <w:multiLevelType w:val="multilevel"/>
    <w:tmpl w:val="19F4EEF2"/>
    <w:styleLink w:val="CurrentList5"/>
    <w:lvl w:ilvl="0">
      <w:start w:val="1"/>
      <w:numFmt w:val="lowerRoman"/>
      <w:lvlText w:val="(%1)"/>
      <w:lvlJc w:val="left"/>
      <w:pPr>
        <w:ind w:left="510" w:hanging="51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5851441"/>
    <w:multiLevelType w:val="hybridMultilevel"/>
    <w:tmpl w:val="3EEC403E"/>
    <w:lvl w:ilvl="0" w:tplc="2C0060AA">
      <w:start w:val="1"/>
      <w:numFmt w:val="decimal"/>
      <w:lvlText w:val="%1."/>
      <w:lvlJc w:val="left"/>
      <w:pPr>
        <w:ind w:left="720" w:hanging="72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60717D3"/>
    <w:multiLevelType w:val="multilevel"/>
    <w:tmpl w:val="64BAA5C0"/>
    <w:lvl w:ilvl="0">
      <w:start w:val="1"/>
      <w:numFmt w:val="decimal"/>
      <w:lvlText w:val="%1."/>
      <w:lvlJc w:val="left"/>
      <w:pPr>
        <w:ind w:left="427" w:hanging="427"/>
      </w:pPr>
      <w:rPr>
        <w:rFonts w:ascii="Cambria" w:eastAsia="Cambria" w:hAnsi="Cambria" w:cs="Cambria" w:hint="default"/>
        <w:b w:val="0"/>
        <w:bCs w:val="0"/>
        <w:i w:val="0"/>
        <w:iCs w:val="0"/>
        <w:sz w:val="20"/>
        <w:szCs w:val="20"/>
      </w:rPr>
    </w:lvl>
    <w:lvl w:ilvl="1">
      <w:start w:val="2"/>
      <w:numFmt w:val="lowerLetter"/>
      <w:lvlText w:val="%2)"/>
      <w:lvlJc w:val="left"/>
      <w:pPr>
        <w:ind w:left="423" w:hanging="423"/>
      </w:pPr>
      <w:rPr>
        <w:rFonts w:ascii="Cambria" w:eastAsia="Cambria" w:hAnsi="Cambria" w:cs="Cambria" w:hint="default"/>
        <w:b w:val="0"/>
        <w:bCs w:val="0"/>
        <w:i w:val="0"/>
        <w:iCs w:val="0"/>
        <w:sz w:val="20"/>
        <w:szCs w:val="20"/>
      </w:rPr>
    </w:lvl>
    <w:lvl w:ilvl="2">
      <w:start w:val="2"/>
      <w:numFmt w:val="bullet"/>
      <w:lvlText w:val="-"/>
      <w:lvlJc w:val="left"/>
      <w:pPr>
        <w:ind w:left="1701" w:hanging="567"/>
      </w:pPr>
      <w:rPr>
        <w:rFonts w:ascii="Cambria" w:hAnsi="Cambria" w:hint="default"/>
      </w:rPr>
    </w:lvl>
    <w:lvl w:ilvl="3">
      <w:numFmt w:val="bullet"/>
      <w:lvlText w:val="•"/>
      <w:lvlJc w:val="left"/>
      <w:pPr>
        <w:ind w:left="2857" w:hanging="423"/>
      </w:pPr>
      <w:rPr>
        <w:rFonts w:hint="default"/>
      </w:rPr>
    </w:lvl>
    <w:lvl w:ilvl="4">
      <w:numFmt w:val="bullet"/>
      <w:lvlText w:val="•"/>
      <w:lvlJc w:val="left"/>
      <w:pPr>
        <w:ind w:left="3786" w:hanging="423"/>
      </w:pPr>
      <w:rPr>
        <w:rFonts w:hint="default"/>
      </w:rPr>
    </w:lvl>
    <w:lvl w:ilvl="5">
      <w:numFmt w:val="bullet"/>
      <w:lvlText w:val="•"/>
      <w:lvlJc w:val="left"/>
      <w:pPr>
        <w:ind w:left="4715" w:hanging="423"/>
      </w:pPr>
      <w:rPr>
        <w:rFonts w:hint="default"/>
      </w:rPr>
    </w:lvl>
    <w:lvl w:ilvl="6">
      <w:numFmt w:val="bullet"/>
      <w:lvlText w:val="•"/>
      <w:lvlJc w:val="left"/>
      <w:pPr>
        <w:ind w:left="5643" w:hanging="423"/>
      </w:pPr>
      <w:rPr>
        <w:rFonts w:hint="default"/>
      </w:rPr>
    </w:lvl>
    <w:lvl w:ilvl="7">
      <w:numFmt w:val="bullet"/>
      <w:lvlText w:val="•"/>
      <w:lvlJc w:val="left"/>
      <w:pPr>
        <w:ind w:left="6572" w:hanging="422"/>
      </w:pPr>
      <w:rPr>
        <w:rFonts w:hint="default"/>
      </w:rPr>
    </w:lvl>
    <w:lvl w:ilvl="8">
      <w:numFmt w:val="bullet"/>
      <w:lvlText w:val="•"/>
      <w:lvlJc w:val="left"/>
      <w:pPr>
        <w:ind w:left="7501" w:hanging="422"/>
      </w:pPr>
      <w:rPr>
        <w:rFonts w:hint="default"/>
      </w:rPr>
    </w:lvl>
  </w:abstractNum>
  <w:abstractNum w:abstractNumId="44" w15:restartNumberingAfterBreak="0">
    <w:nsid w:val="59334FAE"/>
    <w:multiLevelType w:val="hybridMultilevel"/>
    <w:tmpl w:val="EE12E678"/>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BAB7784"/>
    <w:multiLevelType w:val="hybridMultilevel"/>
    <w:tmpl w:val="B4907486"/>
    <w:lvl w:ilvl="0" w:tplc="38A8F05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5D497563"/>
    <w:multiLevelType w:val="hybridMultilevel"/>
    <w:tmpl w:val="38E298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DA54620"/>
    <w:multiLevelType w:val="hybridMultilevel"/>
    <w:tmpl w:val="C44412DC"/>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F77204D"/>
    <w:multiLevelType w:val="hybridMultilevel"/>
    <w:tmpl w:val="E212561C"/>
    <w:lvl w:ilvl="0" w:tplc="7D5CBE8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635F6C8D"/>
    <w:multiLevelType w:val="hybridMultilevel"/>
    <w:tmpl w:val="A1C6A0DA"/>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0440B4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75435265"/>
    <w:multiLevelType w:val="hybridMultilevel"/>
    <w:tmpl w:val="D9C61A80"/>
    <w:lvl w:ilvl="0" w:tplc="7312EFE6">
      <w:start w:val="2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2" w15:restartNumberingAfterBreak="0">
    <w:nsid w:val="76706D6F"/>
    <w:multiLevelType w:val="multilevel"/>
    <w:tmpl w:val="50BEFDBA"/>
    <w:styleLink w:val="CurrentList10"/>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6711B57"/>
    <w:multiLevelType w:val="hybridMultilevel"/>
    <w:tmpl w:val="4A401152"/>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7B70673"/>
    <w:multiLevelType w:val="hybridMultilevel"/>
    <w:tmpl w:val="70501492"/>
    <w:lvl w:ilvl="0" w:tplc="B314B1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78CB59E7"/>
    <w:multiLevelType w:val="multilevel"/>
    <w:tmpl w:val="EDDEF798"/>
    <w:styleLink w:val="CurrentList11"/>
    <w:lvl w:ilvl="0">
      <w:start w:val="1"/>
      <w:numFmt w:val="decimal"/>
      <w:lvlText w:val="%1."/>
      <w:lvlJc w:val="left"/>
      <w:pPr>
        <w:ind w:left="427" w:hanging="427"/>
      </w:pPr>
      <w:rPr>
        <w:rFonts w:ascii="Cambria" w:eastAsia="Cambria" w:hAnsi="Cambria" w:cs="Cambria"/>
        <w:b w:val="0"/>
        <w:bCs w:val="0"/>
        <w:i w:val="0"/>
        <w:iCs w:val="0"/>
        <w:sz w:val="20"/>
        <w:szCs w:val="20"/>
      </w:rPr>
    </w:lvl>
    <w:lvl w:ilvl="1">
      <w:start w:val="2"/>
      <w:numFmt w:val="lowerLetter"/>
      <w:lvlText w:val="%2)"/>
      <w:lvlJc w:val="left"/>
      <w:pPr>
        <w:ind w:left="423" w:hanging="423"/>
      </w:pPr>
      <w:rPr>
        <w:rFonts w:ascii="Cambria" w:eastAsia="Cambria" w:hAnsi="Cambria" w:cs="Cambria"/>
        <w:b w:val="0"/>
        <w:bCs w:val="0"/>
        <w:i w:val="0"/>
        <w:iCs w:val="0"/>
        <w:sz w:val="20"/>
        <w:szCs w:val="20"/>
      </w:rPr>
    </w:lvl>
    <w:lvl w:ilvl="2">
      <w:start w:val="2"/>
      <w:numFmt w:val="bullet"/>
      <w:lvlText w:val="-"/>
      <w:lvlJc w:val="left"/>
      <w:pPr>
        <w:ind w:left="1865" w:hanging="360"/>
      </w:pPr>
      <w:rPr>
        <w:rFonts w:ascii="Cambria" w:eastAsia="Times New Roman" w:hAnsi="Cambria" w:cs="Times New Roman" w:hint="default"/>
      </w:rPr>
    </w:lvl>
    <w:lvl w:ilvl="3">
      <w:numFmt w:val="bullet"/>
      <w:lvlText w:val="•"/>
      <w:lvlJc w:val="left"/>
      <w:pPr>
        <w:ind w:left="2857" w:hanging="423"/>
      </w:pPr>
    </w:lvl>
    <w:lvl w:ilvl="4">
      <w:numFmt w:val="bullet"/>
      <w:lvlText w:val="•"/>
      <w:lvlJc w:val="left"/>
      <w:pPr>
        <w:ind w:left="3786" w:hanging="423"/>
      </w:pPr>
    </w:lvl>
    <w:lvl w:ilvl="5">
      <w:numFmt w:val="bullet"/>
      <w:lvlText w:val="•"/>
      <w:lvlJc w:val="left"/>
      <w:pPr>
        <w:ind w:left="4715" w:hanging="423"/>
      </w:pPr>
    </w:lvl>
    <w:lvl w:ilvl="6">
      <w:numFmt w:val="bullet"/>
      <w:lvlText w:val="•"/>
      <w:lvlJc w:val="left"/>
      <w:pPr>
        <w:ind w:left="5643" w:hanging="423"/>
      </w:pPr>
    </w:lvl>
    <w:lvl w:ilvl="7">
      <w:numFmt w:val="bullet"/>
      <w:lvlText w:val="•"/>
      <w:lvlJc w:val="left"/>
      <w:pPr>
        <w:ind w:left="6572" w:hanging="422"/>
      </w:pPr>
    </w:lvl>
    <w:lvl w:ilvl="8">
      <w:numFmt w:val="bullet"/>
      <w:lvlText w:val="•"/>
      <w:lvlJc w:val="left"/>
      <w:pPr>
        <w:ind w:left="7501" w:hanging="422"/>
      </w:pPr>
    </w:lvl>
  </w:abstractNum>
  <w:abstractNum w:abstractNumId="56" w15:restartNumberingAfterBreak="0">
    <w:nsid w:val="799F122B"/>
    <w:multiLevelType w:val="hybridMultilevel"/>
    <w:tmpl w:val="FE0A4846"/>
    <w:lvl w:ilvl="0" w:tplc="56C072D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 w15:restartNumberingAfterBreak="0">
    <w:nsid w:val="7ABE2167"/>
    <w:multiLevelType w:val="hybridMultilevel"/>
    <w:tmpl w:val="04220644"/>
    <w:lvl w:ilvl="0" w:tplc="A204FA32">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58" w15:restartNumberingAfterBreak="0">
    <w:nsid w:val="7BB4041C"/>
    <w:multiLevelType w:val="hybridMultilevel"/>
    <w:tmpl w:val="5E402AAC"/>
    <w:lvl w:ilvl="0" w:tplc="15501AB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07963056">
    <w:abstractNumId w:val="34"/>
  </w:num>
  <w:num w:numId="2" w16cid:durableId="850336922">
    <w:abstractNumId w:val="2"/>
  </w:num>
  <w:num w:numId="3" w16cid:durableId="1200630071">
    <w:abstractNumId w:val="33"/>
  </w:num>
  <w:num w:numId="4" w16cid:durableId="258833208">
    <w:abstractNumId w:val="22"/>
  </w:num>
  <w:num w:numId="5" w16cid:durableId="2077120241">
    <w:abstractNumId w:val="7"/>
  </w:num>
  <w:num w:numId="6" w16cid:durableId="242839299">
    <w:abstractNumId w:val="11"/>
  </w:num>
  <w:num w:numId="7" w16cid:durableId="2140102840">
    <w:abstractNumId w:val="41"/>
  </w:num>
  <w:num w:numId="8" w16cid:durableId="400055535">
    <w:abstractNumId w:val="29"/>
  </w:num>
  <w:num w:numId="9" w16cid:durableId="429593173">
    <w:abstractNumId w:val="26"/>
  </w:num>
  <w:num w:numId="10" w16cid:durableId="1520655676">
    <w:abstractNumId w:val="46"/>
  </w:num>
  <w:num w:numId="11" w16cid:durableId="1119953627">
    <w:abstractNumId w:val="3"/>
  </w:num>
  <w:num w:numId="12" w16cid:durableId="1919241734">
    <w:abstractNumId w:val="58"/>
  </w:num>
  <w:num w:numId="13" w16cid:durableId="730345640">
    <w:abstractNumId w:val="35"/>
  </w:num>
  <w:num w:numId="14" w16cid:durableId="641814865">
    <w:abstractNumId w:val="27"/>
  </w:num>
  <w:num w:numId="15" w16cid:durableId="110785383">
    <w:abstractNumId w:val="10"/>
  </w:num>
  <w:num w:numId="16" w16cid:durableId="1390759795">
    <w:abstractNumId w:val="39"/>
  </w:num>
  <w:num w:numId="17" w16cid:durableId="946542940">
    <w:abstractNumId w:val="45"/>
  </w:num>
  <w:num w:numId="18" w16cid:durableId="580679778">
    <w:abstractNumId w:val="40"/>
  </w:num>
  <w:num w:numId="19" w16cid:durableId="634410702">
    <w:abstractNumId w:val="8"/>
  </w:num>
  <w:num w:numId="20" w16cid:durableId="1387295113">
    <w:abstractNumId w:val="4"/>
  </w:num>
  <w:num w:numId="21" w16cid:durableId="1762412123">
    <w:abstractNumId w:val="9"/>
  </w:num>
  <w:num w:numId="22" w16cid:durableId="232396508">
    <w:abstractNumId w:val="38"/>
  </w:num>
  <w:num w:numId="23" w16cid:durableId="1867795098">
    <w:abstractNumId w:val="13"/>
  </w:num>
  <w:num w:numId="24" w16cid:durableId="605313377">
    <w:abstractNumId w:val="5"/>
  </w:num>
  <w:num w:numId="25" w16cid:durableId="1002125381">
    <w:abstractNumId w:val="17"/>
  </w:num>
  <w:num w:numId="26" w16cid:durableId="2027561313">
    <w:abstractNumId w:val="15"/>
  </w:num>
  <w:num w:numId="27" w16cid:durableId="1318458730">
    <w:abstractNumId w:val="24"/>
  </w:num>
  <w:num w:numId="28" w16cid:durableId="1448767583">
    <w:abstractNumId w:val="56"/>
  </w:num>
  <w:num w:numId="29" w16cid:durableId="2099859241">
    <w:abstractNumId w:val="25"/>
  </w:num>
  <w:num w:numId="30" w16cid:durableId="926306769">
    <w:abstractNumId w:val="19"/>
  </w:num>
  <w:num w:numId="31" w16cid:durableId="658458609">
    <w:abstractNumId w:val="49"/>
  </w:num>
  <w:num w:numId="32" w16cid:durableId="156380465">
    <w:abstractNumId w:val="52"/>
  </w:num>
  <w:num w:numId="33" w16cid:durableId="1733115113">
    <w:abstractNumId w:val="44"/>
  </w:num>
  <w:num w:numId="34" w16cid:durableId="54279897">
    <w:abstractNumId w:val="12"/>
  </w:num>
  <w:num w:numId="35" w16cid:durableId="1185513048">
    <w:abstractNumId w:val="48"/>
  </w:num>
  <w:num w:numId="36" w16cid:durableId="1516653260">
    <w:abstractNumId w:val="36"/>
  </w:num>
  <w:num w:numId="37" w16cid:durableId="1955408013">
    <w:abstractNumId w:val="16"/>
  </w:num>
  <w:num w:numId="38" w16cid:durableId="1119422342">
    <w:abstractNumId w:val="28"/>
  </w:num>
  <w:num w:numId="39" w16cid:durableId="919367234">
    <w:abstractNumId w:val="51"/>
  </w:num>
  <w:num w:numId="40" w16cid:durableId="1935169313">
    <w:abstractNumId w:val="47"/>
  </w:num>
  <w:num w:numId="41" w16cid:durableId="856307685">
    <w:abstractNumId w:val="20"/>
  </w:num>
  <w:num w:numId="42" w16cid:durableId="693655205">
    <w:abstractNumId w:val="32"/>
  </w:num>
  <w:num w:numId="43" w16cid:durableId="370421053">
    <w:abstractNumId w:val="42"/>
  </w:num>
  <w:num w:numId="44" w16cid:durableId="2105225471">
    <w:abstractNumId w:val="54"/>
  </w:num>
  <w:num w:numId="45" w16cid:durableId="1631323429">
    <w:abstractNumId w:val="6"/>
  </w:num>
  <w:num w:numId="46" w16cid:durableId="152844358">
    <w:abstractNumId w:val="43"/>
  </w:num>
  <w:num w:numId="47" w16cid:durableId="707723821">
    <w:abstractNumId w:val="14"/>
  </w:num>
  <w:num w:numId="48" w16cid:durableId="1465583622">
    <w:abstractNumId w:val="21"/>
  </w:num>
  <w:num w:numId="49" w16cid:durableId="12922379">
    <w:abstractNumId w:val="0"/>
  </w:num>
  <w:num w:numId="50" w16cid:durableId="355620706">
    <w:abstractNumId w:val="1"/>
  </w:num>
  <w:num w:numId="51" w16cid:durableId="515925857">
    <w:abstractNumId w:val="18"/>
  </w:num>
  <w:num w:numId="52" w16cid:durableId="1196844954">
    <w:abstractNumId w:val="50"/>
  </w:num>
  <w:num w:numId="53" w16cid:durableId="1139031205">
    <w:abstractNumId w:val="23"/>
  </w:num>
  <w:num w:numId="54" w16cid:durableId="1288731215">
    <w:abstractNumId w:val="30"/>
  </w:num>
  <w:num w:numId="55" w16cid:durableId="751585394">
    <w:abstractNumId w:val="55"/>
  </w:num>
  <w:num w:numId="56" w16cid:durableId="169374875">
    <w:abstractNumId w:val="37"/>
  </w:num>
  <w:num w:numId="57" w16cid:durableId="224797932">
    <w:abstractNumId w:val="31"/>
  </w:num>
  <w:num w:numId="58" w16cid:durableId="1941403741">
    <w:abstractNumId w:val="57"/>
  </w:num>
  <w:num w:numId="59" w16cid:durableId="1486316761">
    <w:abstractNumId w:val="5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43F"/>
    <w:rsid w:val="00002378"/>
    <w:rsid w:val="00003021"/>
    <w:rsid w:val="00013958"/>
    <w:rsid w:val="00017C3E"/>
    <w:rsid w:val="00023536"/>
    <w:rsid w:val="000248EC"/>
    <w:rsid w:val="0002781E"/>
    <w:rsid w:val="000302B3"/>
    <w:rsid w:val="00031F27"/>
    <w:rsid w:val="0003277A"/>
    <w:rsid w:val="00041C09"/>
    <w:rsid w:val="00043440"/>
    <w:rsid w:val="000548CD"/>
    <w:rsid w:val="00065AD0"/>
    <w:rsid w:val="00070E8C"/>
    <w:rsid w:val="00072968"/>
    <w:rsid w:val="00073E2C"/>
    <w:rsid w:val="00080D32"/>
    <w:rsid w:val="00083B05"/>
    <w:rsid w:val="000913B9"/>
    <w:rsid w:val="00092C98"/>
    <w:rsid w:val="00093FAC"/>
    <w:rsid w:val="00094234"/>
    <w:rsid w:val="00095837"/>
    <w:rsid w:val="000A5E97"/>
    <w:rsid w:val="000A758C"/>
    <w:rsid w:val="000C0688"/>
    <w:rsid w:val="000C2B14"/>
    <w:rsid w:val="000C7C41"/>
    <w:rsid w:val="000E0E45"/>
    <w:rsid w:val="000E3753"/>
    <w:rsid w:val="000E706C"/>
    <w:rsid w:val="000F2033"/>
    <w:rsid w:val="000F3DCF"/>
    <w:rsid w:val="001006F9"/>
    <w:rsid w:val="00102E27"/>
    <w:rsid w:val="00124D66"/>
    <w:rsid w:val="001253B5"/>
    <w:rsid w:val="0013089E"/>
    <w:rsid w:val="001402A3"/>
    <w:rsid w:val="00140340"/>
    <w:rsid w:val="001502D6"/>
    <w:rsid w:val="001508A3"/>
    <w:rsid w:val="00156BCB"/>
    <w:rsid w:val="001732D1"/>
    <w:rsid w:val="00186874"/>
    <w:rsid w:val="00193017"/>
    <w:rsid w:val="001A3D88"/>
    <w:rsid w:val="001A478A"/>
    <w:rsid w:val="001A4EE0"/>
    <w:rsid w:val="001A5B85"/>
    <w:rsid w:val="001B44F8"/>
    <w:rsid w:val="001B6B8F"/>
    <w:rsid w:val="001C0D63"/>
    <w:rsid w:val="001D3F4A"/>
    <w:rsid w:val="001E7196"/>
    <w:rsid w:val="001F1B2F"/>
    <w:rsid w:val="001F498A"/>
    <w:rsid w:val="001F579C"/>
    <w:rsid w:val="00200B81"/>
    <w:rsid w:val="0020209B"/>
    <w:rsid w:val="00211AE2"/>
    <w:rsid w:val="002149F2"/>
    <w:rsid w:val="00221A14"/>
    <w:rsid w:val="00221BD8"/>
    <w:rsid w:val="0022401F"/>
    <w:rsid w:val="00225ADA"/>
    <w:rsid w:val="00226142"/>
    <w:rsid w:val="002437BF"/>
    <w:rsid w:val="00245F09"/>
    <w:rsid w:val="002535D7"/>
    <w:rsid w:val="00264440"/>
    <w:rsid w:val="00265BA9"/>
    <w:rsid w:val="0027113E"/>
    <w:rsid w:val="00271ED9"/>
    <w:rsid w:val="002721E3"/>
    <w:rsid w:val="00276796"/>
    <w:rsid w:val="00280989"/>
    <w:rsid w:val="00287EAD"/>
    <w:rsid w:val="00290626"/>
    <w:rsid w:val="002932A7"/>
    <w:rsid w:val="00295DF3"/>
    <w:rsid w:val="0029642A"/>
    <w:rsid w:val="002973B5"/>
    <w:rsid w:val="002B03ED"/>
    <w:rsid w:val="002C220D"/>
    <w:rsid w:val="002D1169"/>
    <w:rsid w:val="002E4ADA"/>
    <w:rsid w:val="002F19C3"/>
    <w:rsid w:val="002F4847"/>
    <w:rsid w:val="00303234"/>
    <w:rsid w:val="00303A44"/>
    <w:rsid w:val="00305B5A"/>
    <w:rsid w:val="00312606"/>
    <w:rsid w:val="0031528A"/>
    <w:rsid w:val="003157D9"/>
    <w:rsid w:val="003163F0"/>
    <w:rsid w:val="003318D4"/>
    <w:rsid w:val="00331FB3"/>
    <w:rsid w:val="00333BA6"/>
    <w:rsid w:val="00345BA4"/>
    <w:rsid w:val="00345CED"/>
    <w:rsid w:val="00347104"/>
    <w:rsid w:val="00361938"/>
    <w:rsid w:val="0036281F"/>
    <w:rsid w:val="00373E27"/>
    <w:rsid w:val="0037439E"/>
    <w:rsid w:val="00375EB0"/>
    <w:rsid w:val="00383E70"/>
    <w:rsid w:val="0039326D"/>
    <w:rsid w:val="00396CA2"/>
    <w:rsid w:val="003A022B"/>
    <w:rsid w:val="003A2214"/>
    <w:rsid w:val="003A2671"/>
    <w:rsid w:val="003A6B24"/>
    <w:rsid w:val="003B03BC"/>
    <w:rsid w:val="003B1C8F"/>
    <w:rsid w:val="003C237A"/>
    <w:rsid w:val="003C3AD9"/>
    <w:rsid w:val="003C4EBD"/>
    <w:rsid w:val="003C573D"/>
    <w:rsid w:val="003C7F41"/>
    <w:rsid w:val="003D1A9D"/>
    <w:rsid w:val="003D2EE0"/>
    <w:rsid w:val="003D3D00"/>
    <w:rsid w:val="003D6712"/>
    <w:rsid w:val="003E5B25"/>
    <w:rsid w:val="003F07EE"/>
    <w:rsid w:val="003F6BB8"/>
    <w:rsid w:val="00415363"/>
    <w:rsid w:val="004332FD"/>
    <w:rsid w:val="0043640B"/>
    <w:rsid w:val="004571F0"/>
    <w:rsid w:val="0046132F"/>
    <w:rsid w:val="00461BE3"/>
    <w:rsid w:val="0046317E"/>
    <w:rsid w:val="00463687"/>
    <w:rsid w:val="004658F1"/>
    <w:rsid w:val="00470383"/>
    <w:rsid w:val="00475C60"/>
    <w:rsid w:val="00484AA3"/>
    <w:rsid w:val="004A5F8B"/>
    <w:rsid w:val="004C6C49"/>
    <w:rsid w:val="004D138C"/>
    <w:rsid w:val="004D4AE2"/>
    <w:rsid w:val="004E7722"/>
    <w:rsid w:val="004F09F0"/>
    <w:rsid w:val="004F44BF"/>
    <w:rsid w:val="0050027E"/>
    <w:rsid w:val="005103C7"/>
    <w:rsid w:val="00512F71"/>
    <w:rsid w:val="00517090"/>
    <w:rsid w:val="00523099"/>
    <w:rsid w:val="00531160"/>
    <w:rsid w:val="00534D78"/>
    <w:rsid w:val="005370E5"/>
    <w:rsid w:val="005473C1"/>
    <w:rsid w:val="00560753"/>
    <w:rsid w:val="00560C09"/>
    <w:rsid w:val="00566B4D"/>
    <w:rsid w:val="0057254D"/>
    <w:rsid w:val="0057470D"/>
    <w:rsid w:val="005A74A4"/>
    <w:rsid w:val="005C0B50"/>
    <w:rsid w:val="005C52AE"/>
    <w:rsid w:val="005C5C75"/>
    <w:rsid w:val="005D21E1"/>
    <w:rsid w:val="005D3926"/>
    <w:rsid w:val="005E024C"/>
    <w:rsid w:val="005E0452"/>
    <w:rsid w:val="005E2388"/>
    <w:rsid w:val="005E2732"/>
    <w:rsid w:val="005E6F7A"/>
    <w:rsid w:val="00604472"/>
    <w:rsid w:val="0061534C"/>
    <w:rsid w:val="00620872"/>
    <w:rsid w:val="00620B3D"/>
    <w:rsid w:val="00621056"/>
    <w:rsid w:val="00624FF9"/>
    <w:rsid w:val="00627BB2"/>
    <w:rsid w:val="00630EEE"/>
    <w:rsid w:val="006322FC"/>
    <w:rsid w:val="00646FBB"/>
    <w:rsid w:val="006510DE"/>
    <w:rsid w:val="00654009"/>
    <w:rsid w:val="00655A38"/>
    <w:rsid w:val="00670A26"/>
    <w:rsid w:val="00672F37"/>
    <w:rsid w:val="0068171C"/>
    <w:rsid w:val="0069637C"/>
    <w:rsid w:val="00696860"/>
    <w:rsid w:val="006A025D"/>
    <w:rsid w:val="006A1BDD"/>
    <w:rsid w:val="006B3ABC"/>
    <w:rsid w:val="006C0D42"/>
    <w:rsid w:val="006C6735"/>
    <w:rsid w:val="006C71BA"/>
    <w:rsid w:val="006D7AE5"/>
    <w:rsid w:val="006E3218"/>
    <w:rsid w:val="006E351A"/>
    <w:rsid w:val="006E5E6B"/>
    <w:rsid w:val="006E791B"/>
    <w:rsid w:val="006F4C4E"/>
    <w:rsid w:val="00707AA3"/>
    <w:rsid w:val="0072388A"/>
    <w:rsid w:val="00727524"/>
    <w:rsid w:val="007350A2"/>
    <w:rsid w:val="00737D96"/>
    <w:rsid w:val="00746E7C"/>
    <w:rsid w:val="00746EE4"/>
    <w:rsid w:val="00751414"/>
    <w:rsid w:val="00757E45"/>
    <w:rsid w:val="007631E2"/>
    <w:rsid w:val="00763544"/>
    <w:rsid w:val="007659DF"/>
    <w:rsid w:val="007665B9"/>
    <w:rsid w:val="00767F77"/>
    <w:rsid w:val="0077261E"/>
    <w:rsid w:val="007765EB"/>
    <w:rsid w:val="007A201C"/>
    <w:rsid w:val="007A3D3B"/>
    <w:rsid w:val="007A5DCD"/>
    <w:rsid w:val="007B6643"/>
    <w:rsid w:val="007C267C"/>
    <w:rsid w:val="007D028B"/>
    <w:rsid w:val="007D28C9"/>
    <w:rsid w:val="007E652D"/>
    <w:rsid w:val="007E7E5B"/>
    <w:rsid w:val="007F6DED"/>
    <w:rsid w:val="00804470"/>
    <w:rsid w:val="00807A42"/>
    <w:rsid w:val="00810514"/>
    <w:rsid w:val="00826544"/>
    <w:rsid w:val="00846617"/>
    <w:rsid w:val="00852B3A"/>
    <w:rsid w:val="00855AA1"/>
    <w:rsid w:val="00855D32"/>
    <w:rsid w:val="00860B4C"/>
    <w:rsid w:val="00867F47"/>
    <w:rsid w:val="00870870"/>
    <w:rsid w:val="00876C4A"/>
    <w:rsid w:val="008820A6"/>
    <w:rsid w:val="008837DB"/>
    <w:rsid w:val="00893D05"/>
    <w:rsid w:val="008A22D9"/>
    <w:rsid w:val="008A30E9"/>
    <w:rsid w:val="008A37C7"/>
    <w:rsid w:val="008A55DB"/>
    <w:rsid w:val="008B4A0B"/>
    <w:rsid w:val="008C065C"/>
    <w:rsid w:val="008D287F"/>
    <w:rsid w:val="008D33C4"/>
    <w:rsid w:val="008D5E12"/>
    <w:rsid w:val="008D60CB"/>
    <w:rsid w:val="008D6959"/>
    <w:rsid w:val="008D6BC4"/>
    <w:rsid w:val="008F4E61"/>
    <w:rsid w:val="008F71E4"/>
    <w:rsid w:val="00911403"/>
    <w:rsid w:val="00926112"/>
    <w:rsid w:val="00937FEA"/>
    <w:rsid w:val="009407B8"/>
    <w:rsid w:val="00945589"/>
    <w:rsid w:val="00946511"/>
    <w:rsid w:val="00956A1E"/>
    <w:rsid w:val="009618DF"/>
    <w:rsid w:val="00967E6D"/>
    <w:rsid w:val="00971A30"/>
    <w:rsid w:val="00977CBA"/>
    <w:rsid w:val="00983791"/>
    <w:rsid w:val="00985BBE"/>
    <w:rsid w:val="00992854"/>
    <w:rsid w:val="00993AC4"/>
    <w:rsid w:val="00994D20"/>
    <w:rsid w:val="009A47A2"/>
    <w:rsid w:val="009A5B78"/>
    <w:rsid w:val="009B0EE0"/>
    <w:rsid w:val="009B284D"/>
    <w:rsid w:val="009B769D"/>
    <w:rsid w:val="009C675B"/>
    <w:rsid w:val="009D0731"/>
    <w:rsid w:val="009D5421"/>
    <w:rsid w:val="009E18D6"/>
    <w:rsid w:val="009E50B9"/>
    <w:rsid w:val="009F1C41"/>
    <w:rsid w:val="00A02B28"/>
    <w:rsid w:val="00A07BB2"/>
    <w:rsid w:val="00A16E37"/>
    <w:rsid w:val="00A43008"/>
    <w:rsid w:val="00A44391"/>
    <w:rsid w:val="00A53909"/>
    <w:rsid w:val="00A5443F"/>
    <w:rsid w:val="00A60578"/>
    <w:rsid w:val="00A62AE3"/>
    <w:rsid w:val="00A64B64"/>
    <w:rsid w:val="00A65BCF"/>
    <w:rsid w:val="00A8173C"/>
    <w:rsid w:val="00A94227"/>
    <w:rsid w:val="00A94569"/>
    <w:rsid w:val="00A958A7"/>
    <w:rsid w:val="00AB17F6"/>
    <w:rsid w:val="00AB3AE4"/>
    <w:rsid w:val="00AB528A"/>
    <w:rsid w:val="00AC0874"/>
    <w:rsid w:val="00AC321B"/>
    <w:rsid w:val="00AD3D89"/>
    <w:rsid w:val="00AD5507"/>
    <w:rsid w:val="00AE0B69"/>
    <w:rsid w:val="00AE5802"/>
    <w:rsid w:val="00AF12D5"/>
    <w:rsid w:val="00AF4BC9"/>
    <w:rsid w:val="00AF6D0B"/>
    <w:rsid w:val="00B10980"/>
    <w:rsid w:val="00B1135C"/>
    <w:rsid w:val="00B133E1"/>
    <w:rsid w:val="00B47EA4"/>
    <w:rsid w:val="00B53BA5"/>
    <w:rsid w:val="00B65DCD"/>
    <w:rsid w:val="00B670A7"/>
    <w:rsid w:val="00B7039B"/>
    <w:rsid w:val="00B70BFD"/>
    <w:rsid w:val="00B7553F"/>
    <w:rsid w:val="00B77F2F"/>
    <w:rsid w:val="00B960CF"/>
    <w:rsid w:val="00BA56F4"/>
    <w:rsid w:val="00BA705D"/>
    <w:rsid w:val="00BA7925"/>
    <w:rsid w:val="00BD061D"/>
    <w:rsid w:val="00BD5658"/>
    <w:rsid w:val="00BE0B18"/>
    <w:rsid w:val="00BE273D"/>
    <w:rsid w:val="00BE5480"/>
    <w:rsid w:val="00BE7209"/>
    <w:rsid w:val="00BF04E4"/>
    <w:rsid w:val="00BF2D30"/>
    <w:rsid w:val="00C0076A"/>
    <w:rsid w:val="00C07BAE"/>
    <w:rsid w:val="00C10A50"/>
    <w:rsid w:val="00C158E5"/>
    <w:rsid w:val="00C20258"/>
    <w:rsid w:val="00C20797"/>
    <w:rsid w:val="00C30B88"/>
    <w:rsid w:val="00C321D0"/>
    <w:rsid w:val="00C41B0C"/>
    <w:rsid w:val="00C45643"/>
    <w:rsid w:val="00C45A1B"/>
    <w:rsid w:val="00C52C41"/>
    <w:rsid w:val="00C570C8"/>
    <w:rsid w:val="00C60438"/>
    <w:rsid w:val="00C60959"/>
    <w:rsid w:val="00C63947"/>
    <w:rsid w:val="00C67612"/>
    <w:rsid w:val="00C71473"/>
    <w:rsid w:val="00C810B0"/>
    <w:rsid w:val="00C85229"/>
    <w:rsid w:val="00C85EAD"/>
    <w:rsid w:val="00C86080"/>
    <w:rsid w:val="00C92FA9"/>
    <w:rsid w:val="00C95351"/>
    <w:rsid w:val="00CA06A7"/>
    <w:rsid w:val="00CA3182"/>
    <w:rsid w:val="00CA50C9"/>
    <w:rsid w:val="00CA6B77"/>
    <w:rsid w:val="00CB39B2"/>
    <w:rsid w:val="00CC607E"/>
    <w:rsid w:val="00CC630D"/>
    <w:rsid w:val="00CD2F6C"/>
    <w:rsid w:val="00CD6A24"/>
    <w:rsid w:val="00CE7E0B"/>
    <w:rsid w:val="00D157CF"/>
    <w:rsid w:val="00D23487"/>
    <w:rsid w:val="00D238D4"/>
    <w:rsid w:val="00D414B4"/>
    <w:rsid w:val="00D438B3"/>
    <w:rsid w:val="00D43EBC"/>
    <w:rsid w:val="00D51746"/>
    <w:rsid w:val="00D65BE6"/>
    <w:rsid w:val="00D6661F"/>
    <w:rsid w:val="00DA02C7"/>
    <w:rsid w:val="00DA20E4"/>
    <w:rsid w:val="00DA3C22"/>
    <w:rsid w:val="00DA587E"/>
    <w:rsid w:val="00DC05B2"/>
    <w:rsid w:val="00DC49DD"/>
    <w:rsid w:val="00DC7B0A"/>
    <w:rsid w:val="00DD28E5"/>
    <w:rsid w:val="00DD6770"/>
    <w:rsid w:val="00DE2673"/>
    <w:rsid w:val="00DF19DC"/>
    <w:rsid w:val="00E06838"/>
    <w:rsid w:val="00E103CD"/>
    <w:rsid w:val="00E132AE"/>
    <w:rsid w:val="00E159E4"/>
    <w:rsid w:val="00E172B0"/>
    <w:rsid w:val="00E17B6E"/>
    <w:rsid w:val="00E37D72"/>
    <w:rsid w:val="00E4118F"/>
    <w:rsid w:val="00E43F50"/>
    <w:rsid w:val="00E65F48"/>
    <w:rsid w:val="00E66EA4"/>
    <w:rsid w:val="00E74D94"/>
    <w:rsid w:val="00E8598A"/>
    <w:rsid w:val="00E8771F"/>
    <w:rsid w:val="00E96734"/>
    <w:rsid w:val="00EA086F"/>
    <w:rsid w:val="00EB0AC9"/>
    <w:rsid w:val="00EB1292"/>
    <w:rsid w:val="00EB5BBD"/>
    <w:rsid w:val="00EB6374"/>
    <w:rsid w:val="00EC7B5E"/>
    <w:rsid w:val="00ED39FD"/>
    <w:rsid w:val="00ED3FB8"/>
    <w:rsid w:val="00EE360C"/>
    <w:rsid w:val="00EF69CE"/>
    <w:rsid w:val="00F10AA8"/>
    <w:rsid w:val="00F16C4C"/>
    <w:rsid w:val="00F3000A"/>
    <w:rsid w:val="00F35AC4"/>
    <w:rsid w:val="00F44383"/>
    <w:rsid w:val="00F4510E"/>
    <w:rsid w:val="00F500D7"/>
    <w:rsid w:val="00F5265C"/>
    <w:rsid w:val="00F53877"/>
    <w:rsid w:val="00F53BDF"/>
    <w:rsid w:val="00F6064D"/>
    <w:rsid w:val="00F629E0"/>
    <w:rsid w:val="00F631F0"/>
    <w:rsid w:val="00F73CC8"/>
    <w:rsid w:val="00F76197"/>
    <w:rsid w:val="00F76EB2"/>
    <w:rsid w:val="00F821B9"/>
    <w:rsid w:val="00F94293"/>
    <w:rsid w:val="00F94ED5"/>
    <w:rsid w:val="00FA60F6"/>
    <w:rsid w:val="00FB310E"/>
    <w:rsid w:val="00FB616B"/>
    <w:rsid w:val="00FB6568"/>
    <w:rsid w:val="00FB7E2B"/>
    <w:rsid w:val="00FC0A85"/>
    <w:rsid w:val="00FD113B"/>
    <w:rsid w:val="00FD34CF"/>
    <w:rsid w:val="00FE4F54"/>
    <w:rsid w:val="00FF2103"/>
    <w:rsid w:val="00FF4D9A"/>
  </w:rsids>
  <m:mathPr>
    <m:mathFont m:val="Cambria Math"/>
    <m:brkBin m:val="before"/>
    <m:brkBinSub m:val="--"/>
    <m:smallFrac m:val="0"/>
    <m:dispDef/>
    <m:lMargin m:val="0"/>
    <m:rMargin m:val="0"/>
    <m:defJc m:val="centerGroup"/>
    <m:wrapIndent m:val="1440"/>
    <m:intLim m:val="subSup"/>
    <m:naryLim m:val="undOvr"/>
  </m:mathPr>
  <w:themeFontLang w:val="en-B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51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fr-FR" w:eastAsia="en-B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96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3F1A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1A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1A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A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A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A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A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A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A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F1A24"/>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F1A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1A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1A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1A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A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A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A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A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A24"/>
    <w:rPr>
      <w:rFonts w:eastAsiaTheme="majorEastAsia" w:cstheme="majorBidi"/>
      <w:color w:val="272727" w:themeColor="text1" w:themeTint="D8"/>
    </w:rPr>
  </w:style>
  <w:style w:type="character" w:customStyle="1" w:styleId="TitleChar">
    <w:name w:val="Title Char"/>
    <w:basedOn w:val="DefaultParagraphFont"/>
    <w:link w:val="Title"/>
    <w:uiPriority w:val="10"/>
    <w:rsid w:val="003F1A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3F1A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A24"/>
    <w:pPr>
      <w:spacing w:before="160"/>
      <w:jc w:val="center"/>
    </w:pPr>
    <w:rPr>
      <w:i/>
      <w:iCs/>
      <w:color w:val="404040" w:themeColor="text1" w:themeTint="BF"/>
    </w:rPr>
  </w:style>
  <w:style w:type="character" w:customStyle="1" w:styleId="QuoteChar">
    <w:name w:val="Quote Char"/>
    <w:basedOn w:val="DefaultParagraphFont"/>
    <w:link w:val="Quote"/>
    <w:uiPriority w:val="29"/>
    <w:rsid w:val="003F1A24"/>
    <w:rPr>
      <w:i/>
      <w:iCs/>
      <w:color w:val="404040" w:themeColor="text1" w:themeTint="BF"/>
    </w:rPr>
  </w:style>
  <w:style w:type="paragraph" w:styleId="ListParagraph">
    <w:name w:val="List Paragraph"/>
    <w:basedOn w:val="Normal"/>
    <w:uiPriority w:val="34"/>
    <w:qFormat/>
    <w:rsid w:val="003F1A24"/>
    <w:pPr>
      <w:ind w:left="720"/>
      <w:contextualSpacing/>
    </w:pPr>
  </w:style>
  <w:style w:type="character" w:styleId="IntenseEmphasis">
    <w:name w:val="Intense Emphasis"/>
    <w:basedOn w:val="DefaultParagraphFont"/>
    <w:uiPriority w:val="21"/>
    <w:qFormat/>
    <w:rsid w:val="003F1A24"/>
    <w:rPr>
      <w:i/>
      <w:iCs/>
      <w:color w:val="0F4761" w:themeColor="accent1" w:themeShade="BF"/>
    </w:rPr>
  </w:style>
  <w:style w:type="paragraph" w:styleId="IntenseQuote">
    <w:name w:val="Intense Quote"/>
    <w:basedOn w:val="Normal"/>
    <w:next w:val="Normal"/>
    <w:link w:val="IntenseQuoteChar"/>
    <w:uiPriority w:val="30"/>
    <w:qFormat/>
    <w:rsid w:val="003F1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A24"/>
    <w:rPr>
      <w:i/>
      <w:iCs/>
      <w:color w:val="0F4761" w:themeColor="accent1" w:themeShade="BF"/>
    </w:rPr>
  </w:style>
  <w:style w:type="character" w:styleId="IntenseReference">
    <w:name w:val="Intense Reference"/>
    <w:basedOn w:val="DefaultParagraphFont"/>
    <w:uiPriority w:val="32"/>
    <w:qFormat/>
    <w:rsid w:val="003F1A24"/>
    <w:rPr>
      <w:b/>
      <w:bCs/>
      <w:smallCaps/>
      <w:color w:val="0F4761" w:themeColor="accent1" w:themeShade="BF"/>
      <w:spacing w:val="5"/>
    </w:rPr>
  </w:style>
  <w:style w:type="paragraph" w:styleId="Header">
    <w:name w:val="header"/>
    <w:basedOn w:val="Normal"/>
    <w:link w:val="HeaderChar"/>
    <w:uiPriority w:val="99"/>
    <w:unhideWhenUsed/>
    <w:rsid w:val="003F1A24"/>
    <w:pPr>
      <w:tabs>
        <w:tab w:val="center" w:pos="4680"/>
        <w:tab w:val="right" w:pos="9360"/>
      </w:tabs>
    </w:pPr>
  </w:style>
  <w:style w:type="character" w:customStyle="1" w:styleId="HeaderChar">
    <w:name w:val="Header Char"/>
    <w:basedOn w:val="DefaultParagraphFont"/>
    <w:link w:val="Header"/>
    <w:uiPriority w:val="99"/>
    <w:rsid w:val="003F1A24"/>
  </w:style>
  <w:style w:type="paragraph" w:styleId="Footer">
    <w:name w:val="footer"/>
    <w:basedOn w:val="Normal"/>
    <w:link w:val="FooterChar"/>
    <w:uiPriority w:val="99"/>
    <w:unhideWhenUsed/>
    <w:rsid w:val="003F1A24"/>
    <w:pPr>
      <w:tabs>
        <w:tab w:val="center" w:pos="4680"/>
        <w:tab w:val="right" w:pos="9360"/>
      </w:tabs>
    </w:pPr>
  </w:style>
  <w:style w:type="character" w:customStyle="1" w:styleId="FooterChar">
    <w:name w:val="Footer Char"/>
    <w:basedOn w:val="DefaultParagraphFont"/>
    <w:link w:val="Footer"/>
    <w:uiPriority w:val="99"/>
    <w:rsid w:val="003F1A24"/>
  </w:style>
  <w:style w:type="paragraph" w:styleId="TOCHeading">
    <w:name w:val="TOC Heading"/>
    <w:basedOn w:val="Heading1"/>
    <w:next w:val="Normal"/>
    <w:uiPriority w:val="39"/>
    <w:unhideWhenUsed/>
    <w:qFormat/>
    <w:rsid w:val="003F1A24"/>
    <w:pPr>
      <w:spacing w:before="240" w:after="0"/>
      <w:outlineLvl w:val="9"/>
    </w:pPr>
    <w:rPr>
      <w:sz w:val="32"/>
      <w:szCs w:val="32"/>
    </w:rPr>
  </w:style>
  <w:style w:type="paragraph" w:styleId="TOC2">
    <w:name w:val="toc 2"/>
    <w:basedOn w:val="Normal"/>
    <w:next w:val="Normal"/>
    <w:autoRedefine/>
    <w:uiPriority w:val="39"/>
    <w:unhideWhenUsed/>
    <w:rsid w:val="003F1A24"/>
    <w:pPr>
      <w:spacing w:before="120"/>
      <w:ind w:left="240"/>
    </w:pPr>
    <w:rPr>
      <w:rFonts w:asciiTheme="minorHAnsi" w:hAnsiTheme="minorHAnsi"/>
      <w:b/>
      <w:bCs/>
      <w:sz w:val="22"/>
      <w:szCs w:val="22"/>
    </w:rPr>
  </w:style>
  <w:style w:type="paragraph" w:styleId="TOC1">
    <w:name w:val="toc 1"/>
    <w:basedOn w:val="Normal"/>
    <w:next w:val="Normal"/>
    <w:autoRedefine/>
    <w:uiPriority w:val="39"/>
    <w:unhideWhenUsed/>
    <w:rsid w:val="003F1A24"/>
    <w:pPr>
      <w:spacing w:before="120"/>
    </w:pPr>
    <w:rPr>
      <w:rFonts w:asciiTheme="minorHAnsi" w:hAnsiTheme="minorHAnsi"/>
      <w:b/>
      <w:bCs/>
      <w:i/>
      <w:iCs/>
    </w:rPr>
  </w:style>
  <w:style w:type="paragraph" w:styleId="TOC3">
    <w:name w:val="toc 3"/>
    <w:basedOn w:val="Normal"/>
    <w:next w:val="Normal"/>
    <w:autoRedefine/>
    <w:uiPriority w:val="39"/>
    <w:unhideWhenUsed/>
    <w:rsid w:val="003F1A24"/>
    <w:pPr>
      <w:ind w:left="480"/>
    </w:pPr>
    <w:rPr>
      <w:rFonts w:asciiTheme="minorHAnsi" w:hAnsiTheme="minorHAnsi"/>
      <w:sz w:val="20"/>
      <w:szCs w:val="20"/>
    </w:rPr>
  </w:style>
  <w:style w:type="character" w:styleId="BookTitle">
    <w:name w:val="Book Title"/>
    <w:basedOn w:val="DefaultParagraphFont"/>
    <w:uiPriority w:val="33"/>
    <w:qFormat/>
    <w:rsid w:val="00290626"/>
    <w:rPr>
      <w:b/>
      <w:bCs/>
      <w:i/>
      <w:iCs/>
      <w:spacing w:val="5"/>
    </w:rPr>
  </w:style>
  <w:style w:type="character" w:styleId="Hyperlink">
    <w:name w:val="Hyperlink"/>
    <w:basedOn w:val="DefaultParagraphFont"/>
    <w:uiPriority w:val="99"/>
    <w:unhideWhenUsed/>
    <w:rsid w:val="00DA20E4"/>
    <w:rPr>
      <w:color w:val="467886" w:themeColor="hyperlink"/>
      <w:u w:val="single"/>
    </w:rPr>
  </w:style>
  <w:style w:type="paragraph" w:styleId="TOC4">
    <w:name w:val="toc 4"/>
    <w:basedOn w:val="Normal"/>
    <w:next w:val="Normal"/>
    <w:autoRedefine/>
    <w:uiPriority w:val="39"/>
    <w:semiHidden/>
    <w:unhideWhenUsed/>
    <w:rsid w:val="00DA20E4"/>
    <w:pPr>
      <w:ind w:left="720"/>
    </w:pPr>
    <w:rPr>
      <w:rFonts w:asciiTheme="minorHAnsi" w:hAnsiTheme="minorHAnsi"/>
      <w:sz w:val="20"/>
      <w:szCs w:val="20"/>
    </w:rPr>
  </w:style>
  <w:style w:type="paragraph" w:styleId="TOC5">
    <w:name w:val="toc 5"/>
    <w:basedOn w:val="Normal"/>
    <w:next w:val="Normal"/>
    <w:autoRedefine/>
    <w:uiPriority w:val="39"/>
    <w:semiHidden/>
    <w:unhideWhenUsed/>
    <w:rsid w:val="00DA20E4"/>
    <w:pPr>
      <w:ind w:left="960"/>
    </w:pPr>
    <w:rPr>
      <w:rFonts w:asciiTheme="minorHAnsi" w:hAnsiTheme="minorHAnsi"/>
      <w:sz w:val="20"/>
      <w:szCs w:val="20"/>
    </w:rPr>
  </w:style>
  <w:style w:type="paragraph" w:styleId="TOC6">
    <w:name w:val="toc 6"/>
    <w:basedOn w:val="Normal"/>
    <w:next w:val="Normal"/>
    <w:autoRedefine/>
    <w:uiPriority w:val="39"/>
    <w:semiHidden/>
    <w:unhideWhenUsed/>
    <w:rsid w:val="00DA20E4"/>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DA20E4"/>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DA20E4"/>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DA20E4"/>
    <w:pPr>
      <w:ind w:left="1920"/>
    </w:pPr>
    <w:rPr>
      <w:rFonts w:asciiTheme="minorHAnsi" w:hAnsiTheme="minorHAnsi"/>
      <w:sz w:val="20"/>
      <w:szCs w:val="20"/>
    </w:rPr>
  </w:style>
  <w:style w:type="table" w:customStyle="1" w:styleId="TableGrid">
    <w:name w:val="TableGrid"/>
    <w:rsid w:val="00870870"/>
    <w:pPr>
      <w:spacing w:after="0" w:line="240" w:lineRule="auto"/>
    </w:pPr>
    <w:rPr>
      <w:rFonts w:eastAsia="Times New Roman" w:cs="Times New Roman"/>
      <w:kern w:val="2"/>
      <w:sz w:val="24"/>
      <w:szCs w:val="24"/>
      <w:lang w:eastAsia="en-GB"/>
      <w14:ligatures w14:val="standardContextual"/>
    </w:rPr>
    <w:tblPr>
      <w:tblCellMar>
        <w:top w:w="0" w:type="dxa"/>
        <w:left w:w="0" w:type="dxa"/>
        <w:bottom w:w="0" w:type="dxa"/>
        <w:right w:w="0" w:type="dxa"/>
      </w:tblCellMar>
    </w:tblPr>
  </w:style>
  <w:style w:type="table" w:styleId="TableGrid0">
    <w:name w:val="Table Grid"/>
    <w:basedOn w:val="TableNormal"/>
    <w:uiPriority w:val="39"/>
    <w:rsid w:val="002B03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332FD"/>
    <w:rPr>
      <w:color w:val="605E5C"/>
      <w:shd w:val="clear" w:color="auto" w:fill="E1DFDD"/>
    </w:rPr>
  </w:style>
  <w:style w:type="paragraph" w:styleId="FootnoteText">
    <w:name w:val="footnote text"/>
    <w:basedOn w:val="Normal"/>
    <w:link w:val="FootnoteTextChar"/>
    <w:uiPriority w:val="99"/>
    <w:unhideWhenUsed/>
    <w:qFormat/>
    <w:rsid w:val="00BA705D"/>
    <w:rPr>
      <w:sz w:val="20"/>
      <w:szCs w:val="20"/>
    </w:rPr>
  </w:style>
  <w:style w:type="character" w:customStyle="1" w:styleId="FootnoteTextChar">
    <w:name w:val="Footnote Text Char"/>
    <w:basedOn w:val="DefaultParagraphFont"/>
    <w:link w:val="FootnoteText"/>
    <w:uiPriority w:val="99"/>
    <w:rsid w:val="00BA705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unhideWhenUsed/>
    <w:rsid w:val="00BA705D"/>
    <w:rPr>
      <w:vertAlign w:val="superscript"/>
    </w:rPr>
  </w:style>
  <w:style w:type="character" w:styleId="PageNumber">
    <w:name w:val="page number"/>
    <w:basedOn w:val="DefaultParagraphFont"/>
    <w:uiPriority w:val="99"/>
    <w:semiHidden/>
    <w:unhideWhenUsed/>
    <w:rsid w:val="00985BBE"/>
  </w:style>
  <w:style w:type="paragraph" w:styleId="Revision">
    <w:name w:val="Revision"/>
    <w:hidden/>
    <w:uiPriority w:val="99"/>
    <w:semiHidden/>
    <w:rsid w:val="00517090"/>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F4BC9"/>
    <w:rPr>
      <w:sz w:val="16"/>
      <w:szCs w:val="16"/>
    </w:rPr>
  </w:style>
  <w:style w:type="paragraph" w:styleId="CommentText">
    <w:name w:val="annotation text"/>
    <w:basedOn w:val="Normal"/>
    <w:link w:val="CommentTextChar"/>
    <w:uiPriority w:val="99"/>
    <w:unhideWhenUsed/>
    <w:rsid w:val="00AF4BC9"/>
    <w:rPr>
      <w:sz w:val="20"/>
      <w:szCs w:val="20"/>
    </w:rPr>
  </w:style>
  <w:style w:type="character" w:customStyle="1" w:styleId="CommentTextChar">
    <w:name w:val="Comment Text Char"/>
    <w:basedOn w:val="DefaultParagraphFont"/>
    <w:link w:val="CommentText"/>
    <w:uiPriority w:val="99"/>
    <w:rsid w:val="00AF4BC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F4BC9"/>
    <w:rPr>
      <w:b/>
      <w:bCs/>
    </w:rPr>
  </w:style>
  <w:style w:type="character" w:customStyle="1" w:styleId="CommentSubjectChar">
    <w:name w:val="Comment Subject Char"/>
    <w:basedOn w:val="CommentTextChar"/>
    <w:link w:val="CommentSubject"/>
    <w:uiPriority w:val="99"/>
    <w:semiHidden/>
    <w:rsid w:val="00AF4BC9"/>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5A74A4"/>
    <w:rPr>
      <w:color w:val="96607D" w:themeColor="followedHyperlink"/>
      <w:u w:val="single"/>
    </w:rPr>
  </w:style>
  <w:style w:type="paragraph" w:styleId="ListBullet">
    <w:name w:val="List Bullet"/>
    <w:basedOn w:val="Normal"/>
    <w:uiPriority w:val="99"/>
    <w:unhideWhenUsed/>
    <w:rsid w:val="00C810B0"/>
    <w:pPr>
      <w:numPr>
        <w:numId w:val="2"/>
      </w:numPr>
      <w:spacing w:after="120" w:line="276" w:lineRule="auto"/>
      <w:contextualSpacing/>
    </w:pPr>
    <w:rPr>
      <w:rFonts w:ascii="Arial" w:eastAsiaTheme="minorEastAsia" w:hAnsi="Arial" w:cstheme="minorBidi"/>
      <w:sz w:val="21"/>
      <w:szCs w:val="22"/>
      <w:lang w:eastAsia="en-US"/>
    </w:rPr>
  </w:style>
  <w:style w:type="numbering" w:customStyle="1" w:styleId="CurrentList1">
    <w:name w:val="Current List1"/>
    <w:uiPriority w:val="99"/>
    <w:rsid w:val="00C95351"/>
    <w:pPr>
      <w:numPr>
        <w:numId w:val="3"/>
      </w:numPr>
    </w:pPr>
  </w:style>
  <w:style w:type="numbering" w:customStyle="1" w:styleId="CurrentList2">
    <w:name w:val="Current List2"/>
    <w:uiPriority w:val="99"/>
    <w:rsid w:val="00C95351"/>
    <w:pPr>
      <w:numPr>
        <w:numId w:val="4"/>
      </w:numPr>
    </w:pPr>
  </w:style>
  <w:style w:type="numbering" w:customStyle="1" w:styleId="CurrentList3">
    <w:name w:val="Current List3"/>
    <w:uiPriority w:val="99"/>
    <w:rsid w:val="00C95351"/>
    <w:pPr>
      <w:numPr>
        <w:numId w:val="5"/>
      </w:numPr>
    </w:pPr>
  </w:style>
  <w:style w:type="numbering" w:customStyle="1" w:styleId="CurrentList4">
    <w:name w:val="Current List4"/>
    <w:uiPriority w:val="99"/>
    <w:rsid w:val="00C95351"/>
    <w:pPr>
      <w:numPr>
        <w:numId w:val="6"/>
      </w:numPr>
    </w:pPr>
  </w:style>
  <w:style w:type="numbering" w:customStyle="1" w:styleId="CurrentList5">
    <w:name w:val="Current List5"/>
    <w:uiPriority w:val="99"/>
    <w:rsid w:val="00C95351"/>
    <w:pPr>
      <w:numPr>
        <w:numId w:val="7"/>
      </w:numPr>
    </w:pPr>
  </w:style>
  <w:style w:type="numbering" w:customStyle="1" w:styleId="CurrentList6">
    <w:name w:val="Current List6"/>
    <w:uiPriority w:val="99"/>
    <w:rsid w:val="008D33C4"/>
    <w:pPr>
      <w:numPr>
        <w:numId w:val="8"/>
      </w:numPr>
    </w:pPr>
  </w:style>
  <w:style w:type="numbering" w:customStyle="1" w:styleId="CurrentList7">
    <w:name w:val="Current List7"/>
    <w:uiPriority w:val="99"/>
    <w:rsid w:val="006E791B"/>
    <w:pPr>
      <w:numPr>
        <w:numId w:val="9"/>
      </w:numPr>
    </w:pPr>
  </w:style>
  <w:style w:type="table" w:customStyle="1" w:styleId="TableGrid1">
    <w:name w:val="Table Grid1"/>
    <w:basedOn w:val="TableNormal"/>
    <w:next w:val="TableGrid0"/>
    <w:uiPriority w:val="59"/>
    <w:rsid w:val="005E6F7A"/>
    <w:pPr>
      <w:spacing w:after="0" w:line="240" w:lineRule="auto"/>
    </w:pPr>
    <w:rPr>
      <w:rFonts w:ascii="Cambria" w:eastAsia="MS Mincho"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8">
    <w:name w:val="Current List8"/>
    <w:uiPriority w:val="99"/>
    <w:rsid w:val="00621056"/>
    <w:pPr>
      <w:numPr>
        <w:numId w:val="15"/>
      </w:numPr>
    </w:pPr>
  </w:style>
  <w:style w:type="numbering" w:customStyle="1" w:styleId="CurrentList9">
    <w:name w:val="Current List9"/>
    <w:uiPriority w:val="99"/>
    <w:rsid w:val="00FD113B"/>
    <w:pPr>
      <w:numPr>
        <w:numId w:val="26"/>
      </w:numPr>
    </w:pPr>
  </w:style>
  <w:style w:type="numbering" w:customStyle="1" w:styleId="CurrentList10">
    <w:name w:val="Current List10"/>
    <w:uiPriority w:val="99"/>
    <w:rsid w:val="0022401F"/>
    <w:pPr>
      <w:numPr>
        <w:numId w:val="32"/>
      </w:numPr>
    </w:pPr>
  </w:style>
  <w:style w:type="paragraph" w:customStyle="1" w:styleId="Default">
    <w:name w:val="Default"/>
    <w:rsid w:val="00072968"/>
    <w:pPr>
      <w:autoSpaceDE w:val="0"/>
      <w:autoSpaceDN w:val="0"/>
      <w:adjustRightInd w:val="0"/>
      <w:spacing w:after="0" w:line="240" w:lineRule="auto"/>
    </w:pPr>
    <w:rPr>
      <w:rFonts w:ascii="Cambria" w:hAnsi="Cambria" w:cs="Cambria"/>
      <w:color w:val="000000"/>
      <w:sz w:val="24"/>
      <w:szCs w:val="24"/>
    </w:rPr>
  </w:style>
  <w:style w:type="numbering" w:customStyle="1" w:styleId="CurrentList11">
    <w:name w:val="Current List11"/>
    <w:uiPriority w:val="99"/>
    <w:rsid w:val="000C0688"/>
    <w:pPr>
      <w:numPr>
        <w:numId w:val="55"/>
      </w:numPr>
    </w:pPr>
  </w:style>
  <w:style w:type="numbering" w:customStyle="1" w:styleId="CurrentList12">
    <w:name w:val="Current List12"/>
    <w:uiPriority w:val="99"/>
    <w:rsid w:val="000C0688"/>
    <w:pPr>
      <w:numPr>
        <w:numId w:val="56"/>
      </w:numPr>
    </w:pPr>
  </w:style>
  <w:style w:type="numbering" w:customStyle="1" w:styleId="CurrentList13">
    <w:name w:val="Current List13"/>
    <w:uiPriority w:val="99"/>
    <w:rsid w:val="006A1BDD"/>
    <w:pPr>
      <w:numPr>
        <w:numId w:val="57"/>
      </w:numPr>
    </w:pPr>
  </w:style>
  <w:style w:type="paragraph" w:styleId="BodyText">
    <w:name w:val="Body Text"/>
    <w:basedOn w:val="Normal"/>
    <w:link w:val="BodyTextChar"/>
    <w:qFormat/>
    <w:rsid w:val="004C6C49"/>
    <w:pPr>
      <w:widowControl w:val="0"/>
      <w:autoSpaceDE w:val="0"/>
      <w:autoSpaceDN w:val="0"/>
    </w:pPr>
    <w:rPr>
      <w:rFonts w:ascii="Cambria" w:eastAsia="Cambria" w:hAnsi="Cambria" w:cs="Cambria"/>
      <w:sz w:val="20"/>
      <w:szCs w:val="20"/>
      <w:lang w:eastAsia="en-US"/>
    </w:rPr>
  </w:style>
  <w:style w:type="character" w:customStyle="1" w:styleId="BodyTextChar">
    <w:name w:val="Body Text Char"/>
    <w:basedOn w:val="DefaultParagraphFont"/>
    <w:link w:val="BodyText"/>
    <w:rsid w:val="004C6C49"/>
    <w:rPr>
      <w:rFonts w:ascii="Cambria" w:eastAsia="Cambria" w:hAnsi="Cambria" w:cs="Cambri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76977">
      <w:bodyDiv w:val="1"/>
      <w:marLeft w:val="0"/>
      <w:marRight w:val="0"/>
      <w:marTop w:val="0"/>
      <w:marBottom w:val="0"/>
      <w:divBdr>
        <w:top w:val="none" w:sz="0" w:space="0" w:color="auto"/>
        <w:left w:val="none" w:sz="0" w:space="0" w:color="auto"/>
        <w:bottom w:val="none" w:sz="0" w:space="0" w:color="auto"/>
        <w:right w:val="none" w:sz="0" w:space="0" w:color="auto"/>
      </w:divBdr>
      <w:divsChild>
        <w:div w:id="135756332">
          <w:marLeft w:val="446"/>
          <w:marRight w:val="0"/>
          <w:marTop w:val="0"/>
          <w:marBottom w:val="0"/>
          <w:divBdr>
            <w:top w:val="none" w:sz="0" w:space="0" w:color="auto"/>
            <w:left w:val="none" w:sz="0" w:space="0" w:color="auto"/>
            <w:bottom w:val="none" w:sz="0" w:space="0" w:color="auto"/>
            <w:right w:val="none" w:sz="0" w:space="0" w:color="auto"/>
          </w:divBdr>
        </w:div>
        <w:div w:id="1349872928">
          <w:marLeft w:val="446"/>
          <w:marRight w:val="0"/>
          <w:marTop w:val="0"/>
          <w:marBottom w:val="0"/>
          <w:divBdr>
            <w:top w:val="none" w:sz="0" w:space="0" w:color="auto"/>
            <w:left w:val="none" w:sz="0" w:space="0" w:color="auto"/>
            <w:bottom w:val="none" w:sz="0" w:space="0" w:color="auto"/>
            <w:right w:val="none" w:sz="0" w:space="0" w:color="auto"/>
          </w:divBdr>
        </w:div>
      </w:divsChild>
    </w:div>
    <w:div w:id="360788622">
      <w:bodyDiv w:val="1"/>
      <w:marLeft w:val="0"/>
      <w:marRight w:val="0"/>
      <w:marTop w:val="0"/>
      <w:marBottom w:val="0"/>
      <w:divBdr>
        <w:top w:val="none" w:sz="0" w:space="0" w:color="auto"/>
        <w:left w:val="none" w:sz="0" w:space="0" w:color="auto"/>
        <w:bottom w:val="none" w:sz="0" w:space="0" w:color="auto"/>
        <w:right w:val="none" w:sz="0" w:space="0" w:color="auto"/>
      </w:divBdr>
      <w:divsChild>
        <w:div w:id="642656476">
          <w:marLeft w:val="446"/>
          <w:marRight w:val="0"/>
          <w:marTop w:val="0"/>
          <w:marBottom w:val="0"/>
          <w:divBdr>
            <w:top w:val="none" w:sz="0" w:space="0" w:color="auto"/>
            <w:left w:val="none" w:sz="0" w:space="0" w:color="auto"/>
            <w:bottom w:val="none" w:sz="0" w:space="0" w:color="auto"/>
            <w:right w:val="none" w:sz="0" w:space="0" w:color="auto"/>
          </w:divBdr>
        </w:div>
        <w:div w:id="1120804633">
          <w:marLeft w:val="446"/>
          <w:marRight w:val="0"/>
          <w:marTop w:val="0"/>
          <w:marBottom w:val="0"/>
          <w:divBdr>
            <w:top w:val="none" w:sz="0" w:space="0" w:color="auto"/>
            <w:left w:val="none" w:sz="0" w:space="0" w:color="auto"/>
            <w:bottom w:val="none" w:sz="0" w:space="0" w:color="auto"/>
            <w:right w:val="none" w:sz="0" w:space="0" w:color="auto"/>
          </w:divBdr>
        </w:div>
        <w:div w:id="1838770352">
          <w:marLeft w:val="446"/>
          <w:marRight w:val="0"/>
          <w:marTop w:val="0"/>
          <w:marBottom w:val="0"/>
          <w:divBdr>
            <w:top w:val="none" w:sz="0" w:space="0" w:color="auto"/>
            <w:left w:val="none" w:sz="0" w:space="0" w:color="auto"/>
            <w:bottom w:val="none" w:sz="0" w:space="0" w:color="auto"/>
            <w:right w:val="none" w:sz="0" w:space="0" w:color="auto"/>
          </w:divBdr>
        </w:div>
        <w:div w:id="2053378841">
          <w:marLeft w:val="446"/>
          <w:marRight w:val="0"/>
          <w:marTop w:val="0"/>
          <w:marBottom w:val="0"/>
          <w:divBdr>
            <w:top w:val="none" w:sz="0" w:space="0" w:color="auto"/>
            <w:left w:val="none" w:sz="0" w:space="0" w:color="auto"/>
            <w:bottom w:val="none" w:sz="0" w:space="0" w:color="auto"/>
            <w:right w:val="none" w:sz="0" w:space="0" w:color="auto"/>
          </w:divBdr>
        </w:div>
      </w:divsChild>
    </w:div>
    <w:div w:id="467822765">
      <w:bodyDiv w:val="1"/>
      <w:marLeft w:val="0"/>
      <w:marRight w:val="0"/>
      <w:marTop w:val="0"/>
      <w:marBottom w:val="0"/>
      <w:divBdr>
        <w:top w:val="none" w:sz="0" w:space="0" w:color="auto"/>
        <w:left w:val="none" w:sz="0" w:space="0" w:color="auto"/>
        <w:bottom w:val="none" w:sz="0" w:space="0" w:color="auto"/>
        <w:right w:val="none" w:sz="0" w:space="0" w:color="auto"/>
      </w:divBdr>
      <w:divsChild>
        <w:div w:id="148835387">
          <w:marLeft w:val="446"/>
          <w:marRight w:val="0"/>
          <w:marTop w:val="0"/>
          <w:marBottom w:val="0"/>
          <w:divBdr>
            <w:top w:val="none" w:sz="0" w:space="0" w:color="auto"/>
            <w:left w:val="none" w:sz="0" w:space="0" w:color="auto"/>
            <w:bottom w:val="none" w:sz="0" w:space="0" w:color="auto"/>
            <w:right w:val="none" w:sz="0" w:space="0" w:color="auto"/>
          </w:divBdr>
        </w:div>
        <w:div w:id="715473096">
          <w:marLeft w:val="446"/>
          <w:marRight w:val="0"/>
          <w:marTop w:val="0"/>
          <w:marBottom w:val="0"/>
          <w:divBdr>
            <w:top w:val="none" w:sz="0" w:space="0" w:color="auto"/>
            <w:left w:val="none" w:sz="0" w:space="0" w:color="auto"/>
            <w:bottom w:val="none" w:sz="0" w:space="0" w:color="auto"/>
            <w:right w:val="none" w:sz="0" w:space="0" w:color="auto"/>
          </w:divBdr>
        </w:div>
        <w:div w:id="981077410">
          <w:marLeft w:val="446"/>
          <w:marRight w:val="0"/>
          <w:marTop w:val="0"/>
          <w:marBottom w:val="0"/>
          <w:divBdr>
            <w:top w:val="none" w:sz="0" w:space="0" w:color="auto"/>
            <w:left w:val="none" w:sz="0" w:space="0" w:color="auto"/>
            <w:bottom w:val="none" w:sz="0" w:space="0" w:color="auto"/>
            <w:right w:val="none" w:sz="0" w:space="0" w:color="auto"/>
          </w:divBdr>
        </w:div>
        <w:div w:id="1111246869">
          <w:marLeft w:val="446"/>
          <w:marRight w:val="0"/>
          <w:marTop w:val="0"/>
          <w:marBottom w:val="0"/>
          <w:divBdr>
            <w:top w:val="none" w:sz="0" w:space="0" w:color="auto"/>
            <w:left w:val="none" w:sz="0" w:space="0" w:color="auto"/>
            <w:bottom w:val="none" w:sz="0" w:space="0" w:color="auto"/>
            <w:right w:val="none" w:sz="0" w:space="0" w:color="auto"/>
          </w:divBdr>
        </w:div>
      </w:divsChild>
    </w:div>
    <w:div w:id="1015032186">
      <w:bodyDiv w:val="1"/>
      <w:marLeft w:val="0"/>
      <w:marRight w:val="0"/>
      <w:marTop w:val="0"/>
      <w:marBottom w:val="0"/>
      <w:divBdr>
        <w:top w:val="none" w:sz="0" w:space="0" w:color="auto"/>
        <w:left w:val="none" w:sz="0" w:space="0" w:color="auto"/>
        <w:bottom w:val="none" w:sz="0" w:space="0" w:color="auto"/>
        <w:right w:val="none" w:sz="0" w:space="0" w:color="auto"/>
      </w:divBdr>
    </w:div>
    <w:div w:id="1153983139">
      <w:bodyDiv w:val="1"/>
      <w:marLeft w:val="0"/>
      <w:marRight w:val="0"/>
      <w:marTop w:val="0"/>
      <w:marBottom w:val="0"/>
      <w:divBdr>
        <w:top w:val="none" w:sz="0" w:space="0" w:color="auto"/>
        <w:left w:val="none" w:sz="0" w:space="0" w:color="auto"/>
        <w:bottom w:val="none" w:sz="0" w:space="0" w:color="auto"/>
        <w:right w:val="none" w:sz="0" w:space="0" w:color="auto"/>
      </w:divBdr>
      <w:divsChild>
        <w:div w:id="192307038">
          <w:marLeft w:val="446"/>
          <w:marRight w:val="0"/>
          <w:marTop w:val="0"/>
          <w:marBottom w:val="0"/>
          <w:divBdr>
            <w:top w:val="none" w:sz="0" w:space="0" w:color="auto"/>
            <w:left w:val="none" w:sz="0" w:space="0" w:color="auto"/>
            <w:bottom w:val="none" w:sz="0" w:space="0" w:color="auto"/>
            <w:right w:val="none" w:sz="0" w:space="0" w:color="auto"/>
          </w:divBdr>
        </w:div>
        <w:div w:id="422383793">
          <w:marLeft w:val="446"/>
          <w:marRight w:val="0"/>
          <w:marTop w:val="0"/>
          <w:marBottom w:val="0"/>
          <w:divBdr>
            <w:top w:val="none" w:sz="0" w:space="0" w:color="auto"/>
            <w:left w:val="none" w:sz="0" w:space="0" w:color="auto"/>
            <w:bottom w:val="none" w:sz="0" w:space="0" w:color="auto"/>
            <w:right w:val="none" w:sz="0" w:space="0" w:color="auto"/>
          </w:divBdr>
        </w:div>
        <w:div w:id="1180925007">
          <w:marLeft w:val="446"/>
          <w:marRight w:val="0"/>
          <w:marTop w:val="0"/>
          <w:marBottom w:val="0"/>
          <w:divBdr>
            <w:top w:val="none" w:sz="0" w:space="0" w:color="auto"/>
            <w:left w:val="none" w:sz="0" w:space="0" w:color="auto"/>
            <w:bottom w:val="none" w:sz="0" w:space="0" w:color="auto"/>
            <w:right w:val="none" w:sz="0" w:space="0" w:color="auto"/>
          </w:divBdr>
        </w:div>
        <w:div w:id="1216235374">
          <w:marLeft w:val="446"/>
          <w:marRight w:val="0"/>
          <w:marTop w:val="0"/>
          <w:marBottom w:val="0"/>
          <w:divBdr>
            <w:top w:val="none" w:sz="0" w:space="0" w:color="auto"/>
            <w:left w:val="none" w:sz="0" w:space="0" w:color="auto"/>
            <w:bottom w:val="none" w:sz="0" w:space="0" w:color="auto"/>
            <w:right w:val="none" w:sz="0" w:space="0" w:color="auto"/>
          </w:divBdr>
        </w:div>
      </w:divsChild>
    </w:div>
    <w:div w:id="1194683677">
      <w:bodyDiv w:val="1"/>
      <w:marLeft w:val="0"/>
      <w:marRight w:val="0"/>
      <w:marTop w:val="0"/>
      <w:marBottom w:val="0"/>
      <w:divBdr>
        <w:top w:val="none" w:sz="0" w:space="0" w:color="auto"/>
        <w:left w:val="none" w:sz="0" w:space="0" w:color="auto"/>
        <w:bottom w:val="none" w:sz="0" w:space="0" w:color="auto"/>
        <w:right w:val="none" w:sz="0" w:space="0" w:color="auto"/>
      </w:divBdr>
      <w:divsChild>
        <w:div w:id="673993091">
          <w:marLeft w:val="446"/>
          <w:marRight w:val="0"/>
          <w:marTop w:val="0"/>
          <w:marBottom w:val="0"/>
          <w:divBdr>
            <w:top w:val="none" w:sz="0" w:space="0" w:color="auto"/>
            <w:left w:val="none" w:sz="0" w:space="0" w:color="auto"/>
            <w:bottom w:val="none" w:sz="0" w:space="0" w:color="auto"/>
            <w:right w:val="none" w:sz="0" w:space="0" w:color="auto"/>
          </w:divBdr>
        </w:div>
        <w:div w:id="694231540">
          <w:marLeft w:val="446"/>
          <w:marRight w:val="0"/>
          <w:marTop w:val="0"/>
          <w:marBottom w:val="0"/>
          <w:divBdr>
            <w:top w:val="none" w:sz="0" w:space="0" w:color="auto"/>
            <w:left w:val="none" w:sz="0" w:space="0" w:color="auto"/>
            <w:bottom w:val="none" w:sz="0" w:space="0" w:color="auto"/>
            <w:right w:val="none" w:sz="0" w:space="0" w:color="auto"/>
          </w:divBdr>
        </w:div>
        <w:div w:id="757754038">
          <w:marLeft w:val="446"/>
          <w:marRight w:val="0"/>
          <w:marTop w:val="0"/>
          <w:marBottom w:val="0"/>
          <w:divBdr>
            <w:top w:val="none" w:sz="0" w:space="0" w:color="auto"/>
            <w:left w:val="none" w:sz="0" w:space="0" w:color="auto"/>
            <w:bottom w:val="none" w:sz="0" w:space="0" w:color="auto"/>
            <w:right w:val="none" w:sz="0" w:space="0" w:color="auto"/>
          </w:divBdr>
        </w:div>
        <w:div w:id="870725606">
          <w:marLeft w:val="446"/>
          <w:marRight w:val="0"/>
          <w:marTop w:val="0"/>
          <w:marBottom w:val="0"/>
          <w:divBdr>
            <w:top w:val="none" w:sz="0" w:space="0" w:color="auto"/>
            <w:left w:val="none" w:sz="0" w:space="0" w:color="auto"/>
            <w:bottom w:val="none" w:sz="0" w:space="0" w:color="auto"/>
            <w:right w:val="none" w:sz="0" w:space="0" w:color="auto"/>
          </w:divBdr>
        </w:div>
        <w:div w:id="921452484">
          <w:marLeft w:val="446"/>
          <w:marRight w:val="0"/>
          <w:marTop w:val="0"/>
          <w:marBottom w:val="0"/>
          <w:divBdr>
            <w:top w:val="none" w:sz="0" w:space="0" w:color="auto"/>
            <w:left w:val="none" w:sz="0" w:space="0" w:color="auto"/>
            <w:bottom w:val="none" w:sz="0" w:space="0" w:color="auto"/>
            <w:right w:val="none" w:sz="0" w:space="0" w:color="auto"/>
          </w:divBdr>
        </w:div>
        <w:div w:id="949319481">
          <w:marLeft w:val="446"/>
          <w:marRight w:val="0"/>
          <w:marTop w:val="0"/>
          <w:marBottom w:val="0"/>
          <w:divBdr>
            <w:top w:val="none" w:sz="0" w:space="0" w:color="auto"/>
            <w:left w:val="none" w:sz="0" w:space="0" w:color="auto"/>
            <w:bottom w:val="none" w:sz="0" w:space="0" w:color="auto"/>
            <w:right w:val="none" w:sz="0" w:space="0" w:color="auto"/>
          </w:divBdr>
        </w:div>
      </w:divsChild>
    </w:div>
    <w:div w:id="1850096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bmis-bycatch.org/index.php/mitigation-techniques/safe-handling-rele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09686-182D-4868-AD8E-ABCFF340D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3886</Words>
  <Characters>22153</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2026-10-19T10:39:00Z</dcterms:created>
  <dcterms:modified xsi:type="dcterms:W3CDTF">2026-10-26T13:08:00Z</dcterms:modified>
</cp:coreProperties>
</file>