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EAC9" w14:textId="19333F6E" w:rsidR="000B0920" w:rsidRPr="00EF4FD8" w:rsidRDefault="00857C38" w:rsidP="00857C38">
      <w:pPr>
        <w:jc w:val="right"/>
        <w:rPr>
          <w:rFonts w:ascii="Cambria" w:hAnsi="Cambria"/>
          <w:sz w:val="20"/>
          <w:szCs w:val="20"/>
        </w:rPr>
      </w:pPr>
      <w:r w:rsidRPr="00EF4FD8">
        <w:rPr>
          <w:rFonts w:ascii="Cambria" w:hAnsi="Cambria"/>
          <w:b/>
          <w:bCs/>
          <w:sz w:val="20"/>
          <w:szCs w:val="20"/>
        </w:rPr>
        <w:t>Original</w:t>
      </w:r>
      <w:r w:rsidRPr="00EF4FD8">
        <w:rPr>
          <w:rFonts w:ascii="Cambria" w:hAnsi="Cambria"/>
          <w:sz w:val="20"/>
          <w:szCs w:val="20"/>
        </w:rPr>
        <w:t xml:space="preserve">: </w:t>
      </w:r>
      <w:r w:rsidR="00EF4FD8" w:rsidRPr="00EF4FD8">
        <w:rPr>
          <w:rFonts w:ascii="Cambria" w:hAnsi="Cambria"/>
          <w:sz w:val="20"/>
          <w:szCs w:val="20"/>
        </w:rPr>
        <w:t>inglés</w:t>
      </w:r>
    </w:p>
    <w:p w14:paraId="546FFD34" w14:textId="77777777" w:rsidR="00857C38" w:rsidRPr="00EF4FD8" w:rsidRDefault="00857C38" w:rsidP="00857C38">
      <w:pPr>
        <w:jc w:val="right"/>
        <w:rPr>
          <w:rFonts w:ascii="Cambria" w:hAnsi="Cambria"/>
          <w:sz w:val="20"/>
          <w:szCs w:val="20"/>
        </w:rPr>
      </w:pPr>
    </w:p>
    <w:p w14:paraId="3DB1B861" w14:textId="0902BA40" w:rsidR="00EF4FD8" w:rsidRPr="00E41AEC" w:rsidRDefault="00EF4FD8" w:rsidP="00EF4FD8">
      <w:pPr>
        <w:jc w:val="center"/>
        <w:rPr>
          <w:rFonts w:ascii="Cambria" w:hAnsi="Cambria"/>
          <w:b/>
          <w:bCs/>
          <w:sz w:val="20"/>
          <w:szCs w:val="20"/>
        </w:rPr>
      </w:pPr>
      <w:r w:rsidRPr="00E41AEC">
        <w:rPr>
          <w:rFonts w:ascii="Cambria" w:hAnsi="Cambria"/>
          <w:b/>
          <w:bCs/>
          <w:sz w:val="20"/>
          <w:szCs w:val="20"/>
        </w:rPr>
        <w:t xml:space="preserve">Respuestas y recomendaciones del SCRS pertinentes para la Subcomisión </w:t>
      </w:r>
      <w:r w:rsidR="009E5E20">
        <w:rPr>
          <w:rFonts w:ascii="Cambria" w:hAnsi="Cambria"/>
          <w:b/>
          <w:bCs/>
          <w:sz w:val="20"/>
          <w:szCs w:val="20"/>
        </w:rPr>
        <w:t>4</w:t>
      </w:r>
    </w:p>
    <w:p w14:paraId="65FB3C80" w14:textId="77777777" w:rsidR="00EF4FD8" w:rsidRPr="00E41AEC" w:rsidRDefault="00EF4FD8" w:rsidP="00EF4FD8">
      <w:pPr>
        <w:jc w:val="center"/>
        <w:rPr>
          <w:rFonts w:ascii="Cambria" w:hAnsi="Cambria"/>
          <w:b/>
          <w:bCs/>
          <w:sz w:val="20"/>
          <w:szCs w:val="20"/>
        </w:rPr>
      </w:pPr>
    </w:p>
    <w:p w14:paraId="724CDD7A" w14:textId="7706776E" w:rsidR="00EF4FD8" w:rsidRPr="004E1379" w:rsidRDefault="00EF4FD8" w:rsidP="00EF4FD8">
      <w:pPr>
        <w:jc w:val="both"/>
        <w:rPr>
          <w:rFonts w:ascii="Cambria" w:eastAsia="Aptos" w:hAnsi="Cambria" w:cs="Aptos"/>
          <w:sz w:val="20"/>
          <w:szCs w:val="20"/>
          <w14:ligatures w14:val="standardContextual"/>
        </w:rPr>
      </w:pPr>
      <w:r w:rsidRPr="004E1379">
        <w:rPr>
          <w:rFonts w:ascii="Cambria" w:eastAsia="Aptos" w:hAnsi="Cambria" w:cs="Aptos"/>
          <w:sz w:val="20"/>
          <w:szCs w:val="20"/>
          <w14:ligatures w14:val="standardContextual"/>
        </w:rPr>
        <w:t xml:space="preserve">Las respuestas de 2026 a la Comisión y las recomendaciones del SCRS relativas a la Subcomisión </w:t>
      </w:r>
      <w:r w:rsidR="001719DB">
        <w:rPr>
          <w:rFonts w:ascii="Cambria" w:eastAsia="Aptos" w:hAnsi="Cambria" w:cs="Aptos"/>
          <w:sz w:val="20"/>
          <w:szCs w:val="20"/>
          <w14:ligatures w14:val="standardContextual"/>
        </w:rPr>
        <w:t>4</w:t>
      </w:r>
      <w:r w:rsidRPr="004E1379">
        <w:rPr>
          <w:rFonts w:ascii="Cambria" w:eastAsia="Aptos" w:hAnsi="Cambria" w:cs="Aptos"/>
          <w:sz w:val="20"/>
          <w:szCs w:val="20"/>
          <w14:ligatures w14:val="standardContextual"/>
        </w:rPr>
        <w:t xml:space="preserve"> fueron recopiladas por la Secretaría directamente a partir del informe de la reunión plenaria del SCRS de 2026 (documento PLE-104). Las recomendaciones con implicaciones financieras no figuran en el presente documento, ya que se incluyen en el apéndice 2 del presupuesto de ICCAT (documento STF-203).</w:t>
      </w:r>
    </w:p>
    <w:p w14:paraId="09D98F81" w14:textId="77777777" w:rsidR="00EF4FD8" w:rsidRPr="004E1379" w:rsidRDefault="00EF4FD8" w:rsidP="00EF4FD8">
      <w:pPr>
        <w:rPr>
          <w:rFonts w:ascii="Cambria" w:hAnsi="Cambria"/>
          <w:b/>
          <w:bCs/>
          <w:sz w:val="20"/>
          <w:szCs w:val="20"/>
        </w:rPr>
      </w:pPr>
    </w:p>
    <w:p w14:paraId="7A62F6D7" w14:textId="77777777" w:rsidR="00EF4FD8" w:rsidRPr="00E41AEC" w:rsidRDefault="00EF4FD8" w:rsidP="00EF4FD8">
      <w:pPr>
        <w:rPr>
          <w:rFonts w:ascii="Cambria" w:hAnsi="Cambria"/>
          <w:b/>
          <w:bCs/>
          <w:sz w:val="20"/>
          <w:szCs w:val="20"/>
        </w:rPr>
      </w:pPr>
      <w:r w:rsidRPr="00E41AEC">
        <w:rPr>
          <w:rFonts w:ascii="Cambria" w:hAnsi="Cambria"/>
          <w:b/>
          <w:bCs/>
          <w:sz w:val="20"/>
          <w:szCs w:val="20"/>
        </w:rPr>
        <w:t>Respuestas a la Comisión</w:t>
      </w:r>
    </w:p>
    <w:p w14:paraId="3A6F3FBB" w14:textId="77777777" w:rsidR="007B39C6" w:rsidRPr="00EF4FD8" w:rsidRDefault="007B39C6" w:rsidP="007B39C6">
      <w:pPr>
        <w:jc w:val="both"/>
        <w:rPr>
          <w:rFonts w:ascii="Cambria" w:hAnsi="Cambria"/>
          <w:sz w:val="20"/>
          <w:szCs w:val="20"/>
        </w:rPr>
      </w:pPr>
    </w:p>
    <w:p w14:paraId="6E41B5AE" w14:textId="77777777" w:rsidR="009E1CE5" w:rsidRPr="00BA405C" w:rsidRDefault="009E1CE5" w:rsidP="009E1CE5">
      <w:pPr>
        <w:tabs>
          <w:tab w:val="left" w:pos="0"/>
          <w:tab w:val="right" w:leader="dot" w:pos="8505"/>
          <w:tab w:val="right" w:pos="9072"/>
        </w:tabs>
        <w:autoSpaceDE w:val="0"/>
        <w:autoSpaceDN w:val="0"/>
        <w:adjustRightInd w:val="0"/>
        <w:ind w:right="4"/>
        <w:jc w:val="both"/>
        <w:rPr>
          <w:rFonts w:ascii="Cambria" w:hAnsi="Cambria"/>
          <w:sz w:val="20"/>
        </w:rPr>
      </w:pPr>
    </w:p>
    <w:p w14:paraId="21DAC2D1" w14:textId="77777777" w:rsidR="00EF4FD8" w:rsidRPr="0099704B" w:rsidRDefault="00EF4FD8" w:rsidP="00EF4FD8">
      <w:pPr>
        <w:jc w:val="both"/>
        <w:rPr>
          <w:rFonts w:ascii="Cambria" w:hAnsi="Cambria"/>
          <w:b/>
          <w:i/>
          <w:sz w:val="20"/>
          <w:szCs w:val="20"/>
        </w:rPr>
      </w:pPr>
      <w:r w:rsidRPr="0099704B">
        <w:rPr>
          <w:rFonts w:ascii="Cambria" w:hAnsi="Cambria"/>
          <w:b/>
          <w:i/>
          <w:sz w:val="20"/>
          <w:szCs w:val="20"/>
        </w:rPr>
        <w:t>Istiofóridos</w:t>
      </w:r>
    </w:p>
    <w:p w14:paraId="607096ED" w14:textId="77777777" w:rsidR="00EF4FD8" w:rsidRPr="0099704B" w:rsidRDefault="00EF4FD8" w:rsidP="00EF4FD8">
      <w:pPr>
        <w:jc w:val="both"/>
        <w:rPr>
          <w:rFonts w:ascii="Cambria" w:eastAsia="Cambria" w:hAnsi="Cambria"/>
          <w:b/>
          <w:i/>
          <w:color w:val="000000"/>
          <w:sz w:val="20"/>
          <w:szCs w:val="20"/>
        </w:rPr>
      </w:pPr>
    </w:p>
    <w:p w14:paraId="5A5AFB7B" w14:textId="77777777" w:rsidR="00EF4FD8" w:rsidRPr="0099704B" w:rsidRDefault="00EF4FD8" w:rsidP="00EF4FD8">
      <w:pPr>
        <w:pBdr>
          <w:top w:val="nil"/>
          <w:left w:val="nil"/>
          <w:bottom w:val="nil"/>
          <w:right w:val="nil"/>
          <w:between w:val="nil"/>
        </w:pBdr>
        <w:tabs>
          <w:tab w:val="left" w:pos="720"/>
          <w:tab w:val="left" w:pos="0"/>
          <w:tab w:val="right" w:pos="8505"/>
          <w:tab w:val="right" w:pos="9072"/>
        </w:tabs>
        <w:ind w:right="4"/>
        <w:jc w:val="both"/>
        <w:rPr>
          <w:rFonts w:ascii="Cambria" w:eastAsia="Cambria" w:hAnsi="Cambria" w:cs="Cambria"/>
          <w:b/>
          <w:i/>
          <w:color w:val="000000"/>
          <w:sz w:val="20"/>
          <w:szCs w:val="20"/>
        </w:rPr>
      </w:pPr>
      <w:r w:rsidRPr="000A5982">
        <w:rPr>
          <w:rFonts w:ascii="Cambria" w:hAnsi="Cambria"/>
          <w:b/>
          <w:i/>
          <w:color w:val="000000"/>
          <w:sz w:val="20"/>
          <w:szCs w:val="20"/>
        </w:rPr>
        <w:t>19.11 El SCRS revisará la metodología estadística utilizada para estimar los descartes de ejemplares vivos y muertos y proporcionar feedback a las CPC.</w:t>
      </w:r>
      <w:r w:rsidRPr="000A5982">
        <w:rPr>
          <w:rFonts w:ascii="Cambria" w:hAnsi="Cambria"/>
          <w:b/>
          <w:bCs/>
          <w:i/>
          <w:iCs/>
          <w:color w:val="000000"/>
          <w:sz w:val="20"/>
          <w:szCs w:val="20"/>
        </w:rPr>
        <w:t xml:space="preserve"> </w:t>
      </w:r>
      <w:r w:rsidRPr="000A5982">
        <w:rPr>
          <w:rFonts w:ascii="Cambria" w:hAnsi="Cambria"/>
          <w:b/>
          <w:bCs/>
          <w:i/>
          <w:iCs/>
          <w:sz w:val="20"/>
          <w:szCs w:val="20"/>
        </w:rPr>
        <w:t>El SCRS determinará también si está justificado impartir uno o más talleres de creación de capacidad para ayudar a las CPC a cumplir los requisitos de comunicar los descartes vivos y muertos totales</w:t>
      </w:r>
      <w:r w:rsidRPr="000A5982">
        <w:rPr>
          <w:rFonts w:ascii="Cambria" w:hAnsi="Cambria"/>
          <w:sz w:val="20"/>
          <w:szCs w:val="20"/>
        </w:rPr>
        <w:t>,</w:t>
      </w:r>
      <w:hyperlink r:id="rId8" w:history="1">
        <w:r w:rsidRPr="000A5982">
          <w:rPr>
            <w:rStyle w:val="Hyperlink"/>
            <w:rFonts w:ascii="Cambria" w:hAnsi="Cambria"/>
            <w:sz w:val="20"/>
            <w:szCs w:val="20"/>
            <w:u w:val="none"/>
          </w:rPr>
          <w:t xml:space="preserve"> </w:t>
        </w:r>
        <w:r w:rsidRPr="000A5982">
          <w:rPr>
            <w:rStyle w:val="Hyperlink"/>
            <w:rFonts w:ascii="Cambria" w:hAnsi="Cambria"/>
            <w:b/>
            <w:i/>
            <w:sz w:val="20"/>
            <w:szCs w:val="20"/>
            <w:u w:val="none"/>
          </w:rPr>
          <w:t>Rec. 19-05</w:t>
        </w:r>
        <w:r w:rsidRPr="000A5982">
          <w:rPr>
            <w:rStyle w:val="Hyperlink"/>
            <w:rFonts w:ascii="Cambria" w:hAnsi="Cambria"/>
            <w:b/>
            <w:sz w:val="20"/>
            <w:szCs w:val="20"/>
            <w:u w:val="none"/>
          </w:rPr>
          <w:t>,</w:t>
        </w:r>
      </w:hyperlink>
      <w:r w:rsidRPr="000A5982">
        <w:rPr>
          <w:rFonts w:ascii="Cambria" w:hAnsi="Cambria"/>
          <w:b/>
          <w:i/>
          <w:color w:val="000000"/>
          <w:sz w:val="20"/>
          <w:szCs w:val="20"/>
        </w:rPr>
        <w:t xml:space="preserve"> párr. 16</w:t>
      </w:r>
      <w:r w:rsidRPr="000A5982">
        <w:rPr>
          <w:rFonts w:ascii="Cambria" w:hAnsi="Cambria"/>
          <w:i/>
          <w:color w:val="000000"/>
          <w:sz w:val="20"/>
          <w:szCs w:val="20"/>
        </w:rPr>
        <w:t xml:space="preserve"> </w:t>
      </w:r>
    </w:p>
    <w:p w14:paraId="6F6E8169" w14:textId="77777777" w:rsidR="00EF4FD8" w:rsidRPr="000A5982" w:rsidRDefault="00EF4FD8" w:rsidP="00EF4FD8">
      <w:pPr>
        <w:tabs>
          <w:tab w:val="left" w:pos="426"/>
          <w:tab w:val="left" w:pos="567"/>
          <w:tab w:val="left" w:pos="720"/>
          <w:tab w:val="right" w:pos="8505"/>
          <w:tab w:val="right" w:pos="9072"/>
        </w:tabs>
        <w:ind w:left="720" w:right="4" w:hanging="720"/>
        <w:jc w:val="both"/>
        <w:rPr>
          <w:rFonts w:ascii="Cambria" w:eastAsia="Cambria" w:hAnsi="Cambria" w:cs="Cambria"/>
          <w:color w:val="000000"/>
          <w:sz w:val="20"/>
          <w:szCs w:val="20"/>
        </w:rPr>
      </w:pPr>
    </w:p>
    <w:p w14:paraId="7D679047" w14:textId="77777777" w:rsidR="00EF4FD8" w:rsidRPr="000A5982" w:rsidRDefault="00EF4FD8" w:rsidP="00EF4FD8">
      <w:pPr>
        <w:jc w:val="both"/>
        <w:rPr>
          <w:rFonts w:ascii="Cambria" w:eastAsia="Cambria" w:hAnsi="Cambria" w:cs="Cambria"/>
          <w:i/>
          <w:color w:val="000000"/>
          <w:sz w:val="20"/>
          <w:szCs w:val="20"/>
        </w:rPr>
      </w:pPr>
      <w:r w:rsidRPr="000A5982">
        <w:rPr>
          <w:rFonts w:ascii="Cambria" w:hAnsi="Cambria"/>
          <w:b/>
          <w:color w:val="000000"/>
          <w:sz w:val="20"/>
          <w:szCs w:val="20"/>
        </w:rPr>
        <w:t xml:space="preserve">Contexto: </w:t>
      </w:r>
      <w:r w:rsidRPr="000A5982">
        <w:rPr>
          <w:rFonts w:ascii="Cambria" w:hAnsi="Cambria"/>
          <w:i/>
          <w:color w:val="000000"/>
          <w:sz w:val="20"/>
          <w:szCs w:val="20"/>
        </w:rPr>
        <w:t>A más tardar en 2020, las CPC presentarán al SCRS la metodología estadística utilizada para estimar los descartes de ejemplares vivos y muertos. Las CPC con pesquerías artesanales y de pequeña escala proporcionarán también información sobre sus programas de recopilación de datos.</w:t>
      </w:r>
    </w:p>
    <w:p w14:paraId="0916ECCE" w14:textId="77777777" w:rsidR="00EF4FD8" w:rsidRPr="000A5982" w:rsidRDefault="00EF4FD8" w:rsidP="00EF4FD8">
      <w:pPr>
        <w:jc w:val="both"/>
        <w:rPr>
          <w:rFonts w:ascii="Cambria" w:eastAsia="Cambria" w:hAnsi="Cambria" w:cs="Cambria"/>
          <w:i/>
          <w:color w:val="000000"/>
          <w:sz w:val="20"/>
          <w:szCs w:val="20"/>
        </w:rPr>
      </w:pPr>
    </w:p>
    <w:p w14:paraId="4F875BCC" w14:textId="77777777" w:rsidR="00EF4FD8" w:rsidRPr="000A5982" w:rsidRDefault="00EF4FD8" w:rsidP="00EF4FD8">
      <w:pPr>
        <w:jc w:val="both"/>
        <w:rPr>
          <w:rFonts w:ascii="Cambria" w:eastAsia="Cambria" w:hAnsi="Cambria" w:cs="Cambria"/>
          <w:i/>
          <w:color w:val="000000"/>
          <w:sz w:val="20"/>
          <w:szCs w:val="20"/>
        </w:rPr>
      </w:pPr>
      <w:r w:rsidRPr="000A5982">
        <w:rPr>
          <w:rFonts w:ascii="Cambria" w:hAnsi="Cambria"/>
          <w:i/>
          <w:color w:val="000000"/>
          <w:sz w:val="20"/>
          <w:szCs w:val="20"/>
        </w:rPr>
        <w:t>El SCRS revisará estas metodologías y, si determina que una metodología no está bien fundamentada desde el punto de vista científico, el SCRS proporcionará el feedback pertinente a la CPC en cuestión para mejorar las metodologías.</w:t>
      </w:r>
    </w:p>
    <w:p w14:paraId="16D98D75" w14:textId="77777777" w:rsidR="00EF4FD8" w:rsidRPr="000A5982" w:rsidRDefault="00EF4FD8" w:rsidP="00EF4FD8">
      <w:pPr>
        <w:jc w:val="both"/>
        <w:rPr>
          <w:rFonts w:ascii="Cambria" w:eastAsia="Cambria" w:hAnsi="Cambria" w:cs="Cambria"/>
          <w:i/>
          <w:color w:val="000000"/>
          <w:sz w:val="20"/>
          <w:szCs w:val="20"/>
        </w:rPr>
      </w:pPr>
    </w:p>
    <w:p w14:paraId="33148E02" w14:textId="77777777" w:rsidR="00EF4FD8" w:rsidRPr="000A5982" w:rsidRDefault="00EF4FD8" w:rsidP="00EF4FD8">
      <w:pPr>
        <w:jc w:val="both"/>
        <w:rPr>
          <w:rFonts w:ascii="Cambria" w:hAnsi="Cambria"/>
          <w:sz w:val="20"/>
          <w:szCs w:val="20"/>
        </w:rPr>
      </w:pPr>
      <w:r w:rsidRPr="000A5982">
        <w:rPr>
          <w:rFonts w:ascii="Cambria" w:hAnsi="Cambria"/>
          <w:i/>
          <w:color w:val="000000"/>
          <w:sz w:val="20"/>
          <w:szCs w:val="20"/>
        </w:rPr>
        <w:t>El SCRS determinará también si está justificado impartir uno o más talleres de creación de capacidad para ayudar a las CPC a cumplir los requisitos de comunicar los descartes vivos y muertos totales. En caso afirmativo, la Secretaría en coordinación con el SCRS debería comenzar a organizar el(los) taller(es) recomendado(s) por el SCRS en 2021, con miras a impartirlo en cuanto sea viable. En caso afirmativo, la Secretaría en coordinación con el SCRS debería comenzar a organizar el(los) taller(es) recomendado(s) por el SCRS en 2021, con miras a impartirlo en cuanto sea viable.</w:t>
      </w:r>
    </w:p>
    <w:p w14:paraId="3698A7A9" w14:textId="77777777" w:rsidR="00EF4FD8" w:rsidRPr="000A5982" w:rsidRDefault="00EF4FD8" w:rsidP="00EF4FD8">
      <w:pPr>
        <w:jc w:val="both"/>
        <w:rPr>
          <w:rFonts w:ascii="Cambria" w:hAnsi="Cambria"/>
          <w:sz w:val="20"/>
          <w:szCs w:val="20"/>
        </w:rPr>
      </w:pPr>
    </w:p>
    <w:p w14:paraId="1964DC6F" w14:textId="77777777" w:rsidR="00EF4FD8" w:rsidRPr="000A5982" w:rsidRDefault="00EF4FD8" w:rsidP="00EF4FD8">
      <w:pPr>
        <w:jc w:val="both"/>
        <w:rPr>
          <w:rFonts w:ascii="Cambria" w:eastAsia="Cambria" w:hAnsi="Cambria" w:cs="Cambria"/>
          <w:iCs/>
          <w:color w:val="000000"/>
          <w:sz w:val="20"/>
          <w:szCs w:val="20"/>
        </w:rPr>
      </w:pPr>
      <w:r w:rsidRPr="000A5982">
        <w:rPr>
          <w:rFonts w:ascii="Cambria" w:hAnsi="Cambria"/>
          <w:color w:val="000000"/>
          <w:sz w:val="20"/>
          <w:szCs w:val="20"/>
        </w:rPr>
        <w:t>En 2026, el</w:t>
      </w:r>
      <w:r w:rsidRPr="000A5982">
        <w:rPr>
          <w:rFonts w:ascii="Cambria" w:hAnsi="Cambria"/>
          <w:sz w:val="20"/>
          <w:szCs w:val="20"/>
        </w:rPr>
        <w:t xml:space="preserve"> Grupo de trabajo sobre métodos de evaluación de stock (WGSAM) </w:t>
      </w:r>
      <w:hyperlink r:id="rId9" w:history="1">
        <w:r w:rsidRPr="000A5982">
          <w:rPr>
            <w:rStyle w:val="Hyperlink"/>
            <w:rFonts w:ascii="Cambria" w:hAnsi="Cambria"/>
            <w:sz w:val="20"/>
            <w:szCs w:val="20"/>
            <w:u w:val="none"/>
          </w:rPr>
          <w:t>(Anón., 2026h)</w:t>
        </w:r>
      </w:hyperlink>
      <w:r w:rsidRPr="000A5982">
        <w:rPr>
          <w:rFonts w:ascii="Cambria" w:hAnsi="Cambria"/>
          <w:color w:val="000000"/>
          <w:sz w:val="20"/>
          <w:szCs w:val="20"/>
        </w:rPr>
        <w:t xml:space="preserve"> ha examinado diversas metodologías de estimación de los descartes para varias especies. El WGSAM propuso un marco estandarizado y una lista de verificación diagnóstica para facilitar la evaluación de las distintas metodologías. En general, el WGSAM recomendó que la decisión o recomendación final sobre la aceptación de las estimaciones de captura fortuita para una CPC concreta y un stock concreto debería corresponder a los Grupos de especies. El Comité recomendó que las CPC siguieran la lista de comprobación aprobada, que incluye los procesos de diagnóstico y de validación (</w:t>
      </w:r>
      <w:r w:rsidRPr="000A5982">
        <w:rPr>
          <w:rFonts w:ascii="Cambria" w:hAnsi="Cambria"/>
          <w:sz w:val="20"/>
          <w:szCs w:val="20"/>
        </w:rPr>
        <w:t>SCRS/2026/197</w:t>
      </w:r>
      <w:r w:rsidRPr="000A5982">
        <w:rPr>
          <w:rFonts w:ascii="Cambria" w:hAnsi="Cambria"/>
          <w:color w:val="000000"/>
          <w:sz w:val="20"/>
          <w:szCs w:val="20"/>
        </w:rPr>
        <w:t>).</w:t>
      </w:r>
    </w:p>
    <w:p w14:paraId="4D69403A" w14:textId="77777777" w:rsidR="00EF4FD8" w:rsidRPr="000A5982" w:rsidRDefault="00EF4FD8" w:rsidP="00EF4FD8">
      <w:pPr>
        <w:jc w:val="both"/>
        <w:rPr>
          <w:rFonts w:ascii="Cambria" w:eastAsia="Cambria" w:hAnsi="Cambria" w:cs="Cambria"/>
          <w:iCs/>
          <w:color w:val="000000"/>
          <w:sz w:val="20"/>
          <w:szCs w:val="20"/>
        </w:rPr>
      </w:pPr>
    </w:p>
    <w:p w14:paraId="59D1C9DC" w14:textId="77777777" w:rsidR="00EF4FD8" w:rsidRPr="000A5982" w:rsidRDefault="00EF4FD8" w:rsidP="00EF4FD8">
      <w:pPr>
        <w:jc w:val="both"/>
        <w:rPr>
          <w:rFonts w:ascii="Cambria" w:eastAsia="Cambria" w:hAnsi="Cambria" w:cs="Cambria"/>
          <w:iCs/>
          <w:color w:val="000000"/>
          <w:sz w:val="20"/>
          <w:szCs w:val="20"/>
        </w:rPr>
      </w:pPr>
      <w:r w:rsidRPr="000A5982">
        <w:rPr>
          <w:rFonts w:ascii="Cambria" w:hAnsi="Cambria"/>
          <w:color w:val="000000"/>
          <w:sz w:val="20"/>
          <w:szCs w:val="20"/>
        </w:rPr>
        <w:t xml:space="preserve">El Comité reiteró que era importante que el Comité comprenda la metodología utilizada por las CPC para estimar los descartes vivos y muertos. El Comité recordó a las CPC que aún no hayan presentado la documentación o no hayan facilitado información suficiente, de acuerdo con la lista de verificación aprobada por el Comité sobre las metodologías utilizadas para la estimación de las capturas fortuitas y los descartes (vivos y muertos), la obligación de hacerlo. </w:t>
      </w:r>
    </w:p>
    <w:p w14:paraId="6039E020" w14:textId="77777777" w:rsidR="00EF4FD8" w:rsidRPr="000A5982" w:rsidRDefault="00EF4FD8" w:rsidP="00EF4FD8">
      <w:pPr>
        <w:jc w:val="both"/>
        <w:rPr>
          <w:rFonts w:ascii="Cambria" w:eastAsia="Cambria" w:hAnsi="Cambria" w:cs="Cambria"/>
          <w:iCs/>
          <w:color w:val="000000"/>
          <w:sz w:val="20"/>
          <w:szCs w:val="20"/>
        </w:rPr>
      </w:pPr>
    </w:p>
    <w:p w14:paraId="27581859" w14:textId="77777777" w:rsidR="00EF4FD8" w:rsidRPr="000A5982" w:rsidRDefault="00EF4FD8" w:rsidP="00EF4FD8">
      <w:pPr>
        <w:jc w:val="both"/>
        <w:rPr>
          <w:rFonts w:ascii="Cambria" w:eastAsia="Cambria" w:hAnsi="Cambria" w:cs="Cambria"/>
          <w:iCs/>
          <w:color w:val="000000"/>
          <w:sz w:val="20"/>
          <w:szCs w:val="20"/>
        </w:rPr>
      </w:pPr>
      <w:r w:rsidRPr="000A5982">
        <w:rPr>
          <w:rFonts w:ascii="Cambria" w:hAnsi="Cambria"/>
          <w:color w:val="000000"/>
          <w:sz w:val="20"/>
          <w:szCs w:val="20"/>
        </w:rPr>
        <w:t xml:space="preserve">El SCRS ha organizado talleres regionales sobre estadísticas de pesquerías de pequeña escala en África occidental y el Caribe y ha implementado un proyecto piloto para mejorar los datos sobre aguja azul y rabil capturados por las pesquerías caribeñas. Las flotas artesanales y de pequeña escala no suelen descartar istiofóridos, ya que estas especies se retienen y desembarcan para el consumo local. En la mayoría de los casos, los desembarques representan la captura total. </w:t>
      </w:r>
    </w:p>
    <w:p w14:paraId="79AAD74F" w14:textId="77777777" w:rsidR="00EF4FD8" w:rsidRPr="000A5982" w:rsidRDefault="00EF4FD8" w:rsidP="00EF4FD8">
      <w:pPr>
        <w:jc w:val="both"/>
        <w:rPr>
          <w:rFonts w:ascii="Cambria" w:eastAsia="Cambria" w:hAnsi="Cambria" w:cs="Cambria"/>
          <w:iCs/>
          <w:color w:val="000000"/>
          <w:sz w:val="20"/>
          <w:szCs w:val="20"/>
        </w:rPr>
      </w:pPr>
    </w:p>
    <w:p w14:paraId="2A12EEC2" w14:textId="77777777" w:rsidR="00EF4FD8" w:rsidRPr="000A5982" w:rsidRDefault="00EF4FD8" w:rsidP="00EF4FD8">
      <w:pPr>
        <w:jc w:val="both"/>
        <w:rPr>
          <w:rFonts w:ascii="Cambria" w:eastAsia="Cambria" w:hAnsi="Cambria" w:cs="Cambria"/>
          <w:iCs/>
          <w:color w:val="000000"/>
          <w:sz w:val="20"/>
          <w:szCs w:val="20"/>
        </w:rPr>
      </w:pPr>
      <w:r w:rsidRPr="000A5982">
        <w:rPr>
          <w:rFonts w:ascii="Cambria" w:hAnsi="Cambria"/>
          <w:color w:val="000000"/>
          <w:sz w:val="20"/>
          <w:szCs w:val="20"/>
        </w:rPr>
        <w:t xml:space="preserve">En las últimas décadas, muchas embarcaciones deportivas liberaban la mayor parte de los istiofóridos capturados; sin embargo, la mayoría de estas flotas pesqueras no declaran las liberaciones ni los desembarques de forma sistemática. La proporción de liberaciones frente a desembarques de estas flotas varía con el tiempo, entre regiones y dependiendo de si la pesca se realiza como parte de un torneo. </w:t>
      </w:r>
    </w:p>
    <w:p w14:paraId="335E4219" w14:textId="77777777" w:rsidR="00EF4FD8" w:rsidRPr="000A5982" w:rsidRDefault="00EF4FD8" w:rsidP="00EF4FD8">
      <w:pPr>
        <w:jc w:val="both"/>
        <w:rPr>
          <w:rFonts w:ascii="Cambria" w:eastAsia="Cambria" w:hAnsi="Cambria" w:cs="Cambria"/>
          <w:iCs/>
          <w:color w:val="000000"/>
          <w:sz w:val="20"/>
          <w:szCs w:val="20"/>
        </w:rPr>
      </w:pPr>
    </w:p>
    <w:p w14:paraId="421A86B5" w14:textId="77777777" w:rsidR="00EF4FD8" w:rsidRPr="000A5982" w:rsidRDefault="00EF4FD8" w:rsidP="00EF4FD8">
      <w:pPr>
        <w:jc w:val="both"/>
        <w:rPr>
          <w:rFonts w:ascii="Cambria" w:eastAsia="Cambria" w:hAnsi="Cambria" w:cs="Cambria"/>
          <w:iCs/>
          <w:color w:val="000000"/>
          <w:sz w:val="20"/>
          <w:szCs w:val="20"/>
        </w:rPr>
      </w:pPr>
      <w:r w:rsidRPr="000A5982">
        <w:rPr>
          <w:rFonts w:ascii="Cambria" w:hAnsi="Cambria"/>
          <w:color w:val="000000"/>
          <w:sz w:val="20"/>
          <w:szCs w:val="20"/>
        </w:rPr>
        <w:lastRenderedPageBreak/>
        <w:t>Para mejorar la calidad de los datos de desembarques y descartes de istiofóridos se recomienda seguir apoyando el proyecto de colaboración en curso entre corresponsales estadísticos nacionales, científicos nacionales y expertos en seguimiento de datos de ICCAT. El proyecto pretende mejorar los datos de las pesquerías de pequeña escala y deportivas de los istiofóridos del Caribe y consta de los siguientes elementos:</w:t>
      </w:r>
    </w:p>
    <w:p w14:paraId="0EAEAE7D" w14:textId="77777777" w:rsidR="00EF4FD8" w:rsidRPr="000A5982" w:rsidRDefault="00EF4FD8" w:rsidP="00EF4FD8">
      <w:pPr>
        <w:jc w:val="both"/>
        <w:rPr>
          <w:rFonts w:ascii="Cambria" w:eastAsia="Cambria" w:hAnsi="Cambria" w:cs="Cambria"/>
          <w:iCs/>
          <w:color w:val="000000"/>
          <w:sz w:val="20"/>
          <w:szCs w:val="20"/>
        </w:rPr>
      </w:pPr>
    </w:p>
    <w:p w14:paraId="5E68B7FE" w14:textId="77777777" w:rsidR="00EF4FD8" w:rsidRPr="000A5982" w:rsidRDefault="00EF4FD8" w:rsidP="00EF4FD8">
      <w:pPr>
        <w:numPr>
          <w:ilvl w:val="1"/>
          <w:numId w:val="1"/>
        </w:numPr>
        <w:ind w:left="851" w:hanging="425"/>
        <w:jc w:val="both"/>
        <w:rPr>
          <w:rFonts w:ascii="Cambria" w:eastAsia="Cambria" w:hAnsi="Cambria" w:cs="Cambria"/>
          <w:iCs/>
          <w:color w:val="000000"/>
          <w:sz w:val="20"/>
          <w:szCs w:val="20"/>
        </w:rPr>
      </w:pPr>
      <w:r w:rsidRPr="000A5982">
        <w:rPr>
          <w:rFonts w:ascii="Cambria" w:hAnsi="Cambria"/>
          <w:color w:val="000000"/>
          <w:sz w:val="20"/>
          <w:szCs w:val="20"/>
        </w:rPr>
        <w:t xml:space="preserve">Examen exhaustivo de los documentos históricos sobre las pesquerías de pequeña escala y deportivas que capturan especies de ICCAT, en particular istiofóridos; </w:t>
      </w:r>
    </w:p>
    <w:p w14:paraId="72676928" w14:textId="77777777" w:rsidR="00EF4FD8" w:rsidRPr="000A5982" w:rsidRDefault="00EF4FD8" w:rsidP="00EF4FD8">
      <w:pPr>
        <w:numPr>
          <w:ilvl w:val="1"/>
          <w:numId w:val="1"/>
        </w:numPr>
        <w:ind w:left="851" w:hanging="425"/>
        <w:jc w:val="both"/>
        <w:rPr>
          <w:rFonts w:ascii="Cambria" w:eastAsia="Cambria" w:hAnsi="Cambria" w:cs="Cambria"/>
          <w:iCs/>
          <w:color w:val="000000"/>
          <w:sz w:val="20"/>
          <w:szCs w:val="20"/>
        </w:rPr>
      </w:pPr>
      <w:r w:rsidRPr="000A5982">
        <w:rPr>
          <w:rFonts w:ascii="Cambria" w:hAnsi="Cambria"/>
          <w:color w:val="000000"/>
          <w:sz w:val="20"/>
          <w:szCs w:val="20"/>
        </w:rPr>
        <w:t>Examen de los sistemas nacionales de gobernanza relacionados con las pesquerías de ICCAT;</w:t>
      </w:r>
    </w:p>
    <w:p w14:paraId="043A143A" w14:textId="77777777" w:rsidR="00EF4FD8" w:rsidRPr="000A5982" w:rsidRDefault="00EF4FD8" w:rsidP="00EF4FD8">
      <w:pPr>
        <w:numPr>
          <w:ilvl w:val="1"/>
          <w:numId w:val="1"/>
        </w:numPr>
        <w:ind w:left="851" w:hanging="425"/>
        <w:jc w:val="both"/>
        <w:rPr>
          <w:rFonts w:ascii="Cambria" w:eastAsia="Cambria" w:hAnsi="Cambria" w:cs="Cambria"/>
          <w:iCs/>
          <w:color w:val="000000"/>
          <w:sz w:val="20"/>
          <w:szCs w:val="20"/>
        </w:rPr>
      </w:pPr>
      <w:r w:rsidRPr="000A5982">
        <w:rPr>
          <w:rFonts w:ascii="Cambria" w:hAnsi="Cambria"/>
          <w:color w:val="000000"/>
          <w:sz w:val="20"/>
          <w:szCs w:val="20"/>
        </w:rPr>
        <w:t>Entrevistas a participantes clave implicados en la gobernanza, las operaciones y el seguimiento de la pesquería;</w:t>
      </w:r>
    </w:p>
    <w:p w14:paraId="4326AFBD" w14:textId="77777777" w:rsidR="00EF4FD8" w:rsidRPr="000A5982" w:rsidRDefault="00EF4FD8" w:rsidP="00EF4FD8">
      <w:pPr>
        <w:numPr>
          <w:ilvl w:val="1"/>
          <w:numId w:val="1"/>
        </w:numPr>
        <w:ind w:left="851" w:hanging="425"/>
        <w:jc w:val="both"/>
        <w:rPr>
          <w:rFonts w:ascii="Cambria" w:eastAsia="Cambria" w:hAnsi="Cambria" w:cs="Cambria"/>
          <w:iCs/>
          <w:color w:val="000000"/>
          <w:sz w:val="20"/>
          <w:szCs w:val="20"/>
        </w:rPr>
      </w:pPr>
      <w:r w:rsidRPr="000A5982">
        <w:rPr>
          <w:rFonts w:ascii="Cambria" w:hAnsi="Cambria"/>
          <w:color w:val="000000"/>
          <w:sz w:val="20"/>
          <w:szCs w:val="20"/>
        </w:rPr>
        <w:t>Apoyo técnico para mejorar el diseño, el seguimiento y la estimación estadística de las capturas, los descartes y el esfuerzo pesquero;</w:t>
      </w:r>
    </w:p>
    <w:p w14:paraId="3E30C81E" w14:textId="77777777" w:rsidR="00EF4FD8" w:rsidRPr="000A5982" w:rsidRDefault="00EF4FD8" w:rsidP="00EF4FD8">
      <w:pPr>
        <w:numPr>
          <w:ilvl w:val="1"/>
          <w:numId w:val="1"/>
        </w:numPr>
        <w:ind w:left="851" w:hanging="425"/>
        <w:jc w:val="both"/>
        <w:rPr>
          <w:rFonts w:ascii="Cambria" w:eastAsia="Cambria" w:hAnsi="Cambria" w:cs="Cambria"/>
          <w:iCs/>
          <w:color w:val="000000"/>
          <w:sz w:val="20"/>
          <w:szCs w:val="20"/>
        </w:rPr>
      </w:pPr>
      <w:r w:rsidRPr="000A5982">
        <w:rPr>
          <w:rFonts w:ascii="Cambria" w:hAnsi="Cambria"/>
          <w:color w:val="000000"/>
          <w:sz w:val="20"/>
          <w:szCs w:val="20"/>
        </w:rPr>
        <w:t>Mejora de la recogida de muestras biológicas.</w:t>
      </w:r>
    </w:p>
    <w:p w14:paraId="7079F44C" w14:textId="77777777" w:rsidR="00EF4FD8" w:rsidRPr="000A5982" w:rsidRDefault="00EF4FD8" w:rsidP="00EF4FD8">
      <w:pPr>
        <w:jc w:val="both"/>
        <w:rPr>
          <w:rFonts w:ascii="Cambria" w:eastAsia="Cambria" w:hAnsi="Cambria" w:cs="Cambria"/>
          <w:iCs/>
          <w:color w:val="000000"/>
          <w:sz w:val="20"/>
          <w:szCs w:val="20"/>
        </w:rPr>
      </w:pPr>
    </w:p>
    <w:p w14:paraId="119DF9CE" w14:textId="77777777" w:rsidR="00EF4FD8" w:rsidRPr="0099704B" w:rsidRDefault="00EF4FD8" w:rsidP="00EF4FD8">
      <w:pPr>
        <w:jc w:val="both"/>
        <w:rPr>
          <w:rFonts w:ascii="Cambria" w:eastAsia="Cambria" w:hAnsi="Cambria" w:cs="Cambria"/>
          <w:iCs/>
          <w:color w:val="000000"/>
          <w:sz w:val="20"/>
          <w:szCs w:val="20"/>
        </w:rPr>
      </w:pPr>
      <w:r w:rsidRPr="000A5982">
        <w:rPr>
          <w:rFonts w:ascii="Cambria" w:hAnsi="Cambria"/>
          <w:sz w:val="20"/>
          <w:szCs w:val="20"/>
        </w:rPr>
        <w:t>Con el fin de mejorar la capacidad para estimar los descartes de peces vivos y muertos, el Comité apoya el desarrollo y el uso continuados de la</w:t>
      </w:r>
      <w:r w:rsidRPr="000A5982">
        <w:rPr>
          <w:rFonts w:ascii="Cambria" w:hAnsi="Cambria"/>
          <w:color w:val="000000"/>
          <w:sz w:val="20"/>
          <w:szCs w:val="20"/>
        </w:rPr>
        <w:t xml:space="preserve"> </w:t>
      </w:r>
      <w:hyperlink r:id="rId10" w:history="1">
        <w:r w:rsidRPr="000A5982">
          <w:rPr>
            <w:rFonts w:ascii="Cambria" w:hAnsi="Cambria"/>
            <w:color w:val="0563C1" w:themeColor="hyperlink"/>
            <w:sz w:val="20"/>
            <w:szCs w:val="20"/>
          </w:rPr>
          <w:t>herramienta de estimación de las capturas fortuitas (BYET)</w:t>
        </w:r>
      </w:hyperlink>
      <w:r w:rsidRPr="000A5982">
        <w:rPr>
          <w:rFonts w:ascii="Cambria" w:hAnsi="Cambria"/>
          <w:color w:val="000000"/>
          <w:sz w:val="20"/>
          <w:szCs w:val="20"/>
        </w:rPr>
        <w:t>. El WGSAM identifica la capacidad de estimar las capturas fortuitas y los descartes a nivel estadístico de ICCAT (comunicación de información de la Tarea 1). El WGSAM también acordó continuar con las actividades de creación de capacidad en 2027, así como con un taller de formación previsto para diciembre de 2026. El Comité anima a las CPC a que aprovechen esta y otras oportunidades de formación futuras para mejorar su capacidad a la hora de estimar y notificar los descartes de peces vivos y muertos.</w:t>
      </w:r>
      <w:r w:rsidRPr="0099704B">
        <w:rPr>
          <w:rFonts w:ascii="Cambria" w:hAnsi="Cambria"/>
          <w:color w:val="000000"/>
          <w:sz w:val="20"/>
          <w:szCs w:val="20"/>
        </w:rPr>
        <w:t xml:space="preserve"> </w:t>
      </w:r>
    </w:p>
    <w:p w14:paraId="7485006A" w14:textId="77777777" w:rsidR="00EF4FD8" w:rsidRPr="0099704B" w:rsidRDefault="00EF4FD8" w:rsidP="00EF4FD8">
      <w:pPr>
        <w:jc w:val="both"/>
        <w:rPr>
          <w:rFonts w:ascii="Cambria" w:eastAsia="Cambria" w:hAnsi="Cambria"/>
          <w:b/>
          <w:i/>
          <w:color w:val="000000"/>
          <w:sz w:val="20"/>
          <w:szCs w:val="20"/>
        </w:rPr>
      </w:pPr>
    </w:p>
    <w:p w14:paraId="2D6DE5A2" w14:textId="77777777" w:rsidR="00EF4FD8" w:rsidRPr="000A5982" w:rsidRDefault="00EF4FD8" w:rsidP="00EF4FD8">
      <w:pPr>
        <w:jc w:val="both"/>
        <w:rPr>
          <w:rFonts w:ascii="Cambria" w:hAnsi="Cambria"/>
          <w:b/>
          <w:i/>
          <w:sz w:val="20"/>
          <w:szCs w:val="20"/>
        </w:rPr>
      </w:pPr>
      <w:r w:rsidRPr="000A5982">
        <w:rPr>
          <w:rFonts w:ascii="Cambria" w:hAnsi="Cambria"/>
          <w:b/>
          <w:bCs/>
          <w:i/>
          <w:iCs/>
          <w:sz w:val="20"/>
          <w:szCs w:val="20"/>
        </w:rPr>
        <w:t xml:space="preserve">19.12 El SCRS evaluará la exhaustividad de envíos de los datos de Tarea I y Tarea II, lo que incluye las estimaciones de descartes vivos y muertos totales, y determinará la vialidad de estimar las mortalidades por pesca en las pesquerías industriales (lo que incluye palangre y cerco), en las pesquerías artesanales y en las pesquerías de recreo, </w:t>
      </w:r>
      <w:hyperlink r:id="rId11" w:history="1">
        <w:r w:rsidRPr="000A5982">
          <w:rPr>
            <w:rStyle w:val="Hyperlink"/>
            <w:rFonts w:ascii="Cambria" w:hAnsi="Cambria"/>
            <w:b/>
            <w:i/>
            <w:sz w:val="20"/>
            <w:szCs w:val="20"/>
            <w:u w:val="none"/>
          </w:rPr>
          <w:t>Rec. 19-05</w:t>
        </w:r>
        <w:r w:rsidRPr="000A5982">
          <w:rPr>
            <w:rStyle w:val="Hyperlink"/>
            <w:rFonts w:ascii="Cambria" w:hAnsi="Cambria"/>
            <w:b/>
            <w:bCs/>
            <w:i/>
            <w:iCs/>
            <w:sz w:val="20"/>
            <w:szCs w:val="20"/>
            <w:u w:val="none"/>
          </w:rPr>
          <w:t xml:space="preserve">, </w:t>
        </w:r>
      </w:hyperlink>
      <w:r w:rsidRPr="000A5982">
        <w:rPr>
          <w:rFonts w:ascii="Cambria" w:hAnsi="Cambria"/>
          <w:b/>
          <w:bCs/>
          <w:i/>
          <w:iCs/>
          <w:sz w:val="20"/>
          <w:szCs w:val="20"/>
        </w:rPr>
        <w:t xml:space="preserve">párr. 17 </w:t>
      </w:r>
    </w:p>
    <w:p w14:paraId="6C0F4CE5" w14:textId="77777777" w:rsidR="00EF4FD8" w:rsidRPr="000A5982" w:rsidRDefault="00EF4FD8" w:rsidP="00EF4FD8">
      <w:pPr>
        <w:jc w:val="both"/>
        <w:rPr>
          <w:rFonts w:ascii="Cambria" w:hAnsi="Cambria"/>
          <w:b/>
          <w:sz w:val="20"/>
          <w:szCs w:val="20"/>
        </w:rPr>
      </w:pPr>
    </w:p>
    <w:p w14:paraId="2205CD40" w14:textId="77777777" w:rsidR="00EF4FD8" w:rsidRPr="0099704B" w:rsidRDefault="00EF4FD8" w:rsidP="00EF4FD8">
      <w:pPr>
        <w:jc w:val="both"/>
        <w:rPr>
          <w:rFonts w:ascii="Cambria" w:hAnsi="Cambria"/>
          <w:i/>
          <w:sz w:val="20"/>
          <w:szCs w:val="20"/>
        </w:rPr>
      </w:pPr>
      <w:r w:rsidRPr="000A5982">
        <w:rPr>
          <w:rFonts w:ascii="Cambria" w:hAnsi="Cambria"/>
          <w:b/>
          <w:i/>
          <w:sz w:val="20"/>
          <w:szCs w:val="20"/>
        </w:rPr>
        <w:t>Contexto:</w:t>
      </w:r>
      <w:r w:rsidRPr="000A5982">
        <w:rPr>
          <w:rFonts w:ascii="Cambria" w:hAnsi="Cambria"/>
          <w:i/>
          <w:sz w:val="20"/>
          <w:szCs w:val="20"/>
        </w:rPr>
        <w:t xml:space="preserve"> El SCRS evaluará la exhaustividad de envíos de los datos de Tarea I y Tarea II, lo que incluye las estimaciones de descartes vivos y muertos totales, y determinará la vialidad de estimar las mortalidades por pesca en las pesquerías industriales (lo que incluye palangre y cerco), en las pesquerías artesanales y en las pesquerías de recreo. Si tras dicha evaluación, el SCRS determina que existen importantes lagunas en la comunicación de datos, el SCRS debería explorar enfoques para estimar el nivel de capturas no comunicadas a incluir en evaluaciones futuras del stock, con el fin de reforzar la base sobre la que se proporciona el asesoramiento de ordenación a la Comisión.</w:t>
      </w:r>
    </w:p>
    <w:p w14:paraId="539FE4FE" w14:textId="77777777" w:rsidR="00EF4FD8" w:rsidRPr="0099704B" w:rsidRDefault="00EF4FD8" w:rsidP="00EF4FD8">
      <w:pPr>
        <w:tabs>
          <w:tab w:val="left" w:pos="1320"/>
        </w:tabs>
        <w:rPr>
          <w:rFonts w:ascii="Cambria" w:hAnsi="Cambria"/>
          <w:bCs/>
          <w:sz w:val="20"/>
          <w:szCs w:val="20"/>
        </w:rPr>
      </w:pPr>
    </w:p>
    <w:p w14:paraId="3820CED3" w14:textId="77777777" w:rsidR="00EF4FD8" w:rsidRPr="000A5982" w:rsidRDefault="00EF4FD8" w:rsidP="00EF4FD8">
      <w:pPr>
        <w:tabs>
          <w:tab w:val="center" w:pos="4513"/>
          <w:tab w:val="left" w:pos="6804"/>
        </w:tabs>
        <w:jc w:val="both"/>
        <w:rPr>
          <w:rFonts w:ascii="Cambria" w:hAnsi="Cambria"/>
          <w:sz w:val="20"/>
          <w:szCs w:val="20"/>
        </w:rPr>
      </w:pPr>
      <w:r w:rsidRPr="000A5982">
        <w:rPr>
          <w:rFonts w:ascii="Cambria" w:hAnsi="Cambria"/>
          <w:sz w:val="20"/>
          <w:szCs w:val="20"/>
        </w:rPr>
        <w:t>El Comité recibió una presentación sobre el panel de control en línea del catálogo de datos del SCRS, denominado «</w:t>
      </w:r>
      <w:hyperlink r:id="rId12" w:history="1">
        <w:r w:rsidRPr="000A5982">
          <w:rPr>
            <w:rStyle w:val="Hyperlink"/>
            <w:rFonts w:ascii="Cambria" w:hAnsi="Cambria"/>
            <w:sz w:val="20"/>
            <w:szCs w:val="20"/>
            <w:u w:val="none"/>
          </w:rPr>
          <w:t xml:space="preserve">BLUE </w:t>
        </w:r>
      </w:hyperlink>
      <w:r w:rsidRPr="000A5982">
        <w:rPr>
          <w:rFonts w:ascii="Cambria" w:hAnsi="Cambria"/>
          <w:sz w:val="20"/>
          <w:szCs w:val="20"/>
        </w:rPr>
        <w:t xml:space="preserve">/ </w:t>
      </w:r>
      <w:hyperlink r:id="rId13" w:history="1">
        <w:r w:rsidRPr="000A5982">
          <w:rPr>
            <w:rStyle w:val="Hyperlink"/>
            <w:rFonts w:ascii="Cambria" w:hAnsi="Cambria"/>
            <w:sz w:val="20"/>
            <w:szCs w:val="20"/>
            <w:u w:val="none"/>
          </w:rPr>
          <w:t>RED</w:t>
        </w:r>
      </w:hyperlink>
      <w:r w:rsidRPr="000A5982">
        <w:rPr>
          <w:rFonts w:ascii="Cambria" w:hAnsi="Cambria"/>
          <w:sz w:val="20"/>
          <w:szCs w:val="20"/>
        </w:rPr>
        <w:t>», y recomendó que cada CPC consulte de forma individual dicho panel y dé prioridad a las mejoras en los datos con vistas a futuras evaluaciones de los istiofóridos.</w:t>
      </w:r>
    </w:p>
    <w:p w14:paraId="5DAB335E" w14:textId="77777777" w:rsidR="00EF4FD8" w:rsidRPr="0099704B" w:rsidRDefault="00EF4FD8" w:rsidP="00EF4FD8">
      <w:pPr>
        <w:tabs>
          <w:tab w:val="left" w:pos="1320"/>
        </w:tabs>
        <w:rPr>
          <w:rFonts w:ascii="Cambria" w:hAnsi="Cambria"/>
          <w:bCs/>
          <w:sz w:val="20"/>
          <w:szCs w:val="20"/>
        </w:rPr>
      </w:pPr>
    </w:p>
    <w:p w14:paraId="0BDE7844" w14:textId="77777777" w:rsidR="00EF4FD8" w:rsidRPr="000A5982" w:rsidRDefault="00EF4FD8" w:rsidP="00EF4FD8">
      <w:pPr>
        <w:tabs>
          <w:tab w:val="left" w:pos="0"/>
          <w:tab w:val="right" w:leader="dot" w:pos="8505"/>
          <w:tab w:val="right" w:pos="9072"/>
        </w:tabs>
        <w:autoSpaceDE w:val="0"/>
        <w:autoSpaceDN w:val="0"/>
        <w:adjustRightInd w:val="0"/>
        <w:ind w:right="4"/>
        <w:jc w:val="both"/>
        <w:rPr>
          <w:rFonts w:ascii="Cambria" w:hAnsi="Cambria"/>
          <w:b/>
          <w:i/>
          <w:iCs/>
          <w:sz w:val="20"/>
          <w:szCs w:val="20"/>
        </w:rPr>
      </w:pPr>
      <w:r w:rsidRPr="000A5982">
        <w:rPr>
          <w:rFonts w:ascii="Cambria" w:hAnsi="Cambria"/>
          <w:b/>
          <w:i/>
          <w:sz w:val="20"/>
          <w:szCs w:val="20"/>
        </w:rPr>
        <w:t xml:space="preserve">19.13 El SCRS continuará su trabajo para seguir mejorando las iniciativas de recopilación de datos como parte del EPBR para solucionar los problemas de lagunas en los datos de dichas pesquerías, en particular de las pesquerías artesanales de las CPC en desarrollo, </w:t>
      </w:r>
      <w:hyperlink r:id="rId14" w:history="1">
        <w:r w:rsidRPr="000A5982">
          <w:rPr>
            <w:rStyle w:val="Hyperlink"/>
            <w:rFonts w:ascii="Cambria" w:hAnsi="Cambria"/>
            <w:b/>
            <w:i/>
            <w:sz w:val="20"/>
            <w:szCs w:val="20"/>
            <w:u w:val="none"/>
          </w:rPr>
          <w:t>Rec. 19-05</w:t>
        </w:r>
      </w:hyperlink>
      <w:r w:rsidRPr="000A5982">
        <w:rPr>
          <w:rFonts w:ascii="Cambria" w:hAnsi="Cambria"/>
          <w:b/>
          <w:sz w:val="20"/>
          <w:szCs w:val="20"/>
        </w:rPr>
        <w:t>,</w:t>
      </w:r>
      <w:r w:rsidRPr="000A5982">
        <w:rPr>
          <w:rFonts w:ascii="Cambria" w:hAnsi="Cambria"/>
          <w:b/>
          <w:i/>
          <w:sz w:val="20"/>
          <w:szCs w:val="20"/>
        </w:rPr>
        <w:t xml:space="preserve"> párr. 18</w:t>
      </w:r>
      <w:r w:rsidRPr="000A5982">
        <w:rPr>
          <w:rFonts w:ascii="Cambria" w:hAnsi="Cambria"/>
          <w:i/>
          <w:sz w:val="20"/>
          <w:szCs w:val="20"/>
        </w:rPr>
        <w:t xml:space="preserve"> </w:t>
      </w:r>
    </w:p>
    <w:p w14:paraId="70B87761" w14:textId="77777777" w:rsidR="00EF4FD8" w:rsidRPr="000A5982" w:rsidRDefault="00EF4FD8" w:rsidP="00EF4FD8">
      <w:pPr>
        <w:tabs>
          <w:tab w:val="center" w:pos="4513"/>
          <w:tab w:val="left" w:pos="6804"/>
        </w:tabs>
        <w:rPr>
          <w:rFonts w:ascii="Cambria" w:hAnsi="Cambria"/>
          <w:b/>
          <w:i/>
          <w:iCs/>
          <w:sz w:val="20"/>
          <w:szCs w:val="20"/>
        </w:rPr>
      </w:pPr>
    </w:p>
    <w:p w14:paraId="6FC8CAA8" w14:textId="77777777" w:rsidR="00EF4FD8" w:rsidRPr="0099704B" w:rsidRDefault="00EF4FD8" w:rsidP="00EF4FD8">
      <w:pPr>
        <w:suppressAutoHyphens/>
        <w:jc w:val="both"/>
        <w:rPr>
          <w:rFonts w:ascii="Cambria" w:hAnsi="Cambria"/>
          <w:i/>
          <w:sz w:val="20"/>
          <w:szCs w:val="20"/>
        </w:rPr>
      </w:pPr>
      <w:r w:rsidRPr="000A5982">
        <w:rPr>
          <w:rFonts w:ascii="Cambria" w:hAnsi="Cambria"/>
          <w:b/>
          <w:sz w:val="20"/>
          <w:szCs w:val="20"/>
        </w:rPr>
        <w:t>Contexto:</w:t>
      </w:r>
      <w:r w:rsidRPr="000A5982">
        <w:rPr>
          <w:rFonts w:ascii="Cambria" w:hAnsi="Cambria"/>
          <w:b/>
          <w:i/>
          <w:sz w:val="20"/>
          <w:szCs w:val="20"/>
        </w:rPr>
        <w:t xml:space="preserve"> </w:t>
      </w:r>
      <w:r w:rsidRPr="000A5982">
        <w:rPr>
          <w:rFonts w:ascii="Cambria" w:hAnsi="Cambria"/>
          <w:i/>
          <w:sz w:val="20"/>
          <w:szCs w:val="20"/>
        </w:rPr>
        <w:t>El SCRS continuará su trabajo para seguir mejorando las iniciativas de recopilación de datos como parte del Programa ICCAT de investigación intensiva sobre marlines para solucionar los problemas de lagunas en los datos de dichas pesquerías, en particular de las pesquerías artesanales de las CPC en desarrollo para aportar información a las decisiones futuras de la Comisión.</w:t>
      </w:r>
    </w:p>
    <w:p w14:paraId="05138A24" w14:textId="77777777" w:rsidR="00EF4FD8" w:rsidRPr="0099704B" w:rsidRDefault="00EF4FD8" w:rsidP="00EF4FD8">
      <w:pPr>
        <w:suppressAutoHyphens/>
        <w:jc w:val="both"/>
        <w:rPr>
          <w:rFonts w:ascii="Cambria" w:hAnsi="Cambria"/>
          <w:i/>
          <w:sz w:val="20"/>
          <w:szCs w:val="20"/>
        </w:rPr>
      </w:pPr>
    </w:p>
    <w:p w14:paraId="59A74B56" w14:textId="77777777" w:rsidR="00EF4FD8" w:rsidRPr="0099704B" w:rsidRDefault="00EF4FD8" w:rsidP="00EF4FD8">
      <w:pPr>
        <w:tabs>
          <w:tab w:val="center" w:pos="4513"/>
          <w:tab w:val="left" w:pos="6804"/>
        </w:tabs>
        <w:jc w:val="both"/>
        <w:rPr>
          <w:rFonts w:ascii="Cambria" w:hAnsi="Cambria"/>
          <w:sz w:val="20"/>
          <w:szCs w:val="20"/>
        </w:rPr>
      </w:pPr>
      <w:r w:rsidRPr="000A5982">
        <w:rPr>
          <w:rFonts w:ascii="Cambria" w:hAnsi="Cambria"/>
          <w:sz w:val="20"/>
        </w:rPr>
        <w:t xml:space="preserve">El Comité siguió trabajando en el marco del programa EPBR con el objetivo de mantener y reforzar esta línea de investigación, con vistas a mejorar la calidad de los datos y apoyar la formulación del asesoramiento científico sobre los istiofóridos. </w:t>
      </w:r>
      <w:r w:rsidRPr="000A5982">
        <w:rPr>
          <w:rFonts w:ascii="Cambria" w:hAnsi="Cambria"/>
          <w:sz w:val="20"/>
          <w:szCs w:val="20"/>
        </w:rPr>
        <w:t>Para más información, véanse las secciones 13.4 (resumen del EPBR) y 17.1.5 (plan de trabajo para 2027) del presente informe.</w:t>
      </w:r>
      <w:r w:rsidRPr="000A5982">
        <w:rPr>
          <w:rFonts w:ascii="Cambria" w:hAnsi="Cambria"/>
          <w:sz w:val="20"/>
        </w:rPr>
        <w:t xml:space="preserve">  </w:t>
      </w:r>
    </w:p>
    <w:p w14:paraId="02020E4B" w14:textId="77777777" w:rsidR="00EF4FD8" w:rsidRPr="0099704B" w:rsidRDefault="00EF4FD8" w:rsidP="00EF4FD8">
      <w:pPr>
        <w:suppressAutoHyphens/>
        <w:jc w:val="both"/>
        <w:rPr>
          <w:rFonts w:ascii="Cambria" w:hAnsi="Cambria"/>
          <w:sz w:val="20"/>
          <w:szCs w:val="20"/>
        </w:rPr>
      </w:pPr>
    </w:p>
    <w:p w14:paraId="23EB03E0" w14:textId="77777777" w:rsidR="00EF4FD8" w:rsidRPr="000A5982" w:rsidRDefault="00EF4FD8" w:rsidP="00EF4FD8">
      <w:pPr>
        <w:jc w:val="both"/>
        <w:rPr>
          <w:rFonts w:ascii="Cambria" w:hAnsi="Cambria"/>
          <w:b/>
          <w:bCs/>
          <w:i/>
          <w:iCs/>
          <w:sz w:val="20"/>
          <w:szCs w:val="20"/>
        </w:rPr>
      </w:pPr>
      <w:r w:rsidRPr="000A5982">
        <w:rPr>
          <w:rFonts w:ascii="Cambria" w:hAnsi="Cambria"/>
          <w:b/>
          <w:i/>
          <w:sz w:val="20"/>
          <w:szCs w:val="20"/>
        </w:rPr>
        <w:t xml:space="preserve">19.14 El SCRS explorará posibles cambios técnicos al arte terminal y a las prácticas de pesca que podrían reducir la captura fortuita y la mortalidad por captura fortuita. </w:t>
      </w:r>
      <w:r w:rsidRPr="000A5982">
        <w:rPr>
          <w:rFonts w:ascii="Cambria" w:hAnsi="Cambria"/>
          <w:b/>
          <w:bCs/>
          <w:i/>
          <w:iCs/>
          <w:sz w:val="20"/>
          <w:szCs w:val="20"/>
        </w:rPr>
        <w:t>Diseño e implementación de un estudio o estudios para comparar los efectos de la forma y tamaño del anzuelo en las tasas de captura</w:t>
      </w:r>
      <w:r w:rsidRPr="000A5982">
        <w:rPr>
          <w:rFonts w:ascii="Cambria" w:hAnsi="Cambria"/>
          <w:sz w:val="20"/>
          <w:szCs w:val="20"/>
        </w:rPr>
        <w:t xml:space="preserve">, </w:t>
      </w:r>
      <w:hyperlink r:id="rId15" w:history="1">
        <w:r w:rsidRPr="000A5982">
          <w:rPr>
            <w:rStyle w:val="Hyperlink"/>
            <w:rFonts w:ascii="Cambria" w:hAnsi="Cambria"/>
            <w:b/>
            <w:i/>
            <w:sz w:val="20"/>
            <w:szCs w:val="20"/>
            <w:u w:val="none"/>
          </w:rPr>
          <w:t>Rec. 19-05</w:t>
        </w:r>
      </w:hyperlink>
      <w:r w:rsidRPr="000A5982">
        <w:rPr>
          <w:rFonts w:ascii="Cambria" w:hAnsi="Cambria"/>
          <w:b/>
          <w:sz w:val="20"/>
          <w:szCs w:val="20"/>
        </w:rPr>
        <w:t>,</w:t>
      </w:r>
      <w:r w:rsidRPr="000A5982">
        <w:rPr>
          <w:rFonts w:ascii="Cambria" w:hAnsi="Cambria"/>
          <w:b/>
          <w:i/>
          <w:sz w:val="20"/>
          <w:szCs w:val="20"/>
        </w:rPr>
        <w:t xml:space="preserve"> párr. 21</w:t>
      </w:r>
    </w:p>
    <w:p w14:paraId="0A007DCD" w14:textId="77777777" w:rsidR="00EF4FD8" w:rsidRPr="000A5982" w:rsidRDefault="00EF4FD8" w:rsidP="00EF4FD8">
      <w:pPr>
        <w:jc w:val="both"/>
        <w:rPr>
          <w:rFonts w:ascii="Cambria" w:hAnsi="Cambria"/>
          <w:b/>
          <w:bCs/>
          <w:i/>
          <w:iCs/>
          <w:sz w:val="20"/>
          <w:szCs w:val="20"/>
        </w:rPr>
      </w:pPr>
    </w:p>
    <w:p w14:paraId="4FE6C849" w14:textId="77777777" w:rsidR="00EF4FD8" w:rsidRPr="0099704B" w:rsidRDefault="00EF4FD8" w:rsidP="00EF4FD8">
      <w:pPr>
        <w:jc w:val="both"/>
        <w:rPr>
          <w:rFonts w:ascii="Cambria" w:hAnsi="Cambria"/>
          <w:i/>
          <w:sz w:val="20"/>
          <w:szCs w:val="20"/>
        </w:rPr>
      </w:pPr>
      <w:r w:rsidRPr="000A5982">
        <w:rPr>
          <w:rFonts w:ascii="Cambria" w:hAnsi="Cambria"/>
          <w:b/>
          <w:sz w:val="20"/>
          <w:szCs w:val="20"/>
        </w:rPr>
        <w:lastRenderedPageBreak/>
        <w:t xml:space="preserve">Contexto: </w:t>
      </w:r>
      <w:r w:rsidRPr="000A5982">
        <w:rPr>
          <w:rFonts w:ascii="Cambria" w:hAnsi="Cambria"/>
          <w:i/>
          <w:sz w:val="20"/>
          <w:szCs w:val="20"/>
        </w:rPr>
        <w:t>El SCRS, en colaboración con las CPC, explorará posibles cambios técnicos al arte terminal (como tipo de anzuelo, tamaño de anzuelo, tipo de bajo de línea, etc.) y a las prácticas de pesca (por ejemplo, momento, tiempo de inmersión, carnada, profundidades, zonas) que podrían reducir la captura fortuita y la mortalidad por captura fortuita (en el buque y posterior a la liberación). Como parte de este proceso, el SCRS, en colaboración con las CPC, diseñará e implementará un estudio (o estudios) para comparar los efectos de la forma y tamaño del anzuelo en las tasas de captura (considerando tanto las tasas de enganche como de retención), la mortalidad en la virada y la mortalidad posterior a la liberación. El diseño experimental debería tener en cuenta la influencia de los tipos del material del cable y considerar posibles diferencias operativas entre las regiones y las flotas.</w:t>
      </w:r>
    </w:p>
    <w:p w14:paraId="639E75CE" w14:textId="77777777" w:rsidR="00EF4FD8" w:rsidRPr="0099704B" w:rsidRDefault="00EF4FD8" w:rsidP="00EF4FD8">
      <w:pPr>
        <w:jc w:val="both"/>
        <w:rPr>
          <w:rFonts w:ascii="Cambria" w:hAnsi="Cambria"/>
          <w:i/>
          <w:sz w:val="20"/>
          <w:szCs w:val="20"/>
        </w:rPr>
      </w:pPr>
    </w:p>
    <w:p w14:paraId="511A3F25" w14:textId="77777777" w:rsidR="00EF4FD8" w:rsidRPr="0099704B" w:rsidRDefault="00EF4FD8" w:rsidP="00EF4FD8">
      <w:pPr>
        <w:tabs>
          <w:tab w:val="left" w:pos="1276"/>
          <w:tab w:val="left" w:pos="1418"/>
          <w:tab w:val="left" w:leader="dot" w:pos="8222"/>
          <w:tab w:val="right" w:pos="8647"/>
        </w:tabs>
        <w:jc w:val="both"/>
        <w:rPr>
          <w:rFonts w:ascii="Cambria" w:hAnsi="Cambria"/>
          <w:sz w:val="20"/>
          <w:szCs w:val="20"/>
        </w:rPr>
      </w:pPr>
      <w:r w:rsidRPr="000A5982">
        <w:rPr>
          <w:rFonts w:ascii="Cambria" w:hAnsi="Cambria"/>
          <w:sz w:val="20"/>
        </w:rPr>
        <w:t xml:space="preserve">En 2026 no se presentó al Comité ninguna información adicional sobre este asunto. Por lo tanto, la respuesta proporcionada en el punto 19.9 del </w:t>
      </w:r>
      <w:hyperlink r:id="rId16" w:history="1">
        <w:r w:rsidRPr="000A5982">
          <w:rPr>
            <w:rStyle w:val="Hyperlink"/>
            <w:rFonts w:ascii="Cambria" w:hAnsi="Cambria"/>
            <w:i/>
            <w:sz w:val="20"/>
            <w:u w:val="none"/>
          </w:rPr>
          <w:t>Informe del periodo bienal 2024-2025, Parte II (2025), Vol. 2</w:t>
        </w:r>
      </w:hyperlink>
      <w:r w:rsidRPr="0099704B">
        <w:rPr>
          <w:rFonts w:ascii="Cambria" w:hAnsi="Cambria"/>
          <w:i/>
          <w:sz w:val="20"/>
        </w:rPr>
        <w:t xml:space="preserve"> </w:t>
      </w:r>
      <w:r w:rsidRPr="000A5982">
        <w:rPr>
          <w:rFonts w:ascii="Cambria" w:hAnsi="Cambria"/>
          <w:sz w:val="20"/>
        </w:rPr>
        <w:t>sigue</w:t>
      </w:r>
      <w:r w:rsidRPr="0099704B">
        <w:rPr>
          <w:rFonts w:ascii="Cambria" w:hAnsi="Cambria"/>
          <w:sz w:val="20"/>
        </w:rPr>
        <w:t xml:space="preserve"> </w:t>
      </w:r>
      <w:r w:rsidRPr="000A5982">
        <w:rPr>
          <w:rFonts w:ascii="Cambria" w:hAnsi="Cambria"/>
          <w:sz w:val="20"/>
        </w:rPr>
        <w:t>incluyendo la información más</w:t>
      </w:r>
      <w:r w:rsidRPr="0099704B">
        <w:rPr>
          <w:rFonts w:ascii="Cambria" w:hAnsi="Cambria"/>
          <w:sz w:val="20"/>
        </w:rPr>
        <w:t xml:space="preserve"> </w:t>
      </w:r>
      <w:r w:rsidRPr="000A5982">
        <w:rPr>
          <w:rFonts w:ascii="Cambria" w:hAnsi="Cambria"/>
          <w:sz w:val="20"/>
        </w:rPr>
        <w:t>actualizada</w:t>
      </w:r>
      <w:r w:rsidRPr="0099704B">
        <w:rPr>
          <w:rFonts w:ascii="Cambria" w:hAnsi="Cambria"/>
          <w:sz w:val="20"/>
        </w:rPr>
        <w:t>.</w:t>
      </w:r>
    </w:p>
    <w:p w14:paraId="6156B164" w14:textId="77777777" w:rsidR="007B39C6" w:rsidRPr="00EF4FD8" w:rsidRDefault="007B39C6" w:rsidP="007B39C6">
      <w:pPr>
        <w:jc w:val="both"/>
        <w:rPr>
          <w:rFonts w:ascii="Cambria" w:hAnsi="Cambria"/>
          <w:sz w:val="20"/>
          <w:szCs w:val="20"/>
        </w:rPr>
      </w:pPr>
    </w:p>
    <w:p w14:paraId="79967B80" w14:textId="77777777" w:rsidR="00EF4FD8" w:rsidRPr="0099704B" w:rsidRDefault="00EF4FD8" w:rsidP="00EF4FD8">
      <w:pPr>
        <w:tabs>
          <w:tab w:val="left" w:pos="0"/>
          <w:tab w:val="left" w:pos="720"/>
          <w:tab w:val="right" w:pos="8505"/>
          <w:tab w:val="right" w:pos="9072"/>
        </w:tabs>
        <w:ind w:right="6"/>
        <w:jc w:val="both"/>
        <w:rPr>
          <w:rFonts w:ascii="Cambria" w:eastAsia="Cambria" w:hAnsi="Cambria"/>
          <w:b/>
          <w:i/>
          <w:color w:val="000000"/>
          <w:sz w:val="20"/>
          <w:szCs w:val="20"/>
        </w:rPr>
      </w:pPr>
      <w:r w:rsidRPr="000A5982">
        <w:rPr>
          <w:rFonts w:ascii="Cambria" w:hAnsi="Cambria"/>
          <w:b/>
          <w:i/>
          <w:color w:val="000000"/>
          <w:sz w:val="20"/>
          <w:szCs w:val="20"/>
        </w:rPr>
        <w:t>Pez espada</w:t>
      </w:r>
    </w:p>
    <w:p w14:paraId="1D0CE499" w14:textId="77777777" w:rsidR="00EF4FD8" w:rsidRPr="0099704B" w:rsidRDefault="00EF4FD8" w:rsidP="00EF4FD8">
      <w:pPr>
        <w:tabs>
          <w:tab w:val="left" w:pos="0"/>
          <w:tab w:val="left" w:pos="720"/>
          <w:tab w:val="right" w:pos="8505"/>
          <w:tab w:val="right" w:pos="9072"/>
        </w:tabs>
        <w:ind w:right="6"/>
        <w:jc w:val="both"/>
        <w:rPr>
          <w:rFonts w:ascii="Cambria" w:eastAsia="Cambria" w:hAnsi="Cambria" w:cs="Cambria"/>
          <w:b/>
          <w:i/>
          <w:color w:val="000000"/>
          <w:sz w:val="20"/>
          <w:szCs w:val="20"/>
        </w:rPr>
      </w:pPr>
    </w:p>
    <w:p w14:paraId="12AA883E" w14:textId="77777777" w:rsidR="00EF4FD8" w:rsidRPr="000A5982" w:rsidRDefault="00EF4FD8" w:rsidP="00EF4FD8">
      <w:pPr>
        <w:tabs>
          <w:tab w:val="center" w:pos="4513"/>
          <w:tab w:val="left" w:pos="6804"/>
        </w:tabs>
        <w:jc w:val="both"/>
        <w:rPr>
          <w:rFonts w:ascii="Cambria" w:hAnsi="Cambria"/>
          <w:b/>
          <w:i/>
          <w:iCs/>
          <w:sz w:val="20"/>
          <w:szCs w:val="20"/>
        </w:rPr>
      </w:pPr>
      <w:r w:rsidRPr="000A5982">
        <w:rPr>
          <w:rFonts w:ascii="Cambria" w:hAnsi="Cambria"/>
          <w:b/>
          <w:bCs/>
          <w:i/>
          <w:iCs/>
          <w:sz w:val="20"/>
          <w:szCs w:val="20"/>
        </w:rPr>
        <w:t xml:space="preserve">19.16 El SCRS debería evaluar el impacto de las reducciones realizadas sobre la recuperación del stock, lo antes posible, </w:t>
      </w:r>
      <w:r w:rsidRPr="000A5982">
        <w:rPr>
          <w:rFonts w:ascii="Cambria" w:hAnsi="Cambria"/>
          <w:b/>
          <w:i/>
          <w:sz w:val="20"/>
          <w:szCs w:val="20"/>
        </w:rPr>
        <w:t xml:space="preserve"> </w:t>
      </w:r>
      <w:hyperlink r:id="rId17" w:history="1">
        <w:r w:rsidRPr="000A5982">
          <w:rPr>
            <w:rStyle w:val="Hyperlink"/>
            <w:rFonts w:ascii="Cambria" w:hAnsi="Cambria"/>
            <w:b/>
            <w:i/>
            <w:sz w:val="20"/>
            <w:szCs w:val="20"/>
            <w:u w:val="none"/>
          </w:rPr>
          <w:t>Rec. 24-11</w:t>
        </w:r>
      </w:hyperlink>
      <w:r w:rsidRPr="000A5982">
        <w:rPr>
          <w:rFonts w:ascii="Cambria" w:hAnsi="Cambria"/>
          <w:b/>
          <w:bCs/>
          <w:i/>
          <w:iCs/>
          <w:sz w:val="20"/>
          <w:szCs w:val="20"/>
        </w:rPr>
        <w:t xml:space="preserve">, párr. 2 </w:t>
      </w:r>
    </w:p>
    <w:p w14:paraId="33397104" w14:textId="77777777" w:rsidR="00EF4FD8" w:rsidRPr="000A5982" w:rsidRDefault="00EF4FD8" w:rsidP="00EF4FD8">
      <w:pPr>
        <w:tabs>
          <w:tab w:val="center" w:pos="4513"/>
          <w:tab w:val="left" w:pos="6804"/>
        </w:tabs>
        <w:rPr>
          <w:rFonts w:ascii="Cambria" w:hAnsi="Cambria"/>
          <w:b/>
          <w:i/>
          <w:iCs/>
          <w:sz w:val="20"/>
          <w:szCs w:val="20"/>
        </w:rPr>
      </w:pPr>
    </w:p>
    <w:p w14:paraId="3DB16CA9" w14:textId="77777777" w:rsidR="00EF4FD8" w:rsidRPr="0099704B" w:rsidRDefault="00EF4FD8" w:rsidP="00EF4FD8">
      <w:pPr>
        <w:suppressAutoHyphens/>
        <w:jc w:val="both"/>
        <w:rPr>
          <w:rFonts w:ascii="Cambria" w:hAnsi="Cambria"/>
          <w:i/>
          <w:sz w:val="20"/>
          <w:szCs w:val="20"/>
        </w:rPr>
      </w:pPr>
      <w:r w:rsidRPr="000A5982">
        <w:rPr>
          <w:rFonts w:ascii="Cambria" w:hAnsi="Cambria"/>
          <w:b/>
          <w:sz w:val="20"/>
          <w:szCs w:val="20"/>
        </w:rPr>
        <w:t>Contexto:</w:t>
      </w:r>
      <w:r w:rsidRPr="000A5982">
        <w:rPr>
          <w:rFonts w:ascii="Cambria" w:hAnsi="Cambria"/>
          <w:b/>
          <w:i/>
          <w:sz w:val="20"/>
          <w:szCs w:val="20"/>
        </w:rPr>
        <w:t xml:space="preserve"> </w:t>
      </w:r>
      <w:r w:rsidRPr="000A5982">
        <w:rPr>
          <w:rFonts w:ascii="Cambria" w:hAnsi="Cambria"/>
          <w:i/>
          <w:sz w:val="20"/>
          <w:szCs w:val="20"/>
        </w:rPr>
        <w:t>El SCRS debería evaluar el impacto de las reducciones realizadas sobre la recuperación del stock, lo antes posible.</w:t>
      </w:r>
    </w:p>
    <w:p w14:paraId="5AA270CD" w14:textId="77777777" w:rsidR="00EF4FD8" w:rsidRPr="0099704B" w:rsidRDefault="00EF4FD8" w:rsidP="00EF4FD8">
      <w:pPr>
        <w:suppressAutoHyphens/>
        <w:jc w:val="both"/>
        <w:rPr>
          <w:rFonts w:ascii="Cambria" w:hAnsi="Cambria"/>
          <w:i/>
          <w:sz w:val="20"/>
          <w:szCs w:val="20"/>
        </w:rPr>
      </w:pPr>
    </w:p>
    <w:p w14:paraId="24CE4769" w14:textId="77777777" w:rsidR="00EF4FD8" w:rsidRPr="000A5982" w:rsidRDefault="00EF4FD8" w:rsidP="00EF4FD8">
      <w:pPr>
        <w:tabs>
          <w:tab w:val="center" w:pos="4513"/>
          <w:tab w:val="left" w:pos="6804"/>
        </w:tabs>
        <w:jc w:val="both"/>
        <w:rPr>
          <w:rFonts w:ascii="Cambria" w:hAnsi="Cambria"/>
          <w:sz w:val="20"/>
          <w:szCs w:val="20"/>
        </w:rPr>
      </w:pPr>
      <w:r w:rsidRPr="000A5982">
        <w:rPr>
          <w:rFonts w:ascii="Cambria" w:hAnsi="Cambria"/>
          <w:sz w:val="20"/>
          <w:szCs w:val="20"/>
        </w:rPr>
        <w:t>No se evaluó directamente la recuperación del stock</w:t>
      </w:r>
      <w:r w:rsidRPr="0099704B">
        <w:rPr>
          <w:rFonts w:ascii="Cambria" w:hAnsi="Cambria"/>
          <w:sz w:val="20"/>
          <w:szCs w:val="20"/>
        </w:rPr>
        <w:t xml:space="preserve"> d</w:t>
      </w:r>
      <w:r w:rsidRPr="000A5982">
        <w:rPr>
          <w:rFonts w:ascii="Cambria" w:hAnsi="Cambria"/>
          <w:sz w:val="20"/>
          <w:szCs w:val="20"/>
        </w:rPr>
        <w:t>e pez espada del Mediterráneo. Sin embargo, las estimaciones de la biomasa del stock reproductor procedentes de la evaluación de 2026 (</w:t>
      </w:r>
      <w:r w:rsidRPr="000A5982">
        <w:rPr>
          <w:rFonts w:ascii="Cambria" w:hAnsi="Cambria"/>
          <w:b/>
          <w:bCs/>
          <w:sz w:val="20"/>
          <w:szCs w:val="20"/>
        </w:rPr>
        <w:t>figura 19.16.1</w:t>
      </w:r>
      <w:r w:rsidRPr="000A5982">
        <w:rPr>
          <w:rFonts w:ascii="Cambria" w:hAnsi="Cambria"/>
          <w:sz w:val="20"/>
          <w:szCs w:val="20"/>
        </w:rPr>
        <w:t xml:space="preserve">) indican que no se ha producido ningún aumento desde la implementación del plan de recuperación en 2017 </w:t>
      </w:r>
      <w:r w:rsidRPr="0099704B">
        <w:rPr>
          <w:rFonts w:ascii="Cambria" w:hAnsi="Cambria"/>
          <w:sz w:val="20"/>
          <w:szCs w:val="20"/>
        </w:rPr>
        <w:t>(</w:t>
      </w:r>
      <w:hyperlink r:id="rId18" w:history="1">
        <w:r w:rsidRPr="000A5982">
          <w:rPr>
            <w:rStyle w:val="Hyperlink"/>
            <w:rFonts w:ascii="Cambria" w:hAnsi="Cambria"/>
            <w:sz w:val="20"/>
            <w:szCs w:val="20"/>
            <w:u w:val="none"/>
          </w:rPr>
          <w:t>Rec. 16-05</w:t>
        </w:r>
      </w:hyperlink>
      <w:r w:rsidRPr="0099704B">
        <w:rPr>
          <w:rFonts w:ascii="Cambria" w:hAnsi="Cambria"/>
          <w:sz w:val="20"/>
          <w:szCs w:val="20"/>
        </w:rPr>
        <w:t>).</w:t>
      </w:r>
    </w:p>
    <w:p w14:paraId="18963FF1" w14:textId="77777777" w:rsidR="00EF4FD8" w:rsidRPr="0099704B" w:rsidRDefault="00EF4FD8" w:rsidP="00EF4FD8">
      <w:pPr>
        <w:suppressAutoHyphens/>
        <w:jc w:val="both"/>
        <w:rPr>
          <w:rFonts w:ascii="Cambria" w:hAnsi="Cambria"/>
          <w:sz w:val="20"/>
          <w:szCs w:val="20"/>
        </w:rPr>
      </w:pPr>
      <w:r w:rsidRPr="0099704B">
        <w:rPr>
          <w:noProof/>
        </w:rPr>
        <w:drawing>
          <wp:anchor distT="0" distB="0" distL="114300" distR="114300" simplePos="0" relativeHeight="251659264" behindDoc="0" locked="0" layoutInCell="1" allowOverlap="1" wp14:anchorId="13385F00" wp14:editId="74A1386C">
            <wp:simplePos x="0" y="0"/>
            <wp:positionH relativeFrom="column">
              <wp:posOffset>1905</wp:posOffset>
            </wp:positionH>
            <wp:positionV relativeFrom="paragraph">
              <wp:posOffset>39370</wp:posOffset>
            </wp:positionV>
            <wp:extent cx="3110865" cy="1697990"/>
            <wp:effectExtent l="0" t="0" r="0" b="0"/>
            <wp:wrapSquare wrapText="bothSides"/>
            <wp:docPr id="19946905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690547" name="Picture 1994690547"/>
                    <pic:cNvPicPr/>
                  </pic:nvPicPr>
                  <pic:blipFill>
                    <a:blip r:embed="rId19">
                      <a:extLst>
                        <a:ext uri="{28A0092B-C50C-407E-A947-70E740481C1C}">
                          <a14:useLocalDpi xmlns:a14="http://schemas.microsoft.com/office/drawing/2010/main" val="0"/>
                        </a:ext>
                      </a:extLst>
                    </a:blip>
                    <a:stretch>
                      <a:fillRect/>
                    </a:stretch>
                  </pic:blipFill>
                  <pic:spPr>
                    <a:xfrm>
                      <a:off x="0" y="0"/>
                      <a:ext cx="3110865" cy="1697990"/>
                    </a:xfrm>
                    <a:prstGeom prst="rect">
                      <a:avLst/>
                    </a:prstGeom>
                  </pic:spPr>
                </pic:pic>
              </a:graphicData>
            </a:graphic>
            <wp14:sizeRelH relativeFrom="margin">
              <wp14:pctWidth>0</wp14:pctWidth>
            </wp14:sizeRelH>
            <wp14:sizeRelV relativeFrom="margin">
              <wp14:pctHeight>0</wp14:pctHeight>
            </wp14:sizeRelV>
          </wp:anchor>
        </w:drawing>
      </w:r>
    </w:p>
    <w:p w14:paraId="571FCE40" w14:textId="77777777" w:rsidR="00EF4FD8" w:rsidRPr="0099704B" w:rsidRDefault="00EF4FD8" w:rsidP="00EF4FD8">
      <w:pPr>
        <w:tabs>
          <w:tab w:val="center" w:pos="4513"/>
          <w:tab w:val="left" w:pos="6804"/>
        </w:tabs>
        <w:jc w:val="both"/>
        <w:rPr>
          <w:rFonts w:ascii="Cambria" w:hAnsi="Cambria"/>
          <w:b/>
          <w:i/>
          <w:sz w:val="20"/>
          <w:szCs w:val="20"/>
        </w:rPr>
      </w:pPr>
    </w:p>
    <w:p w14:paraId="7A3854F3" w14:textId="77777777" w:rsidR="00EF4FD8" w:rsidRPr="0099704B" w:rsidRDefault="00EF4FD8" w:rsidP="00EF4FD8">
      <w:pPr>
        <w:tabs>
          <w:tab w:val="center" w:pos="4513"/>
          <w:tab w:val="left" w:pos="6804"/>
        </w:tabs>
        <w:jc w:val="both"/>
        <w:rPr>
          <w:rFonts w:ascii="Cambria" w:hAnsi="Cambria"/>
          <w:b/>
          <w:i/>
          <w:sz w:val="20"/>
          <w:szCs w:val="20"/>
        </w:rPr>
      </w:pPr>
    </w:p>
    <w:p w14:paraId="5E1FD71A" w14:textId="77777777" w:rsidR="00EF4FD8" w:rsidRPr="000A5982" w:rsidRDefault="00EF4FD8" w:rsidP="00EF4FD8">
      <w:pPr>
        <w:tabs>
          <w:tab w:val="center" w:pos="4513"/>
          <w:tab w:val="left" w:pos="6804"/>
        </w:tabs>
        <w:jc w:val="both"/>
        <w:rPr>
          <w:rFonts w:ascii="Cambria" w:hAnsi="Cambria"/>
          <w:bCs/>
          <w:iCs/>
          <w:sz w:val="20"/>
          <w:szCs w:val="20"/>
        </w:rPr>
      </w:pPr>
      <w:r w:rsidRPr="000A5982">
        <w:rPr>
          <w:rFonts w:ascii="Cambria" w:hAnsi="Cambria"/>
          <w:b/>
          <w:iCs/>
          <w:sz w:val="20"/>
          <w:szCs w:val="20"/>
        </w:rPr>
        <w:t>Figura 19.16.1.</w:t>
      </w:r>
      <w:r w:rsidRPr="000A5982">
        <w:rPr>
          <w:rFonts w:ascii="Cambria" w:hAnsi="Cambria"/>
          <w:bCs/>
          <w:iCs/>
          <w:sz w:val="20"/>
          <w:szCs w:val="20"/>
        </w:rPr>
        <w:t xml:space="preserve"> Serie temporal de la biomasa del stock reproductor del pez espada del Mediterráneo, según el modelo de evaluación estructurado por edad de 2026.</w:t>
      </w:r>
    </w:p>
    <w:p w14:paraId="068BDEC9" w14:textId="77777777" w:rsidR="00EF4FD8" w:rsidRPr="0099704B" w:rsidRDefault="00EF4FD8" w:rsidP="00EF4FD8">
      <w:pPr>
        <w:tabs>
          <w:tab w:val="center" w:pos="4513"/>
          <w:tab w:val="left" w:pos="6804"/>
        </w:tabs>
        <w:jc w:val="both"/>
        <w:rPr>
          <w:rFonts w:ascii="Cambria" w:hAnsi="Cambria"/>
          <w:b/>
          <w:i/>
          <w:sz w:val="20"/>
          <w:szCs w:val="20"/>
        </w:rPr>
      </w:pPr>
    </w:p>
    <w:p w14:paraId="3EEE6C6F" w14:textId="77777777" w:rsidR="00EF4FD8" w:rsidRPr="0099704B" w:rsidRDefault="00EF4FD8" w:rsidP="00EF4FD8">
      <w:pPr>
        <w:tabs>
          <w:tab w:val="center" w:pos="4513"/>
          <w:tab w:val="left" w:pos="6804"/>
        </w:tabs>
        <w:jc w:val="both"/>
        <w:rPr>
          <w:rFonts w:ascii="Cambria" w:hAnsi="Cambria"/>
          <w:b/>
          <w:i/>
          <w:sz w:val="20"/>
          <w:szCs w:val="20"/>
        </w:rPr>
      </w:pPr>
    </w:p>
    <w:p w14:paraId="5BC2A6A1" w14:textId="77777777" w:rsidR="00EF4FD8" w:rsidRPr="0099704B" w:rsidRDefault="00EF4FD8" w:rsidP="00EF4FD8">
      <w:pPr>
        <w:tabs>
          <w:tab w:val="center" w:pos="4513"/>
          <w:tab w:val="left" w:pos="6804"/>
        </w:tabs>
        <w:jc w:val="both"/>
        <w:rPr>
          <w:rFonts w:ascii="Cambria" w:hAnsi="Cambria"/>
          <w:b/>
          <w:i/>
          <w:sz w:val="20"/>
          <w:szCs w:val="20"/>
        </w:rPr>
      </w:pPr>
    </w:p>
    <w:p w14:paraId="557F5331" w14:textId="77777777" w:rsidR="00EF4FD8" w:rsidRPr="0099704B" w:rsidRDefault="00EF4FD8" w:rsidP="00EF4FD8">
      <w:pPr>
        <w:tabs>
          <w:tab w:val="center" w:pos="4513"/>
          <w:tab w:val="left" w:pos="6804"/>
        </w:tabs>
        <w:jc w:val="both"/>
        <w:rPr>
          <w:rFonts w:ascii="Cambria" w:hAnsi="Cambria"/>
          <w:b/>
          <w:i/>
          <w:sz w:val="20"/>
          <w:szCs w:val="20"/>
        </w:rPr>
      </w:pPr>
    </w:p>
    <w:p w14:paraId="10A75D70" w14:textId="77777777" w:rsidR="00EF4FD8" w:rsidRPr="0099704B" w:rsidRDefault="00EF4FD8" w:rsidP="00EF4FD8">
      <w:pPr>
        <w:tabs>
          <w:tab w:val="center" w:pos="4513"/>
          <w:tab w:val="left" w:pos="6804"/>
        </w:tabs>
        <w:jc w:val="both"/>
        <w:rPr>
          <w:rFonts w:ascii="Cambria" w:hAnsi="Cambria"/>
          <w:b/>
          <w:i/>
          <w:sz w:val="20"/>
          <w:szCs w:val="20"/>
        </w:rPr>
      </w:pPr>
    </w:p>
    <w:p w14:paraId="7FB854F8" w14:textId="77777777" w:rsidR="00EF4FD8" w:rsidRPr="000A5982" w:rsidRDefault="00EF4FD8" w:rsidP="00EF4FD8">
      <w:pPr>
        <w:tabs>
          <w:tab w:val="center" w:pos="4513"/>
          <w:tab w:val="left" w:pos="6804"/>
        </w:tabs>
        <w:jc w:val="both"/>
        <w:rPr>
          <w:rFonts w:ascii="Cambria" w:hAnsi="Cambria"/>
          <w:b/>
          <w:i/>
          <w:sz w:val="20"/>
          <w:szCs w:val="20"/>
        </w:rPr>
      </w:pPr>
    </w:p>
    <w:p w14:paraId="5DA0B2A4" w14:textId="77777777" w:rsidR="00EF4FD8" w:rsidRPr="000A5982" w:rsidRDefault="00EF4FD8" w:rsidP="00EF4FD8">
      <w:pPr>
        <w:tabs>
          <w:tab w:val="center" w:pos="4513"/>
          <w:tab w:val="left" w:pos="6804"/>
        </w:tabs>
        <w:jc w:val="both"/>
        <w:rPr>
          <w:rFonts w:ascii="Cambria" w:hAnsi="Cambria"/>
          <w:b/>
          <w:i/>
          <w:iCs/>
          <w:sz w:val="20"/>
          <w:szCs w:val="20"/>
        </w:rPr>
      </w:pPr>
      <w:r w:rsidRPr="000A5982">
        <w:rPr>
          <w:rFonts w:ascii="Cambria" w:hAnsi="Cambria"/>
          <w:b/>
          <w:i/>
          <w:sz w:val="20"/>
          <w:szCs w:val="20"/>
        </w:rPr>
        <w:t xml:space="preserve">19.17 El SCRS revisará el proyecto de modelo de comunicación de información, así como la información incluida en el Anexo 2, y proporcionará asesoramiento a la Comisión sobre si es necesario introducir modificaciones. </w:t>
      </w:r>
      <w:hyperlink r:id="rId20" w:history="1">
        <w:r w:rsidRPr="000A5982">
          <w:rPr>
            <w:rStyle w:val="Hyperlink"/>
            <w:rFonts w:ascii="Cambria" w:hAnsi="Cambria"/>
            <w:b/>
            <w:i/>
            <w:sz w:val="20"/>
            <w:szCs w:val="20"/>
            <w:u w:val="none"/>
          </w:rPr>
          <w:t>Rec. 25-09,</w:t>
        </w:r>
      </w:hyperlink>
      <w:r w:rsidRPr="000A5982">
        <w:rPr>
          <w:rFonts w:ascii="Cambria" w:hAnsi="Cambria"/>
          <w:b/>
          <w:i/>
          <w:sz w:val="20"/>
          <w:szCs w:val="20"/>
        </w:rPr>
        <w:t xml:space="preserve"> párr. 6</w:t>
      </w:r>
      <w:r w:rsidRPr="000A5982">
        <w:rPr>
          <w:rFonts w:ascii="Cambria" w:hAnsi="Cambria"/>
          <w:i/>
          <w:sz w:val="20"/>
          <w:szCs w:val="20"/>
        </w:rPr>
        <w:t xml:space="preserve"> </w:t>
      </w:r>
    </w:p>
    <w:p w14:paraId="78F223DA" w14:textId="77777777" w:rsidR="00EF4FD8" w:rsidRPr="000A5982" w:rsidRDefault="00EF4FD8" w:rsidP="00EF4FD8">
      <w:pPr>
        <w:tabs>
          <w:tab w:val="center" w:pos="4513"/>
          <w:tab w:val="left" w:pos="6804"/>
        </w:tabs>
        <w:rPr>
          <w:rFonts w:ascii="Cambria" w:hAnsi="Cambria"/>
          <w:b/>
          <w:i/>
          <w:iCs/>
          <w:sz w:val="20"/>
          <w:szCs w:val="20"/>
        </w:rPr>
      </w:pPr>
    </w:p>
    <w:p w14:paraId="7C566012" w14:textId="77777777" w:rsidR="00EF4FD8" w:rsidRPr="000A5982" w:rsidRDefault="00EF4FD8" w:rsidP="00EF4FD8">
      <w:pPr>
        <w:suppressAutoHyphens/>
        <w:jc w:val="both"/>
        <w:rPr>
          <w:rFonts w:ascii="Cambria" w:hAnsi="Cambria"/>
          <w:i/>
          <w:sz w:val="20"/>
          <w:szCs w:val="20"/>
        </w:rPr>
      </w:pPr>
      <w:r w:rsidRPr="000A5982">
        <w:rPr>
          <w:rFonts w:ascii="Cambria" w:hAnsi="Cambria"/>
          <w:b/>
          <w:sz w:val="20"/>
          <w:szCs w:val="20"/>
        </w:rPr>
        <w:t>Contexto:</w:t>
      </w:r>
      <w:r w:rsidRPr="000A5982">
        <w:rPr>
          <w:rFonts w:ascii="Cambria" w:hAnsi="Cambria"/>
          <w:b/>
          <w:i/>
          <w:sz w:val="20"/>
          <w:szCs w:val="20"/>
        </w:rPr>
        <w:t xml:space="preserve"> </w:t>
      </w:r>
      <w:r w:rsidRPr="000A5982">
        <w:rPr>
          <w:rFonts w:ascii="Cambria" w:hAnsi="Cambria"/>
          <w:i/>
          <w:sz w:val="20"/>
          <w:szCs w:val="20"/>
        </w:rPr>
        <w:t>Para finales de 2025, la Secretaría de ICCAT creará un proyecto de modelo de comunicación de información para garantizar una recopilación de los datos armonizados. Se distribuirá un proyecto de modelo a las CPC lo antes posible que lo utilizarán cuando esté disponible. El SCRS, en su sesión plenaria de 2026, revisará el proyecto de modelo de comunicación de información, así como la información incluida en el Anexo 2, y proporcionará asesoramiento a la Comisión sobre si es necesario introducir modificaciones.</w:t>
      </w:r>
    </w:p>
    <w:p w14:paraId="18B098BD" w14:textId="77777777" w:rsidR="00EF4FD8" w:rsidRPr="000A5982" w:rsidRDefault="00EF4FD8" w:rsidP="00EF4FD8">
      <w:pPr>
        <w:suppressAutoHyphens/>
        <w:jc w:val="both"/>
        <w:rPr>
          <w:rFonts w:ascii="Cambria" w:hAnsi="Cambria"/>
          <w:i/>
          <w:sz w:val="20"/>
          <w:szCs w:val="20"/>
        </w:rPr>
      </w:pPr>
    </w:p>
    <w:p w14:paraId="49E04A6D" w14:textId="77777777" w:rsidR="00EF4FD8" w:rsidRPr="000A5982" w:rsidRDefault="00EF4FD8" w:rsidP="00EF4FD8">
      <w:pPr>
        <w:tabs>
          <w:tab w:val="center" w:pos="4513"/>
          <w:tab w:val="left" w:pos="6804"/>
        </w:tabs>
        <w:jc w:val="both"/>
        <w:rPr>
          <w:rFonts w:ascii="Cambria" w:hAnsi="Cambria"/>
          <w:sz w:val="20"/>
          <w:szCs w:val="20"/>
        </w:rPr>
      </w:pPr>
      <w:r w:rsidRPr="000A5982">
        <w:rPr>
          <w:rFonts w:ascii="Cambria" w:hAnsi="Cambria"/>
          <w:sz w:val="20"/>
        </w:rPr>
        <w:t xml:space="preserve">El Comité está, en términos generales, de acuerdo con los requisitos de información incluidos en el anexo 2 de la </w:t>
      </w:r>
      <w:hyperlink r:id="rId21" w:history="1">
        <w:r w:rsidRPr="000A5982">
          <w:rPr>
            <w:rStyle w:val="Hyperlink"/>
            <w:rFonts w:ascii="Cambria" w:hAnsi="Cambria"/>
            <w:sz w:val="20"/>
            <w:u w:val="none"/>
          </w:rPr>
          <w:t>Rec.</w:t>
        </w:r>
      </w:hyperlink>
      <w:hyperlink r:id="rId22" w:history="1">
        <w:r w:rsidRPr="000A5982">
          <w:rPr>
            <w:rStyle w:val="Hyperlink"/>
            <w:rFonts w:ascii="Cambria" w:hAnsi="Cambria"/>
            <w:sz w:val="20"/>
            <w:u w:val="none"/>
          </w:rPr>
          <w:t xml:space="preserve"> 25-09</w:t>
        </w:r>
      </w:hyperlink>
      <w:r w:rsidRPr="000A5982">
        <w:rPr>
          <w:rFonts w:ascii="Cambria" w:hAnsi="Cambria"/>
          <w:sz w:val="20"/>
        </w:rPr>
        <w:t>, que especifican los datos que deben recopilar las CPC en el marco de los proyectos piloto de trampillas.</w:t>
      </w:r>
    </w:p>
    <w:p w14:paraId="3C94012E" w14:textId="77777777" w:rsidR="00EF4FD8" w:rsidRPr="000A5982" w:rsidRDefault="00EF4FD8" w:rsidP="00EF4FD8">
      <w:pPr>
        <w:tabs>
          <w:tab w:val="center" w:pos="4513"/>
          <w:tab w:val="left" w:pos="6804"/>
        </w:tabs>
        <w:jc w:val="both"/>
        <w:rPr>
          <w:rFonts w:ascii="Cambria" w:hAnsi="Cambria"/>
          <w:sz w:val="20"/>
          <w:szCs w:val="20"/>
        </w:rPr>
      </w:pPr>
    </w:p>
    <w:p w14:paraId="14FE036D" w14:textId="77777777" w:rsidR="00EF4FD8" w:rsidRPr="000A5982" w:rsidRDefault="00EF4FD8" w:rsidP="00EF4FD8">
      <w:pPr>
        <w:tabs>
          <w:tab w:val="center" w:pos="4513"/>
          <w:tab w:val="left" w:pos="6804"/>
        </w:tabs>
        <w:jc w:val="both"/>
        <w:rPr>
          <w:rFonts w:ascii="Cambria" w:hAnsi="Cambria"/>
          <w:sz w:val="20"/>
          <w:szCs w:val="20"/>
        </w:rPr>
      </w:pPr>
      <w:r w:rsidRPr="000A5982">
        <w:rPr>
          <w:rFonts w:ascii="Cambria" w:hAnsi="Cambria"/>
          <w:sz w:val="20"/>
        </w:rPr>
        <w:t xml:space="preserve">Los principales debates del Comité versaron sobre el nivel de resolución al que los datos deben transmitirse a ICCAT, ya sea como datos brutos plenamente detallados a nivel de operación (lo cual corresponde al proyecto actual del formulario ST-13, en la fecha límite de presentación de datos en 2026) o como metadatos más generales y/o agregados con el objetivo principal de garantizar que los datos se recopilen respetando los requisitos del anexo 2 de la </w:t>
      </w:r>
      <w:hyperlink r:id="rId23" w:history="1">
        <w:r w:rsidRPr="000A5982">
          <w:rPr>
            <w:rStyle w:val="Hyperlink"/>
            <w:rFonts w:ascii="Cambria" w:hAnsi="Cambria"/>
            <w:sz w:val="20"/>
            <w:u w:val="none"/>
          </w:rPr>
          <w:t>Rec.</w:t>
        </w:r>
      </w:hyperlink>
      <w:hyperlink r:id="rId24" w:history="1">
        <w:r w:rsidRPr="000A5982">
          <w:rPr>
            <w:rStyle w:val="Hyperlink"/>
            <w:rFonts w:ascii="Cambria" w:hAnsi="Cambria"/>
            <w:sz w:val="20"/>
            <w:u w:val="none"/>
          </w:rPr>
          <w:t xml:space="preserve"> 25-09</w:t>
        </w:r>
      </w:hyperlink>
      <w:r w:rsidRPr="000A5982">
        <w:rPr>
          <w:rFonts w:ascii="Cambria" w:hAnsi="Cambria"/>
          <w:sz w:val="20"/>
        </w:rPr>
        <w:t>.</w:t>
      </w:r>
    </w:p>
    <w:p w14:paraId="6FD62B89" w14:textId="77777777" w:rsidR="00EF4FD8" w:rsidRPr="000A5982" w:rsidRDefault="00EF4FD8" w:rsidP="00EF4FD8">
      <w:pPr>
        <w:tabs>
          <w:tab w:val="center" w:pos="4513"/>
          <w:tab w:val="left" w:pos="6804"/>
        </w:tabs>
        <w:jc w:val="both"/>
        <w:rPr>
          <w:rFonts w:ascii="Cambria" w:hAnsi="Cambria"/>
          <w:sz w:val="20"/>
          <w:szCs w:val="20"/>
        </w:rPr>
      </w:pPr>
    </w:p>
    <w:p w14:paraId="065116CB" w14:textId="77777777" w:rsidR="00EF4FD8" w:rsidRPr="000A5982" w:rsidRDefault="00EF4FD8" w:rsidP="00EF4FD8">
      <w:pPr>
        <w:tabs>
          <w:tab w:val="center" w:pos="4513"/>
          <w:tab w:val="left" w:pos="6804"/>
        </w:tabs>
        <w:jc w:val="both"/>
        <w:rPr>
          <w:rFonts w:ascii="Cambria" w:hAnsi="Cambria"/>
          <w:sz w:val="20"/>
          <w:szCs w:val="20"/>
        </w:rPr>
      </w:pPr>
      <w:r w:rsidRPr="000A5982">
        <w:rPr>
          <w:rFonts w:ascii="Cambria" w:hAnsi="Cambria"/>
          <w:sz w:val="20"/>
          <w:szCs w:val="20"/>
        </w:rPr>
        <w:lastRenderedPageBreak/>
        <w:t xml:space="preserve">Los principales problemas que se plantearon en relación con los datos detallados a nivel de operación fueron los siguientes: 1) Algunas CPC quizá no pudieran presentar datos brutos plenamente detallados a nivel de operación debido a normativas internas sobre datos o a cuestiones de confidencialidad; 2) El consenso era que el análisis detallado lo realizaran directamente las CPC, que conocen a la perfección todos los aspectos y las particularidades de los datos, y no necesariamente el Grupo de especies de pez espada. Cabe señalar, además, que varias CPC ya han presentado documentos al SCRS con las conclusiones detalladas de sus proyectos piloto, lo que pone de manifiesto que el análisis detallado debe ser realizado directamente por las propias CPC. El Comité debería realizar posteriormente un análisis final que sintetice todas las aportaciones de las distintas CPC (un análisis de metadatos) con el fin de dar una respuesta definitiva a la solicitud de la Comisión en virtud del párrafo 7 de la </w:t>
      </w:r>
      <w:hyperlink r:id="rId25" w:history="1">
        <w:r w:rsidRPr="000A5982">
          <w:rPr>
            <w:rStyle w:val="Hyperlink"/>
            <w:rFonts w:ascii="Cambria" w:hAnsi="Cambria"/>
            <w:sz w:val="20"/>
            <w:szCs w:val="20"/>
            <w:u w:val="none"/>
          </w:rPr>
          <w:t>Rec.</w:t>
        </w:r>
      </w:hyperlink>
      <w:hyperlink r:id="rId26" w:history="1">
        <w:r w:rsidRPr="000A5982">
          <w:rPr>
            <w:rStyle w:val="Hyperlink"/>
            <w:rFonts w:ascii="Cambria" w:hAnsi="Cambria"/>
            <w:sz w:val="20"/>
            <w:szCs w:val="20"/>
            <w:u w:val="none"/>
          </w:rPr>
          <w:t xml:space="preserve"> 25-09</w:t>
        </w:r>
      </w:hyperlink>
      <w:r w:rsidRPr="000A5982">
        <w:rPr>
          <w:rFonts w:ascii="Cambria" w:hAnsi="Cambria"/>
          <w:sz w:val="20"/>
          <w:szCs w:val="20"/>
        </w:rPr>
        <w:t xml:space="preserve"> de ICCAT.</w:t>
      </w:r>
    </w:p>
    <w:p w14:paraId="6FE40C23" w14:textId="77777777" w:rsidR="00EF4FD8" w:rsidRPr="000A5982" w:rsidRDefault="00EF4FD8" w:rsidP="00EF4FD8">
      <w:pPr>
        <w:tabs>
          <w:tab w:val="center" w:pos="4513"/>
          <w:tab w:val="left" w:pos="6804"/>
        </w:tabs>
        <w:jc w:val="both"/>
        <w:rPr>
          <w:rFonts w:ascii="Cambria" w:hAnsi="Cambria"/>
          <w:sz w:val="20"/>
          <w:szCs w:val="20"/>
        </w:rPr>
      </w:pPr>
    </w:p>
    <w:p w14:paraId="1AB282DE" w14:textId="77777777" w:rsidR="00EF4FD8" w:rsidRPr="000A5982" w:rsidRDefault="00EF4FD8" w:rsidP="00EF4FD8">
      <w:pPr>
        <w:tabs>
          <w:tab w:val="center" w:pos="4513"/>
          <w:tab w:val="left" w:pos="6804"/>
        </w:tabs>
        <w:jc w:val="both"/>
        <w:rPr>
          <w:rFonts w:ascii="Cambria" w:hAnsi="Cambria"/>
          <w:sz w:val="20"/>
          <w:szCs w:val="20"/>
        </w:rPr>
      </w:pPr>
      <w:r w:rsidRPr="000A5982">
        <w:rPr>
          <w:rFonts w:ascii="Cambria" w:hAnsi="Cambria"/>
          <w:sz w:val="20"/>
        </w:rPr>
        <w:t>Por esas razones, el Grupo de especies de pez espada recomienda que se reformule el formulario ST-13 con el objetivo de recopilar metadatos más generales sobre los proyectos piloto y los resultados de las CPC, pero no necesariamente datos brutos detallados a nivel de operación. Esto se ajustaría a lo que actualmente se solicita a las CPC que remitan a la Secretaría desde sus programas nacionales de observadores (formulario ST-09).</w:t>
      </w:r>
    </w:p>
    <w:p w14:paraId="4D5344B5" w14:textId="77777777" w:rsidR="00EF4FD8" w:rsidRPr="000A5982" w:rsidRDefault="00EF4FD8" w:rsidP="00EF4FD8">
      <w:pPr>
        <w:tabs>
          <w:tab w:val="center" w:pos="4513"/>
          <w:tab w:val="left" w:pos="6804"/>
        </w:tabs>
        <w:jc w:val="both"/>
        <w:rPr>
          <w:rFonts w:ascii="Cambria" w:hAnsi="Cambria"/>
          <w:sz w:val="20"/>
          <w:szCs w:val="20"/>
        </w:rPr>
      </w:pPr>
    </w:p>
    <w:p w14:paraId="0E7FA73A" w14:textId="77777777" w:rsidR="00EF4FD8" w:rsidRPr="0099704B" w:rsidRDefault="00EF4FD8" w:rsidP="00EF4FD8">
      <w:pPr>
        <w:tabs>
          <w:tab w:val="center" w:pos="4513"/>
          <w:tab w:val="left" w:pos="6804"/>
        </w:tabs>
        <w:jc w:val="both"/>
        <w:rPr>
          <w:rFonts w:ascii="Cambria" w:hAnsi="Cambria"/>
          <w:sz w:val="20"/>
          <w:szCs w:val="20"/>
        </w:rPr>
      </w:pPr>
      <w:r w:rsidRPr="000A5982">
        <w:rPr>
          <w:rFonts w:ascii="Cambria" w:hAnsi="Cambria"/>
          <w:sz w:val="20"/>
        </w:rPr>
        <w:t>Se ha remitido a la Secretaría una propuesta de revisión del formulario ST-13.</w:t>
      </w:r>
    </w:p>
    <w:p w14:paraId="523F1CE2" w14:textId="77777777" w:rsidR="00EF4FD8" w:rsidRPr="000A5982" w:rsidRDefault="00EF4FD8" w:rsidP="00EF4FD8">
      <w:pPr>
        <w:suppressAutoHyphens/>
        <w:jc w:val="both"/>
        <w:rPr>
          <w:rFonts w:ascii="Cambria" w:hAnsi="Cambria"/>
          <w:sz w:val="20"/>
          <w:szCs w:val="20"/>
        </w:rPr>
      </w:pPr>
    </w:p>
    <w:p w14:paraId="5A43E883" w14:textId="77777777" w:rsidR="00EF4FD8" w:rsidRPr="000A5982" w:rsidRDefault="00EF4FD8" w:rsidP="00EF4FD8">
      <w:pPr>
        <w:tabs>
          <w:tab w:val="center" w:pos="4513"/>
          <w:tab w:val="left" w:pos="6804"/>
        </w:tabs>
        <w:jc w:val="both"/>
        <w:rPr>
          <w:rFonts w:ascii="Cambria" w:hAnsi="Cambria"/>
          <w:b/>
          <w:i/>
          <w:iCs/>
          <w:sz w:val="20"/>
          <w:szCs w:val="20"/>
        </w:rPr>
      </w:pPr>
      <w:r w:rsidRPr="000A5982">
        <w:rPr>
          <w:rFonts w:ascii="Cambria" w:hAnsi="Cambria"/>
          <w:b/>
          <w:i/>
          <w:sz w:val="20"/>
          <w:szCs w:val="20"/>
        </w:rPr>
        <w:t xml:space="preserve">19.18 El SCRS revisará anualmente los objetivos y disposiciones de esta medida y asesorará a la Comisión sobre posibles modificaciones, </w:t>
      </w:r>
      <w:hyperlink r:id="rId27" w:history="1">
        <w:r w:rsidRPr="000A5982">
          <w:rPr>
            <w:rStyle w:val="Hyperlink"/>
            <w:rFonts w:ascii="Cambria" w:hAnsi="Cambria"/>
            <w:b/>
            <w:i/>
            <w:sz w:val="20"/>
            <w:szCs w:val="20"/>
            <w:u w:val="none"/>
          </w:rPr>
          <w:t>Rec. 25-09</w:t>
        </w:r>
      </w:hyperlink>
      <w:r w:rsidRPr="000A5982">
        <w:rPr>
          <w:rFonts w:ascii="Cambria" w:hAnsi="Cambria"/>
          <w:b/>
          <w:i/>
          <w:sz w:val="20"/>
          <w:szCs w:val="20"/>
        </w:rPr>
        <w:t>, párr. 8</w:t>
      </w:r>
      <w:r w:rsidRPr="000A5982">
        <w:rPr>
          <w:rFonts w:ascii="Cambria" w:hAnsi="Cambria"/>
          <w:i/>
          <w:sz w:val="20"/>
          <w:szCs w:val="20"/>
        </w:rPr>
        <w:t xml:space="preserve"> </w:t>
      </w:r>
    </w:p>
    <w:p w14:paraId="7A3BBE55" w14:textId="77777777" w:rsidR="00EF4FD8" w:rsidRPr="000A5982" w:rsidRDefault="00EF4FD8" w:rsidP="00EF4FD8">
      <w:pPr>
        <w:tabs>
          <w:tab w:val="center" w:pos="4513"/>
          <w:tab w:val="left" w:pos="6804"/>
        </w:tabs>
        <w:rPr>
          <w:rFonts w:ascii="Cambria" w:hAnsi="Cambria"/>
          <w:b/>
          <w:i/>
          <w:iCs/>
          <w:sz w:val="20"/>
          <w:szCs w:val="20"/>
        </w:rPr>
      </w:pPr>
    </w:p>
    <w:p w14:paraId="6101AD6D" w14:textId="77777777" w:rsidR="00EF4FD8" w:rsidRPr="0099704B" w:rsidRDefault="00EF4FD8" w:rsidP="00EF4FD8">
      <w:pPr>
        <w:suppressAutoHyphens/>
        <w:jc w:val="both"/>
        <w:rPr>
          <w:rFonts w:ascii="Cambria" w:hAnsi="Cambria"/>
          <w:i/>
          <w:sz w:val="20"/>
          <w:szCs w:val="20"/>
        </w:rPr>
      </w:pPr>
      <w:r w:rsidRPr="000A5982">
        <w:rPr>
          <w:rFonts w:ascii="Cambria" w:hAnsi="Cambria"/>
          <w:b/>
          <w:sz w:val="20"/>
          <w:szCs w:val="20"/>
        </w:rPr>
        <w:t>Contexto:</w:t>
      </w:r>
      <w:r w:rsidRPr="000A5982">
        <w:rPr>
          <w:rFonts w:ascii="Cambria" w:hAnsi="Cambria"/>
          <w:b/>
          <w:i/>
          <w:sz w:val="20"/>
          <w:szCs w:val="20"/>
        </w:rPr>
        <w:t xml:space="preserve"> </w:t>
      </w:r>
      <w:r w:rsidRPr="000A5982">
        <w:rPr>
          <w:rFonts w:ascii="Cambria" w:hAnsi="Cambria"/>
          <w:i/>
          <w:sz w:val="20"/>
          <w:szCs w:val="20"/>
        </w:rPr>
        <w:t>El SCRS revisará anualmente los objetivos y disposiciones de esta medida y asesorará a la Comisión sobre posibles modificaciones, incluyendo el calendario para proporcionar asesoramiento y la información que debe recopilarse.</w:t>
      </w:r>
    </w:p>
    <w:p w14:paraId="186713D4" w14:textId="77777777" w:rsidR="00EF4FD8" w:rsidRPr="0099704B" w:rsidRDefault="00EF4FD8" w:rsidP="00EF4FD8">
      <w:pPr>
        <w:suppressAutoHyphens/>
        <w:jc w:val="both"/>
        <w:rPr>
          <w:rFonts w:ascii="Cambria" w:hAnsi="Cambria"/>
          <w:i/>
          <w:sz w:val="20"/>
          <w:szCs w:val="20"/>
        </w:rPr>
      </w:pPr>
    </w:p>
    <w:p w14:paraId="45706EB4" w14:textId="77777777" w:rsidR="00EF4FD8" w:rsidRPr="000A5982" w:rsidRDefault="00EF4FD8" w:rsidP="00EF4FD8">
      <w:pPr>
        <w:tabs>
          <w:tab w:val="center" w:pos="4513"/>
          <w:tab w:val="left" w:pos="6804"/>
        </w:tabs>
        <w:jc w:val="both"/>
        <w:rPr>
          <w:rFonts w:ascii="Cambria" w:hAnsi="Cambria"/>
          <w:sz w:val="20"/>
          <w:szCs w:val="20"/>
        </w:rPr>
      </w:pPr>
      <w:r w:rsidRPr="000A5982">
        <w:rPr>
          <w:rFonts w:ascii="Cambria" w:hAnsi="Cambria"/>
          <w:sz w:val="20"/>
        </w:rPr>
        <w:t xml:space="preserve">El Comité en general está de acuerdo con los objetivos y las disposiciones de las medidas que figuran en la  </w:t>
      </w:r>
      <w:hyperlink r:id="rId28" w:history="1">
        <w:r w:rsidRPr="000A5982">
          <w:rPr>
            <w:rStyle w:val="Hyperlink"/>
            <w:rFonts w:ascii="Cambria" w:hAnsi="Cambria"/>
            <w:i/>
            <w:sz w:val="20"/>
            <w:u w:val="none"/>
          </w:rPr>
          <w:t>Recomendación de ICCAT sobre el uso experimental de trampillas</w:t>
        </w:r>
      </w:hyperlink>
      <w:hyperlink r:id="rId29" w:history="1">
        <w:r w:rsidRPr="000A5982">
          <w:rPr>
            <w:rStyle w:val="Hyperlink"/>
            <w:rFonts w:ascii="Cambria" w:hAnsi="Cambria"/>
            <w:sz w:val="20"/>
            <w:u w:val="none"/>
          </w:rPr>
          <w:t>(Rec. 25-09)</w:t>
        </w:r>
      </w:hyperlink>
      <w:r w:rsidRPr="000A5982">
        <w:rPr>
          <w:rFonts w:ascii="Cambria" w:hAnsi="Cambria"/>
          <w:sz w:val="20"/>
        </w:rPr>
        <w:t>. El Grupo de especies de pez espada señala que, hasta la fecha, varias CPC han presentado sus proyectos piloto sobre el uso de trampillas a través de sus flotas, además de los resultados preliminares.</w:t>
      </w:r>
    </w:p>
    <w:p w14:paraId="0553BC32" w14:textId="77777777" w:rsidR="00EF4FD8" w:rsidRPr="000A5982" w:rsidRDefault="00EF4FD8" w:rsidP="00EF4FD8">
      <w:pPr>
        <w:tabs>
          <w:tab w:val="center" w:pos="4513"/>
          <w:tab w:val="left" w:pos="6804"/>
        </w:tabs>
        <w:jc w:val="both"/>
        <w:rPr>
          <w:rFonts w:ascii="Cambria" w:hAnsi="Cambria"/>
          <w:sz w:val="20"/>
          <w:szCs w:val="20"/>
        </w:rPr>
      </w:pPr>
    </w:p>
    <w:p w14:paraId="7867849B" w14:textId="77777777" w:rsidR="00EF4FD8" w:rsidRPr="0099704B" w:rsidRDefault="00EF4FD8" w:rsidP="00EF4FD8">
      <w:pPr>
        <w:tabs>
          <w:tab w:val="center" w:pos="4513"/>
          <w:tab w:val="left" w:pos="6804"/>
        </w:tabs>
        <w:jc w:val="both"/>
        <w:rPr>
          <w:rFonts w:ascii="Cambria" w:hAnsi="Cambria"/>
          <w:sz w:val="20"/>
          <w:szCs w:val="20"/>
        </w:rPr>
      </w:pPr>
      <w:r w:rsidRPr="000A5982">
        <w:rPr>
          <w:rFonts w:ascii="Cambria" w:hAnsi="Cambria"/>
          <w:sz w:val="20"/>
        </w:rPr>
        <w:t xml:space="preserve">En este momento, el Comité considera que será posible mantener el calendario actual especificado en la </w:t>
      </w:r>
      <w:hyperlink r:id="rId30" w:history="1">
        <w:r w:rsidRPr="000A5982">
          <w:rPr>
            <w:rStyle w:val="Hyperlink"/>
            <w:rFonts w:ascii="Cambria" w:hAnsi="Cambria"/>
            <w:sz w:val="20"/>
            <w:u w:val="none"/>
          </w:rPr>
          <w:t>Rec.</w:t>
        </w:r>
      </w:hyperlink>
      <w:hyperlink r:id="rId31" w:history="1">
        <w:r w:rsidRPr="000A5982">
          <w:rPr>
            <w:rStyle w:val="Hyperlink"/>
            <w:rFonts w:ascii="Cambria" w:hAnsi="Cambria"/>
            <w:sz w:val="20"/>
            <w:u w:val="none"/>
          </w:rPr>
          <w:t xml:space="preserve"> 25-09</w:t>
        </w:r>
      </w:hyperlink>
      <w:r w:rsidRPr="000A5982">
        <w:rPr>
          <w:rFonts w:ascii="Cambria" w:hAnsi="Cambria"/>
          <w:sz w:val="20"/>
        </w:rPr>
        <w:t>, con el fin de ofrecer asesoramiento sobre el uso de las trampillas de aquí a 2028.</w:t>
      </w:r>
    </w:p>
    <w:p w14:paraId="36572239" w14:textId="77777777" w:rsidR="00EF4FD8" w:rsidRPr="0099704B" w:rsidRDefault="00EF4FD8" w:rsidP="00EF4FD8">
      <w:pPr>
        <w:tabs>
          <w:tab w:val="left" w:pos="0"/>
          <w:tab w:val="left" w:pos="720"/>
          <w:tab w:val="right" w:pos="8505"/>
          <w:tab w:val="right" w:pos="9072"/>
        </w:tabs>
        <w:ind w:right="6"/>
        <w:jc w:val="both"/>
        <w:rPr>
          <w:rFonts w:ascii="Cambria" w:eastAsia="Cambria" w:hAnsi="Cambria" w:cs="Cambria"/>
          <w:b/>
          <w:i/>
          <w:color w:val="000000"/>
          <w:sz w:val="20"/>
          <w:szCs w:val="20"/>
        </w:rPr>
      </w:pPr>
    </w:p>
    <w:p w14:paraId="47C8BE8C" w14:textId="77777777" w:rsidR="00EF4FD8" w:rsidRPr="000A5982" w:rsidRDefault="00EF4FD8" w:rsidP="00EF4FD8">
      <w:pPr>
        <w:tabs>
          <w:tab w:val="center" w:pos="4513"/>
          <w:tab w:val="left" w:pos="6804"/>
        </w:tabs>
        <w:jc w:val="both"/>
        <w:rPr>
          <w:rFonts w:ascii="Cambria" w:hAnsi="Cambria"/>
          <w:b/>
          <w:i/>
          <w:iCs/>
          <w:sz w:val="20"/>
          <w:szCs w:val="20"/>
        </w:rPr>
      </w:pPr>
      <w:r w:rsidRPr="000A5982">
        <w:rPr>
          <w:rFonts w:ascii="Cambria" w:hAnsi="Cambria"/>
          <w:b/>
          <w:i/>
          <w:sz w:val="20"/>
          <w:szCs w:val="20"/>
        </w:rPr>
        <w:t xml:space="preserve">19.19 El SCRS evaluará anualmente la aparición de EC, y la Comisión actuará de conformidad con el Protocolo de circunstancias excepcionales establecido en el Anexo 4,  </w:t>
      </w:r>
      <w:hyperlink r:id="rId32" w:history="1">
        <w:r w:rsidRPr="000A5982">
          <w:rPr>
            <w:rStyle w:val="Hyperlink"/>
            <w:rFonts w:ascii="Cambria" w:hAnsi="Cambria"/>
            <w:b/>
            <w:i/>
            <w:sz w:val="20"/>
            <w:szCs w:val="20"/>
            <w:u w:val="none"/>
          </w:rPr>
          <w:t xml:space="preserve">Rec. 25-10, </w:t>
        </w:r>
      </w:hyperlink>
      <w:r w:rsidRPr="000A5982">
        <w:rPr>
          <w:rFonts w:ascii="Cambria" w:hAnsi="Cambria"/>
          <w:b/>
          <w:i/>
          <w:sz w:val="20"/>
          <w:szCs w:val="20"/>
        </w:rPr>
        <w:t>párr. 5</w:t>
      </w:r>
      <w:r w:rsidRPr="000A5982">
        <w:rPr>
          <w:rFonts w:ascii="Cambria" w:hAnsi="Cambria"/>
          <w:i/>
          <w:sz w:val="20"/>
          <w:szCs w:val="20"/>
        </w:rPr>
        <w:t xml:space="preserve"> </w:t>
      </w:r>
    </w:p>
    <w:p w14:paraId="7B42D287" w14:textId="77777777" w:rsidR="00EF4FD8" w:rsidRPr="000A5982" w:rsidRDefault="00EF4FD8" w:rsidP="00EF4FD8">
      <w:pPr>
        <w:tabs>
          <w:tab w:val="center" w:pos="4513"/>
          <w:tab w:val="left" w:pos="6804"/>
        </w:tabs>
        <w:rPr>
          <w:rFonts w:ascii="Cambria" w:hAnsi="Cambria"/>
          <w:b/>
          <w:i/>
          <w:iCs/>
          <w:sz w:val="20"/>
          <w:szCs w:val="20"/>
        </w:rPr>
      </w:pPr>
    </w:p>
    <w:p w14:paraId="4D9384CC" w14:textId="77777777" w:rsidR="00EF4FD8" w:rsidRPr="0099704B" w:rsidRDefault="00EF4FD8" w:rsidP="00EF4FD8">
      <w:pPr>
        <w:suppressAutoHyphens/>
        <w:jc w:val="both"/>
        <w:rPr>
          <w:rFonts w:ascii="Cambria" w:hAnsi="Cambria"/>
          <w:i/>
          <w:sz w:val="20"/>
          <w:szCs w:val="20"/>
        </w:rPr>
      </w:pPr>
      <w:r w:rsidRPr="000A5982">
        <w:rPr>
          <w:rFonts w:ascii="Cambria" w:hAnsi="Cambria"/>
          <w:b/>
          <w:sz w:val="20"/>
          <w:szCs w:val="20"/>
        </w:rPr>
        <w:t>Contexto:</w:t>
      </w:r>
      <w:r w:rsidRPr="000A5982">
        <w:rPr>
          <w:rFonts w:ascii="Cambria" w:hAnsi="Cambria"/>
          <w:b/>
          <w:i/>
          <w:sz w:val="20"/>
          <w:szCs w:val="20"/>
        </w:rPr>
        <w:t xml:space="preserve"> </w:t>
      </w:r>
      <w:r w:rsidRPr="000A5982">
        <w:rPr>
          <w:rFonts w:ascii="Cambria" w:hAnsi="Cambria"/>
          <w:i/>
          <w:sz w:val="20"/>
          <w:szCs w:val="20"/>
        </w:rPr>
        <w:t>El SCRS aplicará el MP especificado en el Anexo 1 de conformidad con el calendario establecido en el Anexo 3 y comunicará a la Comisión el TAC resultante para el pez espada del Atlántico norte para el siguiente ciclo de ordenación trienal. El SCRS evaluará anualmente la aparición de EC, y la Comisión actuará de conformidad con el Protocolo de circunstancias excepcionales establecido en el Anexo 4.</w:t>
      </w:r>
    </w:p>
    <w:p w14:paraId="2F5A5469" w14:textId="77777777" w:rsidR="00EF4FD8" w:rsidRPr="0099704B" w:rsidRDefault="00EF4FD8" w:rsidP="00EF4FD8">
      <w:pPr>
        <w:suppressAutoHyphens/>
        <w:jc w:val="both"/>
        <w:rPr>
          <w:rFonts w:ascii="Cambria" w:hAnsi="Cambria"/>
          <w:i/>
          <w:sz w:val="20"/>
          <w:szCs w:val="20"/>
        </w:rPr>
      </w:pPr>
    </w:p>
    <w:p w14:paraId="376512DE" w14:textId="77777777" w:rsidR="00EF4FD8" w:rsidRPr="000A5982" w:rsidRDefault="00EF4FD8" w:rsidP="00EF4FD8">
      <w:pPr>
        <w:jc w:val="both"/>
        <w:rPr>
          <w:rFonts w:ascii="Cambria" w:hAnsi="Cambria"/>
          <w:sz w:val="20"/>
          <w:szCs w:val="20"/>
        </w:rPr>
      </w:pPr>
      <w:r w:rsidRPr="000A5982">
        <w:rPr>
          <w:rFonts w:ascii="Cambria" w:hAnsi="Cambria"/>
          <w:sz w:val="20"/>
          <w:szCs w:val="20"/>
        </w:rPr>
        <w:t>El procedimiento de ordenación MCC11 adoptado se aplicó en 2024 y proporcionó asesoramiento sobre el TAC para el primer ciclo de ordenación (2025-2027). El SCRS llevó a cabo una serie de análisis para respaldar la elaboración de un protocolo de circunstancias excepcionales (ECP) y, siguiendo este asesoramiento, la Comisión adoptó dicho protocolo en 2025. El protocolo adoptado hace hincapié en la flexibilidad, el criterio de los expertos y en que se utilice para identificar situaciones en las que la aplicación del MP pueda resultar arriesgada o inadecuada. El Comité ha llevado a cabo una evaluación d</w:t>
      </w:r>
      <w:r w:rsidRPr="000A5982">
        <w:rPr>
          <w:rFonts w:ascii="Cambria" w:hAnsi="Cambria"/>
          <w:i/>
          <w:iCs/>
          <w:sz w:val="20"/>
          <w:szCs w:val="20"/>
        </w:rPr>
        <w:t xml:space="preserve">e </w:t>
      </w:r>
      <w:r w:rsidRPr="000A5982">
        <w:rPr>
          <w:rFonts w:ascii="Cambria" w:hAnsi="Cambria"/>
          <w:sz w:val="20"/>
          <w:szCs w:val="20"/>
        </w:rPr>
        <w:t xml:space="preserve">conformidad con las especificaciones relativas a circunstancias excepcionales (EC) recogidas en el anexo 4 de la </w:t>
      </w:r>
      <w:hyperlink r:id="rId33" w:history="1">
        <w:r w:rsidRPr="000A5982">
          <w:rPr>
            <w:rStyle w:val="Hyperlink"/>
            <w:rFonts w:ascii="Cambria" w:hAnsi="Cambria"/>
            <w:i/>
            <w:iCs/>
            <w:sz w:val="20"/>
            <w:szCs w:val="20"/>
            <w:u w:val="none"/>
          </w:rPr>
          <w:t>Recomendación de ICCAT que reemplaza la Recomendación 24-10 sobre medidas de conservación y ordenación, incluido un procedimiento de ordenación, para el pez espada del Atlántico norte</w:t>
        </w:r>
        <w:r w:rsidRPr="000A5982">
          <w:rPr>
            <w:rStyle w:val="Hyperlink"/>
            <w:rFonts w:ascii="Cambria" w:hAnsi="Cambria"/>
            <w:sz w:val="20"/>
            <w:szCs w:val="20"/>
            <w:u w:val="none"/>
          </w:rPr>
          <w:t xml:space="preserve"> (Rec. 25-10)</w:t>
        </w:r>
      </w:hyperlink>
      <w:r w:rsidRPr="000A5982">
        <w:rPr>
          <w:rFonts w:ascii="Cambria" w:hAnsi="Cambria"/>
          <w:sz w:val="20"/>
          <w:szCs w:val="20"/>
        </w:rPr>
        <w:t xml:space="preserve">. </w:t>
      </w:r>
    </w:p>
    <w:p w14:paraId="3B919681" w14:textId="77777777" w:rsidR="00EF4FD8" w:rsidRPr="000A5982" w:rsidRDefault="00EF4FD8" w:rsidP="00EF4FD8">
      <w:pPr>
        <w:jc w:val="both"/>
        <w:rPr>
          <w:rFonts w:ascii="Cambria" w:hAnsi="Cambria"/>
          <w:sz w:val="20"/>
          <w:szCs w:val="20"/>
        </w:rPr>
      </w:pPr>
    </w:p>
    <w:p w14:paraId="5B47B41E" w14:textId="77777777" w:rsidR="00EF4FD8" w:rsidRPr="000A5982" w:rsidRDefault="00EF4FD8" w:rsidP="00EF4FD8">
      <w:pPr>
        <w:jc w:val="both"/>
        <w:rPr>
          <w:rFonts w:ascii="Cambria" w:hAnsi="Cambria"/>
          <w:sz w:val="20"/>
          <w:szCs w:val="20"/>
        </w:rPr>
      </w:pPr>
      <w:r w:rsidRPr="000A5982">
        <w:rPr>
          <w:rFonts w:ascii="Cambria" w:hAnsi="Cambria"/>
          <w:sz w:val="20"/>
          <w:szCs w:val="20"/>
        </w:rPr>
        <w:t>La tabla 1 del ECP ofrece cuatro indicadores relativos a las EC que deben comprobarse anualmente o cada vez que se disponga de nueva información. El Comité ha determinado que, en 2026, no se producen EC en tres indicadores y sí se producen en uno.</w:t>
      </w:r>
    </w:p>
    <w:p w14:paraId="68D5DA42" w14:textId="77777777" w:rsidR="00EF4FD8" w:rsidRPr="000A5982" w:rsidRDefault="00EF4FD8" w:rsidP="00EF4FD8">
      <w:pPr>
        <w:jc w:val="both"/>
        <w:rPr>
          <w:rFonts w:ascii="Cambria" w:hAnsi="Cambria"/>
          <w:sz w:val="20"/>
          <w:szCs w:val="20"/>
        </w:rPr>
      </w:pPr>
    </w:p>
    <w:p w14:paraId="6F22FD60" w14:textId="77777777" w:rsidR="00EF4FD8" w:rsidRPr="000A5982" w:rsidRDefault="00EF4FD8" w:rsidP="00EF4FD8">
      <w:pPr>
        <w:jc w:val="both"/>
        <w:rPr>
          <w:rFonts w:ascii="Cambria" w:hAnsi="Cambria"/>
          <w:sz w:val="20"/>
          <w:szCs w:val="20"/>
        </w:rPr>
      </w:pPr>
      <w:r w:rsidRPr="000A5982">
        <w:rPr>
          <w:rFonts w:ascii="Cambria" w:hAnsi="Cambria"/>
          <w:b/>
          <w:sz w:val="20"/>
          <w:szCs w:val="20"/>
        </w:rPr>
        <w:t>Principio:</w:t>
      </w:r>
      <w:r w:rsidRPr="000A5982">
        <w:rPr>
          <w:rFonts w:ascii="Cambria" w:hAnsi="Cambria"/>
          <w:sz w:val="20"/>
          <w:szCs w:val="20"/>
        </w:rPr>
        <w:t xml:space="preserve"> Dinámica del stock y la pesquería.</w:t>
      </w:r>
    </w:p>
    <w:p w14:paraId="2C5F3F31" w14:textId="77777777" w:rsidR="00EF4FD8" w:rsidRPr="000A5982" w:rsidRDefault="00EF4FD8" w:rsidP="00EF4FD8">
      <w:pPr>
        <w:jc w:val="both"/>
        <w:rPr>
          <w:rFonts w:ascii="Cambria" w:hAnsi="Cambria"/>
          <w:sz w:val="20"/>
          <w:szCs w:val="20"/>
        </w:rPr>
      </w:pPr>
    </w:p>
    <w:tbl>
      <w:tblPr>
        <w:tblStyle w:val="TableGrid"/>
        <w:tblW w:w="0" w:type="auto"/>
        <w:tblInd w:w="0" w:type="dxa"/>
        <w:tblLook w:val="04A0" w:firstRow="1" w:lastRow="0" w:firstColumn="1" w:lastColumn="0" w:noHBand="0" w:noVBand="1"/>
      </w:tblPr>
      <w:tblGrid>
        <w:gridCol w:w="1705"/>
        <w:gridCol w:w="5490"/>
        <w:gridCol w:w="1821"/>
      </w:tblGrid>
      <w:tr w:rsidR="00EF4FD8" w:rsidRPr="0099704B" w14:paraId="18F7F6FD" w14:textId="77777777" w:rsidTr="007C17C6">
        <w:tc>
          <w:tcPr>
            <w:tcW w:w="1705" w:type="dxa"/>
            <w:vMerge w:val="restart"/>
            <w:vAlign w:val="center"/>
          </w:tcPr>
          <w:p w14:paraId="5D080341" w14:textId="77777777" w:rsidR="00EF4FD8" w:rsidRPr="000A5982" w:rsidRDefault="00EF4FD8" w:rsidP="007C17C6">
            <w:pPr>
              <w:jc w:val="center"/>
              <w:rPr>
                <w:rFonts w:ascii="Cambria" w:hAnsi="Cambria"/>
                <w:b/>
                <w:bCs/>
                <w:sz w:val="20"/>
                <w:szCs w:val="20"/>
              </w:rPr>
            </w:pPr>
            <w:r w:rsidRPr="000A5982">
              <w:rPr>
                <w:rFonts w:ascii="Cambria" w:hAnsi="Cambria"/>
                <w:b/>
                <w:sz w:val="20"/>
                <w:szCs w:val="20"/>
              </w:rPr>
              <w:lastRenderedPageBreak/>
              <w:t xml:space="preserve">Indicador: </w:t>
            </w:r>
            <w:r w:rsidRPr="000A5982">
              <w:rPr>
                <w:rFonts w:ascii="Cambria" w:hAnsi="Cambria"/>
                <w:sz w:val="20"/>
                <w:szCs w:val="20"/>
              </w:rPr>
              <w:t>Índices</w:t>
            </w:r>
          </w:p>
        </w:tc>
        <w:tc>
          <w:tcPr>
            <w:tcW w:w="5490" w:type="dxa"/>
          </w:tcPr>
          <w:p w14:paraId="1771C742" w14:textId="77777777" w:rsidR="00EF4FD8" w:rsidRPr="000A5982" w:rsidRDefault="00EF4FD8" w:rsidP="007C17C6">
            <w:pPr>
              <w:jc w:val="both"/>
              <w:rPr>
                <w:rFonts w:ascii="Cambria" w:hAnsi="Cambria"/>
                <w:sz w:val="20"/>
                <w:szCs w:val="20"/>
              </w:rPr>
            </w:pPr>
            <w:r w:rsidRPr="000A5982">
              <w:rPr>
                <w:rFonts w:ascii="Cambria" w:hAnsi="Cambria"/>
                <w:b/>
                <w:sz w:val="20"/>
                <w:szCs w:val="20"/>
              </w:rPr>
              <w:t>Criterio:</w:t>
            </w:r>
            <w:r w:rsidRPr="000A5982">
              <w:rPr>
                <w:rFonts w:ascii="Cambria" w:hAnsi="Cambria"/>
                <w:sz w:val="20"/>
                <w:szCs w:val="20"/>
              </w:rPr>
              <w:t xml:space="preserve"> Si, en cualquier año, los valores del índice combinado observados se sitúan fuera del intervalo comprendido entre el percentil 2,5 y el percentil 97,5 del índice combinado simulado utilizado en las proyecciones para probar el MP adoptado.</w:t>
            </w:r>
          </w:p>
        </w:tc>
        <w:tc>
          <w:tcPr>
            <w:tcW w:w="1821" w:type="dxa"/>
            <w:vMerge w:val="restart"/>
            <w:vAlign w:val="center"/>
          </w:tcPr>
          <w:p w14:paraId="02F5DF02" w14:textId="77777777" w:rsidR="00EF4FD8" w:rsidRPr="000A5982" w:rsidRDefault="00EF4FD8" w:rsidP="007C17C6">
            <w:pPr>
              <w:jc w:val="center"/>
              <w:rPr>
                <w:rFonts w:ascii="Cambria" w:hAnsi="Cambria"/>
                <w:b/>
                <w:bCs/>
                <w:sz w:val="20"/>
                <w:szCs w:val="20"/>
              </w:rPr>
            </w:pPr>
            <w:r w:rsidRPr="000A5982">
              <w:rPr>
                <w:rFonts w:ascii="Cambria" w:hAnsi="Cambria"/>
                <w:b/>
                <w:sz w:val="20"/>
                <w:szCs w:val="20"/>
              </w:rPr>
              <w:t>¿Circunstancias excepcionales?</w:t>
            </w:r>
          </w:p>
          <w:p w14:paraId="2D7913C3" w14:textId="77777777" w:rsidR="00EF4FD8" w:rsidRPr="000A5982" w:rsidRDefault="00EF4FD8" w:rsidP="007C17C6">
            <w:pPr>
              <w:jc w:val="center"/>
              <w:rPr>
                <w:rFonts w:ascii="Cambria" w:hAnsi="Cambria"/>
                <w:sz w:val="20"/>
                <w:szCs w:val="20"/>
              </w:rPr>
            </w:pPr>
            <w:r w:rsidRPr="000A5982">
              <w:rPr>
                <w:rFonts w:ascii="Cambria" w:hAnsi="Cambria"/>
                <w:sz w:val="20"/>
                <w:szCs w:val="20"/>
              </w:rPr>
              <w:t>SÍ</w:t>
            </w:r>
          </w:p>
        </w:tc>
      </w:tr>
      <w:tr w:rsidR="00EF4FD8" w:rsidRPr="0099704B" w14:paraId="2AE20CB8" w14:textId="77777777" w:rsidTr="007C17C6">
        <w:trPr>
          <w:trHeight w:val="479"/>
        </w:trPr>
        <w:tc>
          <w:tcPr>
            <w:tcW w:w="1705" w:type="dxa"/>
            <w:vMerge/>
          </w:tcPr>
          <w:p w14:paraId="7BCAF58A" w14:textId="77777777" w:rsidR="00EF4FD8" w:rsidRPr="000A5982" w:rsidRDefault="00EF4FD8" w:rsidP="007C17C6">
            <w:pPr>
              <w:jc w:val="both"/>
              <w:rPr>
                <w:rFonts w:ascii="Cambria" w:hAnsi="Cambria"/>
                <w:sz w:val="20"/>
                <w:szCs w:val="20"/>
                <w:lang w:val="en-US"/>
              </w:rPr>
            </w:pPr>
          </w:p>
        </w:tc>
        <w:tc>
          <w:tcPr>
            <w:tcW w:w="5490" w:type="dxa"/>
          </w:tcPr>
          <w:p w14:paraId="343AA0BA" w14:textId="77777777" w:rsidR="00EF4FD8" w:rsidRPr="000A5982" w:rsidRDefault="00EF4FD8" w:rsidP="007C17C6">
            <w:pPr>
              <w:jc w:val="both"/>
              <w:rPr>
                <w:rFonts w:ascii="Cambria" w:hAnsi="Cambria"/>
                <w:sz w:val="20"/>
                <w:szCs w:val="20"/>
              </w:rPr>
            </w:pPr>
            <w:r w:rsidRPr="000A5982">
              <w:rPr>
                <w:rFonts w:ascii="Cambria" w:hAnsi="Cambria"/>
                <w:b/>
                <w:sz w:val="20"/>
              </w:rPr>
              <w:t>Resultado:</w:t>
            </w:r>
            <w:r w:rsidRPr="000A5982">
              <w:rPr>
                <w:rFonts w:ascii="Cambria" w:hAnsi="Cambria"/>
                <w:sz w:val="20"/>
              </w:rPr>
              <w:t xml:space="preserve"> Los años terminales (2023 y 2024) del índice de abundancia combinado se sitúan fuera del límite superior del intervalo de predicción del 95 % (Figura 19.19.1).</w:t>
            </w:r>
          </w:p>
        </w:tc>
        <w:tc>
          <w:tcPr>
            <w:tcW w:w="1821" w:type="dxa"/>
            <w:vMerge/>
          </w:tcPr>
          <w:p w14:paraId="4834C122" w14:textId="77777777" w:rsidR="00EF4FD8" w:rsidRPr="000A5982" w:rsidRDefault="00EF4FD8" w:rsidP="007C17C6">
            <w:pPr>
              <w:jc w:val="both"/>
              <w:rPr>
                <w:rFonts w:ascii="Cambria" w:hAnsi="Cambria"/>
                <w:sz w:val="20"/>
                <w:szCs w:val="20"/>
              </w:rPr>
            </w:pPr>
          </w:p>
        </w:tc>
      </w:tr>
    </w:tbl>
    <w:p w14:paraId="3D0EC0BE" w14:textId="77777777" w:rsidR="00EF4FD8" w:rsidRPr="000A5982" w:rsidRDefault="00EF4FD8" w:rsidP="00EF4FD8">
      <w:pPr>
        <w:jc w:val="center"/>
        <w:rPr>
          <w:rFonts w:ascii="Cambria" w:hAnsi="Cambria"/>
          <w:sz w:val="20"/>
          <w:szCs w:val="20"/>
        </w:rPr>
      </w:pPr>
    </w:p>
    <w:p w14:paraId="7A0500F4" w14:textId="77777777" w:rsidR="00EF4FD8" w:rsidRPr="000A5982" w:rsidRDefault="00EF4FD8" w:rsidP="00EF4FD8">
      <w:pPr>
        <w:jc w:val="center"/>
        <w:rPr>
          <w:rFonts w:ascii="Cambria" w:hAnsi="Cambria"/>
          <w:sz w:val="20"/>
          <w:szCs w:val="20"/>
        </w:rPr>
      </w:pPr>
      <w:r w:rsidRPr="000A5982">
        <w:rPr>
          <w:noProof/>
        </w:rPr>
        <w:drawing>
          <wp:inline distT="0" distB="0" distL="0" distR="0" wp14:anchorId="67FE74A1" wp14:editId="27CD25D2">
            <wp:extent cx="5731510" cy="2360930"/>
            <wp:effectExtent l="0" t="0" r="0" b="1270"/>
            <wp:docPr id="1136336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31510" cy="2360930"/>
                    </a:xfrm>
                    <a:prstGeom prst="rect">
                      <a:avLst/>
                    </a:prstGeom>
                    <a:noFill/>
                    <a:ln>
                      <a:noFill/>
                    </a:ln>
                  </pic:spPr>
                </pic:pic>
              </a:graphicData>
            </a:graphic>
          </wp:inline>
        </w:drawing>
      </w:r>
    </w:p>
    <w:p w14:paraId="2D0278DE" w14:textId="77777777" w:rsidR="00EF4FD8" w:rsidRPr="000A5982" w:rsidRDefault="00EF4FD8" w:rsidP="00EF4FD8">
      <w:pPr>
        <w:jc w:val="both"/>
        <w:rPr>
          <w:rFonts w:ascii="Cambria" w:hAnsi="Cambria"/>
          <w:sz w:val="20"/>
          <w:szCs w:val="20"/>
        </w:rPr>
      </w:pPr>
      <w:r w:rsidRPr="000A5982">
        <w:rPr>
          <w:rFonts w:ascii="Cambria" w:hAnsi="Cambria"/>
          <w:b/>
          <w:sz w:val="20"/>
        </w:rPr>
        <w:t>Figura 19.19.1.</w:t>
      </w:r>
      <w:r w:rsidRPr="000A5982">
        <w:rPr>
          <w:rFonts w:ascii="Cambria" w:hAnsi="Cambria"/>
          <w:sz w:val="20"/>
        </w:rPr>
        <w:t xml:space="preserve"> Valores observados del índice combinado (líneas negras) con respecto a los valores simulados proyectados para el periodo comprendido entre 2023 y 2028.</w:t>
      </w:r>
    </w:p>
    <w:p w14:paraId="52E3A999" w14:textId="77777777" w:rsidR="00EF4FD8" w:rsidRPr="000A5982" w:rsidRDefault="00EF4FD8" w:rsidP="00EF4FD8">
      <w:pPr>
        <w:jc w:val="both"/>
        <w:rPr>
          <w:rFonts w:ascii="Cambria" w:hAnsi="Cambria"/>
          <w:sz w:val="20"/>
          <w:szCs w:val="20"/>
        </w:rPr>
      </w:pPr>
    </w:p>
    <w:tbl>
      <w:tblPr>
        <w:tblStyle w:val="TableGrid"/>
        <w:tblW w:w="0" w:type="auto"/>
        <w:tblInd w:w="0" w:type="dxa"/>
        <w:tblLook w:val="04A0" w:firstRow="1" w:lastRow="0" w:firstColumn="1" w:lastColumn="0" w:noHBand="0" w:noVBand="1"/>
      </w:tblPr>
      <w:tblGrid>
        <w:gridCol w:w="1705"/>
        <w:gridCol w:w="5490"/>
        <w:gridCol w:w="1821"/>
      </w:tblGrid>
      <w:tr w:rsidR="00EF4FD8" w:rsidRPr="0099704B" w14:paraId="08162919" w14:textId="77777777" w:rsidTr="007C17C6">
        <w:tc>
          <w:tcPr>
            <w:tcW w:w="1705" w:type="dxa"/>
            <w:vMerge w:val="restart"/>
            <w:tcBorders>
              <w:top w:val="single" w:sz="4" w:space="0" w:color="auto"/>
              <w:left w:val="single" w:sz="4" w:space="0" w:color="auto"/>
              <w:bottom w:val="single" w:sz="4" w:space="0" w:color="auto"/>
              <w:right w:val="single" w:sz="4" w:space="0" w:color="auto"/>
            </w:tcBorders>
            <w:vAlign w:val="center"/>
            <w:hideMark/>
          </w:tcPr>
          <w:p w14:paraId="02EE4155" w14:textId="77777777" w:rsidR="00EF4FD8" w:rsidRPr="000A5982" w:rsidRDefault="00EF4FD8" w:rsidP="007C17C6">
            <w:pPr>
              <w:jc w:val="center"/>
              <w:rPr>
                <w:rFonts w:ascii="Cambria" w:hAnsi="Cambria"/>
                <w:sz w:val="20"/>
                <w:szCs w:val="20"/>
              </w:rPr>
            </w:pPr>
            <w:r w:rsidRPr="000A5982">
              <w:rPr>
                <w:rFonts w:ascii="Cambria" w:hAnsi="Cambria"/>
                <w:b/>
                <w:sz w:val="20"/>
              </w:rPr>
              <w:t xml:space="preserve">Indicador: </w:t>
            </w:r>
            <w:r w:rsidRPr="000A5982">
              <w:rPr>
                <w:rFonts w:ascii="Cambria" w:hAnsi="Cambria"/>
                <w:sz w:val="20"/>
              </w:rPr>
              <w:t xml:space="preserve">Abundancia, </w:t>
            </w:r>
          </w:p>
          <w:p w14:paraId="094CF8D4" w14:textId="77777777" w:rsidR="00EF4FD8" w:rsidRPr="000A5982" w:rsidRDefault="00EF4FD8" w:rsidP="007C17C6">
            <w:pPr>
              <w:jc w:val="center"/>
              <w:rPr>
                <w:rFonts w:ascii="Cambria" w:hAnsi="Cambria"/>
                <w:sz w:val="20"/>
                <w:szCs w:val="20"/>
              </w:rPr>
            </w:pPr>
            <w:r w:rsidRPr="000A5982">
              <w:rPr>
                <w:rFonts w:ascii="Cambria" w:hAnsi="Cambria"/>
                <w:sz w:val="20"/>
              </w:rPr>
              <w:t xml:space="preserve">ciclo vital </w:t>
            </w:r>
          </w:p>
          <w:p w14:paraId="68F2912A" w14:textId="77777777" w:rsidR="00EF4FD8" w:rsidRPr="000A5982" w:rsidRDefault="00EF4FD8" w:rsidP="007C17C6">
            <w:pPr>
              <w:jc w:val="center"/>
              <w:rPr>
                <w:rFonts w:ascii="Cambria" w:hAnsi="Cambria"/>
                <w:sz w:val="20"/>
                <w:szCs w:val="20"/>
              </w:rPr>
            </w:pPr>
            <w:r w:rsidRPr="000A5982">
              <w:rPr>
                <w:rFonts w:ascii="Cambria" w:hAnsi="Cambria"/>
                <w:sz w:val="20"/>
              </w:rPr>
              <w:t xml:space="preserve">y dinámica de la pesquería </w:t>
            </w:r>
          </w:p>
          <w:p w14:paraId="3CB7F947" w14:textId="77777777" w:rsidR="00EF4FD8" w:rsidRPr="000A5982" w:rsidRDefault="00EF4FD8" w:rsidP="007C17C6">
            <w:pPr>
              <w:jc w:val="center"/>
              <w:rPr>
                <w:rFonts w:ascii="Cambria" w:hAnsi="Cambria"/>
                <w:b/>
                <w:bCs/>
                <w:sz w:val="20"/>
                <w:szCs w:val="20"/>
              </w:rPr>
            </w:pPr>
            <w:r w:rsidRPr="000A5982">
              <w:rPr>
                <w:rFonts w:ascii="Cambria" w:hAnsi="Cambria"/>
                <w:b/>
                <w:sz w:val="20"/>
              </w:rPr>
              <w:t xml:space="preserve">  </w:t>
            </w:r>
          </w:p>
        </w:tc>
        <w:tc>
          <w:tcPr>
            <w:tcW w:w="5490" w:type="dxa"/>
            <w:tcBorders>
              <w:top w:val="single" w:sz="4" w:space="0" w:color="auto"/>
              <w:left w:val="single" w:sz="4" w:space="0" w:color="auto"/>
              <w:bottom w:val="single" w:sz="4" w:space="0" w:color="auto"/>
              <w:right w:val="single" w:sz="4" w:space="0" w:color="auto"/>
            </w:tcBorders>
            <w:hideMark/>
          </w:tcPr>
          <w:p w14:paraId="78E2DB1A" w14:textId="77777777" w:rsidR="00EF4FD8" w:rsidRPr="000A5982" w:rsidRDefault="00EF4FD8" w:rsidP="007C17C6">
            <w:pPr>
              <w:jc w:val="both"/>
              <w:rPr>
                <w:rFonts w:ascii="Cambria" w:hAnsi="Cambria"/>
                <w:sz w:val="20"/>
                <w:szCs w:val="20"/>
              </w:rPr>
            </w:pPr>
            <w:r w:rsidRPr="000A5982">
              <w:rPr>
                <w:rFonts w:ascii="Cambria" w:hAnsi="Cambria"/>
                <w:b/>
                <w:sz w:val="20"/>
              </w:rPr>
              <w:t>Criterio:</w:t>
            </w:r>
            <w:r w:rsidRPr="000A5982">
              <w:rPr>
                <w:rFonts w:ascii="Cambria" w:hAnsi="Cambria"/>
                <w:sz w:val="20"/>
              </w:rPr>
              <w:t xml:space="preserve"> Cuando existan pruebas de que el stock y/o la dinámica de la pesquería se encuentran en estados que no se consideraban plausibles previamente o que ya no se consideran plausibles en el contexto de la MSE; o cuando existan pruebas de que los estados del stock o la dinámica de la pesquería incluidos en los OM para las pruebas MSE ya no se consideran plausibles.</w:t>
            </w:r>
          </w:p>
        </w:tc>
        <w:tc>
          <w:tcPr>
            <w:tcW w:w="1821" w:type="dxa"/>
            <w:vMerge w:val="restart"/>
            <w:tcBorders>
              <w:top w:val="single" w:sz="4" w:space="0" w:color="auto"/>
              <w:left w:val="single" w:sz="4" w:space="0" w:color="auto"/>
              <w:bottom w:val="single" w:sz="4" w:space="0" w:color="auto"/>
              <w:right w:val="single" w:sz="4" w:space="0" w:color="auto"/>
            </w:tcBorders>
            <w:vAlign w:val="center"/>
            <w:hideMark/>
          </w:tcPr>
          <w:p w14:paraId="31FC6B22" w14:textId="77777777" w:rsidR="00EF4FD8" w:rsidRPr="000A5982" w:rsidRDefault="00EF4FD8" w:rsidP="007C17C6">
            <w:pPr>
              <w:jc w:val="center"/>
              <w:rPr>
                <w:rFonts w:ascii="Cambria" w:hAnsi="Cambria"/>
                <w:b/>
                <w:bCs/>
                <w:sz w:val="20"/>
                <w:szCs w:val="20"/>
              </w:rPr>
            </w:pPr>
            <w:r w:rsidRPr="000A5982">
              <w:rPr>
                <w:rFonts w:ascii="Cambria" w:hAnsi="Cambria"/>
                <w:b/>
                <w:sz w:val="20"/>
              </w:rPr>
              <w:t>¿Circunstancias excepcionales?</w:t>
            </w:r>
          </w:p>
          <w:p w14:paraId="3BA6C667" w14:textId="77777777" w:rsidR="00EF4FD8" w:rsidRPr="000A5982" w:rsidRDefault="00EF4FD8" w:rsidP="007C17C6">
            <w:pPr>
              <w:jc w:val="center"/>
              <w:rPr>
                <w:rFonts w:ascii="Cambria" w:hAnsi="Cambria"/>
                <w:sz w:val="20"/>
                <w:szCs w:val="20"/>
              </w:rPr>
            </w:pPr>
            <w:r w:rsidRPr="000A5982">
              <w:rPr>
                <w:rFonts w:ascii="Cambria" w:hAnsi="Cambria"/>
                <w:sz w:val="20"/>
              </w:rPr>
              <w:t>NO</w:t>
            </w:r>
          </w:p>
        </w:tc>
      </w:tr>
      <w:tr w:rsidR="00EF4FD8" w:rsidRPr="0099704B" w14:paraId="7F33F8D6" w14:textId="77777777" w:rsidTr="007C17C6">
        <w:trPr>
          <w:trHeight w:val="4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336917" w14:textId="77777777" w:rsidR="00EF4FD8" w:rsidRPr="000A5982" w:rsidRDefault="00EF4FD8" w:rsidP="007C17C6">
            <w:pPr>
              <w:rPr>
                <w:rFonts w:ascii="Cambria" w:hAnsi="Cambria"/>
                <w:b/>
                <w:bCs/>
                <w:sz w:val="20"/>
                <w:szCs w:val="20"/>
                <w:lang w:val="en-US"/>
              </w:rPr>
            </w:pPr>
          </w:p>
        </w:tc>
        <w:tc>
          <w:tcPr>
            <w:tcW w:w="5490" w:type="dxa"/>
            <w:tcBorders>
              <w:top w:val="single" w:sz="4" w:space="0" w:color="auto"/>
              <w:left w:val="single" w:sz="4" w:space="0" w:color="auto"/>
              <w:bottom w:val="single" w:sz="4" w:space="0" w:color="auto"/>
              <w:right w:val="single" w:sz="4" w:space="0" w:color="auto"/>
            </w:tcBorders>
            <w:hideMark/>
          </w:tcPr>
          <w:p w14:paraId="30537C5C" w14:textId="77777777" w:rsidR="00EF4FD8" w:rsidRPr="000A5982" w:rsidRDefault="00EF4FD8" w:rsidP="007C17C6">
            <w:pPr>
              <w:jc w:val="both"/>
              <w:rPr>
                <w:rFonts w:ascii="Cambria" w:hAnsi="Cambria"/>
                <w:sz w:val="20"/>
                <w:szCs w:val="20"/>
              </w:rPr>
            </w:pPr>
            <w:r w:rsidRPr="000A5982">
              <w:rPr>
                <w:rFonts w:ascii="Cambria" w:hAnsi="Cambria"/>
                <w:b/>
                <w:sz w:val="20"/>
              </w:rPr>
              <w:t>Resultado:</w:t>
            </w:r>
            <w:r w:rsidRPr="000A5982">
              <w:rPr>
                <w:rFonts w:ascii="Cambria" w:hAnsi="Cambria"/>
                <w:sz w:val="20"/>
              </w:rPr>
              <w:t xml:space="preserve"> No se han presentado ante el Comité pruebas que indiquen la existencia de circunstancias excepcionales en relación con este indicador. No obstante, el Comité señala que el uso cada vez más extendido del arte de trampillas requerirá un análisis más detallado para determinar si el índice combinado de abundancia y el MP son robustos frente a las incertidumbres relacionadas con el uso de este arte de pesca.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D6A992" w14:textId="77777777" w:rsidR="00EF4FD8" w:rsidRPr="000A5982" w:rsidRDefault="00EF4FD8" w:rsidP="007C17C6">
            <w:pPr>
              <w:rPr>
                <w:rFonts w:ascii="Cambria" w:hAnsi="Cambria"/>
                <w:b/>
                <w:bCs/>
                <w:sz w:val="20"/>
                <w:szCs w:val="20"/>
              </w:rPr>
            </w:pPr>
          </w:p>
        </w:tc>
      </w:tr>
    </w:tbl>
    <w:p w14:paraId="07DE2FCB" w14:textId="77777777" w:rsidR="00EF4FD8" w:rsidRPr="000A5982" w:rsidRDefault="00EF4FD8" w:rsidP="00EF4FD8">
      <w:pPr>
        <w:jc w:val="both"/>
        <w:rPr>
          <w:rFonts w:ascii="Cambria" w:hAnsi="Cambria"/>
          <w:sz w:val="20"/>
          <w:szCs w:val="20"/>
        </w:rPr>
      </w:pPr>
    </w:p>
    <w:p w14:paraId="71DC3092" w14:textId="77777777" w:rsidR="00EF4FD8" w:rsidRPr="000A5982" w:rsidRDefault="00EF4FD8" w:rsidP="00EF4FD8">
      <w:pPr>
        <w:jc w:val="both"/>
        <w:rPr>
          <w:rFonts w:ascii="Cambria" w:hAnsi="Cambria"/>
          <w:sz w:val="20"/>
          <w:szCs w:val="20"/>
        </w:rPr>
      </w:pPr>
      <w:r w:rsidRPr="000A5982">
        <w:rPr>
          <w:rFonts w:ascii="Cambria" w:hAnsi="Cambria"/>
          <w:b/>
          <w:sz w:val="20"/>
        </w:rPr>
        <w:t>Principio:</w:t>
      </w:r>
      <w:r w:rsidRPr="000A5982">
        <w:rPr>
          <w:rFonts w:ascii="Cambria" w:hAnsi="Cambria"/>
          <w:sz w:val="20"/>
        </w:rPr>
        <w:t xml:space="preserve"> Disponibilidad de datos para el MP.  </w:t>
      </w:r>
    </w:p>
    <w:p w14:paraId="2740493A" w14:textId="77777777" w:rsidR="00EF4FD8" w:rsidRPr="000A5982" w:rsidRDefault="00EF4FD8" w:rsidP="00EF4FD8">
      <w:pPr>
        <w:jc w:val="both"/>
        <w:rPr>
          <w:rFonts w:ascii="Cambria" w:hAnsi="Cambria"/>
          <w:sz w:val="20"/>
          <w:szCs w:val="20"/>
        </w:rPr>
      </w:pPr>
    </w:p>
    <w:tbl>
      <w:tblPr>
        <w:tblStyle w:val="TableGrid"/>
        <w:tblW w:w="0" w:type="auto"/>
        <w:tblInd w:w="0" w:type="dxa"/>
        <w:tblLook w:val="04A0" w:firstRow="1" w:lastRow="0" w:firstColumn="1" w:lastColumn="0" w:noHBand="0" w:noVBand="1"/>
      </w:tblPr>
      <w:tblGrid>
        <w:gridCol w:w="1705"/>
        <w:gridCol w:w="5490"/>
        <w:gridCol w:w="1821"/>
      </w:tblGrid>
      <w:tr w:rsidR="00EF4FD8" w:rsidRPr="0099704B" w14:paraId="22F6BC6A" w14:textId="77777777" w:rsidTr="007C17C6">
        <w:tc>
          <w:tcPr>
            <w:tcW w:w="1705" w:type="dxa"/>
            <w:vMerge w:val="restart"/>
            <w:tcBorders>
              <w:top w:val="single" w:sz="4" w:space="0" w:color="auto"/>
              <w:left w:val="single" w:sz="4" w:space="0" w:color="auto"/>
              <w:bottom w:val="single" w:sz="4" w:space="0" w:color="auto"/>
              <w:right w:val="single" w:sz="4" w:space="0" w:color="auto"/>
            </w:tcBorders>
            <w:vAlign w:val="center"/>
            <w:hideMark/>
          </w:tcPr>
          <w:p w14:paraId="6845F708" w14:textId="77777777" w:rsidR="00EF4FD8" w:rsidRPr="000A5982" w:rsidRDefault="00EF4FD8" w:rsidP="007C17C6">
            <w:pPr>
              <w:jc w:val="center"/>
              <w:rPr>
                <w:rFonts w:ascii="Cambria" w:hAnsi="Cambria"/>
                <w:b/>
                <w:bCs/>
                <w:sz w:val="20"/>
                <w:szCs w:val="20"/>
              </w:rPr>
            </w:pPr>
            <w:r w:rsidRPr="000A5982">
              <w:rPr>
                <w:rFonts w:ascii="Cambria" w:hAnsi="Cambria"/>
                <w:b/>
                <w:sz w:val="20"/>
              </w:rPr>
              <w:t xml:space="preserve">Indicador: </w:t>
            </w:r>
            <w:r w:rsidRPr="000A5982">
              <w:rPr>
                <w:rFonts w:ascii="Cambria" w:hAnsi="Cambria"/>
                <w:sz w:val="20"/>
              </w:rPr>
              <w:t>Índices</w:t>
            </w:r>
          </w:p>
        </w:tc>
        <w:tc>
          <w:tcPr>
            <w:tcW w:w="5490" w:type="dxa"/>
            <w:tcBorders>
              <w:top w:val="single" w:sz="4" w:space="0" w:color="auto"/>
              <w:left w:val="single" w:sz="4" w:space="0" w:color="auto"/>
              <w:bottom w:val="single" w:sz="4" w:space="0" w:color="auto"/>
              <w:right w:val="single" w:sz="4" w:space="0" w:color="auto"/>
            </w:tcBorders>
            <w:hideMark/>
          </w:tcPr>
          <w:p w14:paraId="5F22DA40" w14:textId="77777777" w:rsidR="00EF4FD8" w:rsidRPr="000A5982" w:rsidRDefault="00EF4FD8" w:rsidP="007C17C6">
            <w:pPr>
              <w:jc w:val="both"/>
              <w:rPr>
                <w:rFonts w:ascii="Cambria" w:hAnsi="Cambria"/>
                <w:sz w:val="20"/>
                <w:szCs w:val="20"/>
              </w:rPr>
            </w:pPr>
            <w:r w:rsidRPr="000A5982">
              <w:rPr>
                <w:rFonts w:ascii="Cambria" w:hAnsi="Cambria"/>
                <w:b/>
                <w:sz w:val="20"/>
              </w:rPr>
              <w:t>Criterio:</w:t>
            </w:r>
            <w:r w:rsidRPr="000A5982">
              <w:rPr>
                <w:rFonts w:ascii="Cambria" w:hAnsi="Cambria"/>
                <w:sz w:val="20"/>
              </w:rPr>
              <w:t xml:space="preserve"> Si faltan datos de dos o más flotas influyentes que aportan datos al índice combinado.</w:t>
            </w:r>
          </w:p>
        </w:tc>
        <w:tc>
          <w:tcPr>
            <w:tcW w:w="1821" w:type="dxa"/>
            <w:vMerge w:val="restart"/>
            <w:tcBorders>
              <w:top w:val="single" w:sz="4" w:space="0" w:color="auto"/>
              <w:left w:val="single" w:sz="4" w:space="0" w:color="auto"/>
              <w:bottom w:val="single" w:sz="4" w:space="0" w:color="auto"/>
              <w:right w:val="single" w:sz="4" w:space="0" w:color="auto"/>
            </w:tcBorders>
            <w:vAlign w:val="center"/>
            <w:hideMark/>
          </w:tcPr>
          <w:p w14:paraId="571BBC1D" w14:textId="77777777" w:rsidR="00EF4FD8" w:rsidRPr="000A5982" w:rsidRDefault="00EF4FD8" w:rsidP="007C17C6">
            <w:pPr>
              <w:jc w:val="center"/>
              <w:rPr>
                <w:rFonts w:ascii="Cambria" w:hAnsi="Cambria"/>
                <w:b/>
                <w:bCs/>
                <w:sz w:val="20"/>
                <w:szCs w:val="20"/>
              </w:rPr>
            </w:pPr>
            <w:r w:rsidRPr="000A5982">
              <w:rPr>
                <w:rFonts w:ascii="Cambria" w:hAnsi="Cambria"/>
                <w:b/>
                <w:sz w:val="20"/>
              </w:rPr>
              <w:t>¿Circunstancias excepcionales?</w:t>
            </w:r>
          </w:p>
          <w:p w14:paraId="5E0C8FD5" w14:textId="77777777" w:rsidR="00EF4FD8" w:rsidRPr="000A5982" w:rsidRDefault="00EF4FD8" w:rsidP="007C17C6">
            <w:pPr>
              <w:jc w:val="center"/>
              <w:rPr>
                <w:rFonts w:ascii="Cambria" w:hAnsi="Cambria"/>
                <w:sz w:val="20"/>
                <w:szCs w:val="20"/>
              </w:rPr>
            </w:pPr>
            <w:r w:rsidRPr="000A5982">
              <w:rPr>
                <w:rFonts w:ascii="Cambria" w:hAnsi="Cambria"/>
                <w:sz w:val="20"/>
              </w:rPr>
              <w:t>NO</w:t>
            </w:r>
          </w:p>
        </w:tc>
      </w:tr>
      <w:tr w:rsidR="00EF4FD8" w:rsidRPr="0099704B" w14:paraId="461138F3" w14:textId="77777777" w:rsidTr="007C17C6">
        <w:trPr>
          <w:trHeight w:val="4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A706C5" w14:textId="77777777" w:rsidR="00EF4FD8" w:rsidRPr="000A5982" w:rsidRDefault="00EF4FD8" w:rsidP="007C17C6">
            <w:pPr>
              <w:jc w:val="both"/>
              <w:rPr>
                <w:rFonts w:ascii="Cambria" w:hAnsi="Cambria"/>
                <w:b/>
                <w:bCs/>
                <w:sz w:val="20"/>
                <w:szCs w:val="20"/>
                <w:lang w:val="en-US"/>
              </w:rPr>
            </w:pPr>
          </w:p>
        </w:tc>
        <w:tc>
          <w:tcPr>
            <w:tcW w:w="5490" w:type="dxa"/>
            <w:tcBorders>
              <w:top w:val="single" w:sz="4" w:space="0" w:color="auto"/>
              <w:left w:val="single" w:sz="4" w:space="0" w:color="auto"/>
              <w:bottom w:val="single" w:sz="4" w:space="0" w:color="auto"/>
              <w:right w:val="single" w:sz="4" w:space="0" w:color="auto"/>
            </w:tcBorders>
            <w:hideMark/>
          </w:tcPr>
          <w:p w14:paraId="18BBB2B9" w14:textId="77777777" w:rsidR="00EF4FD8" w:rsidRPr="000A5982" w:rsidRDefault="00EF4FD8" w:rsidP="007C17C6">
            <w:pPr>
              <w:jc w:val="both"/>
              <w:rPr>
                <w:rFonts w:ascii="Cambria" w:hAnsi="Cambria"/>
                <w:sz w:val="20"/>
                <w:szCs w:val="20"/>
              </w:rPr>
            </w:pPr>
            <w:r w:rsidRPr="000A5982">
              <w:rPr>
                <w:rFonts w:ascii="Cambria" w:hAnsi="Cambria"/>
                <w:b/>
                <w:sz w:val="20"/>
              </w:rPr>
              <w:t>Resultado:</w:t>
            </w:r>
            <w:r w:rsidRPr="000A5982">
              <w:rPr>
                <w:rFonts w:ascii="Cambria" w:hAnsi="Cambria"/>
                <w:sz w:val="20"/>
              </w:rPr>
              <w:t xml:space="preserve"> Se disponía de todos los datos necesarios para actualizar el índice de abundancia combinado.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C4201F" w14:textId="77777777" w:rsidR="00EF4FD8" w:rsidRPr="000A5982" w:rsidRDefault="00EF4FD8" w:rsidP="007C17C6">
            <w:pPr>
              <w:jc w:val="both"/>
              <w:rPr>
                <w:rFonts w:ascii="Cambria" w:hAnsi="Cambria"/>
                <w:sz w:val="20"/>
                <w:szCs w:val="20"/>
              </w:rPr>
            </w:pPr>
          </w:p>
        </w:tc>
      </w:tr>
    </w:tbl>
    <w:p w14:paraId="1DC2AD81" w14:textId="77777777" w:rsidR="00EF4FD8" w:rsidRPr="000A5982" w:rsidRDefault="00EF4FD8" w:rsidP="00EF4FD8">
      <w:pPr>
        <w:jc w:val="both"/>
        <w:rPr>
          <w:rFonts w:ascii="Cambria" w:hAnsi="Cambria"/>
          <w:sz w:val="20"/>
          <w:szCs w:val="20"/>
        </w:rPr>
      </w:pPr>
    </w:p>
    <w:p w14:paraId="5086DE91" w14:textId="77777777" w:rsidR="00EF4FD8" w:rsidRPr="000A5982" w:rsidRDefault="00EF4FD8" w:rsidP="00EF4FD8">
      <w:pPr>
        <w:jc w:val="both"/>
        <w:rPr>
          <w:rFonts w:ascii="Cambria" w:hAnsi="Cambria"/>
          <w:sz w:val="20"/>
          <w:szCs w:val="20"/>
        </w:rPr>
      </w:pPr>
      <w:r w:rsidRPr="000A5982">
        <w:rPr>
          <w:rFonts w:ascii="Cambria" w:hAnsi="Cambria"/>
          <w:b/>
          <w:sz w:val="20"/>
        </w:rPr>
        <w:t>Principio:</w:t>
      </w:r>
      <w:r w:rsidRPr="000A5982">
        <w:rPr>
          <w:rFonts w:ascii="Cambria" w:hAnsi="Cambria"/>
          <w:sz w:val="20"/>
        </w:rPr>
        <w:t xml:space="preserve"> Implementación del TAC.  </w:t>
      </w:r>
    </w:p>
    <w:p w14:paraId="61153D10" w14:textId="77777777" w:rsidR="00EF4FD8" w:rsidRPr="000A5982" w:rsidRDefault="00EF4FD8" w:rsidP="00EF4FD8">
      <w:pPr>
        <w:jc w:val="both"/>
        <w:rPr>
          <w:rFonts w:ascii="Cambria" w:hAnsi="Cambria"/>
          <w:sz w:val="20"/>
          <w:szCs w:val="20"/>
          <w:lang w:val="en-US"/>
        </w:rPr>
      </w:pPr>
    </w:p>
    <w:tbl>
      <w:tblPr>
        <w:tblStyle w:val="TableGrid"/>
        <w:tblW w:w="0" w:type="auto"/>
        <w:tblInd w:w="0" w:type="dxa"/>
        <w:tblLook w:val="04A0" w:firstRow="1" w:lastRow="0" w:firstColumn="1" w:lastColumn="0" w:noHBand="0" w:noVBand="1"/>
      </w:tblPr>
      <w:tblGrid>
        <w:gridCol w:w="1705"/>
        <w:gridCol w:w="5490"/>
        <w:gridCol w:w="1821"/>
      </w:tblGrid>
      <w:tr w:rsidR="00EF4FD8" w:rsidRPr="0099704B" w14:paraId="55C68463" w14:textId="77777777" w:rsidTr="007C17C6">
        <w:tc>
          <w:tcPr>
            <w:tcW w:w="1705" w:type="dxa"/>
            <w:vMerge w:val="restart"/>
            <w:tcBorders>
              <w:top w:val="single" w:sz="4" w:space="0" w:color="auto"/>
              <w:left w:val="single" w:sz="4" w:space="0" w:color="auto"/>
              <w:bottom w:val="single" w:sz="4" w:space="0" w:color="auto"/>
              <w:right w:val="single" w:sz="4" w:space="0" w:color="auto"/>
            </w:tcBorders>
            <w:vAlign w:val="center"/>
            <w:hideMark/>
          </w:tcPr>
          <w:p w14:paraId="06D4673B" w14:textId="77777777" w:rsidR="00EF4FD8" w:rsidRPr="000A5982" w:rsidRDefault="00EF4FD8" w:rsidP="007C17C6">
            <w:pPr>
              <w:jc w:val="center"/>
              <w:rPr>
                <w:rFonts w:ascii="Cambria" w:hAnsi="Cambria"/>
                <w:b/>
                <w:bCs/>
                <w:sz w:val="20"/>
                <w:szCs w:val="20"/>
              </w:rPr>
            </w:pPr>
            <w:r w:rsidRPr="000A5982">
              <w:rPr>
                <w:rFonts w:ascii="Cambria" w:hAnsi="Cambria"/>
                <w:b/>
                <w:sz w:val="20"/>
              </w:rPr>
              <w:t>Indicador:</w:t>
            </w:r>
          </w:p>
          <w:p w14:paraId="1D8902CD" w14:textId="77777777" w:rsidR="00EF4FD8" w:rsidRPr="000A5982" w:rsidRDefault="00EF4FD8" w:rsidP="007C17C6">
            <w:pPr>
              <w:jc w:val="center"/>
              <w:rPr>
                <w:rFonts w:ascii="Cambria" w:hAnsi="Cambria"/>
                <w:b/>
                <w:bCs/>
                <w:sz w:val="20"/>
                <w:szCs w:val="20"/>
              </w:rPr>
            </w:pPr>
            <w:r w:rsidRPr="000A5982">
              <w:rPr>
                <w:rFonts w:ascii="Cambria" w:hAnsi="Cambria"/>
                <w:sz w:val="20"/>
              </w:rPr>
              <w:t>Captura</w:t>
            </w:r>
          </w:p>
        </w:tc>
        <w:tc>
          <w:tcPr>
            <w:tcW w:w="5490" w:type="dxa"/>
            <w:tcBorders>
              <w:top w:val="single" w:sz="4" w:space="0" w:color="auto"/>
              <w:left w:val="single" w:sz="4" w:space="0" w:color="auto"/>
              <w:bottom w:val="single" w:sz="4" w:space="0" w:color="auto"/>
              <w:right w:val="single" w:sz="4" w:space="0" w:color="auto"/>
            </w:tcBorders>
            <w:hideMark/>
          </w:tcPr>
          <w:p w14:paraId="2C3D2713" w14:textId="77777777" w:rsidR="00EF4FD8" w:rsidRPr="000A5982" w:rsidRDefault="00EF4FD8" w:rsidP="007C17C6">
            <w:pPr>
              <w:jc w:val="both"/>
              <w:rPr>
                <w:rFonts w:ascii="Cambria" w:hAnsi="Cambria"/>
                <w:sz w:val="20"/>
                <w:szCs w:val="20"/>
              </w:rPr>
            </w:pPr>
            <w:r w:rsidRPr="000A5982">
              <w:rPr>
                <w:rFonts w:ascii="Cambria" w:hAnsi="Cambria"/>
                <w:b/>
                <w:sz w:val="20"/>
              </w:rPr>
              <w:t>Criterio:</w:t>
            </w:r>
            <w:r w:rsidRPr="000A5982">
              <w:rPr>
                <w:rFonts w:ascii="Cambria" w:hAnsi="Cambria"/>
                <w:sz w:val="20"/>
              </w:rPr>
              <w:t xml:space="preserve"> Si el total de capturas supera en un 20 % o más el TAC fijado mediante el MP.</w:t>
            </w:r>
          </w:p>
        </w:tc>
        <w:tc>
          <w:tcPr>
            <w:tcW w:w="1821" w:type="dxa"/>
            <w:vMerge w:val="restart"/>
            <w:tcBorders>
              <w:top w:val="single" w:sz="4" w:space="0" w:color="auto"/>
              <w:left w:val="single" w:sz="4" w:space="0" w:color="auto"/>
              <w:bottom w:val="single" w:sz="4" w:space="0" w:color="auto"/>
              <w:right w:val="single" w:sz="4" w:space="0" w:color="auto"/>
            </w:tcBorders>
            <w:vAlign w:val="center"/>
            <w:hideMark/>
          </w:tcPr>
          <w:p w14:paraId="4110CB02" w14:textId="77777777" w:rsidR="00EF4FD8" w:rsidRPr="000A5982" w:rsidRDefault="00EF4FD8" w:rsidP="007C17C6">
            <w:pPr>
              <w:jc w:val="center"/>
              <w:rPr>
                <w:rFonts w:ascii="Cambria" w:hAnsi="Cambria"/>
                <w:b/>
                <w:bCs/>
                <w:sz w:val="20"/>
                <w:szCs w:val="20"/>
              </w:rPr>
            </w:pPr>
            <w:r w:rsidRPr="000A5982">
              <w:rPr>
                <w:rFonts w:ascii="Cambria" w:hAnsi="Cambria"/>
                <w:b/>
                <w:sz w:val="20"/>
              </w:rPr>
              <w:t>¿Circunstancias excepcionales?</w:t>
            </w:r>
          </w:p>
          <w:p w14:paraId="3C48F407" w14:textId="77777777" w:rsidR="00EF4FD8" w:rsidRPr="000A5982" w:rsidRDefault="00EF4FD8" w:rsidP="007C17C6">
            <w:pPr>
              <w:jc w:val="center"/>
              <w:rPr>
                <w:rFonts w:ascii="Cambria" w:hAnsi="Cambria"/>
                <w:sz w:val="20"/>
                <w:szCs w:val="20"/>
              </w:rPr>
            </w:pPr>
            <w:r w:rsidRPr="000A5982">
              <w:rPr>
                <w:rFonts w:ascii="Cambria" w:hAnsi="Cambria"/>
                <w:sz w:val="20"/>
              </w:rPr>
              <w:t>NO</w:t>
            </w:r>
          </w:p>
        </w:tc>
      </w:tr>
      <w:tr w:rsidR="00EF4FD8" w:rsidRPr="0099704B" w14:paraId="24156930" w14:textId="77777777" w:rsidTr="007C17C6">
        <w:trPr>
          <w:trHeight w:val="4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D1AD9F" w14:textId="77777777" w:rsidR="00EF4FD8" w:rsidRPr="000A5982" w:rsidRDefault="00EF4FD8" w:rsidP="007C17C6">
            <w:pPr>
              <w:jc w:val="both"/>
              <w:rPr>
                <w:rFonts w:ascii="Cambria" w:hAnsi="Cambria"/>
                <w:b/>
                <w:bCs/>
                <w:sz w:val="20"/>
                <w:szCs w:val="20"/>
                <w:lang w:val="en-US"/>
              </w:rPr>
            </w:pPr>
          </w:p>
        </w:tc>
        <w:tc>
          <w:tcPr>
            <w:tcW w:w="5490" w:type="dxa"/>
            <w:tcBorders>
              <w:top w:val="single" w:sz="4" w:space="0" w:color="auto"/>
              <w:left w:val="single" w:sz="4" w:space="0" w:color="auto"/>
              <w:bottom w:val="single" w:sz="4" w:space="0" w:color="auto"/>
              <w:right w:val="single" w:sz="4" w:space="0" w:color="auto"/>
            </w:tcBorders>
            <w:hideMark/>
          </w:tcPr>
          <w:p w14:paraId="75FE7690" w14:textId="77777777" w:rsidR="00EF4FD8" w:rsidRPr="000A5982" w:rsidRDefault="00EF4FD8" w:rsidP="007C17C6">
            <w:pPr>
              <w:jc w:val="both"/>
              <w:rPr>
                <w:rFonts w:ascii="Cambria" w:hAnsi="Cambria"/>
                <w:sz w:val="20"/>
                <w:szCs w:val="20"/>
              </w:rPr>
            </w:pPr>
            <w:r w:rsidRPr="000A5982">
              <w:rPr>
                <w:rFonts w:ascii="Cambria" w:hAnsi="Cambria"/>
                <w:b/>
                <w:sz w:val="20"/>
              </w:rPr>
              <w:t>Resultado:</w:t>
            </w:r>
            <w:r w:rsidRPr="000A5982">
              <w:rPr>
                <w:rFonts w:ascii="Cambria" w:hAnsi="Cambria"/>
                <w:sz w:val="20"/>
              </w:rPr>
              <w:t xml:space="preserve"> Las capturas declaradas en 2025 ascendieron a 10.577 t y no superaron el TAC establecido por el MP (14.769 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176F4B" w14:textId="77777777" w:rsidR="00EF4FD8" w:rsidRPr="000A5982" w:rsidRDefault="00EF4FD8" w:rsidP="007C17C6">
            <w:pPr>
              <w:jc w:val="both"/>
              <w:rPr>
                <w:rFonts w:ascii="Cambria" w:hAnsi="Cambria"/>
                <w:sz w:val="20"/>
                <w:szCs w:val="20"/>
              </w:rPr>
            </w:pPr>
          </w:p>
        </w:tc>
      </w:tr>
    </w:tbl>
    <w:p w14:paraId="64712137" w14:textId="77777777" w:rsidR="00EF4FD8" w:rsidRPr="000A5982" w:rsidRDefault="00EF4FD8" w:rsidP="00EF4FD8">
      <w:pPr>
        <w:jc w:val="both"/>
        <w:rPr>
          <w:rFonts w:ascii="Cambria" w:hAnsi="Cambria"/>
          <w:sz w:val="20"/>
          <w:szCs w:val="20"/>
        </w:rPr>
      </w:pPr>
    </w:p>
    <w:p w14:paraId="63141F75" w14:textId="77777777" w:rsidR="00EF4FD8" w:rsidRPr="000A5982" w:rsidRDefault="00EF4FD8" w:rsidP="00EF4FD8">
      <w:pPr>
        <w:jc w:val="both"/>
        <w:rPr>
          <w:rFonts w:ascii="Cambria" w:hAnsi="Cambria"/>
          <w:i/>
          <w:iCs/>
          <w:sz w:val="20"/>
          <w:szCs w:val="20"/>
        </w:rPr>
      </w:pPr>
      <w:r w:rsidRPr="000A5982">
        <w:rPr>
          <w:rFonts w:ascii="Cambria" w:hAnsi="Cambria"/>
          <w:i/>
          <w:sz w:val="20"/>
        </w:rPr>
        <w:t>Debate</w:t>
      </w:r>
    </w:p>
    <w:p w14:paraId="1607BB99" w14:textId="77777777" w:rsidR="00EF4FD8" w:rsidRPr="000A5982" w:rsidRDefault="00EF4FD8" w:rsidP="00EF4FD8">
      <w:pPr>
        <w:jc w:val="both"/>
        <w:rPr>
          <w:rFonts w:ascii="Cambria" w:hAnsi="Cambria"/>
          <w:sz w:val="20"/>
          <w:szCs w:val="20"/>
        </w:rPr>
      </w:pPr>
    </w:p>
    <w:p w14:paraId="41B4AC3B" w14:textId="77777777" w:rsidR="00EF4FD8" w:rsidRPr="000A5982" w:rsidRDefault="00EF4FD8" w:rsidP="00EF4FD8">
      <w:pPr>
        <w:jc w:val="both"/>
        <w:rPr>
          <w:rFonts w:ascii="Cambria" w:hAnsi="Cambria"/>
          <w:sz w:val="20"/>
          <w:szCs w:val="20"/>
        </w:rPr>
      </w:pPr>
      <w:r w:rsidRPr="000A5982">
        <w:rPr>
          <w:rFonts w:ascii="Cambria" w:hAnsi="Cambria"/>
          <w:sz w:val="20"/>
        </w:rPr>
        <w:lastRenderedPageBreak/>
        <w:t>Una vez determinadas las circunstancias excepcionales, el protocolo adoptado requiere que el SCRS evalúe la naturaleza y la gravedad de dichas circunstancias; informe a la Comisión sobre si las circunstancias excepcionales impiden la aplicación del MP; y, en caso de que una circunstancia excepcional concreta impida la aplicación del MP, asesore a la Comisión sobre las acciones que se tienen que emprender.</w:t>
      </w:r>
    </w:p>
    <w:p w14:paraId="4B40307F" w14:textId="77777777" w:rsidR="00EF4FD8" w:rsidRPr="000A5982" w:rsidRDefault="00EF4FD8" w:rsidP="00EF4FD8">
      <w:pPr>
        <w:jc w:val="both"/>
        <w:rPr>
          <w:rFonts w:ascii="Cambria" w:hAnsi="Cambria"/>
          <w:sz w:val="20"/>
          <w:szCs w:val="20"/>
        </w:rPr>
      </w:pPr>
    </w:p>
    <w:p w14:paraId="7891428A" w14:textId="77777777" w:rsidR="00EF4FD8" w:rsidRPr="000A5982" w:rsidRDefault="00EF4FD8" w:rsidP="00EF4FD8">
      <w:pPr>
        <w:tabs>
          <w:tab w:val="center" w:pos="4513"/>
          <w:tab w:val="left" w:pos="6804"/>
        </w:tabs>
        <w:jc w:val="both"/>
        <w:rPr>
          <w:rFonts w:ascii="Cambria" w:hAnsi="Cambria"/>
          <w:sz w:val="20"/>
        </w:rPr>
      </w:pPr>
      <w:r w:rsidRPr="000A5982">
        <w:rPr>
          <w:rFonts w:ascii="Cambria" w:hAnsi="Cambria"/>
          <w:sz w:val="20"/>
        </w:rPr>
        <w:t>Esta determinación concreta de circunstancia excepcional se debe a que los valores de 2023 y 2024</w:t>
      </w:r>
      <w:r w:rsidRPr="0099704B">
        <w:rPr>
          <w:rFonts w:ascii="Cambria" w:hAnsi="Cambria"/>
          <w:sz w:val="20"/>
        </w:rPr>
        <w:t xml:space="preserve"> </w:t>
      </w:r>
      <w:r w:rsidRPr="000A5982">
        <w:rPr>
          <w:rFonts w:ascii="Cambria" w:hAnsi="Cambria"/>
          <w:sz w:val="20"/>
        </w:rPr>
        <w:t xml:space="preserve">del índice de abundancia combinado han superado el límite superior previsto por el marco de simulación. Dicho de otro modo, los valores del índice combinado, que se utilizan para estimar la abundancia del stock, siguen siendo elevados y son superiores a la mayoría de los valores estimados en el análisis de la MSE. El Comité ha elaborado un plan de trabajo para 2027 (véase </w:t>
      </w:r>
      <w:r w:rsidRPr="000A5982">
        <w:rPr>
          <w:rFonts w:ascii="Cambria" w:hAnsi="Cambria"/>
          <w:sz w:val="20"/>
          <w:szCs w:val="20"/>
        </w:rPr>
        <w:t>17.1.9) para evaluar las tendencias de abundancia del stock y dar asesoramiento sobre si seguir aplicando</w:t>
      </w:r>
      <w:r w:rsidRPr="000A5982">
        <w:rPr>
          <w:rFonts w:ascii="Cambria" w:hAnsi="Cambria"/>
          <w:sz w:val="20"/>
        </w:rPr>
        <w:t xml:space="preserve"> el MP. </w:t>
      </w:r>
    </w:p>
    <w:p w14:paraId="77B29021" w14:textId="77777777" w:rsidR="00EF4FD8" w:rsidRPr="000A5982" w:rsidRDefault="00EF4FD8" w:rsidP="00EF4FD8">
      <w:pPr>
        <w:tabs>
          <w:tab w:val="center" w:pos="4513"/>
          <w:tab w:val="left" w:pos="6804"/>
        </w:tabs>
        <w:jc w:val="both"/>
        <w:rPr>
          <w:rFonts w:ascii="Cambria" w:hAnsi="Cambria"/>
          <w:sz w:val="20"/>
        </w:rPr>
      </w:pPr>
    </w:p>
    <w:p w14:paraId="185046B0" w14:textId="77777777" w:rsidR="00EF4FD8" w:rsidRPr="000A5982" w:rsidRDefault="00EF4FD8" w:rsidP="00EF4FD8">
      <w:pPr>
        <w:tabs>
          <w:tab w:val="center" w:pos="4513"/>
          <w:tab w:val="left" w:pos="6804"/>
        </w:tabs>
        <w:jc w:val="both"/>
        <w:rPr>
          <w:rFonts w:ascii="Cambria" w:hAnsi="Cambria"/>
          <w:sz w:val="20"/>
          <w:szCs w:val="20"/>
        </w:rPr>
      </w:pPr>
      <w:r w:rsidRPr="000A5982">
        <w:rPr>
          <w:rFonts w:ascii="Cambria" w:hAnsi="Cambria"/>
          <w:sz w:val="20"/>
          <w:szCs w:val="20"/>
        </w:rPr>
        <w:t>En caso de que en 2027 se detecten de nuevo circunstancias excepcionales en relación con el índice, el ECP establece las siguientes opciones:</w:t>
      </w:r>
    </w:p>
    <w:p w14:paraId="5AB49BC9" w14:textId="77777777" w:rsidR="00EF4FD8" w:rsidRPr="000A5982" w:rsidRDefault="00EF4FD8" w:rsidP="00EF4FD8">
      <w:pPr>
        <w:tabs>
          <w:tab w:val="center" w:pos="4513"/>
          <w:tab w:val="left" w:pos="6804"/>
        </w:tabs>
        <w:jc w:val="both"/>
        <w:rPr>
          <w:rFonts w:ascii="Cambria" w:hAnsi="Cambria"/>
          <w:sz w:val="20"/>
          <w:szCs w:val="20"/>
        </w:rPr>
      </w:pPr>
    </w:p>
    <w:p w14:paraId="5DC963A8" w14:textId="77777777" w:rsidR="00EF4FD8" w:rsidRPr="000A5982" w:rsidRDefault="00EF4FD8" w:rsidP="00EF4FD8">
      <w:pPr>
        <w:pStyle w:val="ListParagraph"/>
        <w:widowControl w:val="0"/>
        <w:numPr>
          <w:ilvl w:val="0"/>
          <w:numId w:val="30"/>
        </w:numPr>
        <w:tabs>
          <w:tab w:val="center" w:pos="4513"/>
          <w:tab w:val="left" w:pos="6804"/>
        </w:tabs>
        <w:jc w:val="both"/>
        <w:rPr>
          <w:rFonts w:ascii="Cambria" w:eastAsia="Times New Roman" w:hAnsi="Cambria"/>
          <w:sz w:val="20"/>
          <w:szCs w:val="20"/>
        </w:rPr>
      </w:pPr>
      <w:r w:rsidRPr="000A5982">
        <w:rPr>
          <w:rFonts w:ascii="Cambria" w:eastAsia="Times New Roman" w:hAnsi="Cambria"/>
          <w:sz w:val="20"/>
          <w:szCs w:val="20"/>
        </w:rPr>
        <w:t>mantener el asesoramiento actual sobre el TAC decidido mediante el MP,</w:t>
      </w:r>
    </w:p>
    <w:p w14:paraId="1201049E" w14:textId="77777777" w:rsidR="00EF4FD8" w:rsidRPr="000A5982" w:rsidRDefault="00EF4FD8" w:rsidP="00EF4FD8">
      <w:pPr>
        <w:pStyle w:val="ListParagraph"/>
        <w:widowControl w:val="0"/>
        <w:numPr>
          <w:ilvl w:val="0"/>
          <w:numId w:val="30"/>
        </w:numPr>
        <w:tabs>
          <w:tab w:val="center" w:pos="4513"/>
          <w:tab w:val="left" w:pos="6804"/>
        </w:tabs>
        <w:jc w:val="both"/>
        <w:rPr>
          <w:rFonts w:ascii="Cambria" w:eastAsia="Times New Roman" w:hAnsi="Cambria"/>
          <w:sz w:val="20"/>
          <w:szCs w:val="20"/>
        </w:rPr>
      </w:pPr>
      <w:r w:rsidRPr="000A5982">
        <w:rPr>
          <w:rFonts w:ascii="Cambria" w:eastAsia="Times New Roman" w:hAnsi="Cambria"/>
          <w:sz w:val="20"/>
          <w:szCs w:val="20"/>
        </w:rPr>
        <w:t>formular asesoramiento con miras a reducir el TAC a la luz de los indicios de merma del stock,</w:t>
      </w:r>
    </w:p>
    <w:p w14:paraId="4C1ADA0B" w14:textId="77777777" w:rsidR="00EF4FD8" w:rsidRPr="000A5982" w:rsidRDefault="00EF4FD8" w:rsidP="00EF4FD8">
      <w:pPr>
        <w:pStyle w:val="ListParagraph"/>
        <w:widowControl w:val="0"/>
        <w:numPr>
          <w:ilvl w:val="0"/>
          <w:numId w:val="30"/>
        </w:numPr>
        <w:tabs>
          <w:tab w:val="center" w:pos="4513"/>
          <w:tab w:val="left" w:pos="6804"/>
        </w:tabs>
        <w:jc w:val="both"/>
        <w:rPr>
          <w:rFonts w:ascii="Cambria" w:eastAsia="Times New Roman" w:hAnsi="Cambria"/>
          <w:sz w:val="20"/>
          <w:szCs w:val="20"/>
        </w:rPr>
      </w:pPr>
      <w:r w:rsidRPr="000A5982">
        <w:rPr>
          <w:rFonts w:ascii="Cambria" w:eastAsia="Times New Roman" w:hAnsi="Cambria"/>
          <w:sz w:val="20"/>
          <w:szCs w:val="20"/>
        </w:rPr>
        <w:t>formular asesoramiento con miras a aumentar el TAC a la luz de los indicios de aumento del stock que no se consideraron plausibles durante las pruebas de la MSE, y</w:t>
      </w:r>
    </w:p>
    <w:p w14:paraId="3D2BBE20" w14:textId="77777777" w:rsidR="00EF4FD8" w:rsidRPr="000A5982" w:rsidRDefault="00EF4FD8" w:rsidP="00EF4FD8">
      <w:pPr>
        <w:pStyle w:val="ListParagraph"/>
        <w:widowControl w:val="0"/>
        <w:numPr>
          <w:ilvl w:val="0"/>
          <w:numId w:val="30"/>
        </w:numPr>
        <w:tabs>
          <w:tab w:val="center" w:pos="4513"/>
          <w:tab w:val="left" w:pos="6804"/>
        </w:tabs>
        <w:jc w:val="both"/>
        <w:rPr>
          <w:rFonts w:ascii="Cambria" w:eastAsia="Times New Roman" w:hAnsi="Cambria"/>
          <w:sz w:val="20"/>
          <w:szCs w:val="20"/>
        </w:rPr>
      </w:pPr>
      <w:r w:rsidRPr="000A5982">
        <w:rPr>
          <w:rFonts w:ascii="Cambria" w:eastAsia="Times New Roman" w:hAnsi="Cambria"/>
          <w:sz w:val="20"/>
          <w:szCs w:val="20"/>
        </w:rPr>
        <w:t>cualquier otra acción de conservación y ordenación apropiada.</w:t>
      </w:r>
    </w:p>
    <w:p w14:paraId="52299B34" w14:textId="77777777" w:rsidR="00EF4FD8" w:rsidRPr="000A5982" w:rsidRDefault="00EF4FD8" w:rsidP="00EF4FD8">
      <w:pPr>
        <w:pStyle w:val="ListParagraph"/>
        <w:tabs>
          <w:tab w:val="center" w:pos="4513"/>
          <w:tab w:val="left" w:pos="6804"/>
        </w:tabs>
        <w:ind w:left="1080"/>
        <w:jc w:val="both"/>
        <w:rPr>
          <w:rFonts w:ascii="Cambria" w:eastAsia="Times New Roman" w:hAnsi="Cambria"/>
          <w:sz w:val="20"/>
          <w:szCs w:val="20"/>
        </w:rPr>
      </w:pPr>
    </w:p>
    <w:p w14:paraId="213401F8" w14:textId="77777777" w:rsidR="00EF4FD8" w:rsidRPr="000A5982" w:rsidRDefault="00EF4FD8" w:rsidP="00EF4FD8">
      <w:pPr>
        <w:tabs>
          <w:tab w:val="center" w:pos="4513"/>
          <w:tab w:val="left" w:pos="6804"/>
        </w:tabs>
        <w:jc w:val="both"/>
        <w:rPr>
          <w:rFonts w:ascii="Cambria" w:hAnsi="Cambria"/>
          <w:sz w:val="20"/>
          <w:szCs w:val="20"/>
        </w:rPr>
      </w:pPr>
      <w:r w:rsidRPr="000A5982">
        <w:rPr>
          <w:rFonts w:ascii="Cambria" w:hAnsi="Cambria"/>
          <w:sz w:val="20"/>
          <w:szCs w:val="20"/>
        </w:rPr>
        <w:t>En caso de que fuera necesario adoptar alguna de estas medidas, el Comité informará a la Comisión de su recomendación.</w:t>
      </w:r>
    </w:p>
    <w:p w14:paraId="633C4608" w14:textId="77777777" w:rsidR="00EF4FD8" w:rsidRPr="000A5982" w:rsidRDefault="00EF4FD8" w:rsidP="00EF4FD8">
      <w:pPr>
        <w:tabs>
          <w:tab w:val="center" w:pos="4513"/>
          <w:tab w:val="left" w:pos="6804"/>
        </w:tabs>
        <w:jc w:val="both"/>
        <w:rPr>
          <w:rFonts w:ascii="Cambria" w:hAnsi="Cambria"/>
          <w:sz w:val="20"/>
          <w:szCs w:val="20"/>
        </w:rPr>
      </w:pPr>
    </w:p>
    <w:p w14:paraId="1A5790ED" w14:textId="77777777" w:rsidR="00EF4FD8" w:rsidRPr="000A5982" w:rsidRDefault="00EF4FD8" w:rsidP="00EF4FD8">
      <w:pPr>
        <w:tabs>
          <w:tab w:val="center" w:pos="4513"/>
          <w:tab w:val="left" w:pos="6804"/>
        </w:tabs>
        <w:jc w:val="both"/>
        <w:rPr>
          <w:rFonts w:ascii="Cambria" w:hAnsi="Cambria"/>
          <w:i/>
          <w:iCs/>
          <w:sz w:val="20"/>
          <w:szCs w:val="20"/>
        </w:rPr>
      </w:pPr>
      <w:r w:rsidRPr="000A5982">
        <w:rPr>
          <w:rFonts w:ascii="Cambria" w:hAnsi="Cambria"/>
          <w:i/>
          <w:sz w:val="20"/>
        </w:rPr>
        <w:t>Conclusión</w:t>
      </w:r>
    </w:p>
    <w:p w14:paraId="2C5F9CC8" w14:textId="77777777" w:rsidR="00EF4FD8" w:rsidRPr="000A5982" w:rsidRDefault="00EF4FD8" w:rsidP="00EF4FD8">
      <w:pPr>
        <w:tabs>
          <w:tab w:val="center" w:pos="4513"/>
          <w:tab w:val="left" w:pos="6804"/>
        </w:tabs>
        <w:jc w:val="both"/>
        <w:rPr>
          <w:rFonts w:ascii="Cambria" w:hAnsi="Cambria"/>
          <w:sz w:val="20"/>
          <w:szCs w:val="20"/>
        </w:rPr>
      </w:pPr>
    </w:p>
    <w:p w14:paraId="6B0E5F79" w14:textId="77777777" w:rsidR="00EF4FD8" w:rsidRPr="0099704B" w:rsidRDefault="00EF4FD8" w:rsidP="00EF4FD8">
      <w:pPr>
        <w:tabs>
          <w:tab w:val="center" w:pos="4513"/>
          <w:tab w:val="left" w:pos="6804"/>
        </w:tabs>
        <w:jc w:val="both"/>
        <w:rPr>
          <w:rFonts w:ascii="Cambria" w:hAnsi="Cambria"/>
          <w:sz w:val="20"/>
          <w:szCs w:val="20"/>
        </w:rPr>
      </w:pPr>
      <w:r w:rsidRPr="000A5982">
        <w:rPr>
          <w:rFonts w:ascii="Cambria" w:hAnsi="Cambria"/>
          <w:sz w:val="20"/>
        </w:rPr>
        <w:t>El Comité determinó que esta EC no impide que se mantenga el TAC para 2027 fijado utilizando el MP, y que su implementación no supone un riesgo ni resulta inadecuada para el resto del ciclo de ordenación actual. El Comité ha elaborado un plan de trabajo para seguir evaluando esta EC y proporcionar asesoramiento sobre la futura implementación del MP.</w:t>
      </w:r>
    </w:p>
    <w:p w14:paraId="2171955A" w14:textId="77777777" w:rsidR="00EF4FD8" w:rsidRPr="0099704B" w:rsidRDefault="00EF4FD8" w:rsidP="00EF4FD8">
      <w:pPr>
        <w:tabs>
          <w:tab w:val="left" w:pos="0"/>
          <w:tab w:val="left" w:pos="720"/>
          <w:tab w:val="right" w:pos="8505"/>
          <w:tab w:val="right" w:pos="9072"/>
        </w:tabs>
        <w:ind w:right="6"/>
        <w:jc w:val="both"/>
        <w:rPr>
          <w:rFonts w:ascii="Cambria" w:eastAsia="Cambria" w:hAnsi="Cambria" w:cs="Cambria"/>
          <w:b/>
          <w:i/>
          <w:color w:val="000000"/>
          <w:sz w:val="20"/>
          <w:szCs w:val="20"/>
        </w:rPr>
      </w:pPr>
    </w:p>
    <w:p w14:paraId="1D7B62DB" w14:textId="77777777" w:rsidR="00EF4FD8" w:rsidRDefault="00EF4FD8" w:rsidP="00EF4FD8">
      <w:pPr>
        <w:tabs>
          <w:tab w:val="center" w:pos="4513"/>
          <w:tab w:val="left" w:pos="6804"/>
        </w:tabs>
        <w:jc w:val="both"/>
        <w:rPr>
          <w:rFonts w:ascii="Cambria" w:hAnsi="Cambria"/>
          <w:i/>
          <w:sz w:val="20"/>
          <w:szCs w:val="20"/>
        </w:rPr>
      </w:pPr>
      <w:r w:rsidRPr="000A5982">
        <w:rPr>
          <w:rFonts w:ascii="Cambria" w:hAnsi="Cambria"/>
          <w:b/>
          <w:bCs/>
          <w:i/>
          <w:iCs/>
          <w:sz w:val="20"/>
          <w:szCs w:val="20"/>
        </w:rPr>
        <w:t>19.20 El SCRS revisará las metodologías utilizadas por las CPC para estimar los descartes de ejemplares muertos y las liberaciones de ejemplares vivos y, si se determina que una metodología no está bien fundamentada desde el punto de vista científico, el SCRS proporcionará los comentarios pertinentes a las CPC en cuestión para mejorar las metodologías</w:t>
      </w:r>
      <w:hyperlink r:id="rId35" w:history="1">
        <w:r w:rsidRPr="000A5982">
          <w:rPr>
            <w:rStyle w:val="Hyperlink"/>
            <w:rFonts w:ascii="Cambria" w:hAnsi="Cambria"/>
            <w:b/>
            <w:i/>
            <w:sz w:val="20"/>
            <w:szCs w:val="20"/>
            <w:u w:val="none"/>
          </w:rPr>
          <w:t>, Rec. 25-10</w:t>
        </w:r>
        <w:r w:rsidRPr="000A5982">
          <w:rPr>
            <w:rStyle w:val="Hyperlink"/>
            <w:rFonts w:ascii="Cambria" w:hAnsi="Cambria"/>
            <w:sz w:val="20"/>
            <w:szCs w:val="20"/>
            <w:u w:val="none"/>
          </w:rPr>
          <w:t>,</w:t>
        </w:r>
      </w:hyperlink>
      <w:r w:rsidRPr="000A5982">
        <w:rPr>
          <w:rFonts w:ascii="Cambria" w:hAnsi="Cambria"/>
          <w:sz w:val="20"/>
          <w:szCs w:val="20"/>
        </w:rPr>
        <w:t xml:space="preserve"> </w:t>
      </w:r>
      <w:r w:rsidRPr="000A5982">
        <w:rPr>
          <w:rFonts w:ascii="Cambria" w:hAnsi="Cambria"/>
          <w:b/>
          <w:i/>
          <w:sz w:val="20"/>
          <w:szCs w:val="20"/>
        </w:rPr>
        <w:t>párr. 19</w:t>
      </w:r>
      <w:r w:rsidRPr="000A5982">
        <w:rPr>
          <w:rFonts w:ascii="Cambria" w:hAnsi="Cambria"/>
          <w:i/>
          <w:sz w:val="20"/>
          <w:szCs w:val="20"/>
        </w:rPr>
        <w:t xml:space="preserve"> </w:t>
      </w:r>
    </w:p>
    <w:p w14:paraId="218C3823" w14:textId="77777777" w:rsidR="00EF4FD8" w:rsidRPr="000A5982" w:rsidRDefault="00EF4FD8" w:rsidP="00EF4FD8">
      <w:pPr>
        <w:tabs>
          <w:tab w:val="center" w:pos="4513"/>
          <w:tab w:val="left" w:pos="6804"/>
        </w:tabs>
        <w:jc w:val="both"/>
        <w:rPr>
          <w:rFonts w:ascii="Cambria" w:hAnsi="Cambria"/>
          <w:b/>
          <w:i/>
          <w:iCs/>
          <w:sz w:val="20"/>
          <w:szCs w:val="20"/>
        </w:rPr>
      </w:pPr>
    </w:p>
    <w:p w14:paraId="1B52629F" w14:textId="77777777" w:rsidR="00EF4FD8" w:rsidRPr="0099704B" w:rsidRDefault="00EF4FD8" w:rsidP="00EF4FD8">
      <w:pPr>
        <w:suppressAutoHyphens/>
        <w:jc w:val="both"/>
        <w:rPr>
          <w:rFonts w:ascii="Cambria" w:hAnsi="Cambria"/>
          <w:i/>
          <w:sz w:val="20"/>
          <w:szCs w:val="20"/>
        </w:rPr>
      </w:pPr>
      <w:r w:rsidRPr="000A5982">
        <w:rPr>
          <w:rFonts w:ascii="Cambria" w:hAnsi="Cambria"/>
          <w:b/>
          <w:sz w:val="20"/>
          <w:szCs w:val="20"/>
        </w:rPr>
        <w:t>Contexto:</w:t>
      </w:r>
      <w:r w:rsidRPr="000A5982">
        <w:rPr>
          <w:rFonts w:ascii="Cambria" w:hAnsi="Cambria"/>
          <w:b/>
          <w:i/>
          <w:sz w:val="20"/>
          <w:szCs w:val="20"/>
        </w:rPr>
        <w:t xml:space="preserve"> </w:t>
      </w:r>
      <w:r w:rsidRPr="000A5982">
        <w:rPr>
          <w:rFonts w:ascii="Cambria" w:hAnsi="Cambria"/>
          <w:i/>
          <w:sz w:val="20"/>
          <w:szCs w:val="20"/>
        </w:rPr>
        <w:t>A más tardar el 15 de julio de 2025, las CPC presentarán al SCRS la metodología estadística utilizada para estimar los descartes de ejemplares muertos y las liberaciones de ejemplares vivos. Las CPC con pesquerías artesanales y de pequeña escala proporcionarán también información sobre sus programas de recopilación de datos. El SCRS revisará estas metodologías y, si se determina que una metodología no está bien fundamentada desde el punto de vista científico, el SCRS proporcionará los comentarios pertinentes a las CPC en cuestión para mejorar las metodologías. Una vez aprobados estos métodos, las CPC deberían actualizar sus informes de capturas para incorporar estas estimaciones de descartes vivos y muertos.</w:t>
      </w:r>
    </w:p>
    <w:p w14:paraId="429E2150" w14:textId="77777777" w:rsidR="00EF4FD8" w:rsidRPr="0099704B" w:rsidRDefault="00EF4FD8" w:rsidP="00EF4FD8">
      <w:pPr>
        <w:suppressAutoHyphens/>
        <w:jc w:val="both"/>
        <w:rPr>
          <w:rFonts w:ascii="Cambria" w:hAnsi="Cambria"/>
          <w:i/>
          <w:sz w:val="20"/>
          <w:szCs w:val="20"/>
        </w:rPr>
      </w:pPr>
    </w:p>
    <w:p w14:paraId="4770D2B4" w14:textId="77777777" w:rsidR="00EF4FD8" w:rsidRPr="000A5982" w:rsidRDefault="00EF4FD8" w:rsidP="00EF4FD8">
      <w:pPr>
        <w:jc w:val="both"/>
        <w:rPr>
          <w:rFonts w:ascii="Cambria" w:hAnsi="Cambria"/>
          <w:i/>
          <w:iCs/>
          <w:sz w:val="20"/>
          <w:szCs w:val="20"/>
        </w:rPr>
      </w:pPr>
      <w:r w:rsidRPr="000A5982">
        <w:rPr>
          <w:rFonts w:ascii="Cambria" w:hAnsi="Cambria"/>
          <w:sz w:val="20"/>
          <w:szCs w:val="20"/>
        </w:rPr>
        <w:t>Se han facilitado al Comité los métodos propuestos para estimar los descartes de pez espada en algunas flotas de palangre. En 2027, el Comité comenzará a evaluar los métodos presentados hasta la fecha utilizando el procedimiento de evaluación y la lista de comprobación correspondiente que figuran en el anexo1 del Informe del Subcomité de estadísticas.</w:t>
      </w:r>
    </w:p>
    <w:p w14:paraId="4E5018A9" w14:textId="77777777" w:rsidR="00EF4FD8" w:rsidRPr="0099704B" w:rsidRDefault="00EF4FD8" w:rsidP="00EF4FD8">
      <w:pPr>
        <w:suppressAutoHyphens/>
        <w:jc w:val="both"/>
        <w:rPr>
          <w:rFonts w:ascii="Cambria" w:hAnsi="Cambria"/>
          <w:i/>
          <w:sz w:val="20"/>
          <w:szCs w:val="20"/>
        </w:rPr>
      </w:pPr>
    </w:p>
    <w:p w14:paraId="71CED9FE" w14:textId="77777777" w:rsidR="00EF4FD8" w:rsidRPr="000A5982" w:rsidRDefault="00EF4FD8" w:rsidP="00EF4FD8">
      <w:pPr>
        <w:jc w:val="both"/>
        <w:rPr>
          <w:rFonts w:ascii="Cambria" w:hAnsi="Cambria"/>
          <w:bCs/>
          <w:i/>
          <w:iCs/>
          <w:sz w:val="20"/>
          <w:szCs w:val="20"/>
        </w:rPr>
      </w:pPr>
      <w:r w:rsidRPr="000A5982">
        <w:rPr>
          <w:rFonts w:ascii="Cambria" w:hAnsi="Cambria"/>
          <w:b/>
          <w:i/>
          <w:sz w:val="20"/>
        </w:rPr>
        <w:t xml:space="preserve">19.21 El SCRS seguirá trabajando en las pruebas de robustez, prestando especial atención a los escenarios de cambio climático y a los límites de talla mínima, </w:t>
      </w:r>
      <w:hyperlink r:id="rId36" w:history="1">
        <w:r w:rsidRPr="000A5982">
          <w:rPr>
            <w:rStyle w:val="Hyperlink"/>
            <w:rFonts w:ascii="Cambria" w:hAnsi="Cambria"/>
            <w:b/>
            <w:i/>
            <w:sz w:val="20"/>
            <w:u w:val="none"/>
          </w:rPr>
          <w:t>Rec.</w:t>
        </w:r>
      </w:hyperlink>
      <w:hyperlink r:id="rId37" w:history="1">
        <w:r w:rsidRPr="000A5982">
          <w:rPr>
            <w:rStyle w:val="Hyperlink"/>
            <w:rFonts w:ascii="Cambria" w:hAnsi="Cambria"/>
            <w:b/>
            <w:i/>
            <w:sz w:val="20"/>
            <w:u w:val="none"/>
          </w:rPr>
          <w:t xml:space="preserve"> 25-10</w:t>
        </w:r>
      </w:hyperlink>
      <w:r w:rsidRPr="000A5982">
        <w:rPr>
          <w:rFonts w:ascii="Cambria" w:hAnsi="Cambria"/>
          <w:b/>
          <w:i/>
          <w:sz w:val="20"/>
        </w:rPr>
        <w:t xml:space="preserve">, párr. 6 </w:t>
      </w:r>
    </w:p>
    <w:p w14:paraId="278DD3DF" w14:textId="77777777" w:rsidR="00EF4FD8" w:rsidRPr="000A5982" w:rsidRDefault="00EF4FD8" w:rsidP="00EF4FD8">
      <w:pPr>
        <w:jc w:val="both"/>
        <w:rPr>
          <w:rFonts w:ascii="Cambria" w:hAnsi="Cambria"/>
          <w:b/>
          <w:bCs/>
          <w:i/>
          <w:iCs/>
          <w:sz w:val="20"/>
          <w:szCs w:val="20"/>
        </w:rPr>
      </w:pPr>
    </w:p>
    <w:p w14:paraId="0705C963" w14:textId="77777777" w:rsidR="00EF4FD8" w:rsidRPr="000A5982" w:rsidRDefault="00EF4FD8" w:rsidP="00EF4FD8">
      <w:pPr>
        <w:jc w:val="both"/>
        <w:rPr>
          <w:rFonts w:ascii="Cambria" w:hAnsi="Cambria"/>
          <w:i/>
          <w:sz w:val="20"/>
        </w:rPr>
      </w:pPr>
      <w:r w:rsidRPr="000A5982">
        <w:rPr>
          <w:rFonts w:ascii="Cambria" w:hAnsi="Cambria"/>
          <w:b/>
          <w:i/>
          <w:sz w:val="20"/>
        </w:rPr>
        <w:t xml:space="preserve">Contexto: </w:t>
      </w:r>
      <w:r w:rsidRPr="000A5982">
        <w:rPr>
          <w:rFonts w:ascii="Cambria" w:hAnsi="Cambria"/>
          <w:i/>
          <w:sz w:val="20"/>
        </w:rPr>
        <w:t>La Comisión adoptará el TAC basándose en el resultado del MP a menos que el SCRS identifique circunstancias excepcionales que requieran que la Comisión adopte medidas de ordenación alternativas en consonancia con los principios de la Rec. 11-13.</w:t>
      </w:r>
    </w:p>
    <w:p w14:paraId="040B975C" w14:textId="77777777" w:rsidR="00EF4FD8" w:rsidRPr="000A5982" w:rsidRDefault="00EF4FD8" w:rsidP="00EF4FD8">
      <w:pPr>
        <w:jc w:val="both"/>
        <w:rPr>
          <w:rFonts w:ascii="Cambria" w:eastAsia="Aptos" w:hAnsi="Cambria" w:cs="Arial"/>
          <w:b/>
          <w:i/>
          <w:kern w:val="2"/>
          <w:sz w:val="20"/>
          <w14:ligatures w14:val="standardContextual"/>
        </w:rPr>
      </w:pPr>
    </w:p>
    <w:p w14:paraId="4BBA6755" w14:textId="77777777" w:rsidR="00EF4FD8" w:rsidRPr="000A5982" w:rsidRDefault="00EF4FD8" w:rsidP="00EF4FD8">
      <w:pPr>
        <w:jc w:val="both"/>
        <w:rPr>
          <w:rFonts w:ascii="Cambria" w:eastAsia="Aptos" w:hAnsi="Cambria" w:cs="Arial"/>
          <w:kern w:val="2"/>
          <w:sz w:val="20"/>
          <w:szCs w:val="20"/>
          <w14:ligatures w14:val="standardContextual"/>
        </w:rPr>
      </w:pPr>
      <w:r w:rsidRPr="000A5982">
        <w:rPr>
          <w:rFonts w:ascii="Cambria" w:eastAsia="Aptos" w:hAnsi="Cambria" w:cs="Arial"/>
          <w:kern w:val="2"/>
          <w:sz w:val="20"/>
          <w14:ligatures w14:val="standardContextual"/>
        </w:rPr>
        <w:t>El Comité llevó a cabo dos análisis para evaluar las repercusiones previstas de la eliminación o la modificación del límite de talla mínima (MSL).</w:t>
      </w:r>
    </w:p>
    <w:p w14:paraId="491B0996" w14:textId="77777777" w:rsidR="00EF4FD8" w:rsidRPr="000A5982" w:rsidRDefault="00EF4FD8" w:rsidP="00EF4FD8">
      <w:pPr>
        <w:jc w:val="both"/>
        <w:rPr>
          <w:rFonts w:ascii="Cambria" w:eastAsia="Aptos" w:hAnsi="Cambria" w:cs="Arial"/>
          <w:kern w:val="2"/>
          <w:sz w:val="20"/>
          <w:szCs w:val="20"/>
          <w14:ligatures w14:val="standardContextual"/>
        </w:rPr>
      </w:pPr>
    </w:p>
    <w:p w14:paraId="2D4B93F0" w14:textId="77777777" w:rsidR="00EF4FD8" w:rsidRPr="000A5982" w:rsidRDefault="00EF4FD8" w:rsidP="00EF4FD8">
      <w:pPr>
        <w:jc w:val="both"/>
        <w:rPr>
          <w:rFonts w:ascii="Cambria" w:eastAsia="Aptos" w:hAnsi="Cambria" w:cs="Arial"/>
          <w:kern w:val="2"/>
          <w:sz w:val="20"/>
          <w:szCs w:val="20"/>
          <w14:ligatures w14:val="standardContextual"/>
        </w:rPr>
      </w:pPr>
      <w:r w:rsidRPr="000A5982">
        <w:rPr>
          <w:rFonts w:ascii="Cambria" w:eastAsia="Aptos" w:hAnsi="Cambria" w:cs="Arial"/>
          <w:kern w:val="2"/>
          <w:sz w:val="20"/>
          <w14:ligatures w14:val="standardContextual"/>
        </w:rPr>
        <w:lastRenderedPageBreak/>
        <w:t>El primer análisis evaluó los factores de compensación entre la selectividad, la retención y la mortalidad de los descartes (</w:t>
      </w:r>
      <w:r w:rsidRPr="000A5982">
        <w:rPr>
          <w:rFonts w:ascii="Cambria" w:eastAsia="Aptos" w:hAnsi="Cambria" w:cs="Arial"/>
          <w:kern w:val="2"/>
          <w:sz w:val="20"/>
          <w:szCs w:val="20"/>
          <w14:ligatures w14:val="standardContextual"/>
        </w:rPr>
        <w:t>Hordyk and Gillespie, 2026, SCRS/2026/172</w:t>
      </w:r>
      <w:r w:rsidRPr="000A5982">
        <w:rPr>
          <w:rFonts w:ascii="Cambria" w:eastAsia="Aptos" w:hAnsi="Cambria" w:cs="Arial"/>
          <w:kern w:val="2"/>
          <w:sz w:val="20"/>
          <w14:ligatures w14:val="standardContextual"/>
        </w:rPr>
        <w:t>). Este estudio reveló lo siguiente:</w:t>
      </w:r>
    </w:p>
    <w:p w14:paraId="47772CDD" w14:textId="77777777" w:rsidR="00EF4FD8" w:rsidRPr="000A5982" w:rsidRDefault="00EF4FD8" w:rsidP="00EF4FD8">
      <w:pPr>
        <w:jc w:val="both"/>
        <w:rPr>
          <w:rFonts w:ascii="Cambria" w:eastAsia="Aptos" w:hAnsi="Cambria" w:cs="Arial"/>
          <w:kern w:val="2"/>
          <w:sz w:val="20"/>
          <w:szCs w:val="20"/>
          <w14:ligatures w14:val="standardContextual"/>
        </w:rPr>
      </w:pPr>
    </w:p>
    <w:p w14:paraId="4200E97C" w14:textId="77777777" w:rsidR="00EF4FD8" w:rsidRPr="000A5982" w:rsidRDefault="00EF4FD8" w:rsidP="00EF4FD8">
      <w:pPr>
        <w:numPr>
          <w:ilvl w:val="0"/>
          <w:numId w:val="31"/>
        </w:numPr>
        <w:spacing w:after="160"/>
        <w:jc w:val="both"/>
        <w:rPr>
          <w:rFonts w:ascii="Cambria" w:eastAsia="Aptos" w:hAnsi="Cambria" w:cs="Arial"/>
          <w:kern w:val="2"/>
          <w:sz w:val="20"/>
          <w:szCs w:val="20"/>
          <w14:ligatures w14:val="standardContextual"/>
        </w:rPr>
      </w:pPr>
      <w:r w:rsidRPr="000A5982">
        <w:rPr>
          <w:rFonts w:ascii="Cambria" w:eastAsia="Aptos" w:hAnsi="Cambria" w:cs="Arial"/>
          <w:kern w:val="2"/>
          <w:sz w:val="20"/>
          <w14:ligatures w14:val="standardContextual"/>
        </w:rPr>
        <w:t>La elevada mortalidad de los descartes en el momento de la virada y tras la liberación significa que el MSL no está protegiendo a los peces pequeños o jóvenes de la mortalidad por pesca.</w:t>
      </w:r>
    </w:p>
    <w:p w14:paraId="380A13A9" w14:textId="77777777" w:rsidR="00EF4FD8" w:rsidRPr="000A5982" w:rsidRDefault="00EF4FD8" w:rsidP="00EF4FD8">
      <w:pPr>
        <w:numPr>
          <w:ilvl w:val="0"/>
          <w:numId w:val="31"/>
        </w:numPr>
        <w:spacing w:after="160"/>
        <w:jc w:val="both"/>
        <w:rPr>
          <w:rFonts w:ascii="Cambria" w:eastAsia="Aptos" w:hAnsi="Cambria" w:cs="Arial"/>
          <w:kern w:val="2"/>
          <w:sz w:val="20"/>
          <w:szCs w:val="20"/>
          <w14:ligatures w14:val="standardContextual"/>
        </w:rPr>
      </w:pPr>
      <w:r w:rsidRPr="000A5982">
        <w:rPr>
          <w:rFonts w:ascii="Cambria" w:eastAsia="Aptos" w:hAnsi="Cambria" w:cs="Arial"/>
          <w:kern w:val="2"/>
          <w:sz w:val="20"/>
          <w14:ligatures w14:val="standardContextual"/>
        </w:rPr>
        <w:t>La eliminación del MSL (una política de retención total) daría lugar a un aumento de las capturas desembarcadas y no tendría un impacto negativo notable en la población reproductora, incluso en escenarios en los que todas las flotas cambien su comportamiento y capturen más peces pequeños.</w:t>
      </w:r>
    </w:p>
    <w:p w14:paraId="75A11D86" w14:textId="77777777" w:rsidR="00EF4FD8" w:rsidRPr="000A5982" w:rsidRDefault="00EF4FD8" w:rsidP="00EF4FD8">
      <w:pPr>
        <w:numPr>
          <w:ilvl w:val="0"/>
          <w:numId w:val="31"/>
        </w:numPr>
        <w:spacing w:after="160"/>
        <w:jc w:val="both"/>
        <w:rPr>
          <w:rFonts w:ascii="Cambria" w:eastAsia="Aptos" w:hAnsi="Cambria" w:cs="Arial"/>
          <w:kern w:val="2"/>
          <w:sz w:val="20"/>
          <w:szCs w:val="20"/>
          <w14:ligatures w14:val="standardContextual"/>
        </w:rPr>
      </w:pPr>
      <w:r w:rsidRPr="000A5982">
        <w:rPr>
          <w:rFonts w:ascii="Cambria" w:eastAsia="Aptos" w:hAnsi="Cambria" w:cs="Arial"/>
          <w:kern w:val="2"/>
          <w:sz w:val="20"/>
          <w14:ligatures w14:val="standardContextual"/>
        </w:rPr>
        <w:t>Un MSL solo sería eficaz si: a) el límite de talla se aumentara hasta acercarse a la talla de madurez (~166 cm) Y si b) las interacciones de las artes de pesca con los peces por debajo del MSL fueran insignificantes; es decir, si se produjera un cambio en el tipo de arte que evitara la captura de peces de talla inferior a la regulada O si la mortalidad en el momento de la virada y tras la liberación fuera insignifica</w:t>
      </w:r>
      <w:r>
        <w:rPr>
          <w:rFonts w:ascii="Cambria" w:eastAsia="Aptos" w:hAnsi="Cambria" w:cs="Arial"/>
          <w:kern w:val="2"/>
          <w:sz w:val="20"/>
          <w14:ligatures w14:val="standardContextual"/>
        </w:rPr>
        <w:t>n</w:t>
      </w:r>
      <w:r w:rsidRPr="000A5982">
        <w:rPr>
          <w:rFonts w:ascii="Cambria" w:eastAsia="Aptos" w:hAnsi="Cambria" w:cs="Arial"/>
          <w:kern w:val="2"/>
          <w:sz w:val="20"/>
          <w14:ligatures w14:val="standardContextual"/>
        </w:rPr>
        <w:t>te.</w:t>
      </w:r>
    </w:p>
    <w:p w14:paraId="40F6836F" w14:textId="77777777" w:rsidR="00EF4FD8" w:rsidRPr="000A5982" w:rsidRDefault="00EF4FD8" w:rsidP="00EF4FD8">
      <w:pPr>
        <w:jc w:val="both"/>
        <w:rPr>
          <w:rFonts w:ascii="Cambria" w:eastAsia="Aptos" w:hAnsi="Cambria" w:cs="Arial"/>
          <w:kern w:val="2"/>
          <w:sz w:val="20"/>
          <w:szCs w:val="20"/>
          <w14:ligatures w14:val="standardContextual"/>
        </w:rPr>
      </w:pPr>
      <w:r w:rsidRPr="000A5982">
        <w:rPr>
          <w:rFonts w:ascii="Cambria" w:eastAsia="Aptos" w:hAnsi="Cambria" w:cs="Arial"/>
          <w:kern w:val="2"/>
          <w:sz w:val="20"/>
          <w14:ligatures w14:val="standardContextual"/>
        </w:rPr>
        <w:t>El segundo análisis evaluó la robustez del procedimiento de ordenación MCC con la condición de la eliminación del MSL y comparó las proyecciones con el análisis del statu quo sin cambios en los regímenes de selectividad y retención (</w:t>
      </w:r>
      <w:r w:rsidRPr="000A5982">
        <w:rPr>
          <w:rFonts w:ascii="Cambria" w:eastAsia="Aptos" w:hAnsi="Cambria" w:cs="Arial"/>
          <w:kern w:val="2"/>
          <w:sz w:val="20"/>
          <w:szCs w:val="20"/>
          <w14:ligatures w14:val="standardContextual"/>
        </w:rPr>
        <w:t xml:space="preserve">Hordyk </w:t>
      </w:r>
      <w:r w:rsidRPr="000A5982">
        <w:rPr>
          <w:rFonts w:ascii="Cambria" w:eastAsia="Aptos" w:hAnsi="Cambria" w:cs="Arial"/>
          <w:i/>
          <w:iCs/>
          <w:kern w:val="2"/>
          <w:sz w:val="20"/>
          <w:szCs w:val="20"/>
          <w14:ligatures w14:val="standardContextual"/>
        </w:rPr>
        <w:t>et al</w:t>
      </w:r>
      <w:r w:rsidRPr="000A5982">
        <w:rPr>
          <w:rFonts w:ascii="Cambria" w:eastAsia="Aptos" w:hAnsi="Cambria" w:cs="Arial"/>
          <w:kern w:val="2"/>
          <w:sz w:val="20"/>
          <w:szCs w:val="20"/>
          <w14:ligatures w14:val="standardContextual"/>
        </w:rPr>
        <w:t xml:space="preserve">., 2026, </w:t>
      </w:r>
      <w:r w:rsidRPr="000A5982">
        <w:rPr>
          <w:rFonts w:ascii="Cambria" w:eastAsia="Aptos" w:hAnsi="Cambria" w:cs="Arial"/>
          <w:kern w:val="2"/>
          <w:sz w:val="20"/>
          <w14:ligatures w14:val="standardContextual"/>
        </w:rPr>
        <w:t>SCRS/2026/243). Este estudio reveló que:</w:t>
      </w:r>
    </w:p>
    <w:p w14:paraId="4C1D0693" w14:textId="77777777" w:rsidR="00EF4FD8" w:rsidRPr="000A5982" w:rsidRDefault="00EF4FD8" w:rsidP="00EF4FD8">
      <w:pPr>
        <w:jc w:val="both"/>
        <w:rPr>
          <w:rFonts w:ascii="Cambria" w:eastAsia="Aptos" w:hAnsi="Cambria" w:cs="Arial"/>
          <w:kern w:val="2"/>
          <w:sz w:val="20"/>
          <w:szCs w:val="20"/>
          <w14:ligatures w14:val="standardContextual"/>
        </w:rPr>
      </w:pPr>
    </w:p>
    <w:p w14:paraId="109219A9" w14:textId="77777777" w:rsidR="00EF4FD8" w:rsidRPr="000A5982" w:rsidRDefault="00EF4FD8" w:rsidP="00EF4FD8">
      <w:pPr>
        <w:numPr>
          <w:ilvl w:val="0"/>
          <w:numId w:val="32"/>
        </w:numPr>
        <w:spacing w:after="160"/>
        <w:jc w:val="both"/>
        <w:rPr>
          <w:rFonts w:ascii="Cambria" w:eastAsia="Aptos" w:hAnsi="Cambria" w:cs="Arial"/>
          <w:kern w:val="2"/>
          <w:sz w:val="20"/>
          <w:szCs w:val="20"/>
          <w14:ligatures w14:val="standardContextual"/>
        </w:rPr>
      </w:pPr>
      <w:r w:rsidRPr="000A5982">
        <w:rPr>
          <w:rFonts w:ascii="Cambria" w:eastAsia="Aptos" w:hAnsi="Cambria" w:cs="Arial"/>
          <w:kern w:val="2"/>
          <w:sz w:val="20"/>
          <w14:ligatures w14:val="standardContextual"/>
        </w:rPr>
        <w:t>La eliminación del MSL daba lugar a una menor mortalidad por pesca con el mismo TAC y a unos desembarques un 5 % superiores (en peso), ya que el pescado que antes se descartaba ahora forma parte de las capturas desembarcadas.</w:t>
      </w:r>
    </w:p>
    <w:p w14:paraId="4FEF1D38" w14:textId="77777777" w:rsidR="00EF4FD8" w:rsidRPr="000A5982" w:rsidRDefault="00EF4FD8" w:rsidP="00EF4FD8">
      <w:pPr>
        <w:numPr>
          <w:ilvl w:val="0"/>
          <w:numId w:val="32"/>
        </w:numPr>
        <w:spacing w:after="160"/>
        <w:jc w:val="both"/>
        <w:rPr>
          <w:rFonts w:ascii="Cambria" w:eastAsia="Aptos" w:hAnsi="Cambria" w:cs="Arial"/>
          <w:kern w:val="2"/>
          <w:sz w:val="20"/>
          <w:szCs w:val="20"/>
          <w14:ligatures w14:val="standardContextual"/>
        </w:rPr>
      </w:pPr>
      <w:r w:rsidRPr="000A5982">
        <w:rPr>
          <w:rFonts w:ascii="Cambria" w:eastAsia="Aptos" w:hAnsi="Cambria" w:cs="Arial"/>
          <w:kern w:val="2"/>
          <w:sz w:val="20"/>
          <w14:ligatures w14:val="standardContextual"/>
        </w:rPr>
        <w:t>En todos los casos, los indicadores de desempeño en materia de seguridad, situación y rendimiento se mantuvieron iguales o mejoraron al eliminar el MSL en comparación con el statu quo.</w:t>
      </w:r>
    </w:p>
    <w:p w14:paraId="2340C95C" w14:textId="77777777" w:rsidR="00EF4FD8" w:rsidRPr="000A5982" w:rsidRDefault="00EF4FD8" w:rsidP="00EF4FD8">
      <w:pPr>
        <w:numPr>
          <w:ilvl w:val="0"/>
          <w:numId w:val="32"/>
        </w:numPr>
        <w:spacing w:after="160"/>
        <w:jc w:val="both"/>
        <w:rPr>
          <w:rFonts w:ascii="Cambria" w:eastAsia="Aptos" w:hAnsi="Cambria" w:cs="Arial"/>
          <w:kern w:val="2"/>
          <w:sz w:val="20"/>
          <w:szCs w:val="20"/>
          <w14:ligatures w14:val="standardContextual"/>
        </w:rPr>
      </w:pPr>
      <w:r w:rsidRPr="000A5982">
        <w:rPr>
          <w:rFonts w:ascii="Cambria" w:eastAsia="Aptos" w:hAnsi="Cambria" w:cs="Arial"/>
          <w:kern w:val="2"/>
          <w:sz w:val="20"/>
          <w14:ligatures w14:val="standardContextual"/>
        </w:rPr>
        <w:t>Conclusión: el MP MCC mantiene la robustez frente a la eliminación del límite de talla mínima.</w:t>
      </w:r>
    </w:p>
    <w:p w14:paraId="07798400" w14:textId="77777777" w:rsidR="00EF4FD8" w:rsidRPr="000A5982" w:rsidRDefault="00EF4FD8" w:rsidP="00EF4FD8">
      <w:pPr>
        <w:jc w:val="both"/>
        <w:rPr>
          <w:rFonts w:ascii="Cambria" w:eastAsia="Aptos" w:hAnsi="Cambria" w:cs="Arial"/>
          <w:i/>
          <w:iCs/>
          <w:kern w:val="2"/>
          <w:sz w:val="20"/>
          <w14:ligatures w14:val="standardContextual"/>
        </w:rPr>
      </w:pPr>
      <w:r w:rsidRPr="000A5982">
        <w:rPr>
          <w:rFonts w:ascii="Cambria" w:eastAsia="Aptos" w:hAnsi="Cambria" w:cs="Arial"/>
          <w:i/>
          <w:iCs/>
          <w:kern w:val="2"/>
          <w:sz w:val="20"/>
          <w14:ligatures w14:val="standardContextual"/>
        </w:rPr>
        <w:t>Resumen</w:t>
      </w:r>
    </w:p>
    <w:p w14:paraId="5BC9A29B" w14:textId="77777777" w:rsidR="00EF4FD8" w:rsidRPr="000A5982" w:rsidRDefault="00EF4FD8" w:rsidP="00EF4FD8">
      <w:pPr>
        <w:numPr>
          <w:ilvl w:val="0"/>
          <w:numId w:val="32"/>
        </w:numPr>
        <w:spacing w:after="160"/>
        <w:jc w:val="both"/>
        <w:rPr>
          <w:rFonts w:ascii="Cambria" w:eastAsia="Aptos" w:hAnsi="Cambria" w:cs="Arial"/>
          <w:kern w:val="2"/>
          <w:sz w:val="20"/>
          <w14:ligatures w14:val="standardContextual"/>
        </w:rPr>
      </w:pPr>
      <w:r w:rsidRPr="000A5982">
        <w:rPr>
          <w:rFonts w:ascii="Cambria" w:eastAsia="Aptos" w:hAnsi="Cambria" w:cs="Arial"/>
          <w:kern w:val="2"/>
          <w:sz w:val="20"/>
          <w14:ligatures w14:val="standardContextual"/>
        </w:rPr>
        <w:t>Estos estudios indican que los límites de talla mínima para el pez espada no protegen eficazmente a los peces pequeños.</w:t>
      </w:r>
    </w:p>
    <w:p w14:paraId="616FED66" w14:textId="77777777" w:rsidR="00EF4FD8" w:rsidRPr="000A5982" w:rsidRDefault="00EF4FD8" w:rsidP="00EF4FD8">
      <w:pPr>
        <w:numPr>
          <w:ilvl w:val="0"/>
          <w:numId w:val="32"/>
        </w:numPr>
        <w:spacing w:after="160"/>
        <w:jc w:val="both"/>
        <w:rPr>
          <w:rFonts w:ascii="Cambria" w:eastAsia="Aptos" w:hAnsi="Cambria" w:cs="Arial"/>
          <w:kern w:val="2"/>
          <w:sz w:val="20"/>
          <w14:ligatures w14:val="standardContextual"/>
        </w:rPr>
      </w:pPr>
      <w:r w:rsidRPr="000A5982">
        <w:rPr>
          <w:rFonts w:ascii="Cambria" w:eastAsia="Aptos" w:hAnsi="Cambria" w:cs="Arial"/>
          <w:kern w:val="2"/>
          <w:sz w:val="20"/>
          <w14:ligatures w14:val="standardContextual"/>
        </w:rPr>
        <w:t>Es poco probable que un aumento de los límites de talla mínima proteja a los peces pequeños si no se introducen cambios en los artes de pesca utilizados en esta pesquería.</w:t>
      </w:r>
    </w:p>
    <w:p w14:paraId="1DF33AC6" w14:textId="77777777" w:rsidR="00EF4FD8" w:rsidRPr="000A5982" w:rsidRDefault="00EF4FD8" w:rsidP="00EF4FD8">
      <w:pPr>
        <w:numPr>
          <w:ilvl w:val="0"/>
          <w:numId w:val="32"/>
        </w:numPr>
        <w:spacing w:after="160"/>
        <w:jc w:val="both"/>
        <w:rPr>
          <w:rFonts w:ascii="Cambria" w:eastAsia="Aptos" w:hAnsi="Cambria" w:cs="Arial"/>
          <w:kern w:val="2"/>
          <w:sz w:val="20"/>
          <w14:ligatures w14:val="standardContextual"/>
        </w:rPr>
      </w:pPr>
      <w:r w:rsidRPr="000A5982">
        <w:rPr>
          <w:rFonts w:ascii="Cambria" w:eastAsia="Aptos" w:hAnsi="Cambria" w:cs="Arial"/>
          <w:kern w:val="2"/>
          <w:sz w:val="20"/>
          <w14:ligatures w14:val="standardContextual"/>
        </w:rPr>
        <w:t>El MP es robusto frente a la eliminación de los límites de talla mínima, en caso de que la Comisión así lo decida.</w:t>
      </w:r>
    </w:p>
    <w:p w14:paraId="172273CE" w14:textId="77777777" w:rsidR="00EF4FD8" w:rsidRPr="0099704B" w:rsidRDefault="00EF4FD8" w:rsidP="00EF4FD8">
      <w:pPr>
        <w:tabs>
          <w:tab w:val="left" w:pos="0"/>
          <w:tab w:val="left" w:pos="720"/>
          <w:tab w:val="right" w:pos="8505"/>
          <w:tab w:val="right" w:pos="9072"/>
        </w:tabs>
        <w:ind w:right="4"/>
        <w:jc w:val="both"/>
        <w:rPr>
          <w:rFonts w:ascii="Cambria" w:eastAsia="Cambria" w:hAnsi="Cambria"/>
          <w:b/>
          <w:i/>
          <w:color w:val="000000"/>
          <w:sz w:val="20"/>
          <w:szCs w:val="20"/>
        </w:rPr>
      </w:pPr>
      <w:r w:rsidRPr="0099704B">
        <w:rPr>
          <w:rFonts w:ascii="Cambria" w:hAnsi="Cambria"/>
          <w:b/>
          <w:i/>
          <w:color w:val="000000"/>
          <w:sz w:val="20"/>
          <w:szCs w:val="20"/>
        </w:rPr>
        <w:t>Tiburones</w:t>
      </w:r>
    </w:p>
    <w:p w14:paraId="1FC17051" w14:textId="77777777" w:rsidR="00EF4FD8" w:rsidRPr="0099704B" w:rsidRDefault="00EF4FD8" w:rsidP="00EF4FD8">
      <w:pPr>
        <w:jc w:val="both"/>
        <w:rPr>
          <w:rFonts w:ascii="Cambria" w:hAnsi="Cambria"/>
          <w:b/>
          <w:bCs/>
          <w:i/>
          <w:iCs/>
          <w:sz w:val="20"/>
          <w:szCs w:val="20"/>
        </w:rPr>
      </w:pPr>
    </w:p>
    <w:p w14:paraId="5AFE9C08" w14:textId="77777777" w:rsidR="00EF4FD8" w:rsidRPr="000A5982" w:rsidRDefault="00EF4FD8" w:rsidP="00EF4FD8">
      <w:pPr>
        <w:tabs>
          <w:tab w:val="center" w:pos="4513"/>
          <w:tab w:val="left" w:pos="6804"/>
        </w:tabs>
        <w:rPr>
          <w:rFonts w:ascii="Cambria" w:hAnsi="Cambria"/>
          <w:b/>
          <w:i/>
          <w:iCs/>
          <w:sz w:val="20"/>
          <w:szCs w:val="20"/>
        </w:rPr>
      </w:pPr>
      <w:r w:rsidRPr="000A5982">
        <w:rPr>
          <w:rFonts w:ascii="Cambria" w:hAnsi="Cambria"/>
          <w:b/>
          <w:bCs/>
          <w:i/>
          <w:iCs/>
          <w:sz w:val="20"/>
          <w:szCs w:val="20"/>
        </w:rPr>
        <w:t xml:space="preserve">19.22 En 2024, el SCRS revisará los datos y la información existentes relacionados con el ciclo vital y el estado de conservación de las rayas mobúlidas, y confirmará si cumplen la definición de taxón de mayor vulnerabilidad biológica y preocupación para la conservación para el que existen muy pocos datos, </w:t>
      </w:r>
      <w:hyperlink r:id="rId38" w:history="1">
        <w:r w:rsidRPr="000A5982">
          <w:rPr>
            <w:rStyle w:val="Hyperlink"/>
            <w:rFonts w:ascii="Cambria" w:hAnsi="Cambria"/>
            <w:b/>
            <w:i/>
            <w:sz w:val="20"/>
            <w:szCs w:val="20"/>
            <w:u w:val="none"/>
          </w:rPr>
          <w:t>Rec. 24-12</w:t>
        </w:r>
        <w:r w:rsidRPr="000A5982">
          <w:rPr>
            <w:rStyle w:val="Hyperlink"/>
            <w:rFonts w:ascii="Cambria" w:hAnsi="Cambria"/>
            <w:b/>
            <w:bCs/>
            <w:i/>
            <w:iCs/>
            <w:sz w:val="20"/>
            <w:szCs w:val="20"/>
            <w:u w:val="none"/>
          </w:rPr>
          <w:t xml:space="preserve">, </w:t>
        </w:r>
      </w:hyperlink>
      <w:r w:rsidRPr="000A5982">
        <w:rPr>
          <w:rFonts w:ascii="Cambria" w:hAnsi="Cambria"/>
          <w:b/>
          <w:bCs/>
          <w:i/>
          <w:iCs/>
          <w:sz w:val="20"/>
          <w:szCs w:val="20"/>
        </w:rPr>
        <w:t>párrafo 8</w:t>
      </w:r>
      <w:r w:rsidRPr="000A5982">
        <w:rPr>
          <w:rFonts w:ascii="Cambria" w:hAnsi="Cambria"/>
          <w:i/>
          <w:iCs/>
          <w:sz w:val="20"/>
          <w:szCs w:val="20"/>
        </w:rPr>
        <w:t xml:space="preserve"> </w:t>
      </w:r>
    </w:p>
    <w:p w14:paraId="74B4B91E" w14:textId="77777777" w:rsidR="00EF4FD8" w:rsidRPr="000A5982" w:rsidRDefault="00EF4FD8" w:rsidP="00EF4FD8">
      <w:pPr>
        <w:tabs>
          <w:tab w:val="center" w:pos="4513"/>
          <w:tab w:val="left" w:pos="6804"/>
        </w:tabs>
        <w:rPr>
          <w:rFonts w:ascii="Cambria" w:hAnsi="Cambria"/>
          <w:b/>
          <w:i/>
          <w:iCs/>
          <w:sz w:val="20"/>
          <w:szCs w:val="20"/>
        </w:rPr>
      </w:pPr>
    </w:p>
    <w:p w14:paraId="542EA869" w14:textId="77777777" w:rsidR="00EF4FD8" w:rsidRPr="0099704B" w:rsidRDefault="00EF4FD8" w:rsidP="00EF4FD8">
      <w:pPr>
        <w:jc w:val="both"/>
        <w:rPr>
          <w:rFonts w:ascii="Cambria" w:eastAsia="Calibri" w:hAnsi="Cambria" w:cs="Calibri"/>
          <w:i/>
          <w:iCs/>
          <w:sz w:val="20"/>
          <w:lang w:eastAsia="es-ES"/>
        </w:rPr>
      </w:pPr>
      <w:r w:rsidRPr="000A5982">
        <w:rPr>
          <w:rFonts w:ascii="Cambria" w:hAnsi="Cambria"/>
          <w:b/>
          <w:sz w:val="20"/>
          <w:szCs w:val="20"/>
        </w:rPr>
        <w:t>Contexto:</w:t>
      </w:r>
      <w:r w:rsidRPr="000A5982">
        <w:rPr>
          <w:rFonts w:ascii="Cambria" w:eastAsia="Calibri" w:hAnsi="Cambria" w:cs="Calibri"/>
          <w:sz w:val="20"/>
          <w:lang w:eastAsia="es-ES"/>
        </w:rPr>
        <w:t xml:space="preserve"> E</w:t>
      </w:r>
      <w:r w:rsidRPr="000A5982">
        <w:rPr>
          <w:rFonts w:ascii="Cambria" w:eastAsia="Calibri" w:hAnsi="Cambria" w:cs="Calibri"/>
          <w:i/>
          <w:iCs/>
          <w:sz w:val="20"/>
          <w:lang w:eastAsia="es-ES"/>
        </w:rPr>
        <w:t xml:space="preserve">n 2024, el SCRS revisará los datos y la información existentes relacionados con el ciclo vital y el estado de conservación de las rayas mobúlidas, y confirmará si cumplen la definición de taxón de mayor </w:t>
      </w:r>
      <w:r w:rsidRPr="000A5982">
        <w:rPr>
          <w:rFonts w:ascii="Cambria" w:eastAsia="Calibri" w:hAnsi="Cambria" w:cs="Arial"/>
          <w:i/>
          <w:iCs/>
          <w:kern w:val="2"/>
          <w:sz w:val="20"/>
          <w:szCs w:val="20"/>
          <w:lang w:val="es-AR" w:eastAsia="es-ES"/>
          <w14:ligatures w14:val="standardContextual"/>
        </w:rPr>
        <w:t>vulnerabilidad</w:t>
      </w:r>
      <w:r w:rsidRPr="000A5982">
        <w:rPr>
          <w:rFonts w:ascii="Cambria" w:eastAsia="Calibri" w:hAnsi="Cambria" w:cs="Calibri"/>
          <w:i/>
          <w:iCs/>
          <w:sz w:val="20"/>
          <w:lang w:eastAsia="es-ES"/>
        </w:rPr>
        <w:t xml:space="preserve"> biológica y preocupación para la conservación para el que existen muy pocos datos. Si este fuera el caso, el SCRS asesorará sobre la conveniencia de aplicar medidas de ordenación precautorias como la prohibición de retención. El SCRS también podrá identificar opciones para futuras investigaciones y recopilación de datos, así como asesorar sobre otras medidas de mitigación.</w:t>
      </w:r>
    </w:p>
    <w:p w14:paraId="1CFFAF5F" w14:textId="77777777" w:rsidR="00EF4FD8" w:rsidRPr="0099704B" w:rsidRDefault="00EF4FD8" w:rsidP="00EF4FD8">
      <w:pPr>
        <w:jc w:val="both"/>
        <w:rPr>
          <w:rFonts w:ascii="Cambria" w:eastAsia="Calibri" w:hAnsi="Cambria" w:cs="Calibri"/>
          <w:i/>
          <w:iCs/>
          <w:sz w:val="20"/>
          <w:lang w:eastAsia="es-ES"/>
        </w:rPr>
      </w:pPr>
    </w:p>
    <w:p w14:paraId="17F78038" w14:textId="77777777" w:rsidR="00EF4FD8" w:rsidRPr="000A5982" w:rsidRDefault="00EF4FD8" w:rsidP="00EF4FD8">
      <w:pPr>
        <w:jc w:val="both"/>
        <w:rPr>
          <w:rFonts w:ascii="Cambria" w:hAnsi="Cambria"/>
          <w:sz w:val="20"/>
          <w:szCs w:val="20"/>
        </w:rPr>
      </w:pPr>
      <w:r w:rsidRPr="000A5982">
        <w:rPr>
          <w:rFonts w:ascii="Cambria" w:hAnsi="Cambria"/>
          <w:sz w:val="20"/>
        </w:rPr>
        <w:t xml:space="preserve">En 2024, el Comité respondió a la solicitud de la Comisión (véase el punto </w:t>
      </w:r>
      <w:hyperlink r:id="rId39" w:history="1">
        <w:r w:rsidRPr="000A5982">
          <w:rPr>
            <w:rStyle w:val="Hyperlink"/>
            <w:rFonts w:ascii="Cambria" w:hAnsi="Cambria"/>
            <w:sz w:val="20"/>
            <w:u w:val="none"/>
          </w:rPr>
          <w:t>19.24 del informe de la sesión plenaria del SCRS de 2024</w:t>
        </w:r>
      </w:hyperlink>
      <w:r w:rsidRPr="000A5982">
        <w:rPr>
          <w:rFonts w:ascii="Cambria" w:hAnsi="Cambria"/>
          <w:sz w:val="20"/>
        </w:rPr>
        <w:t xml:space="preserve">) recomendando que se aplicara plenamente la </w:t>
      </w:r>
      <w:hyperlink r:id="rId40" w:history="1">
        <w:r w:rsidRPr="000A5982">
          <w:rPr>
            <w:rStyle w:val="Hyperlink"/>
            <w:rFonts w:ascii="Cambria" w:hAnsi="Cambria"/>
            <w:sz w:val="20"/>
            <w:u w:val="none"/>
          </w:rPr>
          <w:t>Rec.</w:t>
        </w:r>
      </w:hyperlink>
      <w:hyperlink r:id="rId41" w:history="1">
        <w:r w:rsidRPr="000A5982">
          <w:rPr>
            <w:rStyle w:val="Hyperlink"/>
            <w:rFonts w:ascii="Cambria" w:hAnsi="Cambria"/>
            <w:sz w:val="20"/>
            <w:u w:val="none"/>
          </w:rPr>
          <w:t xml:space="preserve"> 23-14</w:t>
        </w:r>
      </w:hyperlink>
      <w:r w:rsidRPr="000A5982">
        <w:t>.</w:t>
      </w:r>
      <w:r w:rsidRPr="000A5982">
        <w:rPr>
          <w:rFonts w:ascii="Cambria" w:hAnsi="Cambria"/>
          <w:sz w:val="20"/>
        </w:rPr>
        <w:t xml:space="preserve"> En 2024 la Comisión adoptó la </w:t>
      </w:r>
      <w:hyperlink r:id="rId42" w:history="1">
        <w:r w:rsidRPr="000A5982">
          <w:rPr>
            <w:rStyle w:val="Hyperlink"/>
            <w:rFonts w:ascii="Cambria" w:hAnsi="Cambria"/>
            <w:sz w:val="20"/>
            <w:u w:val="none"/>
          </w:rPr>
          <w:t>Rec.</w:t>
        </w:r>
      </w:hyperlink>
      <w:hyperlink r:id="rId43" w:history="1">
        <w:r w:rsidRPr="000A5982">
          <w:rPr>
            <w:rStyle w:val="Hyperlink"/>
            <w:rFonts w:ascii="Cambria" w:hAnsi="Cambria"/>
            <w:sz w:val="20"/>
            <w:u w:val="none"/>
          </w:rPr>
          <w:t xml:space="preserve"> 24-12</w:t>
        </w:r>
      </w:hyperlink>
      <w:r w:rsidRPr="000A5982">
        <w:rPr>
          <w:rFonts w:ascii="Cambria" w:hAnsi="Cambria"/>
          <w:sz w:val="20"/>
        </w:rPr>
        <w:t xml:space="preserve">, que derogó y reemplazó a la </w:t>
      </w:r>
      <w:hyperlink r:id="rId44" w:history="1">
        <w:r w:rsidRPr="000A5982">
          <w:rPr>
            <w:rStyle w:val="Hyperlink"/>
            <w:rFonts w:ascii="Cambria" w:hAnsi="Cambria"/>
            <w:sz w:val="20"/>
            <w:u w:val="none"/>
          </w:rPr>
          <w:t>Rec.</w:t>
        </w:r>
      </w:hyperlink>
      <w:hyperlink r:id="rId45" w:history="1">
        <w:r w:rsidRPr="000A5982">
          <w:rPr>
            <w:rStyle w:val="Hyperlink"/>
            <w:rFonts w:ascii="Cambria" w:hAnsi="Cambria"/>
            <w:sz w:val="20"/>
            <w:u w:val="none"/>
          </w:rPr>
          <w:t xml:space="preserve"> 23-14</w:t>
        </w:r>
      </w:hyperlink>
      <w:r w:rsidRPr="000A5982">
        <w:t>.</w:t>
      </w:r>
      <w:r w:rsidRPr="000A5982">
        <w:rPr>
          <w:rFonts w:ascii="Cambria" w:hAnsi="Cambria"/>
          <w:sz w:val="20"/>
        </w:rPr>
        <w:t xml:space="preserve"> </w:t>
      </w:r>
    </w:p>
    <w:p w14:paraId="0CFE9A5F" w14:textId="77777777" w:rsidR="00EF4FD8" w:rsidRPr="000A5982" w:rsidRDefault="00EF4FD8" w:rsidP="00EF4FD8">
      <w:pPr>
        <w:jc w:val="both"/>
        <w:rPr>
          <w:rFonts w:ascii="Cambria" w:hAnsi="Cambria"/>
          <w:sz w:val="20"/>
          <w:szCs w:val="20"/>
        </w:rPr>
      </w:pPr>
    </w:p>
    <w:p w14:paraId="1E74E091" w14:textId="77777777" w:rsidR="00EF4FD8" w:rsidRPr="0099704B" w:rsidRDefault="00EF4FD8" w:rsidP="00EF4FD8">
      <w:pPr>
        <w:jc w:val="both"/>
        <w:rPr>
          <w:rFonts w:ascii="Cambria" w:hAnsi="Cambria"/>
          <w:sz w:val="20"/>
          <w:szCs w:val="20"/>
        </w:rPr>
      </w:pPr>
      <w:r w:rsidRPr="000A5982">
        <w:rPr>
          <w:rFonts w:ascii="Cambria" w:hAnsi="Cambria"/>
          <w:sz w:val="20"/>
        </w:rPr>
        <w:t>El Comité entiende que ahora ya no es necesario responder a esta solicitud mientras no se presente nueva información sobre medidas de mitigación o líneas de investigación.</w:t>
      </w:r>
      <w:r w:rsidRPr="0099704B">
        <w:rPr>
          <w:rFonts w:ascii="Cambria" w:hAnsi="Cambria"/>
          <w:sz w:val="20"/>
        </w:rPr>
        <w:t xml:space="preserve"> </w:t>
      </w:r>
    </w:p>
    <w:p w14:paraId="04D7DB0B" w14:textId="77777777" w:rsidR="00EF4FD8" w:rsidRPr="0099704B" w:rsidRDefault="00EF4FD8" w:rsidP="00EF4FD8">
      <w:pPr>
        <w:jc w:val="both"/>
        <w:rPr>
          <w:rFonts w:ascii="Cambria" w:eastAsia="Calibri" w:hAnsi="Cambria" w:cs="Calibri"/>
          <w:i/>
          <w:iCs/>
          <w:sz w:val="20"/>
          <w:lang w:eastAsia="es-ES"/>
        </w:rPr>
      </w:pPr>
    </w:p>
    <w:p w14:paraId="67FAE998" w14:textId="77777777" w:rsidR="00EF4FD8" w:rsidRPr="0099704B" w:rsidRDefault="00EF4FD8" w:rsidP="00EF4FD8">
      <w:pPr>
        <w:suppressAutoHyphens/>
        <w:jc w:val="both"/>
        <w:rPr>
          <w:rFonts w:ascii="Cambria" w:eastAsia="Cambria" w:hAnsi="Cambria" w:cs="Cambria"/>
          <w:b/>
          <w:iCs/>
          <w:color w:val="000000"/>
          <w:sz w:val="20"/>
          <w:szCs w:val="20"/>
        </w:rPr>
      </w:pPr>
    </w:p>
    <w:p w14:paraId="1FE059B1" w14:textId="77777777" w:rsidR="00EF4FD8" w:rsidRPr="000A5982" w:rsidRDefault="00EF4FD8" w:rsidP="00EF4FD8">
      <w:pPr>
        <w:tabs>
          <w:tab w:val="center" w:pos="4513"/>
          <w:tab w:val="left" w:pos="6804"/>
        </w:tabs>
        <w:rPr>
          <w:rFonts w:ascii="Cambria" w:hAnsi="Cambria"/>
          <w:b/>
          <w:i/>
          <w:iCs/>
          <w:sz w:val="20"/>
          <w:szCs w:val="20"/>
        </w:rPr>
      </w:pPr>
      <w:r w:rsidRPr="000A5982">
        <w:rPr>
          <w:rFonts w:ascii="Cambria" w:hAnsi="Cambria"/>
          <w:b/>
          <w:bCs/>
          <w:i/>
          <w:iCs/>
          <w:sz w:val="20"/>
          <w:szCs w:val="20"/>
        </w:rPr>
        <w:lastRenderedPageBreak/>
        <w:t>19.23 El SCRS formulará asesoramiento de forma periódica sobre el área de distribución geográfica del tiburón peregrino y del jaquetón blanco</w:t>
      </w:r>
      <w:r w:rsidRPr="000A5982">
        <w:rPr>
          <w:rFonts w:ascii="Cambria" w:hAnsi="Cambria"/>
          <w:sz w:val="20"/>
          <w:szCs w:val="20"/>
        </w:rPr>
        <w:t xml:space="preserve">, </w:t>
      </w:r>
      <w:hyperlink r:id="rId46" w:history="1">
        <w:r w:rsidRPr="000A5982">
          <w:rPr>
            <w:rStyle w:val="Hyperlink"/>
            <w:rFonts w:ascii="Cambria" w:hAnsi="Cambria"/>
            <w:b/>
            <w:i/>
            <w:sz w:val="20"/>
            <w:szCs w:val="20"/>
            <w:u w:val="none"/>
          </w:rPr>
          <w:t>Rec. 25-07</w:t>
        </w:r>
        <w:r w:rsidRPr="000A5982">
          <w:rPr>
            <w:rStyle w:val="Hyperlink"/>
            <w:rFonts w:ascii="Cambria" w:hAnsi="Cambria"/>
            <w:b/>
            <w:sz w:val="20"/>
            <w:szCs w:val="20"/>
            <w:u w:val="none"/>
          </w:rPr>
          <w:t>,</w:t>
        </w:r>
      </w:hyperlink>
      <w:r w:rsidRPr="000A5982">
        <w:rPr>
          <w:rFonts w:ascii="Cambria" w:hAnsi="Cambria"/>
          <w:b/>
          <w:i/>
          <w:sz w:val="20"/>
          <w:szCs w:val="20"/>
        </w:rPr>
        <w:t xml:space="preserve"> párr. 7</w:t>
      </w:r>
      <w:r w:rsidRPr="000A5982">
        <w:rPr>
          <w:rFonts w:ascii="Cambria" w:hAnsi="Cambria"/>
          <w:i/>
          <w:sz w:val="20"/>
          <w:szCs w:val="20"/>
        </w:rPr>
        <w:t xml:space="preserve"> </w:t>
      </w:r>
    </w:p>
    <w:p w14:paraId="7CDD9D3C" w14:textId="77777777" w:rsidR="00EF4FD8" w:rsidRPr="000A5982" w:rsidRDefault="00EF4FD8" w:rsidP="00EF4FD8">
      <w:pPr>
        <w:tabs>
          <w:tab w:val="center" w:pos="4513"/>
          <w:tab w:val="left" w:pos="6804"/>
        </w:tabs>
        <w:rPr>
          <w:rFonts w:ascii="Cambria" w:hAnsi="Cambria"/>
          <w:b/>
          <w:i/>
          <w:iCs/>
          <w:sz w:val="20"/>
          <w:szCs w:val="20"/>
        </w:rPr>
      </w:pPr>
    </w:p>
    <w:p w14:paraId="5CE60101" w14:textId="77777777" w:rsidR="00EF4FD8" w:rsidRPr="0099704B" w:rsidRDefault="00EF4FD8" w:rsidP="00EF4FD8">
      <w:pPr>
        <w:jc w:val="both"/>
        <w:rPr>
          <w:rFonts w:ascii="Cambria" w:eastAsia="Aptos" w:hAnsi="Cambria" w:cs="Cambria"/>
          <w:i/>
          <w:iCs/>
          <w:kern w:val="2"/>
          <w:sz w:val="20"/>
          <w:szCs w:val="20"/>
          <w14:ligatures w14:val="standardContextual"/>
        </w:rPr>
      </w:pPr>
      <w:r w:rsidRPr="000A5982">
        <w:rPr>
          <w:rFonts w:ascii="Cambria" w:hAnsi="Cambria"/>
          <w:b/>
          <w:sz w:val="20"/>
          <w:szCs w:val="20"/>
        </w:rPr>
        <w:t>Contexto:</w:t>
      </w:r>
      <w:r w:rsidRPr="000A5982">
        <w:rPr>
          <w:rFonts w:ascii="Cambria" w:eastAsia="Aptos" w:hAnsi="Cambria" w:cs="Cambria"/>
          <w:i/>
          <w:iCs/>
          <w:kern w:val="2"/>
          <w:sz w:val="20"/>
          <w:szCs w:val="20"/>
          <w14:ligatures w14:val="standardContextual"/>
        </w:rPr>
        <w:t xml:space="preserve"> Sin perjuicio de lo dispuesto en el párrafo 6, en 2026 y periódicamente tras ese año, el SCRS formulará asesoramiento sobre el área de distribución geográfica del tiburón peregrino y del jaquetón blanco. Las CPC cuyos buques operen exclusivamente fuera del área de distribución geográfica objeto del asesoramiento quedarán entonces exentas de las medidas previstas en los párrafos 1, 2 y 3, previa decisión de la Comisión basándose en el asesoramiento del SCRS. El análisis de exención debería ser específico para cada especie, teniendo en cuenta el área de distribución geográfica de ambas especies. Si el SCRS considera que esta área geográfica es incorrecta, la exención no se aplicará.</w:t>
      </w:r>
    </w:p>
    <w:p w14:paraId="7EC16717" w14:textId="77777777" w:rsidR="00EF4FD8" w:rsidRPr="0099704B" w:rsidRDefault="00EF4FD8" w:rsidP="00EF4FD8">
      <w:pPr>
        <w:jc w:val="both"/>
        <w:rPr>
          <w:rFonts w:ascii="Cambria" w:eastAsia="Aptos" w:hAnsi="Cambria" w:cs="Cambria"/>
          <w:i/>
          <w:iCs/>
          <w:kern w:val="2"/>
          <w:sz w:val="20"/>
          <w:szCs w:val="20"/>
          <w14:ligatures w14:val="standardContextual"/>
        </w:rPr>
      </w:pPr>
    </w:p>
    <w:p w14:paraId="5C9CD47D" w14:textId="77777777" w:rsidR="00EF4FD8" w:rsidRPr="0099704B" w:rsidRDefault="00EF4FD8" w:rsidP="00EF4FD8">
      <w:pPr>
        <w:suppressAutoHyphens/>
        <w:jc w:val="both"/>
        <w:rPr>
          <w:rFonts w:ascii="Cambria" w:hAnsi="Cambria"/>
          <w:sz w:val="20"/>
          <w:szCs w:val="20"/>
        </w:rPr>
      </w:pPr>
      <w:r w:rsidRPr="000A5982">
        <w:rPr>
          <w:rFonts w:ascii="Cambria" w:hAnsi="Cambria"/>
          <w:sz w:val="20"/>
        </w:rPr>
        <w:t xml:space="preserve">En 2026 no se presentó ningún documento al Comité sobre el área de distribución geográfica de estas especies. Además, ninguna CPC solicitó quedar exenta de las medidas que figuran en los párrafos 1, 2 y 3 de la </w:t>
      </w:r>
      <w:hyperlink r:id="rId47" w:history="1">
        <w:r w:rsidRPr="000A5982">
          <w:rPr>
            <w:rStyle w:val="Hyperlink"/>
            <w:rFonts w:ascii="Cambria" w:hAnsi="Cambria"/>
            <w:sz w:val="20"/>
            <w:u w:val="none"/>
          </w:rPr>
          <w:t>Rec.</w:t>
        </w:r>
      </w:hyperlink>
      <w:hyperlink r:id="rId48" w:history="1">
        <w:r w:rsidRPr="000A5982">
          <w:rPr>
            <w:rStyle w:val="Hyperlink"/>
            <w:rFonts w:ascii="Cambria" w:hAnsi="Cambria"/>
            <w:sz w:val="20"/>
            <w:u w:val="none"/>
          </w:rPr>
          <w:t xml:space="preserve"> 25-07</w:t>
        </w:r>
      </w:hyperlink>
      <w:r w:rsidRPr="000A5982">
        <w:rPr>
          <w:rFonts w:ascii="Cambria" w:hAnsi="Cambria"/>
          <w:sz w:val="20"/>
        </w:rPr>
        <w:t>.</w:t>
      </w:r>
      <w:r w:rsidRPr="0099704B">
        <w:rPr>
          <w:rFonts w:ascii="Cambria" w:hAnsi="Cambria"/>
          <w:sz w:val="20"/>
        </w:rPr>
        <w:t xml:space="preserve"> </w:t>
      </w:r>
    </w:p>
    <w:p w14:paraId="0790B86C" w14:textId="77777777" w:rsidR="00EF4FD8" w:rsidRPr="0099704B" w:rsidRDefault="00EF4FD8" w:rsidP="00EF4FD8">
      <w:pPr>
        <w:jc w:val="both"/>
        <w:rPr>
          <w:rFonts w:ascii="Cambria" w:eastAsia="Cambria" w:hAnsi="Cambria" w:cs="Cambria"/>
          <w:i/>
          <w:iCs/>
          <w:kern w:val="2"/>
          <w:sz w:val="20"/>
          <w:szCs w:val="20"/>
          <w14:ligatures w14:val="standardContextual"/>
        </w:rPr>
      </w:pPr>
    </w:p>
    <w:p w14:paraId="55FFC81F" w14:textId="77777777" w:rsidR="00EF4FD8" w:rsidRPr="000A5982" w:rsidRDefault="00EF4FD8" w:rsidP="00EF4FD8">
      <w:pPr>
        <w:suppressAutoHyphens/>
        <w:jc w:val="both"/>
        <w:rPr>
          <w:rFonts w:ascii="Cambria" w:hAnsi="Cambria"/>
          <w:b/>
          <w:i/>
          <w:iCs/>
          <w:sz w:val="20"/>
          <w:szCs w:val="20"/>
        </w:rPr>
      </w:pPr>
      <w:r w:rsidRPr="000A5982">
        <w:rPr>
          <w:rFonts w:ascii="Cambria" w:hAnsi="Cambria"/>
          <w:b/>
          <w:bCs/>
          <w:i/>
          <w:iCs/>
          <w:sz w:val="20"/>
          <w:szCs w:val="20"/>
        </w:rPr>
        <w:t>19.24 Las CPC presentarán al SCRS la metodología estadística utilizada para estimar los descartes de ejemplares muertos y las liberaciones de ejemplares vivos, el SCRS revisará y aprobará los métodos y, si se determina que los métodos no están bien fundamentados desde el punto de vista científico, el SCRS proporcionará los comentarios pertinentes a las CPC en cuestión para mejorarlos</w:t>
      </w:r>
      <w:r w:rsidRPr="000A5982">
        <w:rPr>
          <w:rFonts w:ascii="Cambria" w:hAnsi="Cambria"/>
          <w:sz w:val="20"/>
          <w:szCs w:val="20"/>
        </w:rPr>
        <w:t xml:space="preserve"> </w:t>
      </w:r>
      <w:hyperlink r:id="rId49" w:history="1">
        <w:r w:rsidRPr="000A5982">
          <w:rPr>
            <w:rStyle w:val="Hyperlink"/>
            <w:rFonts w:ascii="Cambria" w:hAnsi="Cambria"/>
            <w:b/>
            <w:i/>
            <w:sz w:val="20"/>
            <w:szCs w:val="20"/>
            <w:u w:val="none"/>
          </w:rPr>
          <w:t xml:space="preserve">Rec. 25-08, </w:t>
        </w:r>
      </w:hyperlink>
      <w:r w:rsidRPr="000A5982">
        <w:rPr>
          <w:rFonts w:ascii="Cambria" w:hAnsi="Cambria"/>
          <w:b/>
          <w:i/>
          <w:sz w:val="20"/>
          <w:szCs w:val="20"/>
        </w:rPr>
        <w:t xml:space="preserve">párr. 14 </w:t>
      </w:r>
    </w:p>
    <w:p w14:paraId="50AD32A4" w14:textId="77777777" w:rsidR="00EF4FD8" w:rsidRPr="000A5982" w:rsidRDefault="00EF4FD8" w:rsidP="00EF4FD8">
      <w:pPr>
        <w:tabs>
          <w:tab w:val="center" w:pos="4513"/>
          <w:tab w:val="left" w:pos="6804"/>
        </w:tabs>
        <w:rPr>
          <w:rFonts w:ascii="Cambria" w:hAnsi="Cambria"/>
          <w:b/>
          <w:i/>
          <w:iCs/>
          <w:sz w:val="20"/>
          <w:szCs w:val="20"/>
        </w:rPr>
      </w:pPr>
    </w:p>
    <w:p w14:paraId="1F7C8E34" w14:textId="77777777" w:rsidR="00EF4FD8" w:rsidRPr="0099704B" w:rsidRDefault="00EF4FD8" w:rsidP="00EF4FD8">
      <w:pPr>
        <w:jc w:val="both"/>
        <w:rPr>
          <w:rFonts w:ascii="Cambria" w:hAnsi="Cambria"/>
          <w:i/>
          <w:sz w:val="20"/>
          <w:szCs w:val="20"/>
        </w:rPr>
      </w:pPr>
      <w:r w:rsidRPr="000A5982">
        <w:rPr>
          <w:rFonts w:ascii="Cambria" w:hAnsi="Cambria"/>
          <w:b/>
          <w:sz w:val="20"/>
          <w:szCs w:val="20"/>
        </w:rPr>
        <w:t>Contexto:</w:t>
      </w:r>
      <w:r w:rsidRPr="000A5982">
        <w:rPr>
          <w:rFonts w:ascii="Cambria" w:hAnsi="Cambria"/>
          <w:b/>
          <w:i/>
          <w:sz w:val="20"/>
          <w:szCs w:val="20"/>
        </w:rPr>
        <w:t xml:space="preserve"> </w:t>
      </w:r>
      <w:r w:rsidRPr="000A5982">
        <w:rPr>
          <w:rFonts w:ascii="Cambria" w:hAnsi="Cambria"/>
          <w:i/>
          <w:sz w:val="20"/>
          <w:szCs w:val="20"/>
        </w:rPr>
        <w:t>Las CPC que comunicaron capturas medias anuales (desembarques y descartes de ejemplares muertos) de marrajo dientuso del Atlántico sur de más de 1 t entre 2018 y 2020 presentarán al SCRS la metodología estadística utilizada para estimar los descartes de ejemplares muertos y las liberaciones de ejemplares vivos. Las CPC con pesquerías artesanales y de pequeña escala proporcionarán también información sobre sus programas de recopilación de datos. El SCRS revisará y aprobará los métodos y, si se determina que los métodos no están bien fundamentados desde el punto de vista científico, el SCRS proporcionará los comentarios pertinentes a las CPC en cuestión para mejorarlos. Las CPC que no hayan proporcionado su estimación de descartes de ejemplares muertos y liberaciones de ejemplares vivos para su revisión por parte del SCRS en 2027 no permitirán la retención de marrajo dientuso.</w:t>
      </w:r>
      <w:r w:rsidRPr="0099704B">
        <w:rPr>
          <w:rFonts w:ascii="Cambria" w:hAnsi="Cambria"/>
          <w:i/>
          <w:sz w:val="20"/>
          <w:szCs w:val="20"/>
        </w:rPr>
        <w:t xml:space="preserve">   </w:t>
      </w:r>
    </w:p>
    <w:p w14:paraId="08682574" w14:textId="77777777" w:rsidR="00EF4FD8" w:rsidRPr="0099704B" w:rsidRDefault="00EF4FD8" w:rsidP="00EF4FD8">
      <w:pPr>
        <w:jc w:val="both"/>
        <w:rPr>
          <w:rFonts w:ascii="Cambria" w:hAnsi="Cambria"/>
          <w:i/>
          <w:sz w:val="20"/>
          <w:szCs w:val="20"/>
        </w:rPr>
      </w:pPr>
    </w:p>
    <w:p w14:paraId="1E718E56" w14:textId="77777777" w:rsidR="00EF4FD8" w:rsidRPr="0099704B" w:rsidRDefault="00EF4FD8" w:rsidP="00EF4FD8">
      <w:pPr>
        <w:suppressAutoHyphens/>
        <w:jc w:val="both"/>
        <w:rPr>
          <w:rFonts w:ascii="Cambria" w:hAnsi="Cambria"/>
          <w:sz w:val="20"/>
          <w:szCs w:val="20"/>
        </w:rPr>
      </w:pPr>
      <w:r w:rsidRPr="000A5982">
        <w:rPr>
          <w:rFonts w:ascii="Cambria" w:hAnsi="Cambria"/>
          <w:sz w:val="20"/>
          <w:szCs w:val="20"/>
        </w:rPr>
        <w:t xml:space="preserve">A lo largo de 2026, se elaboraron documentos relacionados con la metodología estadística para estimar las capturas de marrajo dientuso, de conformidad con la </w:t>
      </w:r>
      <w:hyperlink r:id="rId50" w:history="1">
        <w:r w:rsidRPr="000A5982">
          <w:rPr>
            <w:rFonts w:ascii="Cambria" w:hAnsi="Cambria"/>
            <w:sz w:val="20"/>
          </w:rPr>
          <w:t>Rec. 21-09</w:t>
        </w:r>
      </w:hyperlink>
      <w:r w:rsidRPr="000A5982">
        <w:rPr>
          <w:rFonts w:ascii="Cambria" w:hAnsi="Cambria"/>
          <w:sz w:val="20"/>
          <w:szCs w:val="20"/>
        </w:rPr>
        <w:t xml:space="preserve"> y </w:t>
      </w:r>
      <w:hyperlink r:id="rId51" w:history="1">
        <w:r w:rsidRPr="000A5982">
          <w:rPr>
            <w:rFonts w:ascii="Cambria" w:hAnsi="Cambria"/>
            <w:sz w:val="20"/>
          </w:rPr>
          <w:t>Rec. 25-08</w:t>
        </w:r>
      </w:hyperlink>
      <w:r w:rsidRPr="000A5982">
        <w:rPr>
          <w:rFonts w:ascii="Cambria" w:hAnsi="Cambria"/>
          <w:sz w:val="20"/>
          <w:szCs w:val="20"/>
        </w:rPr>
        <w:t xml:space="preserve">, fueron presentadas por Sudáfrica (DaSilva </w:t>
      </w:r>
      <w:r w:rsidRPr="000A5982">
        <w:rPr>
          <w:rFonts w:ascii="Cambria" w:hAnsi="Cambria"/>
          <w:i/>
          <w:iCs/>
          <w:sz w:val="20"/>
          <w:szCs w:val="20"/>
        </w:rPr>
        <w:t xml:space="preserve">et al., </w:t>
      </w:r>
      <w:r w:rsidRPr="000A5982">
        <w:rPr>
          <w:rFonts w:ascii="Cambria" w:hAnsi="Cambria"/>
          <w:sz w:val="20"/>
          <w:szCs w:val="20"/>
        </w:rPr>
        <w:t xml:space="preserve">(en prensa) SCRS/2026/134), UE-Portugal (DaSilva </w:t>
      </w:r>
      <w:r w:rsidRPr="000A5982">
        <w:rPr>
          <w:rFonts w:ascii="Cambria" w:hAnsi="Cambria"/>
          <w:i/>
          <w:iCs/>
          <w:sz w:val="20"/>
          <w:szCs w:val="20"/>
        </w:rPr>
        <w:t>et al.,</w:t>
      </w:r>
      <w:r w:rsidRPr="000A5982">
        <w:rPr>
          <w:rFonts w:ascii="Cambria" w:hAnsi="Cambria"/>
          <w:sz w:val="20"/>
          <w:szCs w:val="20"/>
        </w:rPr>
        <w:t xml:space="preserve"> (en prensa) SCRS/2026/082), EU-Spain (Baez et al., (en prensa) SCRS/2026/097) and Namibia (Jagger et al., (en prensa) SCRS/2026/135) ante el Grupo de trabajo sobre métodos de evaluación de stocks (WGSAM).</w:t>
      </w:r>
    </w:p>
    <w:p w14:paraId="056E3FC1" w14:textId="77777777" w:rsidR="00EF4FD8" w:rsidRPr="0099704B" w:rsidRDefault="00EF4FD8" w:rsidP="00EF4FD8">
      <w:pPr>
        <w:jc w:val="right"/>
        <w:rPr>
          <w:rFonts w:ascii="Cambria" w:hAnsi="Cambria"/>
          <w:b/>
          <w:sz w:val="20"/>
          <w:szCs w:val="20"/>
        </w:rPr>
      </w:pPr>
    </w:p>
    <w:p w14:paraId="71907FAA" w14:textId="77777777" w:rsidR="00EF4FD8" w:rsidRPr="000A5982" w:rsidRDefault="00EF4FD8" w:rsidP="00EF4FD8">
      <w:pPr>
        <w:tabs>
          <w:tab w:val="center" w:pos="4513"/>
          <w:tab w:val="left" w:pos="6804"/>
        </w:tabs>
        <w:jc w:val="both"/>
        <w:rPr>
          <w:rFonts w:ascii="Cambria" w:hAnsi="Cambria"/>
          <w:b/>
          <w:i/>
          <w:iCs/>
          <w:sz w:val="20"/>
          <w:szCs w:val="20"/>
        </w:rPr>
      </w:pPr>
      <w:r w:rsidRPr="000A5982">
        <w:rPr>
          <w:rFonts w:ascii="Cambria" w:hAnsi="Cambria"/>
          <w:b/>
          <w:i/>
          <w:sz w:val="20"/>
        </w:rPr>
        <w:t>19.25</w:t>
      </w:r>
      <w:r w:rsidRPr="000A5982">
        <w:t xml:space="preserve"> </w:t>
      </w:r>
      <w:r w:rsidRPr="000A5982">
        <w:rPr>
          <w:rFonts w:ascii="Cambria" w:hAnsi="Cambria"/>
          <w:b/>
          <w:i/>
          <w:sz w:val="20"/>
        </w:rPr>
        <w:t xml:space="preserve">El SCRS continuará asignando prioridad a la investigación, </w:t>
      </w:r>
      <w:hyperlink r:id="rId52" w:history="1">
        <w:r w:rsidRPr="000A5982">
          <w:rPr>
            <w:rStyle w:val="Hyperlink"/>
            <w:rFonts w:ascii="Cambria" w:hAnsi="Cambria"/>
            <w:b/>
            <w:i/>
            <w:sz w:val="20"/>
            <w:u w:val="none"/>
          </w:rPr>
          <w:t>Rec.</w:t>
        </w:r>
      </w:hyperlink>
      <w:hyperlink r:id="rId53" w:history="1">
        <w:r w:rsidRPr="000A5982">
          <w:rPr>
            <w:rStyle w:val="Hyperlink"/>
            <w:rFonts w:ascii="Cambria" w:hAnsi="Cambria"/>
            <w:b/>
            <w:i/>
            <w:sz w:val="20"/>
            <w:u w:val="none"/>
          </w:rPr>
          <w:t xml:space="preserve"> 25-08</w:t>
        </w:r>
      </w:hyperlink>
      <w:r w:rsidRPr="000A5982">
        <w:rPr>
          <w:rFonts w:ascii="Cambria" w:hAnsi="Cambria"/>
          <w:b/>
          <w:i/>
          <w:sz w:val="20"/>
        </w:rPr>
        <w:t xml:space="preserve">, párr. 20  </w:t>
      </w:r>
    </w:p>
    <w:p w14:paraId="4F7E9192" w14:textId="77777777" w:rsidR="00EF4FD8" w:rsidRPr="000A5982" w:rsidRDefault="00EF4FD8" w:rsidP="00EF4FD8">
      <w:pPr>
        <w:tabs>
          <w:tab w:val="center" w:pos="4513"/>
          <w:tab w:val="left" w:pos="6804"/>
        </w:tabs>
        <w:rPr>
          <w:rFonts w:ascii="Cambria" w:hAnsi="Cambria"/>
          <w:b/>
          <w:i/>
          <w:iCs/>
          <w:sz w:val="20"/>
          <w:szCs w:val="20"/>
        </w:rPr>
      </w:pPr>
    </w:p>
    <w:p w14:paraId="45A36EC5" w14:textId="77777777" w:rsidR="00EF4FD8" w:rsidRPr="000A5982" w:rsidRDefault="00EF4FD8" w:rsidP="00EF4FD8">
      <w:pPr>
        <w:jc w:val="both"/>
        <w:rPr>
          <w:rFonts w:ascii="Cambria" w:hAnsi="Cambria"/>
          <w:sz w:val="20"/>
          <w:szCs w:val="20"/>
        </w:rPr>
      </w:pPr>
      <w:r w:rsidRPr="000A5982">
        <w:rPr>
          <w:rFonts w:ascii="Cambria" w:hAnsi="Cambria"/>
          <w:b/>
          <w:sz w:val="20"/>
        </w:rPr>
        <w:t>Contexto:</w:t>
      </w:r>
      <w:r w:rsidRPr="000A5982">
        <w:rPr>
          <w:rFonts w:ascii="Cambria" w:hAnsi="Cambria"/>
          <w:b/>
          <w:i/>
          <w:sz w:val="20"/>
        </w:rPr>
        <w:t xml:space="preserve"> </w:t>
      </w:r>
      <w:r w:rsidRPr="000A5982">
        <w:rPr>
          <w:rFonts w:ascii="Cambria" w:hAnsi="Cambria"/>
          <w:i/>
          <w:sz w:val="20"/>
        </w:rPr>
        <w:t>El SCRS continuará asignando prioridad a la investigación sobre: identificación de zonas de apareamiento, nacimiento y cría y otras zonas de elevada concentración de marrajo dientuso del Atlántico sur; opciones para las medidas espaciotemporales; medidas de mitigación (lo que incluye la configuración y modificación del arte y sus opciones de despliegue) junto con los beneficios y desventajas para los objetivos del plan de recuperación encaminados a seguir mejorando el estado del stock; y otros aspectos que el SCRS considere que contribuyen a mejorar las evaluaciones de stock y a reducir la mortalidad del marrajo dientuso. Además, se insta a las CPC a investigar la mortalidad en el buque y posterior a la liberación del marrajo dientuso, lo que incluye, pero no exclusivamente, la incorporación de temporizadores de anzuelos y de programas de marcado por satélite.</w:t>
      </w:r>
    </w:p>
    <w:p w14:paraId="29DD6884" w14:textId="77777777" w:rsidR="00EF4FD8" w:rsidRPr="000A5982" w:rsidRDefault="00EF4FD8" w:rsidP="00EF4FD8">
      <w:pPr>
        <w:tabs>
          <w:tab w:val="center" w:pos="4513"/>
          <w:tab w:val="left" w:pos="6804"/>
        </w:tabs>
        <w:rPr>
          <w:rFonts w:ascii="Cambria" w:hAnsi="Cambria"/>
          <w:i/>
          <w:iCs/>
          <w:sz w:val="20"/>
          <w:szCs w:val="20"/>
        </w:rPr>
      </w:pPr>
    </w:p>
    <w:p w14:paraId="2DFF477A" w14:textId="77777777" w:rsidR="00EF4FD8" w:rsidRPr="0099704B" w:rsidRDefault="00EF4FD8" w:rsidP="00EF4FD8">
      <w:pPr>
        <w:tabs>
          <w:tab w:val="center" w:pos="4513"/>
          <w:tab w:val="left" w:pos="6804"/>
        </w:tabs>
        <w:jc w:val="both"/>
        <w:rPr>
          <w:rFonts w:ascii="Cambria" w:hAnsi="Cambria"/>
          <w:sz w:val="20"/>
        </w:rPr>
      </w:pPr>
      <w:r w:rsidRPr="000A5982">
        <w:rPr>
          <w:rFonts w:ascii="Cambria" w:hAnsi="Cambria"/>
          <w:sz w:val="20"/>
        </w:rPr>
        <w:t>El Programa de recopilación de datos e investigación sobre tiburones (SRDCP) comenzó en 2014 centrándose en diferentes aspectos del ciclo vital, la estructura del stock y la pesca del marrajo dientuso. Desde entonces, se ha realizado una gran cantidad de trabajo, que ha producido información muy valiosa sobre la edad y el crecimiento de la especie, la estructura del stock, los movimientos, el uso del hábitat y la mortalidad posterior a la liberación. La mayor parte de la información recopilada se ha utilizado en las evaluaciones del marrajo dientuso correspondientes a los años 2025 y 2026. Sin embargo, sigue habiendo incertidumbre sobre algunos aspectos del ciclo biológico de esta especie, y estos siguen constituyendo una prioridad para el SRDCP.</w:t>
      </w:r>
    </w:p>
    <w:p w14:paraId="3565DDA6" w14:textId="77777777" w:rsidR="00EF4FD8" w:rsidRPr="0099704B" w:rsidRDefault="00EF4FD8" w:rsidP="00EF4FD8">
      <w:pPr>
        <w:tabs>
          <w:tab w:val="center" w:pos="4513"/>
          <w:tab w:val="left" w:pos="6804"/>
        </w:tabs>
        <w:jc w:val="both"/>
        <w:rPr>
          <w:rFonts w:ascii="Cambria" w:hAnsi="Cambria"/>
          <w:sz w:val="20"/>
        </w:rPr>
      </w:pPr>
    </w:p>
    <w:p w14:paraId="708846C9" w14:textId="073EECEE" w:rsidR="00EF4FD8" w:rsidRPr="000A5982" w:rsidRDefault="00EF4FD8" w:rsidP="00BA405C">
      <w:pPr>
        <w:tabs>
          <w:tab w:val="center" w:pos="4513"/>
          <w:tab w:val="left" w:pos="6804"/>
        </w:tabs>
        <w:jc w:val="both"/>
        <w:rPr>
          <w:rFonts w:ascii="Cambria" w:eastAsia="Cambria" w:hAnsi="Cambria" w:cs="Cambria"/>
          <w:b/>
          <w:i/>
          <w:iCs/>
          <w:color w:val="000000"/>
          <w:sz w:val="20"/>
          <w:szCs w:val="20"/>
        </w:rPr>
      </w:pPr>
      <w:r>
        <w:rPr>
          <w:rFonts w:ascii="Cambria" w:hAnsi="Cambria"/>
          <w:sz w:val="20"/>
        </w:rPr>
        <w:t xml:space="preserve"> </w:t>
      </w:r>
      <w:r w:rsidRPr="000A5982">
        <w:rPr>
          <w:rFonts w:ascii="Cambria" w:hAnsi="Cambria"/>
          <w:b/>
          <w:i/>
          <w:iCs/>
          <w:color w:val="000000"/>
          <w:sz w:val="20"/>
          <w:szCs w:val="20"/>
        </w:rPr>
        <w:t xml:space="preserve">19.26 El SCRS estudiará las ventajas de instalar minirregistradores de datos con el fin de comprender mejor los efectos del tiempo de inmersión, las profundidades de pesca y las características </w:t>
      </w:r>
      <w:r w:rsidRPr="000A5982">
        <w:rPr>
          <w:rFonts w:ascii="Cambria" w:hAnsi="Cambria"/>
          <w:b/>
          <w:i/>
          <w:iCs/>
          <w:color w:val="000000"/>
          <w:sz w:val="20"/>
          <w:szCs w:val="20"/>
        </w:rPr>
        <w:lastRenderedPageBreak/>
        <w:t xml:space="preserve">medioambientales que producen capturas incidentales más elevadas de marrajo dientuso, </w:t>
      </w:r>
      <w:hyperlink r:id="rId54" w:history="1">
        <w:r w:rsidRPr="000A5982">
          <w:rPr>
            <w:rStyle w:val="Hyperlink"/>
            <w:rFonts w:ascii="Cambria" w:hAnsi="Cambria"/>
            <w:b/>
            <w:i/>
            <w:sz w:val="20"/>
            <w:szCs w:val="20"/>
            <w:u w:val="none"/>
          </w:rPr>
          <w:t>Rec. 25-08</w:t>
        </w:r>
        <w:r w:rsidRPr="000A5982">
          <w:rPr>
            <w:rStyle w:val="Hyperlink"/>
            <w:rFonts w:ascii="Cambria" w:hAnsi="Cambria"/>
            <w:b/>
            <w:i/>
            <w:iCs/>
            <w:sz w:val="20"/>
            <w:szCs w:val="20"/>
            <w:u w:val="none"/>
          </w:rPr>
          <w:t xml:space="preserve">, </w:t>
        </w:r>
      </w:hyperlink>
      <w:r w:rsidRPr="000A5982">
        <w:rPr>
          <w:rFonts w:ascii="Cambria" w:hAnsi="Cambria"/>
          <w:b/>
          <w:i/>
          <w:iCs/>
          <w:color w:val="000000"/>
          <w:sz w:val="20"/>
          <w:szCs w:val="20"/>
        </w:rPr>
        <w:t>párr. 21</w:t>
      </w:r>
      <w:r w:rsidRPr="000A5982">
        <w:rPr>
          <w:rFonts w:ascii="Cambria" w:hAnsi="Cambria"/>
          <w:i/>
          <w:iCs/>
          <w:sz w:val="20"/>
          <w:szCs w:val="20"/>
        </w:rPr>
        <w:t xml:space="preserve"> </w:t>
      </w:r>
    </w:p>
    <w:p w14:paraId="37108654" w14:textId="77777777" w:rsidR="00EF4FD8" w:rsidRPr="000A5982" w:rsidRDefault="00EF4FD8" w:rsidP="00EF4FD8">
      <w:pPr>
        <w:tabs>
          <w:tab w:val="left" w:pos="0"/>
          <w:tab w:val="left" w:pos="720"/>
          <w:tab w:val="right" w:pos="8505"/>
          <w:tab w:val="right" w:pos="9072"/>
        </w:tabs>
        <w:ind w:right="4"/>
        <w:jc w:val="both"/>
        <w:rPr>
          <w:rFonts w:ascii="Cambria" w:eastAsia="Cambria" w:hAnsi="Cambria" w:cs="Cambria"/>
          <w:b/>
          <w:i/>
          <w:iCs/>
          <w:color w:val="000000"/>
          <w:sz w:val="20"/>
          <w:szCs w:val="20"/>
        </w:rPr>
      </w:pPr>
    </w:p>
    <w:p w14:paraId="0FFE215B" w14:textId="77777777" w:rsidR="00EF4FD8" w:rsidRPr="0099704B" w:rsidRDefault="00EF4FD8" w:rsidP="00EF4FD8">
      <w:pPr>
        <w:tabs>
          <w:tab w:val="left" w:pos="0"/>
          <w:tab w:val="left" w:pos="720"/>
          <w:tab w:val="right" w:pos="8505"/>
          <w:tab w:val="right" w:pos="9072"/>
        </w:tabs>
        <w:ind w:right="4"/>
        <w:jc w:val="both"/>
        <w:rPr>
          <w:rFonts w:ascii="Cambria" w:hAnsi="Cambria"/>
          <w:i/>
          <w:color w:val="000000"/>
          <w:sz w:val="20"/>
          <w:szCs w:val="20"/>
        </w:rPr>
      </w:pPr>
      <w:r w:rsidRPr="000A5982">
        <w:rPr>
          <w:rFonts w:ascii="Cambria" w:hAnsi="Cambria"/>
          <w:b/>
          <w:color w:val="000000"/>
          <w:sz w:val="20"/>
          <w:szCs w:val="20"/>
        </w:rPr>
        <w:t>Contexto:</w:t>
      </w:r>
      <w:r w:rsidRPr="000A5982">
        <w:rPr>
          <w:rFonts w:ascii="Cambria" w:hAnsi="Cambria"/>
          <w:i/>
          <w:color w:val="000000"/>
          <w:sz w:val="20"/>
          <w:szCs w:val="20"/>
        </w:rPr>
        <w:t xml:space="preserve"> Teniendo en cuenta que las concentraciones elevadas de capturas incidentales podrían producirse en áreas y periodos con condiciones oceanográficas específicas, el SCRS continuará el desarrollo de un proyecto piloto para explorar los beneficios resultantes de instalar minirregistradores de datos en la línea principal y en las brazoladas de los palangreros que participan en el proyecto de forma voluntaria y que se dirigen a especies ICCAT con potencial de interacción con marrajos dientusos. El SCRS proporcionará directrices sobre las características básicas, el número mínimo y las posiciones para instalar los mini registradores de datos con el fin de comprender mejor los efectos del tiempo de inmersión, las profundidades de pesca y las características medioambientales que producen las mayores capturas incidentales de marrajo dientuso.</w:t>
      </w:r>
      <w:r w:rsidRPr="0099704B">
        <w:rPr>
          <w:rFonts w:ascii="Cambria" w:hAnsi="Cambria"/>
          <w:i/>
          <w:color w:val="000000"/>
          <w:sz w:val="20"/>
          <w:szCs w:val="20"/>
        </w:rPr>
        <w:t xml:space="preserve">  </w:t>
      </w:r>
    </w:p>
    <w:p w14:paraId="2352558F" w14:textId="77777777" w:rsidR="00EF4FD8" w:rsidRPr="0099704B" w:rsidRDefault="00EF4FD8" w:rsidP="00EF4FD8">
      <w:pPr>
        <w:tabs>
          <w:tab w:val="left" w:pos="0"/>
          <w:tab w:val="left" w:pos="720"/>
          <w:tab w:val="right" w:pos="8505"/>
          <w:tab w:val="right" w:pos="9072"/>
        </w:tabs>
        <w:ind w:right="4"/>
        <w:jc w:val="both"/>
        <w:rPr>
          <w:rFonts w:ascii="Cambria" w:hAnsi="Cambria"/>
          <w:i/>
          <w:color w:val="000000"/>
          <w:sz w:val="20"/>
          <w:szCs w:val="20"/>
        </w:rPr>
      </w:pPr>
    </w:p>
    <w:p w14:paraId="28A91CF4" w14:textId="77777777" w:rsidR="00EF4FD8" w:rsidRPr="0099704B" w:rsidRDefault="00EF4FD8" w:rsidP="00EF4FD8">
      <w:pPr>
        <w:tabs>
          <w:tab w:val="left" w:pos="2040"/>
          <w:tab w:val="right" w:pos="9071"/>
        </w:tabs>
        <w:jc w:val="both"/>
        <w:rPr>
          <w:rFonts w:ascii="Cambria" w:hAnsi="Cambria"/>
          <w:sz w:val="20"/>
          <w:szCs w:val="20"/>
        </w:rPr>
      </w:pPr>
      <w:r w:rsidRPr="000A5982">
        <w:rPr>
          <w:rFonts w:ascii="Cambria" w:hAnsi="Cambria"/>
          <w:sz w:val="20"/>
          <w:szCs w:val="20"/>
        </w:rPr>
        <w:t xml:space="preserve">Se propuso el uso de temporizadores de anzuelos y pequeños registradores de datos —incluidos los registradores de tiempo-profundidad y temperatura-profundidad (TRD)— como una posible actividad de investigación a largo plazo en el marco del Programa de investigación y recopilación de datos de tiburones (SRDCP) para los próximos años. El uso de los TDR comenzó en 2025 y continuó en 2026.  En Coelho </w:t>
      </w:r>
      <w:r w:rsidRPr="000A5982">
        <w:rPr>
          <w:rFonts w:ascii="Cambria" w:hAnsi="Cambria"/>
          <w:i/>
          <w:sz w:val="20"/>
          <w:szCs w:val="20"/>
        </w:rPr>
        <w:t>et al.</w:t>
      </w:r>
      <w:r w:rsidRPr="000A5982">
        <w:rPr>
          <w:rFonts w:ascii="Cambria" w:hAnsi="Cambria"/>
          <w:sz w:val="20"/>
          <w:szCs w:val="20"/>
        </w:rPr>
        <w:t>, (en prensa) (SCRS/2026/242) se presentó al SCRS un primer análisis preliminar sobre el uso de minirregistradores de datos en palangreros pelágicos. Se realizó un seguimiento de un total de 93 calados, en los que se instalaron 528 TDR, y solo se registraron nueve capturas (cuatro tiburones azules + cinco peces espada). La información obtenida de los TDR es muy valiosa, ya que proporciona datos medioambientales, así como el momento de la captura y el comportamiento del ejemplar capturado. Sin embargo, como ya se ha mencionado anteriormente, se trata de un estudio a largo plazo, más aún si pensamos en una especie como el marrajo dientuso. El SRDCP continuará con este estudio en los próximos años y comenzará también a colaborar con programas nacionales que también utilizan TDR.</w:t>
      </w:r>
      <w:r w:rsidRPr="0099704B">
        <w:rPr>
          <w:rFonts w:ascii="Cambria" w:hAnsi="Cambria"/>
          <w:sz w:val="20"/>
          <w:szCs w:val="20"/>
        </w:rPr>
        <w:t xml:space="preserve"> </w:t>
      </w:r>
    </w:p>
    <w:p w14:paraId="7AC8737C" w14:textId="77777777" w:rsidR="00EF4FD8" w:rsidRPr="0099704B" w:rsidRDefault="00EF4FD8" w:rsidP="00EF4FD8">
      <w:pPr>
        <w:tabs>
          <w:tab w:val="left" w:pos="0"/>
          <w:tab w:val="left" w:pos="720"/>
          <w:tab w:val="right" w:pos="8505"/>
          <w:tab w:val="right" w:pos="9072"/>
        </w:tabs>
        <w:ind w:right="4"/>
        <w:jc w:val="both"/>
        <w:rPr>
          <w:rFonts w:ascii="Cambria" w:eastAsia="Cambria" w:hAnsi="Cambria" w:cs="Cambria"/>
          <w:b/>
          <w:iCs/>
          <w:color w:val="000000"/>
          <w:sz w:val="20"/>
          <w:szCs w:val="20"/>
        </w:rPr>
      </w:pPr>
    </w:p>
    <w:p w14:paraId="77035ABF" w14:textId="77777777" w:rsidR="00EF4FD8" w:rsidRPr="000A5982" w:rsidRDefault="00EF4FD8" w:rsidP="00EF4FD8">
      <w:pPr>
        <w:tabs>
          <w:tab w:val="center" w:pos="4513"/>
          <w:tab w:val="left" w:pos="6804"/>
        </w:tabs>
        <w:jc w:val="both"/>
        <w:rPr>
          <w:rFonts w:ascii="Cambria" w:hAnsi="Cambria"/>
          <w:bCs/>
          <w:i/>
          <w:iCs/>
          <w:sz w:val="20"/>
          <w:szCs w:val="20"/>
        </w:rPr>
      </w:pPr>
      <w:r w:rsidRPr="000A5982">
        <w:rPr>
          <w:rFonts w:ascii="Cambria" w:hAnsi="Cambria"/>
          <w:b/>
          <w:bCs/>
          <w:i/>
          <w:iCs/>
          <w:sz w:val="20"/>
          <w:szCs w:val="20"/>
        </w:rPr>
        <w:t xml:space="preserve">19.27 El SCRS proporcionará a la Comisión, siempre que se disponga de nueva información, un asesoramiento actualizado sobre las medidas de mitigación destinadas a reducir aún más la mortalidad del marrajo dientuso,  </w:t>
      </w:r>
      <w:hyperlink r:id="rId55" w:history="1">
        <w:r w:rsidRPr="000A5982">
          <w:rPr>
            <w:rStyle w:val="Hyperlink"/>
            <w:rFonts w:ascii="Cambria" w:hAnsi="Cambria"/>
            <w:b/>
            <w:i/>
            <w:sz w:val="20"/>
            <w:szCs w:val="20"/>
            <w:u w:val="none"/>
          </w:rPr>
          <w:t>Rec. 25-08</w:t>
        </w:r>
        <w:r w:rsidRPr="000A5982">
          <w:rPr>
            <w:rStyle w:val="Hyperlink"/>
            <w:rFonts w:ascii="Cambria" w:hAnsi="Cambria"/>
            <w:b/>
            <w:bCs/>
            <w:i/>
            <w:iCs/>
            <w:sz w:val="20"/>
            <w:szCs w:val="20"/>
            <w:u w:val="none"/>
          </w:rPr>
          <w:t>,</w:t>
        </w:r>
      </w:hyperlink>
      <w:r w:rsidRPr="000A5982">
        <w:rPr>
          <w:rFonts w:ascii="Cambria" w:hAnsi="Cambria"/>
          <w:b/>
          <w:bCs/>
          <w:i/>
          <w:iCs/>
          <w:sz w:val="20"/>
          <w:szCs w:val="20"/>
        </w:rPr>
        <w:t xml:space="preserve"> párr. 22a</w:t>
      </w:r>
    </w:p>
    <w:p w14:paraId="56BD5795" w14:textId="77777777" w:rsidR="00EF4FD8" w:rsidRPr="000A5982" w:rsidRDefault="00EF4FD8" w:rsidP="00EF4FD8">
      <w:pPr>
        <w:tabs>
          <w:tab w:val="center" w:pos="4513"/>
          <w:tab w:val="left" w:pos="6804"/>
        </w:tabs>
        <w:rPr>
          <w:rFonts w:ascii="Cambria" w:hAnsi="Cambria"/>
          <w:b/>
          <w:i/>
          <w:iCs/>
          <w:sz w:val="20"/>
          <w:szCs w:val="20"/>
        </w:rPr>
      </w:pPr>
    </w:p>
    <w:p w14:paraId="38D5D542" w14:textId="77777777" w:rsidR="00EF4FD8" w:rsidRPr="000A5982" w:rsidRDefault="00EF4FD8" w:rsidP="00EF4FD8">
      <w:pPr>
        <w:jc w:val="both"/>
        <w:rPr>
          <w:rFonts w:ascii="Cambria" w:hAnsi="Cambria"/>
          <w:i/>
          <w:iCs/>
          <w:sz w:val="20"/>
          <w:szCs w:val="20"/>
        </w:rPr>
      </w:pPr>
      <w:r w:rsidRPr="000A5982">
        <w:rPr>
          <w:rFonts w:ascii="Cambria" w:hAnsi="Cambria"/>
          <w:b/>
          <w:bCs/>
          <w:sz w:val="20"/>
          <w:szCs w:val="20"/>
        </w:rPr>
        <w:t>Contexto:</w:t>
      </w:r>
      <w:r w:rsidRPr="000A5982">
        <w:rPr>
          <w:rFonts w:ascii="Cambria" w:hAnsi="Cambria"/>
          <w:i/>
          <w:iCs/>
          <w:sz w:val="20"/>
          <w:szCs w:val="20"/>
        </w:rPr>
        <w:t xml:space="preserve"> </w:t>
      </w:r>
    </w:p>
    <w:p w14:paraId="7E630E8D" w14:textId="77777777" w:rsidR="00EF4FD8" w:rsidRPr="0099704B" w:rsidRDefault="00EF4FD8" w:rsidP="00EF4FD8">
      <w:pPr>
        <w:ind w:left="284"/>
        <w:jc w:val="both"/>
        <w:rPr>
          <w:rFonts w:ascii="Cambria" w:hAnsi="Cambria"/>
          <w:i/>
          <w:sz w:val="20"/>
          <w:szCs w:val="20"/>
        </w:rPr>
      </w:pPr>
      <w:r w:rsidRPr="000A5982">
        <w:rPr>
          <w:rFonts w:ascii="Cambria" w:hAnsi="Cambria"/>
          <w:i/>
          <w:iCs/>
          <w:sz w:val="20"/>
          <w:szCs w:val="20"/>
        </w:rPr>
        <w:t>a)El SCRS proporcionará a la Comisión, siempre que se disponga de nueva información, un asesoramiento actualizado sobre las medidas de mitigación destinadas a reducir aún más la mortalidad del marrajo dientuso.</w:t>
      </w:r>
      <w:r w:rsidRPr="000A5982">
        <w:rPr>
          <w:rFonts w:ascii="Cambria" w:hAnsi="Cambria"/>
          <w:i/>
          <w:sz w:val="20"/>
          <w:szCs w:val="20"/>
        </w:rPr>
        <w:t xml:space="preserve"> Las CPC que apliquen el párrafo 8 presentarán al SCRS información por pesquería sobre las medidas técnicas y otras medidas de ordenación que hayan aplicado para reducir la mortalidad por pesca total del marrajo dientuso del Atlántico sur, con la excepción de aquellas CPC que ya hayan presentado dicha información a la Secretaría de ICCAT. El SCRS revisará esta información y asesorará a la Comisión sobre qué herramientas y enfoques han sido más efectivos para reducir la mortalidad por pesca con el fin de recomendar medidas específicas cuya adopción debería considerar la Comisión.</w:t>
      </w:r>
      <w:r w:rsidRPr="0099704B">
        <w:rPr>
          <w:rFonts w:ascii="Cambria" w:hAnsi="Cambria"/>
          <w:i/>
          <w:sz w:val="20"/>
          <w:szCs w:val="20"/>
        </w:rPr>
        <w:t xml:space="preserve">  </w:t>
      </w:r>
    </w:p>
    <w:p w14:paraId="393245A9" w14:textId="77777777" w:rsidR="00EF4FD8" w:rsidRPr="0099704B" w:rsidRDefault="00EF4FD8" w:rsidP="00EF4FD8">
      <w:pPr>
        <w:ind w:left="284"/>
        <w:jc w:val="both"/>
        <w:rPr>
          <w:rFonts w:ascii="Cambria" w:hAnsi="Cambria"/>
          <w:i/>
          <w:sz w:val="20"/>
          <w:szCs w:val="20"/>
        </w:rPr>
      </w:pPr>
    </w:p>
    <w:p w14:paraId="58A749C5" w14:textId="77777777" w:rsidR="00EF4FD8" w:rsidRPr="000A5982" w:rsidRDefault="00EF4FD8" w:rsidP="00EF4FD8">
      <w:pPr>
        <w:jc w:val="both"/>
        <w:rPr>
          <w:rFonts w:ascii="Cambria" w:eastAsia="Cambria" w:hAnsi="Cambria" w:cs="Cambria"/>
          <w:iCs/>
          <w:color w:val="000000"/>
          <w:sz w:val="20"/>
          <w:szCs w:val="20"/>
        </w:rPr>
      </w:pPr>
      <w:r w:rsidRPr="000A5982">
        <w:rPr>
          <w:rFonts w:ascii="Cambria" w:hAnsi="Cambria"/>
          <w:color w:val="000000"/>
          <w:sz w:val="20"/>
        </w:rPr>
        <w:t xml:space="preserve">El Comité observó que no se habían presentado al SCRS nuevos documentos en 2026 en respuesta a esta petición de la Comisión. </w:t>
      </w:r>
    </w:p>
    <w:p w14:paraId="24C6018E" w14:textId="77777777" w:rsidR="00EF4FD8" w:rsidRPr="000A5982" w:rsidRDefault="00EF4FD8" w:rsidP="00EF4FD8">
      <w:pPr>
        <w:jc w:val="both"/>
        <w:rPr>
          <w:rFonts w:ascii="Cambria" w:eastAsia="Cambria" w:hAnsi="Cambria" w:cs="Cambria"/>
          <w:iCs/>
          <w:color w:val="000000"/>
          <w:sz w:val="20"/>
          <w:szCs w:val="20"/>
        </w:rPr>
      </w:pPr>
    </w:p>
    <w:p w14:paraId="5B366925" w14:textId="77777777" w:rsidR="00EF4FD8" w:rsidRPr="0099704B" w:rsidRDefault="00EF4FD8" w:rsidP="00EF4FD8">
      <w:pPr>
        <w:jc w:val="both"/>
        <w:rPr>
          <w:rFonts w:ascii="Cambria" w:eastAsia="Cambria" w:hAnsi="Cambria" w:cs="Cambria"/>
          <w:iCs/>
          <w:color w:val="000000"/>
          <w:sz w:val="20"/>
          <w:szCs w:val="20"/>
        </w:rPr>
      </w:pPr>
      <w:r w:rsidRPr="000A5982">
        <w:rPr>
          <w:rFonts w:ascii="Cambria" w:hAnsi="Cambria"/>
          <w:color w:val="000000"/>
          <w:sz w:val="20"/>
        </w:rPr>
        <w:t>En los últimos años, se han presentado al Comité documentos con información sobre el uso y la eficacia de diferentes medidas de mitigación. Esta información sobre las medidas de mitigación ha sido discutida en varias ocasiones por el Grupo de especies de tiburones, y en el Subcomité de ecosistemas y capturas fortuitas. Sin embargo, todavía no hay ninguna definición ni recomendación sobre las medidas más eficaces para reducir la mortalidad por pesca de esta especie.</w:t>
      </w:r>
    </w:p>
    <w:p w14:paraId="516C91FF" w14:textId="77777777" w:rsidR="00EF4FD8" w:rsidRPr="0099704B" w:rsidRDefault="00EF4FD8" w:rsidP="00EF4FD8">
      <w:pPr>
        <w:jc w:val="both"/>
        <w:rPr>
          <w:rFonts w:ascii="Cambria" w:hAnsi="Cambria"/>
          <w:i/>
          <w:iCs/>
          <w:sz w:val="20"/>
          <w:szCs w:val="20"/>
        </w:rPr>
      </w:pPr>
      <w:r w:rsidRPr="0099704B">
        <w:rPr>
          <w:rFonts w:ascii="Cambria" w:hAnsi="Cambria"/>
          <w:i/>
          <w:sz w:val="20"/>
        </w:rPr>
        <w:t xml:space="preserve">    </w:t>
      </w:r>
    </w:p>
    <w:p w14:paraId="4D29D082" w14:textId="77777777" w:rsidR="00EF4FD8" w:rsidRPr="000A5982" w:rsidRDefault="00EF4FD8" w:rsidP="00EF4FD8">
      <w:pPr>
        <w:tabs>
          <w:tab w:val="center" w:pos="4513"/>
          <w:tab w:val="left" w:pos="6804"/>
        </w:tabs>
        <w:jc w:val="both"/>
        <w:rPr>
          <w:rFonts w:ascii="Cambria" w:hAnsi="Cambria"/>
          <w:b/>
          <w:i/>
          <w:iCs/>
          <w:sz w:val="20"/>
          <w:szCs w:val="20"/>
        </w:rPr>
      </w:pPr>
      <w:r w:rsidRPr="000A5982">
        <w:rPr>
          <w:rFonts w:ascii="Cambria" w:hAnsi="Cambria"/>
          <w:b/>
          <w:i/>
          <w:sz w:val="20"/>
        </w:rPr>
        <w:t>19.28</w:t>
      </w:r>
      <w:r w:rsidRPr="000A5982">
        <w:t xml:space="preserve"> </w:t>
      </w:r>
      <w:r w:rsidRPr="000A5982">
        <w:rPr>
          <w:rFonts w:ascii="Cambria" w:hAnsi="Cambria"/>
          <w:b/>
          <w:i/>
          <w:sz w:val="20"/>
        </w:rPr>
        <w:t xml:space="preserve">El SCRS evaluará los </w:t>
      </w:r>
      <w:r w:rsidRPr="00DE5D85">
        <w:rPr>
          <w:rFonts w:ascii="Cambria" w:hAnsi="Cambria"/>
          <w:b/>
          <w:bCs/>
          <w:i/>
          <w:iCs/>
          <w:sz w:val="20"/>
          <w:szCs w:val="20"/>
        </w:rPr>
        <w:t>posibles</w:t>
      </w:r>
      <w:r w:rsidRPr="000A5982">
        <w:rPr>
          <w:rFonts w:ascii="Cambria" w:hAnsi="Cambria"/>
          <w:b/>
          <w:i/>
          <w:sz w:val="20"/>
        </w:rPr>
        <w:t xml:space="preserve"> beneficios de los límites tanto de talla mı́nima como de talla máxima para la retención de ejemplares vivos, </w:t>
      </w:r>
      <w:hyperlink r:id="rId56" w:history="1">
        <w:r w:rsidRPr="000A5982">
          <w:rPr>
            <w:rStyle w:val="Hyperlink"/>
            <w:rFonts w:ascii="Cambria" w:hAnsi="Cambria"/>
            <w:b/>
            <w:i/>
            <w:sz w:val="20"/>
            <w:u w:val="none"/>
          </w:rPr>
          <w:t>Rec.</w:t>
        </w:r>
      </w:hyperlink>
      <w:hyperlink r:id="rId57" w:history="1">
        <w:r w:rsidRPr="000A5982">
          <w:rPr>
            <w:rStyle w:val="Hyperlink"/>
            <w:rFonts w:ascii="Cambria" w:hAnsi="Cambria"/>
            <w:b/>
            <w:i/>
            <w:sz w:val="20"/>
            <w:u w:val="none"/>
          </w:rPr>
          <w:t xml:space="preserve"> 25-08</w:t>
        </w:r>
      </w:hyperlink>
      <w:r w:rsidRPr="000A5982">
        <w:rPr>
          <w:b/>
          <w:bCs/>
        </w:rPr>
        <w:t>,</w:t>
      </w:r>
      <w:r w:rsidRPr="000A5982">
        <w:rPr>
          <w:rFonts w:ascii="Cambria" w:hAnsi="Cambria"/>
          <w:b/>
          <w:i/>
          <w:sz w:val="20"/>
        </w:rPr>
        <w:t xml:space="preserve"> párr. 22b</w:t>
      </w:r>
      <w:r w:rsidRPr="000A5982">
        <w:rPr>
          <w:rFonts w:ascii="Cambria" w:hAnsi="Cambria"/>
          <w:b/>
          <w:i/>
          <w:iCs/>
          <w:sz w:val="20"/>
          <w:szCs w:val="20"/>
        </w:rPr>
        <w:t xml:space="preserve"> </w:t>
      </w:r>
    </w:p>
    <w:p w14:paraId="5830E224" w14:textId="77777777" w:rsidR="00EF4FD8" w:rsidRPr="000A5982" w:rsidRDefault="00EF4FD8" w:rsidP="00EF4FD8">
      <w:pPr>
        <w:tabs>
          <w:tab w:val="center" w:pos="4513"/>
          <w:tab w:val="left" w:pos="6804"/>
        </w:tabs>
        <w:rPr>
          <w:rFonts w:ascii="Cambria" w:hAnsi="Cambria"/>
          <w:b/>
          <w:i/>
          <w:iCs/>
          <w:sz w:val="20"/>
          <w:szCs w:val="20"/>
        </w:rPr>
      </w:pPr>
    </w:p>
    <w:p w14:paraId="666073E4" w14:textId="77777777" w:rsidR="00EF4FD8" w:rsidRPr="000A5982" w:rsidRDefault="00EF4FD8" w:rsidP="00EF4FD8">
      <w:pPr>
        <w:jc w:val="both"/>
        <w:rPr>
          <w:rFonts w:ascii="Cambria" w:hAnsi="Cambria"/>
          <w:i/>
          <w:iCs/>
          <w:sz w:val="20"/>
          <w:szCs w:val="20"/>
        </w:rPr>
      </w:pPr>
      <w:r w:rsidRPr="000A5982">
        <w:rPr>
          <w:rFonts w:ascii="Cambria" w:hAnsi="Cambria"/>
          <w:b/>
          <w:bCs/>
          <w:sz w:val="20"/>
          <w:szCs w:val="20"/>
        </w:rPr>
        <w:t>Contexto:</w:t>
      </w:r>
      <w:r w:rsidRPr="000A5982">
        <w:rPr>
          <w:rFonts w:ascii="Cambria" w:hAnsi="Cambria"/>
          <w:i/>
          <w:sz w:val="20"/>
          <w:szCs w:val="20"/>
        </w:rPr>
        <w:t xml:space="preserve"> </w:t>
      </w:r>
      <w:r w:rsidRPr="000A5982">
        <w:rPr>
          <w:rFonts w:ascii="Cambria" w:hAnsi="Cambria"/>
          <w:i/>
          <w:iCs/>
          <w:sz w:val="20"/>
          <w:szCs w:val="20"/>
        </w:rPr>
        <w:t>b) Teniendo en cuenta la información sobre medidas técnicas y otras medidas de ordenación presentadas por las CPC con arreglo al apartado a) anterior, el SCRS evaluará los posibles beneficios de los límites tanto de talla mı́nima como de talla máxima para la retención de ejemplares vivos (aplicados por separado o combinados), en particular las tallas de madurez específicas del sexo basadas en la mejor ciencia disponible, particularmente cuando se consideran en combinación con otras medidas de ordenación, para conseguir las reducciones de mortalidad requeridas.</w:t>
      </w:r>
      <w:r w:rsidRPr="000A5982">
        <w:rPr>
          <w:rFonts w:ascii="Cambria" w:hAnsi="Cambria"/>
          <w:i/>
          <w:sz w:val="20"/>
          <w:szCs w:val="20"/>
        </w:rPr>
        <w:t xml:space="preserve">     </w:t>
      </w:r>
    </w:p>
    <w:p w14:paraId="1D4AD27D" w14:textId="77777777" w:rsidR="00EF4FD8" w:rsidRPr="000A5982" w:rsidRDefault="00EF4FD8" w:rsidP="00EF4FD8">
      <w:pPr>
        <w:jc w:val="both"/>
        <w:rPr>
          <w:rFonts w:ascii="Cambria" w:hAnsi="Cambria"/>
          <w:i/>
          <w:iCs/>
          <w:sz w:val="20"/>
          <w:szCs w:val="20"/>
        </w:rPr>
      </w:pPr>
    </w:p>
    <w:p w14:paraId="5A79C506" w14:textId="77777777" w:rsidR="00EF4FD8" w:rsidRPr="000A5982" w:rsidRDefault="00EF4FD8" w:rsidP="00EF4FD8">
      <w:pPr>
        <w:jc w:val="both"/>
        <w:rPr>
          <w:rFonts w:ascii="Cambria" w:eastAsia="Cambria" w:hAnsi="Cambria" w:cs="Cambria"/>
          <w:iCs/>
          <w:color w:val="000000"/>
          <w:sz w:val="20"/>
          <w:szCs w:val="20"/>
        </w:rPr>
      </w:pPr>
      <w:r w:rsidRPr="000A5982">
        <w:rPr>
          <w:rFonts w:ascii="Cambria" w:hAnsi="Cambria"/>
          <w:sz w:val="20"/>
        </w:rPr>
        <w:lastRenderedPageBreak/>
        <w:t xml:space="preserve">En 2026 no se presentaron documentos en respuesta a la petición de la Comisión </w:t>
      </w:r>
      <w:r w:rsidRPr="000A5982">
        <w:rPr>
          <w:rFonts w:ascii="Cambria" w:hAnsi="Cambria"/>
          <w:color w:val="000000"/>
          <w:sz w:val="20"/>
        </w:rPr>
        <w:t xml:space="preserve">contenida en la </w:t>
      </w:r>
      <w:hyperlink r:id="rId58" w:history="1">
        <w:r w:rsidRPr="000A5982">
          <w:rPr>
            <w:rStyle w:val="Hyperlink"/>
            <w:rFonts w:ascii="Cambria" w:hAnsi="Cambria"/>
            <w:sz w:val="20"/>
            <w:u w:val="none"/>
          </w:rPr>
          <w:t>Rec.</w:t>
        </w:r>
      </w:hyperlink>
      <w:hyperlink r:id="rId59" w:history="1">
        <w:r w:rsidRPr="000A5982">
          <w:rPr>
            <w:rStyle w:val="Hyperlink"/>
            <w:rFonts w:ascii="Cambria" w:hAnsi="Cambria"/>
            <w:sz w:val="20"/>
            <w:u w:val="none"/>
          </w:rPr>
          <w:t xml:space="preserve"> 21-09</w:t>
        </w:r>
      </w:hyperlink>
      <w:r w:rsidRPr="000A5982">
        <w:rPr>
          <w:rFonts w:ascii="Cambria" w:hAnsi="Cambria"/>
          <w:color w:val="000000"/>
          <w:sz w:val="20"/>
        </w:rPr>
        <w:t xml:space="preserve">, párr. 21b y en la </w:t>
      </w:r>
      <w:hyperlink r:id="rId60" w:history="1">
        <w:r w:rsidRPr="000A5982">
          <w:rPr>
            <w:rStyle w:val="Hyperlink"/>
            <w:rFonts w:ascii="Cambria" w:hAnsi="Cambria"/>
            <w:sz w:val="20"/>
            <w:u w:val="none"/>
          </w:rPr>
          <w:t>Rec.</w:t>
        </w:r>
      </w:hyperlink>
      <w:hyperlink r:id="rId61" w:history="1">
        <w:r w:rsidRPr="000A5982">
          <w:rPr>
            <w:rStyle w:val="Hyperlink"/>
            <w:rFonts w:ascii="Cambria" w:hAnsi="Cambria"/>
            <w:sz w:val="20"/>
            <w:u w:val="none"/>
          </w:rPr>
          <w:t xml:space="preserve"> 25-08</w:t>
        </w:r>
      </w:hyperlink>
      <w:r w:rsidRPr="000A5982">
        <w:rPr>
          <w:rFonts w:ascii="Cambria" w:hAnsi="Cambria"/>
          <w:color w:val="000000"/>
          <w:sz w:val="20"/>
        </w:rPr>
        <w:t>, párr. 22b.</w:t>
      </w:r>
    </w:p>
    <w:p w14:paraId="0C885930" w14:textId="77777777" w:rsidR="00EF4FD8" w:rsidRPr="000A5982" w:rsidRDefault="00EF4FD8" w:rsidP="00EF4FD8">
      <w:pPr>
        <w:jc w:val="both"/>
        <w:rPr>
          <w:rFonts w:ascii="Cambria" w:hAnsi="Cambria"/>
          <w:sz w:val="20"/>
          <w:szCs w:val="20"/>
        </w:rPr>
      </w:pPr>
    </w:p>
    <w:p w14:paraId="65D25064" w14:textId="77777777" w:rsidR="00EF4FD8" w:rsidRPr="0099704B" w:rsidRDefault="00EF4FD8" w:rsidP="00EF4FD8">
      <w:pPr>
        <w:jc w:val="both"/>
        <w:rPr>
          <w:rFonts w:ascii="Cambria" w:eastAsia="Cambria" w:hAnsi="Cambria" w:cs="Cambria"/>
          <w:iCs/>
          <w:color w:val="000000"/>
          <w:sz w:val="20"/>
          <w:szCs w:val="20"/>
        </w:rPr>
      </w:pPr>
      <w:r w:rsidRPr="000A5982">
        <w:rPr>
          <w:rFonts w:ascii="Cambria" w:hAnsi="Cambria"/>
          <w:sz w:val="20"/>
        </w:rPr>
        <w:t>Basándose en la información disponible, el SCRS no tiene una conclusión sobre si las restricciones de talla para esta especie son herramientas eficaces para cumplir las reducciones de mortalidad requeridas.</w:t>
      </w:r>
      <w:r w:rsidRPr="0099704B">
        <w:rPr>
          <w:rFonts w:ascii="Cambria" w:hAnsi="Cambria"/>
          <w:sz w:val="20"/>
        </w:rPr>
        <w:t xml:space="preserve"> </w:t>
      </w:r>
    </w:p>
    <w:p w14:paraId="5062F0E2" w14:textId="77777777" w:rsidR="00EF4FD8" w:rsidRPr="0099704B" w:rsidRDefault="00EF4FD8" w:rsidP="00EF4FD8">
      <w:pPr>
        <w:tabs>
          <w:tab w:val="left" w:pos="0"/>
          <w:tab w:val="left" w:pos="720"/>
          <w:tab w:val="right" w:pos="8505"/>
          <w:tab w:val="right" w:pos="9072"/>
        </w:tabs>
        <w:ind w:right="4"/>
        <w:jc w:val="both"/>
        <w:rPr>
          <w:rFonts w:ascii="Cambria" w:eastAsia="Cambria" w:hAnsi="Cambria" w:cs="Cambria"/>
          <w:b/>
          <w:iCs/>
          <w:color w:val="000000"/>
          <w:sz w:val="20"/>
          <w:szCs w:val="20"/>
        </w:rPr>
      </w:pPr>
    </w:p>
    <w:p w14:paraId="7EBFDECC" w14:textId="77777777" w:rsidR="00EF4FD8" w:rsidRPr="000A5982" w:rsidRDefault="00EF4FD8" w:rsidP="00EF4FD8">
      <w:pPr>
        <w:tabs>
          <w:tab w:val="center" w:pos="4513"/>
          <w:tab w:val="left" w:pos="6804"/>
        </w:tabs>
        <w:jc w:val="both"/>
        <w:rPr>
          <w:rFonts w:ascii="Cambria" w:hAnsi="Cambria"/>
          <w:bCs/>
          <w:i/>
          <w:iCs/>
          <w:sz w:val="20"/>
          <w:szCs w:val="20"/>
        </w:rPr>
      </w:pPr>
      <w:r w:rsidRPr="000A5982">
        <w:rPr>
          <w:rFonts w:ascii="Cambria" w:hAnsi="Cambria"/>
          <w:b/>
          <w:i/>
          <w:sz w:val="20"/>
        </w:rPr>
        <w:t>19.29</w:t>
      </w:r>
      <w:r w:rsidRPr="000A5982">
        <w:t xml:space="preserve"> </w:t>
      </w:r>
      <w:r w:rsidRPr="000A5982">
        <w:rPr>
          <w:rFonts w:ascii="Cambria" w:hAnsi="Cambria"/>
          <w:b/>
          <w:i/>
          <w:sz w:val="20"/>
        </w:rPr>
        <w:t xml:space="preserve">El SCRS asesorará sobre las medidas técnicas más eficaces para reducir la mortalidad por pesca del marrajo dientuso, a la vez que facilitará información y asesoramiento sobre la compensación de factores para las capturas de las especies objetivo por pesquería, </w:t>
      </w:r>
      <w:hyperlink r:id="rId62" w:history="1">
        <w:r w:rsidRPr="000A5982">
          <w:rPr>
            <w:rStyle w:val="Hyperlink"/>
            <w:rFonts w:ascii="Cambria" w:hAnsi="Cambria"/>
            <w:b/>
            <w:i/>
            <w:sz w:val="20"/>
            <w:u w:val="none"/>
          </w:rPr>
          <w:t>Rec.</w:t>
        </w:r>
      </w:hyperlink>
      <w:hyperlink r:id="rId63" w:history="1">
        <w:r w:rsidRPr="000A5982">
          <w:rPr>
            <w:rStyle w:val="Hyperlink"/>
            <w:rFonts w:ascii="Cambria" w:hAnsi="Cambria"/>
            <w:b/>
            <w:i/>
            <w:sz w:val="20"/>
            <w:u w:val="none"/>
          </w:rPr>
          <w:t xml:space="preserve"> 25-08</w:t>
        </w:r>
      </w:hyperlink>
      <w:r w:rsidRPr="000A5982">
        <w:rPr>
          <w:rFonts w:ascii="Cambria" w:hAnsi="Cambria"/>
          <w:b/>
          <w:i/>
          <w:sz w:val="20"/>
        </w:rPr>
        <w:t xml:space="preserve">, párr. 22c </w:t>
      </w:r>
    </w:p>
    <w:p w14:paraId="21D32A01" w14:textId="77777777" w:rsidR="00EF4FD8" w:rsidRPr="000A5982" w:rsidRDefault="00EF4FD8" w:rsidP="00EF4FD8">
      <w:pPr>
        <w:tabs>
          <w:tab w:val="center" w:pos="4513"/>
          <w:tab w:val="left" w:pos="6804"/>
        </w:tabs>
        <w:rPr>
          <w:rFonts w:ascii="Cambria" w:hAnsi="Cambria"/>
          <w:b/>
          <w:i/>
          <w:iCs/>
          <w:sz w:val="20"/>
          <w:szCs w:val="20"/>
        </w:rPr>
      </w:pPr>
    </w:p>
    <w:p w14:paraId="3CFF1F70" w14:textId="77777777" w:rsidR="00EF4FD8" w:rsidRPr="000A5982" w:rsidRDefault="00EF4FD8" w:rsidP="00EF4FD8">
      <w:pPr>
        <w:jc w:val="both"/>
        <w:rPr>
          <w:rFonts w:ascii="Cambria" w:hAnsi="Cambria"/>
          <w:i/>
          <w:iCs/>
          <w:sz w:val="20"/>
          <w:szCs w:val="20"/>
        </w:rPr>
      </w:pPr>
      <w:r w:rsidRPr="000A5982">
        <w:rPr>
          <w:rFonts w:ascii="Cambria" w:hAnsi="Cambria"/>
          <w:b/>
          <w:bCs/>
          <w:sz w:val="20"/>
          <w:szCs w:val="20"/>
        </w:rPr>
        <w:t>Contexto:</w:t>
      </w:r>
      <w:r w:rsidRPr="000A5982">
        <w:rPr>
          <w:rFonts w:ascii="Cambria" w:hAnsi="Cambria"/>
          <w:sz w:val="20"/>
          <w:szCs w:val="20"/>
        </w:rPr>
        <w:t xml:space="preserve"> </w:t>
      </w:r>
      <w:r w:rsidRPr="000A5982">
        <w:rPr>
          <w:rFonts w:ascii="Cambria" w:hAnsi="Cambria"/>
          <w:i/>
          <w:iCs/>
          <w:sz w:val="20"/>
          <w:szCs w:val="20"/>
        </w:rPr>
        <w:t>c) El SCRS asesorará a la Comisión sobre las medidas técnicas más eficaces que se deberían implementar para reducir la mortalidad por pesca del marrajo dientuso, a la vez que facilitará información y asesoramiento sobre la compensación de factores para las capturas de las especies objetivo por pesquería.</w:t>
      </w:r>
      <w:r w:rsidRPr="000A5982">
        <w:rPr>
          <w:rFonts w:ascii="Cambria" w:hAnsi="Cambria"/>
          <w:i/>
          <w:sz w:val="20"/>
          <w:szCs w:val="20"/>
        </w:rPr>
        <w:t xml:space="preserve">  </w:t>
      </w:r>
    </w:p>
    <w:p w14:paraId="2265D292" w14:textId="77777777" w:rsidR="00EF4FD8" w:rsidRPr="000A5982" w:rsidRDefault="00EF4FD8" w:rsidP="00EF4FD8">
      <w:pPr>
        <w:jc w:val="both"/>
        <w:rPr>
          <w:rFonts w:ascii="Cambria" w:hAnsi="Cambria"/>
          <w:i/>
          <w:iCs/>
          <w:sz w:val="20"/>
          <w:szCs w:val="20"/>
        </w:rPr>
      </w:pPr>
    </w:p>
    <w:p w14:paraId="374BFE6F" w14:textId="77777777" w:rsidR="00EF4FD8" w:rsidRPr="000A5982" w:rsidRDefault="00EF4FD8" w:rsidP="00EF4FD8">
      <w:pPr>
        <w:jc w:val="both"/>
        <w:rPr>
          <w:rFonts w:ascii="Cambria" w:hAnsi="Cambria"/>
          <w:sz w:val="20"/>
        </w:rPr>
      </w:pPr>
      <w:r w:rsidRPr="000A5982">
        <w:rPr>
          <w:rFonts w:ascii="Cambria" w:hAnsi="Cambria"/>
          <w:sz w:val="20"/>
        </w:rPr>
        <w:t>En 2026 no se presentó al SCRS ningún documento en respuesta a la solicitud de la Comisión. A la luz de la información disponible, el SCRS no ha llegado a ninguna conclusión sobre las medidas técnicas eficaces para reducir la mortalidad por pesca del marrajo dientuso.</w:t>
      </w:r>
    </w:p>
    <w:p w14:paraId="796CC887" w14:textId="77777777" w:rsidR="00EF4FD8" w:rsidRPr="000A5982" w:rsidRDefault="00EF4FD8" w:rsidP="00EF4FD8">
      <w:pPr>
        <w:jc w:val="both"/>
        <w:rPr>
          <w:rFonts w:ascii="Cambria" w:hAnsi="Cambria"/>
          <w:sz w:val="20"/>
        </w:rPr>
      </w:pPr>
    </w:p>
    <w:p w14:paraId="5D55EBEF" w14:textId="77777777" w:rsidR="00EF4FD8" w:rsidRPr="0099704B" w:rsidRDefault="00EF4FD8" w:rsidP="00EF4FD8">
      <w:pPr>
        <w:jc w:val="both"/>
        <w:rPr>
          <w:rFonts w:ascii="Cambria" w:hAnsi="Cambria"/>
          <w:sz w:val="20"/>
          <w:szCs w:val="20"/>
        </w:rPr>
      </w:pPr>
      <w:r w:rsidRPr="000A5982">
        <w:rPr>
          <w:rFonts w:ascii="Cambria" w:hAnsi="Cambria"/>
          <w:sz w:val="20"/>
          <w:szCs w:val="20"/>
        </w:rPr>
        <w:t>El Comité tiene conocimiento de los estudios piloto que se están llevando a cabo en relación con las trampillas (Rec. 25-09 de ICCAT) y evaluará el efecto de esta modificación del arte de pesca sobre las especies objetivo y las capturas fortuitas, incluidos los tiburones.</w:t>
      </w:r>
    </w:p>
    <w:p w14:paraId="44492AA2" w14:textId="77777777" w:rsidR="00EF4FD8" w:rsidRPr="0099704B" w:rsidRDefault="00EF4FD8" w:rsidP="00EF4FD8">
      <w:pPr>
        <w:tabs>
          <w:tab w:val="left" w:pos="0"/>
          <w:tab w:val="left" w:pos="720"/>
          <w:tab w:val="right" w:pos="8505"/>
          <w:tab w:val="right" w:pos="9072"/>
        </w:tabs>
        <w:ind w:right="4"/>
        <w:jc w:val="both"/>
        <w:rPr>
          <w:rFonts w:ascii="Cambria" w:eastAsia="Cambria" w:hAnsi="Cambria" w:cs="Cambria"/>
          <w:b/>
          <w:iCs/>
          <w:color w:val="000000"/>
          <w:sz w:val="20"/>
          <w:szCs w:val="20"/>
        </w:rPr>
      </w:pPr>
    </w:p>
    <w:p w14:paraId="45F55787" w14:textId="77777777" w:rsidR="00EF4FD8" w:rsidRPr="000A5982" w:rsidRDefault="00EF4FD8" w:rsidP="00EF4FD8">
      <w:pPr>
        <w:tabs>
          <w:tab w:val="center" w:pos="4513"/>
          <w:tab w:val="left" w:pos="6804"/>
        </w:tabs>
        <w:jc w:val="both"/>
        <w:rPr>
          <w:rFonts w:ascii="Cambria" w:hAnsi="Cambria"/>
          <w:bCs/>
          <w:i/>
          <w:sz w:val="20"/>
          <w:szCs w:val="20"/>
        </w:rPr>
      </w:pPr>
      <w:r w:rsidRPr="000A5982">
        <w:rPr>
          <w:rFonts w:ascii="Cambria" w:hAnsi="Cambria"/>
          <w:b/>
          <w:i/>
          <w:sz w:val="20"/>
          <w:szCs w:val="20"/>
        </w:rPr>
        <w:t xml:space="preserve">19.30 El SCRS revisará los desembarques y descartes comunicados de marrajo carite, </w:t>
      </w:r>
      <w:hyperlink r:id="rId64" w:history="1">
        <w:r w:rsidRPr="000A5982">
          <w:rPr>
            <w:rStyle w:val="Hyperlink"/>
            <w:rFonts w:ascii="Cambria" w:hAnsi="Cambria"/>
            <w:b/>
            <w:i/>
            <w:sz w:val="20"/>
            <w:szCs w:val="20"/>
            <w:u w:val="none"/>
          </w:rPr>
          <w:t xml:space="preserve">Rec. 25-08, </w:t>
        </w:r>
      </w:hyperlink>
      <w:r w:rsidRPr="000A5982">
        <w:rPr>
          <w:rFonts w:ascii="Cambria" w:hAnsi="Cambria"/>
          <w:b/>
          <w:i/>
          <w:sz w:val="20"/>
          <w:szCs w:val="20"/>
        </w:rPr>
        <w:br/>
        <w:t xml:space="preserve">párr. 23 </w:t>
      </w:r>
    </w:p>
    <w:p w14:paraId="702BA53D" w14:textId="77777777" w:rsidR="00EF4FD8" w:rsidRPr="000A5982" w:rsidRDefault="00EF4FD8" w:rsidP="00EF4FD8">
      <w:pPr>
        <w:tabs>
          <w:tab w:val="center" w:pos="4513"/>
          <w:tab w:val="left" w:pos="6804"/>
        </w:tabs>
        <w:rPr>
          <w:rFonts w:ascii="Cambria" w:hAnsi="Cambria"/>
          <w:b/>
          <w:iCs/>
          <w:sz w:val="20"/>
          <w:szCs w:val="20"/>
        </w:rPr>
      </w:pPr>
    </w:p>
    <w:p w14:paraId="556F1523" w14:textId="77777777" w:rsidR="00EF4FD8" w:rsidRPr="0099704B" w:rsidRDefault="00EF4FD8" w:rsidP="00EF4FD8">
      <w:pPr>
        <w:jc w:val="both"/>
        <w:rPr>
          <w:rFonts w:ascii="Cambria" w:hAnsi="Cambria"/>
          <w:iCs/>
          <w:sz w:val="20"/>
          <w:szCs w:val="20"/>
        </w:rPr>
      </w:pPr>
      <w:r w:rsidRPr="000A5982">
        <w:rPr>
          <w:rFonts w:ascii="Cambria" w:hAnsi="Cambria"/>
          <w:b/>
          <w:iCs/>
          <w:sz w:val="20"/>
          <w:szCs w:val="20"/>
        </w:rPr>
        <w:t>Contexto:</w:t>
      </w:r>
      <w:r w:rsidRPr="000A5982">
        <w:rPr>
          <w:rFonts w:ascii="Cambria" w:hAnsi="Cambria"/>
          <w:iCs/>
          <w:sz w:val="20"/>
          <w:szCs w:val="20"/>
        </w:rPr>
        <w:t xml:space="preserve"> El SCRS revisará los desembarques y descartes comunicados de marrajo carite para identificar cualquier incoherencia inesperada que pudiera ser el resultado de una identificación errónea entre las dos especies de marrajo, con el fin de formular el asesoramiento en materia de ordenación.</w:t>
      </w:r>
      <w:r w:rsidRPr="0099704B">
        <w:rPr>
          <w:rFonts w:ascii="Cambria" w:hAnsi="Cambria"/>
          <w:iCs/>
          <w:sz w:val="20"/>
          <w:szCs w:val="20"/>
        </w:rPr>
        <w:t xml:space="preserve">  </w:t>
      </w:r>
    </w:p>
    <w:p w14:paraId="218AC2D9" w14:textId="77777777" w:rsidR="00EF4FD8" w:rsidRPr="0099704B" w:rsidRDefault="00EF4FD8" w:rsidP="00EF4FD8">
      <w:pPr>
        <w:jc w:val="both"/>
        <w:rPr>
          <w:rFonts w:ascii="Cambria" w:hAnsi="Cambria"/>
          <w:iCs/>
          <w:sz w:val="20"/>
          <w:szCs w:val="20"/>
        </w:rPr>
      </w:pPr>
    </w:p>
    <w:p w14:paraId="6361BE38" w14:textId="77777777" w:rsidR="00EF4FD8" w:rsidRPr="0099704B" w:rsidRDefault="00EF4FD8" w:rsidP="00EF4FD8">
      <w:pPr>
        <w:jc w:val="both"/>
        <w:rPr>
          <w:rFonts w:ascii="Cambria" w:eastAsia="Cambria" w:hAnsi="Cambria" w:cs="Cambria"/>
          <w:iCs/>
          <w:color w:val="000000"/>
          <w:sz w:val="20"/>
          <w:szCs w:val="20"/>
        </w:rPr>
      </w:pPr>
      <w:r w:rsidRPr="000A5982">
        <w:rPr>
          <w:rFonts w:ascii="Cambria" w:hAnsi="Cambria"/>
          <w:color w:val="000000"/>
          <w:sz w:val="20"/>
        </w:rPr>
        <w:t>El Comité examinó las capturas nominales de marrajo carite comunicadas en los últimos años. En cuanto a la posible notificación de marrajo dientuso como marrajo carite, no se encontraron incoherencias relacionadas con una posible identificación errónea de la especie.</w:t>
      </w:r>
    </w:p>
    <w:p w14:paraId="37CB5DCF" w14:textId="77777777" w:rsidR="00EF4FD8" w:rsidRPr="0099704B" w:rsidRDefault="00EF4FD8" w:rsidP="00EF4FD8">
      <w:pPr>
        <w:jc w:val="both"/>
        <w:rPr>
          <w:rFonts w:ascii="Cambria" w:hAnsi="Cambria"/>
          <w:iCs/>
          <w:sz w:val="20"/>
          <w:szCs w:val="20"/>
        </w:rPr>
      </w:pPr>
    </w:p>
    <w:p w14:paraId="0FDAA485" w14:textId="77777777" w:rsidR="00EF4FD8" w:rsidRPr="000A5982" w:rsidRDefault="00EF4FD8" w:rsidP="00EF4FD8">
      <w:pPr>
        <w:jc w:val="both"/>
        <w:rPr>
          <w:rFonts w:ascii="Cambria" w:eastAsia="Aptos" w:hAnsi="Cambria"/>
          <w:b/>
          <w:bCs/>
          <w:i/>
          <w:color w:val="000000"/>
          <w:kern w:val="2"/>
          <w:sz w:val="20"/>
          <w:szCs w:val="20"/>
        </w:rPr>
      </w:pPr>
      <w:r w:rsidRPr="000A5982">
        <w:rPr>
          <w:rFonts w:ascii="Cambria" w:eastAsia="Aptos" w:hAnsi="Cambria"/>
          <w:b/>
          <w:i/>
          <w:color w:val="000000"/>
          <w:kern w:val="2"/>
          <w:sz w:val="20"/>
          <w14:ligatures w14:val="standardContextual"/>
        </w:rPr>
        <w:t xml:space="preserve">19.31 El SCRS calculará el nivel de retención del marrajo dientuso del Atlántico norte, </w:t>
      </w:r>
      <w:hyperlink r:id="rId65" w:history="1">
        <w:r w:rsidRPr="000A5982">
          <w:rPr>
            <w:rFonts w:ascii="Cambria" w:eastAsia="Aptos" w:hAnsi="Cambria"/>
            <w:b/>
            <w:i/>
            <w:color w:val="467886"/>
            <w:kern w:val="2"/>
            <w:sz w:val="20"/>
            <w14:ligatures w14:val="standardContextual"/>
          </w:rPr>
          <w:t>Rec.</w:t>
        </w:r>
      </w:hyperlink>
      <w:hyperlink r:id="rId66" w:history="1">
        <w:r w:rsidRPr="000A5982">
          <w:rPr>
            <w:rFonts w:ascii="Cambria" w:eastAsia="Aptos" w:hAnsi="Cambria"/>
            <w:b/>
            <w:i/>
            <w:color w:val="467886"/>
            <w:kern w:val="2"/>
            <w:sz w:val="20"/>
            <w14:ligatures w14:val="standardContextual"/>
          </w:rPr>
          <w:t xml:space="preserve"> 21-09</w:t>
        </w:r>
      </w:hyperlink>
      <w:r w:rsidRPr="000A5982">
        <w:rPr>
          <w:rFonts w:ascii="Cambria" w:eastAsia="Aptos" w:hAnsi="Cambria"/>
          <w:b/>
          <w:i/>
          <w:color w:val="000000"/>
          <w:kern w:val="2"/>
          <w:sz w:val="20"/>
          <w14:ligatures w14:val="standardContextual"/>
        </w:rPr>
        <w:t xml:space="preserve">, párr. 5c </w:t>
      </w:r>
    </w:p>
    <w:p w14:paraId="51E63F62" w14:textId="77777777" w:rsidR="00EF4FD8" w:rsidRPr="000A5982" w:rsidRDefault="00EF4FD8" w:rsidP="00EF4FD8">
      <w:pPr>
        <w:rPr>
          <w:rFonts w:ascii="Cambria" w:eastAsia="Aptos" w:hAnsi="Cambria"/>
          <w:b/>
          <w:bCs/>
          <w:i/>
          <w:color w:val="000000"/>
          <w:kern w:val="2"/>
          <w:sz w:val="20"/>
          <w:szCs w:val="20"/>
        </w:rPr>
      </w:pPr>
    </w:p>
    <w:p w14:paraId="091A6DDE" w14:textId="77777777" w:rsidR="00EF4FD8" w:rsidRPr="000A5982" w:rsidRDefault="00EF4FD8" w:rsidP="00EF4FD8">
      <w:pPr>
        <w:rPr>
          <w:rFonts w:ascii="Cambria" w:eastAsia="Aptos" w:hAnsi="Cambria"/>
          <w:iCs/>
          <w:color w:val="000000"/>
          <w:kern w:val="2"/>
          <w:sz w:val="20"/>
          <w:szCs w:val="20"/>
        </w:rPr>
      </w:pPr>
      <w:r w:rsidRPr="000A5982">
        <w:rPr>
          <w:rFonts w:ascii="Cambria" w:eastAsia="Aptos" w:hAnsi="Cambria"/>
          <w:b/>
          <w:iCs/>
          <w:color w:val="000000"/>
          <w:kern w:val="2"/>
          <w:sz w:val="20"/>
          <w14:ligatures w14:val="standardContextual"/>
        </w:rPr>
        <w:t xml:space="preserve">Contexto: </w:t>
      </w:r>
      <w:r w:rsidRPr="000A5982">
        <w:rPr>
          <w:rFonts w:ascii="Cambria" w:eastAsia="Aptos" w:hAnsi="Cambria"/>
          <w:iCs/>
          <w:color w:val="000000"/>
          <w:kern w:val="2"/>
          <w:sz w:val="20"/>
          <w14:ligatures w14:val="standardContextual"/>
        </w:rPr>
        <w:t xml:space="preserve">La retención permitida será conforme al siguiente proceso: </w:t>
      </w:r>
    </w:p>
    <w:p w14:paraId="55F59A44" w14:textId="77777777" w:rsidR="00EF4FD8" w:rsidRPr="000A5982" w:rsidRDefault="00EF4FD8" w:rsidP="00EF4FD8">
      <w:pPr>
        <w:rPr>
          <w:rFonts w:ascii="Cambria" w:eastAsia="Aptos" w:hAnsi="Cambria"/>
          <w:iCs/>
          <w:color w:val="000000"/>
          <w:kern w:val="2"/>
          <w:sz w:val="20"/>
          <w:szCs w:val="20"/>
        </w:rPr>
      </w:pPr>
    </w:p>
    <w:p w14:paraId="4A2BFA85" w14:textId="77777777" w:rsidR="00EF4FD8" w:rsidRPr="000A5982" w:rsidRDefault="00EF4FD8" w:rsidP="00EF4FD8">
      <w:pPr>
        <w:numPr>
          <w:ilvl w:val="0"/>
          <w:numId w:val="4"/>
        </w:numPr>
        <w:spacing w:after="160"/>
        <w:ind w:left="709" w:hanging="283"/>
        <w:contextualSpacing/>
        <w:jc w:val="both"/>
        <w:rPr>
          <w:rFonts w:ascii="Cambria" w:eastAsia="Aptos" w:hAnsi="Cambria"/>
          <w:iCs/>
          <w:color w:val="000000"/>
          <w:kern w:val="2"/>
          <w:sz w:val="20"/>
          <w:szCs w:val="20"/>
        </w:rPr>
      </w:pPr>
      <w:r w:rsidRPr="000A5982">
        <w:rPr>
          <w:rFonts w:ascii="Cambria" w:eastAsia="Aptos" w:hAnsi="Cambria"/>
          <w:iCs/>
          <w:color w:val="000000"/>
          <w:kern w:val="2"/>
          <w:sz w:val="20"/>
          <w14:ligatures w14:val="standardContextual"/>
        </w:rPr>
        <w:t xml:space="preserve">A partir de 2023 y posteriormente cada año, el SCRS utilizará el Anexo 1 para calcular un posible nivel de retención, lo que incluye las tolerancias de retención individuales de las CPC elegibles, permitido en el año siguiente, y proporcionará los resultados a la Comisión. </w:t>
      </w:r>
    </w:p>
    <w:p w14:paraId="143695AA" w14:textId="77777777" w:rsidR="00EF4FD8" w:rsidRPr="000A5982" w:rsidRDefault="00EF4FD8" w:rsidP="00EF4FD8">
      <w:pPr>
        <w:rPr>
          <w:rFonts w:ascii="Cambria" w:hAnsi="Cambria"/>
          <w:iCs/>
          <w:color w:val="000000"/>
          <w:sz w:val="20"/>
          <w:szCs w:val="20"/>
        </w:rPr>
      </w:pPr>
    </w:p>
    <w:p w14:paraId="0D1849F7" w14:textId="77777777" w:rsidR="00EF4FD8" w:rsidRDefault="00EF4FD8" w:rsidP="00EF4FD8">
      <w:pPr>
        <w:jc w:val="both"/>
        <w:rPr>
          <w:rFonts w:ascii="Cambria" w:eastAsia="Aptos" w:hAnsi="Cambria"/>
          <w:kern w:val="2"/>
          <w:sz w:val="20"/>
          <w14:ligatures w14:val="standardContextual"/>
        </w:rPr>
      </w:pPr>
      <w:r w:rsidRPr="000A5982">
        <w:rPr>
          <w:rFonts w:ascii="Cambria" w:eastAsia="Aptos" w:hAnsi="Cambria"/>
          <w:kern w:val="2"/>
          <w:sz w:val="20"/>
          <w14:ligatures w14:val="standardContextual"/>
        </w:rPr>
        <w:t xml:space="preserve">El Comité revisó todas las presentaciones de datos sobre el marrajo dientuso del Atlántico norte para 2025. Los datos comunicados sobre desembarques, descartes de ejemplares muertos y liberaciones de ejemplares vivos correspondientes a 2025 se recogen en la tabla que figura a continuación. Se han resaltado en azul aquellos valores que el SCRS consideró necesario estimar basándose en las capturas declaradas de los tres años anteriores. </w:t>
      </w:r>
    </w:p>
    <w:p w14:paraId="77DA4CD6" w14:textId="77777777" w:rsidR="00EF4FD8" w:rsidRDefault="00EF4FD8" w:rsidP="00EF4FD8">
      <w:pPr>
        <w:spacing w:after="160"/>
        <w:rPr>
          <w:rFonts w:ascii="Cambria" w:eastAsia="Aptos" w:hAnsi="Cambria"/>
          <w:kern w:val="2"/>
          <w:sz w:val="20"/>
          <w14:ligatures w14:val="standardContextual"/>
        </w:rPr>
      </w:pPr>
      <w:r>
        <w:rPr>
          <w:rFonts w:ascii="Cambria" w:eastAsia="Aptos" w:hAnsi="Cambria"/>
          <w:kern w:val="2"/>
          <w:sz w:val="20"/>
          <w14:ligatures w14:val="standardContextual"/>
        </w:rPr>
        <w:br w:type="page"/>
      </w:r>
    </w:p>
    <w:tbl>
      <w:tblPr>
        <w:tblW w:w="96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1"/>
        <w:gridCol w:w="831"/>
        <w:gridCol w:w="814"/>
        <w:gridCol w:w="815"/>
        <w:gridCol w:w="940"/>
        <w:gridCol w:w="810"/>
        <w:gridCol w:w="810"/>
        <w:gridCol w:w="819"/>
        <w:gridCol w:w="819"/>
        <w:gridCol w:w="820"/>
      </w:tblGrid>
      <w:tr w:rsidR="00EF4FD8" w:rsidRPr="0099704B" w14:paraId="4050A34D" w14:textId="77777777" w:rsidTr="007C17C6">
        <w:trPr>
          <w:trHeight w:val="399"/>
        </w:trPr>
        <w:tc>
          <w:tcPr>
            <w:tcW w:w="2131" w:type="dxa"/>
            <w:noWrap/>
            <w:vAlign w:val="center"/>
            <w:hideMark/>
          </w:tcPr>
          <w:p w14:paraId="0CC2B238" w14:textId="77777777" w:rsidR="00EF4FD8" w:rsidRPr="000A5982" w:rsidRDefault="00EF4FD8" w:rsidP="007C17C6">
            <w:pPr>
              <w:rPr>
                <w:rFonts w:ascii="Cambria" w:hAnsi="Cambria"/>
                <w:b/>
                <w:bCs/>
                <w:color w:val="000000"/>
                <w:sz w:val="20"/>
                <w:szCs w:val="20"/>
              </w:rPr>
            </w:pPr>
            <w:r w:rsidRPr="000A5982">
              <w:rPr>
                <w:rFonts w:ascii="Cambria" w:eastAsia="Aptos" w:hAnsi="Cambria"/>
                <w:b/>
                <w:color w:val="000000"/>
                <w:kern w:val="2"/>
                <w:sz w:val="20"/>
                <w14:ligatures w14:val="standardContextual"/>
              </w:rPr>
              <w:lastRenderedPageBreak/>
              <w:t> </w:t>
            </w:r>
          </w:p>
        </w:tc>
        <w:tc>
          <w:tcPr>
            <w:tcW w:w="2460" w:type="dxa"/>
            <w:gridSpan w:val="3"/>
            <w:noWrap/>
            <w:vAlign w:val="center"/>
            <w:hideMark/>
          </w:tcPr>
          <w:p w14:paraId="243BC737" w14:textId="77777777" w:rsidR="00EF4FD8" w:rsidRPr="000A5982" w:rsidRDefault="00EF4FD8" w:rsidP="007C17C6">
            <w:pPr>
              <w:jc w:val="center"/>
              <w:rPr>
                <w:rFonts w:ascii="Cambria" w:hAnsi="Cambria"/>
                <w:b/>
                <w:bCs/>
                <w:i/>
                <w:iCs/>
                <w:color w:val="000000"/>
                <w:sz w:val="20"/>
                <w:szCs w:val="20"/>
              </w:rPr>
            </w:pPr>
            <w:r w:rsidRPr="000A5982">
              <w:rPr>
                <w:rFonts w:ascii="Cambria" w:eastAsia="Aptos" w:hAnsi="Cambria"/>
                <w:b/>
                <w:i/>
                <w:color w:val="000000"/>
                <w:kern w:val="2"/>
                <w:sz w:val="20"/>
                <w14:ligatures w14:val="standardContextual"/>
              </w:rPr>
              <w:t>Desembarques</w:t>
            </w:r>
          </w:p>
        </w:tc>
        <w:tc>
          <w:tcPr>
            <w:tcW w:w="2560" w:type="dxa"/>
            <w:gridSpan w:val="3"/>
            <w:noWrap/>
            <w:vAlign w:val="center"/>
            <w:hideMark/>
          </w:tcPr>
          <w:p w14:paraId="24565DA7" w14:textId="77777777" w:rsidR="00EF4FD8" w:rsidRPr="000A5982" w:rsidRDefault="00EF4FD8" w:rsidP="007C17C6">
            <w:pPr>
              <w:jc w:val="center"/>
              <w:rPr>
                <w:rFonts w:ascii="Cambria" w:hAnsi="Cambria"/>
                <w:b/>
                <w:bCs/>
                <w:i/>
                <w:iCs/>
                <w:color w:val="000000"/>
                <w:sz w:val="20"/>
                <w:szCs w:val="20"/>
              </w:rPr>
            </w:pPr>
            <w:r w:rsidRPr="000A5982">
              <w:rPr>
                <w:rFonts w:ascii="Cambria" w:eastAsia="Aptos" w:hAnsi="Cambria"/>
                <w:b/>
                <w:i/>
                <w:color w:val="000000"/>
                <w:kern w:val="2"/>
                <w:sz w:val="20"/>
                <w14:ligatures w14:val="standardContextual"/>
              </w:rPr>
              <w:t>Descartes muertos</w:t>
            </w:r>
          </w:p>
        </w:tc>
        <w:tc>
          <w:tcPr>
            <w:tcW w:w="2458" w:type="dxa"/>
            <w:gridSpan w:val="3"/>
            <w:noWrap/>
            <w:vAlign w:val="center"/>
            <w:hideMark/>
          </w:tcPr>
          <w:p w14:paraId="20538CE3" w14:textId="77777777" w:rsidR="00EF4FD8" w:rsidRPr="000A5982" w:rsidRDefault="00EF4FD8" w:rsidP="007C17C6">
            <w:pPr>
              <w:jc w:val="center"/>
              <w:rPr>
                <w:rFonts w:ascii="Cambria" w:hAnsi="Cambria"/>
                <w:b/>
                <w:bCs/>
                <w:i/>
                <w:iCs/>
                <w:color w:val="000000"/>
                <w:sz w:val="20"/>
                <w:szCs w:val="20"/>
              </w:rPr>
            </w:pPr>
            <w:r w:rsidRPr="000A5982">
              <w:rPr>
                <w:rFonts w:ascii="Cambria" w:eastAsia="Aptos" w:hAnsi="Cambria"/>
                <w:b/>
                <w:i/>
                <w:color w:val="000000"/>
                <w:kern w:val="2"/>
                <w:sz w:val="20"/>
                <w14:ligatures w14:val="standardContextual"/>
              </w:rPr>
              <w:t>Liberaciones de ejemplares vivos</w:t>
            </w:r>
          </w:p>
        </w:tc>
      </w:tr>
      <w:tr w:rsidR="00EF4FD8" w:rsidRPr="0099704B" w14:paraId="6D24F508" w14:textId="77777777" w:rsidTr="007C17C6">
        <w:trPr>
          <w:trHeight w:val="399"/>
        </w:trPr>
        <w:tc>
          <w:tcPr>
            <w:tcW w:w="2131" w:type="dxa"/>
            <w:noWrap/>
            <w:vAlign w:val="center"/>
            <w:hideMark/>
          </w:tcPr>
          <w:p w14:paraId="70959BB5" w14:textId="77777777" w:rsidR="00EF4FD8" w:rsidRPr="000A5982" w:rsidRDefault="00EF4FD8" w:rsidP="007C17C6">
            <w:pPr>
              <w:rPr>
                <w:rFonts w:ascii="Cambria" w:hAnsi="Cambria"/>
                <w:b/>
                <w:bCs/>
                <w:i/>
                <w:iCs/>
                <w:color w:val="000000"/>
                <w:sz w:val="20"/>
                <w:szCs w:val="20"/>
              </w:rPr>
            </w:pPr>
            <w:r w:rsidRPr="000A5982">
              <w:rPr>
                <w:rFonts w:ascii="Cambria" w:eastAsia="Aptos" w:hAnsi="Cambria"/>
                <w:b/>
                <w:i/>
                <w:color w:val="000000"/>
                <w:kern w:val="2"/>
                <w:sz w:val="20"/>
                <w14:ligatures w14:val="standardContextual"/>
              </w:rPr>
              <w:t>Nombre del pabellón</w:t>
            </w:r>
          </w:p>
        </w:tc>
        <w:tc>
          <w:tcPr>
            <w:tcW w:w="831" w:type="dxa"/>
            <w:noWrap/>
            <w:vAlign w:val="center"/>
            <w:hideMark/>
          </w:tcPr>
          <w:p w14:paraId="36836DAF" w14:textId="77777777" w:rsidR="00EF4FD8" w:rsidRPr="000A5982" w:rsidRDefault="00EF4FD8" w:rsidP="007C17C6">
            <w:pPr>
              <w:jc w:val="center"/>
              <w:rPr>
                <w:rFonts w:ascii="Cambria" w:hAnsi="Cambria"/>
                <w:b/>
                <w:bCs/>
                <w:i/>
                <w:iCs/>
                <w:color w:val="000000"/>
                <w:sz w:val="20"/>
                <w:szCs w:val="20"/>
              </w:rPr>
            </w:pPr>
            <w:r w:rsidRPr="000A5982">
              <w:rPr>
                <w:rFonts w:ascii="Cambria" w:eastAsia="Aptos" w:hAnsi="Cambria"/>
                <w:b/>
                <w:i/>
                <w:color w:val="000000"/>
                <w:kern w:val="2"/>
                <w:sz w:val="20"/>
                <w14:ligatures w14:val="standardContextual"/>
              </w:rPr>
              <w:t>2023</w:t>
            </w:r>
          </w:p>
        </w:tc>
        <w:tc>
          <w:tcPr>
            <w:tcW w:w="814" w:type="dxa"/>
            <w:noWrap/>
            <w:vAlign w:val="center"/>
            <w:hideMark/>
          </w:tcPr>
          <w:p w14:paraId="6B13A106" w14:textId="77777777" w:rsidR="00EF4FD8" w:rsidRPr="000A5982" w:rsidRDefault="00EF4FD8" w:rsidP="007C17C6">
            <w:pPr>
              <w:jc w:val="center"/>
              <w:rPr>
                <w:rFonts w:ascii="Cambria" w:hAnsi="Cambria"/>
                <w:b/>
                <w:bCs/>
                <w:i/>
                <w:iCs/>
                <w:color w:val="000000"/>
                <w:sz w:val="20"/>
                <w:szCs w:val="20"/>
              </w:rPr>
            </w:pPr>
            <w:r w:rsidRPr="000A5982">
              <w:rPr>
                <w:rFonts w:ascii="Cambria" w:eastAsia="Aptos" w:hAnsi="Cambria"/>
                <w:b/>
                <w:i/>
                <w:color w:val="000000"/>
                <w:kern w:val="2"/>
                <w:sz w:val="20"/>
                <w14:ligatures w14:val="standardContextual"/>
              </w:rPr>
              <w:t>2024</w:t>
            </w:r>
          </w:p>
        </w:tc>
        <w:tc>
          <w:tcPr>
            <w:tcW w:w="815" w:type="dxa"/>
            <w:noWrap/>
            <w:vAlign w:val="center"/>
            <w:hideMark/>
          </w:tcPr>
          <w:p w14:paraId="6B1543D6" w14:textId="77777777" w:rsidR="00EF4FD8" w:rsidRPr="000A5982" w:rsidRDefault="00EF4FD8" w:rsidP="007C17C6">
            <w:pPr>
              <w:jc w:val="center"/>
              <w:rPr>
                <w:rFonts w:ascii="Cambria" w:hAnsi="Cambria"/>
                <w:b/>
                <w:bCs/>
                <w:i/>
                <w:iCs/>
                <w:color w:val="000000"/>
                <w:sz w:val="20"/>
                <w:szCs w:val="20"/>
              </w:rPr>
            </w:pPr>
            <w:r w:rsidRPr="000A5982">
              <w:rPr>
                <w:rFonts w:ascii="Cambria" w:eastAsia="Aptos" w:hAnsi="Cambria"/>
                <w:b/>
                <w:i/>
                <w:color w:val="000000"/>
                <w:kern w:val="2"/>
                <w:sz w:val="20"/>
                <w14:ligatures w14:val="standardContextual"/>
              </w:rPr>
              <w:t>2025</w:t>
            </w:r>
          </w:p>
        </w:tc>
        <w:tc>
          <w:tcPr>
            <w:tcW w:w="940" w:type="dxa"/>
            <w:noWrap/>
            <w:vAlign w:val="center"/>
            <w:hideMark/>
          </w:tcPr>
          <w:p w14:paraId="29D84EDF" w14:textId="77777777" w:rsidR="00EF4FD8" w:rsidRPr="000A5982" w:rsidRDefault="00EF4FD8" w:rsidP="007C17C6">
            <w:pPr>
              <w:jc w:val="center"/>
              <w:rPr>
                <w:rFonts w:ascii="Cambria" w:hAnsi="Cambria"/>
                <w:b/>
                <w:bCs/>
                <w:i/>
                <w:iCs/>
                <w:color w:val="000000"/>
                <w:sz w:val="20"/>
                <w:szCs w:val="20"/>
              </w:rPr>
            </w:pPr>
            <w:r w:rsidRPr="000A5982">
              <w:rPr>
                <w:rFonts w:ascii="Cambria" w:eastAsia="Aptos" w:hAnsi="Cambria"/>
                <w:b/>
                <w:i/>
                <w:color w:val="000000"/>
                <w:kern w:val="2"/>
                <w:sz w:val="20"/>
                <w14:ligatures w14:val="standardContextual"/>
              </w:rPr>
              <w:t>2023</w:t>
            </w:r>
          </w:p>
        </w:tc>
        <w:tc>
          <w:tcPr>
            <w:tcW w:w="810" w:type="dxa"/>
            <w:noWrap/>
            <w:vAlign w:val="center"/>
            <w:hideMark/>
          </w:tcPr>
          <w:p w14:paraId="6A568AAA" w14:textId="77777777" w:rsidR="00EF4FD8" w:rsidRPr="000A5982" w:rsidRDefault="00EF4FD8" w:rsidP="007C17C6">
            <w:pPr>
              <w:jc w:val="center"/>
              <w:rPr>
                <w:rFonts w:ascii="Cambria" w:hAnsi="Cambria"/>
                <w:b/>
                <w:bCs/>
                <w:i/>
                <w:iCs/>
                <w:color w:val="000000"/>
                <w:sz w:val="20"/>
                <w:szCs w:val="20"/>
              </w:rPr>
            </w:pPr>
            <w:r w:rsidRPr="000A5982">
              <w:rPr>
                <w:rFonts w:ascii="Cambria" w:eastAsia="Aptos" w:hAnsi="Cambria"/>
                <w:b/>
                <w:i/>
                <w:color w:val="000000"/>
                <w:kern w:val="2"/>
                <w:sz w:val="20"/>
                <w14:ligatures w14:val="standardContextual"/>
              </w:rPr>
              <w:t>2024</w:t>
            </w:r>
          </w:p>
        </w:tc>
        <w:tc>
          <w:tcPr>
            <w:tcW w:w="810" w:type="dxa"/>
            <w:noWrap/>
            <w:vAlign w:val="center"/>
            <w:hideMark/>
          </w:tcPr>
          <w:p w14:paraId="15128ACE" w14:textId="77777777" w:rsidR="00EF4FD8" w:rsidRPr="000A5982" w:rsidRDefault="00EF4FD8" w:rsidP="007C17C6">
            <w:pPr>
              <w:jc w:val="center"/>
              <w:rPr>
                <w:rFonts w:ascii="Cambria" w:hAnsi="Cambria"/>
                <w:b/>
                <w:bCs/>
                <w:i/>
                <w:iCs/>
                <w:color w:val="000000"/>
                <w:sz w:val="20"/>
                <w:szCs w:val="20"/>
              </w:rPr>
            </w:pPr>
            <w:r w:rsidRPr="000A5982">
              <w:rPr>
                <w:rFonts w:ascii="Cambria" w:eastAsia="Aptos" w:hAnsi="Cambria"/>
                <w:b/>
                <w:i/>
                <w:color w:val="000000"/>
                <w:kern w:val="2"/>
                <w:sz w:val="20"/>
                <w14:ligatures w14:val="standardContextual"/>
              </w:rPr>
              <w:t>2025</w:t>
            </w:r>
          </w:p>
        </w:tc>
        <w:tc>
          <w:tcPr>
            <w:tcW w:w="819" w:type="dxa"/>
            <w:noWrap/>
            <w:vAlign w:val="center"/>
            <w:hideMark/>
          </w:tcPr>
          <w:p w14:paraId="0363BBA9" w14:textId="77777777" w:rsidR="00EF4FD8" w:rsidRPr="000A5982" w:rsidRDefault="00EF4FD8" w:rsidP="007C17C6">
            <w:pPr>
              <w:jc w:val="center"/>
              <w:rPr>
                <w:rFonts w:ascii="Cambria" w:hAnsi="Cambria"/>
                <w:b/>
                <w:bCs/>
                <w:i/>
                <w:iCs/>
                <w:color w:val="000000"/>
                <w:sz w:val="20"/>
                <w:szCs w:val="20"/>
              </w:rPr>
            </w:pPr>
            <w:r w:rsidRPr="000A5982">
              <w:rPr>
                <w:rFonts w:ascii="Cambria" w:eastAsia="Aptos" w:hAnsi="Cambria"/>
                <w:b/>
                <w:i/>
                <w:color w:val="000000"/>
                <w:kern w:val="2"/>
                <w:sz w:val="20"/>
                <w14:ligatures w14:val="standardContextual"/>
              </w:rPr>
              <w:t>2023</w:t>
            </w:r>
          </w:p>
        </w:tc>
        <w:tc>
          <w:tcPr>
            <w:tcW w:w="819" w:type="dxa"/>
            <w:noWrap/>
            <w:vAlign w:val="center"/>
            <w:hideMark/>
          </w:tcPr>
          <w:p w14:paraId="2422E610" w14:textId="77777777" w:rsidR="00EF4FD8" w:rsidRPr="000A5982" w:rsidRDefault="00EF4FD8" w:rsidP="007C17C6">
            <w:pPr>
              <w:jc w:val="center"/>
              <w:rPr>
                <w:rFonts w:ascii="Cambria" w:hAnsi="Cambria"/>
                <w:b/>
                <w:bCs/>
                <w:i/>
                <w:iCs/>
                <w:color w:val="000000"/>
                <w:sz w:val="20"/>
                <w:szCs w:val="20"/>
              </w:rPr>
            </w:pPr>
            <w:r w:rsidRPr="000A5982">
              <w:rPr>
                <w:rFonts w:ascii="Cambria" w:eastAsia="Aptos" w:hAnsi="Cambria"/>
                <w:b/>
                <w:i/>
                <w:color w:val="000000"/>
                <w:kern w:val="2"/>
                <w:sz w:val="20"/>
                <w14:ligatures w14:val="standardContextual"/>
              </w:rPr>
              <w:t>2024</w:t>
            </w:r>
          </w:p>
        </w:tc>
        <w:tc>
          <w:tcPr>
            <w:tcW w:w="820" w:type="dxa"/>
            <w:noWrap/>
            <w:vAlign w:val="center"/>
            <w:hideMark/>
          </w:tcPr>
          <w:p w14:paraId="69E0B8F8" w14:textId="77777777" w:rsidR="00EF4FD8" w:rsidRPr="000A5982" w:rsidRDefault="00EF4FD8" w:rsidP="007C17C6">
            <w:pPr>
              <w:jc w:val="center"/>
              <w:rPr>
                <w:rFonts w:ascii="Cambria" w:hAnsi="Cambria"/>
                <w:b/>
                <w:bCs/>
                <w:i/>
                <w:iCs/>
                <w:color w:val="000000"/>
                <w:sz w:val="20"/>
                <w:szCs w:val="20"/>
              </w:rPr>
            </w:pPr>
            <w:r w:rsidRPr="000A5982">
              <w:rPr>
                <w:rFonts w:ascii="Cambria" w:eastAsia="Aptos" w:hAnsi="Cambria"/>
                <w:b/>
                <w:i/>
                <w:color w:val="000000"/>
                <w:kern w:val="2"/>
                <w:sz w:val="20"/>
                <w14:ligatures w14:val="standardContextual"/>
              </w:rPr>
              <w:t>2025</w:t>
            </w:r>
          </w:p>
        </w:tc>
      </w:tr>
      <w:tr w:rsidR="00EF4FD8" w:rsidRPr="0099704B" w14:paraId="72A6A96A" w14:textId="77777777" w:rsidTr="007C17C6">
        <w:trPr>
          <w:trHeight w:val="399"/>
        </w:trPr>
        <w:tc>
          <w:tcPr>
            <w:tcW w:w="2131" w:type="dxa"/>
            <w:noWrap/>
            <w:vAlign w:val="center"/>
            <w:hideMark/>
          </w:tcPr>
          <w:p w14:paraId="3DD9262C"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14:ligatures w14:val="standardContextual"/>
              </w:rPr>
              <w:t>Cabo Verde</w:t>
            </w:r>
          </w:p>
        </w:tc>
        <w:tc>
          <w:tcPr>
            <w:tcW w:w="831" w:type="dxa"/>
            <w:noWrap/>
            <w:vAlign w:val="center"/>
            <w:hideMark/>
          </w:tcPr>
          <w:p w14:paraId="4E9A3FF9"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2,58</w:t>
            </w:r>
          </w:p>
        </w:tc>
        <w:tc>
          <w:tcPr>
            <w:tcW w:w="814" w:type="dxa"/>
            <w:noWrap/>
            <w:vAlign w:val="center"/>
            <w:hideMark/>
          </w:tcPr>
          <w:p w14:paraId="0E951312"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0,86</w:t>
            </w:r>
          </w:p>
        </w:tc>
        <w:tc>
          <w:tcPr>
            <w:tcW w:w="815" w:type="dxa"/>
            <w:shd w:val="clear" w:color="000000" w:fill="DAE9F8"/>
            <w:noWrap/>
            <w:vAlign w:val="center"/>
            <w:hideMark/>
          </w:tcPr>
          <w:p w14:paraId="08094454"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0,00</w:t>
            </w:r>
          </w:p>
        </w:tc>
        <w:tc>
          <w:tcPr>
            <w:tcW w:w="940" w:type="dxa"/>
            <w:noWrap/>
            <w:vAlign w:val="center"/>
            <w:hideMark/>
          </w:tcPr>
          <w:p w14:paraId="668EF320"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10" w:type="dxa"/>
            <w:noWrap/>
            <w:vAlign w:val="center"/>
            <w:hideMark/>
          </w:tcPr>
          <w:p w14:paraId="1511FDB3"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10" w:type="dxa"/>
            <w:shd w:val="clear" w:color="000000" w:fill="DAE9F8"/>
            <w:noWrap/>
            <w:vAlign w:val="center"/>
            <w:hideMark/>
          </w:tcPr>
          <w:p w14:paraId="6E3E8528"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19" w:type="dxa"/>
            <w:noWrap/>
            <w:vAlign w:val="center"/>
            <w:hideMark/>
          </w:tcPr>
          <w:p w14:paraId="6F873428"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19" w:type="dxa"/>
            <w:noWrap/>
            <w:vAlign w:val="center"/>
            <w:hideMark/>
          </w:tcPr>
          <w:p w14:paraId="30E8E0A3"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20" w:type="dxa"/>
            <w:shd w:val="clear" w:color="000000" w:fill="DAE9F8"/>
            <w:noWrap/>
            <w:vAlign w:val="center"/>
            <w:hideMark/>
          </w:tcPr>
          <w:p w14:paraId="70FE9BA9"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r>
      <w:tr w:rsidR="00EF4FD8" w:rsidRPr="0099704B" w14:paraId="5918561A" w14:textId="77777777" w:rsidTr="007C17C6">
        <w:trPr>
          <w:trHeight w:val="399"/>
        </w:trPr>
        <w:tc>
          <w:tcPr>
            <w:tcW w:w="2131" w:type="dxa"/>
            <w:noWrap/>
            <w:vAlign w:val="center"/>
            <w:hideMark/>
          </w:tcPr>
          <w:p w14:paraId="7EBE2DA2"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14:ligatures w14:val="standardContextual"/>
              </w:rPr>
              <w:t>Canadá</w:t>
            </w:r>
          </w:p>
        </w:tc>
        <w:tc>
          <w:tcPr>
            <w:tcW w:w="831" w:type="dxa"/>
            <w:noWrap/>
            <w:vAlign w:val="center"/>
            <w:hideMark/>
          </w:tcPr>
          <w:p w14:paraId="60E98FDE"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0,12</w:t>
            </w:r>
          </w:p>
        </w:tc>
        <w:tc>
          <w:tcPr>
            <w:tcW w:w="814" w:type="dxa"/>
            <w:noWrap/>
            <w:vAlign w:val="center"/>
            <w:hideMark/>
          </w:tcPr>
          <w:p w14:paraId="7B4126C4"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15" w:type="dxa"/>
            <w:shd w:val="clear" w:color="000000" w:fill="DAE9F8"/>
            <w:noWrap/>
            <w:vAlign w:val="center"/>
            <w:hideMark/>
          </w:tcPr>
          <w:p w14:paraId="0D79155B"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940" w:type="dxa"/>
            <w:noWrap/>
            <w:vAlign w:val="center"/>
            <w:hideMark/>
          </w:tcPr>
          <w:p w14:paraId="79350A1D"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11,60</w:t>
            </w:r>
          </w:p>
        </w:tc>
        <w:tc>
          <w:tcPr>
            <w:tcW w:w="810" w:type="dxa"/>
            <w:noWrap/>
            <w:vAlign w:val="center"/>
            <w:hideMark/>
          </w:tcPr>
          <w:p w14:paraId="02D1F45F"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13,63</w:t>
            </w:r>
          </w:p>
        </w:tc>
        <w:tc>
          <w:tcPr>
            <w:tcW w:w="810" w:type="dxa"/>
            <w:shd w:val="clear" w:color="000000" w:fill="DAE9F8"/>
            <w:noWrap/>
            <w:vAlign w:val="center"/>
            <w:hideMark/>
          </w:tcPr>
          <w:p w14:paraId="4B98A179"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10,40</w:t>
            </w:r>
          </w:p>
        </w:tc>
        <w:tc>
          <w:tcPr>
            <w:tcW w:w="819" w:type="dxa"/>
            <w:noWrap/>
            <w:vAlign w:val="center"/>
            <w:hideMark/>
          </w:tcPr>
          <w:p w14:paraId="39778B4E"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23,33</w:t>
            </w:r>
          </w:p>
        </w:tc>
        <w:tc>
          <w:tcPr>
            <w:tcW w:w="819" w:type="dxa"/>
            <w:noWrap/>
            <w:vAlign w:val="center"/>
            <w:hideMark/>
          </w:tcPr>
          <w:p w14:paraId="3A2812D7"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44,57</w:t>
            </w:r>
          </w:p>
        </w:tc>
        <w:tc>
          <w:tcPr>
            <w:tcW w:w="820" w:type="dxa"/>
            <w:shd w:val="clear" w:color="000000" w:fill="DAE9F8"/>
            <w:noWrap/>
            <w:vAlign w:val="center"/>
            <w:hideMark/>
          </w:tcPr>
          <w:p w14:paraId="2E67A456"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47,03</w:t>
            </w:r>
          </w:p>
        </w:tc>
      </w:tr>
      <w:tr w:rsidR="00EF4FD8" w:rsidRPr="0099704B" w14:paraId="3DB1ABF4" w14:textId="77777777" w:rsidTr="007C17C6">
        <w:trPr>
          <w:trHeight w:val="399"/>
        </w:trPr>
        <w:tc>
          <w:tcPr>
            <w:tcW w:w="2131" w:type="dxa"/>
            <w:noWrap/>
            <w:vAlign w:val="center"/>
            <w:hideMark/>
          </w:tcPr>
          <w:p w14:paraId="15ABFBA4"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14:ligatures w14:val="standardContextual"/>
              </w:rPr>
              <w:t>China R.P.</w:t>
            </w:r>
          </w:p>
        </w:tc>
        <w:tc>
          <w:tcPr>
            <w:tcW w:w="831" w:type="dxa"/>
            <w:noWrap/>
            <w:vAlign w:val="center"/>
            <w:hideMark/>
          </w:tcPr>
          <w:p w14:paraId="01E16E0A"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14" w:type="dxa"/>
            <w:noWrap/>
            <w:vAlign w:val="center"/>
            <w:hideMark/>
          </w:tcPr>
          <w:p w14:paraId="40473699"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15" w:type="dxa"/>
            <w:shd w:val="clear" w:color="000000" w:fill="DAE9F8"/>
            <w:noWrap/>
            <w:vAlign w:val="center"/>
            <w:hideMark/>
          </w:tcPr>
          <w:p w14:paraId="07065192"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940" w:type="dxa"/>
            <w:noWrap/>
            <w:vAlign w:val="center"/>
            <w:hideMark/>
          </w:tcPr>
          <w:p w14:paraId="18740B2F"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3,64</w:t>
            </w:r>
          </w:p>
        </w:tc>
        <w:tc>
          <w:tcPr>
            <w:tcW w:w="810" w:type="dxa"/>
            <w:noWrap/>
            <w:vAlign w:val="center"/>
            <w:hideMark/>
          </w:tcPr>
          <w:p w14:paraId="36DDC5F1"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5,76</w:t>
            </w:r>
          </w:p>
        </w:tc>
        <w:tc>
          <w:tcPr>
            <w:tcW w:w="810" w:type="dxa"/>
            <w:shd w:val="clear" w:color="000000" w:fill="DAE9F8"/>
            <w:noWrap/>
            <w:vAlign w:val="center"/>
            <w:hideMark/>
          </w:tcPr>
          <w:p w14:paraId="74FF8D68"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20,93</w:t>
            </w:r>
          </w:p>
        </w:tc>
        <w:tc>
          <w:tcPr>
            <w:tcW w:w="819" w:type="dxa"/>
            <w:noWrap/>
            <w:vAlign w:val="center"/>
            <w:hideMark/>
          </w:tcPr>
          <w:p w14:paraId="0AE0CD57"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6,74</w:t>
            </w:r>
          </w:p>
        </w:tc>
        <w:tc>
          <w:tcPr>
            <w:tcW w:w="819" w:type="dxa"/>
            <w:noWrap/>
            <w:vAlign w:val="center"/>
            <w:hideMark/>
          </w:tcPr>
          <w:p w14:paraId="6D322E23"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20,90</w:t>
            </w:r>
          </w:p>
        </w:tc>
        <w:tc>
          <w:tcPr>
            <w:tcW w:w="820" w:type="dxa"/>
            <w:shd w:val="clear" w:color="000000" w:fill="DAE9F8"/>
            <w:noWrap/>
            <w:vAlign w:val="center"/>
            <w:hideMark/>
          </w:tcPr>
          <w:p w14:paraId="3920E303"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34,35</w:t>
            </w:r>
          </w:p>
        </w:tc>
      </w:tr>
      <w:tr w:rsidR="00EF4FD8" w:rsidRPr="0099704B" w14:paraId="47F4E412" w14:textId="77777777" w:rsidTr="007C17C6">
        <w:trPr>
          <w:trHeight w:val="399"/>
        </w:trPr>
        <w:tc>
          <w:tcPr>
            <w:tcW w:w="2131" w:type="dxa"/>
            <w:noWrap/>
            <w:vAlign w:val="center"/>
            <w:hideMark/>
          </w:tcPr>
          <w:p w14:paraId="641E7C84"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14:ligatures w14:val="standardContextual"/>
              </w:rPr>
              <w:t>Taipei Chino</w:t>
            </w:r>
          </w:p>
        </w:tc>
        <w:tc>
          <w:tcPr>
            <w:tcW w:w="831" w:type="dxa"/>
            <w:noWrap/>
            <w:vAlign w:val="center"/>
            <w:hideMark/>
          </w:tcPr>
          <w:p w14:paraId="009BBBBC"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0,00</w:t>
            </w:r>
          </w:p>
        </w:tc>
        <w:tc>
          <w:tcPr>
            <w:tcW w:w="814" w:type="dxa"/>
            <w:noWrap/>
            <w:vAlign w:val="center"/>
            <w:hideMark/>
          </w:tcPr>
          <w:p w14:paraId="717DBE5C"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0,00</w:t>
            </w:r>
          </w:p>
        </w:tc>
        <w:tc>
          <w:tcPr>
            <w:tcW w:w="815" w:type="dxa"/>
            <w:shd w:val="clear" w:color="000000" w:fill="DAE9F8"/>
            <w:noWrap/>
            <w:vAlign w:val="center"/>
            <w:hideMark/>
          </w:tcPr>
          <w:p w14:paraId="7FFCCFEC"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0,00</w:t>
            </w:r>
          </w:p>
        </w:tc>
        <w:tc>
          <w:tcPr>
            <w:tcW w:w="940" w:type="dxa"/>
            <w:noWrap/>
            <w:vAlign w:val="center"/>
            <w:hideMark/>
          </w:tcPr>
          <w:p w14:paraId="20C189E5"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5,76</w:t>
            </w:r>
          </w:p>
        </w:tc>
        <w:tc>
          <w:tcPr>
            <w:tcW w:w="810" w:type="dxa"/>
            <w:noWrap/>
            <w:vAlign w:val="center"/>
            <w:hideMark/>
          </w:tcPr>
          <w:p w14:paraId="3BD3E517"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2,05</w:t>
            </w:r>
          </w:p>
        </w:tc>
        <w:tc>
          <w:tcPr>
            <w:tcW w:w="810" w:type="dxa"/>
            <w:shd w:val="clear" w:color="000000" w:fill="DAE9F8"/>
            <w:noWrap/>
            <w:vAlign w:val="center"/>
            <w:hideMark/>
          </w:tcPr>
          <w:p w14:paraId="4B088776"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3,31</w:t>
            </w:r>
          </w:p>
        </w:tc>
        <w:tc>
          <w:tcPr>
            <w:tcW w:w="819" w:type="dxa"/>
            <w:noWrap/>
            <w:vAlign w:val="center"/>
            <w:hideMark/>
          </w:tcPr>
          <w:p w14:paraId="2141871F"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4,86</w:t>
            </w:r>
          </w:p>
        </w:tc>
        <w:tc>
          <w:tcPr>
            <w:tcW w:w="819" w:type="dxa"/>
            <w:noWrap/>
            <w:vAlign w:val="center"/>
            <w:hideMark/>
          </w:tcPr>
          <w:p w14:paraId="69E96E26"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1,70</w:t>
            </w:r>
          </w:p>
        </w:tc>
        <w:tc>
          <w:tcPr>
            <w:tcW w:w="820" w:type="dxa"/>
            <w:shd w:val="clear" w:color="000000" w:fill="DAE9F8"/>
            <w:noWrap/>
            <w:vAlign w:val="center"/>
            <w:hideMark/>
          </w:tcPr>
          <w:p w14:paraId="3B33A95B"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2,81</w:t>
            </w:r>
          </w:p>
        </w:tc>
      </w:tr>
      <w:tr w:rsidR="00EF4FD8" w:rsidRPr="0099704B" w14:paraId="0CCF307B" w14:textId="77777777" w:rsidTr="007C17C6">
        <w:trPr>
          <w:trHeight w:val="399"/>
        </w:trPr>
        <w:tc>
          <w:tcPr>
            <w:tcW w:w="2131" w:type="dxa"/>
            <w:noWrap/>
            <w:vAlign w:val="center"/>
            <w:hideMark/>
          </w:tcPr>
          <w:p w14:paraId="18DE627B"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14:ligatures w14:val="standardContextual"/>
              </w:rPr>
              <w:t>UE-España</w:t>
            </w:r>
          </w:p>
        </w:tc>
        <w:tc>
          <w:tcPr>
            <w:tcW w:w="831" w:type="dxa"/>
            <w:noWrap/>
            <w:vAlign w:val="center"/>
            <w:hideMark/>
          </w:tcPr>
          <w:p w14:paraId="2674B74A"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0,00</w:t>
            </w:r>
          </w:p>
        </w:tc>
        <w:tc>
          <w:tcPr>
            <w:tcW w:w="814" w:type="dxa"/>
            <w:noWrap/>
            <w:vAlign w:val="center"/>
            <w:hideMark/>
          </w:tcPr>
          <w:p w14:paraId="66A86AF8"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0,00</w:t>
            </w:r>
          </w:p>
        </w:tc>
        <w:tc>
          <w:tcPr>
            <w:tcW w:w="815" w:type="dxa"/>
            <w:shd w:val="clear" w:color="000000" w:fill="DAE9F8"/>
            <w:noWrap/>
            <w:vAlign w:val="center"/>
            <w:hideMark/>
          </w:tcPr>
          <w:p w14:paraId="661CAB2C"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0,00</w:t>
            </w:r>
          </w:p>
        </w:tc>
        <w:tc>
          <w:tcPr>
            <w:tcW w:w="940" w:type="dxa"/>
            <w:noWrap/>
            <w:vAlign w:val="center"/>
            <w:hideMark/>
          </w:tcPr>
          <w:p w14:paraId="74DF9338"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935,65</w:t>
            </w:r>
          </w:p>
        </w:tc>
        <w:tc>
          <w:tcPr>
            <w:tcW w:w="810" w:type="dxa"/>
            <w:noWrap/>
            <w:vAlign w:val="center"/>
            <w:hideMark/>
          </w:tcPr>
          <w:p w14:paraId="401FBC30"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714,40</w:t>
            </w:r>
          </w:p>
        </w:tc>
        <w:tc>
          <w:tcPr>
            <w:tcW w:w="810" w:type="dxa"/>
            <w:shd w:val="clear" w:color="000000" w:fill="DAE9F8"/>
            <w:noWrap/>
            <w:vAlign w:val="center"/>
            <w:hideMark/>
          </w:tcPr>
          <w:p w14:paraId="1C834632"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452,75</w:t>
            </w:r>
          </w:p>
        </w:tc>
        <w:tc>
          <w:tcPr>
            <w:tcW w:w="819" w:type="dxa"/>
            <w:noWrap/>
            <w:vAlign w:val="center"/>
            <w:hideMark/>
          </w:tcPr>
          <w:p w14:paraId="7328ADF3"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706,35</w:t>
            </w:r>
          </w:p>
        </w:tc>
        <w:tc>
          <w:tcPr>
            <w:tcW w:w="819" w:type="dxa"/>
            <w:noWrap/>
            <w:vAlign w:val="center"/>
            <w:hideMark/>
          </w:tcPr>
          <w:p w14:paraId="7AA62F8C"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435,77</w:t>
            </w:r>
          </w:p>
        </w:tc>
        <w:tc>
          <w:tcPr>
            <w:tcW w:w="820" w:type="dxa"/>
            <w:shd w:val="clear" w:color="000000" w:fill="DAE9F8"/>
            <w:noWrap/>
            <w:vAlign w:val="center"/>
            <w:hideMark/>
          </w:tcPr>
          <w:p w14:paraId="547AF9D5"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269,93</w:t>
            </w:r>
          </w:p>
        </w:tc>
      </w:tr>
      <w:tr w:rsidR="00EF4FD8" w:rsidRPr="0099704B" w14:paraId="64A0BA4C" w14:textId="77777777" w:rsidTr="007C17C6">
        <w:trPr>
          <w:trHeight w:val="399"/>
        </w:trPr>
        <w:tc>
          <w:tcPr>
            <w:tcW w:w="2131" w:type="dxa"/>
            <w:noWrap/>
            <w:vAlign w:val="center"/>
            <w:hideMark/>
          </w:tcPr>
          <w:p w14:paraId="038398D5"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14:ligatures w14:val="standardContextual"/>
              </w:rPr>
              <w:t>UE-Francia</w:t>
            </w:r>
          </w:p>
        </w:tc>
        <w:tc>
          <w:tcPr>
            <w:tcW w:w="831" w:type="dxa"/>
            <w:noWrap/>
            <w:vAlign w:val="center"/>
            <w:hideMark/>
          </w:tcPr>
          <w:p w14:paraId="6A8AD50E"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0,45</w:t>
            </w:r>
          </w:p>
        </w:tc>
        <w:tc>
          <w:tcPr>
            <w:tcW w:w="814" w:type="dxa"/>
            <w:noWrap/>
            <w:vAlign w:val="center"/>
            <w:hideMark/>
          </w:tcPr>
          <w:p w14:paraId="6B1C6455"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0,19</w:t>
            </w:r>
          </w:p>
        </w:tc>
        <w:tc>
          <w:tcPr>
            <w:tcW w:w="815" w:type="dxa"/>
            <w:shd w:val="clear" w:color="000000" w:fill="DAE9F8"/>
            <w:noWrap/>
            <w:vAlign w:val="center"/>
            <w:hideMark/>
          </w:tcPr>
          <w:p w14:paraId="3B420073"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0,04</w:t>
            </w:r>
          </w:p>
        </w:tc>
        <w:tc>
          <w:tcPr>
            <w:tcW w:w="940" w:type="dxa"/>
            <w:noWrap/>
            <w:vAlign w:val="center"/>
            <w:hideMark/>
          </w:tcPr>
          <w:p w14:paraId="6E180115"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0,56</w:t>
            </w:r>
          </w:p>
        </w:tc>
        <w:tc>
          <w:tcPr>
            <w:tcW w:w="810" w:type="dxa"/>
            <w:noWrap/>
            <w:vAlign w:val="center"/>
            <w:hideMark/>
          </w:tcPr>
          <w:p w14:paraId="29EE8382"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0,13</w:t>
            </w:r>
          </w:p>
        </w:tc>
        <w:tc>
          <w:tcPr>
            <w:tcW w:w="810" w:type="dxa"/>
            <w:shd w:val="clear" w:color="000000" w:fill="DAE9F8"/>
            <w:noWrap/>
            <w:vAlign w:val="center"/>
            <w:hideMark/>
          </w:tcPr>
          <w:p w14:paraId="3E37D5E3"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0,18</w:t>
            </w:r>
          </w:p>
        </w:tc>
        <w:tc>
          <w:tcPr>
            <w:tcW w:w="819" w:type="dxa"/>
            <w:noWrap/>
            <w:vAlign w:val="center"/>
            <w:hideMark/>
          </w:tcPr>
          <w:p w14:paraId="7F154020"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0,15</w:t>
            </w:r>
          </w:p>
        </w:tc>
        <w:tc>
          <w:tcPr>
            <w:tcW w:w="819" w:type="dxa"/>
            <w:noWrap/>
            <w:vAlign w:val="center"/>
            <w:hideMark/>
          </w:tcPr>
          <w:p w14:paraId="6D4A0395"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0,15</w:t>
            </w:r>
          </w:p>
        </w:tc>
        <w:tc>
          <w:tcPr>
            <w:tcW w:w="820" w:type="dxa"/>
            <w:shd w:val="clear" w:color="000000" w:fill="DAE9F8"/>
            <w:noWrap/>
            <w:vAlign w:val="center"/>
            <w:hideMark/>
          </w:tcPr>
          <w:p w14:paraId="4B7863FD"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0,00</w:t>
            </w:r>
          </w:p>
        </w:tc>
      </w:tr>
      <w:tr w:rsidR="00EF4FD8" w:rsidRPr="0099704B" w14:paraId="37B657E0" w14:textId="77777777" w:rsidTr="007C17C6">
        <w:trPr>
          <w:trHeight w:val="399"/>
        </w:trPr>
        <w:tc>
          <w:tcPr>
            <w:tcW w:w="2131" w:type="dxa"/>
            <w:noWrap/>
            <w:vAlign w:val="center"/>
            <w:hideMark/>
          </w:tcPr>
          <w:p w14:paraId="0517EA34"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14:ligatures w14:val="standardContextual"/>
              </w:rPr>
              <w:t>UE-Portugal</w:t>
            </w:r>
          </w:p>
        </w:tc>
        <w:tc>
          <w:tcPr>
            <w:tcW w:w="831" w:type="dxa"/>
            <w:noWrap/>
            <w:vAlign w:val="center"/>
            <w:hideMark/>
          </w:tcPr>
          <w:p w14:paraId="01807249"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0,25</w:t>
            </w:r>
          </w:p>
        </w:tc>
        <w:tc>
          <w:tcPr>
            <w:tcW w:w="814" w:type="dxa"/>
            <w:noWrap/>
            <w:vAlign w:val="center"/>
            <w:hideMark/>
          </w:tcPr>
          <w:p w14:paraId="37AD0022"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0,86</w:t>
            </w:r>
          </w:p>
        </w:tc>
        <w:tc>
          <w:tcPr>
            <w:tcW w:w="815" w:type="dxa"/>
            <w:shd w:val="clear" w:color="000000" w:fill="DAE9F8"/>
            <w:noWrap/>
            <w:vAlign w:val="center"/>
            <w:hideMark/>
          </w:tcPr>
          <w:p w14:paraId="02EAF93D"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0,09</w:t>
            </w:r>
          </w:p>
        </w:tc>
        <w:tc>
          <w:tcPr>
            <w:tcW w:w="940" w:type="dxa"/>
            <w:noWrap/>
            <w:vAlign w:val="center"/>
            <w:hideMark/>
          </w:tcPr>
          <w:p w14:paraId="0B6852C9"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58,58</w:t>
            </w:r>
          </w:p>
        </w:tc>
        <w:tc>
          <w:tcPr>
            <w:tcW w:w="810" w:type="dxa"/>
            <w:noWrap/>
            <w:vAlign w:val="center"/>
            <w:hideMark/>
          </w:tcPr>
          <w:p w14:paraId="3C3C9049"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47,15</w:t>
            </w:r>
          </w:p>
        </w:tc>
        <w:tc>
          <w:tcPr>
            <w:tcW w:w="810" w:type="dxa"/>
            <w:shd w:val="clear" w:color="000000" w:fill="DAE9F8"/>
            <w:noWrap/>
            <w:vAlign w:val="center"/>
            <w:hideMark/>
          </w:tcPr>
          <w:p w14:paraId="7A7811E1"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42,91</w:t>
            </w:r>
          </w:p>
        </w:tc>
        <w:tc>
          <w:tcPr>
            <w:tcW w:w="819" w:type="dxa"/>
            <w:noWrap/>
            <w:vAlign w:val="center"/>
            <w:hideMark/>
          </w:tcPr>
          <w:p w14:paraId="6B52DFB1"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108,93</w:t>
            </w:r>
          </w:p>
        </w:tc>
        <w:tc>
          <w:tcPr>
            <w:tcW w:w="819" w:type="dxa"/>
            <w:noWrap/>
            <w:vAlign w:val="center"/>
            <w:hideMark/>
          </w:tcPr>
          <w:p w14:paraId="655C8C59"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87,93</w:t>
            </w:r>
          </w:p>
        </w:tc>
        <w:tc>
          <w:tcPr>
            <w:tcW w:w="820" w:type="dxa"/>
            <w:shd w:val="clear" w:color="000000" w:fill="DAE9F8"/>
            <w:noWrap/>
            <w:vAlign w:val="center"/>
            <w:hideMark/>
          </w:tcPr>
          <w:p w14:paraId="2A8126B3"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77,63</w:t>
            </w:r>
          </w:p>
        </w:tc>
      </w:tr>
      <w:tr w:rsidR="00EF4FD8" w:rsidRPr="0099704B" w14:paraId="2A771846" w14:textId="77777777" w:rsidTr="007C17C6">
        <w:trPr>
          <w:trHeight w:val="399"/>
        </w:trPr>
        <w:tc>
          <w:tcPr>
            <w:tcW w:w="2131" w:type="dxa"/>
            <w:noWrap/>
            <w:vAlign w:val="center"/>
            <w:hideMark/>
          </w:tcPr>
          <w:p w14:paraId="695604B7"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14:ligatures w14:val="standardContextual"/>
              </w:rPr>
              <w:t>Japón</w:t>
            </w:r>
          </w:p>
        </w:tc>
        <w:tc>
          <w:tcPr>
            <w:tcW w:w="831" w:type="dxa"/>
            <w:noWrap/>
            <w:vAlign w:val="center"/>
            <w:hideMark/>
          </w:tcPr>
          <w:p w14:paraId="23FFC03E"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0,00</w:t>
            </w:r>
          </w:p>
        </w:tc>
        <w:tc>
          <w:tcPr>
            <w:tcW w:w="814" w:type="dxa"/>
            <w:noWrap/>
            <w:vAlign w:val="center"/>
            <w:hideMark/>
          </w:tcPr>
          <w:p w14:paraId="257EC33F"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0,00</w:t>
            </w:r>
          </w:p>
        </w:tc>
        <w:tc>
          <w:tcPr>
            <w:tcW w:w="815" w:type="dxa"/>
            <w:shd w:val="clear" w:color="000000" w:fill="DAE9F8"/>
            <w:noWrap/>
            <w:vAlign w:val="center"/>
            <w:hideMark/>
          </w:tcPr>
          <w:p w14:paraId="0B150E9F"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0,00</w:t>
            </w:r>
          </w:p>
        </w:tc>
        <w:tc>
          <w:tcPr>
            <w:tcW w:w="940" w:type="dxa"/>
            <w:noWrap/>
            <w:vAlign w:val="center"/>
            <w:hideMark/>
          </w:tcPr>
          <w:p w14:paraId="41DEAF38"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11,45</w:t>
            </w:r>
          </w:p>
        </w:tc>
        <w:tc>
          <w:tcPr>
            <w:tcW w:w="810" w:type="dxa"/>
            <w:noWrap/>
            <w:vAlign w:val="center"/>
            <w:hideMark/>
          </w:tcPr>
          <w:p w14:paraId="16F4DFCC"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18,11</w:t>
            </w:r>
          </w:p>
        </w:tc>
        <w:tc>
          <w:tcPr>
            <w:tcW w:w="810" w:type="dxa"/>
            <w:shd w:val="clear" w:color="000000" w:fill="DAE9F8"/>
            <w:noWrap/>
            <w:vAlign w:val="center"/>
            <w:hideMark/>
          </w:tcPr>
          <w:p w14:paraId="4B3A5087"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11,03</w:t>
            </w:r>
          </w:p>
        </w:tc>
        <w:tc>
          <w:tcPr>
            <w:tcW w:w="819" w:type="dxa"/>
            <w:noWrap/>
            <w:vAlign w:val="center"/>
            <w:hideMark/>
          </w:tcPr>
          <w:p w14:paraId="17302675"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9,00</w:t>
            </w:r>
          </w:p>
        </w:tc>
        <w:tc>
          <w:tcPr>
            <w:tcW w:w="819" w:type="dxa"/>
            <w:noWrap/>
            <w:vAlign w:val="center"/>
            <w:hideMark/>
          </w:tcPr>
          <w:p w14:paraId="2D40210F"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14,23</w:t>
            </w:r>
          </w:p>
        </w:tc>
        <w:tc>
          <w:tcPr>
            <w:tcW w:w="820" w:type="dxa"/>
            <w:shd w:val="clear" w:color="000000" w:fill="DAE9F8"/>
            <w:noWrap/>
            <w:vAlign w:val="center"/>
            <w:hideMark/>
          </w:tcPr>
          <w:p w14:paraId="10410C07"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8,67</w:t>
            </w:r>
          </w:p>
        </w:tc>
      </w:tr>
      <w:tr w:rsidR="00EF4FD8" w:rsidRPr="0099704B" w14:paraId="5E398D49" w14:textId="77777777" w:rsidTr="007C17C6">
        <w:trPr>
          <w:trHeight w:val="399"/>
        </w:trPr>
        <w:tc>
          <w:tcPr>
            <w:tcW w:w="2131" w:type="dxa"/>
            <w:noWrap/>
            <w:vAlign w:val="center"/>
            <w:hideMark/>
          </w:tcPr>
          <w:p w14:paraId="35EB03F5"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14:ligatures w14:val="standardContextual"/>
              </w:rPr>
              <w:t>Corea Rep.</w:t>
            </w:r>
          </w:p>
        </w:tc>
        <w:tc>
          <w:tcPr>
            <w:tcW w:w="831" w:type="dxa"/>
            <w:noWrap/>
            <w:vAlign w:val="center"/>
            <w:hideMark/>
          </w:tcPr>
          <w:p w14:paraId="14038F45"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0,00</w:t>
            </w:r>
          </w:p>
        </w:tc>
        <w:tc>
          <w:tcPr>
            <w:tcW w:w="814" w:type="dxa"/>
            <w:noWrap/>
            <w:vAlign w:val="center"/>
            <w:hideMark/>
          </w:tcPr>
          <w:p w14:paraId="679C058F"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0,00</w:t>
            </w:r>
          </w:p>
        </w:tc>
        <w:tc>
          <w:tcPr>
            <w:tcW w:w="815" w:type="dxa"/>
            <w:shd w:val="clear" w:color="000000" w:fill="DAE9F8"/>
            <w:noWrap/>
            <w:vAlign w:val="center"/>
            <w:hideMark/>
          </w:tcPr>
          <w:p w14:paraId="678E2154"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0,00</w:t>
            </w:r>
          </w:p>
        </w:tc>
        <w:tc>
          <w:tcPr>
            <w:tcW w:w="940" w:type="dxa"/>
            <w:noWrap/>
            <w:vAlign w:val="center"/>
            <w:hideMark/>
          </w:tcPr>
          <w:p w14:paraId="52A18050"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0,10</w:t>
            </w:r>
          </w:p>
        </w:tc>
        <w:tc>
          <w:tcPr>
            <w:tcW w:w="810" w:type="dxa"/>
            <w:noWrap/>
            <w:vAlign w:val="center"/>
            <w:hideMark/>
          </w:tcPr>
          <w:p w14:paraId="18C44D04"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10" w:type="dxa"/>
            <w:shd w:val="clear" w:color="000000" w:fill="DAE9F8"/>
            <w:noWrap/>
            <w:vAlign w:val="center"/>
            <w:hideMark/>
          </w:tcPr>
          <w:p w14:paraId="3DCB3EA9"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19" w:type="dxa"/>
            <w:noWrap/>
            <w:vAlign w:val="center"/>
            <w:hideMark/>
          </w:tcPr>
          <w:p w14:paraId="392FB9AE"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0,00</w:t>
            </w:r>
          </w:p>
        </w:tc>
        <w:tc>
          <w:tcPr>
            <w:tcW w:w="819" w:type="dxa"/>
            <w:noWrap/>
            <w:vAlign w:val="center"/>
            <w:hideMark/>
          </w:tcPr>
          <w:p w14:paraId="76F30B58"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20" w:type="dxa"/>
            <w:shd w:val="clear" w:color="000000" w:fill="DAE9F8"/>
            <w:noWrap/>
            <w:vAlign w:val="center"/>
            <w:hideMark/>
          </w:tcPr>
          <w:p w14:paraId="65072594"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r>
      <w:tr w:rsidR="00EF4FD8" w:rsidRPr="0099704B" w14:paraId="06D9BE53" w14:textId="77777777" w:rsidTr="007C17C6">
        <w:trPr>
          <w:trHeight w:val="399"/>
        </w:trPr>
        <w:tc>
          <w:tcPr>
            <w:tcW w:w="2131" w:type="dxa"/>
            <w:noWrap/>
            <w:vAlign w:val="center"/>
            <w:hideMark/>
          </w:tcPr>
          <w:p w14:paraId="60EE0049"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14:ligatures w14:val="standardContextual"/>
              </w:rPr>
              <w:t>Marruecos</w:t>
            </w:r>
          </w:p>
        </w:tc>
        <w:tc>
          <w:tcPr>
            <w:tcW w:w="831" w:type="dxa"/>
            <w:noWrap/>
            <w:vAlign w:val="center"/>
            <w:hideMark/>
          </w:tcPr>
          <w:p w14:paraId="258DD766"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0,00</w:t>
            </w:r>
          </w:p>
        </w:tc>
        <w:tc>
          <w:tcPr>
            <w:tcW w:w="814" w:type="dxa"/>
            <w:noWrap/>
            <w:vAlign w:val="center"/>
            <w:hideMark/>
          </w:tcPr>
          <w:p w14:paraId="4D8D2697"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0,00</w:t>
            </w:r>
          </w:p>
        </w:tc>
        <w:tc>
          <w:tcPr>
            <w:tcW w:w="815" w:type="dxa"/>
            <w:shd w:val="clear" w:color="000000" w:fill="DAE9F8"/>
            <w:noWrap/>
            <w:vAlign w:val="center"/>
            <w:hideMark/>
          </w:tcPr>
          <w:p w14:paraId="3B0E5416"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0,00</w:t>
            </w:r>
          </w:p>
        </w:tc>
        <w:tc>
          <w:tcPr>
            <w:tcW w:w="940" w:type="dxa"/>
            <w:noWrap/>
            <w:vAlign w:val="center"/>
            <w:hideMark/>
          </w:tcPr>
          <w:p w14:paraId="2FBC92AE"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8,81</w:t>
            </w:r>
          </w:p>
        </w:tc>
        <w:tc>
          <w:tcPr>
            <w:tcW w:w="810" w:type="dxa"/>
            <w:noWrap/>
            <w:vAlign w:val="center"/>
            <w:hideMark/>
          </w:tcPr>
          <w:p w14:paraId="7053EA03"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56,15</w:t>
            </w:r>
          </w:p>
        </w:tc>
        <w:tc>
          <w:tcPr>
            <w:tcW w:w="810" w:type="dxa"/>
            <w:shd w:val="clear" w:color="000000" w:fill="DAE9F8"/>
            <w:noWrap/>
            <w:vAlign w:val="center"/>
            <w:hideMark/>
          </w:tcPr>
          <w:p w14:paraId="5E4555E5"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67,31</w:t>
            </w:r>
          </w:p>
        </w:tc>
        <w:tc>
          <w:tcPr>
            <w:tcW w:w="819" w:type="dxa"/>
            <w:noWrap/>
            <w:vAlign w:val="center"/>
            <w:hideMark/>
          </w:tcPr>
          <w:p w14:paraId="24FD261C"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15,30</w:t>
            </w:r>
          </w:p>
        </w:tc>
        <w:tc>
          <w:tcPr>
            <w:tcW w:w="819" w:type="dxa"/>
            <w:noWrap/>
            <w:vAlign w:val="center"/>
            <w:hideMark/>
          </w:tcPr>
          <w:p w14:paraId="1EABB393"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181,27</w:t>
            </w:r>
          </w:p>
        </w:tc>
        <w:tc>
          <w:tcPr>
            <w:tcW w:w="820" w:type="dxa"/>
            <w:shd w:val="clear" w:color="000000" w:fill="DAE9F8"/>
            <w:noWrap/>
            <w:vAlign w:val="center"/>
            <w:hideMark/>
          </w:tcPr>
          <w:p w14:paraId="3C14D91B"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27,51</w:t>
            </w:r>
          </w:p>
        </w:tc>
      </w:tr>
      <w:tr w:rsidR="00EF4FD8" w:rsidRPr="0099704B" w14:paraId="49393EA0" w14:textId="77777777" w:rsidTr="007C17C6">
        <w:trPr>
          <w:trHeight w:val="399"/>
        </w:trPr>
        <w:tc>
          <w:tcPr>
            <w:tcW w:w="2131" w:type="dxa"/>
            <w:noWrap/>
            <w:vAlign w:val="center"/>
            <w:hideMark/>
          </w:tcPr>
          <w:p w14:paraId="6A671DA3"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14:ligatures w14:val="standardContextual"/>
              </w:rPr>
              <w:t>México</w:t>
            </w:r>
          </w:p>
        </w:tc>
        <w:tc>
          <w:tcPr>
            <w:tcW w:w="831" w:type="dxa"/>
            <w:noWrap/>
            <w:vAlign w:val="center"/>
            <w:hideMark/>
          </w:tcPr>
          <w:p w14:paraId="10E8EBDB"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2,15</w:t>
            </w:r>
          </w:p>
        </w:tc>
        <w:tc>
          <w:tcPr>
            <w:tcW w:w="814" w:type="dxa"/>
            <w:noWrap/>
            <w:vAlign w:val="center"/>
            <w:hideMark/>
          </w:tcPr>
          <w:p w14:paraId="52ACEAC7"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1,45</w:t>
            </w:r>
          </w:p>
        </w:tc>
        <w:tc>
          <w:tcPr>
            <w:tcW w:w="815" w:type="dxa"/>
            <w:shd w:val="clear" w:color="000000" w:fill="DAE9F8"/>
            <w:noWrap/>
            <w:vAlign w:val="center"/>
            <w:hideMark/>
          </w:tcPr>
          <w:p w14:paraId="4EB7B34D"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0,71</w:t>
            </w:r>
          </w:p>
        </w:tc>
        <w:tc>
          <w:tcPr>
            <w:tcW w:w="940" w:type="dxa"/>
            <w:noWrap/>
            <w:vAlign w:val="center"/>
            <w:hideMark/>
          </w:tcPr>
          <w:p w14:paraId="78667719"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0,07</w:t>
            </w:r>
          </w:p>
        </w:tc>
        <w:tc>
          <w:tcPr>
            <w:tcW w:w="810" w:type="dxa"/>
            <w:noWrap/>
            <w:vAlign w:val="center"/>
            <w:hideMark/>
          </w:tcPr>
          <w:p w14:paraId="0DF3EA07"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0,00</w:t>
            </w:r>
          </w:p>
        </w:tc>
        <w:tc>
          <w:tcPr>
            <w:tcW w:w="810" w:type="dxa"/>
            <w:shd w:val="clear" w:color="000000" w:fill="DAE9F8"/>
            <w:noWrap/>
            <w:vAlign w:val="center"/>
            <w:hideMark/>
          </w:tcPr>
          <w:p w14:paraId="6165D067"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0,00</w:t>
            </w:r>
          </w:p>
        </w:tc>
        <w:tc>
          <w:tcPr>
            <w:tcW w:w="819" w:type="dxa"/>
            <w:noWrap/>
            <w:vAlign w:val="center"/>
            <w:hideMark/>
          </w:tcPr>
          <w:p w14:paraId="19F8F2A9"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0,62</w:t>
            </w:r>
          </w:p>
        </w:tc>
        <w:tc>
          <w:tcPr>
            <w:tcW w:w="819" w:type="dxa"/>
            <w:noWrap/>
            <w:vAlign w:val="center"/>
            <w:hideMark/>
          </w:tcPr>
          <w:p w14:paraId="7E81FECE"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0,14</w:t>
            </w:r>
          </w:p>
        </w:tc>
        <w:tc>
          <w:tcPr>
            <w:tcW w:w="820" w:type="dxa"/>
            <w:shd w:val="clear" w:color="000000" w:fill="DAE9F8"/>
            <w:noWrap/>
            <w:vAlign w:val="center"/>
            <w:hideMark/>
          </w:tcPr>
          <w:p w14:paraId="5C1914A1"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0,44</w:t>
            </w:r>
          </w:p>
        </w:tc>
      </w:tr>
      <w:tr w:rsidR="00EF4FD8" w:rsidRPr="0099704B" w14:paraId="025A2527" w14:textId="77777777" w:rsidTr="007C17C6">
        <w:trPr>
          <w:trHeight w:val="399"/>
        </w:trPr>
        <w:tc>
          <w:tcPr>
            <w:tcW w:w="2131" w:type="dxa"/>
            <w:noWrap/>
            <w:vAlign w:val="center"/>
            <w:hideMark/>
          </w:tcPr>
          <w:p w14:paraId="34246DAC"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14:ligatures w14:val="standardContextual"/>
              </w:rPr>
              <w:t>Panamá</w:t>
            </w:r>
          </w:p>
        </w:tc>
        <w:tc>
          <w:tcPr>
            <w:tcW w:w="831" w:type="dxa"/>
            <w:noWrap/>
            <w:vAlign w:val="center"/>
            <w:hideMark/>
          </w:tcPr>
          <w:p w14:paraId="74902863"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14" w:type="dxa"/>
            <w:noWrap/>
            <w:vAlign w:val="center"/>
            <w:hideMark/>
          </w:tcPr>
          <w:p w14:paraId="596A540D"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15" w:type="dxa"/>
            <w:shd w:val="clear" w:color="000000" w:fill="DAE9F8"/>
            <w:noWrap/>
            <w:vAlign w:val="center"/>
            <w:hideMark/>
          </w:tcPr>
          <w:p w14:paraId="5F275AC0"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940" w:type="dxa"/>
            <w:noWrap/>
            <w:vAlign w:val="center"/>
            <w:hideMark/>
          </w:tcPr>
          <w:p w14:paraId="03D16466"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10" w:type="dxa"/>
            <w:noWrap/>
            <w:vAlign w:val="center"/>
            <w:hideMark/>
          </w:tcPr>
          <w:p w14:paraId="13055F12"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10" w:type="dxa"/>
            <w:shd w:val="clear" w:color="000000" w:fill="DAE9F8"/>
            <w:noWrap/>
            <w:vAlign w:val="center"/>
            <w:hideMark/>
          </w:tcPr>
          <w:p w14:paraId="501CE9FD"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19" w:type="dxa"/>
            <w:noWrap/>
            <w:vAlign w:val="center"/>
            <w:hideMark/>
          </w:tcPr>
          <w:p w14:paraId="00496E73"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2,75</w:t>
            </w:r>
          </w:p>
        </w:tc>
        <w:tc>
          <w:tcPr>
            <w:tcW w:w="819" w:type="dxa"/>
            <w:noWrap/>
            <w:vAlign w:val="center"/>
            <w:hideMark/>
          </w:tcPr>
          <w:p w14:paraId="1C1ED598"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20" w:type="dxa"/>
            <w:shd w:val="clear" w:color="000000" w:fill="DAE9F8"/>
            <w:noWrap/>
            <w:vAlign w:val="center"/>
            <w:hideMark/>
          </w:tcPr>
          <w:p w14:paraId="65F4FB50"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r>
      <w:tr w:rsidR="00EF4FD8" w:rsidRPr="0099704B" w14:paraId="7978DCEF" w14:textId="77777777" w:rsidTr="007C17C6">
        <w:trPr>
          <w:trHeight w:val="399"/>
        </w:trPr>
        <w:tc>
          <w:tcPr>
            <w:tcW w:w="2131" w:type="dxa"/>
            <w:noWrap/>
            <w:vAlign w:val="center"/>
            <w:hideMark/>
          </w:tcPr>
          <w:p w14:paraId="574FEAA9"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14:ligatures w14:val="standardContextual"/>
              </w:rPr>
              <w:t>Federación de Rusia</w:t>
            </w:r>
          </w:p>
        </w:tc>
        <w:tc>
          <w:tcPr>
            <w:tcW w:w="831" w:type="dxa"/>
            <w:noWrap/>
            <w:vAlign w:val="center"/>
            <w:hideMark/>
          </w:tcPr>
          <w:p w14:paraId="2FEA36A8"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14" w:type="dxa"/>
            <w:noWrap/>
            <w:vAlign w:val="center"/>
            <w:hideMark/>
          </w:tcPr>
          <w:p w14:paraId="473F8CAB"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15" w:type="dxa"/>
            <w:shd w:val="clear" w:color="000000" w:fill="DAE9F8"/>
            <w:noWrap/>
            <w:vAlign w:val="center"/>
            <w:hideMark/>
          </w:tcPr>
          <w:p w14:paraId="6C045A74"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940" w:type="dxa"/>
            <w:noWrap/>
            <w:vAlign w:val="center"/>
            <w:hideMark/>
          </w:tcPr>
          <w:p w14:paraId="7E0F0847"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10" w:type="dxa"/>
            <w:noWrap/>
            <w:vAlign w:val="center"/>
            <w:hideMark/>
          </w:tcPr>
          <w:p w14:paraId="21BD7A9D"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10" w:type="dxa"/>
            <w:shd w:val="clear" w:color="000000" w:fill="DAE9F8"/>
            <w:noWrap/>
            <w:vAlign w:val="center"/>
            <w:hideMark/>
          </w:tcPr>
          <w:p w14:paraId="7D15A562"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19" w:type="dxa"/>
            <w:noWrap/>
            <w:vAlign w:val="center"/>
            <w:hideMark/>
          </w:tcPr>
          <w:p w14:paraId="4276A453"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0,25</w:t>
            </w:r>
          </w:p>
        </w:tc>
        <w:tc>
          <w:tcPr>
            <w:tcW w:w="819" w:type="dxa"/>
            <w:noWrap/>
            <w:vAlign w:val="center"/>
            <w:hideMark/>
          </w:tcPr>
          <w:p w14:paraId="5C8AEA94"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1,13</w:t>
            </w:r>
          </w:p>
        </w:tc>
        <w:tc>
          <w:tcPr>
            <w:tcW w:w="820" w:type="dxa"/>
            <w:shd w:val="clear" w:color="000000" w:fill="DAE9F8"/>
            <w:noWrap/>
            <w:vAlign w:val="center"/>
            <w:hideMark/>
          </w:tcPr>
          <w:p w14:paraId="58561538"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0,05</w:t>
            </w:r>
          </w:p>
        </w:tc>
      </w:tr>
      <w:tr w:rsidR="00EF4FD8" w:rsidRPr="0099704B" w14:paraId="03AD5E5E" w14:textId="77777777" w:rsidTr="007C17C6">
        <w:trPr>
          <w:trHeight w:val="399"/>
        </w:trPr>
        <w:tc>
          <w:tcPr>
            <w:tcW w:w="2131" w:type="dxa"/>
            <w:noWrap/>
            <w:vAlign w:val="center"/>
            <w:hideMark/>
          </w:tcPr>
          <w:p w14:paraId="2CC0A3A1"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14:ligatures w14:val="standardContextual"/>
              </w:rPr>
              <w:t>Trinidad y Tobago</w:t>
            </w:r>
          </w:p>
        </w:tc>
        <w:tc>
          <w:tcPr>
            <w:tcW w:w="831" w:type="dxa"/>
            <w:noWrap/>
            <w:vAlign w:val="center"/>
            <w:hideMark/>
          </w:tcPr>
          <w:p w14:paraId="7552130E"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0,25</w:t>
            </w:r>
          </w:p>
        </w:tc>
        <w:tc>
          <w:tcPr>
            <w:tcW w:w="814" w:type="dxa"/>
            <w:noWrap/>
            <w:vAlign w:val="center"/>
            <w:hideMark/>
          </w:tcPr>
          <w:p w14:paraId="68B1E96F"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0,13</w:t>
            </w:r>
          </w:p>
        </w:tc>
        <w:tc>
          <w:tcPr>
            <w:tcW w:w="815" w:type="dxa"/>
            <w:shd w:val="clear" w:color="000000" w:fill="DAE9F8"/>
            <w:noWrap/>
            <w:vAlign w:val="center"/>
            <w:hideMark/>
          </w:tcPr>
          <w:p w14:paraId="0C553027"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0,08</w:t>
            </w:r>
          </w:p>
        </w:tc>
        <w:tc>
          <w:tcPr>
            <w:tcW w:w="940" w:type="dxa"/>
            <w:noWrap/>
            <w:vAlign w:val="center"/>
            <w:hideMark/>
          </w:tcPr>
          <w:p w14:paraId="3B250011"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0,00</w:t>
            </w:r>
          </w:p>
        </w:tc>
        <w:tc>
          <w:tcPr>
            <w:tcW w:w="810" w:type="dxa"/>
            <w:noWrap/>
            <w:vAlign w:val="center"/>
            <w:hideMark/>
          </w:tcPr>
          <w:p w14:paraId="158052FC"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0,00</w:t>
            </w:r>
          </w:p>
        </w:tc>
        <w:tc>
          <w:tcPr>
            <w:tcW w:w="810" w:type="dxa"/>
            <w:shd w:val="clear" w:color="000000" w:fill="DAE9F8"/>
            <w:noWrap/>
            <w:vAlign w:val="center"/>
            <w:hideMark/>
          </w:tcPr>
          <w:p w14:paraId="76FC59F9"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0,00</w:t>
            </w:r>
          </w:p>
        </w:tc>
        <w:tc>
          <w:tcPr>
            <w:tcW w:w="819" w:type="dxa"/>
            <w:noWrap/>
            <w:vAlign w:val="center"/>
            <w:hideMark/>
          </w:tcPr>
          <w:p w14:paraId="4A1489C9"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0,00</w:t>
            </w:r>
          </w:p>
        </w:tc>
        <w:tc>
          <w:tcPr>
            <w:tcW w:w="819" w:type="dxa"/>
            <w:noWrap/>
            <w:vAlign w:val="center"/>
            <w:hideMark/>
          </w:tcPr>
          <w:p w14:paraId="10F6C641"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0,00</w:t>
            </w:r>
          </w:p>
        </w:tc>
        <w:tc>
          <w:tcPr>
            <w:tcW w:w="820" w:type="dxa"/>
            <w:shd w:val="clear" w:color="000000" w:fill="DAE9F8"/>
            <w:noWrap/>
            <w:vAlign w:val="center"/>
            <w:hideMark/>
          </w:tcPr>
          <w:p w14:paraId="6620641B"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0,00</w:t>
            </w:r>
          </w:p>
        </w:tc>
      </w:tr>
      <w:tr w:rsidR="00EF4FD8" w:rsidRPr="0099704B" w14:paraId="1ED499A7" w14:textId="77777777" w:rsidTr="007C17C6">
        <w:trPr>
          <w:trHeight w:val="399"/>
        </w:trPr>
        <w:tc>
          <w:tcPr>
            <w:tcW w:w="2131" w:type="dxa"/>
            <w:noWrap/>
            <w:vAlign w:val="center"/>
            <w:hideMark/>
          </w:tcPr>
          <w:p w14:paraId="2D09E79C"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14:ligatures w14:val="standardContextual"/>
              </w:rPr>
              <w:t>Reino Unido - Bermudas</w:t>
            </w:r>
          </w:p>
        </w:tc>
        <w:tc>
          <w:tcPr>
            <w:tcW w:w="831" w:type="dxa"/>
            <w:noWrap/>
            <w:vAlign w:val="center"/>
            <w:hideMark/>
          </w:tcPr>
          <w:p w14:paraId="70070CA2"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14" w:type="dxa"/>
            <w:noWrap/>
            <w:vAlign w:val="center"/>
            <w:hideMark/>
          </w:tcPr>
          <w:p w14:paraId="597C8F32"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15" w:type="dxa"/>
            <w:shd w:val="clear" w:color="000000" w:fill="DAE9F8"/>
            <w:noWrap/>
            <w:vAlign w:val="center"/>
            <w:hideMark/>
          </w:tcPr>
          <w:p w14:paraId="1A8E642E"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940" w:type="dxa"/>
            <w:noWrap/>
            <w:vAlign w:val="center"/>
            <w:hideMark/>
          </w:tcPr>
          <w:p w14:paraId="63A60B94"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0,00</w:t>
            </w:r>
          </w:p>
        </w:tc>
        <w:tc>
          <w:tcPr>
            <w:tcW w:w="810" w:type="dxa"/>
            <w:noWrap/>
            <w:vAlign w:val="center"/>
            <w:hideMark/>
          </w:tcPr>
          <w:p w14:paraId="741728EB"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10" w:type="dxa"/>
            <w:shd w:val="clear" w:color="000000" w:fill="DAE9F8"/>
            <w:noWrap/>
            <w:vAlign w:val="center"/>
            <w:hideMark/>
          </w:tcPr>
          <w:p w14:paraId="3789BEC0"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0,00</w:t>
            </w:r>
          </w:p>
        </w:tc>
        <w:tc>
          <w:tcPr>
            <w:tcW w:w="819" w:type="dxa"/>
            <w:noWrap/>
            <w:vAlign w:val="center"/>
            <w:hideMark/>
          </w:tcPr>
          <w:p w14:paraId="3A679D7F"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0,04</w:t>
            </w:r>
          </w:p>
        </w:tc>
        <w:tc>
          <w:tcPr>
            <w:tcW w:w="819" w:type="dxa"/>
            <w:noWrap/>
            <w:vAlign w:val="center"/>
            <w:hideMark/>
          </w:tcPr>
          <w:p w14:paraId="3411F17F"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0,09</w:t>
            </w:r>
          </w:p>
        </w:tc>
        <w:tc>
          <w:tcPr>
            <w:tcW w:w="820" w:type="dxa"/>
            <w:shd w:val="clear" w:color="000000" w:fill="DAE9F8"/>
            <w:noWrap/>
            <w:vAlign w:val="center"/>
            <w:hideMark/>
          </w:tcPr>
          <w:p w14:paraId="2F6A5F3E"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0,09</w:t>
            </w:r>
          </w:p>
        </w:tc>
      </w:tr>
      <w:tr w:rsidR="00EF4FD8" w:rsidRPr="0099704B" w14:paraId="3320E688" w14:textId="77777777" w:rsidTr="007C17C6">
        <w:trPr>
          <w:trHeight w:val="399"/>
        </w:trPr>
        <w:tc>
          <w:tcPr>
            <w:tcW w:w="2131" w:type="dxa"/>
            <w:noWrap/>
            <w:vAlign w:val="center"/>
            <w:hideMark/>
          </w:tcPr>
          <w:p w14:paraId="5D17641F"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14:ligatures w14:val="standardContextual"/>
              </w:rPr>
              <w:t>Estados Unidos</w:t>
            </w:r>
          </w:p>
        </w:tc>
        <w:tc>
          <w:tcPr>
            <w:tcW w:w="831" w:type="dxa"/>
            <w:noWrap/>
            <w:vAlign w:val="center"/>
            <w:hideMark/>
          </w:tcPr>
          <w:p w14:paraId="6568EBE6"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0,29</w:t>
            </w:r>
          </w:p>
        </w:tc>
        <w:tc>
          <w:tcPr>
            <w:tcW w:w="814" w:type="dxa"/>
            <w:noWrap/>
            <w:vAlign w:val="center"/>
            <w:hideMark/>
          </w:tcPr>
          <w:p w14:paraId="052ED350"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0,98</w:t>
            </w:r>
          </w:p>
        </w:tc>
        <w:tc>
          <w:tcPr>
            <w:tcW w:w="815" w:type="dxa"/>
            <w:shd w:val="clear" w:color="000000" w:fill="DAE9F8"/>
            <w:noWrap/>
            <w:vAlign w:val="center"/>
            <w:hideMark/>
          </w:tcPr>
          <w:p w14:paraId="706D6818"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0,00</w:t>
            </w:r>
          </w:p>
        </w:tc>
        <w:tc>
          <w:tcPr>
            <w:tcW w:w="940" w:type="dxa"/>
            <w:noWrap/>
            <w:vAlign w:val="center"/>
            <w:hideMark/>
          </w:tcPr>
          <w:p w14:paraId="303F5E3A"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28,62</w:t>
            </w:r>
          </w:p>
        </w:tc>
        <w:tc>
          <w:tcPr>
            <w:tcW w:w="810" w:type="dxa"/>
            <w:noWrap/>
            <w:vAlign w:val="center"/>
            <w:hideMark/>
          </w:tcPr>
          <w:p w14:paraId="0A0E9424"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9,33</w:t>
            </w:r>
          </w:p>
        </w:tc>
        <w:tc>
          <w:tcPr>
            <w:tcW w:w="810" w:type="dxa"/>
            <w:shd w:val="clear" w:color="000000" w:fill="DAE9F8"/>
            <w:noWrap/>
            <w:vAlign w:val="center"/>
            <w:hideMark/>
          </w:tcPr>
          <w:p w14:paraId="6C55DDFA"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19,48</w:t>
            </w:r>
          </w:p>
        </w:tc>
        <w:tc>
          <w:tcPr>
            <w:tcW w:w="819" w:type="dxa"/>
            <w:noWrap/>
            <w:vAlign w:val="center"/>
            <w:hideMark/>
          </w:tcPr>
          <w:p w14:paraId="3531A2CD"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43,75</w:t>
            </w:r>
          </w:p>
        </w:tc>
        <w:tc>
          <w:tcPr>
            <w:tcW w:w="819" w:type="dxa"/>
            <w:noWrap/>
            <w:vAlign w:val="center"/>
            <w:hideMark/>
          </w:tcPr>
          <w:p w14:paraId="4C3F6A5D"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34,82</w:t>
            </w:r>
          </w:p>
        </w:tc>
        <w:tc>
          <w:tcPr>
            <w:tcW w:w="820" w:type="dxa"/>
            <w:shd w:val="clear" w:color="000000" w:fill="DAE9F8"/>
            <w:noWrap/>
            <w:vAlign w:val="center"/>
            <w:hideMark/>
          </w:tcPr>
          <w:p w14:paraId="37E04E19"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37,53</w:t>
            </w:r>
          </w:p>
        </w:tc>
      </w:tr>
      <w:tr w:rsidR="00EF4FD8" w:rsidRPr="0099704B" w14:paraId="4D328BED" w14:textId="77777777" w:rsidTr="007C17C6">
        <w:trPr>
          <w:trHeight w:val="399"/>
        </w:trPr>
        <w:tc>
          <w:tcPr>
            <w:tcW w:w="2131" w:type="dxa"/>
            <w:noWrap/>
            <w:vAlign w:val="center"/>
            <w:hideMark/>
          </w:tcPr>
          <w:p w14:paraId="1038B3E5"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14:ligatures w14:val="standardContextual"/>
              </w:rPr>
              <w:t>Venezuela</w:t>
            </w:r>
          </w:p>
        </w:tc>
        <w:tc>
          <w:tcPr>
            <w:tcW w:w="831" w:type="dxa"/>
            <w:noWrap/>
            <w:vAlign w:val="center"/>
            <w:hideMark/>
          </w:tcPr>
          <w:p w14:paraId="6A5A0C6A"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5,76</w:t>
            </w:r>
          </w:p>
        </w:tc>
        <w:tc>
          <w:tcPr>
            <w:tcW w:w="814" w:type="dxa"/>
            <w:noWrap/>
            <w:vAlign w:val="center"/>
            <w:hideMark/>
          </w:tcPr>
          <w:p w14:paraId="1B9B2F81"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5,07</w:t>
            </w:r>
          </w:p>
        </w:tc>
        <w:tc>
          <w:tcPr>
            <w:tcW w:w="815" w:type="dxa"/>
            <w:shd w:val="clear" w:color="000000" w:fill="DAE9F8"/>
            <w:noWrap/>
            <w:vAlign w:val="center"/>
            <w:hideMark/>
          </w:tcPr>
          <w:p w14:paraId="2B7A180B"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1,36</w:t>
            </w:r>
          </w:p>
        </w:tc>
        <w:tc>
          <w:tcPr>
            <w:tcW w:w="940" w:type="dxa"/>
            <w:noWrap/>
            <w:vAlign w:val="center"/>
            <w:hideMark/>
          </w:tcPr>
          <w:p w14:paraId="05F92FF9"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10" w:type="dxa"/>
            <w:noWrap/>
            <w:vAlign w:val="center"/>
            <w:hideMark/>
          </w:tcPr>
          <w:p w14:paraId="43B20BFE"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10" w:type="dxa"/>
            <w:shd w:val="clear" w:color="000000" w:fill="DAE9F8"/>
            <w:noWrap/>
            <w:vAlign w:val="center"/>
            <w:hideMark/>
          </w:tcPr>
          <w:p w14:paraId="2082F361"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19" w:type="dxa"/>
            <w:noWrap/>
            <w:vAlign w:val="center"/>
            <w:hideMark/>
          </w:tcPr>
          <w:p w14:paraId="5ABF9D7D"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19" w:type="dxa"/>
            <w:noWrap/>
            <w:vAlign w:val="center"/>
            <w:hideMark/>
          </w:tcPr>
          <w:p w14:paraId="0409A8AB"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c>
          <w:tcPr>
            <w:tcW w:w="820" w:type="dxa"/>
            <w:shd w:val="clear" w:color="000000" w:fill="DAE9F8"/>
            <w:noWrap/>
            <w:vAlign w:val="center"/>
            <w:hideMark/>
          </w:tcPr>
          <w:p w14:paraId="01985CF3" w14:textId="77777777" w:rsidR="00EF4FD8" w:rsidRPr="000A5982" w:rsidRDefault="00EF4FD8" w:rsidP="007C17C6">
            <w:pPr>
              <w:jc w:val="center"/>
              <w:rPr>
                <w:rFonts w:ascii="Cambria" w:hAnsi="Cambria"/>
                <w:color w:val="000000"/>
                <w:sz w:val="18"/>
                <w:szCs w:val="18"/>
              </w:rPr>
            </w:pPr>
            <w:r w:rsidRPr="000A5982">
              <w:rPr>
                <w:rFonts w:ascii="Cambria" w:eastAsia="Aptos" w:hAnsi="Cambria"/>
                <w:color w:val="000000"/>
                <w:kern w:val="2"/>
                <w:sz w:val="18"/>
                <w14:ligatures w14:val="standardContextual"/>
              </w:rPr>
              <w:t> </w:t>
            </w:r>
          </w:p>
        </w:tc>
      </w:tr>
      <w:tr w:rsidR="00EF4FD8" w:rsidRPr="0099704B" w14:paraId="610EAA2F" w14:textId="77777777" w:rsidTr="007C17C6">
        <w:trPr>
          <w:trHeight w:val="399"/>
        </w:trPr>
        <w:tc>
          <w:tcPr>
            <w:tcW w:w="2131" w:type="dxa"/>
            <w:shd w:val="clear" w:color="000000" w:fill="D9D9D9"/>
            <w:noWrap/>
            <w:vAlign w:val="center"/>
            <w:hideMark/>
          </w:tcPr>
          <w:p w14:paraId="272EDF0A" w14:textId="77777777" w:rsidR="00EF4FD8" w:rsidRPr="000A5982" w:rsidRDefault="00EF4FD8" w:rsidP="007C17C6">
            <w:pPr>
              <w:rPr>
                <w:rFonts w:ascii="Cambria" w:hAnsi="Cambria"/>
                <w:b/>
                <w:bCs/>
                <w:color w:val="000000"/>
                <w:sz w:val="20"/>
                <w:szCs w:val="20"/>
              </w:rPr>
            </w:pPr>
            <w:r w:rsidRPr="000A5982">
              <w:rPr>
                <w:rFonts w:ascii="Cambria" w:eastAsia="Aptos" w:hAnsi="Cambria"/>
                <w:b/>
                <w:color w:val="000000"/>
                <w:kern w:val="2"/>
                <w:sz w:val="20"/>
                <w14:ligatures w14:val="standardContextual"/>
              </w:rPr>
              <w:t>TOTAL</w:t>
            </w:r>
          </w:p>
        </w:tc>
        <w:tc>
          <w:tcPr>
            <w:tcW w:w="831" w:type="dxa"/>
            <w:shd w:val="clear" w:color="000000" w:fill="D9D9D9"/>
            <w:noWrap/>
            <w:vAlign w:val="center"/>
            <w:hideMark/>
          </w:tcPr>
          <w:p w14:paraId="4C2F3CB4" w14:textId="77777777" w:rsidR="00EF4FD8" w:rsidRPr="000A5982" w:rsidRDefault="00EF4FD8" w:rsidP="007C17C6">
            <w:pPr>
              <w:jc w:val="center"/>
              <w:rPr>
                <w:rFonts w:ascii="Cambria" w:hAnsi="Cambria"/>
                <w:b/>
                <w:bCs/>
                <w:color w:val="000000"/>
                <w:sz w:val="18"/>
                <w:szCs w:val="18"/>
              </w:rPr>
            </w:pPr>
            <w:r w:rsidRPr="000A5982">
              <w:rPr>
                <w:rFonts w:ascii="Cambria" w:eastAsia="Aptos" w:hAnsi="Cambria"/>
                <w:b/>
                <w:color w:val="000000"/>
                <w:kern w:val="2"/>
                <w:sz w:val="18"/>
                <w14:ligatures w14:val="standardContextual"/>
              </w:rPr>
              <w:t>11,85</w:t>
            </w:r>
          </w:p>
        </w:tc>
        <w:tc>
          <w:tcPr>
            <w:tcW w:w="814" w:type="dxa"/>
            <w:shd w:val="clear" w:color="000000" w:fill="D9D9D9"/>
            <w:noWrap/>
            <w:vAlign w:val="center"/>
            <w:hideMark/>
          </w:tcPr>
          <w:p w14:paraId="4B389676" w14:textId="77777777" w:rsidR="00EF4FD8" w:rsidRPr="000A5982" w:rsidRDefault="00EF4FD8" w:rsidP="007C17C6">
            <w:pPr>
              <w:jc w:val="center"/>
              <w:rPr>
                <w:rFonts w:ascii="Cambria" w:hAnsi="Cambria"/>
                <w:b/>
                <w:bCs/>
                <w:color w:val="000000"/>
                <w:sz w:val="18"/>
                <w:szCs w:val="18"/>
              </w:rPr>
            </w:pPr>
            <w:r w:rsidRPr="000A5982">
              <w:rPr>
                <w:rFonts w:ascii="Cambria" w:eastAsia="Aptos" w:hAnsi="Cambria"/>
                <w:b/>
                <w:color w:val="000000"/>
                <w:kern w:val="2"/>
                <w:sz w:val="18"/>
                <w14:ligatures w14:val="standardContextual"/>
              </w:rPr>
              <w:t>9,55</w:t>
            </w:r>
          </w:p>
        </w:tc>
        <w:tc>
          <w:tcPr>
            <w:tcW w:w="815" w:type="dxa"/>
            <w:shd w:val="clear" w:color="000000" w:fill="DAE9F8"/>
            <w:noWrap/>
            <w:vAlign w:val="center"/>
            <w:hideMark/>
          </w:tcPr>
          <w:p w14:paraId="54F11B3C" w14:textId="77777777" w:rsidR="00EF4FD8" w:rsidRPr="000A5982" w:rsidRDefault="00EF4FD8" w:rsidP="007C17C6">
            <w:pPr>
              <w:jc w:val="center"/>
              <w:rPr>
                <w:rFonts w:ascii="Cambria" w:hAnsi="Cambria"/>
                <w:b/>
                <w:bCs/>
                <w:color w:val="000000"/>
                <w:sz w:val="18"/>
                <w:szCs w:val="18"/>
              </w:rPr>
            </w:pPr>
            <w:r w:rsidRPr="000A5982">
              <w:rPr>
                <w:rFonts w:ascii="Cambria" w:eastAsia="Aptos" w:hAnsi="Cambria"/>
                <w:b/>
                <w:color w:val="000000"/>
                <w:kern w:val="2"/>
                <w:sz w:val="18"/>
                <w14:ligatures w14:val="standardContextual"/>
              </w:rPr>
              <w:t>2,27</w:t>
            </w:r>
          </w:p>
        </w:tc>
        <w:tc>
          <w:tcPr>
            <w:tcW w:w="940" w:type="dxa"/>
            <w:shd w:val="clear" w:color="000000" w:fill="D9D9D9"/>
            <w:noWrap/>
            <w:vAlign w:val="center"/>
            <w:hideMark/>
          </w:tcPr>
          <w:p w14:paraId="40AEBBFE" w14:textId="77777777" w:rsidR="00EF4FD8" w:rsidRPr="000A5982" w:rsidRDefault="00EF4FD8" w:rsidP="007C17C6">
            <w:pPr>
              <w:jc w:val="center"/>
              <w:rPr>
                <w:rFonts w:ascii="Cambria" w:hAnsi="Cambria"/>
                <w:b/>
                <w:bCs/>
                <w:color w:val="000000"/>
                <w:sz w:val="18"/>
                <w:szCs w:val="18"/>
              </w:rPr>
            </w:pPr>
            <w:r w:rsidRPr="000A5982">
              <w:rPr>
                <w:rFonts w:ascii="Cambria" w:eastAsia="Aptos" w:hAnsi="Cambria"/>
                <w:b/>
                <w:color w:val="000000"/>
                <w:kern w:val="2"/>
                <w:sz w:val="18"/>
                <w14:ligatures w14:val="standardContextual"/>
              </w:rPr>
              <w:t>1.064,84</w:t>
            </w:r>
          </w:p>
        </w:tc>
        <w:tc>
          <w:tcPr>
            <w:tcW w:w="810" w:type="dxa"/>
            <w:shd w:val="clear" w:color="000000" w:fill="D9D9D9"/>
            <w:noWrap/>
            <w:vAlign w:val="center"/>
            <w:hideMark/>
          </w:tcPr>
          <w:p w14:paraId="0A6EC808" w14:textId="77777777" w:rsidR="00EF4FD8" w:rsidRPr="000A5982" w:rsidRDefault="00EF4FD8" w:rsidP="007C17C6">
            <w:pPr>
              <w:jc w:val="center"/>
              <w:rPr>
                <w:rFonts w:ascii="Cambria" w:hAnsi="Cambria"/>
                <w:b/>
                <w:bCs/>
                <w:color w:val="000000"/>
                <w:sz w:val="18"/>
                <w:szCs w:val="18"/>
              </w:rPr>
            </w:pPr>
            <w:r w:rsidRPr="000A5982">
              <w:rPr>
                <w:rFonts w:ascii="Cambria" w:eastAsia="Aptos" w:hAnsi="Cambria"/>
                <w:b/>
                <w:color w:val="000000"/>
                <w:kern w:val="2"/>
                <w:sz w:val="18"/>
                <w14:ligatures w14:val="standardContextual"/>
              </w:rPr>
              <w:t>866,71</w:t>
            </w:r>
          </w:p>
        </w:tc>
        <w:tc>
          <w:tcPr>
            <w:tcW w:w="810" w:type="dxa"/>
            <w:shd w:val="clear" w:color="000000" w:fill="DAE9F8"/>
            <w:noWrap/>
            <w:vAlign w:val="center"/>
            <w:hideMark/>
          </w:tcPr>
          <w:p w14:paraId="56FC9CB1" w14:textId="77777777" w:rsidR="00EF4FD8" w:rsidRPr="000A5982" w:rsidRDefault="00EF4FD8" w:rsidP="007C17C6">
            <w:pPr>
              <w:jc w:val="center"/>
              <w:rPr>
                <w:rFonts w:ascii="Cambria" w:hAnsi="Cambria"/>
                <w:b/>
                <w:bCs/>
                <w:color w:val="000000"/>
                <w:sz w:val="18"/>
                <w:szCs w:val="18"/>
              </w:rPr>
            </w:pPr>
            <w:r w:rsidRPr="000A5982">
              <w:rPr>
                <w:rFonts w:ascii="Cambria" w:eastAsia="Aptos" w:hAnsi="Cambria"/>
                <w:b/>
                <w:color w:val="000000"/>
                <w:kern w:val="2"/>
                <w:sz w:val="18"/>
                <w14:ligatures w14:val="standardContextual"/>
              </w:rPr>
              <w:t>628,30</w:t>
            </w:r>
          </w:p>
        </w:tc>
        <w:tc>
          <w:tcPr>
            <w:tcW w:w="819" w:type="dxa"/>
            <w:shd w:val="clear" w:color="000000" w:fill="D9D9D9"/>
            <w:noWrap/>
            <w:vAlign w:val="center"/>
            <w:hideMark/>
          </w:tcPr>
          <w:p w14:paraId="34141E93" w14:textId="77777777" w:rsidR="00EF4FD8" w:rsidRPr="000A5982" w:rsidRDefault="00EF4FD8" w:rsidP="007C17C6">
            <w:pPr>
              <w:jc w:val="center"/>
              <w:rPr>
                <w:rFonts w:ascii="Cambria" w:hAnsi="Cambria"/>
                <w:b/>
                <w:bCs/>
                <w:color w:val="000000"/>
                <w:sz w:val="18"/>
                <w:szCs w:val="18"/>
              </w:rPr>
            </w:pPr>
            <w:r w:rsidRPr="000A5982">
              <w:rPr>
                <w:rFonts w:ascii="Cambria" w:eastAsia="Aptos" w:hAnsi="Cambria"/>
                <w:b/>
                <w:color w:val="000000"/>
                <w:kern w:val="2"/>
                <w:sz w:val="18"/>
                <w14:ligatures w14:val="standardContextual"/>
              </w:rPr>
              <w:t>922,05</w:t>
            </w:r>
          </w:p>
        </w:tc>
        <w:tc>
          <w:tcPr>
            <w:tcW w:w="819" w:type="dxa"/>
            <w:shd w:val="clear" w:color="000000" w:fill="D9D9D9"/>
            <w:noWrap/>
            <w:vAlign w:val="center"/>
            <w:hideMark/>
          </w:tcPr>
          <w:p w14:paraId="02E5B2F1" w14:textId="77777777" w:rsidR="00EF4FD8" w:rsidRPr="000A5982" w:rsidRDefault="00EF4FD8" w:rsidP="007C17C6">
            <w:pPr>
              <w:jc w:val="center"/>
              <w:rPr>
                <w:rFonts w:ascii="Cambria" w:hAnsi="Cambria"/>
                <w:b/>
                <w:bCs/>
                <w:color w:val="000000"/>
                <w:sz w:val="18"/>
                <w:szCs w:val="18"/>
              </w:rPr>
            </w:pPr>
            <w:r w:rsidRPr="000A5982">
              <w:rPr>
                <w:rFonts w:ascii="Cambria" w:eastAsia="Aptos" w:hAnsi="Cambria"/>
                <w:b/>
                <w:color w:val="000000"/>
                <w:kern w:val="2"/>
                <w:sz w:val="18"/>
                <w14:ligatures w14:val="standardContextual"/>
              </w:rPr>
              <w:t>822,70</w:t>
            </w:r>
          </w:p>
        </w:tc>
        <w:tc>
          <w:tcPr>
            <w:tcW w:w="820" w:type="dxa"/>
            <w:shd w:val="clear" w:color="000000" w:fill="DAE9F8"/>
            <w:noWrap/>
            <w:vAlign w:val="center"/>
            <w:hideMark/>
          </w:tcPr>
          <w:p w14:paraId="410E6A3E" w14:textId="77777777" w:rsidR="00EF4FD8" w:rsidRPr="000A5982" w:rsidRDefault="00EF4FD8" w:rsidP="007C17C6">
            <w:pPr>
              <w:jc w:val="center"/>
              <w:rPr>
                <w:rFonts w:ascii="Cambria" w:hAnsi="Cambria"/>
                <w:b/>
                <w:bCs/>
                <w:color w:val="000000"/>
                <w:sz w:val="18"/>
                <w:szCs w:val="18"/>
              </w:rPr>
            </w:pPr>
            <w:r w:rsidRPr="000A5982">
              <w:rPr>
                <w:rFonts w:ascii="Cambria" w:eastAsia="Aptos" w:hAnsi="Cambria"/>
                <w:b/>
                <w:color w:val="000000"/>
                <w:kern w:val="2"/>
                <w:sz w:val="18"/>
                <w14:ligatures w14:val="standardContextual"/>
              </w:rPr>
              <w:t>506,02</w:t>
            </w:r>
          </w:p>
        </w:tc>
      </w:tr>
    </w:tbl>
    <w:p w14:paraId="0AA3BFDE" w14:textId="77777777" w:rsidR="00EF4FD8" w:rsidRPr="000A5982" w:rsidRDefault="00EF4FD8" w:rsidP="00EF4FD8">
      <w:pPr>
        <w:jc w:val="both"/>
        <w:rPr>
          <w:rFonts w:ascii="Cambria" w:eastAsia="Aptos" w:hAnsi="Cambria"/>
          <w:bCs/>
          <w:kern w:val="2"/>
          <w:sz w:val="20"/>
          <w:szCs w:val="20"/>
          <w:lang w:val="en-GB"/>
          <w14:ligatures w14:val="standardContextual"/>
        </w:rPr>
      </w:pPr>
    </w:p>
    <w:p w14:paraId="4704659D" w14:textId="77777777" w:rsidR="00EF4FD8" w:rsidRPr="000A5982" w:rsidRDefault="00EF4FD8" w:rsidP="00EF4FD8">
      <w:pPr>
        <w:jc w:val="both"/>
        <w:rPr>
          <w:rFonts w:ascii="Cambria" w:eastAsia="Aptos" w:hAnsi="Cambria"/>
          <w:b/>
          <w:i/>
          <w:iCs/>
          <w:kern w:val="2"/>
          <w:sz w:val="20"/>
          <w:szCs w:val="20"/>
          <w14:ligatures w14:val="standardContextual"/>
        </w:rPr>
      </w:pPr>
      <w:r w:rsidRPr="000A5982">
        <w:rPr>
          <w:rFonts w:ascii="Cambria" w:eastAsia="Aptos" w:hAnsi="Cambria"/>
          <w:b/>
          <w:i/>
          <w:kern w:val="2"/>
          <w:sz w:val="20"/>
          <w14:ligatures w14:val="standardContextual"/>
        </w:rPr>
        <w:t>Tolerancia de retención para el stock del norte</w:t>
      </w:r>
    </w:p>
    <w:p w14:paraId="0EBB1A32" w14:textId="77777777" w:rsidR="00EF4FD8" w:rsidRPr="000A5982" w:rsidRDefault="00EF4FD8" w:rsidP="00EF4FD8">
      <w:pPr>
        <w:jc w:val="both"/>
        <w:rPr>
          <w:rFonts w:ascii="Cambria" w:eastAsia="Aptos" w:hAnsi="Cambria"/>
          <w:b/>
          <w:i/>
          <w:iCs/>
          <w:kern w:val="2"/>
          <w:sz w:val="20"/>
          <w:szCs w:val="20"/>
          <w14:ligatures w14:val="standardContextual"/>
        </w:rPr>
      </w:pPr>
    </w:p>
    <w:p w14:paraId="3AE8A1B1" w14:textId="77777777" w:rsidR="00EF4FD8" w:rsidRPr="000A5982" w:rsidRDefault="00EF4FD8" w:rsidP="00EF4FD8">
      <w:pPr>
        <w:jc w:val="both"/>
        <w:rPr>
          <w:rFonts w:ascii="Cambria" w:eastAsia="Aptos" w:hAnsi="Cambria"/>
          <w:bCs/>
          <w:kern w:val="2"/>
          <w:sz w:val="20"/>
          <w:szCs w:val="20"/>
          <w14:ligatures w14:val="standardContextual"/>
        </w:rPr>
      </w:pPr>
      <w:r w:rsidRPr="000A5982">
        <w:rPr>
          <w:rFonts w:ascii="Cambria" w:eastAsia="Aptos" w:hAnsi="Cambria"/>
          <w:kern w:val="2"/>
          <w:sz w:val="20"/>
          <w14:ligatures w14:val="standardContextual"/>
        </w:rPr>
        <w:t>Considerando todas las CPC, las estimaciones preliminares del Comité fueron las siguientes:</w:t>
      </w:r>
    </w:p>
    <w:p w14:paraId="098FDF9E" w14:textId="77777777" w:rsidR="00EF4FD8" w:rsidRPr="000A5982" w:rsidRDefault="00EF4FD8" w:rsidP="00EF4FD8">
      <w:pPr>
        <w:widowControl w:val="0"/>
        <w:numPr>
          <w:ilvl w:val="0"/>
          <w:numId w:val="3"/>
        </w:numPr>
        <w:spacing w:after="60"/>
        <w:ind w:left="850" w:hanging="425"/>
        <w:jc w:val="both"/>
        <w:rPr>
          <w:rFonts w:ascii="Cambria" w:eastAsia="Aptos" w:hAnsi="Cambria"/>
          <w:bCs/>
          <w:kern w:val="2"/>
          <w:sz w:val="20"/>
          <w:szCs w:val="20"/>
          <w14:ligatures w14:val="standardContextual"/>
        </w:rPr>
      </w:pPr>
      <w:r w:rsidRPr="000A5982">
        <w:rPr>
          <w:rFonts w:ascii="Cambria" w:eastAsia="Aptos" w:hAnsi="Cambria"/>
          <w:kern w:val="2"/>
          <w:sz w:val="20"/>
          <w14:ligatures w14:val="standardContextual"/>
        </w:rPr>
        <w:t>Captura retenida (desembarques) 2,27 t</w:t>
      </w:r>
    </w:p>
    <w:p w14:paraId="6F825B7B" w14:textId="77777777" w:rsidR="00EF4FD8" w:rsidRPr="000A5982" w:rsidRDefault="00EF4FD8" w:rsidP="00EF4FD8">
      <w:pPr>
        <w:widowControl w:val="0"/>
        <w:numPr>
          <w:ilvl w:val="0"/>
          <w:numId w:val="3"/>
        </w:numPr>
        <w:spacing w:after="60"/>
        <w:ind w:left="850" w:hanging="425"/>
        <w:jc w:val="both"/>
        <w:rPr>
          <w:rFonts w:ascii="Cambria" w:eastAsia="Aptos" w:hAnsi="Cambria"/>
          <w:bCs/>
          <w:kern w:val="2"/>
          <w:sz w:val="20"/>
          <w:szCs w:val="20"/>
          <w14:ligatures w14:val="standardContextual"/>
        </w:rPr>
      </w:pPr>
      <w:r w:rsidRPr="000A5982">
        <w:rPr>
          <w:rFonts w:ascii="Cambria" w:eastAsia="Aptos" w:hAnsi="Cambria"/>
          <w:kern w:val="2"/>
          <w:sz w:val="20"/>
          <w14:ligatures w14:val="standardContextual"/>
        </w:rPr>
        <w:t>Descartes de ejemplares muertos: 628,30 t</w:t>
      </w:r>
    </w:p>
    <w:p w14:paraId="76FC6887" w14:textId="77777777" w:rsidR="00EF4FD8" w:rsidRPr="000A5982" w:rsidRDefault="00EF4FD8" w:rsidP="00EF4FD8">
      <w:pPr>
        <w:widowControl w:val="0"/>
        <w:numPr>
          <w:ilvl w:val="0"/>
          <w:numId w:val="3"/>
        </w:numPr>
        <w:spacing w:after="60"/>
        <w:ind w:left="850" w:hanging="425"/>
        <w:jc w:val="both"/>
        <w:rPr>
          <w:rFonts w:ascii="Cambria" w:eastAsia="Aptos" w:hAnsi="Cambria"/>
          <w:bCs/>
          <w:kern w:val="2"/>
          <w:sz w:val="20"/>
          <w:szCs w:val="20"/>
          <w14:ligatures w14:val="standardContextual"/>
        </w:rPr>
      </w:pPr>
      <w:r w:rsidRPr="000A5982">
        <w:rPr>
          <w:rFonts w:ascii="Cambria" w:eastAsia="Aptos" w:hAnsi="Cambria"/>
          <w:kern w:val="2"/>
          <w:sz w:val="20"/>
          <w14:ligatures w14:val="standardContextual"/>
        </w:rPr>
        <w:t>Descartes de ejemplares vivos: 506,02 t</w:t>
      </w:r>
    </w:p>
    <w:p w14:paraId="4C430425" w14:textId="77777777" w:rsidR="00EF4FD8" w:rsidRPr="000A5982" w:rsidRDefault="00EF4FD8" w:rsidP="00EF4FD8">
      <w:pPr>
        <w:jc w:val="both"/>
        <w:rPr>
          <w:rFonts w:ascii="Cambria" w:eastAsia="Aptos" w:hAnsi="Cambria"/>
          <w:bCs/>
          <w:kern w:val="2"/>
          <w:sz w:val="20"/>
          <w:szCs w:val="20"/>
          <w14:ligatures w14:val="standardContextual"/>
        </w:rPr>
      </w:pPr>
      <w:r w:rsidRPr="000A5982">
        <w:rPr>
          <w:rFonts w:ascii="Cambria" w:eastAsia="Aptos" w:hAnsi="Cambria"/>
          <w:kern w:val="2"/>
          <w:sz w:val="20"/>
          <w14:ligatures w14:val="standardContextual"/>
        </w:rPr>
        <w:t xml:space="preserve">Partiendo de una tasa de mortalidad posterior a la liberación del 29,4 % (Domingo </w:t>
      </w:r>
      <w:r w:rsidRPr="000A5982">
        <w:rPr>
          <w:rFonts w:ascii="Cambria" w:eastAsia="Aptos" w:hAnsi="Cambria"/>
          <w:i/>
          <w:iCs/>
          <w:kern w:val="2"/>
          <w:sz w:val="20"/>
          <w14:ligatures w14:val="standardContextual"/>
        </w:rPr>
        <w:t>et al.</w:t>
      </w:r>
      <w:r w:rsidRPr="000A5982">
        <w:rPr>
          <w:rFonts w:ascii="Cambria" w:eastAsia="Aptos" w:hAnsi="Cambria"/>
          <w:kern w:val="2"/>
          <w:sz w:val="20"/>
          <w14:ligatures w14:val="standardContextual"/>
        </w:rPr>
        <w:t xml:space="preserve">, 2025), la "mortalidad total por pesca de todas las fuentes" (el valor necesario por cuanto respecta a la </w:t>
      </w:r>
      <w:hyperlink r:id="rId67" w:history="1">
        <w:r w:rsidRPr="000A5982">
          <w:rPr>
            <w:rFonts w:ascii="Cambria" w:eastAsia="Aptos" w:hAnsi="Cambria"/>
            <w:color w:val="467886"/>
            <w:kern w:val="2"/>
            <w:sz w:val="20"/>
            <w14:ligatures w14:val="standardContextual"/>
          </w:rPr>
          <w:t>Rec.</w:t>
        </w:r>
      </w:hyperlink>
      <w:hyperlink r:id="rId68" w:history="1">
        <w:r w:rsidRPr="000A5982">
          <w:rPr>
            <w:rFonts w:ascii="Cambria" w:eastAsia="Aptos" w:hAnsi="Cambria"/>
            <w:color w:val="467886"/>
            <w:kern w:val="2"/>
            <w:sz w:val="20"/>
            <w14:ligatures w14:val="standardContextual"/>
          </w:rPr>
          <w:t xml:space="preserve"> 21-09</w:t>
        </w:r>
      </w:hyperlink>
      <w:r w:rsidRPr="000A5982">
        <w:rPr>
          <w:rFonts w:ascii="Cambria" w:eastAsia="Aptos" w:hAnsi="Cambria"/>
          <w:kern w:val="2"/>
          <w:sz w:val="20"/>
          <w14:ligatures w14:val="standardContextual"/>
        </w:rPr>
        <w:t>, anexo 1, párrafo 1a), para 2025 se estimó en 779,34 t.</w:t>
      </w:r>
    </w:p>
    <w:p w14:paraId="4202D815" w14:textId="77777777" w:rsidR="00EF4FD8" w:rsidRPr="000A5982" w:rsidRDefault="00EF4FD8" w:rsidP="00EF4FD8">
      <w:pPr>
        <w:jc w:val="both"/>
        <w:rPr>
          <w:rFonts w:ascii="Cambria" w:eastAsia="Aptos" w:hAnsi="Cambria"/>
          <w:bCs/>
          <w:kern w:val="2"/>
          <w:sz w:val="20"/>
          <w:szCs w:val="20"/>
          <w14:ligatures w14:val="standardContextual"/>
        </w:rPr>
      </w:pPr>
    </w:p>
    <w:p w14:paraId="022872E7" w14:textId="77777777" w:rsidR="00EF4FD8" w:rsidRPr="000A5982" w:rsidRDefault="00EF4FD8" w:rsidP="00EF4FD8">
      <w:pPr>
        <w:jc w:val="both"/>
        <w:rPr>
          <w:rFonts w:ascii="Cambria" w:eastAsia="Aptos" w:hAnsi="Cambria"/>
          <w:bCs/>
          <w:kern w:val="2"/>
          <w:sz w:val="20"/>
          <w:szCs w:val="20"/>
          <w14:ligatures w14:val="standardContextual"/>
        </w:rPr>
      </w:pPr>
      <w:r w:rsidRPr="000A5982">
        <w:rPr>
          <w:rFonts w:ascii="Cambria" w:eastAsia="Aptos" w:hAnsi="Cambria"/>
          <w:kern w:val="2"/>
          <w:sz w:val="20"/>
          <w14:ligatures w14:val="standardContextual"/>
        </w:rPr>
        <w:t xml:space="preserve">De conformidad con el anexo 1 de la </w:t>
      </w:r>
      <w:hyperlink r:id="rId69" w:history="1">
        <w:r w:rsidRPr="000A5982">
          <w:rPr>
            <w:rFonts w:ascii="Cambria" w:eastAsia="Aptos" w:hAnsi="Cambria"/>
            <w:color w:val="467886"/>
            <w:kern w:val="2"/>
            <w:sz w:val="20"/>
            <w14:ligatures w14:val="standardContextual"/>
          </w:rPr>
          <w:t>Rec.</w:t>
        </w:r>
      </w:hyperlink>
      <w:hyperlink r:id="rId70" w:history="1">
        <w:r w:rsidRPr="000A5982">
          <w:rPr>
            <w:rFonts w:ascii="Cambria" w:eastAsia="Aptos" w:hAnsi="Cambria"/>
            <w:color w:val="467886"/>
            <w:kern w:val="2"/>
            <w:sz w:val="20"/>
            <w14:ligatures w14:val="standardContextual"/>
          </w:rPr>
          <w:t xml:space="preserve"> 21-09</w:t>
        </w:r>
      </w:hyperlink>
      <w:r w:rsidRPr="000A5982">
        <w:rPr>
          <w:rFonts w:ascii="Cambria" w:eastAsia="Aptos" w:hAnsi="Cambria"/>
          <w:kern w:val="2"/>
          <w:sz w:val="20"/>
          <w14:ligatures w14:val="standardContextual"/>
        </w:rPr>
        <w:t xml:space="preserve">, a continuación estos valores se restan de la cantidad establecida en la  </w:t>
      </w:r>
      <w:hyperlink r:id="rId71" w:history="1">
        <w:r w:rsidRPr="000A5982">
          <w:rPr>
            <w:rFonts w:ascii="Cambria" w:eastAsia="Aptos" w:hAnsi="Cambria"/>
            <w:color w:val="467886"/>
            <w:kern w:val="2"/>
            <w:sz w:val="20"/>
            <w14:ligatures w14:val="standardContextual"/>
          </w:rPr>
          <w:t>Rec.</w:t>
        </w:r>
      </w:hyperlink>
      <w:hyperlink r:id="rId72" w:history="1">
        <w:r w:rsidRPr="000A5982">
          <w:rPr>
            <w:rFonts w:ascii="Cambria" w:eastAsia="Aptos" w:hAnsi="Cambria"/>
            <w:color w:val="467886"/>
            <w:kern w:val="2"/>
            <w:sz w:val="20"/>
            <w14:ligatures w14:val="standardContextual"/>
          </w:rPr>
          <w:t> 21-09</w:t>
        </w:r>
      </w:hyperlink>
      <w:r w:rsidRPr="000A5982">
        <w:rPr>
          <w:rFonts w:ascii="Cambria" w:eastAsia="Aptos" w:hAnsi="Cambria"/>
          <w:kern w:val="2"/>
          <w:sz w:val="20"/>
          <w14:ligatures w14:val="standardContextual"/>
        </w:rPr>
        <w:t xml:space="preserve">, párrafo 4a, (250 t) para estimar la "tolerancia de retención de captura fortuita muerta" en 2026 (véase la ecuación 1 más abajo). </w:t>
      </w:r>
    </w:p>
    <w:p w14:paraId="64CCB027" w14:textId="77777777" w:rsidR="00EF4FD8" w:rsidRPr="000A5982" w:rsidRDefault="00EF4FD8" w:rsidP="00EF4FD8">
      <w:pPr>
        <w:jc w:val="both"/>
        <w:rPr>
          <w:rFonts w:ascii="Cambria" w:eastAsia="Aptos" w:hAnsi="Cambria"/>
          <w:bCs/>
          <w:kern w:val="2"/>
          <w:sz w:val="20"/>
          <w:szCs w:val="20"/>
          <w14:ligatures w14:val="standardContextual"/>
        </w:rPr>
      </w:pPr>
    </w:p>
    <w:p w14:paraId="1B8EB6C4" w14:textId="77777777" w:rsidR="00EF4FD8" w:rsidRPr="000A5982" w:rsidRDefault="00EF4FD8" w:rsidP="00EF4FD8">
      <w:pPr>
        <w:jc w:val="both"/>
        <w:rPr>
          <w:rFonts w:ascii="Cambria" w:eastAsia="Aptos" w:hAnsi="Cambria"/>
          <w:bCs/>
          <w:kern w:val="2"/>
          <w:sz w:val="20"/>
          <w:szCs w:val="20"/>
          <w14:ligatures w14:val="standardContextual"/>
        </w:rPr>
      </w:pPr>
      <w:r w:rsidRPr="000A5982">
        <w:rPr>
          <w:rFonts w:ascii="Cambria" w:eastAsia="Aptos" w:hAnsi="Cambria"/>
          <w:kern w:val="2"/>
          <w:sz w:val="20"/>
          <w14:ligatures w14:val="standardContextual"/>
        </w:rPr>
        <w:t xml:space="preserve">       "límite de la </w:t>
      </w:r>
      <w:hyperlink r:id="rId73" w:history="1">
        <w:r w:rsidRPr="000A5982">
          <w:rPr>
            <w:rFonts w:ascii="Cambria" w:eastAsia="Aptos" w:hAnsi="Cambria"/>
            <w:color w:val="467886"/>
            <w:kern w:val="2"/>
            <w:sz w:val="20"/>
            <w14:ligatures w14:val="standardContextual"/>
          </w:rPr>
          <w:t>Rec.</w:t>
        </w:r>
      </w:hyperlink>
      <w:hyperlink r:id="rId74" w:history="1">
        <w:r w:rsidRPr="000A5982">
          <w:rPr>
            <w:rFonts w:ascii="Cambria" w:eastAsia="Aptos" w:hAnsi="Cambria"/>
            <w:color w:val="467886"/>
            <w:kern w:val="2"/>
            <w:sz w:val="20"/>
            <w14:ligatures w14:val="standardContextual"/>
          </w:rPr>
          <w:t xml:space="preserve"> 21-09</w:t>
        </w:r>
      </w:hyperlink>
      <w:r w:rsidRPr="000A5982">
        <w:rPr>
          <w:rFonts w:ascii="Cambria" w:eastAsia="Aptos" w:hAnsi="Cambria"/>
          <w:kern w:val="2"/>
          <w:sz w:val="20"/>
          <w14:ligatures w14:val="standardContextual"/>
        </w:rPr>
        <w:t>" -  "mortalidad por pesca en 2025" = "tolerancia de retención de captura fortuita muerta en 2027" (1)</w:t>
      </w:r>
    </w:p>
    <w:p w14:paraId="4D064B94" w14:textId="77777777" w:rsidR="00EF4FD8" w:rsidRPr="000A5982" w:rsidRDefault="00EF4FD8" w:rsidP="00EF4FD8">
      <w:pPr>
        <w:jc w:val="both"/>
        <w:rPr>
          <w:rFonts w:ascii="Cambria" w:eastAsia="Aptos" w:hAnsi="Cambria"/>
          <w:bCs/>
          <w:kern w:val="2"/>
          <w:sz w:val="20"/>
          <w:szCs w:val="20"/>
          <w14:ligatures w14:val="standardContextual"/>
        </w:rPr>
      </w:pPr>
    </w:p>
    <w:p w14:paraId="058E4675" w14:textId="77777777" w:rsidR="00EF4FD8" w:rsidRPr="000A5982" w:rsidRDefault="00EF4FD8" w:rsidP="00EF4FD8">
      <w:pPr>
        <w:jc w:val="both"/>
        <w:rPr>
          <w:rFonts w:ascii="Cambria" w:eastAsia="Aptos" w:hAnsi="Cambria"/>
          <w:bCs/>
          <w:kern w:val="2"/>
          <w:sz w:val="20"/>
          <w:szCs w:val="20"/>
          <w14:ligatures w14:val="standardContextual"/>
        </w:rPr>
      </w:pPr>
      <w:r w:rsidRPr="000A5982">
        <w:rPr>
          <w:rFonts w:ascii="Cambria" w:eastAsia="Aptos" w:hAnsi="Cambria"/>
          <w:kern w:val="2"/>
          <w:sz w:val="20"/>
          <w14:ligatures w14:val="standardContextual"/>
        </w:rPr>
        <w:t xml:space="preserve">Si la cantidad de la "tolerancia de retención de captura fortuita muerta" es negativa, no se permitirá la retención en 2027. </w:t>
      </w:r>
    </w:p>
    <w:p w14:paraId="3E31BA3D" w14:textId="77777777" w:rsidR="00EF4FD8" w:rsidRPr="000A5982" w:rsidRDefault="00EF4FD8" w:rsidP="00EF4FD8">
      <w:pPr>
        <w:jc w:val="both"/>
        <w:rPr>
          <w:rFonts w:ascii="Cambria" w:eastAsia="Aptos" w:hAnsi="Cambria"/>
          <w:bCs/>
          <w:kern w:val="2"/>
          <w:sz w:val="20"/>
          <w:szCs w:val="20"/>
          <w14:ligatures w14:val="standardContextual"/>
        </w:rPr>
      </w:pPr>
    </w:p>
    <w:p w14:paraId="14C297CB" w14:textId="77777777" w:rsidR="00EF4FD8" w:rsidRPr="0099704B" w:rsidRDefault="00EF4FD8" w:rsidP="00EF4FD8">
      <w:pPr>
        <w:jc w:val="both"/>
        <w:rPr>
          <w:rFonts w:ascii="Cambria" w:eastAsia="Aptos" w:hAnsi="Cambria"/>
          <w:bCs/>
          <w:kern w:val="2"/>
          <w:sz w:val="20"/>
          <w:szCs w:val="20"/>
          <w14:ligatures w14:val="standardContextual"/>
        </w:rPr>
      </w:pPr>
      <w:r w:rsidRPr="000A5982">
        <w:rPr>
          <w:rFonts w:ascii="Cambria" w:eastAsia="Aptos" w:hAnsi="Cambria"/>
          <w:kern w:val="2"/>
          <w:sz w:val="20"/>
          <w14:ligatures w14:val="standardContextual"/>
        </w:rPr>
        <w:t xml:space="preserve">Según los cálculos, la tolerancia de retención de captura fortuita muerta se elevaba a -529,34. Por lo tanto, la posible tolerancia de retención para 2027 (calculada con el Anexo 1) es de 0 t. De conformidad con el </w:t>
      </w:r>
      <w:r w:rsidRPr="000A5982">
        <w:rPr>
          <w:rFonts w:ascii="Cambria" w:eastAsia="Aptos" w:hAnsi="Cambria"/>
          <w:kern w:val="2"/>
          <w:sz w:val="20"/>
          <w14:ligatures w14:val="standardContextual"/>
        </w:rPr>
        <w:lastRenderedPageBreak/>
        <w:t>párrafo 1c del Anexo 1, las CPC prohibirán retener a bordo, transbordar y desembarcar total o parcialmente marrajo dientuso del Atlántico norte capturado en asociación con las pesquerías de ICCAT en el año Y+1 (en este caso, 2027).</w:t>
      </w:r>
    </w:p>
    <w:p w14:paraId="0846143A" w14:textId="77777777" w:rsidR="00EF4FD8" w:rsidRPr="0099704B" w:rsidRDefault="00EF4FD8" w:rsidP="00EF4FD8">
      <w:pPr>
        <w:jc w:val="both"/>
        <w:rPr>
          <w:rFonts w:ascii="Cambria" w:eastAsia="Aptos" w:hAnsi="Cambria"/>
          <w:i/>
          <w:iCs/>
          <w:color w:val="000000"/>
          <w:kern w:val="2"/>
          <w:sz w:val="20"/>
          <w:szCs w:val="20"/>
        </w:rPr>
      </w:pPr>
    </w:p>
    <w:p w14:paraId="0382A182" w14:textId="77777777" w:rsidR="00EF4FD8" w:rsidRPr="0099704B" w:rsidRDefault="00EF4FD8" w:rsidP="00EF4FD8">
      <w:pPr>
        <w:jc w:val="both"/>
        <w:rPr>
          <w:rFonts w:ascii="Cambria" w:eastAsia="Aptos" w:hAnsi="Cambria"/>
          <w:b/>
          <w:bCs/>
          <w:i/>
          <w:color w:val="000000"/>
          <w:kern w:val="2"/>
          <w:sz w:val="20"/>
          <w:szCs w:val="20"/>
        </w:rPr>
      </w:pPr>
      <w:r w:rsidRPr="000A5982">
        <w:rPr>
          <w:rFonts w:ascii="Cambria" w:eastAsia="Aptos" w:hAnsi="Cambria"/>
          <w:b/>
          <w:i/>
          <w:color w:val="000000"/>
          <w:kern w:val="2"/>
          <w:sz w:val="20"/>
          <w14:ligatures w14:val="standardContextual"/>
        </w:rPr>
        <w:t xml:space="preserve">19.32 El SCRS calculará el nivel de retención del marrajo dientuso del Atlántico sur, </w:t>
      </w:r>
      <w:hyperlink r:id="rId75" w:history="1">
        <w:r w:rsidRPr="000A5982">
          <w:rPr>
            <w:rFonts w:ascii="Cambria" w:eastAsia="Aptos" w:hAnsi="Cambria"/>
            <w:b/>
            <w:i/>
            <w:color w:val="467886"/>
            <w:kern w:val="2"/>
            <w:sz w:val="20"/>
            <w14:ligatures w14:val="standardContextual"/>
          </w:rPr>
          <w:t>Rec. 25-08</w:t>
        </w:r>
      </w:hyperlink>
      <w:r w:rsidRPr="000A5982">
        <w:rPr>
          <w:rFonts w:ascii="Aptos" w:eastAsia="Aptos" w:hAnsi="Aptos"/>
          <w:i/>
          <w:kern w:val="2"/>
          <w14:ligatures w14:val="standardContextual"/>
        </w:rPr>
        <w:t>,</w:t>
      </w:r>
      <w:r w:rsidRPr="000A5982">
        <w:rPr>
          <w:rFonts w:ascii="Cambria" w:eastAsia="Aptos" w:hAnsi="Cambria"/>
          <w:b/>
          <w:i/>
          <w:color w:val="000000"/>
          <w:kern w:val="2"/>
          <w:sz w:val="20"/>
          <w14:ligatures w14:val="standardContextual"/>
        </w:rPr>
        <w:t xml:space="preserve"> párr. 7 </w:t>
      </w:r>
    </w:p>
    <w:p w14:paraId="457AA0B0" w14:textId="77777777" w:rsidR="00EF4FD8" w:rsidRPr="0099704B" w:rsidRDefault="00EF4FD8" w:rsidP="00EF4FD8">
      <w:pPr>
        <w:rPr>
          <w:rFonts w:ascii="Cambria" w:eastAsia="Aptos" w:hAnsi="Cambria"/>
          <w:b/>
          <w:bCs/>
          <w:i/>
          <w:iCs/>
          <w:color w:val="000000"/>
          <w:kern w:val="2"/>
          <w:sz w:val="20"/>
          <w:szCs w:val="20"/>
        </w:rPr>
      </w:pPr>
    </w:p>
    <w:p w14:paraId="0C735D14" w14:textId="77777777" w:rsidR="00EF4FD8" w:rsidRPr="000A5982" w:rsidRDefault="00EF4FD8" w:rsidP="00EF4FD8">
      <w:pPr>
        <w:jc w:val="both"/>
        <w:rPr>
          <w:rFonts w:ascii="Cambria" w:eastAsia="Aptos" w:hAnsi="Cambria"/>
          <w:i/>
          <w:iCs/>
          <w:color w:val="000000"/>
          <w:kern w:val="2"/>
          <w:sz w:val="20"/>
          <w:szCs w:val="20"/>
        </w:rPr>
      </w:pPr>
      <w:r w:rsidRPr="000A5982">
        <w:rPr>
          <w:rFonts w:ascii="Cambria" w:eastAsia="Aptos" w:hAnsi="Cambria"/>
          <w:b/>
          <w:color w:val="000000"/>
          <w:kern w:val="2"/>
          <w:sz w:val="20"/>
          <w14:ligatures w14:val="standardContextual"/>
        </w:rPr>
        <w:t xml:space="preserve">Contexto: </w:t>
      </w:r>
      <w:r w:rsidRPr="000A5982">
        <w:rPr>
          <w:rFonts w:ascii="Cambria" w:eastAsia="Aptos" w:hAnsi="Cambria"/>
          <w:i/>
          <w:color w:val="000000"/>
          <w:kern w:val="2"/>
          <w:sz w:val="20"/>
          <w14:ligatures w14:val="standardContextual"/>
        </w:rPr>
        <w:t xml:space="preserve">Para los años siguientes, el SCRS utilizará el Anexo 1 para calcular un posible nivel de retención, incluidas las tolerancias de retención individuales de las CPC elegibles permitidas en el año siguiente, y proporcionará los resultados a la Comisión. La Secretaría proporcionará un documento a la Subcomisión 4 que incluirá las retenciones permitidas de las CPC basadas en el asesoramiento del SCRS y las posibles devoluciones. La Comisión validará la retención permitida en el año siguiente. </w:t>
      </w:r>
    </w:p>
    <w:p w14:paraId="40C67346" w14:textId="77777777" w:rsidR="00EF4FD8" w:rsidRPr="000A5982" w:rsidRDefault="00EF4FD8" w:rsidP="00EF4FD8">
      <w:pPr>
        <w:contextualSpacing/>
        <w:jc w:val="both"/>
        <w:rPr>
          <w:rFonts w:ascii="Cambria" w:eastAsia="Aptos" w:hAnsi="Cambria"/>
          <w:color w:val="000000"/>
          <w:kern w:val="2"/>
          <w:sz w:val="20"/>
          <w:szCs w:val="20"/>
        </w:rPr>
      </w:pPr>
    </w:p>
    <w:p w14:paraId="18412850" w14:textId="77777777" w:rsidR="00EF4FD8" w:rsidRPr="000A5982" w:rsidRDefault="00EF4FD8" w:rsidP="00EF4FD8">
      <w:pPr>
        <w:jc w:val="both"/>
        <w:rPr>
          <w:rFonts w:ascii="Cambria" w:eastAsia="Aptos" w:hAnsi="Cambria"/>
          <w:bCs/>
          <w:spacing w:val="-2"/>
          <w:kern w:val="2"/>
          <w:sz w:val="20"/>
          <w:szCs w:val="20"/>
          <w14:ligatures w14:val="standardContextual"/>
        </w:rPr>
      </w:pPr>
      <w:r w:rsidRPr="000A5982">
        <w:rPr>
          <w:rFonts w:ascii="Cambria" w:eastAsia="Aptos" w:hAnsi="Cambria"/>
          <w:spacing w:val="-2"/>
          <w:kern w:val="2"/>
          <w:sz w:val="20"/>
          <w14:ligatures w14:val="standardContextual"/>
        </w:rPr>
        <w:t>El Comité revisó todas las presentaciones de datos sobre marrajo dientuso del Atlántico sur para 2025. Los datos comunicados sobre desembarques, descartes de ejemplares muertos y liberaciones de ejemplares vivos correspondientes al periodo 2023-2025 para el marrajo dientuso del sur se recogen en la siguiente tabla:</w:t>
      </w:r>
    </w:p>
    <w:p w14:paraId="16B43D69" w14:textId="77777777" w:rsidR="00EF4FD8" w:rsidRPr="000A5982" w:rsidRDefault="00EF4FD8" w:rsidP="00EF4FD8">
      <w:pPr>
        <w:jc w:val="both"/>
        <w:rPr>
          <w:rFonts w:ascii="Cambria" w:eastAsia="Aptos" w:hAnsi="Cambria"/>
          <w:bCs/>
          <w:kern w:val="2"/>
          <w:sz w:val="20"/>
          <w:szCs w:val="20"/>
          <w14:ligatures w14:val="standardContextual"/>
        </w:rPr>
      </w:pPr>
    </w:p>
    <w:tbl>
      <w:tblPr>
        <w:tblW w:w="9100" w:type="dxa"/>
        <w:tblLook w:val="04A0" w:firstRow="1" w:lastRow="0" w:firstColumn="1" w:lastColumn="0" w:noHBand="0" w:noVBand="1"/>
      </w:tblPr>
      <w:tblGrid>
        <w:gridCol w:w="1900"/>
        <w:gridCol w:w="811"/>
        <w:gridCol w:w="811"/>
        <w:gridCol w:w="811"/>
        <w:gridCol w:w="811"/>
        <w:gridCol w:w="811"/>
        <w:gridCol w:w="811"/>
        <w:gridCol w:w="811"/>
        <w:gridCol w:w="811"/>
        <w:gridCol w:w="941"/>
      </w:tblGrid>
      <w:tr w:rsidR="00EF4FD8" w:rsidRPr="0099704B" w14:paraId="157CA1AF" w14:textId="77777777" w:rsidTr="007C17C6">
        <w:trPr>
          <w:trHeight w:val="385"/>
        </w:trPr>
        <w:tc>
          <w:tcPr>
            <w:tcW w:w="1900" w:type="dxa"/>
            <w:tcBorders>
              <w:top w:val="single" w:sz="8" w:space="0" w:color="auto"/>
              <w:left w:val="single" w:sz="8" w:space="0" w:color="auto"/>
              <w:bottom w:val="single" w:sz="4" w:space="0" w:color="auto"/>
              <w:right w:val="single" w:sz="8" w:space="0" w:color="auto"/>
            </w:tcBorders>
            <w:shd w:val="clear" w:color="000000" w:fill="D9D9D9"/>
            <w:noWrap/>
            <w:vAlign w:val="bottom"/>
            <w:hideMark/>
          </w:tcPr>
          <w:p w14:paraId="1BA4AF67"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szCs w:val="20"/>
                <w14:ligatures w14:val="standardContextual"/>
              </w:rPr>
              <w:t> </w:t>
            </w:r>
          </w:p>
        </w:tc>
        <w:tc>
          <w:tcPr>
            <w:tcW w:w="2400" w:type="dxa"/>
            <w:gridSpan w:val="3"/>
            <w:tcBorders>
              <w:top w:val="single" w:sz="8" w:space="0" w:color="auto"/>
              <w:left w:val="nil"/>
              <w:bottom w:val="single" w:sz="4" w:space="0" w:color="auto"/>
              <w:right w:val="single" w:sz="4" w:space="0" w:color="auto"/>
            </w:tcBorders>
            <w:shd w:val="clear" w:color="000000" w:fill="D9D9D9"/>
            <w:noWrap/>
            <w:vAlign w:val="center"/>
            <w:hideMark/>
          </w:tcPr>
          <w:p w14:paraId="17E9B61F" w14:textId="77777777" w:rsidR="00EF4FD8" w:rsidRPr="000A5982" w:rsidRDefault="00EF4FD8" w:rsidP="007C17C6">
            <w:pPr>
              <w:jc w:val="center"/>
              <w:rPr>
                <w:rFonts w:ascii="Cambria" w:hAnsi="Cambria"/>
                <w:b/>
                <w:bCs/>
                <w:color w:val="000000"/>
                <w:sz w:val="20"/>
                <w:szCs w:val="20"/>
              </w:rPr>
            </w:pPr>
            <w:r w:rsidRPr="000A5982">
              <w:rPr>
                <w:rFonts w:ascii="Cambria" w:eastAsia="Aptos" w:hAnsi="Cambria"/>
                <w:b/>
                <w:color w:val="000000"/>
                <w:kern w:val="2"/>
                <w:sz w:val="20"/>
                <w:szCs w:val="20"/>
                <w14:ligatures w14:val="standardContextual"/>
              </w:rPr>
              <w:t>DESEMBARQUES</w:t>
            </w:r>
          </w:p>
        </w:tc>
        <w:tc>
          <w:tcPr>
            <w:tcW w:w="2400" w:type="dxa"/>
            <w:gridSpan w:val="3"/>
            <w:tcBorders>
              <w:top w:val="single" w:sz="8" w:space="0" w:color="auto"/>
              <w:left w:val="single" w:sz="8" w:space="0" w:color="auto"/>
              <w:bottom w:val="single" w:sz="4" w:space="0" w:color="auto"/>
              <w:right w:val="single" w:sz="8" w:space="0" w:color="000000"/>
            </w:tcBorders>
            <w:shd w:val="clear" w:color="000000" w:fill="D9D9D9"/>
            <w:noWrap/>
            <w:vAlign w:val="center"/>
            <w:hideMark/>
          </w:tcPr>
          <w:p w14:paraId="7BFC8379" w14:textId="77777777" w:rsidR="00EF4FD8" w:rsidRPr="000A5982" w:rsidRDefault="00EF4FD8" w:rsidP="007C17C6">
            <w:pPr>
              <w:jc w:val="center"/>
              <w:rPr>
                <w:rFonts w:ascii="Cambria" w:hAnsi="Cambria"/>
                <w:b/>
                <w:bCs/>
                <w:color w:val="000000"/>
                <w:sz w:val="20"/>
                <w:szCs w:val="20"/>
              </w:rPr>
            </w:pPr>
            <w:r w:rsidRPr="000A5982">
              <w:rPr>
                <w:rFonts w:ascii="Cambria" w:eastAsia="Aptos" w:hAnsi="Cambria"/>
                <w:b/>
                <w:color w:val="000000"/>
                <w:kern w:val="2"/>
                <w:sz w:val="20"/>
                <w:szCs w:val="20"/>
                <w14:ligatures w14:val="standardContextual"/>
              </w:rPr>
              <w:t>DESCARTES DE EJEMPLARES MUERTOS</w:t>
            </w:r>
          </w:p>
        </w:tc>
        <w:tc>
          <w:tcPr>
            <w:tcW w:w="2400" w:type="dxa"/>
            <w:gridSpan w:val="3"/>
            <w:tcBorders>
              <w:top w:val="single" w:sz="8" w:space="0" w:color="auto"/>
              <w:left w:val="nil"/>
              <w:bottom w:val="single" w:sz="4" w:space="0" w:color="auto"/>
              <w:right w:val="single" w:sz="8" w:space="0" w:color="000000"/>
            </w:tcBorders>
            <w:shd w:val="clear" w:color="000000" w:fill="D9D9D9"/>
            <w:noWrap/>
            <w:vAlign w:val="center"/>
            <w:hideMark/>
          </w:tcPr>
          <w:p w14:paraId="214CAC59" w14:textId="77777777" w:rsidR="00EF4FD8" w:rsidRPr="000A5982" w:rsidRDefault="00EF4FD8" w:rsidP="007C17C6">
            <w:pPr>
              <w:jc w:val="center"/>
              <w:rPr>
                <w:rFonts w:ascii="Cambria" w:hAnsi="Cambria"/>
                <w:b/>
                <w:bCs/>
                <w:color w:val="000000"/>
                <w:sz w:val="20"/>
                <w:szCs w:val="20"/>
              </w:rPr>
            </w:pPr>
            <w:r w:rsidRPr="000A5982">
              <w:rPr>
                <w:rFonts w:ascii="Cambria" w:eastAsia="Aptos" w:hAnsi="Cambria"/>
                <w:b/>
                <w:color w:val="000000"/>
                <w:kern w:val="2"/>
                <w:sz w:val="20"/>
                <w:szCs w:val="20"/>
                <w14:ligatures w14:val="standardContextual"/>
              </w:rPr>
              <w:t>LIBERACIONES DE EJEMPLARES VIVOS</w:t>
            </w:r>
          </w:p>
        </w:tc>
      </w:tr>
      <w:tr w:rsidR="00EF4FD8" w:rsidRPr="0099704B" w14:paraId="16BD472F" w14:textId="77777777" w:rsidTr="007C17C6">
        <w:trPr>
          <w:trHeight w:val="385"/>
        </w:trPr>
        <w:tc>
          <w:tcPr>
            <w:tcW w:w="1900" w:type="dxa"/>
            <w:tcBorders>
              <w:top w:val="nil"/>
              <w:left w:val="single" w:sz="8" w:space="0" w:color="auto"/>
              <w:bottom w:val="single" w:sz="4" w:space="0" w:color="auto"/>
              <w:right w:val="single" w:sz="8" w:space="0" w:color="auto"/>
            </w:tcBorders>
            <w:shd w:val="clear" w:color="000000" w:fill="D9D9D9"/>
            <w:noWrap/>
            <w:vAlign w:val="center"/>
            <w:hideMark/>
          </w:tcPr>
          <w:p w14:paraId="695377C2" w14:textId="77777777" w:rsidR="00EF4FD8" w:rsidRPr="000A5982" w:rsidRDefault="00EF4FD8" w:rsidP="007C17C6">
            <w:pPr>
              <w:rPr>
                <w:rFonts w:ascii="Cambria" w:hAnsi="Cambria"/>
                <w:b/>
                <w:bCs/>
                <w:color w:val="000000"/>
                <w:sz w:val="20"/>
                <w:szCs w:val="20"/>
              </w:rPr>
            </w:pPr>
            <w:r w:rsidRPr="000A5982">
              <w:rPr>
                <w:rFonts w:ascii="Cambria" w:eastAsia="Aptos" w:hAnsi="Cambria"/>
                <w:b/>
                <w:color w:val="000000"/>
                <w:kern w:val="2"/>
                <w:sz w:val="20"/>
                <w:szCs w:val="20"/>
                <w14:ligatures w14:val="standardContextual"/>
              </w:rPr>
              <w:t>Nombre del pabellón</w:t>
            </w:r>
          </w:p>
        </w:tc>
        <w:tc>
          <w:tcPr>
            <w:tcW w:w="800" w:type="dxa"/>
            <w:tcBorders>
              <w:top w:val="nil"/>
              <w:left w:val="nil"/>
              <w:bottom w:val="single" w:sz="4" w:space="0" w:color="auto"/>
              <w:right w:val="single" w:sz="4" w:space="0" w:color="auto"/>
            </w:tcBorders>
            <w:shd w:val="clear" w:color="000000" w:fill="D9D9D9"/>
            <w:noWrap/>
            <w:vAlign w:val="center"/>
            <w:hideMark/>
          </w:tcPr>
          <w:p w14:paraId="42264EBA" w14:textId="77777777" w:rsidR="00EF4FD8" w:rsidRPr="000A5982" w:rsidRDefault="00EF4FD8" w:rsidP="007C17C6">
            <w:pPr>
              <w:jc w:val="center"/>
              <w:rPr>
                <w:rFonts w:ascii="Cambria" w:hAnsi="Cambria"/>
                <w:b/>
                <w:bCs/>
                <w:color w:val="000000"/>
                <w:sz w:val="20"/>
                <w:szCs w:val="20"/>
              </w:rPr>
            </w:pPr>
            <w:r w:rsidRPr="000A5982">
              <w:rPr>
                <w:rFonts w:ascii="Cambria" w:eastAsia="Aptos" w:hAnsi="Cambria"/>
                <w:b/>
                <w:color w:val="000000"/>
                <w:kern w:val="2"/>
                <w:sz w:val="20"/>
                <w:szCs w:val="20"/>
                <w14:ligatures w14:val="standardContextual"/>
              </w:rPr>
              <w:t>2023</w:t>
            </w:r>
          </w:p>
        </w:tc>
        <w:tc>
          <w:tcPr>
            <w:tcW w:w="800" w:type="dxa"/>
            <w:tcBorders>
              <w:top w:val="nil"/>
              <w:left w:val="nil"/>
              <w:bottom w:val="single" w:sz="4" w:space="0" w:color="auto"/>
              <w:right w:val="single" w:sz="4" w:space="0" w:color="auto"/>
            </w:tcBorders>
            <w:shd w:val="clear" w:color="000000" w:fill="D9D9D9"/>
            <w:noWrap/>
            <w:vAlign w:val="center"/>
            <w:hideMark/>
          </w:tcPr>
          <w:p w14:paraId="52A71C12" w14:textId="77777777" w:rsidR="00EF4FD8" w:rsidRPr="000A5982" w:rsidRDefault="00EF4FD8" w:rsidP="007C17C6">
            <w:pPr>
              <w:jc w:val="center"/>
              <w:rPr>
                <w:rFonts w:ascii="Cambria" w:hAnsi="Cambria"/>
                <w:b/>
                <w:bCs/>
                <w:color w:val="000000"/>
                <w:sz w:val="20"/>
                <w:szCs w:val="20"/>
              </w:rPr>
            </w:pPr>
            <w:r w:rsidRPr="000A5982">
              <w:rPr>
                <w:rFonts w:ascii="Cambria" w:eastAsia="Aptos" w:hAnsi="Cambria"/>
                <w:b/>
                <w:color w:val="000000"/>
                <w:kern w:val="2"/>
                <w:sz w:val="20"/>
                <w:szCs w:val="20"/>
                <w14:ligatures w14:val="standardContextual"/>
              </w:rPr>
              <w:t>2024</w:t>
            </w:r>
          </w:p>
        </w:tc>
        <w:tc>
          <w:tcPr>
            <w:tcW w:w="800" w:type="dxa"/>
            <w:tcBorders>
              <w:top w:val="nil"/>
              <w:left w:val="nil"/>
              <w:bottom w:val="single" w:sz="4" w:space="0" w:color="auto"/>
              <w:right w:val="nil"/>
            </w:tcBorders>
            <w:shd w:val="clear" w:color="000000" w:fill="D9D9D9"/>
            <w:noWrap/>
            <w:vAlign w:val="center"/>
            <w:hideMark/>
          </w:tcPr>
          <w:p w14:paraId="6FECCAF5" w14:textId="77777777" w:rsidR="00EF4FD8" w:rsidRPr="000A5982" w:rsidRDefault="00EF4FD8" w:rsidP="007C17C6">
            <w:pPr>
              <w:jc w:val="center"/>
              <w:rPr>
                <w:rFonts w:ascii="Cambria" w:hAnsi="Cambria"/>
                <w:b/>
                <w:bCs/>
                <w:color w:val="000000"/>
                <w:sz w:val="20"/>
                <w:szCs w:val="20"/>
              </w:rPr>
            </w:pPr>
            <w:r w:rsidRPr="000A5982">
              <w:rPr>
                <w:rFonts w:ascii="Cambria" w:eastAsia="Aptos" w:hAnsi="Cambria"/>
                <w:b/>
                <w:color w:val="000000"/>
                <w:kern w:val="2"/>
                <w:sz w:val="20"/>
                <w:szCs w:val="20"/>
                <w14:ligatures w14:val="standardContextual"/>
              </w:rPr>
              <w:t>2025</w:t>
            </w:r>
          </w:p>
        </w:tc>
        <w:tc>
          <w:tcPr>
            <w:tcW w:w="800" w:type="dxa"/>
            <w:tcBorders>
              <w:top w:val="nil"/>
              <w:left w:val="single" w:sz="8" w:space="0" w:color="auto"/>
              <w:bottom w:val="single" w:sz="4" w:space="0" w:color="auto"/>
              <w:right w:val="single" w:sz="4" w:space="0" w:color="auto"/>
            </w:tcBorders>
            <w:shd w:val="clear" w:color="000000" w:fill="D9D9D9"/>
            <w:noWrap/>
            <w:vAlign w:val="center"/>
            <w:hideMark/>
          </w:tcPr>
          <w:p w14:paraId="6A3312D6" w14:textId="77777777" w:rsidR="00EF4FD8" w:rsidRPr="000A5982" w:rsidRDefault="00EF4FD8" w:rsidP="007C17C6">
            <w:pPr>
              <w:jc w:val="center"/>
              <w:rPr>
                <w:rFonts w:ascii="Cambria" w:hAnsi="Cambria"/>
                <w:b/>
                <w:bCs/>
                <w:color w:val="000000"/>
                <w:sz w:val="20"/>
                <w:szCs w:val="20"/>
              </w:rPr>
            </w:pPr>
            <w:r w:rsidRPr="000A5982">
              <w:rPr>
                <w:rFonts w:ascii="Cambria" w:eastAsia="Aptos" w:hAnsi="Cambria"/>
                <w:b/>
                <w:color w:val="000000"/>
                <w:kern w:val="2"/>
                <w:sz w:val="20"/>
                <w:szCs w:val="20"/>
                <w14:ligatures w14:val="standardContextual"/>
              </w:rPr>
              <w:t>2023</w:t>
            </w:r>
          </w:p>
        </w:tc>
        <w:tc>
          <w:tcPr>
            <w:tcW w:w="800" w:type="dxa"/>
            <w:tcBorders>
              <w:top w:val="nil"/>
              <w:left w:val="nil"/>
              <w:bottom w:val="single" w:sz="4" w:space="0" w:color="auto"/>
              <w:right w:val="single" w:sz="4" w:space="0" w:color="auto"/>
            </w:tcBorders>
            <w:shd w:val="clear" w:color="000000" w:fill="D9D9D9"/>
            <w:noWrap/>
            <w:vAlign w:val="center"/>
            <w:hideMark/>
          </w:tcPr>
          <w:p w14:paraId="44668311" w14:textId="77777777" w:rsidR="00EF4FD8" w:rsidRPr="000A5982" w:rsidRDefault="00EF4FD8" w:rsidP="007C17C6">
            <w:pPr>
              <w:jc w:val="center"/>
              <w:rPr>
                <w:rFonts w:ascii="Cambria" w:hAnsi="Cambria"/>
                <w:b/>
                <w:bCs/>
                <w:color w:val="000000"/>
                <w:sz w:val="20"/>
                <w:szCs w:val="20"/>
              </w:rPr>
            </w:pPr>
            <w:r w:rsidRPr="000A5982">
              <w:rPr>
                <w:rFonts w:ascii="Cambria" w:eastAsia="Aptos" w:hAnsi="Cambria"/>
                <w:b/>
                <w:color w:val="000000"/>
                <w:kern w:val="2"/>
                <w:sz w:val="20"/>
                <w:szCs w:val="20"/>
                <w14:ligatures w14:val="standardContextual"/>
              </w:rPr>
              <w:t>2024</w:t>
            </w:r>
          </w:p>
        </w:tc>
        <w:tc>
          <w:tcPr>
            <w:tcW w:w="800" w:type="dxa"/>
            <w:tcBorders>
              <w:top w:val="nil"/>
              <w:left w:val="nil"/>
              <w:bottom w:val="single" w:sz="4" w:space="0" w:color="auto"/>
              <w:right w:val="single" w:sz="8" w:space="0" w:color="auto"/>
            </w:tcBorders>
            <w:shd w:val="clear" w:color="000000" w:fill="D9D9D9"/>
            <w:noWrap/>
            <w:vAlign w:val="center"/>
            <w:hideMark/>
          </w:tcPr>
          <w:p w14:paraId="2BBF0F86" w14:textId="77777777" w:rsidR="00EF4FD8" w:rsidRPr="000A5982" w:rsidRDefault="00EF4FD8" w:rsidP="007C17C6">
            <w:pPr>
              <w:jc w:val="center"/>
              <w:rPr>
                <w:rFonts w:ascii="Cambria" w:hAnsi="Cambria"/>
                <w:b/>
                <w:bCs/>
                <w:color w:val="000000"/>
                <w:sz w:val="20"/>
                <w:szCs w:val="20"/>
              </w:rPr>
            </w:pPr>
            <w:r w:rsidRPr="000A5982">
              <w:rPr>
                <w:rFonts w:ascii="Cambria" w:eastAsia="Aptos" w:hAnsi="Cambria"/>
                <w:b/>
                <w:color w:val="000000"/>
                <w:kern w:val="2"/>
                <w:sz w:val="20"/>
                <w:szCs w:val="20"/>
                <w14:ligatures w14:val="standardContextual"/>
              </w:rPr>
              <w:t>2025</w:t>
            </w:r>
          </w:p>
        </w:tc>
        <w:tc>
          <w:tcPr>
            <w:tcW w:w="800" w:type="dxa"/>
            <w:tcBorders>
              <w:top w:val="nil"/>
              <w:left w:val="nil"/>
              <w:bottom w:val="single" w:sz="4" w:space="0" w:color="auto"/>
              <w:right w:val="single" w:sz="4" w:space="0" w:color="auto"/>
            </w:tcBorders>
            <w:shd w:val="clear" w:color="000000" w:fill="D9D9D9"/>
            <w:noWrap/>
            <w:vAlign w:val="center"/>
            <w:hideMark/>
          </w:tcPr>
          <w:p w14:paraId="5BC3542E" w14:textId="77777777" w:rsidR="00EF4FD8" w:rsidRPr="000A5982" w:rsidRDefault="00EF4FD8" w:rsidP="007C17C6">
            <w:pPr>
              <w:jc w:val="center"/>
              <w:rPr>
                <w:rFonts w:ascii="Cambria" w:hAnsi="Cambria"/>
                <w:b/>
                <w:bCs/>
                <w:color w:val="000000"/>
                <w:sz w:val="20"/>
                <w:szCs w:val="20"/>
              </w:rPr>
            </w:pPr>
            <w:r w:rsidRPr="000A5982">
              <w:rPr>
                <w:rFonts w:ascii="Cambria" w:eastAsia="Aptos" w:hAnsi="Cambria"/>
                <w:b/>
                <w:color w:val="000000"/>
                <w:kern w:val="2"/>
                <w:sz w:val="20"/>
                <w:szCs w:val="20"/>
                <w14:ligatures w14:val="standardContextual"/>
              </w:rPr>
              <w:t>2023</w:t>
            </w:r>
          </w:p>
        </w:tc>
        <w:tc>
          <w:tcPr>
            <w:tcW w:w="800" w:type="dxa"/>
            <w:tcBorders>
              <w:top w:val="nil"/>
              <w:left w:val="nil"/>
              <w:bottom w:val="single" w:sz="4" w:space="0" w:color="auto"/>
              <w:right w:val="single" w:sz="4" w:space="0" w:color="auto"/>
            </w:tcBorders>
            <w:shd w:val="clear" w:color="000000" w:fill="D9D9D9"/>
            <w:noWrap/>
            <w:vAlign w:val="center"/>
            <w:hideMark/>
          </w:tcPr>
          <w:p w14:paraId="6F815401" w14:textId="77777777" w:rsidR="00EF4FD8" w:rsidRPr="000A5982" w:rsidRDefault="00EF4FD8" w:rsidP="007C17C6">
            <w:pPr>
              <w:jc w:val="center"/>
              <w:rPr>
                <w:rFonts w:ascii="Cambria" w:hAnsi="Cambria"/>
                <w:b/>
                <w:bCs/>
                <w:color w:val="000000"/>
                <w:sz w:val="20"/>
                <w:szCs w:val="20"/>
              </w:rPr>
            </w:pPr>
            <w:r w:rsidRPr="000A5982">
              <w:rPr>
                <w:rFonts w:ascii="Cambria" w:eastAsia="Aptos" w:hAnsi="Cambria"/>
                <w:b/>
                <w:color w:val="000000"/>
                <w:kern w:val="2"/>
                <w:sz w:val="20"/>
                <w:szCs w:val="20"/>
                <w14:ligatures w14:val="standardContextual"/>
              </w:rPr>
              <w:t>2024</w:t>
            </w:r>
          </w:p>
        </w:tc>
        <w:tc>
          <w:tcPr>
            <w:tcW w:w="800" w:type="dxa"/>
            <w:tcBorders>
              <w:top w:val="nil"/>
              <w:left w:val="nil"/>
              <w:bottom w:val="single" w:sz="4" w:space="0" w:color="auto"/>
              <w:right w:val="single" w:sz="8" w:space="0" w:color="auto"/>
            </w:tcBorders>
            <w:shd w:val="clear" w:color="000000" w:fill="D9D9D9"/>
            <w:noWrap/>
            <w:vAlign w:val="center"/>
            <w:hideMark/>
          </w:tcPr>
          <w:p w14:paraId="4F80AEC3" w14:textId="77777777" w:rsidR="00EF4FD8" w:rsidRPr="000A5982" w:rsidRDefault="00EF4FD8" w:rsidP="007C17C6">
            <w:pPr>
              <w:jc w:val="center"/>
              <w:rPr>
                <w:rFonts w:ascii="Cambria" w:hAnsi="Cambria"/>
                <w:b/>
                <w:bCs/>
                <w:color w:val="000000"/>
                <w:sz w:val="20"/>
                <w:szCs w:val="20"/>
              </w:rPr>
            </w:pPr>
            <w:r w:rsidRPr="000A5982">
              <w:rPr>
                <w:rFonts w:ascii="Cambria" w:eastAsia="Aptos" w:hAnsi="Cambria"/>
                <w:b/>
                <w:color w:val="000000"/>
                <w:kern w:val="2"/>
                <w:sz w:val="20"/>
                <w:szCs w:val="20"/>
                <w14:ligatures w14:val="standardContextual"/>
              </w:rPr>
              <w:t>2025</w:t>
            </w:r>
          </w:p>
        </w:tc>
      </w:tr>
      <w:tr w:rsidR="00EF4FD8" w:rsidRPr="0099704B" w14:paraId="6C71111F" w14:textId="77777777" w:rsidTr="007C17C6">
        <w:trPr>
          <w:trHeight w:val="261"/>
        </w:trPr>
        <w:tc>
          <w:tcPr>
            <w:tcW w:w="1900" w:type="dxa"/>
            <w:tcBorders>
              <w:top w:val="nil"/>
              <w:left w:val="single" w:sz="8" w:space="0" w:color="auto"/>
              <w:bottom w:val="single" w:sz="4" w:space="0" w:color="auto"/>
              <w:right w:val="single" w:sz="8" w:space="0" w:color="auto"/>
            </w:tcBorders>
            <w:noWrap/>
            <w:vAlign w:val="center"/>
            <w:hideMark/>
          </w:tcPr>
          <w:p w14:paraId="76608F77" w14:textId="77777777" w:rsidR="00EF4FD8" w:rsidRPr="000A5982" w:rsidRDefault="00EF4FD8" w:rsidP="007C17C6">
            <w:pPr>
              <w:rPr>
                <w:rFonts w:ascii="Cambria" w:hAnsi="Cambria"/>
                <w:sz w:val="20"/>
                <w:szCs w:val="20"/>
              </w:rPr>
            </w:pPr>
            <w:r w:rsidRPr="000A5982">
              <w:rPr>
                <w:rFonts w:ascii="Cambria" w:eastAsia="Aptos" w:hAnsi="Cambria"/>
                <w:kern w:val="2"/>
                <w:sz w:val="20"/>
                <w:szCs w:val="20"/>
                <w14:ligatures w14:val="standardContextual"/>
              </w:rPr>
              <w:t>Angola</w:t>
            </w:r>
          </w:p>
        </w:tc>
        <w:tc>
          <w:tcPr>
            <w:tcW w:w="800" w:type="dxa"/>
            <w:tcBorders>
              <w:top w:val="nil"/>
              <w:left w:val="nil"/>
              <w:bottom w:val="single" w:sz="4" w:space="0" w:color="auto"/>
              <w:right w:val="single" w:sz="4" w:space="0" w:color="auto"/>
            </w:tcBorders>
            <w:noWrap/>
            <w:vAlign w:val="center"/>
            <w:hideMark/>
          </w:tcPr>
          <w:p w14:paraId="716CCDAD"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13,79</w:t>
            </w:r>
          </w:p>
        </w:tc>
        <w:tc>
          <w:tcPr>
            <w:tcW w:w="800" w:type="dxa"/>
            <w:tcBorders>
              <w:top w:val="nil"/>
              <w:left w:val="nil"/>
              <w:bottom w:val="single" w:sz="4" w:space="0" w:color="auto"/>
              <w:right w:val="single" w:sz="4" w:space="0" w:color="auto"/>
            </w:tcBorders>
            <w:noWrap/>
            <w:vAlign w:val="center"/>
            <w:hideMark/>
          </w:tcPr>
          <w:p w14:paraId="761B5304"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2,15</w:t>
            </w:r>
          </w:p>
        </w:tc>
        <w:tc>
          <w:tcPr>
            <w:tcW w:w="800" w:type="dxa"/>
            <w:tcBorders>
              <w:top w:val="nil"/>
              <w:left w:val="nil"/>
              <w:bottom w:val="single" w:sz="4" w:space="0" w:color="auto"/>
              <w:right w:val="nil"/>
            </w:tcBorders>
            <w:shd w:val="clear" w:color="000000" w:fill="C0E6F5"/>
            <w:noWrap/>
            <w:vAlign w:val="center"/>
            <w:hideMark/>
          </w:tcPr>
          <w:p w14:paraId="114CB352"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13,06</w:t>
            </w:r>
          </w:p>
        </w:tc>
        <w:tc>
          <w:tcPr>
            <w:tcW w:w="800" w:type="dxa"/>
            <w:tcBorders>
              <w:top w:val="nil"/>
              <w:left w:val="single" w:sz="8" w:space="0" w:color="auto"/>
              <w:bottom w:val="single" w:sz="4" w:space="0" w:color="auto"/>
              <w:right w:val="single" w:sz="4" w:space="0" w:color="auto"/>
            </w:tcBorders>
            <w:noWrap/>
            <w:vAlign w:val="center"/>
            <w:hideMark/>
          </w:tcPr>
          <w:p w14:paraId="468815CC"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6DB9181C"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70DEE4AD"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31F7C074"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089EE282"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526449D3"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r>
      <w:tr w:rsidR="00EF4FD8" w:rsidRPr="0099704B" w14:paraId="7A3B69D7" w14:textId="77777777" w:rsidTr="007C17C6">
        <w:trPr>
          <w:trHeight w:val="279"/>
        </w:trPr>
        <w:tc>
          <w:tcPr>
            <w:tcW w:w="1900" w:type="dxa"/>
            <w:tcBorders>
              <w:top w:val="nil"/>
              <w:left w:val="single" w:sz="8" w:space="0" w:color="auto"/>
              <w:bottom w:val="single" w:sz="4" w:space="0" w:color="auto"/>
              <w:right w:val="single" w:sz="8" w:space="0" w:color="auto"/>
            </w:tcBorders>
            <w:noWrap/>
            <w:vAlign w:val="center"/>
            <w:hideMark/>
          </w:tcPr>
          <w:p w14:paraId="48AABA90" w14:textId="77777777" w:rsidR="00EF4FD8" w:rsidRPr="000A5982" w:rsidRDefault="00EF4FD8" w:rsidP="007C17C6">
            <w:pPr>
              <w:rPr>
                <w:rFonts w:ascii="Cambria" w:hAnsi="Cambria"/>
                <w:sz w:val="20"/>
                <w:szCs w:val="20"/>
              </w:rPr>
            </w:pPr>
            <w:r w:rsidRPr="000A5982">
              <w:rPr>
                <w:rFonts w:ascii="Cambria" w:eastAsia="Aptos" w:hAnsi="Cambria"/>
                <w:kern w:val="2"/>
                <w:sz w:val="20"/>
                <w:szCs w:val="20"/>
                <w14:ligatures w14:val="standardContextual"/>
              </w:rPr>
              <w:t>Belice</w:t>
            </w:r>
          </w:p>
        </w:tc>
        <w:tc>
          <w:tcPr>
            <w:tcW w:w="800" w:type="dxa"/>
            <w:tcBorders>
              <w:top w:val="nil"/>
              <w:left w:val="nil"/>
              <w:bottom w:val="single" w:sz="4" w:space="0" w:color="auto"/>
              <w:right w:val="single" w:sz="4" w:space="0" w:color="auto"/>
            </w:tcBorders>
            <w:noWrap/>
            <w:vAlign w:val="center"/>
            <w:hideMark/>
          </w:tcPr>
          <w:p w14:paraId="58C3FA28"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7160B42F"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nil"/>
            </w:tcBorders>
            <w:shd w:val="clear" w:color="000000" w:fill="C0E6F5"/>
            <w:noWrap/>
            <w:vAlign w:val="center"/>
            <w:hideMark/>
          </w:tcPr>
          <w:p w14:paraId="25ED5F3E"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single" w:sz="8" w:space="0" w:color="auto"/>
              <w:bottom w:val="single" w:sz="4" w:space="0" w:color="auto"/>
              <w:right w:val="single" w:sz="4" w:space="0" w:color="auto"/>
            </w:tcBorders>
            <w:noWrap/>
            <w:vAlign w:val="center"/>
            <w:hideMark/>
          </w:tcPr>
          <w:p w14:paraId="1E6BA438"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2287B1E4"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4AC03E7C"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4C29FFE6"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024B0721"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135D3809"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r>
      <w:tr w:rsidR="00EF4FD8" w:rsidRPr="0099704B" w14:paraId="429D2CC8" w14:textId="77777777" w:rsidTr="007C17C6">
        <w:trPr>
          <w:trHeight w:val="269"/>
        </w:trPr>
        <w:tc>
          <w:tcPr>
            <w:tcW w:w="1900" w:type="dxa"/>
            <w:tcBorders>
              <w:top w:val="nil"/>
              <w:left w:val="single" w:sz="8" w:space="0" w:color="auto"/>
              <w:bottom w:val="single" w:sz="4" w:space="0" w:color="auto"/>
              <w:right w:val="single" w:sz="8" w:space="0" w:color="auto"/>
            </w:tcBorders>
            <w:noWrap/>
            <w:vAlign w:val="center"/>
            <w:hideMark/>
          </w:tcPr>
          <w:p w14:paraId="54585344" w14:textId="77777777" w:rsidR="00EF4FD8" w:rsidRPr="000A5982" w:rsidRDefault="00EF4FD8" w:rsidP="007C17C6">
            <w:pPr>
              <w:rPr>
                <w:rFonts w:ascii="Cambria" w:hAnsi="Cambria"/>
                <w:sz w:val="20"/>
                <w:szCs w:val="20"/>
              </w:rPr>
            </w:pPr>
            <w:r w:rsidRPr="000A5982">
              <w:rPr>
                <w:rFonts w:ascii="Cambria" w:eastAsia="Aptos" w:hAnsi="Cambria"/>
                <w:kern w:val="2"/>
                <w:sz w:val="20"/>
                <w:szCs w:val="20"/>
                <w14:ligatures w14:val="standardContextual"/>
              </w:rPr>
              <w:t>Brasil</w:t>
            </w:r>
          </w:p>
        </w:tc>
        <w:tc>
          <w:tcPr>
            <w:tcW w:w="800" w:type="dxa"/>
            <w:tcBorders>
              <w:top w:val="nil"/>
              <w:left w:val="nil"/>
              <w:bottom w:val="single" w:sz="4" w:space="0" w:color="auto"/>
              <w:right w:val="single" w:sz="4" w:space="0" w:color="auto"/>
            </w:tcBorders>
            <w:noWrap/>
            <w:vAlign w:val="center"/>
            <w:hideMark/>
          </w:tcPr>
          <w:p w14:paraId="5B7F42C6"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121,00</w:t>
            </w:r>
          </w:p>
        </w:tc>
        <w:tc>
          <w:tcPr>
            <w:tcW w:w="800" w:type="dxa"/>
            <w:tcBorders>
              <w:top w:val="nil"/>
              <w:left w:val="nil"/>
              <w:bottom w:val="single" w:sz="4" w:space="0" w:color="auto"/>
              <w:right w:val="single" w:sz="4" w:space="0" w:color="auto"/>
            </w:tcBorders>
            <w:noWrap/>
            <w:vAlign w:val="center"/>
            <w:hideMark/>
          </w:tcPr>
          <w:p w14:paraId="3C31956C"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30,39</w:t>
            </w:r>
          </w:p>
        </w:tc>
        <w:tc>
          <w:tcPr>
            <w:tcW w:w="800" w:type="dxa"/>
            <w:tcBorders>
              <w:top w:val="nil"/>
              <w:left w:val="nil"/>
              <w:bottom w:val="single" w:sz="4" w:space="0" w:color="auto"/>
              <w:right w:val="nil"/>
            </w:tcBorders>
            <w:shd w:val="clear" w:color="000000" w:fill="C0E6F5"/>
            <w:noWrap/>
            <w:vAlign w:val="center"/>
            <w:hideMark/>
          </w:tcPr>
          <w:p w14:paraId="553E34DD"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0,00</w:t>
            </w:r>
          </w:p>
        </w:tc>
        <w:tc>
          <w:tcPr>
            <w:tcW w:w="800" w:type="dxa"/>
            <w:tcBorders>
              <w:top w:val="nil"/>
              <w:left w:val="single" w:sz="8" w:space="0" w:color="auto"/>
              <w:bottom w:val="single" w:sz="4" w:space="0" w:color="auto"/>
              <w:right w:val="single" w:sz="4" w:space="0" w:color="auto"/>
            </w:tcBorders>
            <w:noWrap/>
            <w:vAlign w:val="center"/>
            <w:hideMark/>
          </w:tcPr>
          <w:p w14:paraId="4E7ED9F3"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737C2D0B"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7DD9032B"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44,00</w:t>
            </w:r>
          </w:p>
        </w:tc>
        <w:tc>
          <w:tcPr>
            <w:tcW w:w="800" w:type="dxa"/>
            <w:tcBorders>
              <w:top w:val="nil"/>
              <w:left w:val="nil"/>
              <w:bottom w:val="single" w:sz="4" w:space="0" w:color="auto"/>
              <w:right w:val="single" w:sz="4" w:space="0" w:color="auto"/>
            </w:tcBorders>
            <w:noWrap/>
            <w:vAlign w:val="center"/>
            <w:hideMark/>
          </w:tcPr>
          <w:p w14:paraId="095B7259"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143E7F33"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3CA28A37"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r>
      <w:tr w:rsidR="00EF4FD8" w:rsidRPr="0099704B" w14:paraId="48B69700" w14:textId="77777777" w:rsidTr="007C17C6">
        <w:trPr>
          <w:trHeight w:val="385"/>
        </w:trPr>
        <w:tc>
          <w:tcPr>
            <w:tcW w:w="1900" w:type="dxa"/>
            <w:tcBorders>
              <w:top w:val="nil"/>
              <w:left w:val="single" w:sz="8" w:space="0" w:color="auto"/>
              <w:bottom w:val="single" w:sz="4" w:space="0" w:color="auto"/>
              <w:right w:val="single" w:sz="8" w:space="0" w:color="auto"/>
            </w:tcBorders>
            <w:noWrap/>
            <w:vAlign w:val="center"/>
            <w:hideMark/>
          </w:tcPr>
          <w:p w14:paraId="22CBD577" w14:textId="77777777" w:rsidR="00EF4FD8" w:rsidRPr="000A5982" w:rsidRDefault="00EF4FD8" w:rsidP="007C17C6">
            <w:pPr>
              <w:rPr>
                <w:rFonts w:ascii="Cambria" w:hAnsi="Cambria"/>
                <w:sz w:val="20"/>
                <w:szCs w:val="20"/>
              </w:rPr>
            </w:pPr>
            <w:r w:rsidRPr="000A5982">
              <w:rPr>
                <w:rFonts w:ascii="Cambria" w:eastAsia="Aptos" w:hAnsi="Cambria"/>
                <w:kern w:val="2"/>
                <w:sz w:val="20"/>
                <w:szCs w:val="20"/>
                <w14:ligatures w14:val="standardContextual"/>
              </w:rPr>
              <w:t>China R.P.</w:t>
            </w:r>
          </w:p>
        </w:tc>
        <w:tc>
          <w:tcPr>
            <w:tcW w:w="800" w:type="dxa"/>
            <w:tcBorders>
              <w:top w:val="nil"/>
              <w:left w:val="nil"/>
              <w:bottom w:val="single" w:sz="4" w:space="0" w:color="auto"/>
              <w:right w:val="single" w:sz="4" w:space="0" w:color="auto"/>
            </w:tcBorders>
            <w:noWrap/>
            <w:vAlign w:val="center"/>
            <w:hideMark/>
          </w:tcPr>
          <w:p w14:paraId="00C903C9"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3AA2E96C"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nil"/>
            </w:tcBorders>
            <w:shd w:val="clear" w:color="000000" w:fill="C0E6F5"/>
            <w:noWrap/>
            <w:vAlign w:val="center"/>
            <w:hideMark/>
          </w:tcPr>
          <w:p w14:paraId="16E19EF1"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single" w:sz="8" w:space="0" w:color="auto"/>
              <w:bottom w:val="single" w:sz="4" w:space="0" w:color="auto"/>
              <w:right w:val="single" w:sz="4" w:space="0" w:color="auto"/>
            </w:tcBorders>
            <w:noWrap/>
            <w:vAlign w:val="center"/>
            <w:hideMark/>
          </w:tcPr>
          <w:p w14:paraId="689B4629"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3,28</w:t>
            </w:r>
          </w:p>
        </w:tc>
        <w:tc>
          <w:tcPr>
            <w:tcW w:w="800" w:type="dxa"/>
            <w:tcBorders>
              <w:top w:val="nil"/>
              <w:left w:val="nil"/>
              <w:bottom w:val="single" w:sz="4" w:space="0" w:color="auto"/>
              <w:right w:val="single" w:sz="4" w:space="0" w:color="auto"/>
            </w:tcBorders>
            <w:noWrap/>
            <w:vAlign w:val="center"/>
            <w:hideMark/>
          </w:tcPr>
          <w:p w14:paraId="27DF7F18"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0,36</w:t>
            </w:r>
          </w:p>
        </w:tc>
        <w:tc>
          <w:tcPr>
            <w:tcW w:w="800" w:type="dxa"/>
            <w:tcBorders>
              <w:top w:val="nil"/>
              <w:left w:val="nil"/>
              <w:bottom w:val="single" w:sz="4" w:space="0" w:color="auto"/>
              <w:right w:val="single" w:sz="8" w:space="0" w:color="auto"/>
            </w:tcBorders>
            <w:shd w:val="clear" w:color="000000" w:fill="C0E6F5"/>
            <w:noWrap/>
            <w:vAlign w:val="center"/>
            <w:hideMark/>
          </w:tcPr>
          <w:p w14:paraId="441B7A49"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6D2F0FB1"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6,07</w:t>
            </w:r>
          </w:p>
        </w:tc>
        <w:tc>
          <w:tcPr>
            <w:tcW w:w="800" w:type="dxa"/>
            <w:tcBorders>
              <w:top w:val="nil"/>
              <w:left w:val="nil"/>
              <w:bottom w:val="single" w:sz="4" w:space="0" w:color="auto"/>
              <w:right w:val="single" w:sz="4" w:space="0" w:color="auto"/>
            </w:tcBorders>
            <w:noWrap/>
            <w:vAlign w:val="center"/>
            <w:hideMark/>
          </w:tcPr>
          <w:p w14:paraId="4179FCF3"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1,30</w:t>
            </w:r>
          </w:p>
        </w:tc>
        <w:tc>
          <w:tcPr>
            <w:tcW w:w="800" w:type="dxa"/>
            <w:tcBorders>
              <w:top w:val="nil"/>
              <w:left w:val="nil"/>
              <w:bottom w:val="single" w:sz="4" w:space="0" w:color="auto"/>
              <w:right w:val="single" w:sz="8" w:space="0" w:color="auto"/>
            </w:tcBorders>
            <w:shd w:val="clear" w:color="000000" w:fill="C0E6F5"/>
            <w:noWrap/>
            <w:vAlign w:val="center"/>
            <w:hideMark/>
          </w:tcPr>
          <w:p w14:paraId="7FE9D5A8"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r>
      <w:tr w:rsidR="00EF4FD8" w:rsidRPr="0099704B" w14:paraId="2CE9C30D" w14:textId="77777777" w:rsidTr="007C17C6">
        <w:trPr>
          <w:trHeight w:val="385"/>
        </w:trPr>
        <w:tc>
          <w:tcPr>
            <w:tcW w:w="1900" w:type="dxa"/>
            <w:tcBorders>
              <w:top w:val="nil"/>
              <w:left w:val="single" w:sz="8" w:space="0" w:color="auto"/>
              <w:bottom w:val="single" w:sz="4" w:space="0" w:color="auto"/>
              <w:right w:val="single" w:sz="8" w:space="0" w:color="auto"/>
            </w:tcBorders>
            <w:noWrap/>
            <w:vAlign w:val="center"/>
            <w:hideMark/>
          </w:tcPr>
          <w:p w14:paraId="1FCBB657" w14:textId="77777777" w:rsidR="00EF4FD8" w:rsidRPr="000A5982" w:rsidRDefault="00EF4FD8" w:rsidP="007C17C6">
            <w:pPr>
              <w:rPr>
                <w:rFonts w:ascii="Cambria" w:hAnsi="Cambria"/>
                <w:sz w:val="20"/>
                <w:szCs w:val="20"/>
              </w:rPr>
            </w:pPr>
            <w:r w:rsidRPr="000A5982">
              <w:rPr>
                <w:rFonts w:ascii="Cambria" w:eastAsia="Aptos" w:hAnsi="Cambria"/>
                <w:kern w:val="2"/>
                <w:sz w:val="20"/>
                <w:szCs w:val="20"/>
                <w14:ligatures w14:val="standardContextual"/>
              </w:rPr>
              <w:t>Taipei Chino</w:t>
            </w:r>
          </w:p>
        </w:tc>
        <w:tc>
          <w:tcPr>
            <w:tcW w:w="800" w:type="dxa"/>
            <w:tcBorders>
              <w:top w:val="nil"/>
              <w:left w:val="nil"/>
              <w:bottom w:val="single" w:sz="4" w:space="0" w:color="auto"/>
              <w:right w:val="single" w:sz="4" w:space="0" w:color="auto"/>
            </w:tcBorders>
            <w:noWrap/>
            <w:vAlign w:val="center"/>
            <w:hideMark/>
          </w:tcPr>
          <w:p w14:paraId="651EEB30"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2,00</w:t>
            </w:r>
          </w:p>
        </w:tc>
        <w:tc>
          <w:tcPr>
            <w:tcW w:w="800" w:type="dxa"/>
            <w:tcBorders>
              <w:top w:val="nil"/>
              <w:left w:val="nil"/>
              <w:bottom w:val="single" w:sz="4" w:space="0" w:color="auto"/>
              <w:right w:val="single" w:sz="4" w:space="0" w:color="auto"/>
            </w:tcBorders>
            <w:noWrap/>
            <w:vAlign w:val="center"/>
            <w:hideMark/>
          </w:tcPr>
          <w:p w14:paraId="6E318A7E"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4,84</w:t>
            </w:r>
          </w:p>
        </w:tc>
        <w:tc>
          <w:tcPr>
            <w:tcW w:w="800" w:type="dxa"/>
            <w:tcBorders>
              <w:top w:val="nil"/>
              <w:left w:val="nil"/>
              <w:bottom w:val="single" w:sz="4" w:space="0" w:color="auto"/>
              <w:right w:val="nil"/>
            </w:tcBorders>
            <w:shd w:val="clear" w:color="000000" w:fill="C0E6F5"/>
            <w:noWrap/>
            <w:vAlign w:val="center"/>
            <w:hideMark/>
          </w:tcPr>
          <w:p w14:paraId="7D9AFFDA"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1,00</w:t>
            </w:r>
          </w:p>
        </w:tc>
        <w:tc>
          <w:tcPr>
            <w:tcW w:w="800" w:type="dxa"/>
            <w:tcBorders>
              <w:top w:val="nil"/>
              <w:left w:val="single" w:sz="8" w:space="0" w:color="auto"/>
              <w:bottom w:val="single" w:sz="4" w:space="0" w:color="auto"/>
              <w:right w:val="single" w:sz="4" w:space="0" w:color="auto"/>
            </w:tcBorders>
            <w:noWrap/>
            <w:vAlign w:val="center"/>
            <w:hideMark/>
          </w:tcPr>
          <w:p w14:paraId="3E56469B"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6,56</w:t>
            </w:r>
          </w:p>
        </w:tc>
        <w:tc>
          <w:tcPr>
            <w:tcW w:w="800" w:type="dxa"/>
            <w:tcBorders>
              <w:top w:val="nil"/>
              <w:left w:val="nil"/>
              <w:bottom w:val="single" w:sz="4" w:space="0" w:color="auto"/>
              <w:right w:val="single" w:sz="4" w:space="0" w:color="auto"/>
            </w:tcBorders>
            <w:noWrap/>
            <w:vAlign w:val="center"/>
            <w:hideMark/>
          </w:tcPr>
          <w:p w14:paraId="0EDF7E41"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13,73</w:t>
            </w:r>
          </w:p>
        </w:tc>
        <w:tc>
          <w:tcPr>
            <w:tcW w:w="800" w:type="dxa"/>
            <w:tcBorders>
              <w:top w:val="nil"/>
              <w:left w:val="nil"/>
              <w:bottom w:val="single" w:sz="4" w:space="0" w:color="auto"/>
              <w:right w:val="single" w:sz="8" w:space="0" w:color="auto"/>
            </w:tcBorders>
            <w:shd w:val="clear" w:color="000000" w:fill="C0E6F5"/>
            <w:noWrap/>
            <w:vAlign w:val="center"/>
            <w:hideMark/>
          </w:tcPr>
          <w:p w14:paraId="2EFB4434"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16,33</w:t>
            </w:r>
          </w:p>
        </w:tc>
        <w:tc>
          <w:tcPr>
            <w:tcW w:w="800" w:type="dxa"/>
            <w:tcBorders>
              <w:top w:val="nil"/>
              <w:left w:val="nil"/>
              <w:bottom w:val="single" w:sz="4" w:space="0" w:color="auto"/>
              <w:right w:val="single" w:sz="4" w:space="0" w:color="auto"/>
            </w:tcBorders>
            <w:noWrap/>
            <w:vAlign w:val="center"/>
            <w:hideMark/>
          </w:tcPr>
          <w:p w14:paraId="78744864"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3,00</w:t>
            </w:r>
          </w:p>
        </w:tc>
        <w:tc>
          <w:tcPr>
            <w:tcW w:w="800" w:type="dxa"/>
            <w:tcBorders>
              <w:top w:val="nil"/>
              <w:left w:val="nil"/>
              <w:bottom w:val="single" w:sz="4" w:space="0" w:color="auto"/>
              <w:right w:val="single" w:sz="4" w:space="0" w:color="auto"/>
            </w:tcBorders>
            <w:noWrap/>
            <w:vAlign w:val="center"/>
            <w:hideMark/>
          </w:tcPr>
          <w:p w14:paraId="200A2BCD"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6,00</w:t>
            </w:r>
          </w:p>
        </w:tc>
        <w:tc>
          <w:tcPr>
            <w:tcW w:w="800" w:type="dxa"/>
            <w:tcBorders>
              <w:top w:val="nil"/>
              <w:left w:val="nil"/>
              <w:bottom w:val="single" w:sz="4" w:space="0" w:color="auto"/>
              <w:right w:val="single" w:sz="8" w:space="0" w:color="auto"/>
            </w:tcBorders>
            <w:shd w:val="clear" w:color="000000" w:fill="C0E6F5"/>
            <w:noWrap/>
            <w:vAlign w:val="center"/>
            <w:hideMark/>
          </w:tcPr>
          <w:p w14:paraId="413F1A89"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7,00</w:t>
            </w:r>
          </w:p>
        </w:tc>
      </w:tr>
      <w:tr w:rsidR="00EF4FD8" w:rsidRPr="0099704B" w14:paraId="25083673" w14:textId="77777777" w:rsidTr="007C17C6">
        <w:trPr>
          <w:trHeight w:val="385"/>
        </w:trPr>
        <w:tc>
          <w:tcPr>
            <w:tcW w:w="1900" w:type="dxa"/>
            <w:tcBorders>
              <w:top w:val="nil"/>
              <w:left w:val="single" w:sz="8" w:space="0" w:color="auto"/>
              <w:bottom w:val="single" w:sz="4" w:space="0" w:color="auto"/>
              <w:right w:val="single" w:sz="8" w:space="0" w:color="auto"/>
            </w:tcBorders>
            <w:noWrap/>
            <w:vAlign w:val="center"/>
            <w:hideMark/>
          </w:tcPr>
          <w:p w14:paraId="1EEC95ED" w14:textId="77777777" w:rsidR="00EF4FD8" w:rsidRPr="000A5982" w:rsidRDefault="00EF4FD8" w:rsidP="007C17C6">
            <w:pPr>
              <w:rPr>
                <w:rFonts w:ascii="Cambria" w:hAnsi="Cambria"/>
                <w:sz w:val="20"/>
                <w:szCs w:val="20"/>
              </w:rPr>
            </w:pPr>
            <w:r w:rsidRPr="000A5982">
              <w:rPr>
                <w:rFonts w:ascii="Cambria" w:eastAsia="Aptos" w:hAnsi="Cambria"/>
                <w:kern w:val="2"/>
                <w:sz w:val="20"/>
                <w:szCs w:val="20"/>
                <w14:ligatures w14:val="standardContextual"/>
              </w:rPr>
              <w:t>Côte d’Ivoire</w:t>
            </w:r>
          </w:p>
        </w:tc>
        <w:tc>
          <w:tcPr>
            <w:tcW w:w="800" w:type="dxa"/>
            <w:tcBorders>
              <w:top w:val="nil"/>
              <w:left w:val="nil"/>
              <w:bottom w:val="single" w:sz="4" w:space="0" w:color="auto"/>
              <w:right w:val="single" w:sz="4" w:space="0" w:color="auto"/>
            </w:tcBorders>
            <w:noWrap/>
            <w:vAlign w:val="center"/>
            <w:hideMark/>
          </w:tcPr>
          <w:p w14:paraId="75407485"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44C300D6"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nil"/>
            </w:tcBorders>
            <w:shd w:val="clear" w:color="000000" w:fill="C0E6F5"/>
            <w:noWrap/>
            <w:vAlign w:val="center"/>
            <w:hideMark/>
          </w:tcPr>
          <w:p w14:paraId="0803E896"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single" w:sz="8" w:space="0" w:color="auto"/>
              <w:bottom w:val="single" w:sz="4" w:space="0" w:color="auto"/>
              <w:right w:val="single" w:sz="4" w:space="0" w:color="auto"/>
            </w:tcBorders>
            <w:noWrap/>
            <w:vAlign w:val="center"/>
            <w:hideMark/>
          </w:tcPr>
          <w:p w14:paraId="18FE89FA"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77FFFA3C"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322FB567"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6B4EEF95"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4E4A05B0"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08C913C6"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r>
      <w:tr w:rsidR="00EF4FD8" w:rsidRPr="0099704B" w14:paraId="5AE25273" w14:textId="77777777" w:rsidTr="007C17C6">
        <w:trPr>
          <w:trHeight w:val="385"/>
        </w:trPr>
        <w:tc>
          <w:tcPr>
            <w:tcW w:w="1900" w:type="dxa"/>
            <w:tcBorders>
              <w:top w:val="nil"/>
              <w:left w:val="single" w:sz="8" w:space="0" w:color="auto"/>
              <w:bottom w:val="single" w:sz="4" w:space="0" w:color="auto"/>
              <w:right w:val="single" w:sz="8" w:space="0" w:color="auto"/>
            </w:tcBorders>
            <w:noWrap/>
            <w:vAlign w:val="center"/>
            <w:hideMark/>
          </w:tcPr>
          <w:p w14:paraId="471D9100" w14:textId="77777777" w:rsidR="00EF4FD8" w:rsidRPr="000A5982" w:rsidRDefault="00EF4FD8" w:rsidP="007C17C6">
            <w:pPr>
              <w:rPr>
                <w:rFonts w:ascii="Cambria" w:hAnsi="Cambria"/>
                <w:sz w:val="20"/>
                <w:szCs w:val="20"/>
              </w:rPr>
            </w:pPr>
            <w:r w:rsidRPr="000A5982">
              <w:rPr>
                <w:rFonts w:ascii="Cambria" w:eastAsia="Aptos" w:hAnsi="Cambria"/>
                <w:kern w:val="2"/>
                <w:sz w:val="20"/>
                <w:szCs w:val="20"/>
                <w14:ligatures w14:val="standardContextual"/>
              </w:rPr>
              <w:t>Curaçao</w:t>
            </w:r>
          </w:p>
        </w:tc>
        <w:tc>
          <w:tcPr>
            <w:tcW w:w="800" w:type="dxa"/>
            <w:tcBorders>
              <w:top w:val="nil"/>
              <w:left w:val="nil"/>
              <w:bottom w:val="single" w:sz="4" w:space="0" w:color="auto"/>
              <w:right w:val="single" w:sz="4" w:space="0" w:color="auto"/>
            </w:tcBorders>
            <w:noWrap/>
            <w:vAlign w:val="center"/>
            <w:hideMark/>
          </w:tcPr>
          <w:p w14:paraId="545081D1"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2F912072"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nil"/>
            </w:tcBorders>
            <w:shd w:val="clear" w:color="000000" w:fill="C0E6F5"/>
            <w:noWrap/>
            <w:vAlign w:val="center"/>
            <w:hideMark/>
          </w:tcPr>
          <w:p w14:paraId="6D967001"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single" w:sz="8" w:space="0" w:color="auto"/>
              <w:bottom w:val="single" w:sz="4" w:space="0" w:color="auto"/>
              <w:right w:val="single" w:sz="4" w:space="0" w:color="auto"/>
            </w:tcBorders>
            <w:noWrap/>
            <w:vAlign w:val="center"/>
            <w:hideMark/>
          </w:tcPr>
          <w:p w14:paraId="3F53D837"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0E9A8795"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59500B2F"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6ECA02C8"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56D9A465"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7684ACB3"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r>
      <w:tr w:rsidR="00EF4FD8" w:rsidRPr="0099704B" w14:paraId="49C21288" w14:textId="77777777" w:rsidTr="007C17C6">
        <w:trPr>
          <w:trHeight w:val="385"/>
        </w:trPr>
        <w:tc>
          <w:tcPr>
            <w:tcW w:w="1900" w:type="dxa"/>
            <w:tcBorders>
              <w:top w:val="nil"/>
              <w:left w:val="single" w:sz="8" w:space="0" w:color="auto"/>
              <w:bottom w:val="single" w:sz="4" w:space="0" w:color="auto"/>
              <w:right w:val="single" w:sz="8" w:space="0" w:color="auto"/>
            </w:tcBorders>
            <w:noWrap/>
            <w:vAlign w:val="center"/>
            <w:hideMark/>
          </w:tcPr>
          <w:p w14:paraId="3781F6B2" w14:textId="77777777" w:rsidR="00EF4FD8" w:rsidRPr="000A5982" w:rsidRDefault="00EF4FD8" w:rsidP="007C17C6">
            <w:pPr>
              <w:rPr>
                <w:rFonts w:ascii="Cambria" w:hAnsi="Cambria"/>
                <w:sz w:val="20"/>
                <w:szCs w:val="20"/>
              </w:rPr>
            </w:pPr>
            <w:r w:rsidRPr="000A5982">
              <w:rPr>
                <w:rFonts w:ascii="Cambria" w:eastAsia="Aptos" w:hAnsi="Cambria"/>
                <w:kern w:val="2"/>
                <w:sz w:val="20"/>
                <w:szCs w:val="20"/>
                <w14:ligatures w14:val="standardContextual"/>
              </w:rPr>
              <w:t>El Salvador</w:t>
            </w:r>
          </w:p>
        </w:tc>
        <w:tc>
          <w:tcPr>
            <w:tcW w:w="800" w:type="dxa"/>
            <w:tcBorders>
              <w:top w:val="nil"/>
              <w:left w:val="nil"/>
              <w:bottom w:val="single" w:sz="4" w:space="0" w:color="auto"/>
              <w:right w:val="single" w:sz="4" w:space="0" w:color="auto"/>
            </w:tcBorders>
            <w:noWrap/>
            <w:vAlign w:val="center"/>
            <w:hideMark/>
          </w:tcPr>
          <w:p w14:paraId="0FE1DA3E"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667E2C40"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nil"/>
            </w:tcBorders>
            <w:shd w:val="clear" w:color="000000" w:fill="C0E6F5"/>
            <w:noWrap/>
            <w:vAlign w:val="center"/>
            <w:hideMark/>
          </w:tcPr>
          <w:p w14:paraId="11748824"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single" w:sz="8" w:space="0" w:color="auto"/>
              <w:bottom w:val="single" w:sz="4" w:space="0" w:color="auto"/>
              <w:right w:val="single" w:sz="4" w:space="0" w:color="auto"/>
            </w:tcBorders>
            <w:noWrap/>
            <w:vAlign w:val="center"/>
            <w:hideMark/>
          </w:tcPr>
          <w:p w14:paraId="3E978E57"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573C8176"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473F6E3F"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677553AE"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1B183086"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0A0A5741"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r>
      <w:tr w:rsidR="00EF4FD8" w:rsidRPr="0099704B" w14:paraId="39B0495E" w14:textId="77777777" w:rsidTr="007C17C6">
        <w:trPr>
          <w:trHeight w:val="385"/>
        </w:trPr>
        <w:tc>
          <w:tcPr>
            <w:tcW w:w="1900" w:type="dxa"/>
            <w:tcBorders>
              <w:top w:val="nil"/>
              <w:left w:val="single" w:sz="8" w:space="0" w:color="auto"/>
              <w:bottom w:val="single" w:sz="4" w:space="0" w:color="auto"/>
              <w:right w:val="single" w:sz="8" w:space="0" w:color="auto"/>
            </w:tcBorders>
            <w:noWrap/>
            <w:vAlign w:val="center"/>
            <w:hideMark/>
          </w:tcPr>
          <w:p w14:paraId="354DD4E8" w14:textId="77777777" w:rsidR="00EF4FD8" w:rsidRPr="000A5982" w:rsidRDefault="00EF4FD8" w:rsidP="007C17C6">
            <w:pPr>
              <w:rPr>
                <w:rFonts w:ascii="Cambria" w:hAnsi="Cambria"/>
                <w:sz w:val="20"/>
                <w:szCs w:val="20"/>
              </w:rPr>
            </w:pPr>
            <w:r w:rsidRPr="000A5982">
              <w:rPr>
                <w:rFonts w:ascii="Cambria" w:eastAsia="Aptos" w:hAnsi="Cambria"/>
                <w:kern w:val="2"/>
                <w:sz w:val="20"/>
                <w:szCs w:val="20"/>
                <w14:ligatures w14:val="standardContextual"/>
              </w:rPr>
              <w:t>UE-España</w:t>
            </w:r>
          </w:p>
        </w:tc>
        <w:tc>
          <w:tcPr>
            <w:tcW w:w="800" w:type="dxa"/>
            <w:tcBorders>
              <w:top w:val="nil"/>
              <w:left w:val="nil"/>
              <w:bottom w:val="single" w:sz="4" w:space="0" w:color="auto"/>
              <w:right w:val="single" w:sz="4" w:space="0" w:color="auto"/>
            </w:tcBorders>
            <w:noWrap/>
            <w:vAlign w:val="center"/>
            <w:hideMark/>
          </w:tcPr>
          <w:p w14:paraId="05ED9889"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0,00</w:t>
            </w:r>
          </w:p>
        </w:tc>
        <w:tc>
          <w:tcPr>
            <w:tcW w:w="800" w:type="dxa"/>
            <w:tcBorders>
              <w:top w:val="nil"/>
              <w:left w:val="nil"/>
              <w:bottom w:val="single" w:sz="4" w:space="0" w:color="auto"/>
              <w:right w:val="single" w:sz="4" w:space="0" w:color="auto"/>
            </w:tcBorders>
            <w:noWrap/>
            <w:vAlign w:val="center"/>
            <w:hideMark/>
          </w:tcPr>
          <w:p w14:paraId="0701617E"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0,00</w:t>
            </w:r>
          </w:p>
        </w:tc>
        <w:tc>
          <w:tcPr>
            <w:tcW w:w="800" w:type="dxa"/>
            <w:tcBorders>
              <w:top w:val="nil"/>
              <w:left w:val="nil"/>
              <w:bottom w:val="single" w:sz="4" w:space="0" w:color="auto"/>
              <w:right w:val="nil"/>
            </w:tcBorders>
            <w:shd w:val="clear" w:color="000000" w:fill="C0E6F5"/>
            <w:noWrap/>
            <w:vAlign w:val="center"/>
            <w:hideMark/>
          </w:tcPr>
          <w:p w14:paraId="5B05C835"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0,00</w:t>
            </w:r>
          </w:p>
        </w:tc>
        <w:tc>
          <w:tcPr>
            <w:tcW w:w="800" w:type="dxa"/>
            <w:tcBorders>
              <w:top w:val="nil"/>
              <w:left w:val="single" w:sz="8" w:space="0" w:color="auto"/>
              <w:bottom w:val="single" w:sz="4" w:space="0" w:color="auto"/>
              <w:right w:val="single" w:sz="4" w:space="0" w:color="auto"/>
            </w:tcBorders>
            <w:noWrap/>
            <w:vAlign w:val="center"/>
            <w:hideMark/>
          </w:tcPr>
          <w:p w14:paraId="07DE8441"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187,40</w:t>
            </w:r>
          </w:p>
        </w:tc>
        <w:tc>
          <w:tcPr>
            <w:tcW w:w="800" w:type="dxa"/>
            <w:tcBorders>
              <w:top w:val="nil"/>
              <w:left w:val="nil"/>
              <w:bottom w:val="single" w:sz="4" w:space="0" w:color="auto"/>
              <w:right w:val="single" w:sz="4" w:space="0" w:color="auto"/>
            </w:tcBorders>
            <w:noWrap/>
            <w:vAlign w:val="center"/>
            <w:hideMark/>
          </w:tcPr>
          <w:p w14:paraId="7E8473C5"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270,96</w:t>
            </w:r>
          </w:p>
        </w:tc>
        <w:tc>
          <w:tcPr>
            <w:tcW w:w="800" w:type="dxa"/>
            <w:tcBorders>
              <w:top w:val="nil"/>
              <w:left w:val="nil"/>
              <w:bottom w:val="single" w:sz="4" w:space="0" w:color="auto"/>
              <w:right w:val="single" w:sz="8" w:space="0" w:color="auto"/>
            </w:tcBorders>
            <w:shd w:val="clear" w:color="000000" w:fill="C0E6F5"/>
            <w:noWrap/>
            <w:vAlign w:val="center"/>
            <w:hideMark/>
          </w:tcPr>
          <w:p w14:paraId="3A5A5BAE"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215,00</w:t>
            </w:r>
          </w:p>
        </w:tc>
        <w:tc>
          <w:tcPr>
            <w:tcW w:w="800" w:type="dxa"/>
            <w:tcBorders>
              <w:top w:val="nil"/>
              <w:left w:val="nil"/>
              <w:bottom w:val="single" w:sz="4" w:space="0" w:color="auto"/>
              <w:right w:val="single" w:sz="4" w:space="0" w:color="auto"/>
            </w:tcBorders>
            <w:noWrap/>
            <w:vAlign w:val="center"/>
            <w:hideMark/>
          </w:tcPr>
          <w:p w14:paraId="377BF9A7"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120,30</w:t>
            </w:r>
          </w:p>
        </w:tc>
        <w:tc>
          <w:tcPr>
            <w:tcW w:w="800" w:type="dxa"/>
            <w:tcBorders>
              <w:top w:val="nil"/>
              <w:left w:val="nil"/>
              <w:bottom w:val="single" w:sz="4" w:space="0" w:color="auto"/>
              <w:right w:val="single" w:sz="4" w:space="0" w:color="auto"/>
            </w:tcBorders>
            <w:noWrap/>
            <w:vAlign w:val="center"/>
            <w:hideMark/>
          </w:tcPr>
          <w:p w14:paraId="2A255489"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150,35</w:t>
            </w:r>
          </w:p>
        </w:tc>
        <w:tc>
          <w:tcPr>
            <w:tcW w:w="800" w:type="dxa"/>
            <w:tcBorders>
              <w:top w:val="nil"/>
              <w:left w:val="nil"/>
              <w:bottom w:val="single" w:sz="4" w:space="0" w:color="auto"/>
              <w:right w:val="single" w:sz="8" w:space="0" w:color="auto"/>
            </w:tcBorders>
            <w:shd w:val="clear" w:color="000000" w:fill="C0E6F5"/>
            <w:noWrap/>
            <w:vAlign w:val="center"/>
            <w:hideMark/>
          </w:tcPr>
          <w:p w14:paraId="7528CF94"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88,00</w:t>
            </w:r>
          </w:p>
        </w:tc>
      </w:tr>
      <w:tr w:rsidR="00EF4FD8" w:rsidRPr="0099704B" w14:paraId="5EE9F041" w14:textId="77777777" w:rsidTr="007C17C6">
        <w:trPr>
          <w:trHeight w:val="385"/>
        </w:trPr>
        <w:tc>
          <w:tcPr>
            <w:tcW w:w="1900" w:type="dxa"/>
            <w:tcBorders>
              <w:top w:val="nil"/>
              <w:left w:val="single" w:sz="8" w:space="0" w:color="auto"/>
              <w:bottom w:val="single" w:sz="4" w:space="0" w:color="auto"/>
              <w:right w:val="single" w:sz="8" w:space="0" w:color="auto"/>
            </w:tcBorders>
            <w:noWrap/>
            <w:vAlign w:val="center"/>
            <w:hideMark/>
          </w:tcPr>
          <w:p w14:paraId="3AFB6481" w14:textId="77777777" w:rsidR="00EF4FD8" w:rsidRPr="000A5982" w:rsidRDefault="00EF4FD8" w:rsidP="007C17C6">
            <w:pPr>
              <w:rPr>
                <w:rFonts w:ascii="Cambria" w:hAnsi="Cambria"/>
                <w:sz w:val="20"/>
                <w:szCs w:val="20"/>
              </w:rPr>
            </w:pPr>
            <w:r w:rsidRPr="000A5982">
              <w:rPr>
                <w:rFonts w:ascii="Cambria" w:eastAsia="Aptos" w:hAnsi="Cambria"/>
                <w:kern w:val="2"/>
                <w:sz w:val="20"/>
                <w:szCs w:val="20"/>
                <w14:ligatures w14:val="standardContextual"/>
              </w:rPr>
              <w:t>UE-Francia</w:t>
            </w:r>
          </w:p>
        </w:tc>
        <w:tc>
          <w:tcPr>
            <w:tcW w:w="800" w:type="dxa"/>
            <w:tcBorders>
              <w:top w:val="nil"/>
              <w:left w:val="nil"/>
              <w:bottom w:val="single" w:sz="4" w:space="0" w:color="auto"/>
              <w:right w:val="single" w:sz="4" w:space="0" w:color="auto"/>
            </w:tcBorders>
            <w:noWrap/>
            <w:vAlign w:val="center"/>
            <w:hideMark/>
          </w:tcPr>
          <w:p w14:paraId="594B7C08"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0,00</w:t>
            </w:r>
          </w:p>
        </w:tc>
        <w:tc>
          <w:tcPr>
            <w:tcW w:w="800" w:type="dxa"/>
            <w:tcBorders>
              <w:top w:val="nil"/>
              <w:left w:val="nil"/>
              <w:bottom w:val="single" w:sz="4" w:space="0" w:color="auto"/>
              <w:right w:val="single" w:sz="4" w:space="0" w:color="auto"/>
            </w:tcBorders>
            <w:noWrap/>
            <w:vAlign w:val="center"/>
            <w:hideMark/>
          </w:tcPr>
          <w:p w14:paraId="3FE23093"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0,00</w:t>
            </w:r>
          </w:p>
        </w:tc>
        <w:tc>
          <w:tcPr>
            <w:tcW w:w="800" w:type="dxa"/>
            <w:tcBorders>
              <w:top w:val="nil"/>
              <w:left w:val="nil"/>
              <w:bottom w:val="single" w:sz="4" w:space="0" w:color="auto"/>
              <w:right w:val="nil"/>
            </w:tcBorders>
            <w:shd w:val="clear" w:color="000000" w:fill="C0E6F5"/>
            <w:noWrap/>
            <w:vAlign w:val="center"/>
            <w:hideMark/>
          </w:tcPr>
          <w:p w14:paraId="636E3FEE"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0,00</w:t>
            </w:r>
          </w:p>
        </w:tc>
        <w:tc>
          <w:tcPr>
            <w:tcW w:w="800" w:type="dxa"/>
            <w:tcBorders>
              <w:top w:val="nil"/>
              <w:left w:val="single" w:sz="8" w:space="0" w:color="auto"/>
              <w:bottom w:val="single" w:sz="4" w:space="0" w:color="auto"/>
              <w:right w:val="single" w:sz="4" w:space="0" w:color="auto"/>
            </w:tcBorders>
            <w:noWrap/>
            <w:vAlign w:val="center"/>
            <w:hideMark/>
          </w:tcPr>
          <w:p w14:paraId="17978713"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0,07</w:t>
            </w:r>
          </w:p>
        </w:tc>
        <w:tc>
          <w:tcPr>
            <w:tcW w:w="800" w:type="dxa"/>
            <w:tcBorders>
              <w:top w:val="nil"/>
              <w:left w:val="nil"/>
              <w:bottom w:val="single" w:sz="4" w:space="0" w:color="auto"/>
              <w:right w:val="single" w:sz="4" w:space="0" w:color="auto"/>
            </w:tcBorders>
            <w:noWrap/>
            <w:vAlign w:val="center"/>
            <w:hideMark/>
          </w:tcPr>
          <w:p w14:paraId="2B258FD0"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0,02</w:t>
            </w:r>
          </w:p>
        </w:tc>
        <w:tc>
          <w:tcPr>
            <w:tcW w:w="800" w:type="dxa"/>
            <w:tcBorders>
              <w:top w:val="nil"/>
              <w:left w:val="nil"/>
              <w:bottom w:val="single" w:sz="4" w:space="0" w:color="auto"/>
              <w:right w:val="single" w:sz="8" w:space="0" w:color="auto"/>
            </w:tcBorders>
            <w:shd w:val="clear" w:color="000000" w:fill="C0E6F5"/>
            <w:noWrap/>
            <w:vAlign w:val="center"/>
            <w:hideMark/>
          </w:tcPr>
          <w:p w14:paraId="5B0AE2F9"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0,00</w:t>
            </w:r>
          </w:p>
        </w:tc>
        <w:tc>
          <w:tcPr>
            <w:tcW w:w="800" w:type="dxa"/>
            <w:tcBorders>
              <w:top w:val="nil"/>
              <w:left w:val="nil"/>
              <w:bottom w:val="single" w:sz="4" w:space="0" w:color="auto"/>
              <w:right w:val="single" w:sz="4" w:space="0" w:color="auto"/>
            </w:tcBorders>
            <w:noWrap/>
            <w:vAlign w:val="center"/>
            <w:hideMark/>
          </w:tcPr>
          <w:p w14:paraId="4BB23E14"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0,59</w:t>
            </w:r>
          </w:p>
        </w:tc>
        <w:tc>
          <w:tcPr>
            <w:tcW w:w="800" w:type="dxa"/>
            <w:tcBorders>
              <w:top w:val="nil"/>
              <w:left w:val="nil"/>
              <w:bottom w:val="single" w:sz="4" w:space="0" w:color="auto"/>
              <w:right w:val="single" w:sz="4" w:space="0" w:color="auto"/>
            </w:tcBorders>
            <w:noWrap/>
            <w:vAlign w:val="center"/>
            <w:hideMark/>
          </w:tcPr>
          <w:p w14:paraId="10045405"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0,00</w:t>
            </w:r>
          </w:p>
        </w:tc>
        <w:tc>
          <w:tcPr>
            <w:tcW w:w="800" w:type="dxa"/>
            <w:tcBorders>
              <w:top w:val="nil"/>
              <w:left w:val="nil"/>
              <w:bottom w:val="single" w:sz="4" w:space="0" w:color="auto"/>
              <w:right w:val="single" w:sz="8" w:space="0" w:color="auto"/>
            </w:tcBorders>
            <w:shd w:val="clear" w:color="000000" w:fill="C0E6F5"/>
            <w:noWrap/>
            <w:vAlign w:val="center"/>
            <w:hideMark/>
          </w:tcPr>
          <w:p w14:paraId="1117F3A0"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0,00</w:t>
            </w:r>
          </w:p>
        </w:tc>
      </w:tr>
      <w:tr w:rsidR="00EF4FD8" w:rsidRPr="0099704B" w14:paraId="63F736DA" w14:textId="77777777" w:rsidTr="007C17C6">
        <w:trPr>
          <w:trHeight w:val="385"/>
        </w:trPr>
        <w:tc>
          <w:tcPr>
            <w:tcW w:w="1900" w:type="dxa"/>
            <w:tcBorders>
              <w:top w:val="nil"/>
              <w:left w:val="single" w:sz="8" w:space="0" w:color="auto"/>
              <w:bottom w:val="single" w:sz="4" w:space="0" w:color="auto"/>
              <w:right w:val="single" w:sz="8" w:space="0" w:color="auto"/>
            </w:tcBorders>
            <w:noWrap/>
            <w:vAlign w:val="center"/>
            <w:hideMark/>
          </w:tcPr>
          <w:p w14:paraId="4FB2D11E" w14:textId="77777777" w:rsidR="00EF4FD8" w:rsidRPr="000A5982" w:rsidRDefault="00EF4FD8" w:rsidP="007C17C6">
            <w:pPr>
              <w:rPr>
                <w:rFonts w:ascii="Cambria" w:hAnsi="Cambria"/>
                <w:sz w:val="20"/>
                <w:szCs w:val="20"/>
              </w:rPr>
            </w:pPr>
            <w:r w:rsidRPr="000A5982">
              <w:rPr>
                <w:rFonts w:ascii="Cambria" w:eastAsia="Aptos" w:hAnsi="Cambria"/>
                <w:kern w:val="2"/>
                <w:sz w:val="20"/>
                <w:szCs w:val="20"/>
                <w14:ligatures w14:val="standardContextual"/>
              </w:rPr>
              <w:t>UE-Portugal</w:t>
            </w:r>
          </w:p>
        </w:tc>
        <w:tc>
          <w:tcPr>
            <w:tcW w:w="800" w:type="dxa"/>
            <w:tcBorders>
              <w:top w:val="nil"/>
              <w:left w:val="nil"/>
              <w:bottom w:val="single" w:sz="4" w:space="0" w:color="auto"/>
              <w:right w:val="single" w:sz="4" w:space="0" w:color="auto"/>
            </w:tcBorders>
            <w:noWrap/>
            <w:vAlign w:val="center"/>
            <w:hideMark/>
          </w:tcPr>
          <w:p w14:paraId="1A0D4E22"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0B7B26DA"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nil"/>
            </w:tcBorders>
            <w:shd w:val="clear" w:color="000000" w:fill="C0E6F5"/>
            <w:noWrap/>
            <w:vAlign w:val="center"/>
            <w:hideMark/>
          </w:tcPr>
          <w:p w14:paraId="0E8E2B07"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single" w:sz="8" w:space="0" w:color="auto"/>
              <w:bottom w:val="single" w:sz="4" w:space="0" w:color="auto"/>
              <w:right w:val="single" w:sz="4" w:space="0" w:color="auto"/>
            </w:tcBorders>
            <w:noWrap/>
            <w:vAlign w:val="center"/>
            <w:hideMark/>
          </w:tcPr>
          <w:p w14:paraId="7F1556FF"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24,23</w:t>
            </w:r>
          </w:p>
        </w:tc>
        <w:tc>
          <w:tcPr>
            <w:tcW w:w="800" w:type="dxa"/>
            <w:tcBorders>
              <w:top w:val="nil"/>
              <w:left w:val="nil"/>
              <w:bottom w:val="single" w:sz="4" w:space="0" w:color="auto"/>
              <w:right w:val="single" w:sz="4" w:space="0" w:color="auto"/>
            </w:tcBorders>
            <w:noWrap/>
            <w:vAlign w:val="center"/>
            <w:hideMark/>
          </w:tcPr>
          <w:p w14:paraId="70B78253"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21,60</w:t>
            </w:r>
          </w:p>
        </w:tc>
        <w:tc>
          <w:tcPr>
            <w:tcW w:w="800" w:type="dxa"/>
            <w:tcBorders>
              <w:top w:val="nil"/>
              <w:left w:val="nil"/>
              <w:bottom w:val="single" w:sz="4" w:space="0" w:color="auto"/>
              <w:right w:val="single" w:sz="8" w:space="0" w:color="auto"/>
            </w:tcBorders>
            <w:shd w:val="clear" w:color="000000" w:fill="C0E6F5"/>
            <w:noWrap/>
            <w:vAlign w:val="center"/>
            <w:hideMark/>
          </w:tcPr>
          <w:p w14:paraId="4B0F9693"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22,52</w:t>
            </w:r>
          </w:p>
        </w:tc>
        <w:tc>
          <w:tcPr>
            <w:tcW w:w="800" w:type="dxa"/>
            <w:tcBorders>
              <w:top w:val="nil"/>
              <w:left w:val="nil"/>
              <w:bottom w:val="single" w:sz="4" w:space="0" w:color="auto"/>
              <w:right w:val="single" w:sz="4" w:space="0" w:color="auto"/>
            </w:tcBorders>
            <w:noWrap/>
            <w:vAlign w:val="center"/>
            <w:hideMark/>
          </w:tcPr>
          <w:p w14:paraId="301058F3"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43,84</w:t>
            </w:r>
          </w:p>
        </w:tc>
        <w:tc>
          <w:tcPr>
            <w:tcW w:w="800" w:type="dxa"/>
            <w:tcBorders>
              <w:top w:val="nil"/>
              <w:left w:val="nil"/>
              <w:bottom w:val="single" w:sz="4" w:space="0" w:color="auto"/>
              <w:right w:val="single" w:sz="4" w:space="0" w:color="auto"/>
            </w:tcBorders>
            <w:noWrap/>
            <w:vAlign w:val="center"/>
            <w:hideMark/>
          </w:tcPr>
          <w:p w14:paraId="7E312A0E"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39,07</w:t>
            </w:r>
          </w:p>
        </w:tc>
        <w:tc>
          <w:tcPr>
            <w:tcW w:w="800" w:type="dxa"/>
            <w:tcBorders>
              <w:top w:val="nil"/>
              <w:left w:val="nil"/>
              <w:bottom w:val="single" w:sz="4" w:space="0" w:color="auto"/>
              <w:right w:val="single" w:sz="8" w:space="0" w:color="auto"/>
            </w:tcBorders>
            <w:shd w:val="clear" w:color="000000" w:fill="C0E6F5"/>
            <w:noWrap/>
            <w:vAlign w:val="center"/>
            <w:hideMark/>
          </w:tcPr>
          <w:p w14:paraId="3F275BBD"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40,74</w:t>
            </w:r>
          </w:p>
        </w:tc>
      </w:tr>
      <w:tr w:rsidR="00EF4FD8" w:rsidRPr="0099704B" w14:paraId="27862513" w14:textId="77777777" w:rsidTr="007C17C6">
        <w:trPr>
          <w:trHeight w:val="385"/>
        </w:trPr>
        <w:tc>
          <w:tcPr>
            <w:tcW w:w="1900" w:type="dxa"/>
            <w:tcBorders>
              <w:top w:val="nil"/>
              <w:left w:val="single" w:sz="8" w:space="0" w:color="auto"/>
              <w:bottom w:val="single" w:sz="4" w:space="0" w:color="auto"/>
              <w:right w:val="single" w:sz="8" w:space="0" w:color="auto"/>
            </w:tcBorders>
            <w:noWrap/>
            <w:vAlign w:val="center"/>
            <w:hideMark/>
          </w:tcPr>
          <w:p w14:paraId="1E003731" w14:textId="77777777" w:rsidR="00EF4FD8" w:rsidRPr="000A5982" w:rsidRDefault="00EF4FD8" w:rsidP="007C17C6">
            <w:pPr>
              <w:rPr>
                <w:rFonts w:ascii="Cambria" w:hAnsi="Cambria"/>
                <w:sz w:val="20"/>
                <w:szCs w:val="20"/>
              </w:rPr>
            </w:pPr>
            <w:r w:rsidRPr="000A5982">
              <w:rPr>
                <w:rFonts w:ascii="Cambria" w:eastAsia="Aptos" w:hAnsi="Cambria"/>
                <w:kern w:val="2"/>
                <w:sz w:val="20"/>
                <w:szCs w:val="20"/>
                <w14:ligatures w14:val="standardContextual"/>
              </w:rPr>
              <w:t>Ghana</w:t>
            </w:r>
          </w:p>
        </w:tc>
        <w:tc>
          <w:tcPr>
            <w:tcW w:w="800" w:type="dxa"/>
            <w:tcBorders>
              <w:top w:val="nil"/>
              <w:left w:val="nil"/>
              <w:bottom w:val="single" w:sz="4" w:space="0" w:color="auto"/>
              <w:right w:val="single" w:sz="4" w:space="0" w:color="auto"/>
            </w:tcBorders>
            <w:noWrap/>
            <w:vAlign w:val="center"/>
            <w:hideMark/>
          </w:tcPr>
          <w:p w14:paraId="09521F28"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2E81F888"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nil"/>
            </w:tcBorders>
            <w:shd w:val="clear" w:color="000000" w:fill="C0E6F5"/>
            <w:noWrap/>
            <w:vAlign w:val="center"/>
            <w:hideMark/>
          </w:tcPr>
          <w:p w14:paraId="4B283952"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single" w:sz="8" w:space="0" w:color="auto"/>
              <w:bottom w:val="single" w:sz="4" w:space="0" w:color="auto"/>
              <w:right w:val="single" w:sz="4" w:space="0" w:color="auto"/>
            </w:tcBorders>
            <w:noWrap/>
            <w:vAlign w:val="center"/>
            <w:hideMark/>
          </w:tcPr>
          <w:p w14:paraId="612BD64E"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69C94E2B"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6AC8ADAC"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2FBB8876"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486EDCC6"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601883D3"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r>
      <w:tr w:rsidR="00EF4FD8" w:rsidRPr="0099704B" w14:paraId="3AEEC5AD" w14:textId="77777777" w:rsidTr="007C17C6">
        <w:trPr>
          <w:trHeight w:val="385"/>
        </w:trPr>
        <w:tc>
          <w:tcPr>
            <w:tcW w:w="1900" w:type="dxa"/>
            <w:tcBorders>
              <w:top w:val="nil"/>
              <w:left w:val="single" w:sz="8" w:space="0" w:color="auto"/>
              <w:bottom w:val="single" w:sz="4" w:space="0" w:color="auto"/>
              <w:right w:val="single" w:sz="8" w:space="0" w:color="auto"/>
            </w:tcBorders>
            <w:noWrap/>
            <w:vAlign w:val="center"/>
            <w:hideMark/>
          </w:tcPr>
          <w:p w14:paraId="60490133" w14:textId="77777777" w:rsidR="00EF4FD8" w:rsidRPr="000A5982" w:rsidRDefault="00EF4FD8" w:rsidP="007C17C6">
            <w:pPr>
              <w:rPr>
                <w:rFonts w:ascii="Cambria" w:hAnsi="Cambria"/>
                <w:sz w:val="20"/>
                <w:szCs w:val="20"/>
              </w:rPr>
            </w:pPr>
            <w:r w:rsidRPr="000A5982">
              <w:rPr>
                <w:rFonts w:ascii="Cambria" w:eastAsia="Aptos" w:hAnsi="Cambria"/>
                <w:kern w:val="2"/>
                <w:sz w:val="20"/>
                <w:szCs w:val="20"/>
                <w14:ligatures w14:val="standardContextual"/>
              </w:rPr>
              <w:t>Guatemala</w:t>
            </w:r>
          </w:p>
        </w:tc>
        <w:tc>
          <w:tcPr>
            <w:tcW w:w="800" w:type="dxa"/>
            <w:tcBorders>
              <w:top w:val="nil"/>
              <w:left w:val="nil"/>
              <w:bottom w:val="single" w:sz="4" w:space="0" w:color="auto"/>
              <w:right w:val="single" w:sz="4" w:space="0" w:color="auto"/>
            </w:tcBorders>
            <w:noWrap/>
            <w:vAlign w:val="center"/>
            <w:hideMark/>
          </w:tcPr>
          <w:p w14:paraId="6BBFDD50"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3A9A3375"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nil"/>
            </w:tcBorders>
            <w:shd w:val="clear" w:color="000000" w:fill="C0E6F5"/>
            <w:noWrap/>
            <w:vAlign w:val="center"/>
            <w:hideMark/>
          </w:tcPr>
          <w:p w14:paraId="48B4F0D6"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single" w:sz="8" w:space="0" w:color="auto"/>
              <w:bottom w:val="single" w:sz="4" w:space="0" w:color="auto"/>
              <w:right w:val="single" w:sz="4" w:space="0" w:color="auto"/>
            </w:tcBorders>
            <w:noWrap/>
            <w:vAlign w:val="center"/>
            <w:hideMark/>
          </w:tcPr>
          <w:p w14:paraId="608819B5"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604F1808"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5559DE98"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73BD5870"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41F6BE1E"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31E86170"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r>
      <w:tr w:rsidR="00EF4FD8" w:rsidRPr="0099704B" w14:paraId="5FE4E067" w14:textId="77777777" w:rsidTr="007C17C6">
        <w:trPr>
          <w:trHeight w:val="385"/>
        </w:trPr>
        <w:tc>
          <w:tcPr>
            <w:tcW w:w="1900" w:type="dxa"/>
            <w:tcBorders>
              <w:top w:val="nil"/>
              <w:left w:val="single" w:sz="8" w:space="0" w:color="auto"/>
              <w:bottom w:val="single" w:sz="4" w:space="0" w:color="auto"/>
              <w:right w:val="single" w:sz="8" w:space="0" w:color="auto"/>
            </w:tcBorders>
            <w:noWrap/>
            <w:vAlign w:val="center"/>
            <w:hideMark/>
          </w:tcPr>
          <w:p w14:paraId="75225C54" w14:textId="77777777" w:rsidR="00EF4FD8" w:rsidRPr="000A5982" w:rsidRDefault="00EF4FD8" w:rsidP="007C17C6">
            <w:pPr>
              <w:rPr>
                <w:rFonts w:ascii="Cambria" w:hAnsi="Cambria"/>
                <w:sz w:val="20"/>
                <w:szCs w:val="20"/>
              </w:rPr>
            </w:pPr>
            <w:r w:rsidRPr="000A5982">
              <w:rPr>
                <w:rFonts w:ascii="Cambria" w:eastAsia="Aptos" w:hAnsi="Cambria"/>
                <w:kern w:val="2"/>
                <w:sz w:val="20"/>
                <w:szCs w:val="20"/>
                <w14:ligatures w14:val="standardContextual"/>
              </w:rPr>
              <w:t>Japón</w:t>
            </w:r>
          </w:p>
        </w:tc>
        <w:tc>
          <w:tcPr>
            <w:tcW w:w="800" w:type="dxa"/>
            <w:tcBorders>
              <w:top w:val="nil"/>
              <w:left w:val="nil"/>
              <w:bottom w:val="single" w:sz="4" w:space="0" w:color="auto"/>
              <w:right w:val="single" w:sz="4" w:space="0" w:color="auto"/>
            </w:tcBorders>
            <w:noWrap/>
            <w:vAlign w:val="center"/>
            <w:hideMark/>
          </w:tcPr>
          <w:p w14:paraId="423D0497"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0,00</w:t>
            </w:r>
          </w:p>
        </w:tc>
        <w:tc>
          <w:tcPr>
            <w:tcW w:w="800" w:type="dxa"/>
            <w:tcBorders>
              <w:top w:val="nil"/>
              <w:left w:val="nil"/>
              <w:bottom w:val="single" w:sz="4" w:space="0" w:color="auto"/>
              <w:right w:val="single" w:sz="4" w:space="0" w:color="auto"/>
            </w:tcBorders>
            <w:noWrap/>
            <w:vAlign w:val="center"/>
            <w:hideMark/>
          </w:tcPr>
          <w:p w14:paraId="39E5FB48"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0,00</w:t>
            </w:r>
          </w:p>
        </w:tc>
        <w:tc>
          <w:tcPr>
            <w:tcW w:w="800" w:type="dxa"/>
            <w:tcBorders>
              <w:top w:val="nil"/>
              <w:left w:val="nil"/>
              <w:bottom w:val="single" w:sz="4" w:space="0" w:color="auto"/>
              <w:right w:val="nil"/>
            </w:tcBorders>
            <w:shd w:val="clear" w:color="000000" w:fill="C0E6F5"/>
            <w:noWrap/>
            <w:vAlign w:val="center"/>
            <w:hideMark/>
          </w:tcPr>
          <w:p w14:paraId="46E5DE9C"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0,00</w:t>
            </w:r>
          </w:p>
        </w:tc>
        <w:tc>
          <w:tcPr>
            <w:tcW w:w="800" w:type="dxa"/>
            <w:tcBorders>
              <w:top w:val="nil"/>
              <w:left w:val="single" w:sz="8" w:space="0" w:color="auto"/>
              <w:bottom w:val="single" w:sz="4" w:space="0" w:color="auto"/>
              <w:right w:val="single" w:sz="4" w:space="0" w:color="auto"/>
            </w:tcBorders>
            <w:noWrap/>
            <w:vAlign w:val="center"/>
            <w:hideMark/>
          </w:tcPr>
          <w:p w14:paraId="7B99DE42"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0,63</w:t>
            </w:r>
          </w:p>
        </w:tc>
        <w:tc>
          <w:tcPr>
            <w:tcW w:w="800" w:type="dxa"/>
            <w:tcBorders>
              <w:top w:val="nil"/>
              <w:left w:val="nil"/>
              <w:bottom w:val="single" w:sz="4" w:space="0" w:color="auto"/>
              <w:right w:val="single" w:sz="4" w:space="0" w:color="auto"/>
            </w:tcBorders>
            <w:noWrap/>
            <w:vAlign w:val="center"/>
            <w:hideMark/>
          </w:tcPr>
          <w:p w14:paraId="58F09724"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1,89</w:t>
            </w:r>
          </w:p>
        </w:tc>
        <w:tc>
          <w:tcPr>
            <w:tcW w:w="800" w:type="dxa"/>
            <w:tcBorders>
              <w:top w:val="nil"/>
              <w:left w:val="nil"/>
              <w:bottom w:val="single" w:sz="4" w:space="0" w:color="auto"/>
              <w:right w:val="single" w:sz="8" w:space="0" w:color="auto"/>
            </w:tcBorders>
            <w:shd w:val="clear" w:color="000000" w:fill="C0E6F5"/>
            <w:noWrap/>
            <w:vAlign w:val="center"/>
            <w:hideMark/>
          </w:tcPr>
          <w:p w14:paraId="20E32203"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4,85</w:t>
            </w:r>
          </w:p>
        </w:tc>
        <w:tc>
          <w:tcPr>
            <w:tcW w:w="800" w:type="dxa"/>
            <w:tcBorders>
              <w:top w:val="nil"/>
              <w:left w:val="nil"/>
              <w:bottom w:val="single" w:sz="4" w:space="0" w:color="auto"/>
              <w:right w:val="single" w:sz="4" w:space="0" w:color="auto"/>
            </w:tcBorders>
            <w:noWrap/>
            <w:vAlign w:val="center"/>
            <w:hideMark/>
          </w:tcPr>
          <w:p w14:paraId="449C9013"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1,23</w:t>
            </w:r>
          </w:p>
        </w:tc>
        <w:tc>
          <w:tcPr>
            <w:tcW w:w="800" w:type="dxa"/>
            <w:tcBorders>
              <w:top w:val="nil"/>
              <w:left w:val="nil"/>
              <w:bottom w:val="single" w:sz="4" w:space="0" w:color="auto"/>
              <w:right w:val="single" w:sz="4" w:space="0" w:color="auto"/>
            </w:tcBorders>
            <w:noWrap/>
            <w:vAlign w:val="center"/>
            <w:hideMark/>
          </w:tcPr>
          <w:p w14:paraId="45501194"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3,66</w:t>
            </w:r>
          </w:p>
        </w:tc>
        <w:tc>
          <w:tcPr>
            <w:tcW w:w="800" w:type="dxa"/>
            <w:tcBorders>
              <w:top w:val="nil"/>
              <w:left w:val="nil"/>
              <w:bottom w:val="single" w:sz="4" w:space="0" w:color="auto"/>
              <w:right w:val="single" w:sz="8" w:space="0" w:color="auto"/>
            </w:tcBorders>
            <w:shd w:val="clear" w:color="000000" w:fill="C0E6F5"/>
            <w:noWrap/>
            <w:vAlign w:val="center"/>
            <w:hideMark/>
          </w:tcPr>
          <w:p w14:paraId="2BBF2B17"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6,70</w:t>
            </w:r>
          </w:p>
        </w:tc>
      </w:tr>
      <w:tr w:rsidR="00EF4FD8" w:rsidRPr="0099704B" w14:paraId="53412FB4" w14:textId="77777777" w:rsidTr="007C17C6">
        <w:trPr>
          <w:trHeight w:val="385"/>
        </w:trPr>
        <w:tc>
          <w:tcPr>
            <w:tcW w:w="1900" w:type="dxa"/>
            <w:tcBorders>
              <w:top w:val="nil"/>
              <w:left w:val="single" w:sz="8" w:space="0" w:color="auto"/>
              <w:bottom w:val="single" w:sz="4" w:space="0" w:color="auto"/>
              <w:right w:val="single" w:sz="8" w:space="0" w:color="auto"/>
            </w:tcBorders>
            <w:noWrap/>
            <w:vAlign w:val="center"/>
            <w:hideMark/>
          </w:tcPr>
          <w:p w14:paraId="6A81C175" w14:textId="77777777" w:rsidR="00EF4FD8" w:rsidRPr="000A5982" w:rsidRDefault="00EF4FD8" w:rsidP="007C17C6">
            <w:pPr>
              <w:rPr>
                <w:rFonts w:ascii="Cambria" w:hAnsi="Cambria"/>
                <w:sz w:val="20"/>
                <w:szCs w:val="20"/>
              </w:rPr>
            </w:pPr>
            <w:r w:rsidRPr="000A5982">
              <w:rPr>
                <w:rFonts w:ascii="Cambria" w:eastAsia="Aptos" w:hAnsi="Cambria"/>
                <w:kern w:val="2"/>
                <w:sz w:val="20"/>
                <w:szCs w:val="20"/>
                <w14:ligatures w14:val="standardContextual"/>
              </w:rPr>
              <w:t>Corea Rep.</w:t>
            </w:r>
          </w:p>
        </w:tc>
        <w:tc>
          <w:tcPr>
            <w:tcW w:w="800" w:type="dxa"/>
            <w:tcBorders>
              <w:top w:val="nil"/>
              <w:left w:val="nil"/>
              <w:bottom w:val="single" w:sz="4" w:space="0" w:color="auto"/>
              <w:right w:val="single" w:sz="4" w:space="0" w:color="auto"/>
            </w:tcBorders>
            <w:noWrap/>
            <w:vAlign w:val="center"/>
            <w:hideMark/>
          </w:tcPr>
          <w:p w14:paraId="0EE790E1"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0,00</w:t>
            </w:r>
          </w:p>
        </w:tc>
        <w:tc>
          <w:tcPr>
            <w:tcW w:w="800" w:type="dxa"/>
            <w:tcBorders>
              <w:top w:val="nil"/>
              <w:left w:val="nil"/>
              <w:bottom w:val="single" w:sz="4" w:space="0" w:color="auto"/>
              <w:right w:val="single" w:sz="4" w:space="0" w:color="auto"/>
            </w:tcBorders>
            <w:noWrap/>
            <w:vAlign w:val="center"/>
            <w:hideMark/>
          </w:tcPr>
          <w:p w14:paraId="64ADC660"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0,00</w:t>
            </w:r>
          </w:p>
        </w:tc>
        <w:tc>
          <w:tcPr>
            <w:tcW w:w="800" w:type="dxa"/>
            <w:tcBorders>
              <w:top w:val="nil"/>
              <w:left w:val="nil"/>
              <w:bottom w:val="single" w:sz="4" w:space="0" w:color="auto"/>
              <w:right w:val="nil"/>
            </w:tcBorders>
            <w:shd w:val="clear" w:color="000000" w:fill="C0E6F5"/>
            <w:noWrap/>
            <w:vAlign w:val="center"/>
            <w:hideMark/>
          </w:tcPr>
          <w:p w14:paraId="79A04B61"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single" w:sz="8" w:space="0" w:color="auto"/>
              <w:bottom w:val="single" w:sz="4" w:space="0" w:color="auto"/>
              <w:right w:val="single" w:sz="4" w:space="0" w:color="auto"/>
            </w:tcBorders>
            <w:noWrap/>
            <w:vAlign w:val="center"/>
            <w:hideMark/>
          </w:tcPr>
          <w:p w14:paraId="1578C7C5"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0,18</w:t>
            </w:r>
          </w:p>
        </w:tc>
        <w:tc>
          <w:tcPr>
            <w:tcW w:w="800" w:type="dxa"/>
            <w:tcBorders>
              <w:top w:val="nil"/>
              <w:left w:val="nil"/>
              <w:bottom w:val="single" w:sz="4" w:space="0" w:color="auto"/>
              <w:right w:val="single" w:sz="4" w:space="0" w:color="auto"/>
            </w:tcBorders>
            <w:noWrap/>
            <w:vAlign w:val="center"/>
            <w:hideMark/>
          </w:tcPr>
          <w:p w14:paraId="55948A09"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0,00</w:t>
            </w:r>
          </w:p>
        </w:tc>
        <w:tc>
          <w:tcPr>
            <w:tcW w:w="800" w:type="dxa"/>
            <w:tcBorders>
              <w:top w:val="nil"/>
              <w:left w:val="nil"/>
              <w:bottom w:val="single" w:sz="4" w:space="0" w:color="auto"/>
              <w:right w:val="single" w:sz="8" w:space="0" w:color="auto"/>
            </w:tcBorders>
            <w:shd w:val="clear" w:color="000000" w:fill="C0E6F5"/>
            <w:noWrap/>
            <w:vAlign w:val="center"/>
            <w:hideMark/>
          </w:tcPr>
          <w:p w14:paraId="3E806153"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5E226FC3"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0,00</w:t>
            </w:r>
          </w:p>
        </w:tc>
        <w:tc>
          <w:tcPr>
            <w:tcW w:w="800" w:type="dxa"/>
            <w:tcBorders>
              <w:top w:val="nil"/>
              <w:left w:val="nil"/>
              <w:bottom w:val="single" w:sz="4" w:space="0" w:color="auto"/>
              <w:right w:val="single" w:sz="4" w:space="0" w:color="auto"/>
            </w:tcBorders>
            <w:noWrap/>
            <w:vAlign w:val="center"/>
            <w:hideMark/>
          </w:tcPr>
          <w:p w14:paraId="6A267809"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60D7D632"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r>
      <w:tr w:rsidR="00EF4FD8" w:rsidRPr="0099704B" w14:paraId="2C1923D2" w14:textId="77777777" w:rsidTr="007C17C6">
        <w:trPr>
          <w:trHeight w:val="385"/>
        </w:trPr>
        <w:tc>
          <w:tcPr>
            <w:tcW w:w="1900" w:type="dxa"/>
            <w:tcBorders>
              <w:top w:val="nil"/>
              <w:left w:val="single" w:sz="8" w:space="0" w:color="auto"/>
              <w:bottom w:val="single" w:sz="4" w:space="0" w:color="auto"/>
              <w:right w:val="single" w:sz="8" w:space="0" w:color="auto"/>
            </w:tcBorders>
            <w:noWrap/>
            <w:vAlign w:val="center"/>
            <w:hideMark/>
          </w:tcPr>
          <w:p w14:paraId="06CFE9AE" w14:textId="77777777" w:rsidR="00EF4FD8" w:rsidRPr="000A5982" w:rsidRDefault="00EF4FD8" w:rsidP="007C17C6">
            <w:pPr>
              <w:rPr>
                <w:rFonts w:ascii="Cambria" w:hAnsi="Cambria"/>
                <w:sz w:val="20"/>
                <w:szCs w:val="20"/>
              </w:rPr>
            </w:pPr>
            <w:r w:rsidRPr="000A5982">
              <w:rPr>
                <w:rFonts w:ascii="Cambria" w:eastAsia="Aptos" w:hAnsi="Cambria"/>
                <w:kern w:val="2"/>
                <w:sz w:val="20"/>
                <w:szCs w:val="20"/>
                <w14:ligatures w14:val="standardContextual"/>
              </w:rPr>
              <w:t>Namibia</w:t>
            </w:r>
          </w:p>
        </w:tc>
        <w:tc>
          <w:tcPr>
            <w:tcW w:w="800" w:type="dxa"/>
            <w:tcBorders>
              <w:top w:val="nil"/>
              <w:left w:val="nil"/>
              <w:bottom w:val="single" w:sz="4" w:space="0" w:color="auto"/>
              <w:right w:val="single" w:sz="4" w:space="0" w:color="auto"/>
            </w:tcBorders>
            <w:noWrap/>
            <w:vAlign w:val="center"/>
            <w:hideMark/>
          </w:tcPr>
          <w:p w14:paraId="71447127"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545,29</w:t>
            </w:r>
          </w:p>
        </w:tc>
        <w:tc>
          <w:tcPr>
            <w:tcW w:w="800" w:type="dxa"/>
            <w:tcBorders>
              <w:top w:val="nil"/>
              <w:left w:val="nil"/>
              <w:bottom w:val="single" w:sz="4" w:space="0" w:color="auto"/>
              <w:right w:val="single" w:sz="4" w:space="0" w:color="auto"/>
            </w:tcBorders>
            <w:noWrap/>
            <w:vAlign w:val="center"/>
            <w:hideMark/>
          </w:tcPr>
          <w:p w14:paraId="69B5E72B"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253,63</w:t>
            </w:r>
          </w:p>
        </w:tc>
        <w:tc>
          <w:tcPr>
            <w:tcW w:w="800" w:type="dxa"/>
            <w:tcBorders>
              <w:top w:val="nil"/>
              <w:left w:val="nil"/>
              <w:bottom w:val="single" w:sz="4" w:space="0" w:color="auto"/>
              <w:right w:val="nil"/>
            </w:tcBorders>
            <w:shd w:val="clear" w:color="000000" w:fill="C0E6F5"/>
            <w:noWrap/>
            <w:vAlign w:val="center"/>
            <w:hideMark/>
          </w:tcPr>
          <w:p w14:paraId="02723C29"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260,62</w:t>
            </w:r>
          </w:p>
        </w:tc>
        <w:tc>
          <w:tcPr>
            <w:tcW w:w="800" w:type="dxa"/>
            <w:tcBorders>
              <w:top w:val="nil"/>
              <w:left w:val="single" w:sz="8" w:space="0" w:color="auto"/>
              <w:bottom w:val="single" w:sz="4" w:space="0" w:color="auto"/>
              <w:right w:val="single" w:sz="4" w:space="0" w:color="auto"/>
            </w:tcBorders>
            <w:noWrap/>
            <w:vAlign w:val="center"/>
            <w:hideMark/>
          </w:tcPr>
          <w:p w14:paraId="737A94B5"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40A7DD37"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02DE6252"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0,0 </w:t>
            </w:r>
          </w:p>
        </w:tc>
        <w:tc>
          <w:tcPr>
            <w:tcW w:w="800" w:type="dxa"/>
            <w:tcBorders>
              <w:top w:val="nil"/>
              <w:left w:val="nil"/>
              <w:bottom w:val="single" w:sz="4" w:space="0" w:color="auto"/>
              <w:right w:val="single" w:sz="4" w:space="0" w:color="auto"/>
            </w:tcBorders>
            <w:noWrap/>
            <w:vAlign w:val="center"/>
            <w:hideMark/>
          </w:tcPr>
          <w:p w14:paraId="286EA760"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3817E193"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07358AC4"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224,65* </w:t>
            </w:r>
          </w:p>
        </w:tc>
      </w:tr>
      <w:tr w:rsidR="00EF4FD8" w:rsidRPr="0099704B" w14:paraId="5D8995E5" w14:textId="77777777" w:rsidTr="007C17C6">
        <w:trPr>
          <w:trHeight w:val="385"/>
        </w:trPr>
        <w:tc>
          <w:tcPr>
            <w:tcW w:w="1900" w:type="dxa"/>
            <w:tcBorders>
              <w:top w:val="nil"/>
              <w:left w:val="single" w:sz="8" w:space="0" w:color="auto"/>
              <w:bottom w:val="single" w:sz="4" w:space="0" w:color="auto"/>
              <w:right w:val="single" w:sz="8" w:space="0" w:color="auto"/>
            </w:tcBorders>
            <w:noWrap/>
            <w:vAlign w:val="center"/>
            <w:hideMark/>
          </w:tcPr>
          <w:p w14:paraId="5B8005FB" w14:textId="77777777" w:rsidR="00EF4FD8" w:rsidRPr="000A5982" w:rsidRDefault="00EF4FD8" w:rsidP="007C17C6">
            <w:pPr>
              <w:rPr>
                <w:rFonts w:ascii="Cambria" w:hAnsi="Cambria"/>
                <w:sz w:val="20"/>
                <w:szCs w:val="20"/>
              </w:rPr>
            </w:pPr>
            <w:r w:rsidRPr="000A5982">
              <w:rPr>
                <w:rFonts w:ascii="Cambria" w:eastAsia="Aptos" w:hAnsi="Cambria"/>
                <w:kern w:val="2"/>
                <w:sz w:val="20"/>
                <w:szCs w:val="20"/>
                <w14:ligatures w14:val="standardContextual"/>
              </w:rPr>
              <w:t>Panamá</w:t>
            </w:r>
          </w:p>
        </w:tc>
        <w:tc>
          <w:tcPr>
            <w:tcW w:w="800" w:type="dxa"/>
            <w:tcBorders>
              <w:top w:val="nil"/>
              <w:left w:val="nil"/>
              <w:bottom w:val="single" w:sz="4" w:space="0" w:color="auto"/>
              <w:right w:val="single" w:sz="4" w:space="0" w:color="auto"/>
            </w:tcBorders>
            <w:noWrap/>
            <w:vAlign w:val="center"/>
            <w:hideMark/>
          </w:tcPr>
          <w:p w14:paraId="59724E17"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112AB561"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nil"/>
            </w:tcBorders>
            <w:shd w:val="clear" w:color="000000" w:fill="C0E6F5"/>
            <w:noWrap/>
            <w:vAlign w:val="center"/>
            <w:hideMark/>
          </w:tcPr>
          <w:p w14:paraId="2E7D08BB"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single" w:sz="8" w:space="0" w:color="auto"/>
              <w:bottom w:val="single" w:sz="4" w:space="0" w:color="auto"/>
              <w:right w:val="single" w:sz="4" w:space="0" w:color="auto"/>
            </w:tcBorders>
            <w:noWrap/>
            <w:vAlign w:val="center"/>
            <w:hideMark/>
          </w:tcPr>
          <w:p w14:paraId="0DC4B425"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4E3FAA7C"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7B7C35FA"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672FBD57"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0,09</w:t>
            </w:r>
          </w:p>
        </w:tc>
        <w:tc>
          <w:tcPr>
            <w:tcW w:w="800" w:type="dxa"/>
            <w:tcBorders>
              <w:top w:val="nil"/>
              <w:left w:val="nil"/>
              <w:bottom w:val="single" w:sz="4" w:space="0" w:color="auto"/>
              <w:right w:val="single" w:sz="4" w:space="0" w:color="auto"/>
            </w:tcBorders>
            <w:noWrap/>
            <w:vAlign w:val="center"/>
            <w:hideMark/>
          </w:tcPr>
          <w:p w14:paraId="2D7FA6D2"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152F9591"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r>
      <w:tr w:rsidR="00EF4FD8" w:rsidRPr="0099704B" w14:paraId="5DD96EEF" w14:textId="77777777" w:rsidTr="007C17C6">
        <w:trPr>
          <w:trHeight w:val="385"/>
        </w:trPr>
        <w:tc>
          <w:tcPr>
            <w:tcW w:w="1900" w:type="dxa"/>
            <w:tcBorders>
              <w:top w:val="nil"/>
              <w:left w:val="single" w:sz="8" w:space="0" w:color="auto"/>
              <w:bottom w:val="single" w:sz="4" w:space="0" w:color="auto"/>
              <w:right w:val="single" w:sz="8" w:space="0" w:color="auto"/>
            </w:tcBorders>
            <w:noWrap/>
            <w:vAlign w:val="center"/>
            <w:hideMark/>
          </w:tcPr>
          <w:p w14:paraId="02485134" w14:textId="77777777" w:rsidR="00EF4FD8" w:rsidRPr="000A5982" w:rsidRDefault="00EF4FD8" w:rsidP="007C17C6">
            <w:pPr>
              <w:rPr>
                <w:rFonts w:ascii="Cambria" w:hAnsi="Cambria"/>
                <w:sz w:val="20"/>
                <w:szCs w:val="20"/>
              </w:rPr>
            </w:pPr>
            <w:r w:rsidRPr="000A5982">
              <w:rPr>
                <w:rFonts w:ascii="Cambria" w:eastAsia="Aptos" w:hAnsi="Cambria"/>
                <w:kern w:val="2"/>
                <w:sz w:val="20"/>
                <w:szCs w:val="20"/>
                <w14:ligatures w14:val="standardContextual"/>
              </w:rPr>
              <w:t>Filipinas</w:t>
            </w:r>
          </w:p>
        </w:tc>
        <w:tc>
          <w:tcPr>
            <w:tcW w:w="800" w:type="dxa"/>
            <w:tcBorders>
              <w:top w:val="nil"/>
              <w:left w:val="nil"/>
              <w:bottom w:val="single" w:sz="4" w:space="0" w:color="auto"/>
              <w:right w:val="single" w:sz="4" w:space="0" w:color="auto"/>
            </w:tcBorders>
            <w:noWrap/>
            <w:vAlign w:val="center"/>
            <w:hideMark/>
          </w:tcPr>
          <w:p w14:paraId="2B5FF7A8"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1BACB19E"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nil"/>
            </w:tcBorders>
            <w:shd w:val="clear" w:color="000000" w:fill="C0E6F5"/>
            <w:noWrap/>
            <w:vAlign w:val="center"/>
            <w:hideMark/>
          </w:tcPr>
          <w:p w14:paraId="4B26ACC0"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single" w:sz="8" w:space="0" w:color="auto"/>
              <w:bottom w:val="single" w:sz="4" w:space="0" w:color="auto"/>
              <w:right w:val="single" w:sz="4" w:space="0" w:color="auto"/>
            </w:tcBorders>
            <w:noWrap/>
            <w:vAlign w:val="center"/>
            <w:hideMark/>
          </w:tcPr>
          <w:p w14:paraId="25BE1DFD"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09913D64"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23ECEDF0"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5370C409"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281D81C9"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0F08C0CF"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r>
      <w:tr w:rsidR="00EF4FD8" w:rsidRPr="0099704B" w14:paraId="289AD323" w14:textId="77777777" w:rsidTr="007C17C6">
        <w:trPr>
          <w:trHeight w:val="385"/>
        </w:trPr>
        <w:tc>
          <w:tcPr>
            <w:tcW w:w="1900" w:type="dxa"/>
            <w:tcBorders>
              <w:top w:val="nil"/>
              <w:left w:val="single" w:sz="8" w:space="0" w:color="auto"/>
              <w:bottom w:val="single" w:sz="4" w:space="0" w:color="auto"/>
              <w:right w:val="single" w:sz="8" w:space="0" w:color="auto"/>
            </w:tcBorders>
            <w:noWrap/>
            <w:vAlign w:val="center"/>
            <w:hideMark/>
          </w:tcPr>
          <w:p w14:paraId="7981A754" w14:textId="77777777" w:rsidR="00EF4FD8" w:rsidRPr="000A5982" w:rsidRDefault="00EF4FD8" w:rsidP="007C17C6">
            <w:pPr>
              <w:rPr>
                <w:rFonts w:ascii="Cambria" w:hAnsi="Cambria"/>
                <w:sz w:val="20"/>
                <w:szCs w:val="20"/>
              </w:rPr>
            </w:pPr>
            <w:r w:rsidRPr="000A5982">
              <w:rPr>
                <w:rFonts w:ascii="Cambria" w:eastAsia="Aptos" w:hAnsi="Cambria"/>
                <w:kern w:val="2"/>
                <w:sz w:val="20"/>
                <w:szCs w:val="20"/>
                <w14:ligatures w14:val="standardContextual"/>
              </w:rPr>
              <w:t>Senegal</w:t>
            </w:r>
          </w:p>
        </w:tc>
        <w:tc>
          <w:tcPr>
            <w:tcW w:w="800" w:type="dxa"/>
            <w:tcBorders>
              <w:top w:val="nil"/>
              <w:left w:val="nil"/>
              <w:bottom w:val="single" w:sz="4" w:space="0" w:color="auto"/>
              <w:right w:val="single" w:sz="4" w:space="0" w:color="auto"/>
            </w:tcBorders>
            <w:noWrap/>
            <w:vAlign w:val="center"/>
            <w:hideMark/>
          </w:tcPr>
          <w:p w14:paraId="7DFD3FEB"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778A04B1"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nil"/>
            </w:tcBorders>
            <w:shd w:val="clear" w:color="000000" w:fill="C0E6F5"/>
            <w:noWrap/>
            <w:vAlign w:val="center"/>
            <w:hideMark/>
          </w:tcPr>
          <w:p w14:paraId="04E2F0EB"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single" w:sz="8" w:space="0" w:color="auto"/>
              <w:bottom w:val="single" w:sz="4" w:space="0" w:color="auto"/>
              <w:right w:val="single" w:sz="4" w:space="0" w:color="auto"/>
            </w:tcBorders>
            <w:noWrap/>
            <w:vAlign w:val="center"/>
            <w:hideMark/>
          </w:tcPr>
          <w:p w14:paraId="1141092B"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07096707"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0EC2380F"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4BED59FC"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6BA1FDC6"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40917DFB"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r>
      <w:tr w:rsidR="00EF4FD8" w:rsidRPr="0099704B" w14:paraId="71CBA3A5" w14:textId="77777777" w:rsidTr="007C17C6">
        <w:trPr>
          <w:trHeight w:val="385"/>
        </w:trPr>
        <w:tc>
          <w:tcPr>
            <w:tcW w:w="1900" w:type="dxa"/>
            <w:tcBorders>
              <w:top w:val="nil"/>
              <w:left w:val="single" w:sz="8" w:space="0" w:color="auto"/>
              <w:bottom w:val="single" w:sz="4" w:space="0" w:color="auto"/>
              <w:right w:val="single" w:sz="8" w:space="0" w:color="auto"/>
            </w:tcBorders>
            <w:noWrap/>
            <w:vAlign w:val="center"/>
            <w:hideMark/>
          </w:tcPr>
          <w:p w14:paraId="56A2AE18" w14:textId="77777777" w:rsidR="00EF4FD8" w:rsidRPr="000A5982" w:rsidRDefault="00EF4FD8" w:rsidP="007C17C6">
            <w:pPr>
              <w:rPr>
                <w:rFonts w:ascii="Cambria" w:hAnsi="Cambria"/>
                <w:sz w:val="20"/>
                <w:szCs w:val="20"/>
              </w:rPr>
            </w:pPr>
            <w:r w:rsidRPr="000A5982">
              <w:rPr>
                <w:rFonts w:ascii="Cambria" w:eastAsia="Aptos" w:hAnsi="Cambria"/>
                <w:kern w:val="2"/>
                <w:sz w:val="20"/>
                <w:szCs w:val="20"/>
                <w14:ligatures w14:val="standardContextual"/>
              </w:rPr>
              <w:t>Sudáfrica</w:t>
            </w:r>
          </w:p>
        </w:tc>
        <w:tc>
          <w:tcPr>
            <w:tcW w:w="800" w:type="dxa"/>
            <w:tcBorders>
              <w:top w:val="nil"/>
              <w:left w:val="nil"/>
              <w:bottom w:val="single" w:sz="4" w:space="0" w:color="auto"/>
              <w:right w:val="single" w:sz="4" w:space="0" w:color="auto"/>
            </w:tcBorders>
            <w:noWrap/>
            <w:vAlign w:val="center"/>
            <w:hideMark/>
          </w:tcPr>
          <w:p w14:paraId="39FDBA64"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96,00</w:t>
            </w:r>
          </w:p>
        </w:tc>
        <w:tc>
          <w:tcPr>
            <w:tcW w:w="800" w:type="dxa"/>
            <w:tcBorders>
              <w:top w:val="nil"/>
              <w:left w:val="nil"/>
              <w:bottom w:val="single" w:sz="4" w:space="0" w:color="auto"/>
              <w:right w:val="single" w:sz="4" w:space="0" w:color="auto"/>
            </w:tcBorders>
            <w:noWrap/>
            <w:vAlign w:val="center"/>
            <w:hideMark/>
          </w:tcPr>
          <w:p w14:paraId="55E468D7"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139,60</w:t>
            </w:r>
          </w:p>
        </w:tc>
        <w:tc>
          <w:tcPr>
            <w:tcW w:w="800" w:type="dxa"/>
            <w:tcBorders>
              <w:top w:val="nil"/>
              <w:left w:val="nil"/>
              <w:bottom w:val="single" w:sz="4" w:space="0" w:color="auto"/>
              <w:right w:val="nil"/>
            </w:tcBorders>
            <w:shd w:val="clear" w:color="000000" w:fill="C0E6F5"/>
            <w:noWrap/>
            <w:vAlign w:val="center"/>
            <w:hideMark/>
          </w:tcPr>
          <w:p w14:paraId="3696EA21"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90,22</w:t>
            </w:r>
          </w:p>
        </w:tc>
        <w:tc>
          <w:tcPr>
            <w:tcW w:w="800" w:type="dxa"/>
            <w:tcBorders>
              <w:top w:val="nil"/>
              <w:left w:val="single" w:sz="8" w:space="0" w:color="auto"/>
              <w:bottom w:val="single" w:sz="4" w:space="0" w:color="auto"/>
              <w:right w:val="single" w:sz="4" w:space="0" w:color="auto"/>
            </w:tcBorders>
            <w:noWrap/>
            <w:vAlign w:val="center"/>
            <w:hideMark/>
          </w:tcPr>
          <w:p w14:paraId="56A0CEA7"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0,00</w:t>
            </w:r>
          </w:p>
        </w:tc>
        <w:tc>
          <w:tcPr>
            <w:tcW w:w="800" w:type="dxa"/>
            <w:tcBorders>
              <w:top w:val="nil"/>
              <w:left w:val="nil"/>
              <w:bottom w:val="single" w:sz="4" w:space="0" w:color="auto"/>
              <w:right w:val="single" w:sz="4" w:space="0" w:color="auto"/>
            </w:tcBorders>
            <w:noWrap/>
            <w:vAlign w:val="center"/>
            <w:hideMark/>
          </w:tcPr>
          <w:p w14:paraId="7224AE43"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0,00</w:t>
            </w:r>
          </w:p>
        </w:tc>
        <w:tc>
          <w:tcPr>
            <w:tcW w:w="800" w:type="dxa"/>
            <w:tcBorders>
              <w:top w:val="nil"/>
              <w:left w:val="nil"/>
              <w:bottom w:val="single" w:sz="4" w:space="0" w:color="auto"/>
              <w:right w:val="single" w:sz="8" w:space="0" w:color="auto"/>
            </w:tcBorders>
            <w:shd w:val="clear" w:color="000000" w:fill="C0E6F5"/>
            <w:noWrap/>
            <w:vAlign w:val="center"/>
            <w:hideMark/>
          </w:tcPr>
          <w:p w14:paraId="043E3921"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17,00</w:t>
            </w:r>
          </w:p>
        </w:tc>
        <w:tc>
          <w:tcPr>
            <w:tcW w:w="800" w:type="dxa"/>
            <w:tcBorders>
              <w:top w:val="nil"/>
              <w:left w:val="nil"/>
              <w:bottom w:val="single" w:sz="4" w:space="0" w:color="auto"/>
              <w:right w:val="single" w:sz="4" w:space="0" w:color="auto"/>
            </w:tcBorders>
            <w:noWrap/>
            <w:vAlign w:val="center"/>
            <w:hideMark/>
          </w:tcPr>
          <w:p w14:paraId="622252F8"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0,07</w:t>
            </w:r>
          </w:p>
        </w:tc>
        <w:tc>
          <w:tcPr>
            <w:tcW w:w="800" w:type="dxa"/>
            <w:tcBorders>
              <w:top w:val="nil"/>
              <w:left w:val="nil"/>
              <w:bottom w:val="single" w:sz="4" w:space="0" w:color="auto"/>
              <w:right w:val="single" w:sz="4" w:space="0" w:color="auto"/>
            </w:tcBorders>
            <w:noWrap/>
            <w:vAlign w:val="center"/>
            <w:hideMark/>
          </w:tcPr>
          <w:p w14:paraId="59D5E5D5"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4,32</w:t>
            </w:r>
          </w:p>
        </w:tc>
        <w:tc>
          <w:tcPr>
            <w:tcW w:w="800" w:type="dxa"/>
            <w:tcBorders>
              <w:top w:val="nil"/>
              <w:left w:val="nil"/>
              <w:bottom w:val="single" w:sz="4" w:space="0" w:color="auto"/>
              <w:right w:val="single" w:sz="8" w:space="0" w:color="auto"/>
            </w:tcBorders>
            <w:shd w:val="clear" w:color="000000" w:fill="C0E6F5"/>
            <w:noWrap/>
            <w:vAlign w:val="center"/>
            <w:hideMark/>
          </w:tcPr>
          <w:p w14:paraId="7DDF123D"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1,00</w:t>
            </w:r>
          </w:p>
        </w:tc>
      </w:tr>
      <w:tr w:rsidR="00EF4FD8" w:rsidRPr="0099704B" w14:paraId="46E5690C" w14:textId="77777777" w:rsidTr="007C17C6">
        <w:trPr>
          <w:trHeight w:val="385"/>
        </w:trPr>
        <w:tc>
          <w:tcPr>
            <w:tcW w:w="1900" w:type="dxa"/>
            <w:tcBorders>
              <w:top w:val="nil"/>
              <w:left w:val="single" w:sz="8" w:space="0" w:color="auto"/>
              <w:bottom w:val="single" w:sz="4" w:space="0" w:color="auto"/>
              <w:right w:val="single" w:sz="8" w:space="0" w:color="auto"/>
            </w:tcBorders>
            <w:noWrap/>
            <w:vAlign w:val="center"/>
            <w:hideMark/>
          </w:tcPr>
          <w:p w14:paraId="2C51E9F4" w14:textId="77777777" w:rsidR="00EF4FD8" w:rsidRPr="000A5982" w:rsidRDefault="00EF4FD8" w:rsidP="007C17C6">
            <w:pPr>
              <w:rPr>
                <w:rFonts w:ascii="Cambria" w:hAnsi="Cambria"/>
                <w:sz w:val="20"/>
                <w:szCs w:val="20"/>
              </w:rPr>
            </w:pPr>
            <w:r w:rsidRPr="000A5982">
              <w:rPr>
                <w:rFonts w:ascii="Cambria" w:eastAsia="Aptos" w:hAnsi="Cambria"/>
                <w:kern w:val="2"/>
                <w:sz w:val="20"/>
                <w:szCs w:val="20"/>
                <w14:ligatures w14:val="standardContextual"/>
              </w:rPr>
              <w:t>Reino Unido - Santa Elena</w:t>
            </w:r>
          </w:p>
        </w:tc>
        <w:tc>
          <w:tcPr>
            <w:tcW w:w="800" w:type="dxa"/>
            <w:tcBorders>
              <w:top w:val="nil"/>
              <w:left w:val="nil"/>
              <w:bottom w:val="single" w:sz="4" w:space="0" w:color="auto"/>
              <w:right w:val="single" w:sz="4" w:space="0" w:color="auto"/>
            </w:tcBorders>
            <w:noWrap/>
            <w:vAlign w:val="center"/>
            <w:hideMark/>
          </w:tcPr>
          <w:p w14:paraId="5D88F69A"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0,00</w:t>
            </w:r>
          </w:p>
        </w:tc>
        <w:tc>
          <w:tcPr>
            <w:tcW w:w="800" w:type="dxa"/>
            <w:tcBorders>
              <w:top w:val="nil"/>
              <w:left w:val="nil"/>
              <w:bottom w:val="single" w:sz="4" w:space="0" w:color="auto"/>
              <w:right w:val="single" w:sz="4" w:space="0" w:color="auto"/>
            </w:tcBorders>
            <w:noWrap/>
            <w:vAlign w:val="center"/>
            <w:hideMark/>
          </w:tcPr>
          <w:p w14:paraId="6A695E4A"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0,00</w:t>
            </w:r>
          </w:p>
        </w:tc>
        <w:tc>
          <w:tcPr>
            <w:tcW w:w="800" w:type="dxa"/>
            <w:tcBorders>
              <w:top w:val="nil"/>
              <w:left w:val="nil"/>
              <w:bottom w:val="single" w:sz="4" w:space="0" w:color="auto"/>
              <w:right w:val="nil"/>
            </w:tcBorders>
            <w:shd w:val="clear" w:color="000000" w:fill="C0E6F5"/>
            <w:noWrap/>
            <w:vAlign w:val="center"/>
            <w:hideMark/>
          </w:tcPr>
          <w:p w14:paraId="67532FBF"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0,00</w:t>
            </w:r>
          </w:p>
        </w:tc>
        <w:tc>
          <w:tcPr>
            <w:tcW w:w="800" w:type="dxa"/>
            <w:tcBorders>
              <w:top w:val="nil"/>
              <w:left w:val="single" w:sz="8" w:space="0" w:color="auto"/>
              <w:bottom w:val="single" w:sz="4" w:space="0" w:color="auto"/>
              <w:right w:val="single" w:sz="4" w:space="0" w:color="auto"/>
            </w:tcBorders>
            <w:noWrap/>
            <w:vAlign w:val="center"/>
            <w:hideMark/>
          </w:tcPr>
          <w:p w14:paraId="7D5B9DAE"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3EBD209C"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7898D902"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1ACA27DA"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0,00</w:t>
            </w:r>
          </w:p>
        </w:tc>
        <w:tc>
          <w:tcPr>
            <w:tcW w:w="800" w:type="dxa"/>
            <w:tcBorders>
              <w:top w:val="nil"/>
              <w:left w:val="nil"/>
              <w:bottom w:val="single" w:sz="4" w:space="0" w:color="auto"/>
              <w:right w:val="single" w:sz="4" w:space="0" w:color="auto"/>
            </w:tcBorders>
            <w:noWrap/>
            <w:vAlign w:val="center"/>
            <w:hideMark/>
          </w:tcPr>
          <w:p w14:paraId="58678F11"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0,02</w:t>
            </w:r>
          </w:p>
        </w:tc>
        <w:tc>
          <w:tcPr>
            <w:tcW w:w="800" w:type="dxa"/>
            <w:tcBorders>
              <w:top w:val="nil"/>
              <w:left w:val="nil"/>
              <w:bottom w:val="single" w:sz="4" w:space="0" w:color="auto"/>
              <w:right w:val="single" w:sz="8" w:space="0" w:color="auto"/>
            </w:tcBorders>
            <w:shd w:val="clear" w:color="000000" w:fill="C0E6F5"/>
            <w:noWrap/>
            <w:vAlign w:val="center"/>
            <w:hideMark/>
          </w:tcPr>
          <w:p w14:paraId="17E853D9"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r>
      <w:tr w:rsidR="00EF4FD8" w:rsidRPr="0099704B" w14:paraId="6C50ABEF" w14:textId="77777777" w:rsidTr="007C17C6">
        <w:trPr>
          <w:trHeight w:val="385"/>
        </w:trPr>
        <w:tc>
          <w:tcPr>
            <w:tcW w:w="1900" w:type="dxa"/>
            <w:tcBorders>
              <w:top w:val="nil"/>
              <w:left w:val="single" w:sz="8" w:space="0" w:color="auto"/>
              <w:bottom w:val="single" w:sz="4" w:space="0" w:color="auto"/>
              <w:right w:val="single" w:sz="8" w:space="0" w:color="auto"/>
            </w:tcBorders>
            <w:noWrap/>
            <w:vAlign w:val="center"/>
            <w:hideMark/>
          </w:tcPr>
          <w:p w14:paraId="69FBDA8E" w14:textId="77777777" w:rsidR="00EF4FD8" w:rsidRPr="000A5982" w:rsidRDefault="00EF4FD8" w:rsidP="007C17C6">
            <w:pPr>
              <w:rPr>
                <w:rFonts w:ascii="Cambria" w:hAnsi="Cambria"/>
                <w:sz w:val="20"/>
                <w:szCs w:val="20"/>
              </w:rPr>
            </w:pPr>
            <w:r w:rsidRPr="000A5982">
              <w:rPr>
                <w:rFonts w:ascii="Cambria" w:eastAsia="Aptos" w:hAnsi="Cambria"/>
                <w:kern w:val="2"/>
                <w:sz w:val="20"/>
                <w:szCs w:val="20"/>
                <w14:ligatures w14:val="standardContextual"/>
              </w:rPr>
              <w:t>Uruguay</w:t>
            </w:r>
          </w:p>
        </w:tc>
        <w:tc>
          <w:tcPr>
            <w:tcW w:w="800" w:type="dxa"/>
            <w:tcBorders>
              <w:top w:val="nil"/>
              <w:left w:val="nil"/>
              <w:bottom w:val="single" w:sz="4" w:space="0" w:color="auto"/>
              <w:right w:val="single" w:sz="4" w:space="0" w:color="auto"/>
            </w:tcBorders>
            <w:noWrap/>
            <w:vAlign w:val="center"/>
            <w:hideMark/>
          </w:tcPr>
          <w:p w14:paraId="7DFC7AAF"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0,00</w:t>
            </w:r>
          </w:p>
        </w:tc>
        <w:tc>
          <w:tcPr>
            <w:tcW w:w="800" w:type="dxa"/>
            <w:tcBorders>
              <w:top w:val="nil"/>
              <w:left w:val="nil"/>
              <w:bottom w:val="single" w:sz="4" w:space="0" w:color="auto"/>
              <w:right w:val="single" w:sz="4" w:space="0" w:color="auto"/>
            </w:tcBorders>
            <w:noWrap/>
            <w:vAlign w:val="center"/>
            <w:hideMark/>
          </w:tcPr>
          <w:p w14:paraId="59FB8A80"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0,00</w:t>
            </w:r>
          </w:p>
        </w:tc>
        <w:tc>
          <w:tcPr>
            <w:tcW w:w="800" w:type="dxa"/>
            <w:tcBorders>
              <w:top w:val="nil"/>
              <w:left w:val="nil"/>
              <w:bottom w:val="single" w:sz="4" w:space="0" w:color="auto"/>
              <w:right w:val="nil"/>
            </w:tcBorders>
            <w:shd w:val="clear" w:color="000000" w:fill="C0E6F5"/>
            <w:noWrap/>
            <w:vAlign w:val="center"/>
            <w:hideMark/>
          </w:tcPr>
          <w:p w14:paraId="21FD4551"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0,00</w:t>
            </w:r>
          </w:p>
        </w:tc>
        <w:tc>
          <w:tcPr>
            <w:tcW w:w="800" w:type="dxa"/>
            <w:tcBorders>
              <w:top w:val="nil"/>
              <w:left w:val="single" w:sz="8" w:space="0" w:color="auto"/>
              <w:bottom w:val="single" w:sz="4" w:space="0" w:color="auto"/>
              <w:right w:val="single" w:sz="4" w:space="0" w:color="auto"/>
            </w:tcBorders>
            <w:noWrap/>
            <w:vAlign w:val="center"/>
            <w:hideMark/>
          </w:tcPr>
          <w:p w14:paraId="0C58EEB9"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4ACAEED2"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6638D04B"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2C9BBD91"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4" w:space="0" w:color="auto"/>
            </w:tcBorders>
            <w:noWrap/>
            <w:vAlign w:val="center"/>
            <w:hideMark/>
          </w:tcPr>
          <w:p w14:paraId="6DC421DD"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c>
          <w:tcPr>
            <w:tcW w:w="800" w:type="dxa"/>
            <w:tcBorders>
              <w:top w:val="nil"/>
              <w:left w:val="nil"/>
              <w:bottom w:val="single" w:sz="4" w:space="0" w:color="auto"/>
              <w:right w:val="single" w:sz="8" w:space="0" w:color="auto"/>
            </w:tcBorders>
            <w:shd w:val="clear" w:color="000000" w:fill="C0E6F5"/>
            <w:noWrap/>
            <w:vAlign w:val="center"/>
            <w:hideMark/>
          </w:tcPr>
          <w:p w14:paraId="18541259"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 </w:t>
            </w:r>
          </w:p>
        </w:tc>
      </w:tr>
      <w:tr w:rsidR="00EF4FD8" w:rsidRPr="0099704B" w14:paraId="3FD74B3A" w14:textId="77777777" w:rsidTr="007C17C6">
        <w:trPr>
          <w:trHeight w:val="385"/>
        </w:trPr>
        <w:tc>
          <w:tcPr>
            <w:tcW w:w="1900" w:type="dxa"/>
            <w:tcBorders>
              <w:top w:val="nil"/>
              <w:left w:val="single" w:sz="8" w:space="0" w:color="auto"/>
              <w:bottom w:val="single" w:sz="8" w:space="0" w:color="auto"/>
              <w:right w:val="single" w:sz="8" w:space="0" w:color="auto"/>
            </w:tcBorders>
            <w:shd w:val="clear" w:color="000000" w:fill="D9D9D9"/>
            <w:noWrap/>
            <w:vAlign w:val="center"/>
            <w:hideMark/>
          </w:tcPr>
          <w:p w14:paraId="6DE0D43A" w14:textId="77777777" w:rsidR="00EF4FD8" w:rsidRPr="000A5982" w:rsidRDefault="00EF4FD8" w:rsidP="007C17C6">
            <w:pPr>
              <w:jc w:val="center"/>
              <w:rPr>
                <w:rFonts w:ascii="Cambria" w:hAnsi="Cambria"/>
                <w:b/>
                <w:bCs/>
                <w:sz w:val="20"/>
                <w:szCs w:val="20"/>
              </w:rPr>
            </w:pPr>
            <w:r w:rsidRPr="000A5982">
              <w:rPr>
                <w:rFonts w:ascii="Cambria" w:eastAsia="Aptos" w:hAnsi="Cambria"/>
                <w:b/>
                <w:kern w:val="2"/>
                <w:sz w:val="20"/>
                <w:szCs w:val="20"/>
                <w14:ligatures w14:val="standardContextual"/>
              </w:rPr>
              <w:t>TOTAL</w:t>
            </w:r>
          </w:p>
        </w:tc>
        <w:tc>
          <w:tcPr>
            <w:tcW w:w="800" w:type="dxa"/>
            <w:tcBorders>
              <w:top w:val="nil"/>
              <w:left w:val="nil"/>
              <w:bottom w:val="single" w:sz="8" w:space="0" w:color="auto"/>
              <w:right w:val="single" w:sz="4" w:space="0" w:color="auto"/>
            </w:tcBorders>
            <w:shd w:val="clear" w:color="000000" w:fill="D9D9D9"/>
            <w:noWrap/>
            <w:vAlign w:val="center"/>
            <w:hideMark/>
          </w:tcPr>
          <w:p w14:paraId="653A9E31"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778,08</w:t>
            </w:r>
          </w:p>
        </w:tc>
        <w:tc>
          <w:tcPr>
            <w:tcW w:w="800" w:type="dxa"/>
            <w:tcBorders>
              <w:top w:val="nil"/>
              <w:left w:val="nil"/>
              <w:bottom w:val="single" w:sz="8" w:space="0" w:color="auto"/>
              <w:right w:val="single" w:sz="4" w:space="0" w:color="auto"/>
            </w:tcBorders>
            <w:shd w:val="clear" w:color="000000" w:fill="D9D9D9"/>
            <w:noWrap/>
            <w:vAlign w:val="center"/>
            <w:hideMark/>
          </w:tcPr>
          <w:p w14:paraId="14D3B803"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430,61</w:t>
            </w:r>
          </w:p>
        </w:tc>
        <w:tc>
          <w:tcPr>
            <w:tcW w:w="800" w:type="dxa"/>
            <w:tcBorders>
              <w:top w:val="nil"/>
              <w:left w:val="nil"/>
              <w:bottom w:val="single" w:sz="8" w:space="0" w:color="auto"/>
              <w:right w:val="nil"/>
            </w:tcBorders>
            <w:shd w:val="clear" w:color="000000" w:fill="C0E6F5"/>
            <w:noWrap/>
            <w:vAlign w:val="center"/>
            <w:hideMark/>
          </w:tcPr>
          <w:p w14:paraId="19470862"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364,90</w:t>
            </w:r>
          </w:p>
        </w:tc>
        <w:tc>
          <w:tcPr>
            <w:tcW w:w="800" w:type="dxa"/>
            <w:tcBorders>
              <w:top w:val="nil"/>
              <w:left w:val="single" w:sz="8" w:space="0" w:color="auto"/>
              <w:bottom w:val="single" w:sz="8" w:space="0" w:color="auto"/>
              <w:right w:val="single" w:sz="4" w:space="0" w:color="auto"/>
            </w:tcBorders>
            <w:shd w:val="clear" w:color="000000" w:fill="D9D9D9"/>
            <w:noWrap/>
            <w:vAlign w:val="center"/>
            <w:hideMark/>
          </w:tcPr>
          <w:p w14:paraId="55196168"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222,36</w:t>
            </w:r>
          </w:p>
        </w:tc>
        <w:tc>
          <w:tcPr>
            <w:tcW w:w="800" w:type="dxa"/>
            <w:tcBorders>
              <w:top w:val="nil"/>
              <w:left w:val="nil"/>
              <w:bottom w:val="single" w:sz="8" w:space="0" w:color="auto"/>
              <w:right w:val="single" w:sz="4" w:space="0" w:color="auto"/>
            </w:tcBorders>
            <w:shd w:val="clear" w:color="000000" w:fill="D9D9D9"/>
            <w:noWrap/>
            <w:vAlign w:val="center"/>
            <w:hideMark/>
          </w:tcPr>
          <w:p w14:paraId="49BAA966"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308,54</w:t>
            </w:r>
          </w:p>
        </w:tc>
        <w:tc>
          <w:tcPr>
            <w:tcW w:w="800" w:type="dxa"/>
            <w:tcBorders>
              <w:top w:val="nil"/>
              <w:left w:val="nil"/>
              <w:bottom w:val="single" w:sz="8" w:space="0" w:color="auto"/>
              <w:right w:val="single" w:sz="8" w:space="0" w:color="auto"/>
            </w:tcBorders>
            <w:shd w:val="clear" w:color="000000" w:fill="C0E6F5"/>
            <w:noWrap/>
            <w:vAlign w:val="center"/>
            <w:hideMark/>
          </w:tcPr>
          <w:p w14:paraId="190186FF"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319,70</w:t>
            </w:r>
          </w:p>
        </w:tc>
        <w:tc>
          <w:tcPr>
            <w:tcW w:w="800" w:type="dxa"/>
            <w:tcBorders>
              <w:top w:val="nil"/>
              <w:left w:val="nil"/>
              <w:bottom w:val="single" w:sz="8" w:space="0" w:color="auto"/>
              <w:right w:val="single" w:sz="4" w:space="0" w:color="auto"/>
            </w:tcBorders>
            <w:shd w:val="clear" w:color="000000" w:fill="D9D9D9"/>
            <w:noWrap/>
            <w:vAlign w:val="center"/>
            <w:hideMark/>
          </w:tcPr>
          <w:p w14:paraId="6AA4AF6A"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175,19</w:t>
            </w:r>
          </w:p>
        </w:tc>
        <w:tc>
          <w:tcPr>
            <w:tcW w:w="800" w:type="dxa"/>
            <w:tcBorders>
              <w:top w:val="nil"/>
              <w:left w:val="nil"/>
              <w:bottom w:val="single" w:sz="8" w:space="0" w:color="auto"/>
              <w:right w:val="single" w:sz="4" w:space="0" w:color="auto"/>
            </w:tcBorders>
            <w:shd w:val="clear" w:color="000000" w:fill="D9D9D9"/>
            <w:noWrap/>
            <w:vAlign w:val="center"/>
            <w:hideMark/>
          </w:tcPr>
          <w:p w14:paraId="4AEA59FC"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204,72</w:t>
            </w:r>
          </w:p>
        </w:tc>
        <w:tc>
          <w:tcPr>
            <w:tcW w:w="800" w:type="dxa"/>
            <w:tcBorders>
              <w:top w:val="nil"/>
              <w:left w:val="nil"/>
              <w:bottom w:val="single" w:sz="8" w:space="0" w:color="auto"/>
              <w:right w:val="single" w:sz="8" w:space="0" w:color="auto"/>
            </w:tcBorders>
            <w:shd w:val="clear" w:color="000000" w:fill="C0E6F5"/>
            <w:noWrap/>
            <w:vAlign w:val="center"/>
            <w:hideMark/>
          </w:tcPr>
          <w:p w14:paraId="1B8B08A4" w14:textId="77777777" w:rsidR="00EF4FD8" w:rsidRPr="000A5982" w:rsidRDefault="00EF4FD8" w:rsidP="007C17C6">
            <w:pPr>
              <w:jc w:val="center"/>
              <w:rPr>
                <w:rFonts w:ascii="Cambria" w:hAnsi="Cambria"/>
                <w:sz w:val="20"/>
                <w:szCs w:val="20"/>
              </w:rPr>
            </w:pPr>
            <w:r w:rsidRPr="000A5982">
              <w:rPr>
                <w:rFonts w:ascii="Cambria" w:eastAsia="Aptos" w:hAnsi="Cambria"/>
                <w:kern w:val="2"/>
                <w:sz w:val="20"/>
                <w:szCs w:val="20"/>
                <w14:ligatures w14:val="standardContextual"/>
              </w:rPr>
              <w:t>368,09</w:t>
            </w:r>
          </w:p>
        </w:tc>
      </w:tr>
    </w:tbl>
    <w:p w14:paraId="416DCD22" w14:textId="77777777" w:rsidR="00EF4FD8" w:rsidRPr="000A5982" w:rsidRDefault="00EF4FD8" w:rsidP="00EF4FD8">
      <w:pPr>
        <w:jc w:val="both"/>
        <w:rPr>
          <w:rFonts w:ascii="Cambria" w:eastAsia="Aptos" w:hAnsi="Cambria"/>
          <w:bCs/>
          <w:iCs/>
          <w:kern w:val="2"/>
          <w:sz w:val="16"/>
          <w:szCs w:val="20"/>
          <w14:ligatures w14:val="standardContextual"/>
        </w:rPr>
      </w:pPr>
      <w:r w:rsidRPr="000A5982">
        <w:rPr>
          <w:rFonts w:ascii="Cambria" w:eastAsia="Aptos" w:hAnsi="Cambria"/>
          <w:bCs/>
          <w:iCs/>
          <w:kern w:val="2"/>
          <w:sz w:val="16"/>
          <w:szCs w:val="20"/>
          <w14:ligatures w14:val="standardContextual"/>
        </w:rPr>
        <w:lastRenderedPageBreak/>
        <w:t>* Cantidad de liberaciones vivas de Namibia presentadas tras la fecha límite de envío de datos, pero que se confirmaron durante la sesión plenaria del SCRS para su inclusión en esta respuesta a la Comisión. Cabe señalar que los descartes de Namibia no se incluyen en ninguna otra tabla de pesquerías del presente informe.</w:t>
      </w:r>
    </w:p>
    <w:p w14:paraId="2C635BC2" w14:textId="77777777" w:rsidR="00EF4FD8" w:rsidRPr="000A5982" w:rsidRDefault="00EF4FD8" w:rsidP="00EF4FD8">
      <w:pPr>
        <w:jc w:val="both"/>
        <w:rPr>
          <w:rFonts w:ascii="Cambria" w:eastAsia="Aptos" w:hAnsi="Cambria"/>
          <w:b/>
          <w:i/>
          <w:kern w:val="2"/>
          <w:sz w:val="20"/>
          <w14:ligatures w14:val="standardContextual"/>
        </w:rPr>
      </w:pPr>
    </w:p>
    <w:p w14:paraId="7AC3E31C" w14:textId="77777777" w:rsidR="00EF4FD8" w:rsidRPr="000A5982" w:rsidRDefault="00EF4FD8" w:rsidP="00EF4FD8">
      <w:pPr>
        <w:jc w:val="both"/>
        <w:rPr>
          <w:rFonts w:ascii="Cambria" w:eastAsia="Aptos" w:hAnsi="Cambria"/>
          <w:b/>
          <w:i/>
          <w:iCs/>
          <w:kern w:val="2"/>
          <w:sz w:val="20"/>
          <w:szCs w:val="20"/>
          <w14:ligatures w14:val="standardContextual"/>
        </w:rPr>
      </w:pPr>
      <w:r w:rsidRPr="000A5982">
        <w:rPr>
          <w:rFonts w:ascii="Cambria" w:eastAsia="Aptos" w:hAnsi="Cambria"/>
          <w:b/>
          <w:i/>
          <w:kern w:val="2"/>
          <w:sz w:val="20"/>
          <w14:ligatures w14:val="standardContextual"/>
        </w:rPr>
        <w:t>Tolerancia de retención (t)</w:t>
      </w:r>
    </w:p>
    <w:p w14:paraId="47ECADDF" w14:textId="77777777" w:rsidR="00EF4FD8" w:rsidRPr="000A5982" w:rsidRDefault="00EF4FD8" w:rsidP="00EF4FD8">
      <w:pPr>
        <w:jc w:val="both"/>
        <w:rPr>
          <w:rFonts w:ascii="Cambria" w:eastAsia="Aptos" w:hAnsi="Cambria"/>
          <w:b/>
          <w:i/>
          <w:iCs/>
          <w:kern w:val="2"/>
          <w:sz w:val="20"/>
          <w:szCs w:val="20"/>
          <w14:ligatures w14:val="standardContextual"/>
        </w:rPr>
      </w:pPr>
    </w:p>
    <w:p w14:paraId="5DD711DC" w14:textId="77777777" w:rsidR="00EF4FD8" w:rsidRPr="000A5982" w:rsidRDefault="00EF4FD8" w:rsidP="00EF4FD8">
      <w:pPr>
        <w:jc w:val="both"/>
        <w:rPr>
          <w:rFonts w:ascii="Cambria" w:eastAsia="Aptos" w:hAnsi="Cambria"/>
          <w:bCs/>
          <w:kern w:val="2"/>
          <w:sz w:val="20"/>
          <w:szCs w:val="20"/>
          <w14:ligatures w14:val="standardContextual"/>
        </w:rPr>
      </w:pPr>
      <w:r w:rsidRPr="000A5982">
        <w:rPr>
          <w:rFonts w:ascii="Cambria" w:eastAsia="Aptos" w:hAnsi="Cambria"/>
          <w:kern w:val="2"/>
          <w:sz w:val="20"/>
          <w14:ligatures w14:val="standardContextual"/>
        </w:rPr>
        <w:t>Considerando todas las CPC, las estimaciones preliminares del Comité fueron las siguientes:</w:t>
      </w:r>
    </w:p>
    <w:p w14:paraId="1ED51A90" w14:textId="77777777" w:rsidR="00EF4FD8" w:rsidRPr="000A5982" w:rsidRDefault="00EF4FD8" w:rsidP="00EF4FD8">
      <w:pPr>
        <w:jc w:val="both"/>
        <w:rPr>
          <w:rFonts w:ascii="Cambria" w:eastAsia="Aptos" w:hAnsi="Cambria"/>
          <w:bCs/>
          <w:kern w:val="2"/>
          <w:sz w:val="20"/>
          <w:szCs w:val="20"/>
          <w14:ligatures w14:val="standardContextual"/>
        </w:rPr>
      </w:pPr>
    </w:p>
    <w:p w14:paraId="7068C087" w14:textId="77777777" w:rsidR="00EF4FD8" w:rsidRPr="000A5982" w:rsidRDefault="00EF4FD8" w:rsidP="00EF4FD8">
      <w:pPr>
        <w:widowControl w:val="0"/>
        <w:numPr>
          <w:ilvl w:val="0"/>
          <w:numId w:val="3"/>
        </w:numPr>
        <w:spacing w:after="160"/>
        <w:ind w:left="851" w:hanging="425"/>
        <w:jc w:val="both"/>
        <w:rPr>
          <w:rFonts w:ascii="Cambria" w:eastAsia="Aptos" w:hAnsi="Cambria"/>
          <w:bCs/>
          <w:kern w:val="2"/>
          <w:sz w:val="20"/>
          <w:szCs w:val="20"/>
          <w14:ligatures w14:val="standardContextual"/>
        </w:rPr>
      </w:pPr>
      <w:r w:rsidRPr="000A5982">
        <w:rPr>
          <w:rFonts w:ascii="Cambria" w:eastAsia="Aptos" w:hAnsi="Cambria"/>
          <w:kern w:val="2"/>
          <w:sz w:val="20"/>
          <w14:ligatures w14:val="standardContextual"/>
        </w:rPr>
        <w:t>Captura retenida (desembarques) 364,90 t</w:t>
      </w:r>
    </w:p>
    <w:p w14:paraId="7DAF0069" w14:textId="77777777" w:rsidR="00EF4FD8" w:rsidRPr="000A5982" w:rsidRDefault="00EF4FD8" w:rsidP="00EF4FD8">
      <w:pPr>
        <w:widowControl w:val="0"/>
        <w:numPr>
          <w:ilvl w:val="0"/>
          <w:numId w:val="3"/>
        </w:numPr>
        <w:spacing w:after="160"/>
        <w:ind w:left="851" w:hanging="425"/>
        <w:jc w:val="both"/>
        <w:rPr>
          <w:rFonts w:ascii="Cambria" w:eastAsia="Aptos" w:hAnsi="Cambria"/>
          <w:bCs/>
          <w:kern w:val="2"/>
          <w:sz w:val="20"/>
          <w:szCs w:val="20"/>
          <w14:ligatures w14:val="standardContextual"/>
        </w:rPr>
      </w:pPr>
      <w:r w:rsidRPr="000A5982">
        <w:rPr>
          <w:rFonts w:ascii="Cambria" w:eastAsia="Aptos" w:hAnsi="Cambria"/>
          <w:kern w:val="2"/>
          <w:sz w:val="20"/>
          <w14:ligatures w14:val="standardContextual"/>
        </w:rPr>
        <w:t>Descartes de ejemplares muertos: 319,70 t</w:t>
      </w:r>
    </w:p>
    <w:p w14:paraId="3DAFC8A3" w14:textId="77777777" w:rsidR="00EF4FD8" w:rsidRPr="000A5982" w:rsidRDefault="00EF4FD8" w:rsidP="00EF4FD8">
      <w:pPr>
        <w:widowControl w:val="0"/>
        <w:numPr>
          <w:ilvl w:val="0"/>
          <w:numId w:val="3"/>
        </w:numPr>
        <w:spacing w:after="160"/>
        <w:ind w:left="851" w:hanging="425"/>
        <w:jc w:val="both"/>
        <w:rPr>
          <w:rFonts w:ascii="Cambria" w:eastAsia="Aptos" w:hAnsi="Cambria"/>
          <w:bCs/>
          <w:kern w:val="2"/>
          <w:sz w:val="20"/>
          <w:szCs w:val="20"/>
          <w14:ligatures w14:val="standardContextual"/>
        </w:rPr>
      </w:pPr>
      <w:r w:rsidRPr="000A5982">
        <w:rPr>
          <w:rFonts w:ascii="Cambria" w:eastAsia="Aptos" w:hAnsi="Cambria"/>
          <w:kern w:val="2"/>
          <w:sz w:val="20"/>
          <w14:ligatures w14:val="standardContextual"/>
        </w:rPr>
        <w:t>Descartes de ejemplares vivos: 368,09 t</w:t>
      </w:r>
    </w:p>
    <w:p w14:paraId="1BB0DEDF" w14:textId="77777777" w:rsidR="00EF4FD8" w:rsidRPr="000A5982" w:rsidRDefault="00EF4FD8" w:rsidP="00EF4FD8">
      <w:pPr>
        <w:jc w:val="both"/>
        <w:rPr>
          <w:rFonts w:ascii="Cambria" w:eastAsia="Aptos" w:hAnsi="Cambria"/>
          <w:bCs/>
          <w:kern w:val="2"/>
          <w:sz w:val="20"/>
          <w:szCs w:val="20"/>
          <w14:ligatures w14:val="standardContextual"/>
        </w:rPr>
      </w:pPr>
      <w:r w:rsidRPr="000A5982">
        <w:rPr>
          <w:rFonts w:ascii="Cambria" w:eastAsia="Aptos" w:hAnsi="Cambria"/>
          <w:kern w:val="2"/>
          <w:sz w:val="20"/>
          <w14:ligatures w14:val="standardContextual"/>
        </w:rPr>
        <w:t xml:space="preserve">Tomando como referencia una tasa de mortalidad tras la liberación del 29,4 % (Domingo et al., 2025), la «mortalidad total por pesca de todas las fuentes» (el valor necesario para </w:t>
      </w:r>
      <w:hyperlink r:id="rId76" w:history="1">
        <w:r w:rsidRPr="000A5982">
          <w:rPr>
            <w:rFonts w:ascii="Cambria" w:eastAsia="Aptos" w:hAnsi="Cambria"/>
            <w:color w:val="467886"/>
            <w:kern w:val="2"/>
            <w:sz w:val="20"/>
            <w14:ligatures w14:val="standardContextual"/>
          </w:rPr>
          <w:t>Rec. 22-11</w:t>
        </w:r>
      </w:hyperlink>
      <w:r w:rsidRPr="000A5982">
        <w:rPr>
          <w:rFonts w:ascii="Cambria" w:eastAsia="Aptos" w:hAnsi="Cambria"/>
          <w:kern w:val="2"/>
          <w:sz w:val="20"/>
          <w14:ligatures w14:val="standardContextual"/>
        </w:rPr>
        <w:t>, Anexo 1, párr. 1a) para 2025 se estimó en 792,82 t.</w:t>
      </w:r>
    </w:p>
    <w:p w14:paraId="6B62D9B1" w14:textId="77777777" w:rsidR="00EF4FD8" w:rsidRPr="000A5982" w:rsidRDefault="00EF4FD8" w:rsidP="00EF4FD8">
      <w:pPr>
        <w:jc w:val="both"/>
        <w:rPr>
          <w:rFonts w:ascii="Cambria" w:eastAsia="Aptos" w:hAnsi="Cambria"/>
          <w:bCs/>
          <w:kern w:val="2"/>
          <w:sz w:val="20"/>
          <w:szCs w:val="20"/>
          <w14:ligatures w14:val="standardContextual"/>
        </w:rPr>
      </w:pPr>
    </w:p>
    <w:p w14:paraId="4A463C7C" w14:textId="77777777" w:rsidR="00EF4FD8" w:rsidRPr="000A5982" w:rsidRDefault="00EF4FD8" w:rsidP="00EF4FD8">
      <w:pPr>
        <w:jc w:val="both"/>
        <w:rPr>
          <w:rFonts w:ascii="Cambria" w:eastAsia="Aptos" w:hAnsi="Cambria"/>
          <w:bCs/>
          <w:kern w:val="2"/>
          <w:sz w:val="20"/>
          <w:szCs w:val="20"/>
          <w14:ligatures w14:val="standardContextual"/>
        </w:rPr>
      </w:pPr>
      <w:r w:rsidRPr="000A5982">
        <w:rPr>
          <w:rFonts w:ascii="Cambria" w:eastAsia="Aptos" w:hAnsi="Cambria"/>
          <w:kern w:val="2"/>
          <w:sz w:val="20"/>
          <w14:ligatures w14:val="standardContextual"/>
        </w:rPr>
        <w:t xml:space="preserve">Según el Anexo 1 de la </w:t>
      </w:r>
      <w:hyperlink r:id="rId77" w:history="1">
        <w:r w:rsidRPr="000A5982">
          <w:rPr>
            <w:rFonts w:ascii="Cambria" w:eastAsia="Aptos" w:hAnsi="Cambria"/>
            <w:color w:val="467886"/>
            <w:kern w:val="2"/>
            <w:sz w:val="20"/>
            <w14:ligatures w14:val="standardContextual"/>
          </w:rPr>
          <w:t>Rec. 25-08</w:t>
        </w:r>
      </w:hyperlink>
      <w:r w:rsidRPr="000A5982">
        <w:rPr>
          <w:rFonts w:ascii="Cambria" w:eastAsia="Aptos" w:hAnsi="Cambria"/>
          <w:kern w:val="2"/>
          <w:sz w:val="20"/>
          <w14:ligatures w14:val="standardContextual"/>
        </w:rPr>
        <w:t>, si la mortalidad por pesca total estimada del año anterior (Y-1) es inferior al límite de mortalidad establecido en el párrafo 3 (es decir, 1.000 t), se permitirá la retención en Y+1</w:t>
      </w:r>
      <w:r w:rsidRPr="000A5982">
        <w:rPr>
          <w:rFonts w:ascii="Aptos" w:eastAsia="Aptos" w:hAnsi="Aptos"/>
          <w:kern w:val="2"/>
          <w14:ligatures w14:val="standardContextual"/>
        </w:rPr>
        <w:t>.</w:t>
      </w:r>
    </w:p>
    <w:p w14:paraId="038B2B28" w14:textId="77777777" w:rsidR="00EF4FD8" w:rsidRPr="000A5982" w:rsidRDefault="00EF4FD8" w:rsidP="00EF4FD8">
      <w:pPr>
        <w:jc w:val="both"/>
        <w:rPr>
          <w:rFonts w:ascii="Cambria" w:eastAsia="Aptos" w:hAnsi="Cambria"/>
          <w:bCs/>
          <w:kern w:val="2"/>
          <w:sz w:val="20"/>
          <w:szCs w:val="20"/>
          <w14:ligatures w14:val="standardContextual"/>
        </w:rPr>
      </w:pPr>
    </w:p>
    <w:p w14:paraId="0D03434C" w14:textId="77777777" w:rsidR="00EF4FD8" w:rsidRPr="000A5982" w:rsidRDefault="00EF4FD8" w:rsidP="00EF4FD8">
      <w:pPr>
        <w:jc w:val="both"/>
        <w:rPr>
          <w:rFonts w:ascii="Cambria" w:eastAsia="Aptos" w:hAnsi="Cambria"/>
          <w:kern w:val="2"/>
          <w:sz w:val="20"/>
          <w:szCs w:val="20"/>
          <w14:ligatures w14:val="standardContextual"/>
        </w:rPr>
      </w:pPr>
      <w:r w:rsidRPr="000A5982">
        <w:rPr>
          <w:rFonts w:ascii="Cambria" w:eastAsia="Aptos" w:hAnsi="Cambria"/>
          <w:kern w:val="2"/>
          <w:sz w:val="20"/>
          <w14:ligatures w14:val="standardContextual"/>
        </w:rPr>
        <w:t xml:space="preserve">Mortalidad total por pesca en el año 2025: 726,78 t. Por lo tanto, la tolerancia de retención de las capturas fortuitas muertas en lo sucesivo denominada “tolerancia de retención” para </w:t>
      </w:r>
      <w:r w:rsidRPr="0099704B">
        <w:rPr>
          <w:rFonts w:ascii="Cambria" w:eastAsia="Aptos" w:hAnsi="Cambria"/>
          <w:kern w:val="2"/>
          <w:sz w:val="20"/>
          <w14:ligatures w14:val="standardContextual"/>
        </w:rPr>
        <w:t xml:space="preserve">en 2027 es de 1.000 t. </w:t>
      </w:r>
    </w:p>
    <w:p w14:paraId="51398310" w14:textId="77777777" w:rsidR="00EF4FD8" w:rsidRPr="000A5982" w:rsidRDefault="00EF4FD8" w:rsidP="00EF4FD8">
      <w:pPr>
        <w:jc w:val="both"/>
        <w:rPr>
          <w:rFonts w:ascii="Cambria" w:eastAsia="Aptos" w:hAnsi="Cambria"/>
          <w:bCs/>
          <w:kern w:val="2"/>
          <w:sz w:val="20"/>
          <w:szCs w:val="20"/>
          <w14:ligatures w14:val="standardContextual"/>
        </w:rPr>
      </w:pPr>
    </w:p>
    <w:p w14:paraId="2665EF74" w14:textId="77777777" w:rsidR="00EF4FD8" w:rsidRPr="000A5982" w:rsidRDefault="00EF4FD8" w:rsidP="00EF4FD8">
      <w:pPr>
        <w:jc w:val="both"/>
        <w:rPr>
          <w:rFonts w:ascii="Cambria" w:eastAsia="Aptos" w:hAnsi="Cambria"/>
          <w:bCs/>
          <w:kern w:val="2"/>
          <w:sz w:val="20"/>
          <w:szCs w:val="20"/>
          <w14:ligatures w14:val="standardContextual"/>
        </w:rPr>
      </w:pPr>
      <w:r w:rsidRPr="000A5982">
        <w:rPr>
          <w:rFonts w:ascii="Cambria" w:eastAsia="Aptos" w:hAnsi="Cambria"/>
          <w:kern w:val="2"/>
          <w:sz w:val="20"/>
          <w14:ligatures w14:val="standardContextual"/>
        </w:rPr>
        <w:t>Para estimar la tolerancia de retención que se repartirá entre las CPC para el año 2027, la mortalidad por pesca del año 2025 (descartes de ejemplares muertos y liberaciones de ejemplares vivos con un valor de mortalidad posterior a la liberación, excluidos los desembarques) se restará de la mortalidad total establecida en la presente medida (es decir, 1.000 t). La cantidad resultante se denominará tolerancia de retención de captura fortuita muerta (en lo sucesivo, “tolerancia de retención”) para el año siguiente 2027.</w:t>
      </w:r>
    </w:p>
    <w:p w14:paraId="2FA00B89" w14:textId="77777777" w:rsidR="00EF4FD8" w:rsidRPr="000A5982" w:rsidRDefault="00EF4FD8" w:rsidP="00EF4FD8">
      <w:pPr>
        <w:jc w:val="both"/>
        <w:rPr>
          <w:rFonts w:ascii="Cambria" w:eastAsia="Aptos" w:hAnsi="Cambria"/>
          <w:bCs/>
          <w:kern w:val="2"/>
          <w:sz w:val="20"/>
          <w:szCs w:val="20"/>
          <w14:ligatures w14:val="standardContextual"/>
        </w:rPr>
      </w:pPr>
    </w:p>
    <w:p w14:paraId="29E74ACE" w14:textId="77777777" w:rsidR="00EF4FD8" w:rsidRPr="000A5982" w:rsidRDefault="00EF4FD8" w:rsidP="00EF4FD8">
      <w:pPr>
        <w:jc w:val="both"/>
        <w:rPr>
          <w:rFonts w:ascii="Cambria" w:eastAsia="Aptos" w:hAnsi="Cambria"/>
          <w:bCs/>
          <w:kern w:val="2"/>
          <w:sz w:val="20"/>
          <w:szCs w:val="20"/>
          <w14:ligatures w14:val="standardContextual"/>
        </w:rPr>
      </w:pPr>
      <w:r w:rsidRPr="000A5982">
        <w:rPr>
          <w:rFonts w:ascii="Cambria" w:eastAsia="Aptos" w:hAnsi="Cambria"/>
          <w:kern w:val="2"/>
          <w:sz w:val="20"/>
          <w14:ligatures w14:val="standardContextual"/>
        </w:rPr>
        <w:t>Mortalidad por pesca en 2025 = Descartes de ejemplares muertos + (Liberaciones de ejemplares vivos * PRM)</w:t>
      </w:r>
    </w:p>
    <w:p w14:paraId="292D97FB" w14:textId="77777777" w:rsidR="00EF4FD8" w:rsidRPr="000A5982" w:rsidRDefault="00EF4FD8" w:rsidP="00EF4FD8">
      <w:pPr>
        <w:jc w:val="both"/>
        <w:rPr>
          <w:rFonts w:ascii="Cambria" w:eastAsia="Aptos" w:hAnsi="Cambria"/>
          <w:bCs/>
          <w:kern w:val="2"/>
          <w:sz w:val="20"/>
          <w:szCs w:val="20"/>
          <w14:ligatures w14:val="standardContextual"/>
        </w:rPr>
      </w:pPr>
      <w:r w:rsidRPr="000A5982">
        <w:rPr>
          <w:rFonts w:ascii="Cambria" w:eastAsia="Aptos" w:hAnsi="Cambria"/>
          <w:kern w:val="2"/>
          <w:sz w:val="20"/>
          <w14:ligatures w14:val="standardContextual"/>
        </w:rPr>
        <w:t>Mortalidad por pesca en 2025 = 319,70 + (368,09* PRM)</w:t>
      </w:r>
    </w:p>
    <w:p w14:paraId="552C352D" w14:textId="77777777" w:rsidR="00EF4FD8" w:rsidRPr="000A5982" w:rsidRDefault="00EF4FD8" w:rsidP="00EF4FD8">
      <w:pPr>
        <w:jc w:val="both"/>
        <w:rPr>
          <w:rFonts w:ascii="Cambria" w:eastAsia="Aptos" w:hAnsi="Cambria"/>
          <w:bCs/>
          <w:kern w:val="2"/>
          <w:sz w:val="20"/>
          <w:szCs w:val="20"/>
          <w14:ligatures w14:val="standardContextual"/>
        </w:rPr>
      </w:pPr>
      <w:r w:rsidRPr="000A5982">
        <w:rPr>
          <w:rFonts w:ascii="Cambria" w:eastAsia="Aptos" w:hAnsi="Cambria"/>
          <w:kern w:val="2"/>
          <w:sz w:val="20"/>
          <w14:ligatures w14:val="standardContextual"/>
        </w:rPr>
        <w:t>Mortalidad por pesca en 2025 = 319,70 + 108,22</w:t>
      </w:r>
    </w:p>
    <w:p w14:paraId="1C00D3A5" w14:textId="77777777" w:rsidR="00EF4FD8" w:rsidRPr="000A5982" w:rsidRDefault="00EF4FD8" w:rsidP="00EF4FD8">
      <w:pPr>
        <w:jc w:val="both"/>
        <w:rPr>
          <w:rFonts w:ascii="Cambria" w:eastAsia="Aptos" w:hAnsi="Cambria"/>
          <w:bCs/>
          <w:kern w:val="2"/>
          <w:sz w:val="20"/>
          <w:szCs w:val="20"/>
          <w14:ligatures w14:val="standardContextual"/>
        </w:rPr>
      </w:pPr>
      <w:r w:rsidRPr="000A5982">
        <w:rPr>
          <w:rFonts w:ascii="Cambria" w:eastAsia="Aptos" w:hAnsi="Cambria"/>
          <w:kern w:val="2"/>
          <w:sz w:val="20"/>
          <w14:ligatures w14:val="standardContextual"/>
        </w:rPr>
        <w:t>Mortalidad por pesca en 2025 = 427,92</w:t>
      </w:r>
    </w:p>
    <w:p w14:paraId="66C421AD" w14:textId="77777777" w:rsidR="00EF4FD8" w:rsidRPr="000A5982" w:rsidRDefault="00EF4FD8" w:rsidP="00EF4FD8">
      <w:pPr>
        <w:jc w:val="both"/>
        <w:rPr>
          <w:rFonts w:ascii="Cambria" w:eastAsia="Aptos" w:hAnsi="Cambria"/>
          <w:bCs/>
          <w:kern w:val="2"/>
          <w:sz w:val="20"/>
          <w:szCs w:val="20"/>
          <w14:ligatures w14:val="standardContextual"/>
        </w:rPr>
      </w:pPr>
    </w:p>
    <w:p w14:paraId="0D4CE7A8" w14:textId="77777777" w:rsidR="00EF4FD8" w:rsidRPr="000A5982" w:rsidRDefault="00EF4FD8" w:rsidP="00EF4FD8">
      <w:pPr>
        <w:jc w:val="both"/>
        <w:rPr>
          <w:rFonts w:ascii="Cambria" w:eastAsia="Aptos" w:hAnsi="Cambria"/>
          <w:bCs/>
          <w:kern w:val="2"/>
          <w:sz w:val="20"/>
          <w:szCs w:val="20"/>
          <w14:ligatures w14:val="standardContextual"/>
        </w:rPr>
      </w:pPr>
      <w:r w:rsidRPr="000A5982">
        <w:rPr>
          <w:rFonts w:ascii="Cambria" w:eastAsia="Aptos" w:hAnsi="Cambria"/>
          <w:kern w:val="2"/>
          <w:sz w:val="20"/>
          <w14:ligatures w14:val="standardContextual"/>
        </w:rPr>
        <w:t>Tolerancia de retención para 2027 = 1.000 – Mortalidad por pesca en 2025</w:t>
      </w:r>
    </w:p>
    <w:p w14:paraId="5A5FCA88" w14:textId="77777777" w:rsidR="00EF4FD8" w:rsidRPr="000A5982" w:rsidRDefault="00EF4FD8" w:rsidP="00EF4FD8">
      <w:pPr>
        <w:jc w:val="both"/>
        <w:rPr>
          <w:rFonts w:ascii="Cambria" w:eastAsia="Aptos" w:hAnsi="Cambria"/>
          <w:bCs/>
          <w:kern w:val="2"/>
          <w:sz w:val="20"/>
          <w:szCs w:val="20"/>
          <w14:ligatures w14:val="standardContextual"/>
        </w:rPr>
      </w:pPr>
      <w:r w:rsidRPr="000A5982">
        <w:rPr>
          <w:rFonts w:ascii="Cambria" w:eastAsia="Aptos" w:hAnsi="Cambria"/>
          <w:kern w:val="2"/>
          <w:sz w:val="20"/>
          <w14:ligatures w14:val="standardContextual"/>
        </w:rPr>
        <w:t>Tolerancia de retención para 2027 = 1.000 – 427,92 t</w:t>
      </w:r>
    </w:p>
    <w:p w14:paraId="27E9AD95" w14:textId="77777777" w:rsidR="00EF4FD8" w:rsidRPr="000A5982" w:rsidRDefault="00EF4FD8" w:rsidP="00EF4FD8">
      <w:pPr>
        <w:jc w:val="both"/>
        <w:rPr>
          <w:rFonts w:ascii="Cambria" w:eastAsia="Aptos" w:hAnsi="Cambria"/>
          <w:bCs/>
          <w:kern w:val="2"/>
          <w:sz w:val="20"/>
          <w:szCs w:val="20"/>
          <w14:ligatures w14:val="standardContextual"/>
        </w:rPr>
      </w:pPr>
      <w:r w:rsidRPr="000A5982">
        <w:rPr>
          <w:rFonts w:ascii="Cambria" w:eastAsia="Aptos" w:hAnsi="Cambria"/>
          <w:kern w:val="2"/>
          <w:sz w:val="20"/>
          <w14:ligatures w14:val="standardContextual"/>
        </w:rPr>
        <w:t>Tolerancia de retención para 2027 = 572.08 t</w:t>
      </w:r>
    </w:p>
    <w:p w14:paraId="4AB4EF5D" w14:textId="77777777" w:rsidR="00EF4FD8" w:rsidRPr="000A5982" w:rsidRDefault="00EF4FD8" w:rsidP="00EF4FD8">
      <w:pPr>
        <w:jc w:val="both"/>
        <w:rPr>
          <w:rFonts w:ascii="Cambria" w:eastAsia="Aptos" w:hAnsi="Cambria"/>
          <w:bCs/>
          <w:kern w:val="2"/>
          <w:sz w:val="20"/>
          <w:szCs w:val="20"/>
          <w14:ligatures w14:val="standardContextual"/>
        </w:rPr>
      </w:pPr>
    </w:p>
    <w:p w14:paraId="1A4FB282" w14:textId="77777777" w:rsidR="00EF4FD8" w:rsidRPr="000A5982" w:rsidRDefault="00EF4FD8" w:rsidP="00EF4FD8">
      <w:pPr>
        <w:jc w:val="both"/>
        <w:rPr>
          <w:rFonts w:ascii="Cambria" w:eastAsia="Aptos" w:hAnsi="Cambria"/>
          <w:bCs/>
          <w:kern w:val="2"/>
          <w:sz w:val="20"/>
          <w:szCs w:val="20"/>
          <w14:ligatures w14:val="standardContextual"/>
        </w:rPr>
      </w:pPr>
      <w:r w:rsidRPr="000A5982">
        <w:rPr>
          <w:rFonts w:ascii="Cambria" w:eastAsia="Aptos" w:hAnsi="Cambria"/>
          <w:kern w:val="2"/>
          <w:sz w:val="20"/>
          <w14:ligatures w14:val="standardContextual"/>
        </w:rPr>
        <w:t>Si se permite la retención, la deducción por retención correspondiente a cada CPC se calculará mediante la siguiente fórmula:</w:t>
      </w:r>
    </w:p>
    <w:p w14:paraId="7E7FD208" w14:textId="77777777" w:rsidR="00EF4FD8" w:rsidRPr="000A5982" w:rsidRDefault="00EF4FD8" w:rsidP="00EF4FD8">
      <w:pPr>
        <w:jc w:val="both"/>
        <w:rPr>
          <w:rFonts w:ascii="Cambria" w:eastAsia="Aptos" w:hAnsi="Cambria"/>
          <w:bCs/>
          <w:kern w:val="2"/>
          <w:sz w:val="20"/>
          <w:szCs w:val="20"/>
          <w14:ligatures w14:val="standardContextual"/>
        </w:rPr>
      </w:pPr>
    </w:p>
    <w:p w14:paraId="08A96E94" w14:textId="77777777" w:rsidR="00EF4FD8" w:rsidRPr="000A5982" w:rsidRDefault="00EF4FD8" w:rsidP="00EF4FD8">
      <w:pPr>
        <w:jc w:val="both"/>
        <w:rPr>
          <w:rFonts w:ascii="Cambria" w:eastAsia="Aptos" w:hAnsi="Cambria"/>
          <w:bCs/>
          <w:kern w:val="2"/>
          <w:sz w:val="20"/>
          <w:szCs w:val="20"/>
          <w14:ligatures w14:val="standardContextual"/>
        </w:rPr>
      </w:pPr>
    </w:p>
    <w:p w14:paraId="6703C601" w14:textId="77777777" w:rsidR="00EF4FD8" w:rsidRPr="000A5982" w:rsidRDefault="00EF4FD8" w:rsidP="00EF4FD8">
      <w:pPr>
        <w:jc w:val="both"/>
        <w:rPr>
          <w:rFonts w:ascii="Cambria" w:eastAsia="Aptos" w:hAnsi="Cambria"/>
          <w:bCs/>
          <w:kern w:val="2"/>
          <w:sz w:val="16"/>
          <w:szCs w:val="16"/>
          <w14:ligatures w14:val="standardContextual"/>
        </w:rPr>
      </w:pPr>
      <m:oMathPara>
        <m:oMath>
          <m:r>
            <w:rPr>
              <w:rFonts w:ascii="Cambria Math" w:eastAsia="Aptos" w:hAnsi="Cambria Math" w:cs="Cambria Math"/>
              <w:kern w:val="2"/>
              <w:sz w:val="16"/>
              <w:szCs w:val="16"/>
              <w:lang w:val="en-GB"/>
              <w14:ligatures w14:val="standardContextual"/>
            </w:rPr>
            <m:t>Tolerancia de retención de CPC individual (t)</m:t>
          </m:r>
          <m:r>
            <m:rPr>
              <m:sty m:val="p"/>
            </m:rPr>
            <w:rPr>
              <w:rFonts w:ascii="Cambria Math" w:eastAsia="Aptos" w:hAnsi="Cambria Math" w:cs="Cambria Math"/>
              <w:kern w:val="2"/>
              <w:sz w:val="16"/>
              <w:szCs w:val="16"/>
              <w:lang w:val="en-GB"/>
              <w14:ligatures w14:val="standardContextual"/>
            </w:rPr>
            <m:t>=</m:t>
          </m:r>
          <m:f>
            <m:fPr>
              <m:ctrlPr>
                <w:rPr>
                  <w:rFonts w:ascii="Cambria Math" w:eastAsia="Aptos" w:hAnsi="Cambria Math"/>
                  <w:bCs/>
                  <w:kern w:val="2"/>
                  <w:sz w:val="16"/>
                  <w:szCs w:val="16"/>
                  <w:lang w:val="en-GB"/>
                  <w14:ligatures w14:val="standardContextual"/>
                </w:rPr>
              </m:ctrlPr>
            </m:fPr>
            <m:num>
              <m:d>
                <m:dPr>
                  <m:ctrlPr>
                    <w:rPr>
                      <w:rFonts w:ascii="Cambria Math" w:eastAsia="Aptos" w:hAnsi="Cambria Math" w:cs="Cambria Math"/>
                      <w:bCs/>
                      <w:kern w:val="2"/>
                      <w:sz w:val="16"/>
                      <w:szCs w:val="16"/>
                      <w:lang w:val="en-GB"/>
                      <w14:ligatures w14:val="standardContextual"/>
                    </w:rPr>
                  </m:ctrlPr>
                </m:dPr>
                <m:e>
                  <m:r>
                    <m:rPr>
                      <m:sty m:val="p"/>
                    </m:rPr>
                    <w:rPr>
                      <w:rFonts w:ascii="Cambria Math" w:eastAsia="Aptos" w:hAnsi="Cambria Math" w:cs="Cambria Math"/>
                      <w:kern w:val="2"/>
                      <w:sz w:val="16"/>
                      <w:szCs w:val="16"/>
                      <w:lang w:val="en-GB"/>
                      <w14:ligatures w14:val="standardContextual"/>
                    </w:rPr>
                    <m:t>Capturas anuales medias de la CPC de 2013-2016</m:t>
                  </m:r>
                </m:e>
              </m:d>
              <m:r>
                <m:rPr>
                  <m:sty m:val="p"/>
                </m:rPr>
                <w:rPr>
                  <w:rFonts w:ascii="Cambria Math" w:eastAsia="Aptos" w:hAnsi="Cambria Math" w:cs="Cambria Math"/>
                  <w:kern w:val="2"/>
                  <w:sz w:val="16"/>
                  <w:szCs w:val="16"/>
                  <w:lang w:val="en-GB"/>
                  <w14:ligatures w14:val="standardContextual"/>
                </w:rPr>
                <m:t xml:space="preserve"> x (tolerancia de retención)</m:t>
              </m:r>
            </m:num>
            <m:den>
              <m:r>
                <m:rPr>
                  <m:sty m:val="p"/>
                </m:rPr>
                <w:rPr>
                  <w:rFonts w:ascii="Cambria Math" w:eastAsia="Aptos" w:hAnsi="Cambria Math" w:cs="Cambria Math"/>
                  <w:kern w:val="2"/>
                  <w:sz w:val="16"/>
                  <w:szCs w:val="16"/>
                  <w:lang w:val="en-GB"/>
                  <w14:ligatures w14:val="standardContextual"/>
                </w:rPr>
                <m:t>Capturas totales medias de ICCAT de 2013-2016</m:t>
              </m:r>
            </m:den>
          </m:f>
        </m:oMath>
      </m:oMathPara>
    </w:p>
    <w:p w14:paraId="16D014F1" w14:textId="77777777" w:rsidR="00EF4FD8" w:rsidRPr="000A5982" w:rsidRDefault="00EF4FD8" w:rsidP="00EF4FD8">
      <w:pPr>
        <w:jc w:val="both"/>
        <w:rPr>
          <w:rFonts w:ascii="Cambria" w:eastAsia="Aptos" w:hAnsi="Cambria"/>
          <w:bCs/>
          <w:kern w:val="2"/>
          <w:sz w:val="20"/>
          <w:szCs w:val="20"/>
          <w:lang w:val="en-GB"/>
          <w14:ligatures w14:val="standardContextual"/>
        </w:rPr>
      </w:pPr>
    </w:p>
    <w:p w14:paraId="47C02FB3" w14:textId="77777777" w:rsidR="00EF4FD8" w:rsidRPr="000A5982" w:rsidRDefault="00EF4FD8" w:rsidP="00EF4FD8">
      <w:pPr>
        <w:jc w:val="both"/>
        <w:rPr>
          <w:rFonts w:ascii="Cambria" w:eastAsia="Aptos" w:hAnsi="Cambria"/>
          <w:bCs/>
          <w:kern w:val="2"/>
          <w:sz w:val="20"/>
          <w:szCs w:val="20"/>
          <w14:ligatures w14:val="standardContextual"/>
        </w:rPr>
      </w:pPr>
      <w:r w:rsidRPr="000A5982">
        <w:rPr>
          <w:rFonts w:ascii="Cambria" w:eastAsia="Aptos" w:hAnsi="Cambria"/>
          <w:kern w:val="2"/>
          <w:sz w:val="20"/>
          <w14:ligatures w14:val="standardContextual"/>
        </w:rPr>
        <w:t>La tolerancia individual de retención de cada CPC para el año 2027 sería la siguiente:</w:t>
      </w:r>
    </w:p>
    <w:p w14:paraId="32F2D12D" w14:textId="77777777" w:rsidR="00EF4FD8" w:rsidRDefault="00EF4FD8" w:rsidP="00EF4FD8">
      <w:pPr>
        <w:spacing w:after="160"/>
        <w:rPr>
          <w:rFonts w:ascii="Cambria" w:eastAsia="Aptos" w:hAnsi="Cambria"/>
          <w:bCs/>
          <w:kern w:val="2"/>
          <w:sz w:val="20"/>
          <w:szCs w:val="20"/>
          <w14:ligatures w14:val="standardContextual"/>
        </w:rPr>
      </w:pPr>
      <w:r>
        <w:rPr>
          <w:rFonts w:ascii="Cambria" w:eastAsia="Aptos" w:hAnsi="Cambria"/>
          <w:bCs/>
          <w:kern w:val="2"/>
          <w:sz w:val="20"/>
          <w:szCs w:val="20"/>
          <w14:ligatures w14:val="standardContextual"/>
        </w:rPr>
        <w:br w:type="page"/>
      </w:r>
    </w:p>
    <w:p w14:paraId="284F7B73" w14:textId="77777777" w:rsidR="00EF4FD8" w:rsidRPr="000A5982" w:rsidRDefault="00EF4FD8" w:rsidP="00EF4FD8">
      <w:pPr>
        <w:jc w:val="center"/>
        <w:rPr>
          <w:rFonts w:ascii="Cambria" w:eastAsia="Aptos" w:hAnsi="Cambria"/>
          <w:bCs/>
          <w:kern w:val="2"/>
          <w:sz w:val="20"/>
          <w:szCs w:val="20"/>
          <w14:ligatures w14:val="standardContextual"/>
        </w:rPr>
      </w:pPr>
    </w:p>
    <w:tbl>
      <w:tblPr>
        <w:tblW w:w="4420" w:type="dxa"/>
        <w:tblInd w:w="2258" w:type="dxa"/>
        <w:tblLook w:val="04A0" w:firstRow="1" w:lastRow="0" w:firstColumn="1" w:lastColumn="0" w:noHBand="0" w:noVBand="1"/>
      </w:tblPr>
      <w:tblGrid>
        <w:gridCol w:w="1860"/>
        <w:gridCol w:w="2560"/>
      </w:tblGrid>
      <w:tr w:rsidR="00EF4FD8" w:rsidRPr="0099704B" w14:paraId="19979B2E" w14:textId="77777777" w:rsidTr="007C17C6">
        <w:trPr>
          <w:cantSplit/>
          <w:trHeight w:val="828"/>
        </w:trPr>
        <w:tc>
          <w:tcPr>
            <w:tcW w:w="1860" w:type="dxa"/>
            <w:tcBorders>
              <w:top w:val="single" w:sz="8" w:space="0" w:color="auto"/>
              <w:left w:val="single" w:sz="8" w:space="0" w:color="auto"/>
              <w:bottom w:val="single" w:sz="8" w:space="0" w:color="auto"/>
              <w:right w:val="nil"/>
            </w:tcBorders>
            <w:shd w:val="clear" w:color="000000" w:fill="D9D9D9"/>
            <w:noWrap/>
            <w:vAlign w:val="center"/>
            <w:hideMark/>
          </w:tcPr>
          <w:p w14:paraId="0C3FA4ED" w14:textId="77777777" w:rsidR="00EF4FD8" w:rsidRPr="000A5982" w:rsidRDefault="00EF4FD8" w:rsidP="007C17C6">
            <w:pPr>
              <w:jc w:val="center"/>
              <w:rPr>
                <w:rFonts w:ascii="Cambria" w:hAnsi="Cambria"/>
                <w:b/>
                <w:bCs/>
                <w:color w:val="000000"/>
                <w:sz w:val="20"/>
                <w:szCs w:val="20"/>
              </w:rPr>
            </w:pPr>
            <w:r w:rsidRPr="000A5982">
              <w:rPr>
                <w:rFonts w:ascii="Cambria" w:eastAsia="Aptos" w:hAnsi="Cambria"/>
                <w:b/>
                <w:color w:val="000000"/>
                <w:kern w:val="2"/>
                <w:sz w:val="20"/>
                <w:szCs w:val="20"/>
                <w14:ligatures w14:val="standardContextual"/>
              </w:rPr>
              <w:t>CPC</w:t>
            </w:r>
          </w:p>
        </w:tc>
        <w:tc>
          <w:tcPr>
            <w:tcW w:w="256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00A6C9C8" w14:textId="77777777" w:rsidR="00EF4FD8" w:rsidRPr="000A5982" w:rsidRDefault="00EF4FD8" w:rsidP="007C17C6">
            <w:pPr>
              <w:jc w:val="center"/>
              <w:rPr>
                <w:rFonts w:ascii="Cambria" w:hAnsi="Cambria"/>
                <w:b/>
                <w:bCs/>
                <w:color w:val="000000"/>
                <w:sz w:val="20"/>
                <w:szCs w:val="20"/>
              </w:rPr>
            </w:pPr>
            <w:r w:rsidRPr="000A5982">
              <w:rPr>
                <w:rFonts w:ascii="Cambria" w:eastAsia="Aptos" w:hAnsi="Cambria"/>
                <w:b/>
                <w:color w:val="000000"/>
                <w:kern w:val="2"/>
                <w:sz w:val="20"/>
                <w:szCs w:val="20"/>
                <w14:ligatures w14:val="standardContextual"/>
              </w:rPr>
              <w:t>Tolerancia de retención individual de 2027</w:t>
            </w:r>
          </w:p>
        </w:tc>
      </w:tr>
      <w:tr w:rsidR="00EF4FD8" w:rsidRPr="0099704B" w14:paraId="2AEDB1F7" w14:textId="77777777" w:rsidTr="007C17C6">
        <w:trPr>
          <w:cantSplit/>
          <w:trHeight w:val="420"/>
        </w:trPr>
        <w:tc>
          <w:tcPr>
            <w:tcW w:w="1860" w:type="dxa"/>
            <w:tcBorders>
              <w:top w:val="nil"/>
              <w:left w:val="single" w:sz="8" w:space="0" w:color="auto"/>
              <w:bottom w:val="single" w:sz="4" w:space="0" w:color="auto"/>
              <w:right w:val="nil"/>
            </w:tcBorders>
            <w:noWrap/>
            <w:vAlign w:val="center"/>
            <w:hideMark/>
          </w:tcPr>
          <w:p w14:paraId="6828FCEA"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szCs w:val="20"/>
                <w14:ligatures w14:val="standardContextual"/>
              </w:rPr>
              <w:t>Angola</w:t>
            </w:r>
          </w:p>
        </w:tc>
        <w:tc>
          <w:tcPr>
            <w:tcW w:w="2560" w:type="dxa"/>
            <w:tcBorders>
              <w:top w:val="nil"/>
              <w:left w:val="single" w:sz="8" w:space="0" w:color="auto"/>
              <w:bottom w:val="single" w:sz="4" w:space="0" w:color="auto"/>
              <w:right w:val="single" w:sz="8" w:space="0" w:color="auto"/>
            </w:tcBorders>
            <w:noWrap/>
            <w:vAlign w:val="center"/>
            <w:hideMark/>
          </w:tcPr>
          <w:p w14:paraId="077B941C" w14:textId="77777777" w:rsidR="00EF4FD8" w:rsidRPr="000A5982" w:rsidRDefault="00EF4FD8" w:rsidP="007C17C6">
            <w:pPr>
              <w:jc w:val="center"/>
              <w:rPr>
                <w:rFonts w:ascii="Cambria" w:hAnsi="Cambria"/>
                <w:color w:val="000000"/>
                <w:sz w:val="20"/>
                <w:szCs w:val="20"/>
              </w:rPr>
            </w:pPr>
            <w:r w:rsidRPr="000A5982">
              <w:rPr>
                <w:rFonts w:ascii="Cambria" w:hAnsi="Cambria"/>
                <w:color w:val="000000"/>
                <w:sz w:val="20"/>
                <w:szCs w:val="20"/>
              </w:rPr>
              <w:t>0,00</w:t>
            </w:r>
          </w:p>
        </w:tc>
      </w:tr>
      <w:tr w:rsidR="00EF4FD8" w:rsidRPr="0099704B" w14:paraId="63440259" w14:textId="77777777" w:rsidTr="007C17C6">
        <w:trPr>
          <w:cantSplit/>
          <w:trHeight w:val="420"/>
        </w:trPr>
        <w:tc>
          <w:tcPr>
            <w:tcW w:w="1860" w:type="dxa"/>
            <w:tcBorders>
              <w:top w:val="nil"/>
              <w:left w:val="single" w:sz="8" w:space="0" w:color="auto"/>
              <w:bottom w:val="single" w:sz="4" w:space="0" w:color="auto"/>
              <w:right w:val="nil"/>
            </w:tcBorders>
            <w:noWrap/>
            <w:vAlign w:val="center"/>
            <w:hideMark/>
          </w:tcPr>
          <w:p w14:paraId="7BD1289E"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szCs w:val="20"/>
                <w14:ligatures w14:val="standardContextual"/>
              </w:rPr>
              <w:t>Belice</w:t>
            </w:r>
          </w:p>
        </w:tc>
        <w:tc>
          <w:tcPr>
            <w:tcW w:w="2560" w:type="dxa"/>
            <w:tcBorders>
              <w:top w:val="nil"/>
              <w:left w:val="single" w:sz="8" w:space="0" w:color="auto"/>
              <w:bottom w:val="single" w:sz="4" w:space="0" w:color="auto"/>
              <w:right w:val="single" w:sz="8" w:space="0" w:color="auto"/>
            </w:tcBorders>
            <w:noWrap/>
            <w:vAlign w:val="center"/>
            <w:hideMark/>
          </w:tcPr>
          <w:p w14:paraId="22103813" w14:textId="77777777" w:rsidR="00EF4FD8" w:rsidRPr="000A5982" w:rsidRDefault="00EF4FD8" w:rsidP="007C17C6">
            <w:pPr>
              <w:jc w:val="center"/>
              <w:rPr>
                <w:rFonts w:ascii="Cambria" w:hAnsi="Cambria"/>
                <w:color w:val="000000"/>
                <w:sz w:val="20"/>
                <w:szCs w:val="20"/>
              </w:rPr>
            </w:pPr>
            <w:r w:rsidRPr="000A5982">
              <w:rPr>
                <w:rFonts w:ascii="Cambria" w:hAnsi="Cambria"/>
                <w:color w:val="000000"/>
                <w:sz w:val="20"/>
                <w:szCs w:val="20"/>
              </w:rPr>
              <w:t>5,82</w:t>
            </w:r>
          </w:p>
        </w:tc>
      </w:tr>
      <w:tr w:rsidR="00EF4FD8" w:rsidRPr="0099704B" w14:paraId="401CCA9A" w14:textId="77777777" w:rsidTr="007C17C6">
        <w:trPr>
          <w:cantSplit/>
          <w:trHeight w:val="420"/>
        </w:trPr>
        <w:tc>
          <w:tcPr>
            <w:tcW w:w="1860" w:type="dxa"/>
            <w:tcBorders>
              <w:top w:val="nil"/>
              <w:left w:val="single" w:sz="8" w:space="0" w:color="auto"/>
              <w:bottom w:val="single" w:sz="4" w:space="0" w:color="auto"/>
              <w:right w:val="nil"/>
            </w:tcBorders>
            <w:noWrap/>
            <w:vAlign w:val="center"/>
            <w:hideMark/>
          </w:tcPr>
          <w:p w14:paraId="431AFB2E"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szCs w:val="20"/>
                <w14:ligatures w14:val="standardContextual"/>
              </w:rPr>
              <w:t>Brasil</w:t>
            </w:r>
          </w:p>
        </w:tc>
        <w:tc>
          <w:tcPr>
            <w:tcW w:w="2560" w:type="dxa"/>
            <w:tcBorders>
              <w:top w:val="nil"/>
              <w:left w:val="single" w:sz="8" w:space="0" w:color="auto"/>
              <w:bottom w:val="single" w:sz="4" w:space="0" w:color="auto"/>
              <w:right w:val="single" w:sz="8" w:space="0" w:color="auto"/>
            </w:tcBorders>
            <w:noWrap/>
            <w:vAlign w:val="center"/>
            <w:hideMark/>
          </w:tcPr>
          <w:p w14:paraId="7D22EE4C" w14:textId="77777777" w:rsidR="00EF4FD8" w:rsidRPr="000A5982" w:rsidRDefault="00EF4FD8" w:rsidP="007C17C6">
            <w:pPr>
              <w:jc w:val="center"/>
              <w:rPr>
                <w:rFonts w:ascii="Cambria" w:hAnsi="Cambria"/>
                <w:color w:val="000000"/>
                <w:sz w:val="20"/>
                <w:szCs w:val="20"/>
              </w:rPr>
            </w:pPr>
            <w:r w:rsidRPr="000A5982">
              <w:rPr>
                <w:rFonts w:ascii="Cambria" w:hAnsi="Cambria"/>
                <w:color w:val="000000"/>
                <w:sz w:val="20"/>
                <w:szCs w:val="20"/>
              </w:rPr>
              <w:t xml:space="preserve"> 41,19</w:t>
            </w:r>
          </w:p>
        </w:tc>
      </w:tr>
      <w:tr w:rsidR="00EF4FD8" w:rsidRPr="0099704B" w14:paraId="49D46380" w14:textId="77777777" w:rsidTr="007C17C6">
        <w:trPr>
          <w:cantSplit/>
          <w:trHeight w:val="420"/>
        </w:trPr>
        <w:tc>
          <w:tcPr>
            <w:tcW w:w="1860" w:type="dxa"/>
            <w:tcBorders>
              <w:top w:val="nil"/>
              <w:left w:val="single" w:sz="8" w:space="0" w:color="auto"/>
              <w:bottom w:val="single" w:sz="4" w:space="0" w:color="auto"/>
              <w:right w:val="nil"/>
            </w:tcBorders>
            <w:noWrap/>
            <w:vAlign w:val="center"/>
            <w:hideMark/>
          </w:tcPr>
          <w:p w14:paraId="2B954C7D"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szCs w:val="20"/>
                <w14:ligatures w14:val="standardContextual"/>
              </w:rPr>
              <w:t>China R.P.</w:t>
            </w:r>
          </w:p>
        </w:tc>
        <w:tc>
          <w:tcPr>
            <w:tcW w:w="2560" w:type="dxa"/>
            <w:tcBorders>
              <w:top w:val="nil"/>
              <w:left w:val="single" w:sz="8" w:space="0" w:color="auto"/>
              <w:bottom w:val="single" w:sz="4" w:space="0" w:color="auto"/>
              <w:right w:val="single" w:sz="8" w:space="0" w:color="auto"/>
            </w:tcBorders>
            <w:noWrap/>
            <w:vAlign w:val="center"/>
            <w:hideMark/>
          </w:tcPr>
          <w:p w14:paraId="19A42962" w14:textId="77777777" w:rsidR="00EF4FD8" w:rsidRPr="000A5982" w:rsidRDefault="00EF4FD8" w:rsidP="007C17C6">
            <w:pPr>
              <w:jc w:val="center"/>
              <w:rPr>
                <w:rFonts w:ascii="Cambria" w:hAnsi="Cambria"/>
                <w:color w:val="000000"/>
                <w:sz w:val="20"/>
                <w:szCs w:val="20"/>
              </w:rPr>
            </w:pPr>
            <w:r w:rsidRPr="000A5982">
              <w:rPr>
                <w:rFonts w:ascii="Cambria" w:hAnsi="Cambria"/>
                <w:color w:val="000000"/>
                <w:sz w:val="20"/>
                <w:szCs w:val="20"/>
              </w:rPr>
              <w:t>1,28</w:t>
            </w:r>
          </w:p>
        </w:tc>
      </w:tr>
      <w:tr w:rsidR="00EF4FD8" w:rsidRPr="0099704B" w14:paraId="2F38EE48" w14:textId="77777777" w:rsidTr="007C17C6">
        <w:trPr>
          <w:cantSplit/>
          <w:trHeight w:val="420"/>
        </w:trPr>
        <w:tc>
          <w:tcPr>
            <w:tcW w:w="1860" w:type="dxa"/>
            <w:tcBorders>
              <w:top w:val="single" w:sz="4" w:space="0" w:color="auto"/>
              <w:left w:val="single" w:sz="8" w:space="0" w:color="auto"/>
              <w:bottom w:val="single" w:sz="4" w:space="0" w:color="auto"/>
              <w:right w:val="nil"/>
            </w:tcBorders>
            <w:noWrap/>
            <w:vAlign w:val="center"/>
            <w:hideMark/>
          </w:tcPr>
          <w:p w14:paraId="73FA099A"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szCs w:val="20"/>
                <w14:ligatures w14:val="standardContextual"/>
              </w:rPr>
              <w:t>Taipei Chino</w:t>
            </w:r>
          </w:p>
        </w:tc>
        <w:tc>
          <w:tcPr>
            <w:tcW w:w="2560" w:type="dxa"/>
            <w:tcBorders>
              <w:top w:val="single" w:sz="4" w:space="0" w:color="auto"/>
              <w:left w:val="single" w:sz="8" w:space="0" w:color="auto"/>
              <w:bottom w:val="single" w:sz="4" w:space="0" w:color="auto"/>
              <w:right w:val="single" w:sz="8" w:space="0" w:color="auto"/>
            </w:tcBorders>
            <w:noWrap/>
            <w:vAlign w:val="center"/>
            <w:hideMark/>
          </w:tcPr>
          <w:p w14:paraId="5A4F4C8F" w14:textId="77777777" w:rsidR="00EF4FD8" w:rsidRPr="000A5982" w:rsidRDefault="00EF4FD8" w:rsidP="007C17C6">
            <w:pPr>
              <w:jc w:val="center"/>
              <w:rPr>
                <w:rFonts w:ascii="Cambria" w:hAnsi="Cambria"/>
                <w:color w:val="000000"/>
                <w:sz w:val="20"/>
                <w:szCs w:val="20"/>
              </w:rPr>
            </w:pPr>
            <w:r w:rsidRPr="000A5982">
              <w:rPr>
                <w:rFonts w:ascii="Cambria" w:hAnsi="Cambria"/>
                <w:color w:val="000000"/>
                <w:sz w:val="20"/>
                <w:szCs w:val="20"/>
              </w:rPr>
              <w:t>27,78</w:t>
            </w:r>
          </w:p>
        </w:tc>
      </w:tr>
      <w:tr w:rsidR="00EF4FD8" w:rsidRPr="0099704B" w14:paraId="39795AEF" w14:textId="77777777" w:rsidTr="007C17C6">
        <w:trPr>
          <w:cantSplit/>
          <w:trHeight w:val="420"/>
        </w:trPr>
        <w:tc>
          <w:tcPr>
            <w:tcW w:w="1860" w:type="dxa"/>
            <w:tcBorders>
              <w:top w:val="nil"/>
              <w:left w:val="single" w:sz="8" w:space="0" w:color="auto"/>
              <w:bottom w:val="single" w:sz="4" w:space="0" w:color="auto"/>
              <w:right w:val="nil"/>
            </w:tcBorders>
            <w:noWrap/>
            <w:vAlign w:val="center"/>
            <w:hideMark/>
          </w:tcPr>
          <w:p w14:paraId="3619FBF3"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szCs w:val="20"/>
                <w14:ligatures w14:val="standardContextual"/>
              </w:rPr>
              <w:t>Côte d’Ivoire</w:t>
            </w:r>
          </w:p>
        </w:tc>
        <w:tc>
          <w:tcPr>
            <w:tcW w:w="2560" w:type="dxa"/>
            <w:tcBorders>
              <w:top w:val="nil"/>
              <w:left w:val="single" w:sz="8" w:space="0" w:color="auto"/>
              <w:bottom w:val="single" w:sz="4" w:space="0" w:color="auto"/>
              <w:right w:val="single" w:sz="8" w:space="0" w:color="auto"/>
            </w:tcBorders>
            <w:noWrap/>
            <w:vAlign w:val="center"/>
            <w:hideMark/>
          </w:tcPr>
          <w:p w14:paraId="1DE3712C" w14:textId="77777777" w:rsidR="00EF4FD8" w:rsidRPr="000A5982" w:rsidRDefault="00EF4FD8" w:rsidP="007C17C6">
            <w:pPr>
              <w:jc w:val="center"/>
              <w:rPr>
                <w:rFonts w:ascii="Cambria" w:hAnsi="Cambria"/>
                <w:color w:val="000000"/>
                <w:sz w:val="20"/>
                <w:szCs w:val="20"/>
              </w:rPr>
            </w:pPr>
            <w:r w:rsidRPr="000A5982">
              <w:rPr>
                <w:rFonts w:ascii="Cambria" w:hAnsi="Cambria"/>
                <w:color w:val="000000"/>
                <w:sz w:val="20"/>
                <w:szCs w:val="20"/>
              </w:rPr>
              <w:t xml:space="preserve"> 3,75</w:t>
            </w:r>
          </w:p>
        </w:tc>
      </w:tr>
      <w:tr w:rsidR="00EF4FD8" w:rsidRPr="0099704B" w14:paraId="20C07CC0" w14:textId="77777777" w:rsidTr="007C17C6">
        <w:trPr>
          <w:cantSplit/>
          <w:trHeight w:val="420"/>
        </w:trPr>
        <w:tc>
          <w:tcPr>
            <w:tcW w:w="1860" w:type="dxa"/>
            <w:tcBorders>
              <w:top w:val="nil"/>
              <w:left w:val="single" w:sz="8" w:space="0" w:color="auto"/>
              <w:bottom w:val="single" w:sz="4" w:space="0" w:color="auto"/>
              <w:right w:val="nil"/>
            </w:tcBorders>
            <w:noWrap/>
            <w:vAlign w:val="center"/>
            <w:hideMark/>
          </w:tcPr>
          <w:p w14:paraId="7FA25445"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szCs w:val="20"/>
                <w14:ligatures w14:val="standardContextual"/>
              </w:rPr>
              <w:t>Curazao</w:t>
            </w:r>
          </w:p>
        </w:tc>
        <w:tc>
          <w:tcPr>
            <w:tcW w:w="2560" w:type="dxa"/>
            <w:tcBorders>
              <w:top w:val="nil"/>
              <w:left w:val="single" w:sz="8" w:space="0" w:color="auto"/>
              <w:bottom w:val="single" w:sz="4" w:space="0" w:color="auto"/>
              <w:right w:val="single" w:sz="8" w:space="0" w:color="auto"/>
            </w:tcBorders>
            <w:noWrap/>
            <w:vAlign w:val="center"/>
            <w:hideMark/>
          </w:tcPr>
          <w:p w14:paraId="1187C5EB" w14:textId="77777777" w:rsidR="00EF4FD8" w:rsidRPr="000A5982" w:rsidRDefault="00EF4FD8" w:rsidP="007C17C6">
            <w:pPr>
              <w:jc w:val="center"/>
              <w:rPr>
                <w:rFonts w:ascii="Cambria" w:hAnsi="Cambria"/>
                <w:color w:val="000000"/>
                <w:sz w:val="20"/>
                <w:szCs w:val="20"/>
              </w:rPr>
            </w:pPr>
            <w:r w:rsidRPr="000A5982">
              <w:rPr>
                <w:rFonts w:ascii="Cambria" w:hAnsi="Cambria"/>
                <w:color w:val="000000"/>
                <w:sz w:val="20"/>
                <w:szCs w:val="20"/>
              </w:rPr>
              <w:t>0,00</w:t>
            </w:r>
          </w:p>
        </w:tc>
      </w:tr>
      <w:tr w:rsidR="00EF4FD8" w:rsidRPr="0099704B" w14:paraId="421FF146" w14:textId="77777777" w:rsidTr="007C17C6">
        <w:trPr>
          <w:cantSplit/>
          <w:trHeight w:val="420"/>
        </w:trPr>
        <w:tc>
          <w:tcPr>
            <w:tcW w:w="1860" w:type="dxa"/>
            <w:tcBorders>
              <w:top w:val="nil"/>
              <w:left w:val="single" w:sz="8" w:space="0" w:color="auto"/>
              <w:bottom w:val="single" w:sz="4" w:space="0" w:color="auto"/>
              <w:right w:val="nil"/>
            </w:tcBorders>
            <w:noWrap/>
            <w:vAlign w:val="center"/>
            <w:hideMark/>
          </w:tcPr>
          <w:p w14:paraId="137E83F4"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szCs w:val="20"/>
                <w14:ligatures w14:val="standardContextual"/>
              </w:rPr>
              <w:t>El Salvador</w:t>
            </w:r>
          </w:p>
        </w:tc>
        <w:tc>
          <w:tcPr>
            <w:tcW w:w="2560" w:type="dxa"/>
            <w:tcBorders>
              <w:top w:val="nil"/>
              <w:left w:val="single" w:sz="8" w:space="0" w:color="auto"/>
              <w:bottom w:val="single" w:sz="4" w:space="0" w:color="auto"/>
              <w:right w:val="single" w:sz="8" w:space="0" w:color="auto"/>
            </w:tcBorders>
            <w:noWrap/>
            <w:vAlign w:val="center"/>
            <w:hideMark/>
          </w:tcPr>
          <w:p w14:paraId="7798F5F0" w14:textId="77777777" w:rsidR="00EF4FD8" w:rsidRPr="000A5982" w:rsidRDefault="00EF4FD8" w:rsidP="007C17C6">
            <w:pPr>
              <w:jc w:val="center"/>
              <w:rPr>
                <w:rFonts w:ascii="Cambria" w:hAnsi="Cambria"/>
                <w:color w:val="000000"/>
                <w:sz w:val="20"/>
                <w:szCs w:val="20"/>
              </w:rPr>
            </w:pPr>
            <w:r w:rsidRPr="000A5982">
              <w:rPr>
                <w:rFonts w:ascii="Cambria" w:hAnsi="Cambria"/>
                <w:color w:val="000000"/>
                <w:sz w:val="20"/>
                <w:szCs w:val="20"/>
              </w:rPr>
              <w:t>0,00</w:t>
            </w:r>
          </w:p>
        </w:tc>
      </w:tr>
      <w:tr w:rsidR="00EF4FD8" w:rsidRPr="0099704B" w14:paraId="4BF5724A" w14:textId="77777777" w:rsidTr="007C17C6">
        <w:trPr>
          <w:cantSplit/>
          <w:trHeight w:val="420"/>
        </w:trPr>
        <w:tc>
          <w:tcPr>
            <w:tcW w:w="1860" w:type="dxa"/>
            <w:tcBorders>
              <w:top w:val="nil"/>
              <w:left w:val="single" w:sz="8" w:space="0" w:color="auto"/>
              <w:bottom w:val="single" w:sz="4" w:space="0" w:color="auto"/>
              <w:right w:val="nil"/>
            </w:tcBorders>
            <w:noWrap/>
            <w:vAlign w:val="center"/>
            <w:hideMark/>
          </w:tcPr>
          <w:p w14:paraId="5E77D249"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szCs w:val="20"/>
                <w14:ligatures w14:val="standardContextual"/>
              </w:rPr>
              <w:t>Unión Europea</w:t>
            </w:r>
          </w:p>
        </w:tc>
        <w:tc>
          <w:tcPr>
            <w:tcW w:w="2560" w:type="dxa"/>
            <w:tcBorders>
              <w:top w:val="nil"/>
              <w:left w:val="single" w:sz="8" w:space="0" w:color="auto"/>
              <w:bottom w:val="single" w:sz="4" w:space="0" w:color="auto"/>
              <w:right w:val="single" w:sz="8" w:space="0" w:color="auto"/>
            </w:tcBorders>
            <w:noWrap/>
            <w:vAlign w:val="center"/>
            <w:hideMark/>
          </w:tcPr>
          <w:p w14:paraId="35CB1BC7" w14:textId="77777777" w:rsidR="00EF4FD8" w:rsidRPr="000A5982" w:rsidRDefault="00EF4FD8" w:rsidP="007C17C6">
            <w:pPr>
              <w:jc w:val="center"/>
              <w:rPr>
                <w:rFonts w:ascii="Cambria" w:hAnsi="Cambria"/>
                <w:color w:val="000000"/>
                <w:sz w:val="20"/>
                <w:szCs w:val="20"/>
              </w:rPr>
            </w:pPr>
            <w:r w:rsidRPr="000A5982">
              <w:rPr>
                <w:rFonts w:ascii="Cambria" w:hAnsi="Cambria"/>
                <w:color w:val="000000"/>
                <w:sz w:val="20"/>
                <w:szCs w:val="20"/>
              </w:rPr>
              <w:t>231,01</w:t>
            </w:r>
          </w:p>
        </w:tc>
      </w:tr>
      <w:tr w:rsidR="00EF4FD8" w:rsidRPr="0099704B" w14:paraId="2A043B57" w14:textId="77777777" w:rsidTr="007C17C6">
        <w:trPr>
          <w:cantSplit/>
          <w:trHeight w:val="420"/>
        </w:trPr>
        <w:tc>
          <w:tcPr>
            <w:tcW w:w="1860" w:type="dxa"/>
            <w:tcBorders>
              <w:top w:val="single" w:sz="4" w:space="0" w:color="auto"/>
              <w:left w:val="single" w:sz="8" w:space="0" w:color="auto"/>
              <w:bottom w:val="single" w:sz="4" w:space="0" w:color="auto"/>
              <w:right w:val="nil"/>
            </w:tcBorders>
            <w:noWrap/>
            <w:vAlign w:val="center"/>
            <w:hideMark/>
          </w:tcPr>
          <w:p w14:paraId="222E6849"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szCs w:val="20"/>
                <w14:ligatures w14:val="standardContextual"/>
              </w:rPr>
              <w:t>Ghana</w:t>
            </w:r>
          </w:p>
        </w:tc>
        <w:tc>
          <w:tcPr>
            <w:tcW w:w="2560" w:type="dxa"/>
            <w:tcBorders>
              <w:top w:val="single" w:sz="4" w:space="0" w:color="auto"/>
              <w:left w:val="single" w:sz="8" w:space="0" w:color="auto"/>
              <w:bottom w:val="single" w:sz="4" w:space="0" w:color="auto"/>
              <w:right w:val="single" w:sz="8" w:space="0" w:color="auto"/>
            </w:tcBorders>
            <w:noWrap/>
            <w:vAlign w:val="center"/>
            <w:hideMark/>
          </w:tcPr>
          <w:p w14:paraId="69638578" w14:textId="77777777" w:rsidR="00EF4FD8" w:rsidRPr="000A5982" w:rsidRDefault="00EF4FD8" w:rsidP="007C17C6">
            <w:pPr>
              <w:jc w:val="center"/>
              <w:rPr>
                <w:rFonts w:ascii="Cambria" w:hAnsi="Cambria"/>
                <w:color w:val="000000"/>
                <w:sz w:val="20"/>
                <w:szCs w:val="20"/>
              </w:rPr>
            </w:pPr>
            <w:r w:rsidRPr="000A5982">
              <w:rPr>
                <w:rFonts w:ascii="Cambria" w:hAnsi="Cambria"/>
                <w:color w:val="000000"/>
                <w:sz w:val="20"/>
                <w:szCs w:val="20"/>
              </w:rPr>
              <w:t>0,00</w:t>
            </w:r>
          </w:p>
        </w:tc>
      </w:tr>
      <w:tr w:rsidR="00EF4FD8" w:rsidRPr="0099704B" w14:paraId="5FF11C57" w14:textId="77777777" w:rsidTr="007C17C6">
        <w:trPr>
          <w:cantSplit/>
          <w:trHeight w:val="420"/>
        </w:trPr>
        <w:tc>
          <w:tcPr>
            <w:tcW w:w="1860" w:type="dxa"/>
            <w:tcBorders>
              <w:top w:val="nil"/>
              <w:left w:val="single" w:sz="8" w:space="0" w:color="auto"/>
              <w:bottom w:val="single" w:sz="4" w:space="0" w:color="auto"/>
              <w:right w:val="nil"/>
            </w:tcBorders>
            <w:noWrap/>
            <w:vAlign w:val="center"/>
            <w:hideMark/>
          </w:tcPr>
          <w:p w14:paraId="7F653DE9"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szCs w:val="20"/>
                <w14:ligatures w14:val="standardContextual"/>
              </w:rPr>
              <w:t>Guatemala</w:t>
            </w:r>
          </w:p>
        </w:tc>
        <w:tc>
          <w:tcPr>
            <w:tcW w:w="2560" w:type="dxa"/>
            <w:tcBorders>
              <w:top w:val="nil"/>
              <w:left w:val="single" w:sz="8" w:space="0" w:color="auto"/>
              <w:bottom w:val="single" w:sz="4" w:space="0" w:color="auto"/>
              <w:right w:val="single" w:sz="8" w:space="0" w:color="auto"/>
            </w:tcBorders>
            <w:noWrap/>
            <w:vAlign w:val="center"/>
            <w:hideMark/>
          </w:tcPr>
          <w:p w14:paraId="6A051485" w14:textId="77777777" w:rsidR="00EF4FD8" w:rsidRPr="000A5982" w:rsidRDefault="00EF4FD8" w:rsidP="007C17C6">
            <w:pPr>
              <w:jc w:val="center"/>
              <w:rPr>
                <w:rFonts w:ascii="Cambria" w:hAnsi="Cambria"/>
                <w:color w:val="000000"/>
                <w:sz w:val="20"/>
                <w:szCs w:val="20"/>
              </w:rPr>
            </w:pPr>
            <w:r w:rsidRPr="000A5982">
              <w:rPr>
                <w:rFonts w:ascii="Cambria" w:hAnsi="Cambria"/>
                <w:color w:val="000000"/>
                <w:sz w:val="20"/>
                <w:szCs w:val="20"/>
              </w:rPr>
              <w:t>0,00</w:t>
            </w:r>
          </w:p>
        </w:tc>
      </w:tr>
      <w:tr w:rsidR="00EF4FD8" w:rsidRPr="0099704B" w14:paraId="34BD642E" w14:textId="77777777" w:rsidTr="007C17C6">
        <w:trPr>
          <w:cantSplit/>
          <w:trHeight w:val="420"/>
        </w:trPr>
        <w:tc>
          <w:tcPr>
            <w:tcW w:w="1860" w:type="dxa"/>
            <w:tcBorders>
              <w:top w:val="nil"/>
              <w:left w:val="single" w:sz="8" w:space="0" w:color="auto"/>
              <w:bottom w:val="single" w:sz="4" w:space="0" w:color="auto"/>
              <w:right w:val="nil"/>
            </w:tcBorders>
            <w:noWrap/>
            <w:vAlign w:val="center"/>
            <w:hideMark/>
          </w:tcPr>
          <w:p w14:paraId="3FD91045"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szCs w:val="20"/>
                <w14:ligatures w14:val="standardContextual"/>
              </w:rPr>
              <w:t>Japón</w:t>
            </w:r>
          </w:p>
        </w:tc>
        <w:tc>
          <w:tcPr>
            <w:tcW w:w="2560" w:type="dxa"/>
            <w:tcBorders>
              <w:top w:val="nil"/>
              <w:left w:val="single" w:sz="8" w:space="0" w:color="auto"/>
              <w:bottom w:val="single" w:sz="4" w:space="0" w:color="auto"/>
              <w:right w:val="single" w:sz="8" w:space="0" w:color="auto"/>
            </w:tcBorders>
            <w:noWrap/>
            <w:vAlign w:val="center"/>
            <w:hideMark/>
          </w:tcPr>
          <w:p w14:paraId="0551F8AB" w14:textId="77777777" w:rsidR="00EF4FD8" w:rsidRPr="000A5982" w:rsidRDefault="00EF4FD8" w:rsidP="007C17C6">
            <w:pPr>
              <w:jc w:val="center"/>
              <w:rPr>
                <w:rFonts w:ascii="Cambria" w:hAnsi="Cambria"/>
                <w:color w:val="000000"/>
                <w:sz w:val="20"/>
                <w:szCs w:val="20"/>
              </w:rPr>
            </w:pPr>
            <w:r w:rsidRPr="000A5982">
              <w:rPr>
                <w:rFonts w:ascii="Cambria" w:hAnsi="Cambria"/>
                <w:color w:val="000000"/>
                <w:sz w:val="20"/>
                <w:szCs w:val="20"/>
              </w:rPr>
              <w:t xml:space="preserve"> 23,64</w:t>
            </w:r>
          </w:p>
        </w:tc>
      </w:tr>
      <w:tr w:rsidR="00EF4FD8" w:rsidRPr="0099704B" w14:paraId="6E87D983" w14:textId="77777777" w:rsidTr="007C17C6">
        <w:trPr>
          <w:cantSplit/>
          <w:trHeight w:val="420"/>
        </w:trPr>
        <w:tc>
          <w:tcPr>
            <w:tcW w:w="1860" w:type="dxa"/>
            <w:tcBorders>
              <w:top w:val="nil"/>
              <w:left w:val="single" w:sz="8" w:space="0" w:color="auto"/>
              <w:bottom w:val="single" w:sz="4" w:space="0" w:color="auto"/>
              <w:right w:val="nil"/>
            </w:tcBorders>
            <w:noWrap/>
            <w:vAlign w:val="center"/>
            <w:hideMark/>
          </w:tcPr>
          <w:p w14:paraId="60B90B0E"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szCs w:val="20"/>
                <w14:ligatures w14:val="standardContextual"/>
              </w:rPr>
              <w:t>Corea Rep.</w:t>
            </w:r>
          </w:p>
        </w:tc>
        <w:tc>
          <w:tcPr>
            <w:tcW w:w="2560" w:type="dxa"/>
            <w:tcBorders>
              <w:top w:val="nil"/>
              <w:left w:val="single" w:sz="8" w:space="0" w:color="auto"/>
              <w:bottom w:val="single" w:sz="4" w:space="0" w:color="auto"/>
              <w:right w:val="single" w:sz="8" w:space="0" w:color="auto"/>
            </w:tcBorders>
            <w:noWrap/>
            <w:vAlign w:val="center"/>
            <w:hideMark/>
          </w:tcPr>
          <w:p w14:paraId="35EA09D4" w14:textId="77777777" w:rsidR="00EF4FD8" w:rsidRPr="000A5982" w:rsidRDefault="00EF4FD8" w:rsidP="007C17C6">
            <w:pPr>
              <w:jc w:val="center"/>
              <w:rPr>
                <w:rFonts w:ascii="Cambria" w:hAnsi="Cambria"/>
                <w:color w:val="000000"/>
                <w:sz w:val="20"/>
                <w:szCs w:val="20"/>
              </w:rPr>
            </w:pPr>
            <w:r w:rsidRPr="000A5982">
              <w:rPr>
                <w:rFonts w:ascii="Cambria" w:hAnsi="Cambria"/>
                <w:color w:val="000000"/>
                <w:sz w:val="20"/>
                <w:szCs w:val="20"/>
              </w:rPr>
              <w:t xml:space="preserve"> 1,62</w:t>
            </w:r>
          </w:p>
        </w:tc>
      </w:tr>
      <w:tr w:rsidR="00EF4FD8" w:rsidRPr="0099704B" w14:paraId="73358AF8" w14:textId="77777777" w:rsidTr="007C17C6">
        <w:trPr>
          <w:cantSplit/>
          <w:trHeight w:val="420"/>
        </w:trPr>
        <w:tc>
          <w:tcPr>
            <w:tcW w:w="1860" w:type="dxa"/>
            <w:tcBorders>
              <w:top w:val="nil"/>
              <w:left w:val="single" w:sz="8" w:space="0" w:color="auto"/>
              <w:bottom w:val="single" w:sz="4" w:space="0" w:color="auto"/>
              <w:right w:val="nil"/>
            </w:tcBorders>
            <w:noWrap/>
            <w:vAlign w:val="center"/>
            <w:hideMark/>
          </w:tcPr>
          <w:p w14:paraId="6CB06C13"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szCs w:val="20"/>
                <w14:ligatures w14:val="standardContextual"/>
              </w:rPr>
              <w:t>Namibia</w:t>
            </w:r>
          </w:p>
        </w:tc>
        <w:tc>
          <w:tcPr>
            <w:tcW w:w="2560" w:type="dxa"/>
            <w:tcBorders>
              <w:top w:val="nil"/>
              <w:left w:val="single" w:sz="8" w:space="0" w:color="auto"/>
              <w:bottom w:val="single" w:sz="4" w:space="0" w:color="auto"/>
              <w:right w:val="single" w:sz="8" w:space="0" w:color="auto"/>
            </w:tcBorders>
            <w:noWrap/>
            <w:vAlign w:val="center"/>
            <w:hideMark/>
          </w:tcPr>
          <w:p w14:paraId="472F0DE9" w14:textId="77777777" w:rsidR="00EF4FD8" w:rsidRPr="000A5982" w:rsidRDefault="00EF4FD8" w:rsidP="007C17C6">
            <w:pPr>
              <w:jc w:val="center"/>
              <w:rPr>
                <w:rFonts w:ascii="Cambria" w:hAnsi="Cambria"/>
                <w:color w:val="000000"/>
                <w:sz w:val="20"/>
                <w:szCs w:val="20"/>
              </w:rPr>
            </w:pPr>
            <w:r w:rsidRPr="000A5982">
              <w:rPr>
                <w:rFonts w:ascii="Cambria" w:hAnsi="Cambria"/>
                <w:color w:val="000000"/>
                <w:sz w:val="20"/>
                <w:szCs w:val="20"/>
              </w:rPr>
              <w:t xml:space="preserve"> 149,95</w:t>
            </w:r>
          </w:p>
        </w:tc>
      </w:tr>
      <w:tr w:rsidR="00EF4FD8" w:rsidRPr="0099704B" w14:paraId="6F23B342" w14:textId="77777777" w:rsidTr="007C17C6">
        <w:trPr>
          <w:cantSplit/>
          <w:trHeight w:val="420"/>
        </w:trPr>
        <w:tc>
          <w:tcPr>
            <w:tcW w:w="1860" w:type="dxa"/>
            <w:tcBorders>
              <w:top w:val="nil"/>
              <w:left w:val="single" w:sz="8" w:space="0" w:color="auto"/>
              <w:bottom w:val="single" w:sz="4" w:space="0" w:color="auto"/>
              <w:right w:val="nil"/>
            </w:tcBorders>
            <w:noWrap/>
            <w:vAlign w:val="center"/>
            <w:hideMark/>
          </w:tcPr>
          <w:p w14:paraId="68213870"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szCs w:val="20"/>
                <w14:ligatures w14:val="standardContextual"/>
              </w:rPr>
              <w:t>Panamá</w:t>
            </w:r>
          </w:p>
        </w:tc>
        <w:tc>
          <w:tcPr>
            <w:tcW w:w="2560" w:type="dxa"/>
            <w:tcBorders>
              <w:top w:val="nil"/>
              <w:left w:val="single" w:sz="8" w:space="0" w:color="auto"/>
              <w:bottom w:val="single" w:sz="4" w:space="0" w:color="auto"/>
              <w:right w:val="single" w:sz="8" w:space="0" w:color="auto"/>
            </w:tcBorders>
            <w:noWrap/>
            <w:vAlign w:val="center"/>
            <w:hideMark/>
          </w:tcPr>
          <w:p w14:paraId="5D7F13B3" w14:textId="77777777" w:rsidR="00EF4FD8" w:rsidRPr="000A5982" w:rsidRDefault="00EF4FD8" w:rsidP="007C17C6">
            <w:pPr>
              <w:jc w:val="center"/>
              <w:rPr>
                <w:rFonts w:ascii="Cambria" w:hAnsi="Cambria"/>
                <w:color w:val="000000"/>
                <w:sz w:val="20"/>
                <w:szCs w:val="20"/>
              </w:rPr>
            </w:pPr>
            <w:r w:rsidRPr="000A5982">
              <w:rPr>
                <w:rFonts w:ascii="Cambria" w:hAnsi="Cambria"/>
                <w:color w:val="000000"/>
                <w:sz w:val="20"/>
                <w:szCs w:val="20"/>
              </w:rPr>
              <w:t>0,00</w:t>
            </w:r>
          </w:p>
        </w:tc>
      </w:tr>
      <w:tr w:rsidR="00EF4FD8" w:rsidRPr="0099704B" w14:paraId="7B48B3C3" w14:textId="77777777" w:rsidTr="007C17C6">
        <w:trPr>
          <w:cantSplit/>
          <w:trHeight w:val="420"/>
        </w:trPr>
        <w:tc>
          <w:tcPr>
            <w:tcW w:w="1860" w:type="dxa"/>
            <w:tcBorders>
              <w:top w:val="nil"/>
              <w:left w:val="single" w:sz="8" w:space="0" w:color="auto"/>
              <w:bottom w:val="single" w:sz="4" w:space="0" w:color="auto"/>
              <w:right w:val="nil"/>
            </w:tcBorders>
            <w:noWrap/>
            <w:vAlign w:val="center"/>
            <w:hideMark/>
          </w:tcPr>
          <w:p w14:paraId="47A0E722"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szCs w:val="20"/>
                <w14:ligatures w14:val="standardContextual"/>
              </w:rPr>
              <w:t>Filipinas</w:t>
            </w:r>
          </w:p>
        </w:tc>
        <w:tc>
          <w:tcPr>
            <w:tcW w:w="2560" w:type="dxa"/>
            <w:tcBorders>
              <w:top w:val="nil"/>
              <w:left w:val="single" w:sz="8" w:space="0" w:color="auto"/>
              <w:bottom w:val="single" w:sz="4" w:space="0" w:color="auto"/>
              <w:right w:val="single" w:sz="8" w:space="0" w:color="auto"/>
            </w:tcBorders>
            <w:noWrap/>
            <w:vAlign w:val="center"/>
            <w:hideMark/>
          </w:tcPr>
          <w:p w14:paraId="02CFDC72" w14:textId="77777777" w:rsidR="00EF4FD8" w:rsidRPr="000A5982" w:rsidRDefault="00EF4FD8" w:rsidP="007C17C6">
            <w:pPr>
              <w:jc w:val="center"/>
              <w:rPr>
                <w:rFonts w:ascii="Cambria" w:hAnsi="Cambria"/>
                <w:color w:val="000000"/>
                <w:sz w:val="20"/>
                <w:szCs w:val="20"/>
              </w:rPr>
            </w:pPr>
            <w:r w:rsidRPr="000A5982">
              <w:rPr>
                <w:rFonts w:ascii="Cambria" w:hAnsi="Cambria"/>
                <w:color w:val="000000"/>
                <w:sz w:val="20"/>
                <w:szCs w:val="20"/>
              </w:rPr>
              <w:t>1,79</w:t>
            </w:r>
          </w:p>
        </w:tc>
      </w:tr>
      <w:tr w:rsidR="00EF4FD8" w:rsidRPr="0099704B" w14:paraId="25D0A950" w14:textId="77777777" w:rsidTr="007C17C6">
        <w:trPr>
          <w:cantSplit/>
          <w:trHeight w:val="420"/>
        </w:trPr>
        <w:tc>
          <w:tcPr>
            <w:tcW w:w="1860" w:type="dxa"/>
            <w:tcBorders>
              <w:top w:val="nil"/>
              <w:left w:val="single" w:sz="8" w:space="0" w:color="auto"/>
              <w:bottom w:val="single" w:sz="4" w:space="0" w:color="auto"/>
              <w:right w:val="nil"/>
            </w:tcBorders>
            <w:noWrap/>
            <w:vAlign w:val="center"/>
            <w:hideMark/>
          </w:tcPr>
          <w:p w14:paraId="2F254272"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szCs w:val="20"/>
                <w14:ligatures w14:val="standardContextual"/>
              </w:rPr>
              <w:t>Senegal</w:t>
            </w:r>
          </w:p>
        </w:tc>
        <w:tc>
          <w:tcPr>
            <w:tcW w:w="2560" w:type="dxa"/>
            <w:tcBorders>
              <w:top w:val="nil"/>
              <w:left w:val="single" w:sz="8" w:space="0" w:color="auto"/>
              <w:bottom w:val="single" w:sz="4" w:space="0" w:color="auto"/>
              <w:right w:val="single" w:sz="8" w:space="0" w:color="auto"/>
            </w:tcBorders>
            <w:noWrap/>
            <w:vAlign w:val="center"/>
            <w:hideMark/>
          </w:tcPr>
          <w:p w14:paraId="4372CA88" w14:textId="77777777" w:rsidR="00EF4FD8" w:rsidRPr="000A5982" w:rsidRDefault="00EF4FD8" w:rsidP="007C17C6">
            <w:pPr>
              <w:jc w:val="center"/>
              <w:rPr>
                <w:rFonts w:ascii="Cambria" w:hAnsi="Cambria"/>
                <w:color w:val="000000"/>
                <w:sz w:val="20"/>
                <w:szCs w:val="20"/>
              </w:rPr>
            </w:pPr>
            <w:r w:rsidRPr="000A5982">
              <w:rPr>
                <w:rFonts w:ascii="Cambria" w:hAnsi="Cambria"/>
                <w:color w:val="000000"/>
                <w:sz w:val="20"/>
                <w:szCs w:val="20"/>
              </w:rPr>
              <w:t>1,94</w:t>
            </w:r>
          </w:p>
        </w:tc>
      </w:tr>
      <w:tr w:rsidR="00EF4FD8" w:rsidRPr="0099704B" w14:paraId="3004F67A" w14:textId="77777777" w:rsidTr="007C17C6">
        <w:trPr>
          <w:cantSplit/>
          <w:trHeight w:val="420"/>
        </w:trPr>
        <w:tc>
          <w:tcPr>
            <w:tcW w:w="1860" w:type="dxa"/>
            <w:tcBorders>
              <w:top w:val="nil"/>
              <w:left w:val="single" w:sz="8" w:space="0" w:color="auto"/>
              <w:bottom w:val="single" w:sz="4" w:space="0" w:color="auto"/>
              <w:right w:val="nil"/>
            </w:tcBorders>
            <w:noWrap/>
            <w:vAlign w:val="center"/>
            <w:hideMark/>
          </w:tcPr>
          <w:p w14:paraId="50FC16BD"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szCs w:val="20"/>
                <w14:ligatures w14:val="standardContextual"/>
              </w:rPr>
              <w:t>Sudáfrica</w:t>
            </w:r>
          </w:p>
        </w:tc>
        <w:tc>
          <w:tcPr>
            <w:tcW w:w="2560" w:type="dxa"/>
            <w:tcBorders>
              <w:top w:val="nil"/>
              <w:left w:val="single" w:sz="8" w:space="0" w:color="auto"/>
              <w:bottom w:val="single" w:sz="4" w:space="0" w:color="auto"/>
              <w:right w:val="single" w:sz="8" w:space="0" w:color="auto"/>
            </w:tcBorders>
            <w:noWrap/>
            <w:vAlign w:val="center"/>
            <w:hideMark/>
          </w:tcPr>
          <w:p w14:paraId="72011EBC" w14:textId="77777777" w:rsidR="00EF4FD8" w:rsidRPr="000A5982" w:rsidRDefault="00EF4FD8" w:rsidP="007C17C6">
            <w:pPr>
              <w:jc w:val="center"/>
              <w:rPr>
                <w:rFonts w:ascii="Cambria" w:hAnsi="Cambria"/>
                <w:color w:val="000000"/>
                <w:sz w:val="20"/>
                <w:szCs w:val="20"/>
              </w:rPr>
            </w:pPr>
            <w:r w:rsidRPr="000A5982">
              <w:rPr>
                <w:rFonts w:ascii="Cambria" w:hAnsi="Cambria"/>
                <w:color w:val="000000"/>
                <w:sz w:val="20"/>
                <w:szCs w:val="20"/>
              </w:rPr>
              <w:t>82,21</w:t>
            </w:r>
          </w:p>
        </w:tc>
      </w:tr>
      <w:tr w:rsidR="00EF4FD8" w:rsidRPr="0099704B" w14:paraId="1903D629" w14:textId="77777777" w:rsidTr="007C17C6">
        <w:trPr>
          <w:cantSplit/>
          <w:trHeight w:val="420"/>
        </w:trPr>
        <w:tc>
          <w:tcPr>
            <w:tcW w:w="1860" w:type="dxa"/>
            <w:tcBorders>
              <w:top w:val="nil"/>
              <w:left w:val="single" w:sz="8" w:space="0" w:color="auto"/>
              <w:bottom w:val="single" w:sz="4" w:space="0" w:color="auto"/>
              <w:right w:val="nil"/>
            </w:tcBorders>
            <w:noWrap/>
            <w:vAlign w:val="center"/>
            <w:hideMark/>
          </w:tcPr>
          <w:p w14:paraId="49707A9D"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szCs w:val="20"/>
                <w14:ligatures w14:val="standardContextual"/>
              </w:rPr>
              <w:t>Reino Unido - Santa Elena</w:t>
            </w:r>
          </w:p>
        </w:tc>
        <w:tc>
          <w:tcPr>
            <w:tcW w:w="2560" w:type="dxa"/>
            <w:tcBorders>
              <w:top w:val="nil"/>
              <w:left w:val="single" w:sz="8" w:space="0" w:color="auto"/>
              <w:bottom w:val="single" w:sz="4" w:space="0" w:color="auto"/>
              <w:right w:val="single" w:sz="8" w:space="0" w:color="auto"/>
            </w:tcBorders>
            <w:noWrap/>
            <w:vAlign w:val="center"/>
            <w:hideMark/>
          </w:tcPr>
          <w:p w14:paraId="7B1CC022" w14:textId="77777777" w:rsidR="00EF4FD8" w:rsidRPr="000A5982" w:rsidRDefault="00EF4FD8" w:rsidP="007C17C6">
            <w:pPr>
              <w:jc w:val="center"/>
              <w:rPr>
                <w:rFonts w:ascii="Cambria" w:hAnsi="Cambria"/>
                <w:color w:val="000000"/>
                <w:sz w:val="20"/>
                <w:szCs w:val="20"/>
              </w:rPr>
            </w:pPr>
            <w:r w:rsidRPr="000A5982">
              <w:rPr>
                <w:rFonts w:ascii="Cambria" w:hAnsi="Cambria"/>
                <w:color w:val="000000"/>
                <w:sz w:val="20"/>
                <w:szCs w:val="20"/>
              </w:rPr>
              <w:t>0,04</w:t>
            </w:r>
          </w:p>
        </w:tc>
      </w:tr>
      <w:tr w:rsidR="00EF4FD8" w:rsidRPr="0099704B" w14:paraId="7E35C9C6" w14:textId="77777777" w:rsidTr="007C17C6">
        <w:trPr>
          <w:cantSplit/>
          <w:trHeight w:val="420"/>
        </w:trPr>
        <w:tc>
          <w:tcPr>
            <w:tcW w:w="1860" w:type="dxa"/>
            <w:tcBorders>
              <w:top w:val="nil"/>
              <w:left w:val="single" w:sz="8" w:space="0" w:color="auto"/>
              <w:bottom w:val="nil"/>
              <w:right w:val="nil"/>
            </w:tcBorders>
            <w:noWrap/>
            <w:vAlign w:val="center"/>
            <w:hideMark/>
          </w:tcPr>
          <w:p w14:paraId="433B9579" w14:textId="77777777" w:rsidR="00EF4FD8" w:rsidRPr="000A5982" w:rsidRDefault="00EF4FD8" w:rsidP="007C17C6">
            <w:pPr>
              <w:rPr>
                <w:rFonts w:ascii="Cambria" w:hAnsi="Cambria"/>
                <w:color w:val="000000"/>
                <w:sz w:val="20"/>
                <w:szCs w:val="20"/>
              </w:rPr>
            </w:pPr>
            <w:r w:rsidRPr="000A5982">
              <w:rPr>
                <w:rFonts w:ascii="Cambria" w:eastAsia="Aptos" w:hAnsi="Cambria"/>
                <w:color w:val="000000"/>
                <w:kern w:val="2"/>
                <w:sz w:val="20"/>
                <w:szCs w:val="20"/>
                <w14:ligatures w14:val="standardContextual"/>
              </w:rPr>
              <w:t>Uruguay</w:t>
            </w:r>
          </w:p>
        </w:tc>
        <w:tc>
          <w:tcPr>
            <w:tcW w:w="2560" w:type="dxa"/>
            <w:tcBorders>
              <w:top w:val="nil"/>
              <w:left w:val="single" w:sz="8" w:space="0" w:color="auto"/>
              <w:bottom w:val="nil"/>
              <w:right w:val="single" w:sz="8" w:space="0" w:color="auto"/>
            </w:tcBorders>
            <w:noWrap/>
            <w:vAlign w:val="center"/>
            <w:hideMark/>
          </w:tcPr>
          <w:p w14:paraId="5FE20DBC" w14:textId="77777777" w:rsidR="00EF4FD8" w:rsidRPr="000A5982" w:rsidRDefault="00EF4FD8" w:rsidP="007C17C6">
            <w:pPr>
              <w:jc w:val="center"/>
              <w:rPr>
                <w:rFonts w:ascii="Cambria" w:hAnsi="Cambria"/>
                <w:color w:val="000000"/>
                <w:sz w:val="20"/>
                <w:szCs w:val="20"/>
              </w:rPr>
            </w:pPr>
            <w:r w:rsidRPr="000A5982">
              <w:rPr>
                <w:rFonts w:ascii="Cambria" w:hAnsi="Cambria"/>
                <w:color w:val="000000"/>
                <w:sz w:val="20"/>
                <w:szCs w:val="20"/>
              </w:rPr>
              <w:t>0,07</w:t>
            </w:r>
          </w:p>
        </w:tc>
      </w:tr>
      <w:tr w:rsidR="00EF4FD8" w:rsidRPr="0099704B" w14:paraId="4CBACC27" w14:textId="77777777" w:rsidTr="007C17C6">
        <w:trPr>
          <w:cantSplit/>
          <w:trHeight w:val="420"/>
        </w:trPr>
        <w:tc>
          <w:tcPr>
            <w:tcW w:w="1860" w:type="dxa"/>
            <w:tcBorders>
              <w:top w:val="single" w:sz="8" w:space="0" w:color="auto"/>
              <w:left w:val="single" w:sz="8" w:space="0" w:color="auto"/>
              <w:bottom w:val="single" w:sz="8" w:space="0" w:color="auto"/>
              <w:right w:val="nil"/>
            </w:tcBorders>
            <w:shd w:val="clear" w:color="000000" w:fill="D9D9D9"/>
            <w:noWrap/>
            <w:vAlign w:val="center"/>
            <w:hideMark/>
          </w:tcPr>
          <w:p w14:paraId="708AA105" w14:textId="77777777" w:rsidR="00EF4FD8" w:rsidRPr="000A5982" w:rsidRDefault="00EF4FD8" w:rsidP="007C17C6">
            <w:pPr>
              <w:jc w:val="center"/>
              <w:rPr>
                <w:rFonts w:ascii="Cambria" w:hAnsi="Cambria"/>
                <w:b/>
                <w:bCs/>
                <w:color w:val="000000"/>
                <w:sz w:val="20"/>
                <w:szCs w:val="20"/>
              </w:rPr>
            </w:pPr>
            <w:r w:rsidRPr="000A5982">
              <w:rPr>
                <w:rFonts w:ascii="Cambria" w:eastAsia="Aptos" w:hAnsi="Cambria"/>
                <w:b/>
                <w:color w:val="000000"/>
                <w:kern w:val="2"/>
                <w:sz w:val="20"/>
                <w:szCs w:val="20"/>
                <w14:ligatures w14:val="standardContextual"/>
              </w:rPr>
              <w:t>TOTAL</w:t>
            </w:r>
          </w:p>
        </w:tc>
        <w:tc>
          <w:tcPr>
            <w:tcW w:w="2560"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115032D5" w14:textId="77777777" w:rsidR="00EF4FD8" w:rsidRPr="000A5982" w:rsidRDefault="00EF4FD8" w:rsidP="007C17C6">
            <w:pPr>
              <w:jc w:val="center"/>
              <w:rPr>
                <w:rFonts w:ascii="Cambria" w:hAnsi="Cambria"/>
                <w:color w:val="000000"/>
                <w:sz w:val="20"/>
                <w:szCs w:val="20"/>
              </w:rPr>
            </w:pPr>
            <w:r w:rsidRPr="000A5982">
              <w:rPr>
                <w:rFonts w:ascii="Cambria" w:hAnsi="Cambria"/>
                <w:color w:val="000000"/>
                <w:sz w:val="20"/>
                <w:szCs w:val="20"/>
              </w:rPr>
              <w:t>572,08</w:t>
            </w:r>
          </w:p>
        </w:tc>
      </w:tr>
    </w:tbl>
    <w:p w14:paraId="3536C58B" w14:textId="77777777" w:rsidR="00EF4FD8" w:rsidRPr="0099704B" w:rsidRDefault="00EF4FD8" w:rsidP="00EF4FD8">
      <w:pPr>
        <w:jc w:val="both"/>
        <w:rPr>
          <w:rFonts w:ascii="Cambria" w:eastAsia="Aptos" w:hAnsi="Cambria"/>
          <w:color w:val="000000"/>
          <w:kern w:val="2"/>
          <w:sz w:val="20"/>
          <w:szCs w:val="20"/>
          <w:lang w:val="en-GB"/>
        </w:rPr>
      </w:pPr>
    </w:p>
    <w:p w14:paraId="11452304" w14:textId="77777777" w:rsidR="00EF4FD8" w:rsidRPr="0099704B" w:rsidRDefault="00EF4FD8" w:rsidP="00EF4FD8">
      <w:pPr>
        <w:pStyle w:val="Default"/>
        <w:jc w:val="both"/>
        <w:rPr>
          <w:rFonts w:eastAsia="Aptos"/>
          <w:i/>
          <w:kern w:val="2"/>
          <w:sz w:val="20"/>
          <w14:ligatures w14:val="standardContextual"/>
        </w:rPr>
      </w:pPr>
    </w:p>
    <w:p w14:paraId="245D08CD" w14:textId="77777777" w:rsidR="00EF4FD8" w:rsidRPr="0099704B" w:rsidRDefault="00EF4FD8" w:rsidP="00EF4FD8">
      <w:pPr>
        <w:pStyle w:val="Default"/>
        <w:jc w:val="both"/>
        <w:rPr>
          <w:rFonts w:eastAsia="Aptos"/>
          <w:i/>
          <w:kern w:val="2"/>
          <w:sz w:val="20"/>
          <w14:ligatures w14:val="standardContextual"/>
        </w:rPr>
      </w:pPr>
    </w:p>
    <w:p w14:paraId="20276ABB" w14:textId="77777777" w:rsidR="00EF4FD8" w:rsidRPr="000A5982" w:rsidRDefault="00EF4FD8" w:rsidP="00EF4FD8">
      <w:pPr>
        <w:pStyle w:val="Default"/>
        <w:jc w:val="both"/>
        <w:rPr>
          <w:rFonts w:eastAsia="Aptos"/>
          <w:b/>
          <w:bCs/>
          <w:i/>
          <w:sz w:val="20"/>
          <w:szCs w:val="20"/>
        </w:rPr>
      </w:pPr>
      <w:r w:rsidRPr="000A5982">
        <w:rPr>
          <w:rFonts w:eastAsia="Aptos"/>
          <w:b/>
          <w:i/>
          <w:sz w:val="20"/>
        </w:rPr>
        <w:t xml:space="preserve">19.33 Evaluación de la exhaustividad de los datos sobre tiburones, </w:t>
      </w:r>
      <w:hyperlink r:id="rId78" w:history="1">
        <w:r w:rsidRPr="000A5982">
          <w:rPr>
            <w:rFonts w:eastAsia="Aptos"/>
            <w:b/>
            <w:i/>
            <w:color w:val="467886"/>
            <w:sz w:val="20"/>
          </w:rPr>
          <w:t>Rec. 21-09</w:t>
        </w:r>
      </w:hyperlink>
      <w:r w:rsidRPr="000A5982">
        <w:rPr>
          <w:rFonts w:eastAsia="Aptos"/>
          <w:b/>
        </w:rPr>
        <w:t xml:space="preserve"> </w:t>
      </w:r>
      <w:r w:rsidRPr="000A5982">
        <w:rPr>
          <w:rFonts w:eastAsia="Aptos"/>
          <w:b/>
          <w:i/>
          <w:sz w:val="20"/>
        </w:rPr>
        <w:t xml:space="preserve">párr. 15 y </w:t>
      </w:r>
      <w:hyperlink r:id="rId79" w:history="1">
        <w:r w:rsidRPr="000A5982">
          <w:rPr>
            <w:rFonts w:eastAsia="Aptos"/>
            <w:b/>
            <w:i/>
            <w:color w:val="467886"/>
            <w:sz w:val="20"/>
          </w:rPr>
          <w:t>Rec. 25-08</w:t>
        </w:r>
      </w:hyperlink>
      <w:r w:rsidRPr="000A5982">
        <w:rPr>
          <w:rFonts w:eastAsia="Aptos"/>
          <w:b/>
          <w:i/>
          <w:sz w:val="20"/>
        </w:rPr>
        <w:t xml:space="preserve"> párr. 16  </w:t>
      </w:r>
    </w:p>
    <w:p w14:paraId="23363BA3" w14:textId="77777777" w:rsidR="00EF4FD8" w:rsidRPr="000A5982" w:rsidRDefault="00EF4FD8" w:rsidP="00EF4FD8">
      <w:pPr>
        <w:autoSpaceDE w:val="0"/>
        <w:autoSpaceDN w:val="0"/>
        <w:adjustRightInd w:val="0"/>
        <w:jc w:val="both"/>
        <w:rPr>
          <w:rFonts w:ascii="Cambria" w:eastAsia="Aptos" w:hAnsi="Cambria" w:cs="Cambria"/>
          <w:color w:val="000000"/>
        </w:rPr>
      </w:pPr>
    </w:p>
    <w:p w14:paraId="729A9C6D" w14:textId="77777777" w:rsidR="00EF4FD8" w:rsidRPr="000A5982" w:rsidRDefault="00EF4FD8" w:rsidP="00EF4FD8">
      <w:pPr>
        <w:autoSpaceDE w:val="0"/>
        <w:autoSpaceDN w:val="0"/>
        <w:adjustRightInd w:val="0"/>
        <w:jc w:val="both"/>
        <w:rPr>
          <w:rFonts w:ascii="Cambria" w:eastAsia="Aptos" w:hAnsi="Cambria" w:cs="Cambria"/>
          <w:i/>
          <w:color w:val="000000"/>
          <w:sz w:val="20"/>
        </w:rPr>
      </w:pPr>
      <w:r w:rsidRPr="000A5982">
        <w:rPr>
          <w:rFonts w:ascii="Cambria" w:eastAsia="Aptos" w:hAnsi="Cambria" w:cs="Cambria"/>
          <w:b/>
          <w:i/>
          <w:color w:val="000000"/>
          <w:sz w:val="20"/>
        </w:rPr>
        <w:t>Contexto:</w:t>
      </w:r>
    </w:p>
    <w:p w14:paraId="306FF4FD" w14:textId="77777777" w:rsidR="00EF4FD8" w:rsidRPr="000A5982" w:rsidRDefault="00EF4FD8" w:rsidP="00EF4FD8">
      <w:pPr>
        <w:autoSpaceDE w:val="0"/>
        <w:autoSpaceDN w:val="0"/>
        <w:adjustRightInd w:val="0"/>
        <w:jc w:val="both"/>
        <w:rPr>
          <w:rFonts w:ascii="Cambria" w:eastAsia="Aptos" w:hAnsi="Cambria" w:cs="Cambria"/>
          <w:i/>
          <w:iCs/>
          <w:color w:val="000000"/>
          <w:sz w:val="20"/>
          <w:szCs w:val="20"/>
        </w:rPr>
      </w:pPr>
      <w:r w:rsidRPr="000A5982">
        <w:rPr>
          <w:rFonts w:ascii="Cambria" w:eastAsia="Aptos" w:hAnsi="Cambria" w:cs="Cambria"/>
          <w:i/>
          <w:color w:val="000000"/>
          <w:sz w:val="20"/>
        </w:rPr>
        <w:t>(</w:t>
      </w:r>
      <w:hyperlink r:id="rId80" w:history="1">
        <w:r w:rsidRPr="000A5982">
          <w:rPr>
            <w:rFonts w:ascii="Cambria" w:eastAsia="Aptos" w:hAnsi="Cambria" w:cs="Cambria"/>
            <w:i/>
            <w:color w:val="467886"/>
            <w:sz w:val="20"/>
          </w:rPr>
          <w:t>Rec. 21-09</w:t>
        </w:r>
      </w:hyperlink>
      <w:r w:rsidRPr="000A5982">
        <w:rPr>
          <w:rFonts w:ascii="Cambria" w:eastAsia="Aptos" w:hAnsi="Cambria" w:cs="Cambria"/>
          <w:color w:val="000000"/>
        </w:rPr>
        <w:t xml:space="preserve">, </w:t>
      </w:r>
      <w:r w:rsidRPr="000A5982">
        <w:rPr>
          <w:rFonts w:ascii="Cambria" w:eastAsia="Aptos" w:hAnsi="Cambria" w:cs="Cambria"/>
          <w:i/>
          <w:color w:val="000000"/>
          <w:sz w:val="20"/>
        </w:rPr>
        <w:t>párr. 15) El SCRS evaluará que las presentaciones de datos de Tarea 1 y 2 estén completas, incluidas las estimaciones totales de los descartes de ejemplares muertos y de liberaciones de ejemplares vivos. Si, tras realizar esta evaluación, el SCRS determina que existen lagunas importantes en la comunicación de datos, o, tras la revisión prevista en el párrafo 13, que el método utilizado por una o más CPC para estimar los descartes de ejemplares muertos y las liberaciones de ejemplares vivos no está científicamente bien fundamentado, el SCRS informará a la Comisión de que los datos de dichas no son apropiados para su inclusión en el cálculo de la tolerancia de retención. En este caso, el SCRS estimará los descartes de ejemplares muertos y las liberaciones de ejemplares vivos de esas CPC para utilizarlos en el cálculo de la tolerancia de retención.</w:t>
      </w:r>
    </w:p>
    <w:p w14:paraId="52165D42" w14:textId="77777777" w:rsidR="00EF4FD8" w:rsidRPr="000A5982" w:rsidRDefault="00EF4FD8" w:rsidP="00EF4FD8">
      <w:pPr>
        <w:tabs>
          <w:tab w:val="left" w:pos="0"/>
          <w:tab w:val="left" w:pos="720"/>
          <w:tab w:val="right" w:pos="8505"/>
          <w:tab w:val="right" w:pos="9072"/>
        </w:tabs>
        <w:ind w:right="4"/>
        <w:jc w:val="both"/>
        <w:rPr>
          <w:rFonts w:ascii="Cambria" w:eastAsia="Aptos" w:hAnsi="Cambria" w:cs="Arial"/>
          <w:bCs/>
          <w:kern w:val="2"/>
          <w:sz w:val="20"/>
          <w:szCs w:val="20"/>
          <w14:ligatures w14:val="standardContextual"/>
        </w:rPr>
      </w:pPr>
    </w:p>
    <w:p w14:paraId="3F049487" w14:textId="77777777" w:rsidR="00EF4FD8" w:rsidRPr="000A5982" w:rsidRDefault="00EF4FD8" w:rsidP="00EF4FD8">
      <w:pPr>
        <w:autoSpaceDE w:val="0"/>
        <w:autoSpaceDN w:val="0"/>
        <w:adjustRightInd w:val="0"/>
        <w:jc w:val="both"/>
        <w:rPr>
          <w:rFonts w:ascii="Cambria" w:eastAsia="Aptos" w:hAnsi="Cambria" w:cs="Cambria"/>
          <w:i/>
          <w:iCs/>
          <w:color w:val="000000"/>
          <w:sz w:val="20"/>
          <w:szCs w:val="20"/>
        </w:rPr>
      </w:pPr>
      <w:r w:rsidRPr="000A5982">
        <w:rPr>
          <w:rFonts w:ascii="Cambria" w:eastAsia="Aptos" w:hAnsi="Cambria" w:cs="Cambria"/>
          <w:i/>
          <w:color w:val="000000"/>
          <w:sz w:val="20"/>
        </w:rPr>
        <w:t>(</w:t>
      </w:r>
      <w:hyperlink r:id="rId81" w:history="1">
        <w:r w:rsidRPr="000A5982">
          <w:rPr>
            <w:rFonts w:ascii="Cambria" w:eastAsia="Aptos" w:hAnsi="Cambria" w:cs="Cambria"/>
            <w:i/>
            <w:color w:val="467886"/>
            <w:sz w:val="20"/>
          </w:rPr>
          <w:t>Rec. 25-08</w:t>
        </w:r>
      </w:hyperlink>
      <w:r w:rsidRPr="000A5982">
        <w:rPr>
          <w:rFonts w:ascii="Cambria" w:eastAsia="Aptos" w:hAnsi="Cambria" w:cs="Cambria"/>
          <w:i/>
          <w:color w:val="000000"/>
          <w:sz w:val="20"/>
        </w:rPr>
        <w:t>, párr. 16) Para permitir futuras evaluaciones de stock, el SCRS evaluará que las presentaciones de datos de Tarea 1 y 2 estén completas, incluidas las estimaciones totales de los descartes de ejemplares muertos y de liberaciones de ejemplares vivos. Si, tras realizar esta evaluación, el SCRS determina que existen lagunas importantes en la comunicación de datos, o, tras la revisión prevista en el párrafo 14, que el método utilizado por una o más CPC para estimar los descartes de ejemplares muertos y las liberaciones de ejemplares vivos no está científicamente bien fundamentado, el SCRS informará a la Comisión de que los datos de dichas no son apropiados para su inclusión en el cálculo de la tolerancia de retención. En este caso, el SCRS estimará los descartes de ejemplares muertos y las liberaciones de ejemplares vivos de esas CPC para utilizarlos en el cálculo de la tolerancia de retención.</w:t>
      </w:r>
    </w:p>
    <w:p w14:paraId="2DC2D9EF" w14:textId="77777777" w:rsidR="00EF4FD8" w:rsidRPr="000A5982" w:rsidRDefault="00EF4FD8" w:rsidP="00EF4FD8">
      <w:pPr>
        <w:tabs>
          <w:tab w:val="left" w:pos="0"/>
          <w:tab w:val="left" w:pos="720"/>
          <w:tab w:val="right" w:pos="8505"/>
          <w:tab w:val="right" w:pos="9072"/>
        </w:tabs>
        <w:ind w:right="4"/>
        <w:jc w:val="both"/>
        <w:rPr>
          <w:rFonts w:ascii="Cambria" w:eastAsia="Aptos" w:hAnsi="Cambria" w:cs="Arial"/>
          <w:bCs/>
          <w:kern w:val="2"/>
          <w:sz w:val="20"/>
          <w:szCs w:val="20"/>
          <w14:ligatures w14:val="standardContextual"/>
        </w:rPr>
      </w:pPr>
    </w:p>
    <w:p w14:paraId="272F65F7" w14:textId="77777777" w:rsidR="00EF4FD8" w:rsidRPr="000A5982" w:rsidRDefault="00EF4FD8" w:rsidP="00EF4FD8">
      <w:pPr>
        <w:tabs>
          <w:tab w:val="left" w:pos="0"/>
          <w:tab w:val="left" w:pos="720"/>
          <w:tab w:val="right" w:pos="8505"/>
          <w:tab w:val="right" w:pos="9072"/>
        </w:tabs>
        <w:ind w:right="4"/>
        <w:jc w:val="both"/>
        <w:rPr>
          <w:rFonts w:ascii="Cambria" w:eastAsia="Aptos" w:hAnsi="Cambria" w:cs="Arial"/>
          <w:bCs/>
          <w:kern w:val="2"/>
          <w:sz w:val="20"/>
          <w:szCs w:val="20"/>
          <w14:ligatures w14:val="standardContextual"/>
        </w:rPr>
      </w:pPr>
      <w:r w:rsidRPr="000A5982">
        <w:rPr>
          <w:rFonts w:ascii="Cambria" w:eastAsia="Aptos" w:hAnsi="Cambria" w:cs="Arial"/>
          <w:kern w:val="2"/>
          <w:sz w:val="20"/>
          <w:szCs w:val="22"/>
          <w14:ligatures w14:val="standardContextual"/>
        </w:rPr>
        <w:t>Se revisó la exhaustividad de los datos de las Tareas 1 y 2 y se formularon preguntas que permitieron aclarar las incoherencias, con miras a calcular la tolerancia de retención. Para obtener más detalles sobre la revisión, sírvanse consultar los puntos 19.31 y 19.32 del presente informe.</w:t>
      </w:r>
    </w:p>
    <w:p w14:paraId="60677AC9" w14:textId="77777777" w:rsidR="00EF4FD8" w:rsidRPr="000A5982" w:rsidRDefault="00EF4FD8" w:rsidP="00EF4FD8">
      <w:pPr>
        <w:tabs>
          <w:tab w:val="left" w:pos="0"/>
          <w:tab w:val="left" w:pos="720"/>
          <w:tab w:val="right" w:pos="8505"/>
          <w:tab w:val="right" w:pos="9072"/>
        </w:tabs>
        <w:ind w:right="4"/>
        <w:jc w:val="both"/>
        <w:rPr>
          <w:rFonts w:ascii="Cambria" w:eastAsia="Aptos" w:hAnsi="Cambria" w:cs="Arial"/>
          <w:bCs/>
          <w:kern w:val="2"/>
          <w:sz w:val="20"/>
          <w:szCs w:val="20"/>
          <w14:ligatures w14:val="standardContextual"/>
        </w:rPr>
      </w:pPr>
    </w:p>
    <w:p w14:paraId="7CDE6AD9" w14:textId="77777777" w:rsidR="00EF4FD8" w:rsidRPr="0099704B" w:rsidRDefault="00EF4FD8" w:rsidP="00EF4FD8">
      <w:pPr>
        <w:tabs>
          <w:tab w:val="left" w:pos="0"/>
          <w:tab w:val="left" w:pos="720"/>
          <w:tab w:val="right" w:pos="8505"/>
          <w:tab w:val="right" w:pos="9072"/>
        </w:tabs>
        <w:ind w:right="4"/>
        <w:jc w:val="both"/>
        <w:rPr>
          <w:rFonts w:ascii="Cambria" w:eastAsia="Aptos" w:hAnsi="Cambria" w:cs="Arial"/>
          <w:bCs/>
          <w:kern w:val="2"/>
          <w:sz w:val="20"/>
          <w:szCs w:val="20"/>
          <w14:ligatures w14:val="standardContextual"/>
        </w:rPr>
      </w:pPr>
      <w:r w:rsidRPr="000A5982">
        <w:rPr>
          <w:rFonts w:ascii="Cambria" w:eastAsia="Aptos" w:hAnsi="Cambria" w:cs="Arial"/>
          <w:kern w:val="2"/>
          <w:sz w:val="20"/>
          <w:szCs w:val="22"/>
          <w14:ligatures w14:val="standardContextual"/>
        </w:rPr>
        <w:t>Como ya se había indicado con anterioridad, el Comité expresó su preocupación en relación con la tarea solicitada por la Comisión de identificar y notificar los datos comunicados por las CPC que no resultaran apropiados. El Comité acordó trabajar con los datos más recientes disponibles en la base de datos de ICCAT, ya que se considera que constituyen la mejor información disponible.</w:t>
      </w:r>
    </w:p>
    <w:p w14:paraId="2A788B6B" w14:textId="77777777" w:rsidR="00766485" w:rsidRPr="00EF4FD8" w:rsidRDefault="00766485" w:rsidP="00766485">
      <w:pPr>
        <w:tabs>
          <w:tab w:val="left" w:pos="0"/>
          <w:tab w:val="left" w:pos="720"/>
          <w:tab w:val="right" w:pos="8505"/>
          <w:tab w:val="right" w:pos="9072"/>
        </w:tabs>
        <w:ind w:right="4"/>
        <w:jc w:val="both"/>
        <w:rPr>
          <w:rFonts w:ascii="Cambria" w:hAnsi="Cambria"/>
          <w:bCs/>
          <w:iCs/>
          <w:color w:val="000000"/>
          <w:sz w:val="20"/>
        </w:rPr>
      </w:pPr>
    </w:p>
    <w:p w14:paraId="28FC988A" w14:textId="77777777" w:rsidR="007B39C6" w:rsidRPr="00EF4FD8" w:rsidRDefault="007B39C6" w:rsidP="007B39C6">
      <w:pPr>
        <w:jc w:val="both"/>
        <w:rPr>
          <w:rFonts w:ascii="Cambria" w:hAnsi="Cambria"/>
          <w:bCs/>
          <w:iCs/>
          <w:sz w:val="20"/>
          <w:szCs w:val="20"/>
        </w:rPr>
      </w:pPr>
    </w:p>
    <w:p w14:paraId="17524503" w14:textId="62034BE7" w:rsidR="007B39C6" w:rsidRPr="008705F0" w:rsidRDefault="007B39C6" w:rsidP="007B39C6">
      <w:pPr>
        <w:jc w:val="both"/>
        <w:rPr>
          <w:rFonts w:ascii="Cambria" w:hAnsi="Cambria"/>
          <w:b/>
          <w:bCs/>
          <w:sz w:val="20"/>
          <w:szCs w:val="20"/>
          <w:lang w:val="en-US"/>
        </w:rPr>
      </w:pPr>
      <w:r w:rsidRPr="008705F0">
        <w:rPr>
          <w:rFonts w:ascii="Cambria" w:hAnsi="Cambria"/>
          <w:b/>
          <w:bCs/>
          <w:sz w:val="20"/>
          <w:szCs w:val="20"/>
          <w:lang w:val="en-US"/>
        </w:rPr>
        <w:t>Recom</w:t>
      </w:r>
      <w:r w:rsidR="00EF4FD8">
        <w:rPr>
          <w:rFonts w:ascii="Cambria" w:hAnsi="Cambria"/>
          <w:b/>
          <w:bCs/>
          <w:sz w:val="20"/>
          <w:szCs w:val="20"/>
          <w:lang w:val="en-US"/>
        </w:rPr>
        <w:t>endaciones</w:t>
      </w:r>
    </w:p>
    <w:p w14:paraId="4A2E5397" w14:textId="77777777" w:rsidR="007B39C6" w:rsidRPr="00E41357" w:rsidRDefault="007B39C6" w:rsidP="007B39C6">
      <w:pPr>
        <w:jc w:val="both"/>
        <w:rPr>
          <w:rFonts w:ascii="Cambria" w:hAnsi="Cambria"/>
          <w:sz w:val="20"/>
          <w:szCs w:val="20"/>
          <w:lang w:val="en-US"/>
        </w:rPr>
      </w:pPr>
    </w:p>
    <w:p w14:paraId="6E4996FA" w14:textId="6C6AA7B4" w:rsidR="007B39C6" w:rsidRDefault="003F5041" w:rsidP="007B39C6">
      <w:pPr>
        <w:jc w:val="both"/>
        <w:rPr>
          <w:rFonts w:ascii="Cambria" w:hAnsi="Cambria"/>
          <w:i/>
          <w:iCs/>
          <w:sz w:val="20"/>
          <w:szCs w:val="20"/>
          <w:lang w:val="en-US"/>
        </w:rPr>
      </w:pPr>
      <w:r>
        <w:rPr>
          <w:rFonts w:ascii="Cambria" w:hAnsi="Cambria"/>
          <w:i/>
          <w:iCs/>
          <w:sz w:val="20"/>
          <w:szCs w:val="20"/>
          <w:lang w:val="en-US"/>
        </w:rPr>
        <w:t>Istiofóridos</w:t>
      </w:r>
    </w:p>
    <w:p w14:paraId="01004BF2" w14:textId="77777777" w:rsidR="003F5041" w:rsidRPr="002E37A8" w:rsidRDefault="003F5041" w:rsidP="007B39C6">
      <w:pPr>
        <w:jc w:val="both"/>
        <w:rPr>
          <w:rFonts w:ascii="Cambria" w:hAnsi="Cambria"/>
          <w:i/>
          <w:iCs/>
          <w:sz w:val="20"/>
          <w:szCs w:val="20"/>
          <w:lang w:val="en-US"/>
        </w:rPr>
      </w:pPr>
    </w:p>
    <w:p w14:paraId="1735D5EE" w14:textId="77777777" w:rsidR="003F5041" w:rsidRPr="000A5982" w:rsidRDefault="003F5041" w:rsidP="003F5041">
      <w:pPr>
        <w:widowControl w:val="0"/>
        <w:numPr>
          <w:ilvl w:val="0"/>
          <w:numId w:val="2"/>
        </w:numPr>
        <w:spacing w:after="160"/>
        <w:ind w:left="426" w:hanging="426"/>
        <w:jc w:val="both"/>
        <w:rPr>
          <w:rFonts w:ascii="Cambria" w:eastAsia="Calibri" w:hAnsi="Cambria" w:cstheme="minorBidi"/>
          <w:iCs/>
          <w:kern w:val="2"/>
          <w:sz w:val="20"/>
          <w:szCs w:val="20"/>
          <w14:ligatures w14:val="standardContextual"/>
        </w:rPr>
      </w:pPr>
      <w:r w:rsidRPr="000A5982">
        <w:rPr>
          <w:rFonts w:ascii="Cambria" w:eastAsiaTheme="minorHAnsi" w:hAnsi="Cambria" w:cstheme="minorBidi"/>
          <w:kern w:val="2"/>
          <w:sz w:val="20"/>
          <w14:ligatures w14:val="standardContextual"/>
        </w:rPr>
        <w:t>El Comité recomienda mejorar las estimaciones de la mortalidad natural (M) y considerar el desarrollo de un vector de mortalidad natural M por edad para todas las especies de istiofóridos.</w:t>
      </w:r>
    </w:p>
    <w:p w14:paraId="075CD56B" w14:textId="77777777" w:rsidR="003F5041" w:rsidRPr="000A5982" w:rsidRDefault="003F5041" w:rsidP="003F5041">
      <w:pPr>
        <w:widowControl w:val="0"/>
        <w:numPr>
          <w:ilvl w:val="0"/>
          <w:numId w:val="2"/>
        </w:numPr>
        <w:spacing w:after="160"/>
        <w:ind w:left="426" w:hanging="426"/>
        <w:jc w:val="both"/>
        <w:rPr>
          <w:rFonts w:ascii="Cambria" w:eastAsia="Calibri" w:hAnsi="Cambria" w:cstheme="minorBidi"/>
          <w:iCs/>
          <w:kern w:val="2"/>
          <w:sz w:val="20"/>
          <w:szCs w:val="20"/>
          <w14:ligatures w14:val="standardContextual"/>
        </w:rPr>
      </w:pPr>
      <w:r w:rsidRPr="000A5982">
        <w:rPr>
          <w:rFonts w:ascii="Cambria" w:eastAsiaTheme="minorHAnsi" w:hAnsi="Cambria" w:cstheme="minorBidi"/>
          <w:kern w:val="2"/>
          <w:sz w:val="20"/>
          <w14:ligatures w14:val="standardContextual"/>
        </w:rPr>
        <w:t>El Comité recomienda un examen exhaustivo de los índices de abundancia de la aguja azul, la aguja blanca y el pez vela, que incluya una definición clara de las capturas utilizadas (desembarcadas únicamente o desembarcadas y descartes), la definición del esfuerzo pesquero, la fuente de los datos (cuaderno de pesca, programas de observadores, otros) y si las capturas incluyen aguja blanca estrictamente identificada frente a marlín peto. También debería incluir los factores potenciales que pueden afectar a la capturabilidad tanto en las pesquerías objetivo como en las pesquerías de captura fortuita. Asimismo, el Comité recomienda explorar la posibilidad de estimar una CPUE de palangre multiflota, como ya se ha hecho para otras especies de ICCAT, con el fin de abordar las tendencias contradictorias de la CPUE a las que se enfrentaba el Comité durante las evaluaciones de stock de istiofóridos.</w:t>
      </w:r>
    </w:p>
    <w:p w14:paraId="1A56FFF7" w14:textId="77777777" w:rsidR="003F5041" w:rsidRPr="000A5982" w:rsidRDefault="003F5041" w:rsidP="003F5041">
      <w:pPr>
        <w:numPr>
          <w:ilvl w:val="0"/>
          <w:numId w:val="5"/>
        </w:numPr>
        <w:ind w:left="426" w:hanging="426"/>
        <w:jc w:val="both"/>
        <w:rPr>
          <w:rFonts w:ascii="Cambria" w:hAnsi="Cambria"/>
          <w:iCs/>
          <w:sz w:val="20"/>
          <w:szCs w:val="20"/>
        </w:rPr>
      </w:pPr>
      <w:r w:rsidRPr="000A5982">
        <w:rPr>
          <w:rFonts w:ascii="Cambria" w:eastAsiaTheme="minorHAnsi" w:hAnsi="Cambria" w:cstheme="minorBidi"/>
          <w:kern w:val="2"/>
          <w:sz w:val="20"/>
          <w14:ligatures w14:val="standardContextual"/>
        </w:rPr>
        <w:t>El Comité tiene intención de seguir trabajando en el período 2027-2029 en las dos MSE de tiburón azul (stocks del Atlántico norte y del Atlántico sur). Concretamente para 2027, el equipo técnico trabajará en los OM con información actualizada de series temporales (utilizando la misma estructura de flota que en la última evaluación), con el objetivo de desarrollar el conjunto definitivo de modelos operativos para el MSE</w:t>
      </w:r>
      <w:r w:rsidRPr="0099704B">
        <w:rPr>
          <w:rFonts w:ascii="Cambria" w:eastAsiaTheme="minorHAnsi" w:hAnsi="Cambria" w:cstheme="minorBidi"/>
          <w:kern w:val="2"/>
          <w:sz w:val="20"/>
          <w14:ligatures w14:val="standardContextual"/>
        </w:rPr>
        <w:t xml:space="preserve">. </w:t>
      </w:r>
      <w:r w:rsidRPr="000A5982">
        <w:rPr>
          <w:rFonts w:ascii="Cambria" w:eastAsiaTheme="minorHAnsi" w:hAnsi="Cambria" w:cstheme="minorBidi"/>
          <w:kern w:val="2"/>
          <w:sz w:val="20"/>
          <w14:ligatures w14:val="standardContextual"/>
        </w:rPr>
        <w:t>Para avanzar en esta labor, el Comité recomienda que la Comisión establezca objetivos de ordenación para los stocks de tiburón azul del Atlántico norte y del Atlántico sur, incluyendo una explicación clara para el Comité sobre la importancia de abordar las interacciones entre las especies objetivo y las especies de captura fortuita en el marco del MSE, al tiempo que se mantiene un marco de un único stock.</w:t>
      </w:r>
    </w:p>
    <w:p w14:paraId="16A677CE" w14:textId="77777777" w:rsidR="003F5041" w:rsidRPr="000A5982" w:rsidRDefault="003F5041" w:rsidP="003F5041">
      <w:pPr>
        <w:jc w:val="both"/>
        <w:rPr>
          <w:rFonts w:ascii="Cambria" w:hAnsi="Cambria"/>
          <w:iCs/>
          <w:sz w:val="20"/>
          <w:szCs w:val="20"/>
        </w:rPr>
      </w:pPr>
    </w:p>
    <w:p w14:paraId="0B4EE1D8" w14:textId="77777777" w:rsidR="003F5041" w:rsidRPr="000A5982" w:rsidRDefault="003F5041" w:rsidP="003F5041">
      <w:pPr>
        <w:numPr>
          <w:ilvl w:val="0"/>
          <w:numId w:val="5"/>
        </w:numPr>
        <w:ind w:left="426" w:hanging="426"/>
        <w:jc w:val="both"/>
        <w:rPr>
          <w:rFonts w:ascii="Cambria" w:hAnsi="Cambria"/>
          <w:iCs/>
          <w:sz w:val="20"/>
          <w:szCs w:val="20"/>
        </w:rPr>
      </w:pPr>
      <w:r w:rsidRPr="000A5982">
        <w:rPr>
          <w:rFonts w:ascii="Cambria" w:eastAsiaTheme="minorHAnsi" w:hAnsi="Cambria" w:cstheme="minorBidi"/>
          <w:kern w:val="2"/>
          <w:sz w:val="20"/>
          <w14:ligatures w14:val="standardContextual"/>
        </w:rPr>
        <w:t>El Comité señaló la importancia de mejorar las estadísticas y las evaluaciones sobre los tiburones en el mar Mediterráneo y recomendó que esta cuestión se considerara prioritaria. Para 2027, el Comité recomienda centrarse en el tiburón azul como primera prioridad, pero también empezar a recopilar datos sobre las demás especies. Los planes concretos para 2027 consisten en llevar a cabo una evaluación de la población de tiburones azules del mar Mediterráneo, lo que incluye programar una reunión de preparación de datos para evaluar los datos y modelos que puedan utilizarse, así como una reunión dedicada a la evaluación de stock.</w:t>
      </w:r>
    </w:p>
    <w:p w14:paraId="3DAC67D0" w14:textId="77777777" w:rsidR="00AC3904" w:rsidRDefault="00AC3904" w:rsidP="003F5041">
      <w:pPr>
        <w:jc w:val="both"/>
        <w:rPr>
          <w:rFonts w:ascii="Cambria" w:hAnsi="Cambria"/>
          <w:bCs/>
          <w:i/>
          <w:sz w:val="20"/>
          <w:szCs w:val="20"/>
        </w:rPr>
      </w:pPr>
    </w:p>
    <w:p w14:paraId="62116AE9" w14:textId="77777777" w:rsidR="00BA405C" w:rsidRDefault="00BA405C" w:rsidP="003F5041">
      <w:pPr>
        <w:jc w:val="both"/>
        <w:rPr>
          <w:rFonts w:ascii="Cambria" w:hAnsi="Cambria"/>
          <w:bCs/>
          <w:i/>
          <w:sz w:val="20"/>
          <w:szCs w:val="20"/>
        </w:rPr>
      </w:pPr>
    </w:p>
    <w:p w14:paraId="0749F91D" w14:textId="3BE67A45" w:rsidR="00BA405C" w:rsidRDefault="00BA405C">
      <w:pPr>
        <w:spacing w:after="160" w:line="259" w:lineRule="auto"/>
        <w:rPr>
          <w:rFonts w:ascii="Cambria" w:hAnsi="Cambria"/>
          <w:bCs/>
          <w:i/>
          <w:sz w:val="20"/>
          <w:szCs w:val="20"/>
        </w:rPr>
      </w:pPr>
      <w:r>
        <w:rPr>
          <w:rFonts w:ascii="Cambria" w:hAnsi="Cambria"/>
          <w:bCs/>
          <w:i/>
          <w:sz w:val="20"/>
          <w:szCs w:val="20"/>
        </w:rPr>
        <w:br w:type="page"/>
      </w:r>
    </w:p>
    <w:p w14:paraId="2A5526BB" w14:textId="7CB16CEB" w:rsidR="003F5041" w:rsidRPr="0099704B" w:rsidRDefault="003F5041" w:rsidP="003F5041">
      <w:pPr>
        <w:jc w:val="both"/>
        <w:rPr>
          <w:rFonts w:ascii="Cambria" w:eastAsia="Aptos" w:hAnsi="Cambria"/>
          <w:bCs/>
          <w:i/>
          <w:iCs/>
          <w:kern w:val="2"/>
          <w:sz w:val="20"/>
          <w:szCs w:val="20"/>
          <w14:ligatures w14:val="standardContextual"/>
        </w:rPr>
      </w:pPr>
      <w:r w:rsidRPr="000A5982">
        <w:rPr>
          <w:rFonts w:ascii="Cambria" w:hAnsi="Cambria"/>
          <w:bCs/>
          <w:i/>
          <w:sz w:val="20"/>
          <w:szCs w:val="20"/>
        </w:rPr>
        <w:lastRenderedPageBreak/>
        <w:t xml:space="preserve">Pequeños túnidos </w:t>
      </w:r>
    </w:p>
    <w:p w14:paraId="1FBB95CC" w14:textId="77777777" w:rsidR="003F5041" w:rsidRPr="000A5982" w:rsidRDefault="003F5041" w:rsidP="003F5041">
      <w:pPr>
        <w:tabs>
          <w:tab w:val="left" w:pos="113"/>
          <w:tab w:val="left" w:pos="360"/>
        </w:tabs>
        <w:jc w:val="both"/>
        <w:rPr>
          <w:rFonts w:ascii="Cambria" w:hAnsi="Cambria"/>
          <w:i/>
          <w:sz w:val="20"/>
          <w:szCs w:val="20"/>
        </w:rPr>
      </w:pPr>
    </w:p>
    <w:p w14:paraId="7A6E7FFC" w14:textId="77777777" w:rsidR="003F5041" w:rsidRPr="000A5982" w:rsidRDefault="003F5041" w:rsidP="003F5041">
      <w:pPr>
        <w:numPr>
          <w:ilvl w:val="0"/>
          <w:numId w:val="8"/>
        </w:numPr>
        <w:jc w:val="both"/>
        <w:rPr>
          <w:rFonts w:ascii="Cambria" w:hAnsi="Cambria"/>
          <w:sz w:val="20"/>
        </w:rPr>
      </w:pPr>
      <w:r w:rsidRPr="000A5982">
        <w:rPr>
          <w:rFonts w:ascii="Cambria" w:hAnsi="Cambria"/>
          <w:sz w:val="20"/>
        </w:rPr>
        <w:t>La recogida de muestras es la base del trabajo; con este fin, y teniendo en cuenta que la recogida y el análisis de muestras constituyen la base del trabajo biológico del Grupo de especies de pequeños túnidos y que algunos de los principales capturadores de pequeños túnidos no facilitan muestras a ICCAT, el Comité recomienda que la Comisión tome nota de estos retos y encargue a la Secretaría que envíe una solicitud formal a las CPC pertinentes para que pongan a disposición de los coordinadores del Programa anual de pequeños túnidos muestras de pequeños túnidos.</w:t>
      </w:r>
    </w:p>
    <w:p w14:paraId="7C30CE52" w14:textId="77777777" w:rsidR="003F5041" w:rsidRPr="000A5982" w:rsidRDefault="003F5041" w:rsidP="003F5041">
      <w:pPr>
        <w:ind w:left="360"/>
        <w:jc w:val="both"/>
        <w:rPr>
          <w:rFonts w:ascii="Cambria" w:eastAsia="Aptos" w:hAnsi="Cambria"/>
          <w:sz w:val="20"/>
          <w:szCs w:val="20"/>
        </w:rPr>
      </w:pPr>
    </w:p>
    <w:p w14:paraId="77680FA7" w14:textId="77777777" w:rsidR="003F5041" w:rsidRPr="000A5982" w:rsidRDefault="003F5041" w:rsidP="003F5041">
      <w:pPr>
        <w:numPr>
          <w:ilvl w:val="0"/>
          <w:numId w:val="8"/>
        </w:numPr>
        <w:jc w:val="both"/>
        <w:rPr>
          <w:rFonts w:ascii="Cambria" w:hAnsi="Cambria"/>
          <w:sz w:val="20"/>
          <w:szCs w:val="20"/>
        </w:rPr>
      </w:pPr>
      <w:r w:rsidRPr="000A5982">
        <w:rPr>
          <w:rFonts w:ascii="Cambria" w:hAnsi="Cambria"/>
          <w:sz w:val="20"/>
        </w:rPr>
        <w:t>El Comité reiteró su profunda preocupación por las persistentes lagunas de datos en la base de datos estadísticos pesqueros de ICCAT y por la falta de disponibilidad de muestras biológicas necesarias para llevar a cabo los estudios requeridos para una evaluación adecuada de los stocks de pequeños túnidos. En concreto, el Comité expresó su preocupación por el hecho de que las capturas de pequeños túnidos, a pesar de su gran importancia social como fuente de proteínas para las comunidades costeras, se declaren sistemáticamente por debajo de lo real a ICCAT, y por el escaso conocimiento que se tiene sobre su ecología y biología. Este hecho se debe a muchas razones que hacen que su seguimiento sea muy difícil, entre ellas: la naturaleza artesanal de muchas pesquerías; la gran dispersión geográfica y la lejanía de los lugares de desembarque; la cobertura limitada o la ausencia completa de programas nacionales de seguimiento, que con frecuencia dan prioridad a las especies de mayor valor comercial; la falta de conocimientos técnicos en identificación de especies y protocolos de muestreo; y la insuficiente financiación de ICCAT disponible para ayudar a los países en desarrollo a reforzar sus sistemas de seguimiento. Teniendo en cuenta estos retos, el Comité recomendó:</w:t>
      </w:r>
    </w:p>
    <w:p w14:paraId="6E2D8136" w14:textId="77777777" w:rsidR="003F5041" w:rsidRPr="000A5982" w:rsidRDefault="003F5041" w:rsidP="003F5041">
      <w:pPr>
        <w:jc w:val="both"/>
        <w:rPr>
          <w:rFonts w:ascii="Cambria" w:hAnsi="Cambria"/>
          <w:sz w:val="20"/>
          <w:szCs w:val="20"/>
        </w:rPr>
      </w:pPr>
    </w:p>
    <w:p w14:paraId="62C2E515" w14:textId="77777777" w:rsidR="003F5041" w:rsidRPr="000A5982" w:rsidRDefault="003F5041" w:rsidP="003F5041">
      <w:pPr>
        <w:numPr>
          <w:ilvl w:val="0"/>
          <w:numId w:val="9"/>
        </w:numPr>
        <w:ind w:left="709"/>
        <w:jc w:val="both"/>
        <w:rPr>
          <w:rFonts w:ascii="Cambria" w:hAnsi="Cambria"/>
          <w:sz w:val="20"/>
          <w:szCs w:val="20"/>
        </w:rPr>
      </w:pPr>
      <w:r w:rsidRPr="000A5982">
        <w:rPr>
          <w:rFonts w:ascii="Cambria" w:hAnsi="Cambria"/>
          <w:sz w:val="20"/>
        </w:rPr>
        <w:t>La programación de un debate dedicado a explorar estrategias para abordar este problema, con el objetivo de desarrollar un plan a largo plazo para mejorar la recopilación de datos sobre pesquerías de pequeños túnidos en el Mediterráneo, especialmente a lo largo de la costa norte de África, en el Atlántico oriental y en el golfo de México.</w:t>
      </w:r>
    </w:p>
    <w:p w14:paraId="69DB4931" w14:textId="77777777" w:rsidR="003F5041" w:rsidRPr="000A5982" w:rsidRDefault="003F5041" w:rsidP="003F5041">
      <w:pPr>
        <w:ind w:left="709"/>
        <w:jc w:val="both"/>
        <w:rPr>
          <w:rFonts w:ascii="Cambria" w:hAnsi="Cambria"/>
          <w:sz w:val="20"/>
          <w:szCs w:val="20"/>
        </w:rPr>
      </w:pPr>
    </w:p>
    <w:p w14:paraId="1C93D297" w14:textId="77777777" w:rsidR="003F5041" w:rsidRPr="007C4AC4" w:rsidRDefault="003F5041" w:rsidP="003F5041">
      <w:pPr>
        <w:numPr>
          <w:ilvl w:val="0"/>
          <w:numId w:val="9"/>
        </w:numPr>
        <w:ind w:left="709"/>
        <w:jc w:val="both"/>
        <w:rPr>
          <w:rFonts w:ascii="Cambria" w:hAnsi="Cambria"/>
          <w:sz w:val="20"/>
          <w:szCs w:val="20"/>
        </w:rPr>
      </w:pPr>
      <w:r w:rsidRPr="007C4AC4">
        <w:rPr>
          <w:rFonts w:ascii="Cambria" w:hAnsi="Cambria"/>
          <w:sz w:val="20"/>
        </w:rPr>
        <w:t>La continuación por parte de los científicos del SCRS de las actividades de recuperación de datos/colección de datos históricos y la presentación de los resultados como documentos del SCRS al Grupo de especies de pequeños túnidos y al Subcomité de estadísticas, con el fin de mejorar las actividades previstas relacionadas con las próximas evaluaciones de stocks.</w:t>
      </w:r>
    </w:p>
    <w:p w14:paraId="6E02B302" w14:textId="77777777" w:rsidR="003F5041" w:rsidRPr="000A5982" w:rsidRDefault="003F5041" w:rsidP="003F5041">
      <w:pPr>
        <w:pStyle w:val="ListParagraph"/>
        <w:jc w:val="both"/>
        <w:rPr>
          <w:rFonts w:ascii="Cambria" w:hAnsi="Cambria"/>
          <w:sz w:val="20"/>
          <w:szCs w:val="20"/>
        </w:rPr>
      </w:pPr>
      <w:r>
        <w:rPr>
          <w:rFonts w:ascii="Cambria" w:hAnsi="Cambria"/>
          <w:sz w:val="20"/>
        </w:rPr>
        <w:t xml:space="preserve"> </w:t>
      </w:r>
    </w:p>
    <w:p w14:paraId="789A50DB" w14:textId="77777777" w:rsidR="003F5041" w:rsidRPr="000A5982" w:rsidRDefault="003F5041" w:rsidP="003F5041">
      <w:pPr>
        <w:numPr>
          <w:ilvl w:val="0"/>
          <w:numId w:val="5"/>
        </w:numPr>
        <w:jc w:val="both"/>
        <w:rPr>
          <w:rFonts w:ascii="Cambria" w:eastAsia="Aptos" w:hAnsi="Cambria"/>
          <w:sz w:val="20"/>
          <w:szCs w:val="20"/>
        </w:rPr>
      </w:pPr>
      <w:r w:rsidRPr="000A5982">
        <w:rPr>
          <w:rFonts w:ascii="Cambria" w:hAnsi="Cambria"/>
          <w:sz w:val="20"/>
        </w:rPr>
        <w:t>Estudios genéticos recientes han identificado dos grupos dentro de BON: El Grupo 1 (Côte d’Ivoire, Senegal y Marruecos) y el Grupo 2 (UE-Portugal, UE-España y Túnez), aunque la posición de UE-Malta con respecto a estos grupos aún no está clara. También se ha confirmado una distinción a nivel de especie entre la LTA del norte (UE-Portugal, Túnez) y LTA del sur; además, un análisis más detallado ha revelado heterogeneidad entre Senegal y Côte d’Ivoire, así como diferencias menores entre UE-Malta y el grupo formado por la UE-Portugal y UE-España. La inclusión de estas conclusiones en el Manual de ICCAT debería correr a cargo de un pequeño grupo de expertos, en coordinación con la Secretaría, en 2027.</w:t>
      </w:r>
    </w:p>
    <w:p w14:paraId="531CC896" w14:textId="77777777" w:rsidR="003F5041" w:rsidRPr="0099704B" w:rsidRDefault="003F5041" w:rsidP="003F5041">
      <w:pPr>
        <w:rPr>
          <w:rFonts w:ascii="Cambria" w:hAnsi="Cambria"/>
          <w:i/>
          <w:sz w:val="20"/>
        </w:rPr>
      </w:pPr>
    </w:p>
    <w:p w14:paraId="6D43AA96" w14:textId="72F20F6A" w:rsidR="003F5041" w:rsidRPr="0099704B" w:rsidRDefault="00AC3904" w:rsidP="003F5041">
      <w:pPr>
        <w:rPr>
          <w:rFonts w:ascii="Cambria" w:hAnsi="Cambria"/>
          <w:i/>
          <w:sz w:val="20"/>
        </w:rPr>
      </w:pPr>
      <w:r>
        <w:rPr>
          <w:rFonts w:ascii="Cambria" w:hAnsi="Cambria"/>
          <w:i/>
          <w:sz w:val="20"/>
        </w:rPr>
        <w:t>P</w:t>
      </w:r>
      <w:r w:rsidR="003F5041" w:rsidRPr="000A5982">
        <w:rPr>
          <w:rFonts w:ascii="Cambria" w:hAnsi="Cambria"/>
          <w:i/>
          <w:sz w:val="20"/>
        </w:rPr>
        <w:t xml:space="preserve">ez espada </w:t>
      </w:r>
    </w:p>
    <w:p w14:paraId="57F4222B" w14:textId="77777777" w:rsidR="003F5041" w:rsidRPr="0099704B" w:rsidRDefault="003F5041" w:rsidP="003F5041">
      <w:pPr>
        <w:jc w:val="both"/>
        <w:rPr>
          <w:rFonts w:ascii="Cambria" w:eastAsia="Aptos" w:hAnsi="Cambria"/>
          <w:i/>
          <w:kern w:val="2"/>
          <w:sz w:val="20"/>
          <w:szCs w:val="22"/>
          <w14:ligatures w14:val="standardContextual"/>
        </w:rPr>
      </w:pPr>
    </w:p>
    <w:p w14:paraId="4BCFB831" w14:textId="77777777" w:rsidR="003F5041" w:rsidRPr="000A5982" w:rsidRDefault="003F5041" w:rsidP="003F5041">
      <w:pPr>
        <w:suppressAutoHyphens/>
        <w:jc w:val="both"/>
        <w:rPr>
          <w:rFonts w:ascii="Cambria" w:eastAsia="Aptos" w:hAnsi="Cambria"/>
          <w:kern w:val="2"/>
          <w:sz w:val="20"/>
          <w:szCs w:val="20"/>
          <w14:ligatures w14:val="standardContextual"/>
        </w:rPr>
      </w:pPr>
      <w:r w:rsidRPr="000A5982">
        <w:rPr>
          <w:rFonts w:ascii="Cambria" w:hAnsi="Cambria"/>
          <w:sz w:val="20"/>
        </w:rPr>
        <w:t>El Comité reconoció la creciente utilización del arte de trampilla en las pesquerías de palangre de pez espada y recomendó las siguientes acciones para abordar esta cuestión:</w:t>
      </w:r>
    </w:p>
    <w:p w14:paraId="7ADA1134" w14:textId="77777777" w:rsidR="003F5041" w:rsidRPr="000A5982" w:rsidRDefault="003F5041" w:rsidP="003F5041">
      <w:pPr>
        <w:suppressAutoHyphens/>
        <w:jc w:val="both"/>
        <w:rPr>
          <w:rFonts w:ascii="Cambria" w:eastAsia="Aptos" w:hAnsi="Cambria"/>
          <w:kern w:val="2"/>
          <w:sz w:val="12"/>
          <w:szCs w:val="12"/>
          <w14:ligatures w14:val="standardContextual"/>
        </w:rPr>
      </w:pPr>
    </w:p>
    <w:p w14:paraId="1AD2FD31" w14:textId="77777777" w:rsidR="003F5041" w:rsidRPr="000A5982" w:rsidRDefault="003F5041" w:rsidP="003F5041">
      <w:pPr>
        <w:numPr>
          <w:ilvl w:val="0"/>
          <w:numId w:val="26"/>
        </w:numPr>
        <w:suppressAutoHyphens/>
        <w:spacing w:after="160"/>
        <w:ind w:left="567" w:hanging="283"/>
        <w:jc w:val="both"/>
        <w:rPr>
          <w:rFonts w:ascii="Cambria" w:eastAsia="Aptos" w:hAnsi="Cambria"/>
          <w:kern w:val="2"/>
          <w:sz w:val="20"/>
          <w:szCs w:val="20"/>
          <w14:ligatures w14:val="standardContextual"/>
        </w:rPr>
      </w:pPr>
      <w:r w:rsidRPr="000A5982">
        <w:rPr>
          <w:rFonts w:ascii="Cambria" w:hAnsi="Cambria"/>
          <w:sz w:val="20"/>
        </w:rPr>
        <w:t>que las CPC implementen medidas que permitan registrar el uso de este nuevo arte en sus cuadernos de pesca y en las bases de datos pesqueras;</w:t>
      </w:r>
    </w:p>
    <w:p w14:paraId="2B47F9AC" w14:textId="77777777" w:rsidR="003F5041" w:rsidRPr="000A5982" w:rsidRDefault="003F5041" w:rsidP="003F5041">
      <w:pPr>
        <w:numPr>
          <w:ilvl w:val="0"/>
          <w:numId w:val="26"/>
        </w:numPr>
        <w:suppressAutoHyphens/>
        <w:spacing w:after="160"/>
        <w:ind w:left="567" w:hanging="283"/>
        <w:jc w:val="both"/>
        <w:rPr>
          <w:rFonts w:ascii="Cambria" w:eastAsia="Aptos" w:hAnsi="Cambria"/>
          <w:kern w:val="2"/>
          <w:sz w:val="20"/>
          <w:szCs w:val="20"/>
          <w14:ligatures w14:val="standardContextual"/>
        </w:rPr>
      </w:pPr>
      <w:r w:rsidRPr="000A5982">
        <w:rPr>
          <w:rFonts w:ascii="Cambria" w:hAnsi="Cambria"/>
          <w:sz w:val="20"/>
        </w:rPr>
        <w:t xml:space="preserve">que las CPC y el SCRS trabajen para conocer el grado de utilización de este arte, concretamente el año inicial en que el arte entró en la pesquería y las capturas históricas asociadas; la zona (Atlántico, Mediterráneo o ambas); las flotas que utilizan el arte; el número de buques que lo utilizan; si se utiliza solo o junto con el palangre y, en tal caso, en qué proporción; </w:t>
      </w:r>
    </w:p>
    <w:p w14:paraId="03421028" w14:textId="77777777" w:rsidR="003F5041" w:rsidRPr="000A5982" w:rsidRDefault="003F5041" w:rsidP="003F5041">
      <w:pPr>
        <w:suppressAutoHyphens/>
        <w:ind w:left="567" w:hanging="283"/>
        <w:contextualSpacing/>
        <w:jc w:val="both"/>
        <w:rPr>
          <w:rFonts w:ascii="Cambria" w:eastAsia="Aptos" w:hAnsi="Cambria"/>
          <w:kern w:val="2"/>
          <w:sz w:val="8"/>
          <w:szCs w:val="8"/>
          <w14:ligatures w14:val="standardContextual"/>
        </w:rPr>
      </w:pPr>
    </w:p>
    <w:p w14:paraId="18728BC0" w14:textId="77777777" w:rsidR="003F5041" w:rsidRPr="000A5982" w:rsidRDefault="003F5041" w:rsidP="003F5041">
      <w:pPr>
        <w:numPr>
          <w:ilvl w:val="0"/>
          <w:numId w:val="26"/>
        </w:numPr>
        <w:suppressAutoHyphens/>
        <w:spacing w:after="160"/>
        <w:ind w:left="567" w:hanging="283"/>
        <w:jc w:val="both"/>
        <w:rPr>
          <w:rFonts w:ascii="Cambria" w:eastAsia="Aptos" w:hAnsi="Cambria"/>
          <w:kern w:val="2"/>
          <w:sz w:val="20"/>
          <w:szCs w:val="20"/>
          <w14:ligatures w14:val="standardContextual"/>
        </w:rPr>
      </w:pPr>
      <w:r w:rsidRPr="000A5982">
        <w:rPr>
          <w:rFonts w:ascii="Cambria" w:hAnsi="Cambria"/>
          <w:sz w:val="20"/>
        </w:rPr>
        <w:t>que las CPC y el SCRS lleven a cabo el trabajo en el análisis de la CPUE específica de este arte, tanto para las especies objetivo como las no objetivo.</w:t>
      </w:r>
    </w:p>
    <w:p w14:paraId="7D680796" w14:textId="77777777" w:rsidR="003F5041" w:rsidRPr="000A5982" w:rsidRDefault="003F5041" w:rsidP="003F5041">
      <w:pPr>
        <w:suppressAutoHyphens/>
        <w:jc w:val="both"/>
        <w:rPr>
          <w:rFonts w:ascii="Cambria" w:hAnsi="Cambria"/>
          <w:sz w:val="20"/>
        </w:rPr>
      </w:pPr>
      <w:r w:rsidRPr="000A5982">
        <w:rPr>
          <w:rFonts w:ascii="Cambria" w:hAnsi="Cambria"/>
          <w:sz w:val="20"/>
        </w:rPr>
        <w:t xml:space="preserve">El Comité reiteró la importancia de que este comprenda los datos y la metodología utilizados por las CPC para estimar los descartes de peces vivos y muertos. El Comité recordó a las CPC que aún no han presentado </w:t>
      </w:r>
      <w:r w:rsidRPr="000A5982">
        <w:rPr>
          <w:rFonts w:ascii="Cambria" w:hAnsi="Cambria"/>
          <w:sz w:val="20"/>
        </w:rPr>
        <w:lastRenderedPageBreak/>
        <w:t>la documentación o no han facilitado información suficiente a este efecto que tienen que hacerlo. Los autores de los procedimientos de estimación deberían consultar el procedimiento de revisión y la lista de comprobación que figuran en el anexo 1 del Informe de la Segunda Reunión intersesiones del Subcomité de estadística, que se publicará en el Col. Vol. Sci. Pap. ICCAT, 83(9).</w:t>
      </w:r>
    </w:p>
    <w:p w14:paraId="3E977207" w14:textId="1831EDD5" w:rsidR="00857C38" w:rsidRPr="00857C38" w:rsidRDefault="00857C38" w:rsidP="00857C38">
      <w:pPr>
        <w:jc w:val="center"/>
        <w:rPr>
          <w:rFonts w:ascii="Cambria" w:hAnsi="Cambria"/>
          <w:b/>
          <w:bCs/>
          <w:sz w:val="20"/>
          <w:szCs w:val="20"/>
          <w:lang w:val="en-US"/>
        </w:rPr>
      </w:pPr>
    </w:p>
    <w:sectPr w:rsidR="00857C38" w:rsidRPr="00857C38" w:rsidSect="009B2781">
      <w:headerReference w:type="default" r:id="rId82"/>
      <w:footerReference w:type="default" r:id="rId83"/>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A5B22" w14:textId="77777777" w:rsidR="00F01020" w:rsidRDefault="00F01020" w:rsidP="00DD4C39">
      <w:r>
        <w:separator/>
      </w:r>
    </w:p>
  </w:endnote>
  <w:endnote w:type="continuationSeparator" w:id="0">
    <w:p w14:paraId="6BFD9F4D" w14:textId="77777777" w:rsidR="00F01020" w:rsidRDefault="00F01020" w:rsidP="00DD4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Noto Sans Symbols">
    <w:altName w:val="Calibri"/>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urier 10cpi">
    <w:altName w:val="Courier New"/>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Droid Sans Fallback">
    <w:altName w:val="Times New Roman"/>
    <w:panose1 w:val="00000000000000000000"/>
    <w:charset w:val="00"/>
    <w:family w:val="roman"/>
    <w:notTrueType/>
    <w:pitch w:val="default"/>
  </w:font>
  <w:font w:name="Lohit Hindi">
    <w:altName w:val="MS Gothic"/>
    <w:charset w:val="00"/>
    <w:family w:val="auto"/>
    <w:pitch w:val="default"/>
  </w:font>
  <w:font w:name="Yu Gothic">
    <w:altName w:val="游ゴシック"/>
    <w:panose1 w:val="020B04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3931" w14:textId="5F29B062" w:rsidR="004F39B9" w:rsidRPr="004F39B9" w:rsidRDefault="00F01020" w:rsidP="004F39B9">
    <w:pPr>
      <w:tabs>
        <w:tab w:val="center" w:pos="4535"/>
        <w:tab w:val="center" w:pos="4680"/>
        <w:tab w:val="left" w:pos="6150"/>
        <w:tab w:val="right" w:pos="9360"/>
      </w:tabs>
      <w:jc w:val="center"/>
      <w:rPr>
        <w:rFonts w:ascii="Cambria" w:eastAsia="Calibri" w:hAnsi="Cambria" w:cs="Calibri"/>
        <w:sz w:val="20"/>
        <w:szCs w:val="22"/>
        <w:lang w:val="en-US"/>
      </w:rPr>
    </w:pPr>
    <w:sdt>
      <w:sdtPr>
        <w:rPr>
          <w:rFonts w:ascii="Calibri" w:eastAsia="Calibri" w:hAnsi="Calibri" w:cs="Calibri"/>
          <w:sz w:val="20"/>
          <w:szCs w:val="20"/>
          <w:lang w:val="en-US"/>
        </w:rPr>
        <w:id w:val="810910487"/>
        <w:docPartObj>
          <w:docPartGallery w:val="Page Numbers (Top of Page)"/>
          <w:docPartUnique/>
        </w:docPartObj>
      </w:sdtPr>
      <w:sdtEndPr/>
      <w:sdtContent>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PAGE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1</w:t>
        </w:r>
        <w:r w:rsidR="004F39B9" w:rsidRPr="00713AD4">
          <w:rPr>
            <w:rFonts w:ascii="Cambria" w:eastAsia="Calibri" w:hAnsi="Cambria" w:cs="Calibri"/>
            <w:sz w:val="20"/>
            <w:szCs w:val="20"/>
            <w:lang w:val="en-US"/>
          </w:rPr>
          <w:fldChar w:fldCharType="end"/>
        </w:r>
        <w:r w:rsidR="004F39B9" w:rsidRPr="00713AD4">
          <w:rPr>
            <w:rFonts w:ascii="Cambria" w:eastAsia="Calibri" w:hAnsi="Cambria" w:cs="Calibri"/>
            <w:sz w:val="20"/>
            <w:szCs w:val="20"/>
            <w:lang w:val="en-US"/>
          </w:rPr>
          <w:t xml:space="preserve"> / </w:t>
        </w:r>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NUMPAGES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2</w:t>
        </w:r>
        <w:r w:rsidR="004F39B9" w:rsidRPr="00713AD4">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072FA" w14:textId="77777777" w:rsidR="00F01020" w:rsidRDefault="00F01020" w:rsidP="00DD4C39">
      <w:r>
        <w:separator/>
      </w:r>
    </w:p>
  </w:footnote>
  <w:footnote w:type="continuationSeparator" w:id="0">
    <w:p w14:paraId="7FD055A4" w14:textId="77777777" w:rsidR="00F01020" w:rsidRDefault="00F01020" w:rsidP="00DD4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28AA" w14:textId="72CF0C3C" w:rsidR="004F39B9" w:rsidRPr="00793F38" w:rsidRDefault="00857C38" w:rsidP="004F39B9">
    <w:pPr>
      <w:tabs>
        <w:tab w:val="center" w:pos="4680"/>
        <w:tab w:val="left" w:pos="6520"/>
        <w:tab w:val="right" w:pos="9360"/>
        <w:tab w:val="right" w:pos="14240"/>
      </w:tabs>
      <w:jc w:val="right"/>
      <w:rPr>
        <w:rFonts w:ascii="Cambria" w:eastAsia="Calibri" w:hAnsi="Cambria"/>
        <w:b/>
        <w:bCs/>
        <w:sz w:val="20"/>
        <w:szCs w:val="20"/>
        <w:lang w:val="en-US"/>
      </w:rPr>
    </w:pPr>
    <w:bookmarkStart w:id="0" w:name="_Hlk107908354"/>
    <w:bookmarkStart w:id="1" w:name="_Hlk107908355"/>
    <w:bookmarkStart w:id="2" w:name="_Hlk107908359"/>
    <w:bookmarkStart w:id="3" w:name="_Hlk107908360"/>
    <w:bookmarkStart w:id="4" w:name="_Hlk107908361"/>
    <w:bookmarkStart w:id="5" w:name="_Hlk107908362"/>
    <w:r>
      <w:rPr>
        <w:rFonts w:ascii="Cambria" w:eastAsia="Calibri" w:hAnsi="Cambria"/>
        <w:b/>
        <w:bCs/>
        <w:sz w:val="20"/>
        <w:szCs w:val="20"/>
        <w:lang w:val="en-US"/>
      </w:rPr>
      <w:t>PA</w:t>
    </w:r>
    <w:r w:rsidR="00BE3023">
      <w:rPr>
        <w:rFonts w:ascii="Cambria" w:eastAsia="Calibri" w:hAnsi="Cambria"/>
        <w:b/>
        <w:bCs/>
        <w:sz w:val="20"/>
        <w:szCs w:val="20"/>
        <w:lang w:val="en-US"/>
      </w:rPr>
      <w:t>4</w:t>
    </w:r>
    <w:r w:rsidR="004F39B9" w:rsidRPr="00793F38">
      <w:rPr>
        <w:rFonts w:ascii="Cambria" w:eastAsia="Calibri" w:hAnsi="Cambria"/>
        <w:b/>
        <w:bCs/>
        <w:sz w:val="20"/>
        <w:szCs w:val="20"/>
        <w:lang w:val="en-US"/>
      </w:rPr>
      <w:t>_</w:t>
    </w:r>
    <w:r w:rsidR="00BE3023">
      <w:rPr>
        <w:rFonts w:ascii="Cambria" w:eastAsia="Calibri" w:hAnsi="Cambria"/>
        <w:b/>
        <w:bCs/>
        <w:sz w:val="20"/>
        <w:szCs w:val="20"/>
        <w:lang w:val="en-US"/>
      </w:rPr>
      <w:t>804</w:t>
    </w:r>
    <w:r w:rsidR="004F39B9" w:rsidRPr="00793F38">
      <w:rPr>
        <w:rFonts w:ascii="Cambria" w:eastAsia="Calibri" w:hAnsi="Cambria"/>
        <w:b/>
        <w:bCs/>
        <w:sz w:val="20"/>
        <w:szCs w:val="20"/>
        <w:lang w:val="en-US"/>
      </w:rPr>
      <w:t>/202</w:t>
    </w:r>
    <w:r w:rsidR="005B152F">
      <w:rPr>
        <w:rFonts w:ascii="Cambria" w:eastAsia="Calibri" w:hAnsi="Cambria"/>
        <w:b/>
        <w:bCs/>
        <w:sz w:val="20"/>
        <w:szCs w:val="20"/>
        <w:lang w:val="en-US"/>
      </w:rPr>
      <w:t>6</w:t>
    </w:r>
  </w:p>
  <w:p w14:paraId="76609AFE" w14:textId="4B6BF954" w:rsidR="004F39B9" w:rsidRPr="004F39B9" w:rsidRDefault="004F39B9" w:rsidP="004F39B9">
    <w:pPr>
      <w:tabs>
        <w:tab w:val="left" w:pos="7320"/>
      </w:tabs>
      <w:spacing w:line="240" w:lineRule="exact"/>
      <w:jc w:val="right"/>
      <w:rPr>
        <w:rFonts w:ascii="Cambria" w:hAnsi="Cambria"/>
        <w:b/>
        <w:bCs/>
        <w:sz w:val="16"/>
        <w:szCs w:val="16"/>
        <w:lang w:val="es-ES_tradnl"/>
      </w:rPr>
    </w:pPr>
    <w:r w:rsidRPr="00793F38">
      <w:rPr>
        <w:rFonts w:ascii="Cambria" w:hAnsi="Cambria"/>
        <w:b/>
        <w:bCs/>
        <w:sz w:val="16"/>
        <w:szCs w:val="16"/>
        <w:lang w:val="es-ES_tradnl"/>
      </w:rPr>
      <w:fldChar w:fldCharType="begin"/>
    </w:r>
    <w:r w:rsidRPr="00793F38">
      <w:rPr>
        <w:rFonts w:ascii="Cambria" w:hAnsi="Cambria"/>
        <w:b/>
        <w:bCs/>
        <w:sz w:val="16"/>
        <w:szCs w:val="16"/>
        <w:lang w:val="es-ES_tradnl"/>
      </w:rPr>
      <w:instrText xml:space="preserve"> TIME \@ "dd/MM/yyyy H:mm" </w:instrText>
    </w:r>
    <w:r w:rsidRPr="00793F38">
      <w:rPr>
        <w:rFonts w:ascii="Cambria" w:hAnsi="Cambria"/>
        <w:b/>
        <w:bCs/>
        <w:sz w:val="16"/>
        <w:szCs w:val="16"/>
        <w:lang w:val="es-ES_tradnl"/>
      </w:rPr>
      <w:fldChar w:fldCharType="separate"/>
    </w:r>
    <w:r w:rsidR="001719DB">
      <w:rPr>
        <w:rFonts w:ascii="Cambria" w:hAnsi="Cambria"/>
        <w:b/>
        <w:bCs/>
        <w:noProof/>
        <w:sz w:val="16"/>
        <w:szCs w:val="16"/>
        <w:lang w:val="es-ES_tradnl"/>
      </w:rPr>
      <w:t>14/10/2026 10:01</w:t>
    </w:r>
    <w:r w:rsidRPr="00793F38">
      <w:rPr>
        <w:rFonts w:ascii="Cambria" w:hAnsi="Cambria"/>
        <w:b/>
        <w:bCs/>
        <w:sz w:val="16"/>
        <w:szCs w:val="16"/>
        <w:lang w:val="es-ES_tradnl"/>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6A96"/>
    <w:multiLevelType w:val="multilevel"/>
    <w:tmpl w:val="833286B0"/>
    <w:lvl w:ilvl="0">
      <w:start w:val="4"/>
      <w:numFmt w:val="bullet"/>
      <w:lvlText w:val="-"/>
      <w:lvlJc w:val="left"/>
      <w:pPr>
        <w:ind w:left="720" w:hanging="360"/>
      </w:pPr>
      <w:rPr>
        <w:rFonts w:ascii="Cambria" w:eastAsiaTheme="minorEastAsia" w:hAnsi="Cambria"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4CC4769"/>
    <w:multiLevelType w:val="hybridMultilevel"/>
    <w:tmpl w:val="535C4CE4"/>
    <w:lvl w:ilvl="0" w:tplc="9D707C20">
      <w:start w:val="18"/>
      <w:numFmt w:val="bullet"/>
      <w:lvlText w:val="-"/>
      <w:lvlJc w:val="left"/>
      <w:pPr>
        <w:ind w:left="810" w:hanging="360"/>
      </w:pPr>
      <w:rPr>
        <w:rFonts w:ascii="Cambria" w:eastAsiaTheme="minorHAnsi" w:hAnsi="Cambria" w:cstheme="minorBidi"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0823573C"/>
    <w:multiLevelType w:val="hybridMultilevel"/>
    <w:tmpl w:val="E8361F56"/>
    <w:lvl w:ilvl="0" w:tplc="AEC2E7EA">
      <w:start w:val="1"/>
      <w:numFmt w:val="bullet"/>
      <w:lvlText w:val="-"/>
      <w:lvlJc w:val="left"/>
      <w:pPr>
        <w:ind w:left="360" w:hanging="360"/>
      </w:pPr>
      <w:rPr>
        <w:rFonts w:ascii="Cambria" w:hAnsi="Cambria"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97159FF"/>
    <w:multiLevelType w:val="hybridMultilevel"/>
    <w:tmpl w:val="682AAF8A"/>
    <w:lvl w:ilvl="0" w:tplc="EF9828C4">
      <w:start w:val="1"/>
      <w:numFmt w:val="bullet"/>
      <w:lvlText w:val="•"/>
      <w:lvlJc w:val="left"/>
      <w:pPr>
        <w:tabs>
          <w:tab w:val="num" w:pos="720"/>
        </w:tabs>
        <w:ind w:left="720" w:hanging="360"/>
      </w:pPr>
      <w:rPr>
        <w:rFonts w:ascii="Arial" w:hAnsi="Arial" w:hint="default"/>
      </w:rPr>
    </w:lvl>
    <w:lvl w:ilvl="1" w:tplc="AEC2E7EA">
      <w:start w:val="1"/>
      <w:numFmt w:val="bullet"/>
      <w:lvlText w:val="-"/>
      <w:lvlJc w:val="left"/>
      <w:pPr>
        <w:ind w:left="720" w:hanging="360"/>
      </w:pPr>
      <w:rPr>
        <w:rFonts w:ascii="Cambria" w:hAnsi="Cambria" w:hint="default"/>
      </w:rPr>
    </w:lvl>
    <w:lvl w:ilvl="2" w:tplc="E93052B6" w:tentative="1">
      <w:start w:val="1"/>
      <w:numFmt w:val="bullet"/>
      <w:lvlText w:val="•"/>
      <w:lvlJc w:val="left"/>
      <w:pPr>
        <w:tabs>
          <w:tab w:val="num" w:pos="2160"/>
        </w:tabs>
        <w:ind w:left="2160" w:hanging="360"/>
      </w:pPr>
      <w:rPr>
        <w:rFonts w:ascii="Arial" w:hAnsi="Arial" w:hint="default"/>
      </w:rPr>
    </w:lvl>
    <w:lvl w:ilvl="3" w:tplc="AA88C3DC" w:tentative="1">
      <w:start w:val="1"/>
      <w:numFmt w:val="bullet"/>
      <w:lvlText w:val="•"/>
      <w:lvlJc w:val="left"/>
      <w:pPr>
        <w:tabs>
          <w:tab w:val="num" w:pos="2880"/>
        </w:tabs>
        <w:ind w:left="2880" w:hanging="360"/>
      </w:pPr>
      <w:rPr>
        <w:rFonts w:ascii="Arial" w:hAnsi="Arial" w:hint="default"/>
      </w:rPr>
    </w:lvl>
    <w:lvl w:ilvl="4" w:tplc="605ADC5E" w:tentative="1">
      <w:start w:val="1"/>
      <w:numFmt w:val="bullet"/>
      <w:lvlText w:val="•"/>
      <w:lvlJc w:val="left"/>
      <w:pPr>
        <w:tabs>
          <w:tab w:val="num" w:pos="3600"/>
        </w:tabs>
        <w:ind w:left="3600" w:hanging="360"/>
      </w:pPr>
      <w:rPr>
        <w:rFonts w:ascii="Arial" w:hAnsi="Arial" w:hint="default"/>
      </w:rPr>
    </w:lvl>
    <w:lvl w:ilvl="5" w:tplc="B0E269F2" w:tentative="1">
      <w:start w:val="1"/>
      <w:numFmt w:val="bullet"/>
      <w:lvlText w:val="•"/>
      <w:lvlJc w:val="left"/>
      <w:pPr>
        <w:tabs>
          <w:tab w:val="num" w:pos="4320"/>
        </w:tabs>
        <w:ind w:left="4320" w:hanging="360"/>
      </w:pPr>
      <w:rPr>
        <w:rFonts w:ascii="Arial" w:hAnsi="Arial" w:hint="default"/>
      </w:rPr>
    </w:lvl>
    <w:lvl w:ilvl="6" w:tplc="C3E47CB0" w:tentative="1">
      <w:start w:val="1"/>
      <w:numFmt w:val="bullet"/>
      <w:lvlText w:val="•"/>
      <w:lvlJc w:val="left"/>
      <w:pPr>
        <w:tabs>
          <w:tab w:val="num" w:pos="5040"/>
        </w:tabs>
        <w:ind w:left="5040" w:hanging="360"/>
      </w:pPr>
      <w:rPr>
        <w:rFonts w:ascii="Arial" w:hAnsi="Arial" w:hint="default"/>
      </w:rPr>
    </w:lvl>
    <w:lvl w:ilvl="7" w:tplc="DB0CF8AE" w:tentative="1">
      <w:start w:val="1"/>
      <w:numFmt w:val="bullet"/>
      <w:lvlText w:val="•"/>
      <w:lvlJc w:val="left"/>
      <w:pPr>
        <w:tabs>
          <w:tab w:val="num" w:pos="5760"/>
        </w:tabs>
        <w:ind w:left="5760" w:hanging="360"/>
      </w:pPr>
      <w:rPr>
        <w:rFonts w:ascii="Arial" w:hAnsi="Arial" w:hint="default"/>
      </w:rPr>
    </w:lvl>
    <w:lvl w:ilvl="8" w:tplc="ED8A8BC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E0749A2"/>
    <w:multiLevelType w:val="hybridMultilevel"/>
    <w:tmpl w:val="6F544BE6"/>
    <w:lvl w:ilvl="0" w:tplc="5CC08C2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E643527"/>
    <w:multiLevelType w:val="multilevel"/>
    <w:tmpl w:val="95E853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E93A1F"/>
    <w:multiLevelType w:val="multilevel"/>
    <w:tmpl w:val="52003E70"/>
    <w:lvl w:ilvl="0">
      <w:start w:val="1"/>
      <w:numFmt w:val="decimal"/>
      <w:lvlText w:val="%1."/>
      <w:lvlJc w:val="left"/>
      <w:pPr>
        <w:ind w:left="472" w:hanging="471"/>
      </w:pPr>
      <w:rPr>
        <w:rFonts w:ascii="Cambria" w:eastAsia="Cambria" w:hAnsi="Cambria" w:cs="Cambria" w:hint="default"/>
        <w:b/>
        <w:bCs/>
        <w:i w:val="0"/>
        <w:iCs w:val="0"/>
        <w:spacing w:val="-1"/>
        <w:sz w:val="20"/>
        <w:szCs w:val="20"/>
        <w:lang w:val="en-US" w:eastAsia="en-US" w:bidi="ar-SA"/>
      </w:rPr>
    </w:lvl>
    <w:lvl w:ilvl="1">
      <w:start w:val="1"/>
      <w:numFmt w:val="lowerLetter"/>
      <w:lvlText w:val="%2)"/>
      <w:lvlJc w:val="left"/>
      <w:pPr>
        <w:ind w:left="853" w:hanging="435"/>
      </w:pPr>
      <w:rPr>
        <w:rFonts w:ascii="Cambria" w:eastAsia="Cambria" w:hAnsi="Cambria" w:cs="Cambria" w:hint="default"/>
        <w:b w:val="0"/>
        <w:bCs w:val="0"/>
        <w:i w:val="0"/>
        <w:iCs w:val="0"/>
        <w:spacing w:val="0"/>
        <w:sz w:val="20"/>
        <w:szCs w:val="20"/>
        <w:lang w:val="en-US" w:eastAsia="en-US" w:bidi="ar-SA"/>
      </w:rPr>
    </w:lvl>
    <w:lvl w:ilvl="2">
      <w:start w:val="1"/>
      <w:numFmt w:val="decimal"/>
      <w:lvlText w:val="%3."/>
      <w:lvlJc w:val="left"/>
      <w:pPr>
        <w:ind w:left="568" w:hanging="284"/>
      </w:pPr>
      <w:rPr>
        <w:rFonts w:ascii="Cambria" w:eastAsia="Cambria" w:hAnsi="Cambria" w:cs="Cambria" w:hint="default"/>
        <w:b w:val="0"/>
        <w:bCs w:val="0"/>
        <w:i w:val="0"/>
        <w:iCs w:val="0"/>
        <w:spacing w:val="0"/>
        <w:sz w:val="20"/>
        <w:szCs w:val="20"/>
        <w:lang w:val="en-US" w:eastAsia="en-US" w:bidi="ar-SA"/>
      </w:rPr>
    </w:lvl>
    <w:lvl w:ilvl="3">
      <w:start w:val="1"/>
      <w:numFmt w:val="decimal"/>
      <w:lvlText w:val="%4."/>
      <w:lvlJc w:val="left"/>
      <w:pPr>
        <w:ind w:left="568" w:hanging="284"/>
      </w:pPr>
      <w:rPr>
        <w:rFonts w:ascii="Cambria" w:eastAsia="Cambria" w:hAnsi="Cambria" w:cs="Cambria" w:hint="default"/>
        <w:b w:val="0"/>
        <w:bCs w:val="0"/>
        <w:i w:val="0"/>
        <w:iCs w:val="0"/>
        <w:spacing w:val="0"/>
        <w:sz w:val="20"/>
        <w:szCs w:val="20"/>
        <w:lang w:val="en-US" w:eastAsia="en-US" w:bidi="ar-SA"/>
      </w:rPr>
    </w:lvl>
    <w:lvl w:ilvl="4">
      <w:numFmt w:val="bullet"/>
      <w:lvlText w:val="•"/>
      <w:lvlJc w:val="left"/>
      <w:pPr>
        <w:ind w:left="2053" w:hanging="284"/>
      </w:pPr>
      <w:rPr>
        <w:lang w:val="en-US" w:eastAsia="en-US" w:bidi="ar-SA"/>
      </w:rPr>
    </w:lvl>
    <w:lvl w:ilvl="5">
      <w:numFmt w:val="bullet"/>
      <w:lvlText w:val="•"/>
      <w:lvlJc w:val="left"/>
      <w:pPr>
        <w:ind w:left="3246" w:hanging="284"/>
      </w:pPr>
      <w:rPr>
        <w:lang w:val="en-US" w:eastAsia="en-US" w:bidi="ar-SA"/>
      </w:rPr>
    </w:lvl>
    <w:lvl w:ilvl="6">
      <w:numFmt w:val="bullet"/>
      <w:lvlText w:val="•"/>
      <w:lvlJc w:val="left"/>
      <w:pPr>
        <w:ind w:left="4440" w:hanging="284"/>
      </w:pPr>
      <w:rPr>
        <w:lang w:val="en-US" w:eastAsia="en-US" w:bidi="ar-SA"/>
      </w:rPr>
    </w:lvl>
    <w:lvl w:ilvl="7">
      <w:numFmt w:val="bullet"/>
      <w:lvlText w:val="•"/>
      <w:lvlJc w:val="left"/>
      <w:pPr>
        <w:ind w:left="5633" w:hanging="284"/>
      </w:pPr>
      <w:rPr>
        <w:lang w:val="en-US" w:eastAsia="en-US" w:bidi="ar-SA"/>
      </w:rPr>
    </w:lvl>
    <w:lvl w:ilvl="8">
      <w:numFmt w:val="bullet"/>
      <w:lvlText w:val="•"/>
      <w:lvlJc w:val="left"/>
      <w:pPr>
        <w:ind w:left="6827" w:hanging="284"/>
      </w:pPr>
      <w:rPr>
        <w:lang w:val="en-US" w:eastAsia="en-US" w:bidi="ar-SA"/>
      </w:rPr>
    </w:lvl>
  </w:abstractNum>
  <w:abstractNum w:abstractNumId="7" w15:restartNumberingAfterBreak="0">
    <w:nsid w:val="10E137FA"/>
    <w:multiLevelType w:val="hybridMultilevel"/>
    <w:tmpl w:val="60889B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26031F5"/>
    <w:multiLevelType w:val="hybridMultilevel"/>
    <w:tmpl w:val="AC8CF57C"/>
    <w:lvl w:ilvl="0" w:tplc="2EB417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45370E9"/>
    <w:multiLevelType w:val="hybridMultilevel"/>
    <w:tmpl w:val="8A1AA92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3D5E1D"/>
    <w:multiLevelType w:val="hybridMultilevel"/>
    <w:tmpl w:val="49209EC6"/>
    <w:lvl w:ilvl="0" w:tplc="E0107064">
      <w:start w:val="1"/>
      <w:numFmt w:val="lowerRoman"/>
      <w:lvlText w:val="%1)"/>
      <w:lvlJc w:val="left"/>
      <w:pPr>
        <w:ind w:left="1146" w:hanging="72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15:restartNumberingAfterBreak="0">
    <w:nsid w:val="21A01CC5"/>
    <w:multiLevelType w:val="hybridMultilevel"/>
    <w:tmpl w:val="B9545746"/>
    <w:lvl w:ilvl="0" w:tplc="076065E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3847DF"/>
    <w:multiLevelType w:val="hybridMultilevel"/>
    <w:tmpl w:val="EC16A77E"/>
    <w:lvl w:ilvl="0" w:tplc="C316DA4A">
      <w:start w:val="1"/>
      <w:numFmt w:val="decimal"/>
      <w:lvlText w:val="%1."/>
      <w:lvlJc w:val="left"/>
      <w:pPr>
        <w:ind w:left="720" w:hanging="360"/>
      </w:pPr>
      <w:rPr>
        <w:rFonts w:hint="default"/>
        <w:i/>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AC54D5"/>
    <w:multiLevelType w:val="hybridMultilevel"/>
    <w:tmpl w:val="A9F4618E"/>
    <w:lvl w:ilvl="0" w:tplc="9E0E0D12">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4" w15:restartNumberingAfterBreak="0">
    <w:nsid w:val="30E74170"/>
    <w:multiLevelType w:val="hybridMultilevel"/>
    <w:tmpl w:val="2EC0C1F0"/>
    <w:lvl w:ilvl="0" w:tplc="D6C4D9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B23705"/>
    <w:multiLevelType w:val="multilevel"/>
    <w:tmpl w:val="2E2A79EC"/>
    <w:lvl w:ilvl="0">
      <w:start w:val="1"/>
      <w:numFmt w:val="lowerLetter"/>
      <w:lvlText w:val="%1)"/>
      <w:lvlJc w:val="left"/>
      <w:pPr>
        <w:ind w:left="712" w:hanging="428"/>
      </w:pPr>
      <w:rPr>
        <w:rFonts w:ascii="Cambria" w:eastAsia="Cambria" w:hAnsi="Cambria" w:cs="Cambria" w:hint="default"/>
        <w:b w:val="0"/>
        <w:bCs w:val="0"/>
        <w:i/>
        <w:iCs/>
        <w:spacing w:val="0"/>
        <w:sz w:val="20"/>
        <w:szCs w:val="20"/>
        <w:lang w:val="en-US" w:eastAsia="en-US" w:bidi="ar-SA"/>
      </w:rPr>
    </w:lvl>
    <w:lvl w:ilvl="1">
      <w:start w:val="1"/>
      <w:numFmt w:val="lowerRoman"/>
      <w:lvlText w:val="%2."/>
      <w:lvlJc w:val="left"/>
      <w:pPr>
        <w:ind w:left="1137" w:hanging="425"/>
      </w:pPr>
      <w:rPr>
        <w:rFonts w:ascii="Cambria" w:eastAsia="Cambria" w:hAnsi="Cambria" w:cs="Cambria" w:hint="default"/>
        <w:b w:val="0"/>
        <w:bCs w:val="0"/>
        <w:i w:val="0"/>
        <w:iCs w:val="0"/>
        <w:spacing w:val="-1"/>
        <w:sz w:val="20"/>
        <w:szCs w:val="20"/>
        <w:lang w:val="en-US" w:eastAsia="en-US" w:bidi="ar-SA"/>
      </w:rPr>
    </w:lvl>
    <w:lvl w:ilvl="2">
      <w:numFmt w:val="bullet"/>
      <w:lvlText w:val="•"/>
      <w:lvlJc w:val="left"/>
      <w:pPr>
        <w:ind w:left="2084" w:hanging="425"/>
      </w:pPr>
      <w:rPr>
        <w:rFonts w:hint="default"/>
        <w:lang w:val="en-US" w:eastAsia="en-US" w:bidi="ar-SA"/>
      </w:rPr>
    </w:lvl>
    <w:lvl w:ilvl="3">
      <w:numFmt w:val="bullet"/>
      <w:lvlText w:val="•"/>
      <w:lvlJc w:val="left"/>
      <w:pPr>
        <w:ind w:left="3028" w:hanging="425"/>
      </w:pPr>
      <w:rPr>
        <w:rFonts w:hint="default"/>
        <w:lang w:val="en-US" w:eastAsia="en-US" w:bidi="ar-SA"/>
      </w:rPr>
    </w:lvl>
    <w:lvl w:ilvl="4">
      <w:numFmt w:val="bullet"/>
      <w:lvlText w:val="•"/>
      <w:lvlJc w:val="left"/>
      <w:pPr>
        <w:ind w:left="3973" w:hanging="425"/>
      </w:pPr>
      <w:rPr>
        <w:rFonts w:hint="default"/>
        <w:lang w:val="en-US" w:eastAsia="en-US" w:bidi="ar-SA"/>
      </w:rPr>
    </w:lvl>
    <w:lvl w:ilvl="5">
      <w:numFmt w:val="bullet"/>
      <w:lvlText w:val="•"/>
      <w:lvlJc w:val="left"/>
      <w:pPr>
        <w:ind w:left="4917" w:hanging="425"/>
      </w:pPr>
      <w:rPr>
        <w:rFonts w:hint="default"/>
        <w:lang w:val="en-US" w:eastAsia="en-US" w:bidi="ar-SA"/>
      </w:rPr>
    </w:lvl>
    <w:lvl w:ilvl="6">
      <w:numFmt w:val="bullet"/>
      <w:lvlText w:val="•"/>
      <w:lvlJc w:val="left"/>
      <w:pPr>
        <w:ind w:left="5862" w:hanging="425"/>
      </w:pPr>
      <w:rPr>
        <w:rFonts w:hint="default"/>
        <w:lang w:val="en-US" w:eastAsia="en-US" w:bidi="ar-SA"/>
      </w:rPr>
    </w:lvl>
    <w:lvl w:ilvl="7">
      <w:numFmt w:val="bullet"/>
      <w:lvlText w:val="•"/>
      <w:lvlJc w:val="left"/>
      <w:pPr>
        <w:ind w:left="6806" w:hanging="425"/>
      </w:pPr>
      <w:rPr>
        <w:rFonts w:hint="default"/>
        <w:lang w:val="en-US" w:eastAsia="en-US" w:bidi="ar-SA"/>
      </w:rPr>
    </w:lvl>
    <w:lvl w:ilvl="8">
      <w:numFmt w:val="bullet"/>
      <w:lvlText w:val="•"/>
      <w:lvlJc w:val="left"/>
      <w:pPr>
        <w:ind w:left="7751" w:hanging="425"/>
      </w:pPr>
      <w:rPr>
        <w:rFonts w:hint="default"/>
        <w:lang w:val="en-US" w:eastAsia="en-US" w:bidi="ar-SA"/>
      </w:rPr>
    </w:lvl>
  </w:abstractNum>
  <w:abstractNum w:abstractNumId="16" w15:restartNumberingAfterBreak="0">
    <w:nsid w:val="358B4589"/>
    <w:multiLevelType w:val="hybridMultilevel"/>
    <w:tmpl w:val="0DE2D7FE"/>
    <w:lvl w:ilvl="0" w:tplc="0B4CDB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5D603F1"/>
    <w:multiLevelType w:val="hybridMultilevel"/>
    <w:tmpl w:val="850450FC"/>
    <w:lvl w:ilvl="0" w:tplc="2844199A">
      <w:start w:val="7"/>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BE2838"/>
    <w:multiLevelType w:val="multilevel"/>
    <w:tmpl w:val="1D0487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7204CB"/>
    <w:multiLevelType w:val="multilevel"/>
    <w:tmpl w:val="42DC62E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44437A28"/>
    <w:multiLevelType w:val="hybridMultilevel"/>
    <w:tmpl w:val="0F92C80E"/>
    <w:lvl w:ilvl="0" w:tplc="099047CE">
      <w:start w:val="3"/>
      <w:numFmt w:val="lowerLetter"/>
      <w:lvlText w:val="%1)"/>
      <w:lvlJc w:val="left"/>
      <w:pPr>
        <w:ind w:left="1214" w:hanging="360"/>
      </w:pPr>
      <w:rPr>
        <w:rFonts w:hint="default"/>
      </w:rPr>
    </w:lvl>
    <w:lvl w:ilvl="1" w:tplc="04090019" w:tentative="1">
      <w:start w:val="1"/>
      <w:numFmt w:val="lowerLetter"/>
      <w:lvlText w:val="%2."/>
      <w:lvlJc w:val="left"/>
      <w:pPr>
        <w:ind w:left="1934" w:hanging="360"/>
      </w:pPr>
    </w:lvl>
    <w:lvl w:ilvl="2" w:tplc="0409001B" w:tentative="1">
      <w:start w:val="1"/>
      <w:numFmt w:val="lowerRoman"/>
      <w:lvlText w:val="%3."/>
      <w:lvlJc w:val="right"/>
      <w:pPr>
        <w:ind w:left="2654" w:hanging="180"/>
      </w:pPr>
    </w:lvl>
    <w:lvl w:ilvl="3" w:tplc="0409000F" w:tentative="1">
      <w:start w:val="1"/>
      <w:numFmt w:val="decimal"/>
      <w:lvlText w:val="%4."/>
      <w:lvlJc w:val="left"/>
      <w:pPr>
        <w:ind w:left="3374" w:hanging="360"/>
      </w:pPr>
    </w:lvl>
    <w:lvl w:ilvl="4" w:tplc="04090019" w:tentative="1">
      <w:start w:val="1"/>
      <w:numFmt w:val="lowerLetter"/>
      <w:lvlText w:val="%5."/>
      <w:lvlJc w:val="left"/>
      <w:pPr>
        <w:ind w:left="4094" w:hanging="360"/>
      </w:pPr>
    </w:lvl>
    <w:lvl w:ilvl="5" w:tplc="0409001B" w:tentative="1">
      <w:start w:val="1"/>
      <w:numFmt w:val="lowerRoman"/>
      <w:lvlText w:val="%6."/>
      <w:lvlJc w:val="right"/>
      <w:pPr>
        <w:ind w:left="4814" w:hanging="180"/>
      </w:pPr>
    </w:lvl>
    <w:lvl w:ilvl="6" w:tplc="0409000F" w:tentative="1">
      <w:start w:val="1"/>
      <w:numFmt w:val="decimal"/>
      <w:lvlText w:val="%7."/>
      <w:lvlJc w:val="left"/>
      <w:pPr>
        <w:ind w:left="5534" w:hanging="360"/>
      </w:pPr>
    </w:lvl>
    <w:lvl w:ilvl="7" w:tplc="04090019" w:tentative="1">
      <w:start w:val="1"/>
      <w:numFmt w:val="lowerLetter"/>
      <w:lvlText w:val="%8."/>
      <w:lvlJc w:val="left"/>
      <w:pPr>
        <w:ind w:left="6254" w:hanging="360"/>
      </w:pPr>
    </w:lvl>
    <w:lvl w:ilvl="8" w:tplc="0409001B" w:tentative="1">
      <w:start w:val="1"/>
      <w:numFmt w:val="lowerRoman"/>
      <w:lvlText w:val="%9."/>
      <w:lvlJc w:val="right"/>
      <w:pPr>
        <w:ind w:left="6974" w:hanging="180"/>
      </w:pPr>
    </w:lvl>
  </w:abstractNum>
  <w:abstractNum w:abstractNumId="21" w15:restartNumberingAfterBreak="0">
    <w:nsid w:val="46463C97"/>
    <w:multiLevelType w:val="hybridMultilevel"/>
    <w:tmpl w:val="3780B49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49383B7B"/>
    <w:multiLevelType w:val="hybridMultilevel"/>
    <w:tmpl w:val="4EEC4D78"/>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AD16D68"/>
    <w:multiLevelType w:val="hybridMultilevel"/>
    <w:tmpl w:val="C7E41B40"/>
    <w:lvl w:ilvl="0" w:tplc="2F94BCF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D6E3522"/>
    <w:multiLevelType w:val="multilevel"/>
    <w:tmpl w:val="0E8457A4"/>
    <w:lvl w:ilvl="0">
      <w:start w:val="4"/>
      <w:numFmt w:val="bullet"/>
      <w:lvlText w:val="-"/>
      <w:lvlJc w:val="left"/>
      <w:pPr>
        <w:tabs>
          <w:tab w:val="num" w:pos="0"/>
        </w:tabs>
        <w:ind w:left="720" w:hanging="360"/>
      </w:pPr>
      <w:rPr>
        <w:rFonts w:ascii="Cambria" w:eastAsiaTheme="minorEastAsia" w:hAnsi="Cambria"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53F05945"/>
    <w:multiLevelType w:val="hybridMultilevel"/>
    <w:tmpl w:val="735AA694"/>
    <w:lvl w:ilvl="0" w:tplc="4726FF58">
      <w:start w:val="18"/>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034C25"/>
    <w:multiLevelType w:val="hybridMultilevel"/>
    <w:tmpl w:val="6A38762E"/>
    <w:lvl w:ilvl="0" w:tplc="B2107DC4">
      <w:start w:val="2"/>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3C1F77"/>
    <w:multiLevelType w:val="hybridMultilevel"/>
    <w:tmpl w:val="941224E0"/>
    <w:lvl w:ilvl="0" w:tplc="2F94BCF8">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CA57A86"/>
    <w:multiLevelType w:val="hybridMultilevel"/>
    <w:tmpl w:val="04C8B026"/>
    <w:lvl w:ilvl="0" w:tplc="3DECE2F4">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A514DE"/>
    <w:multiLevelType w:val="multilevel"/>
    <w:tmpl w:val="AFA82B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6939C8"/>
    <w:multiLevelType w:val="multilevel"/>
    <w:tmpl w:val="E00234C0"/>
    <w:lvl w:ilvl="0">
      <w:start w:val="1"/>
      <w:numFmt w:val="bullet"/>
      <w:lvlText w:val="-"/>
      <w:lvlJc w:val="left"/>
      <w:pPr>
        <w:tabs>
          <w:tab w:val="num" w:pos="0"/>
        </w:tabs>
        <w:ind w:left="360" w:hanging="360"/>
      </w:pPr>
      <w:rPr>
        <w:rFonts w:ascii="Cambria" w:hAnsi="Cambria" w:cs="Cambria"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1" w15:restartNumberingAfterBreak="0">
    <w:nsid w:val="61C47352"/>
    <w:multiLevelType w:val="multilevel"/>
    <w:tmpl w:val="007A9974"/>
    <w:lvl w:ilvl="0">
      <w:start w:val="2"/>
      <w:numFmt w:val="bullet"/>
      <w:lvlText w:val="-"/>
      <w:lvlJc w:val="left"/>
      <w:pPr>
        <w:tabs>
          <w:tab w:val="num" w:pos="0"/>
        </w:tabs>
        <w:ind w:left="720" w:hanging="360"/>
      </w:pPr>
      <w:rPr>
        <w:rFonts w:ascii="Times New Roman" w:hAnsi="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15:restartNumberingAfterBreak="0">
    <w:nsid w:val="657D4B5A"/>
    <w:multiLevelType w:val="multilevel"/>
    <w:tmpl w:val="01B6EB24"/>
    <w:lvl w:ilvl="0">
      <w:start w:val="1"/>
      <w:numFmt w:val="lowerLetter"/>
      <w:lvlText w:val="%1)"/>
      <w:lvlJc w:val="left"/>
      <w:pPr>
        <w:ind w:left="429" w:hanging="428"/>
      </w:pPr>
      <w:rPr>
        <w:rFonts w:ascii="Cambria" w:eastAsia="Cambria" w:hAnsi="Cambria" w:cs="Cambria" w:hint="default"/>
        <w:b w:val="0"/>
        <w:bCs w:val="0"/>
        <w:i w:val="0"/>
        <w:iCs w:val="0"/>
        <w:spacing w:val="0"/>
        <w:sz w:val="20"/>
        <w:szCs w:val="20"/>
        <w:lang w:val="en-US" w:eastAsia="en-US" w:bidi="ar-SA"/>
      </w:rPr>
    </w:lvl>
    <w:lvl w:ilvl="1">
      <w:numFmt w:val="bullet"/>
      <w:lvlText w:val="•"/>
      <w:lvlJc w:val="left"/>
      <w:pPr>
        <w:ind w:left="1299" w:hanging="428"/>
      </w:pPr>
      <w:rPr>
        <w:lang w:val="en-US" w:eastAsia="en-US" w:bidi="ar-SA"/>
      </w:rPr>
    </w:lvl>
    <w:lvl w:ilvl="2">
      <w:numFmt w:val="bullet"/>
      <w:lvlText w:val="•"/>
      <w:lvlJc w:val="left"/>
      <w:pPr>
        <w:ind w:left="2178" w:hanging="428"/>
      </w:pPr>
      <w:rPr>
        <w:lang w:val="en-US" w:eastAsia="en-US" w:bidi="ar-SA"/>
      </w:rPr>
    </w:lvl>
    <w:lvl w:ilvl="3">
      <w:numFmt w:val="bullet"/>
      <w:lvlText w:val="•"/>
      <w:lvlJc w:val="left"/>
      <w:pPr>
        <w:ind w:left="3058" w:hanging="428"/>
      </w:pPr>
      <w:rPr>
        <w:lang w:val="en-US" w:eastAsia="en-US" w:bidi="ar-SA"/>
      </w:rPr>
    </w:lvl>
    <w:lvl w:ilvl="4">
      <w:numFmt w:val="bullet"/>
      <w:lvlText w:val="•"/>
      <w:lvlJc w:val="left"/>
      <w:pPr>
        <w:ind w:left="3937" w:hanging="428"/>
      </w:pPr>
      <w:rPr>
        <w:lang w:val="en-US" w:eastAsia="en-US" w:bidi="ar-SA"/>
      </w:rPr>
    </w:lvl>
    <w:lvl w:ilvl="5">
      <w:numFmt w:val="bullet"/>
      <w:lvlText w:val="•"/>
      <w:lvlJc w:val="left"/>
      <w:pPr>
        <w:ind w:left="4817" w:hanging="428"/>
      </w:pPr>
      <w:rPr>
        <w:lang w:val="en-US" w:eastAsia="en-US" w:bidi="ar-SA"/>
      </w:rPr>
    </w:lvl>
    <w:lvl w:ilvl="6">
      <w:numFmt w:val="bullet"/>
      <w:lvlText w:val="•"/>
      <w:lvlJc w:val="left"/>
      <w:pPr>
        <w:ind w:left="5696" w:hanging="428"/>
      </w:pPr>
      <w:rPr>
        <w:lang w:val="en-US" w:eastAsia="en-US" w:bidi="ar-SA"/>
      </w:rPr>
    </w:lvl>
    <w:lvl w:ilvl="7">
      <w:numFmt w:val="bullet"/>
      <w:lvlText w:val="•"/>
      <w:lvlJc w:val="left"/>
      <w:pPr>
        <w:ind w:left="6576" w:hanging="428"/>
      </w:pPr>
      <w:rPr>
        <w:lang w:val="en-US" w:eastAsia="en-US" w:bidi="ar-SA"/>
      </w:rPr>
    </w:lvl>
    <w:lvl w:ilvl="8">
      <w:numFmt w:val="bullet"/>
      <w:lvlText w:val="•"/>
      <w:lvlJc w:val="left"/>
      <w:pPr>
        <w:ind w:left="7455" w:hanging="428"/>
      </w:pPr>
      <w:rPr>
        <w:lang w:val="en-US" w:eastAsia="en-US" w:bidi="ar-SA"/>
      </w:rPr>
    </w:lvl>
  </w:abstractNum>
  <w:abstractNum w:abstractNumId="33" w15:restartNumberingAfterBreak="0">
    <w:nsid w:val="6B753FE2"/>
    <w:multiLevelType w:val="hybridMultilevel"/>
    <w:tmpl w:val="D594117A"/>
    <w:lvl w:ilvl="0" w:tplc="2F94BCF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B66F73"/>
    <w:multiLevelType w:val="multilevel"/>
    <w:tmpl w:val="FE20BEEC"/>
    <w:lvl w:ilvl="0">
      <w:start w:val="1"/>
      <w:numFmt w:val="bullet"/>
      <w:lvlText w:val="-"/>
      <w:lvlJc w:val="left"/>
      <w:pPr>
        <w:ind w:left="360" w:hanging="360"/>
      </w:pPr>
      <w:rPr>
        <w:rFonts w:ascii="Cambria" w:eastAsia="Cambria" w:hAnsi="Cambria" w:cs="Cambr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2130999"/>
    <w:multiLevelType w:val="hybridMultilevel"/>
    <w:tmpl w:val="E9D04DB0"/>
    <w:lvl w:ilvl="0" w:tplc="FA7869DC">
      <w:start w:val="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561529"/>
    <w:multiLevelType w:val="multilevel"/>
    <w:tmpl w:val="EE8C1FE4"/>
    <w:lvl w:ilvl="0">
      <w:start w:val="1"/>
      <w:numFmt w:val="bullet"/>
      <w:lvlText w:val="-"/>
      <w:lvlJc w:val="left"/>
      <w:pPr>
        <w:tabs>
          <w:tab w:val="num" w:pos="0"/>
        </w:tabs>
        <w:ind w:left="360" w:hanging="360"/>
      </w:pPr>
      <w:rPr>
        <w:rFonts w:ascii="Cambria" w:hAnsi="Cambria" w:cs="Cambria"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15:restartNumberingAfterBreak="0">
    <w:nsid w:val="73EC7DB3"/>
    <w:multiLevelType w:val="multilevel"/>
    <w:tmpl w:val="3E0E332A"/>
    <w:lvl w:ilvl="0">
      <w:start w:val="1"/>
      <w:numFmt w:val="bullet"/>
      <w:lvlText w:val="-"/>
      <w:lvlJc w:val="left"/>
      <w:pPr>
        <w:ind w:left="2700" w:hanging="360"/>
      </w:pPr>
      <w:rPr>
        <w:rFonts w:ascii="Cambria" w:hAnsi="Cambria" w:hint="default"/>
      </w:rPr>
    </w:lvl>
    <w:lvl w:ilvl="1">
      <w:start w:val="1"/>
      <w:numFmt w:val="bullet"/>
      <w:lvlText w:val="o"/>
      <w:lvlJc w:val="left"/>
      <w:pPr>
        <w:ind w:left="3780" w:hanging="360"/>
      </w:pPr>
      <w:rPr>
        <w:rFonts w:ascii="Courier New" w:hAnsi="Courier New" w:cs="Courier New" w:hint="default"/>
      </w:rPr>
    </w:lvl>
    <w:lvl w:ilvl="2">
      <w:start w:val="1"/>
      <w:numFmt w:val="bullet"/>
      <w:lvlText w:val=""/>
      <w:lvlJc w:val="left"/>
      <w:pPr>
        <w:ind w:left="4500" w:hanging="360"/>
      </w:pPr>
      <w:rPr>
        <w:rFonts w:ascii="Wingdings" w:hAnsi="Wingdings" w:hint="default"/>
      </w:rPr>
    </w:lvl>
    <w:lvl w:ilvl="3">
      <w:start w:val="1"/>
      <w:numFmt w:val="bullet"/>
      <w:lvlText w:val=""/>
      <w:lvlJc w:val="left"/>
      <w:pPr>
        <w:ind w:left="5220" w:hanging="360"/>
      </w:pPr>
      <w:rPr>
        <w:rFonts w:ascii="Symbol" w:hAnsi="Symbol" w:hint="default"/>
      </w:rPr>
    </w:lvl>
    <w:lvl w:ilvl="4">
      <w:start w:val="1"/>
      <w:numFmt w:val="bullet"/>
      <w:lvlText w:val="o"/>
      <w:lvlJc w:val="left"/>
      <w:pPr>
        <w:ind w:left="5940" w:hanging="360"/>
      </w:pPr>
      <w:rPr>
        <w:rFonts w:ascii="Courier New" w:hAnsi="Courier New" w:cs="Courier New" w:hint="default"/>
      </w:rPr>
    </w:lvl>
    <w:lvl w:ilvl="5">
      <w:start w:val="1"/>
      <w:numFmt w:val="bullet"/>
      <w:lvlText w:val=""/>
      <w:lvlJc w:val="left"/>
      <w:pPr>
        <w:ind w:left="6660" w:hanging="360"/>
      </w:pPr>
      <w:rPr>
        <w:rFonts w:ascii="Wingdings" w:hAnsi="Wingdings" w:hint="default"/>
      </w:rPr>
    </w:lvl>
    <w:lvl w:ilvl="6">
      <w:start w:val="1"/>
      <w:numFmt w:val="bullet"/>
      <w:lvlText w:val=""/>
      <w:lvlJc w:val="left"/>
      <w:pPr>
        <w:ind w:left="7380" w:hanging="360"/>
      </w:pPr>
      <w:rPr>
        <w:rFonts w:ascii="Symbol" w:hAnsi="Symbol" w:hint="default"/>
      </w:rPr>
    </w:lvl>
    <w:lvl w:ilvl="7">
      <w:start w:val="1"/>
      <w:numFmt w:val="bullet"/>
      <w:lvlText w:val="o"/>
      <w:lvlJc w:val="left"/>
      <w:pPr>
        <w:ind w:left="8100" w:hanging="360"/>
      </w:pPr>
      <w:rPr>
        <w:rFonts w:ascii="Courier New" w:hAnsi="Courier New" w:cs="Courier New" w:hint="default"/>
      </w:rPr>
    </w:lvl>
    <w:lvl w:ilvl="8">
      <w:start w:val="1"/>
      <w:numFmt w:val="bullet"/>
      <w:lvlText w:val=""/>
      <w:lvlJc w:val="left"/>
      <w:pPr>
        <w:ind w:left="8820" w:hanging="360"/>
      </w:pPr>
      <w:rPr>
        <w:rFonts w:ascii="Wingdings" w:hAnsi="Wingdings" w:hint="default"/>
      </w:rPr>
    </w:lvl>
  </w:abstractNum>
  <w:abstractNum w:abstractNumId="38" w15:restartNumberingAfterBreak="0">
    <w:nsid w:val="73F968AA"/>
    <w:multiLevelType w:val="hybridMultilevel"/>
    <w:tmpl w:val="0300519C"/>
    <w:lvl w:ilvl="0" w:tplc="12442EF0">
      <w:start w:val="1"/>
      <w:numFmt w:val="lowerRoman"/>
      <w:lvlText w:val="%1)"/>
      <w:lvlJc w:val="left"/>
      <w:pPr>
        <w:ind w:left="1080" w:hanging="720"/>
      </w:pPr>
      <w:rPr>
        <w:rFonts w:ascii="Cambria" w:hAnsi="Cambria"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A7B1288"/>
    <w:multiLevelType w:val="multilevel"/>
    <w:tmpl w:val="4F224384"/>
    <w:lvl w:ilvl="0">
      <w:start w:val="4"/>
      <w:numFmt w:val="bullet"/>
      <w:lvlText w:val="-"/>
      <w:lvlJc w:val="left"/>
      <w:pPr>
        <w:ind w:left="720" w:hanging="360"/>
      </w:pPr>
      <w:rPr>
        <w:rFonts w:ascii="Cambria" w:hAnsi="Cambria" w:cs="Cambria"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0" w15:restartNumberingAfterBreak="0">
    <w:nsid w:val="7D0D3730"/>
    <w:multiLevelType w:val="hybridMultilevel"/>
    <w:tmpl w:val="798C73D6"/>
    <w:lvl w:ilvl="0" w:tplc="0AFCABC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19924349">
    <w:abstractNumId w:val="3"/>
  </w:num>
  <w:num w:numId="2" w16cid:durableId="1794251756">
    <w:abstractNumId w:val="35"/>
  </w:num>
  <w:num w:numId="3" w16cid:durableId="383137676">
    <w:abstractNumId w:val="14"/>
  </w:num>
  <w:num w:numId="4" w16cid:durableId="852181059">
    <w:abstractNumId w:val="20"/>
  </w:num>
  <w:num w:numId="5" w16cid:durableId="1386217913">
    <w:abstractNumId w:val="34"/>
  </w:num>
  <w:num w:numId="6" w16cid:durableId="82455429">
    <w:abstractNumId w:val="26"/>
  </w:num>
  <w:num w:numId="7" w16cid:durableId="1405757119">
    <w:abstractNumId w:val="11"/>
  </w:num>
  <w:num w:numId="8" w16cid:durableId="1187407909">
    <w:abstractNumId w:val="30"/>
  </w:num>
  <w:num w:numId="9" w16cid:durableId="427847956">
    <w:abstractNumId w:val="19"/>
  </w:num>
  <w:num w:numId="10" w16cid:durableId="1444299125">
    <w:abstractNumId w:val="33"/>
  </w:num>
  <w:num w:numId="11" w16cid:durableId="851341111">
    <w:abstractNumId w:val="12"/>
  </w:num>
  <w:num w:numId="12" w16cid:durableId="1827281251">
    <w:abstractNumId w:val="31"/>
  </w:num>
  <w:num w:numId="13" w16cid:durableId="1584530239">
    <w:abstractNumId w:val="40"/>
  </w:num>
  <w:num w:numId="14" w16cid:durableId="229772405">
    <w:abstractNumId w:val="23"/>
  </w:num>
  <w:num w:numId="15" w16cid:durableId="1037658026">
    <w:abstractNumId w:val="27"/>
  </w:num>
  <w:num w:numId="16" w16cid:durableId="163084310">
    <w:abstractNumId w:val="25"/>
  </w:num>
  <w:num w:numId="17" w16cid:durableId="1439372492">
    <w:abstractNumId w:val="6"/>
    <w:lvlOverride w:ilvl="0">
      <w:startOverride w:val="1"/>
    </w:lvlOverride>
    <w:lvlOverride w:ilvl="1">
      <w:startOverride w:val="1"/>
    </w:lvlOverride>
    <w:lvlOverride w:ilvl="2">
      <w:startOverride w:val="1"/>
    </w:lvlOverride>
    <w:lvlOverride w:ilvl="3">
      <w:startOverride w:val="1"/>
    </w:lvlOverride>
  </w:num>
  <w:num w:numId="18" w16cid:durableId="1030645247">
    <w:abstractNumId w:val="32"/>
    <w:lvlOverride w:ilvl="0">
      <w:startOverride w:val="1"/>
    </w:lvlOverride>
  </w:num>
  <w:num w:numId="19" w16cid:durableId="282620428">
    <w:abstractNumId w:val="15"/>
  </w:num>
  <w:num w:numId="20" w16cid:durableId="161556344">
    <w:abstractNumId w:val="6"/>
    <w:lvlOverride w:ilvl="0">
      <w:startOverride w:val="1"/>
    </w:lvlOverride>
    <w:lvlOverride w:ilvl="1">
      <w:startOverride w:val="1"/>
    </w:lvlOverride>
    <w:lvlOverride w:ilvl="2">
      <w:startOverride w:val="1"/>
    </w:lvlOverride>
    <w:lvlOverride w:ilvl="3">
      <w:startOverride w:val="1"/>
    </w:lvlOverride>
  </w:num>
  <w:num w:numId="21" w16cid:durableId="1114325105">
    <w:abstractNumId w:val="10"/>
  </w:num>
  <w:num w:numId="22" w16cid:durableId="1788742119">
    <w:abstractNumId w:val="2"/>
  </w:num>
  <w:num w:numId="23" w16cid:durableId="594553407">
    <w:abstractNumId w:val="9"/>
  </w:num>
  <w:num w:numId="24" w16cid:durableId="660424879">
    <w:abstractNumId w:val="22"/>
  </w:num>
  <w:num w:numId="25" w16cid:durableId="1975676435">
    <w:abstractNumId w:val="24"/>
  </w:num>
  <w:num w:numId="26" w16cid:durableId="283269291">
    <w:abstractNumId w:val="36"/>
  </w:num>
  <w:num w:numId="27" w16cid:durableId="1588492471">
    <w:abstractNumId w:val="28"/>
  </w:num>
  <w:num w:numId="28" w16cid:durableId="318971705">
    <w:abstractNumId w:val="39"/>
  </w:num>
  <w:num w:numId="29" w16cid:durableId="1585190823">
    <w:abstractNumId w:val="7"/>
  </w:num>
  <w:num w:numId="30" w16cid:durableId="1380086187">
    <w:abstractNumId w:val="38"/>
  </w:num>
  <w:num w:numId="31" w16cid:durableId="549999860">
    <w:abstractNumId w:val="18"/>
  </w:num>
  <w:num w:numId="32" w16cid:durableId="247271125">
    <w:abstractNumId w:val="29"/>
  </w:num>
  <w:num w:numId="33" w16cid:durableId="1274508613">
    <w:abstractNumId w:val="13"/>
  </w:num>
  <w:num w:numId="34" w16cid:durableId="597493568">
    <w:abstractNumId w:val="1"/>
  </w:num>
  <w:num w:numId="35" w16cid:durableId="1495292278">
    <w:abstractNumId w:val="0"/>
  </w:num>
  <w:num w:numId="36" w16cid:durableId="1805271640">
    <w:abstractNumId w:val="37"/>
  </w:num>
  <w:num w:numId="37" w16cid:durableId="952444042">
    <w:abstractNumId w:val="5"/>
  </w:num>
  <w:num w:numId="38" w16cid:durableId="1717388789">
    <w:abstractNumId w:val="17"/>
  </w:num>
  <w:num w:numId="39" w16cid:durableId="503983027">
    <w:abstractNumId w:val="4"/>
  </w:num>
  <w:num w:numId="40" w16cid:durableId="1051810283">
    <w:abstractNumId w:val="21"/>
  </w:num>
  <w:num w:numId="41" w16cid:durableId="1655178039">
    <w:abstractNumId w:val="16"/>
  </w:num>
  <w:num w:numId="42" w16cid:durableId="130834044">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A1NzY0Mrc0MjYwsrRQ0lEKTi0uzszPAykwqgUAQZFtqSwAAAA="/>
  </w:docVars>
  <w:rsids>
    <w:rsidRoot w:val="00DD4C39"/>
    <w:rsid w:val="00000F96"/>
    <w:rsid w:val="00001901"/>
    <w:rsid w:val="0000239E"/>
    <w:rsid w:val="00002BDA"/>
    <w:rsid w:val="00004835"/>
    <w:rsid w:val="00005B6C"/>
    <w:rsid w:val="00007744"/>
    <w:rsid w:val="00013B86"/>
    <w:rsid w:val="00016D99"/>
    <w:rsid w:val="00023580"/>
    <w:rsid w:val="00025B70"/>
    <w:rsid w:val="0003295F"/>
    <w:rsid w:val="0003757A"/>
    <w:rsid w:val="000401D8"/>
    <w:rsid w:val="00043A65"/>
    <w:rsid w:val="0004418A"/>
    <w:rsid w:val="000517FA"/>
    <w:rsid w:val="00051ACC"/>
    <w:rsid w:val="00052AC6"/>
    <w:rsid w:val="00052B90"/>
    <w:rsid w:val="0005456C"/>
    <w:rsid w:val="000554E0"/>
    <w:rsid w:val="000578FB"/>
    <w:rsid w:val="00060FB1"/>
    <w:rsid w:val="000614FA"/>
    <w:rsid w:val="00064640"/>
    <w:rsid w:val="00071189"/>
    <w:rsid w:val="000746A9"/>
    <w:rsid w:val="00074F2A"/>
    <w:rsid w:val="0007648A"/>
    <w:rsid w:val="00076E2B"/>
    <w:rsid w:val="00081466"/>
    <w:rsid w:val="000832AE"/>
    <w:rsid w:val="00083DDB"/>
    <w:rsid w:val="000853CC"/>
    <w:rsid w:val="00085DFE"/>
    <w:rsid w:val="00087339"/>
    <w:rsid w:val="00087667"/>
    <w:rsid w:val="00090861"/>
    <w:rsid w:val="00092C87"/>
    <w:rsid w:val="00095BA1"/>
    <w:rsid w:val="00095C30"/>
    <w:rsid w:val="00097856"/>
    <w:rsid w:val="000A0AA5"/>
    <w:rsid w:val="000A1303"/>
    <w:rsid w:val="000A160A"/>
    <w:rsid w:val="000A2BB3"/>
    <w:rsid w:val="000A5107"/>
    <w:rsid w:val="000A5EFA"/>
    <w:rsid w:val="000A6DB2"/>
    <w:rsid w:val="000A777B"/>
    <w:rsid w:val="000B0920"/>
    <w:rsid w:val="000C4DFD"/>
    <w:rsid w:val="000C598E"/>
    <w:rsid w:val="000C6AE8"/>
    <w:rsid w:val="000C7D41"/>
    <w:rsid w:val="000D11D4"/>
    <w:rsid w:val="000D3D1D"/>
    <w:rsid w:val="000D5959"/>
    <w:rsid w:val="000D673E"/>
    <w:rsid w:val="000E6023"/>
    <w:rsid w:val="000F10E9"/>
    <w:rsid w:val="000F5AB1"/>
    <w:rsid w:val="0010146E"/>
    <w:rsid w:val="0010246F"/>
    <w:rsid w:val="001031B7"/>
    <w:rsid w:val="0010673C"/>
    <w:rsid w:val="00111F0F"/>
    <w:rsid w:val="00114F3C"/>
    <w:rsid w:val="0011743A"/>
    <w:rsid w:val="00120AE6"/>
    <w:rsid w:val="00120DD1"/>
    <w:rsid w:val="001211F5"/>
    <w:rsid w:val="00124AD6"/>
    <w:rsid w:val="00124E11"/>
    <w:rsid w:val="00131C64"/>
    <w:rsid w:val="00137A63"/>
    <w:rsid w:val="00140C72"/>
    <w:rsid w:val="0014300C"/>
    <w:rsid w:val="001476CD"/>
    <w:rsid w:val="00147A4F"/>
    <w:rsid w:val="001527D8"/>
    <w:rsid w:val="00152B06"/>
    <w:rsid w:val="00152E0C"/>
    <w:rsid w:val="00157B26"/>
    <w:rsid w:val="00160A09"/>
    <w:rsid w:val="00160B49"/>
    <w:rsid w:val="001630E3"/>
    <w:rsid w:val="00167923"/>
    <w:rsid w:val="001719DB"/>
    <w:rsid w:val="00173393"/>
    <w:rsid w:val="00180C8B"/>
    <w:rsid w:val="0018126E"/>
    <w:rsid w:val="001827ED"/>
    <w:rsid w:val="00182CFC"/>
    <w:rsid w:val="001840C6"/>
    <w:rsid w:val="0018551B"/>
    <w:rsid w:val="00186533"/>
    <w:rsid w:val="00190654"/>
    <w:rsid w:val="00193480"/>
    <w:rsid w:val="001939BC"/>
    <w:rsid w:val="001A2F4C"/>
    <w:rsid w:val="001A3D9C"/>
    <w:rsid w:val="001A68AB"/>
    <w:rsid w:val="001B112D"/>
    <w:rsid w:val="001B6DBE"/>
    <w:rsid w:val="001C05A3"/>
    <w:rsid w:val="001C1356"/>
    <w:rsid w:val="001C1823"/>
    <w:rsid w:val="001C18EA"/>
    <w:rsid w:val="001C5D2A"/>
    <w:rsid w:val="001D1E59"/>
    <w:rsid w:val="001D677B"/>
    <w:rsid w:val="001D7AE4"/>
    <w:rsid w:val="001E0A22"/>
    <w:rsid w:val="001E234F"/>
    <w:rsid w:val="001E47A9"/>
    <w:rsid w:val="001E5194"/>
    <w:rsid w:val="001E60F6"/>
    <w:rsid w:val="001F03E7"/>
    <w:rsid w:val="001F11FF"/>
    <w:rsid w:val="001F200E"/>
    <w:rsid w:val="001F27FB"/>
    <w:rsid w:val="001F5768"/>
    <w:rsid w:val="001F6925"/>
    <w:rsid w:val="00201363"/>
    <w:rsid w:val="002045EB"/>
    <w:rsid w:val="002053DD"/>
    <w:rsid w:val="00205823"/>
    <w:rsid w:val="002154AC"/>
    <w:rsid w:val="002209DA"/>
    <w:rsid w:val="002213FF"/>
    <w:rsid w:val="0022374D"/>
    <w:rsid w:val="00225464"/>
    <w:rsid w:val="002254CF"/>
    <w:rsid w:val="002265B1"/>
    <w:rsid w:val="00226609"/>
    <w:rsid w:val="002317E7"/>
    <w:rsid w:val="00232D1D"/>
    <w:rsid w:val="002360A7"/>
    <w:rsid w:val="00240A3D"/>
    <w:rsid w:val="00242005"/>
    <w:rsid w:val="00242111"/>
    <w:rsid w:val="00246631"/>
    <w:rsid w:val="00246705"/>
    <w:rsid w:val="00247B9A"/>
    <w:rsid w:val="00250C2F"/>
    <w:rsid w:val="0026489C"/>
    <w:rsid w:val="0027149A"/>
    <w:rsid w:val="00273D43"/>
    <w:rsid w:val="00275529"/>
    <w:rsid w:val="002762AB"/>
    <w:rsid w:val="00282F16"/>
    <w:rsid w:val="0028560B"/>
    <w:rsid w:val="00290481"/>
    <w:rsid w:val="002961C5"/>
    <w:rsid w:val="002A2405"/>
    <w:rsid w:val="002A46C2"/>
    <w:rsid w:val="002A6E00"/>
    <w:rsid w:val="002A70B6"/>
    <w:rsid w:val="002C12A9"/>
    <w:rsid w:val="002C399C"/>
    <w:rsid w:val="002D1035"/>
    <w:rsid w:val="002D2C3D"/>
    <w:rsid w:val="002D3D37"/>
    <w:rsid w:val="002D7AD8"/>
    <w:rsid w:val="002D7D0D"/>
    <w:rsid w:val="002D7E3A"/>
    <w:rsid w:val="002E24FF"/>
    <w:rsid w:val="002E25F5"/>
    <w:rsid w:val="002E37A8"/>
    <w:rsid w:val="002E724A"/>
    <w:rsid w:val="002F3C9C"/>
    <w:rsid w:val="00300FEF"/>
    <w:rsid w:val="00305FA6"/>
    <w:rsid w:val="0031725A"/>
    <w:rsid w:val="00317865"/>
    <w:rsid w:val="00321018"/>
    <w:rsid w:val="00322141"/>
    <w:rsid w:val="0032298F"/>
    <w:rsid w:val="00322F0E"/>
    <w:rsid w:val="00323B1B"/>
    <w:rsid w:val="00325293"/>
    <w:rsid w:val="0032583A"/>
    <w:rsid w:val="00326255"/>
    <w:rsid w:val="00330328"/>
    <w:rsid w:val="003345C4"/>
    <w:rsid w:val="00334B35"/>
    <w:rsid w:val="00334B5F"/>
    <w:rsid w:val="003426C8"/>
    <w:rsid w:val="0035004D"/>
    <w:rsid w:val="003517D4"/>
    <w:rsid w:val="003519D1"/>
    <w:rsid w:val="0035289C"/>
    <w:rsid w:val="00354A8F"/>
    <w:rsid w:val="00354B9B"/>
    <w:rsid w:val="003604AB"/>
    <w:rsid w:val="00360D3F"/>
    <w:rsid w:val="00363045"/>
    <w:rsid w:val="0037129A"/>
    <w:rsid w:val="0037605D"/>
    <w:rsid w:val="00377994"/>
    <w:rsid w:val="00384F12"/>
    <w:rsid w:val="00390A16"/>
    <w:rsid w:val="0039100E"/>
    <w:rsid w:val="003919F8"/>
    <w:rsid w:val="003948C5"/>
    <w:rsid w:val="00394EFC"/>
    <w:rsid w:val="00396EE8"/>
    <w:rsid w:val="00397E51"/>
    <w:rsid w:val="003A33A1"/>
    <w:rsid w:val="003A752C"/>
    <w:rsid w:val="003B474B"/>
    <w:rsid w:val="003B4A64"/>
    <w:rsid w:val="003B6DFC"/>
    <w:rsid w:val="003C1BFB"/>
    <w:rsid w:val="003D0374"/>
    <w:rsid w:val="003D22D2"/>
    <w:rsid w:val="003D3807"/>
    <w:rsid w:val="003E0A28"/>
    <w:rsid w:val="003E10FB"/>
    <w:rsid w:val="003E170E"/>
    <w:rsid w:val="003E1DCD"/>
    <w:rsid w:val="003E28FF"/>
    <w:rsid w:val="003E3614"/>
    <w:rsid w:val="003E43D2"/>
    <w:rsid w:val="003E6C5A"/>
    <w:rsid w:val="003E7F59"/>
    <w:rsid w:val="003F3F4A"/>
    <w:rsid w:val="003F4E22"/>
    <w:rsid w:val="003F5041"/>
    <w:rsid w:val="003F5A6D"/>
    <w:rsid w:val="003F5AAA"/>
    <w:rsid w:val="00404B7F"/>
    <w:rsid w:val="00406CCF"/>
    <w:rsid w:val="00410A2C"/>
    <w:rsid w:val="00412D78"/>
    <w:rsid w:val="00413131"/>
    <w:rsid w:val="0041562C"/>
    <w:rsid w:val="00420909"/>
    <w:rsid w:val="00422679"/>
    <w:rsid w:val="00423112"/>
    <w:rsid w:val="00424411"/>
    <w:rsid w:val="00426AE7"/>
    <w:rsid w:val="00427D62"/>
    <w:rsid w:val="00433870"/>
    <w:rsid w:val="00435A8B"/>
    <w:rsid w:val="00436588"/>
    <w:rsid w:val="00443067"/>
    <w:rsid w:val="00452867"/>
    <w:rsid w:val="00455EB7"/>
    <w:rsid w:val="00456B27"/>
    <w:rsid w:val="00460AA1"/>
    <w:rsid w:val="00460B96"/>
    <w:rsid w:val="0046156B"/>
    <w:rsid w:val="00467A1D"/>
    <w:rsid w:val="00467EDA"/>
    <w:rsid w:val="0047150A"/>
    <w:rsid w:val="00471FC4"/>
    <w:rsid w:val="00474272"/>
    <w:rsid w:val="00474F02"/>
    <w:rsid w:val="00475A63"/>
    <w:rsid w:val="00485575"/>
    <w:rsid w:val="00486D38"/>
    <w:rsid w:val="00490E0A"/>
    <w:rsid w:val="00492262"/>
    <w:rsid w:val="00492F08"/>
    <w:rsid w:val="004A4169"/>
    <w:rsid w:val="004A4529"/>
    <w:rsid w:val="004A6437"/>
    <w:rsid w:val="004A66B1"/>
    <w:rsid w:val="004A7629"/>
    <w:rsid w:val="004B1239"/>
    <w:rsid w:val="004B39F7"/>
    <w:rsid w:val="004C7E91"/>
    <w:rsid w:val="004D2DEB"/>
    <w:rsid w:val="004D3089"/>
    <w:rsid w:val="004D3EA4"/>
    <w:rsid w:val="004D5BBA"/>
    <w:rsid w:val="004E01C5"/>
    <w:rsid w:val="004E12AF"/>
    <w:rsid w:val="004E2035"/>
    <w:rsid w:val="004E4D0A"/>
    <w:rsid w:val="004E68B8"/>
    <w:rsid w:val="004E6BB3"/>
    <w:rsid w:val="004E6F3B"/>
    <w:rsid w:val="004E7B8E"/>
    <w:rsid w:val="004F15B6"/>
    <w:rsid w:val="004F256C"/>
    <w:rsid w:val="004F39B9"/>
    <w:rsid w:val="004F5048"/>
    <w:rsid w:val="004F7857"/>
    <w:rsid w:val="00500AF3"/>
    <w:rsid w:val="00502206"/>
    <w:rsid w:val="00502568"/>
    <w:rsid w:val="0050612A"/>
    <w:rsid w:val="00506617"/>
    <w:rsid w:val="005132A0"/>
    <w:rsid w:val="00513361"/>
    <w:rsid w:val="00513F5C"/>
    <w:rsid w:val="005155C7"/>
    <w:rsid w:val="0051582C"/>
    <w:rsid w:val="00520FBB"/>
    <w:rsid w:val="00524F9F"/>
    <w:rsid w:val="00525084"/>
    <w:rsid w:val="005300EB"/>
    <w:rsid w:val="005345BC"/>
    <w:rsid w:val="0054141A"/>
    <w:rsid w:val="00544700"/>
    <w:rsid w:val="0054472B"/>
    <w:rsid w:val="00544A2C"/>
    <w:rsid w:val="00545AB7"/>
    <w:rsid w:val="005467B0"/>
    <w:rsid w:val="005529B8"/>
    <w:rsid w:val="00557E7E"/>
    <w:rsid w:val="00560E37"/>
    <w:rsid w:val="0056180A"/>
    <w:rsid w:val="005644A2"/>
    <w:rsid w:val="00565E84"/>
    <w:rsid w:val="00567271"/>
    <w:rsid w:val="00571C5B"/>
    <w:rsid w:val="00571E4A"/>
    <w:rsid w:val="005727F9"/>
    <w:rsid w:val="005729BB"/>
    <w:rsid w:val="005738EF"/>
    <w:rsid w:val="00574050"/>
    <w:rsid w:val="00574941"/>
    <w:rsid w:val="00574F9E"/>
    <w:rsid w:val="00576291"/>
    <w:rsid w:val="00581207"/>
    <w:rsid w:val="005832CF"/>
    <w:rsid w:val="005847DE"/>
    <w:rsid w:val="00585A74"/>
    <w:rsid w:val="00586D4A"/>
    <w:rsid w:val="00587082"/>
    <w:rsid w:val="005903D9"/>
    <w:rsid w:val="005915D1"/>
    <w:rsid w:val="00593A75"/>
    <w:rsid w:val="00594D79"/>
    <w:rsid w:val="00595988"/>
    <w:rsid w:val="00597C04"/>
    <w:rsid w:val="005A64A9"/>
    <w:rsid w:val="005A782F"/>
    <w:rsid w:val="005B0AB8"/>
    <w:rsid w:val="005B0B6E"/>
    <w:rsid w:val="005B0C1A"/>
    <w:rsid w:val="005B152F"/>
    <w:rsid w:val="005B164B"/>
    <w:rsid w:val="005B1C74"/>
    <w:rsid w:val="005B255C"/>
    <w:rsid w:val="005B593C"/>
    <w:rsid w:val="005B7B50"/>
    <w:rsid w:val="005C03B4"/>
    <w:rsid w:val="005C35E0"/>
    <w:rsid w:val="005C5495"/>
    <w:rsid w:val="005C618B"/>
    <w:rsid w:val="005C6E63"/>
    <w:rsid w:val="005D0160"/>
    <w:rsid w:val="005D2E30"/>
    <w:rsid w:val="005D4BA9"/>
    <w:rsid w:val="005D5193"/>
    <w:rsid w:val="005D6B27"/>
    <w:rsid w:val="005E14AA"/>
    <w:rsid w:val="005E6985"/>
    <w:rsid w:val="005F12D6"/>
    <w:rsid w:val="005F3084"/>
    <w:rsid w:val="005F439A"/>
    <w:rsid w:val="005F7EB7"/>
    <w:rsid w:val="00601C14"/>
    <w:rsid w:val="00605B6D"/>
    <w:rsid w:val="0060646E"/>
    <w:rsid w:val="00614F8F"/>
    <w:rsid w:val="00615422"/>
    <w:rsid w:val="00616C33"/>
    <w:rsid w:val="006171EE"/>
    <w:rsid w:val="0062061F"/>
    <w:rsid w:val="0062519C"/>
    <w:rsid w:val="00630BEA"/>
    <w:rsid w:val="00630C1F"/>
    <w:rsid w:val="0063147D"/>
    <w:rsid w:val="00631B05"/>
    <w:rsid w:val="00635265"/>
    <w:rsid w:val="00635DBD"/>
    <w:rsid w:val="00642E30"/>
    <w:rsid w:val="006508E3"/>
    <w:rsid w:val="00650AE3"/>
    <w:rsid w:val="00652A29"/>
    <w:rsid w:val="00652C5F"/>
    <w:rsid w:val="00655DE5"/>
    <w:rsid w:val="00656849"/>
    <w:rsid w:val="0065703C"/>
    <w:rsid w:val="00657B11"/>
    <w:rsid w:val="00660C2A"/>
    <w:rsid w:val="006629AF"/>
    <w:rsid w:val="00662DE2"/>
    <w:rsid w:val="00662FA6"/>
    <w:rsid w:val="00665DE1"/>
    <w:rsid w:val="0066614E"/>
    <w:rsid w:val="006668DF"/>
    <w:rsid w:val="00667B62"/>
    <w:rsid w:val="00671533"/>
    <w:rsid w:val="006730CB"/>
    <w:rsid w:val="00674A3C"/>
    <w:rsid w:val="00675158"/>
    <w:rsid w:val="00675FA6"/>
    <w:rsid w:val="006827AF"/>
    <w:rsid w:val="00690C15"/>
    <w:rsid w:val="00691676"/>
    <w:rsid w:val="006934A4"/>
    <w:rsid w:val="00694319"/>
    <w:rsid w:val="00694524"/>
    <w:rsid w:val="006969DC"/>
    <w:rsid w:val="006A24F0"/>
    <w:rsid w:val="006A4C92"/>
    <w:rsid w:val="006A5A3E"/>
    <w:rsid w:val="006A7268"/>
    <w:rsid w:val="006B153B"/>
    <w:rsid w:val="006B3447"/>
    <w:rsid w:val="006B3B20"/>
    <w:rsid w:val="006B3FD4"/>
    <w:rsid w:val="006B517C"/>
    <w:rsid w:val="006C17C9"/>
    <w:rsid w:val="006C30BA"/>
    <w:rsid w:val="006D453E"/>
    <w:rsid w:val="006E6DA2"/>
    <w:rsid w:val="006E70BB"/>
    <w:rsid w:val="006F3876"/>
    <w:rsid w:val="006F5205"/>
    <w:rsid w:val="00705811"/>
    <w:rsid w:val="00707A33"/>
    <w:rsid w:val="007170F9"/>
    <w:rsid w:val="00720C29"/>
    <w:rsid w:val="00730A15"/>
    <w:rsid w:val="00731487"/>
    <w:rsid w:val="00733B5E"/>
    <w:rsid w:val="0073417A"/>
    <w:rsid w:val="00735255"/>
    <w:rsid w:val="007355DF"/>
    <w:rsid w:val="0073576C"/>
    <w:rsid w:val="0074052A"/>
    <w:rsid w:val="007428D6"/>
    <w:rsid w:val="0074337D"/>
    <w:rsid w:val="00743EF7"/>
    <w:rsid w:val="00745602"/>
    <w:rsid w:val="00746F4D"/>
    <w:rsid w:val="00747590"/>
    <w:rsid w:val="00747BA9"/>
    <w:rsid w:val="007519E9"/>
    <w:rsid w:val="00752795"/>
    <w:rsid w:val="007551D2"/>
    <w:rsid w:val="00755F8C"/>
    <w:rsid w:val="00760280"/>
    <w:rsid w:val="00766485"/>
    <w:rsid w:val="007665AC"/>
    <w:rsid w:val="007678A5"/>
    <w:rsid w:val="00767E55"/>
    <w:rsid w:val="00774632"/>
    <w:rsid w:val="00775899"/>
    <w:rsid w:val="00780453"/>
    <w:rsid w:val="0079089F"/>
    <w:rsid w:val="0079380E"/>
    <w:rsid w:val="007A4722"/>
    <w:rsid w:val="007B10F9"/>
    <w:rsid w:val="007B1F7D"/>
    <w:rsid w:val="007B2DE7"/>
    <w:rsid w:val="007B39C6"/>
    <w:rsid w:val="007B4D4C"/>
    <w:rsid w:val="007C21CB"/>
    <w:rsid w:val="007C4A02"/>
    <w:rsid w:val="007C4E4F"/>
    <w:rsid w:val="007D08A0"/>
    <w:rsid w:val="007D1671"/>
    <w:rsid w:val="007D413A"/>
    <w:rsid w:val="007D5CA9"/>
    <w:rsid w:val="007E4C2D"/>
    <w:rsid w:val="007E654F"/>
    <w:rsid w:val="007E69D1"/>
    <w:rsid w:val="007F4EF3"/>
    <w:rsid w:val="0080033F"/>
    <w:rsid w:val="008042B6"/>
    <w:rsid w:val="00805EFF"/>
    <w:rsid w:val="00807AF8"/>
    <w:rsid w:val="00811FA1"/>
    <w:rsid w:val="008121F9"/>
    <w:rsid w:val="00816217"/>
    <w:rsid w:val="0081636C"/>
    <w:rsid w:val="00817E09"/>
    <w:rsid w:val="008207DE"/>
    <w:rsid w:val="00821CFF"/>
    <w:rsid w:val="00823236"/>
    <w:rsid w:val="008234F6"/>
    <w:rsid w:val="00824E8C"/>
    <w:rsid w:val="00825C70"/>
    <w:rsid w:val="00825E5C"/>
    <w:rsid w:val="00831946"/>
    <w:rsid w:val="00837424"/>
    <w:rsid w:val="00841449"/>
    <w:rsid w:val="00841ADE"/>
    <w:rsid w:val="00841D80"/>
    <w:rsid w:val="00845503"/>
    <w:rsid w:val="00847D6A"/>
    <w:rsid w:val="00850404"/>
    <w:rsid w:val="00851FAD"/>
    <w:rsid w:val="008523C2"/>
    <w:rsid w:val="00852DDF"/>
    <w:rsid w:val="0085318E"/>
    <w:rsid w:val="00857C38"/>
    <w:rsid w:val="00861DD4"/>
    <w:rsid w:val="00863C66"/>
    <w:rsid w:val="00864BA1"/>
    <w:rsid w:val="00866DEF"/>
    <w:rsid w:val="00867766"/>
    <w:rsid w:val="008723D3"/>
    <w:rsid w:val="0087283C"/>
    <w:rsid w:val="00873620"/>
    <w:rsid w:val="00873898"/>
    <w:rsid w:val="008751B8"/>
    <w:rsid w:val="00880D26"/>
    <w:rsid w:val="00881307"/>
    <w:rsid w:val="0088186C"/>
    <w:rsid w:val="00882B42"/>
    <w:rsid w:val="00882F42"/>
    <w:rsid w:val="00883055"/>
    <w:rsid w:val="00883FE1"/>
    <w:rsid w:val="00884CA7"/>
    <w:rsid w:val="0088641E"/>
    <w:rsid w:val="00890C67"/>
    <w:rsid w:val="00894708"/>
    <w:rsid w:val="00897FD7"/>
    <w:rsid w:val="008A362A"/>
    <w:rsid w:val="008A418E"/>
    <w:rsid w:val="008A53A4"/>
    <w:rsid w:val="008B0264"/>
    <w:rsid w:val="008B11A1"/>
    <w:rsid w:val="008B2E2E"/>
    <w:rsid w:val="008B3DC1"/>
    <w:rsid w:val="008B581C"/>
    <w:rsid w:val="008C2411"/>
    <w:rsid w:val="008C33CC"/>
    <w:rsid w:val="008C6751"/>
    <w:rsid w:val="008C6B06"/>
    <w:rsid w:val="008D0079"/>
    <w:rsid w:val="008D3608"/>
    <w:rsid w:val="008D4C1C"/>
    <w:rsid w:val="008D7545"/>
    <w:rsid w:val="008D7F94"/>
    <w:rsid w:val="008E37BD"/>
    <w:rsid w:val="008E4562"/>
    <w:rsid w:val="008E6802"/>
    <w:rsid w:val="008F449A"/>
    <w:rsid w:val="008F5322"/>
    <w:rsid w:val="008F55F5"/>
    <w:rsid w:val="008F6351"/>
    <w:rsid w:val="008F6C24"/>
    <w:rsid w:val="009009B8"/>
    <w:rsid w:val="00914A72"/>
    <w:rsid w:val="00915234"/>
    <w:rsid w:val="00921622"/>
    <w:rsid w:val="00925F1C"/>
    <w:rsid w:val="00926560"/>
    <w:rsid w:val="0093035A"/>
    <w:rsid w:val="00931531"/>
    <w:rsid w:val="009320AA"/>
    <w:rsid w:val="00932594"/>
    <w:rsid w:val="0093573B"/>
    <w:rsid w:val="009373EA"/>
    <w:rsid w:val="00946422"/>
    <w:rsid w:val="009466F7"/>
    <w:rsid w:val="00947D0F"/>
    <w:rsid w:val="00952C5B"/>
    <w:rsid w:val="0095464C"/>
    <w:rsid w:val="0095499C"/>
    <w:rsid w:val="00955E79"/>
    <w:rsid w:val="00957027"/>
    <w:rsid w:val="0095716F"/>
    <w:rsid w:val="00961741"/>
    <w:rsid w:val="0096664A"/>
    <w:rsid w:val="00972DB9"/>
    <w:rsid w:val="00975089"/>
    <w:rsid w:val="0097663E"/>
    <w:rsid w:val="00983C8D"/>
    <w:rsid w:val="009854B5"/>
    <w:rsid w:val="00991363"/>
    <w:rsid w:val="0099649A"/>
    <w:rsid w:val="009A0097"/>
    <w:rsid w:val="009A0A4D"/>
    <w:rsid w:val="009A1A60"/>
    <w:rsid w:val="009A4318"/>
    <w:rsid w:val="009A5016"/>
    <w:rsid w:val="009A7DD7"/>
    <w:rsid w:val="009B06B3"/>
    <w:rsid w:val="009B2781"/>
    <w:rsid w:val="009B64E6"/>
    <w:rsid w:val="009B7444"/>
    <w:rsid w:val="009C4673"/>
    <w:rsid w:val="009D1E03"/>
    <w:rsid w:val="009D61E3"/>
    <w:rsid w:val="009E0528"/>
    <w:rsid w:val="009E1CE5"/>
    <w:rsid w:val="009E1DF7"/>
    <w:rsid w:val="009E4284"/>
    <w:rsid w:val="009E49C7"/>
    <w:rsid w:val="009E5C9A"/>
    <w:rsid w:val="009E5E20"/>
    <w:rsid w:val="009E5F15"/>
    <w:rsid w:val="009E64E1"/>
    <w:rsid w:val="009E7363"/>
    <w:rsid w:val="009F09A9"/>
    <w:rsid w:val="009F1336"/>
    <w:rsid w:val="009F5948"/>
    <w:rsid w:val="009F75B4"/>
    <w:rsid w:val="00A005BB"/>
    <w:rsid w:val="00A01DF7"/>
    <w:rsid w:val="00A03398"/>
    <w:rsid w:val="00A06AE9"/>
    <w:rsid w:val="00A10869"/>
    <w:rsid w:val="00A113D9"/>
    <w:rsid w:val="00A15828"/>
    <w:rsid w:val="00A15DC1"/>
    <w:rsid w:val="00A25934"/>
    <w:rsid w:val="00A25E82"/>
    <w:rsid w:val="00A32AC3"/>
    <w:rsid w:val="00A32CFB"/>
    <w:rsid w:val="00A34E65"/>
    <w:rsid w:val="00A3547D"/>
    <w:rsid w:val="00A354BA"/>
    <w:rsid w:val="00A370AA"/>
    <w:rsid w:val="00A40E8A"/>
    <w:rsid w:val="00A42629"/>
    <w:rsid w:val="00A434CF"/>
    <w:rsid w:val="00A43AFF"/>
    <w:rsid w:val="00A43D41"/>
    <w:rsid w:val="00A44901"/>
    <w:rsid w:val="00A471D7"/>
    <w:rsid w:val="00A47386"/>
    <w:rsid w:val="00A50095"/>
    <w:rsid w:val="00A5170D"/>
    <w:rsid w:val="00A526B0"/>
    <w:rsid w:val="00A5377B"/>
    <w:rsid w:val="00A552BF"/>
    <w:rsid w:val="00A5555F"/>
    <w:rsid w:val="00A56408"/>
    <w:rsid w:val="00A6083E"/>
    <w:rsid w:val="00A613F3"/>
    <w:rsid w:val="00A6221E"/>
    <w:rsid w:val="00A63553"/>
    <w:rsid w:val="00A70350"/>
    <w:rsid w:val="00A734A9"/>
    <w:rsid w:val="00A74E9D"/>
    <w:rsid w:val="00A757C4"/>
    <w:rsid w:val="00A758FB"/>
    <w:rsid w:val="00A80F7D"/>
    <w:rsid w:val="00A83AC9"/>
    <w:rsid w:val="00A85C55"/>
    <w:rsid w:val="00A86721"/>
    <w:rsid w:val="00A94350"/>
    <w:rsid w:val="00AA34BE"/>
    <w:rsid w:val="00AA4628"/>
    <w:rsid w:val="00AA562B"/>
    <w:rsid w:val="00AA6F06"/>
    <w:rsid w:val="00AB1FAA"/>
    <w:rsid w:val="00AB2C68"/>
    <w:rsid w:val="00AB6005"/>
    <w:rsid w:val="00AB6B4E"/>
    <w:rsid w:val="00AC07E5"/>
    <w:rsid w:val="00AC2BA9"/>
    <w:rsid w:val="00AC3904"/>
    <w:rsid w:val="00AC6334"/>
    <w:rsid w:val="00AD035E"/>
    <w:rsid w:val="00AD2163"/>
    <w:rsid w:val="00AD4DDD"/>
    <w:rsid w:val="00AD4F43"/>
    <w:rsid w:val="00AD62E3"/>
    <w:rsid w:val="00AE0D28"/>
    <w:rsid w:val="00AE1A46"/>
    <w:rsid w:val="00AE39D4"/>
    <w:rsid w:val="00AE3F2E"/>
    <w:rsid w:val="00AE4432"/>
    <w:rsid w:val="00AE51B0"/>
    <w:rsid w:val="00AF0EEA"/>
    <w:rsid w:val="00AF1282"/>
    <w:rsid w:val="00AF15D7"/>
    <w:rsid w:val="00AF6037"/>
    <w:rsid w:val="00B0104F"/>
    <w:rsid w:val="00B0169E"/>
    <w:rsid w:val="00B01D65"/>
    <w:rsid w:val="00B0363F"/>
    <w:rsid w:val="00B0515F"/>
    <w:rsid w:val="00B05282"/>
    <w:rsid w:val="00B16A90"/>
    <w:rsid w:val="00B20A06"/>
    <w:rsid w:val="00B20FCC"/>
    <w:rsid w:val="00B21B04"/>
    <w:rsid w:val="00B2266D"/>
    <w:rsid w:val="00B30CF7"/>
    <w:rsid w:val="00B333BB"/>
    <w:rsid w:val="00B33A94"/>
    <w:rsid w:val="00B3454E"/>
    <w:rsid w:val="00B3628C"/>
    <w:rsid w:val="00B36A20"/>
    <w:rsid w:val="00B41715"/>
    <w:rsid w:val="00B42DBE"/>
    <w:rsid w:val="00B46DA7"/>
    <w:rsid w:val="00B474B6"/>
    <w:rsid w:val="00B50939"/>
    <w:rsid w:val="00B52143"/>
    <w:rsid w:val="00B611AA"/>
    <w:rsid w:val="00B62537"/>
    <w:rsid w:val="00B64A63"/>
    <w:rsid w:val="00B64BF6"/>
    <w:rsid w:val="00B67189"/>
    <w:rsid w:val="00B72E5E"/>
    <w:rsid w:val="00B7305B"/>
    <w:rsid w:val="00B741BE"/>
    <w:rsid w:val="00B75E06"/>
    <w:rsid w:val="00B85DE2"/>
    <w:rsid w:val="00B865A5"/>
    <w:rsid w:val="00B90E2B"/>
    <w:rsid w:val="00B946C1"/>
    <w:rsid w:val="00BA0669"/>
    <w:rsid w:val="00BA2134"/>
    <w:rsid w:val="00BA2617"/>
    <w:rsid w:val="00BA354A"/>
    <w:rsid w:val="00BA405C"/>
    <w:rsid w:val="00BA4D70"/>
    <w:rsid w:val="00BA6C6D"/>
    <w:rsid w:val="00BA6F52"/>
    <w:rsid w:val="00BA726F"/>
    <w:rsid w:val="00BB0EEB"/>
    <w:rsid w:val="00BB4A6C"/>
    <w:rsid w:val="00BB5896"/>
    <w:rsid w:val="00BB5E08"/>
    <w:rsid w:val="00BB63F0"/>
    <w:rsid w:val="00BB7742"/>
    <w:rsid w:val="00BC2122"/>
    <w:rsid w:val="00BC2AB1"/>
    <w:rsid w:val="00BC7A13"/>
    <w:rsid w:val="00BD07D4"/>
    <w:rsid w:val="00BD256A"/>
    <w:rsid w:val="00BD6844"/>
    <w:rsid w:val="00BE1A3D"/>
    <w:rsid w:val="00BE3023"/>
    <w:rsid w:val="00BE3A57"/>
    <w:rsid w:val="00BE4E01"/>
    <w:rsid w:val="00BF1F88"/>
    <w:rsid w:val="00BF334C"/>
    <w:rsid w:val="00BF3A15"/>
    <w:rsid w:val="00BF40F1"/>
    <w:rsid w:val="00BF4759"/>
    <w:rsid w:val="00BF6905"/>
    <w:rsid w:val="00C02495"/>
    <w:rsid w:val="00C03B13"/>
    <w:rsid w:val="00C03F15"/>
    <w:rsid w:val="00C051D4"/>
    <w:rsid w:val="00C0666F"/>
    <w:rsid w:val="00C079C8"/>
    <w:rsid w:val="00C1057F"/>
    <w:rsid w:val="00C123DC"/>
    <w:rsid w:val="00C12426"/>
    <w:rsid w:val="00C14930"/>
    <w:rsid w:val="00C150D6"/>
    <w:rsid w:val="00C160F6"/>
    <w:rsid w:val="00C174B5"/>
    <w:rsid w:val="00C23619"/>
    <w:rsid w:val="00C246EC"/>
    <w:rsid w:val="00C271DF"/>
    <w:rsid w:val="00C30735"/>
    <w:rsid w:val="00C32ABE"/>
    <w:rsid w:val="00C36FA8"/>
    <w:rsid w:val="00C40A02"/>
    <w:rsid w:val="00C4264F"/>
    <w:rsid w:val="00C450C8"/>
    <w:rsid w:val="00C455F3"/>
    <w:rsid w:val="00C46C3C"/>
    <w:rsid w:val="00C50F55"/>
    <w:rsid w:val="00C5160C"/>
    <w:rsid w:val="00C53355"/>
    <w:rsid w:val="00C54F37"/>
    <w:rsid w:val="00C56E2E"/>
    <w:rsid w:val="00C6179C"/>
    <w:rsid w:val="00C62842"/>
    <w:rsid w:val="00C65366"/>
    <w:rsid w:val="00C74DED"/>
    <w:rsid w:val="00C8048D"/>
    <w:rsid w:val="00C817DD"/>
    <w:rsid w:val="00C82FB3"/>
    <w:rsid w:val="00C84FF0"/>
    <w:rsid w:val="00C85CF6"/>
    <w:rsid w:val="00C85E5B"/>
    <w:rsid w:val="00C87626"/>
    <w:rsid w:val="00C87AF3"/>
    <w:rsid w:val="00C9215E"/>
    <w:rsid w:val="00C936BA"/>
    <w:rsid w:val="00C95774"/>
    <w:rsid w:val="00CA04AD"/>
    <w:rsid w:val="00CA0F93"/>
    <w:rsid w:val="00CA36C1"/>
    <w:rsid w:val="00CA6D93"/>
    <w:rsid w:val="00CA741F"/>
    <w:rsid w:val="00CA7E7D"/>
    <w:rsid w:val="00CA7E8D"/>
    <w:rsid w:val="00CB036C"/>
    <w:rsid w:val="00CB13C0"/>
    <w:rsid w:val="00CB63A7"/>
    <w:rsid w:val="00CB76AF"/>
    <w:rsid w:val="00CC27D4"/>
    <w:rsid w:val="00CC2898"/>
    <w:rsid w:val="00CC28FF"/>
    <w:rsid w:val="00CC2E2D"/>
    <w:rsid w:val="00CC40A4"/>
    <w:rsid w:val="00CC5949"/>
    <w:rsid w:val="00CC5C1A"/>
    <w:rsid w:val="00CD1D69"/>
    <w:rsid w:val="00CD2FE0"/>
    <w:rsid w:val="00CD343D"/>
    <w:rsid w:val="00CD57A4"/>
    <w:rsid w:val="00CD7285"/>
    <w:rsid w:val="00CE60D2"/>
    <w:rsid w:val="00CF220B"/>
    <w:rsid w:val="00CF4014"/>
    <w:rsid w:val="00D00925"/>
    <w:rsid w:val="00D03363"/>
    <w:rsid w:val="00D0610E"/>
    <w:rsid w:val="00D117BF"/>
    <w:rsid w:val="00D122FD"/>
    <w:rsid w:val="00D13812"/>
    <w:rsid w:val="00D139FB"/>
    <w:rsid w:val="00D160C2"/>
    <w:rsid w:val="00D16DB7"/>
    <w:rsid w:val="00D20F42"/>
    <w:rsid w:val="00D216D6"/>
    <w:rsid w:val="00D2317A"/>
    <w:rsid w:val="00D24241"/>
    <w:rsid w:val="00D24637"/>
    <w:rsid w:val="00D24DA6"/>
    <w:rsid w:val="00D3328D"/>
    <w:rsid w:val="00D34980"/>
    <w:rsid w:val="00D3781A"/>
    <w:rsid w:val="00D41A53"/>
    <w:rsid w:val="00D43EDA"/>
    <w:rsid w:val="00D45BBD"/>
    <w:rsid w:val="00D468EB"/>
    <w:rsid w:val="00D46DD1"/>
    <w:rsid w:val="00D50CFF"/>
    <w:rsid w:val="00D52017"/>
    <w:rsid w:val="00D5207E"/>
    <w:rsid w:val="00D53F70"/>
    <w:rsid w:val="00D554B0"/>
    <w:rsid w:val="00D56A53"/>
    <w:rsid w:val="00D56A8E"/>
    <w:rsid w:val="00D60694"/>
    <w:rsid w:val="00D607F2"/>
    <w:rsid w:val="00D6211D"/>
    <w:rsid w:val="00D666EA"/>
    <w:rsid w:val="00D708E9"/>
    <w:rsid w:val="00D70996"/>
    <w:rsid w:val="00D7131D"/>
    <w:rsid w:val="00D71637"/>
    <w:rsid w:val="00D72773"/>
    <w:rsid w:val="00D7460D"/>
    <w:rsid w:val="00D81029"/>
    <w:rsid w:val="00D826FF"/>
    <w:rsid w:val="00D92F9B"/>
    <w:rsid w:val="00D92FE7"/>
    <w:rsid w:val="00D97C35"/>
    <w:rsid w:val="00DA0BB3"/>
    <w:rsid w:val="00DA0CA2"/>
    <w:rsid w:val="00DA0CF2"/>
    <w:rsid w:val="00DA165A"/>
    <w:rsid w:val="00DA3223"/>
    <w:rsid w:val="00DA5D27"/>
    <w:rsid w:val="00DA5D99"/>
    <w:rsid w:val="00DA684F"/>
    <w:rsid w:val="00DA711E"/>
    <w:rsid w:val="00DA79F5"/>
    <w:rsid w:val="00DB026B"/>
    <w:rsid w:val="00DB0D9F"/>
    <w:rsid w:val="00DB2942"/>
    <w:rsid w:val="00DB3557"/>
    <w:rsid w:val="00DB416A"/>
    <w:rsid w:val="00DB71C2"/>
    <w:rsid w:val="00DD1B58"/>
    <w:rsid w:val="00DD4C39"/>
    <w:rsid w:val="00DD72FD"/>
    <w:rsid w:val="00DE2507"/>
    <w:rsid w:val="00DE7887"/>
    <w:rsid w:val="00DF0742"/>
    <w:rsid w:val="00DF09DD"/>
    <w:rsid w:val="00DF3AE4"/>
    <w:rsid w:val="00DF58AA"/>
    <w:rsid w:val="00DF7A00"/>
    <w:rsid w:val="00E00018"/>
    <w:rsid w:val="00E0084B"/>
    <w:rsid w:val="00E019ED"/>
    <w:rsid w:val="00E02C6F"/>
    <w:rsid w:val="00E04270"/>
    <w:rsid w:val="00E10259"/>
    <w:rsid w:val="00E10716"/>
    <w:rsid w:val="00E1141E"/>
    <w:rsid w:val="00E12CFE"/>
    <w:rsid w:val="00E13A24"/>
    <w:rsid w:val="00E15BBC"/>
    <w:rsid w:val="00E16E70"/>
    <w:rsid w:val="00E175E6"/>
    <w:rsid w:val="00E207E9"/>
    <w:rsid w:val="00E2165E"/>
    <w:rsid w:val="00E219BD"/>
    <w:rsid w:val="00E234E9"/>
    <w:rsid w:val="00E259C9"/>
    <w:rsid w:val="00E305FB"/>
    <w:rsid w:val="00E3707C"/>
    <w:rsid w:val="00E403BF"/>
    <w:rsid w:val="00E40BBC"/>
    <w:rsid w:val="00E43856"/>
    <w:rsid w:val="00E4458D"/>
    <w:rsid w:val="00E445A6"/>
    <w:rsid w:val="00E45CF8"/>
    <w:rsid w:val="00E466CC"/>
    <w:rsid w:val="00E556A9"/>
    <w:rsid w:val="00E649BF"/>
    <w:rsid w:val="00E65734"/>
    <w:rsid w:val="00E66132"/>
    <w:rsid w:val="00E67B15"/>
    <w:rsid w:val="00E72A84"/>
    <w:rsid w:val="00E73E48"/>
    <w:rsid w:val="00E751D2"/>
    <w:rsid w:val="00E759B6"/>
    <w:rsid w:val="00E81B63"/>
    <w:rsid w:val="00E8269D"/>
    <w:rsid w:val="00E82ABA"/>
    <w:rsid w:val="00E90614"/>
    <w:rsid w:val="00E910E1"/>
    <w:rsid w:val="00E93966"/>
    <w:rsid w:val="00E93C0E"/>
    <w:rsid w:val="00EA3339"/>
    <w:rsid w:val="00EA518D"/>
    <w:rsid w:val="00EB0B5F"/>
    <w:rsid w:val="00EB3412"/>
    <w:rsid w:val="00EB6DE3"/>
    <w:rsid w:val="00EC3076"/>
    <w:rsid w:val="00EC5A9B"/>
    <w:rsid w:val="00EC6595"/>
    <w:rsid w:val="00ED0451"/>
    <w:rsid w:val="00ED3CAD"/>
    <w:rsid w:val="00ED452C"/>
    <w:rsid w:val="00ED4685"/>
    <w:rsid w:val="00EE1783"/>
    <w:rsid w:val="00EE2441"/>
    <w:rsid w:val="00EE4C65"/>
    <w:rsid w:val="00EE697E"/>
    <w:rsid w:val="00EF0D17"/>
    <w:rsid w:val="00EF1148"/>
    <w:rsid w:val="00EF24E1"/>
    <w:rsid w:val="00EF3D7B"/>
    <w:rsid w:val="00EF4FD8"/>
    <w:rsid w:val="00EF5A6F"/>
    <w:rsid w:val="00EF63C5"/>
    <w:rsid w:val="00EF7B6B"/>
    <w:rsid w:val="00F01020"/>
    <w:rsid w:val="00F02E39"/>
    <w:rsid w:val="00F03E94"/>
    <w:rsid w:val="00F05E0F"/>
    <w:rsid w:val="00F075E4"/>
    <w:rsid w:val="00F149CE"/>
    <w:rsid w:val="00F158B3"/>
    <w:rsid w:val="00F17E4A"/>
    <w:rsid w:val="00F25884"/>
    <w:rsid w:val="00F30F1E"/>
    <w:rsid w:val="00F32FEA"/>
    <w:rsid w:val="00F41267"/>
    <w:rsid w:val="00F451A1"/>
    <w:rsid w:val="00F51A67"/>
    <w:rsid w:val="00F52D64"/>
    <w:rsid w:val="00F5712F"/>
    <w:rsid w:val="00F60A2E"/>
    <w:rsid w:val="00F630A8"/>
    <w:rsid w:val="00F63359"/>
    <w:rsid w:val="00F63CFC"/>
    <w:rsid w:val="00F65622"/>
    <w:rsid w:val="00F666BA"/>
    <w:rsid w:val="00F67119"/>
    <w:rsid w:val="00F70A82"/>
    <w:rsid w:val="00F71A6C"/>
    <w:rsid w:val="00F72369"/>
    <w:rsid w:val="00F723EC"/>
    <w:rsid w:val="00F749AD"/>
    <w:rsid w:val="00F75AA3"/>
    <w:rsid w:val="00F77217"/>
    <w:rsid w:val="00F7751B"/>
    <w:rsid w:val="00F77B14"/>
    <w:rsid w:val="00F800F1"/>
    <w:rsid w:val="00F823E5"/>
    <w:rsid w:val="00F82C2F"/>
    <w:rsid w:val="00F83848"/>
    <w:rsid w:val="00F84A3A"/>
    <w:rsid w:val="00F85802"/>
    <w:rsid w:val="00F90DBC"/>
    <w:rsid w:val="00F9353B"/>
    <w:rsid w:val="00F95928"/>
    <w:rsid w:val="00FA0F38"/>
    <w:rsid w:val="00FA4FA0"/>
    <w:rsid w:val="00FA670F"/>
    <w:rsid w:val="00FA70AE"/>
    <w:rsid w:val="00FB0A22"/>
    <w:rsid w:val="00FB1744"/>
    <w:rsid w:val="00FB18CC"/>
    <w:rsid w:val="00FB6884"/>
    <w:rsid w:val="00FC1132"/>
    <w:rsid w:val="00FC1865"/>
    <w:rsid w:val="00FC1C55"/>
    <w:rsid w:val="00FC256E"/>
    <w:rsid w:val="00FC54AD"/>
    <w:rsid w:val="00FD1972"/>
    <w:rsid w:val="00FD1D26"/>
    <w:rsid w:val="00FD3601"/>
    <w:rsid w:val="00FD5025"/>
    <w:rsid w:val="00FD6700"/>
    <w:rsid w:val="00FD67D9"/>
    <w:rsid w:val="00FD6E5E"/>
    <w:rsid w:val="00FD7F2B"/>
    <w:rsid w:val="00FE1B78"/>
    <w:rsid w:val="00FE25D8"/>
    <w:rsid w:val="00FE6403"/>
    <w:rsid w:val="00FE69D0"/>
    <w:rsid w:val="00FE7751"/>
    <w:rsid w:val="00FF0A40"/>
    <w:rsid w:val="00FF3137"/>
    <w:rsid w:val="00FF45E0"/>
    <w:rsid w:val="00FF5D7E"/>
    <w:rsid w:val="00FF66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48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F9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6648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76648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BodyText"/>
    <w:link w:val="Heading3Char"/>
    <w:uiPriority w:val="9"/>
    <w:unhideWhenUsed/>
    <w:qFormat/>
    <w:rsid w:val="00766485"/>
    <w:pPr>
      <w:keepNext/>
      <w:keepLines/>
      <w:spacing w:before="200"/>
      <w:outlineLvl w:val="2"/>
    </w:pPr>
    <w:rPr>
      <w:rFonts w:asciiTheme="majorHAnsi" w:eastAsiaTheme="majorEastAsia" w:hAnsiTheme="majorHAnsi" w:cstheme="majorBidi"/>
      <w:b/>
      <w:bCs/>
      <w:color w:val="4472C4" w:themeColor="accent1"/>
      <w:sz w:val="28"/>
      <w:szCs w:val="28"/>
      <w:lang w:val="en-US"/>
    </w:rPr>
  </w:style>
  <w:style w:type="paragraph" w:styleId="Heading4">
    <w:name w:val="heading 4"/>
    <w:basedOn w:val="Normal"/>
    <w:next w:val="BodyText"/>
    <w:link w:val="Heading4Char"/>
    <w:uiPriority w:val="9"/>
    <w:unhideWhenUsed/>
    <w:qFormat/>
    <w:rsid w:val="00766485"/>
    <w:pPr>
      <w:keepNext/>
      <w:keepLines/>
      <w:spacing w:before="200"/>
      <w:outlineLvl w:val="3"/>
    </w:pPr>
    <w:rPr>
      <w:rFonts w:asciiTheme="majorHAnsi" w:eastAsiaTheme="majorEastAsia" w:hAnsiTheme="majorHAnsi" w:cstheme="majorBidi"/>
      <w:b/>
      <w:bCs/>
      <w:color w:val="4472C4" w:themeColor="accent1"/>
      <w:lang w:val="en-US"/>
    </w:rPr>
  </w:style>
  <w:style w:type="paragraph" w:styleId="Heading5">
    <w:name w:val="heading 5"/>
    <w:basedOn w:val="Normal"/>
    <w:next w:val="BodyText"/>
    <w:link w:val="Heading5Char"/>
    <w:uiPriority w:val="9"/>
    <w:unhideWhenUsed/>
    <w:qFormat/>
    <w:rsid w:val="00766485"/>
    <w:pPr>
      <w:keepNext/>
      <w:keepLines/>
      <w:spacing w:before="200"/>
      <w:outlineLvl w:val="4"/>
    </w:pPr>
    <w:rPr>
      <w:rFonts w:asciiTheme="majorHAnsi" w:eastAsiaTheme="majorEastAsia" w:hAnsiTheme="majorHAnsi" w:cstheme="majorBidi"/>
      <w:i/>
      <w:iCs/>
      <w:color w:val="4472C4" w:themeColor="accent1"/>
      <w:lang w:val="en-US"/>
    </w:rPr>
  </w:style>
  <w:style w:type="paragraph" w:styleId="Heading6">
    <w:name w:val="heading 6"/>
    <w:basedOn w:val="Normal"/>
    <w:next w:val="BodyText"/>
    <w:link w:val="Heading6Char"/>
    <w:uiPriority w:val="9"/>
    <w:unhideWhenUsed/>
    <w:qFormat/>
    <w:rsid w:val="00766485"/>
    <w:pPr>
      <w:keepNext/>
      <w:keepLines/>
      <w:spacing w:before="200"/>
      <w:outlineLvl w:val="5"/>
    </w:pPr>
    <w:rPr>
      <w:rFonts w:asciiTheme="majorHAnsi" w:eastAsiaTheme="majorEastAsia" w:hAnsiTheme="majorHAnsi" w:cstheme="majorBidi"/>
      <w:color w:val="4472C4" w:themeColor="accent1"/>
      <w:lang w:val="en-US"/>
    </w:rPr>
  </w:style>
  <w:style w:type="paragraph" w:styleId="Heading7">
    <w:name w:val="heading 7"/>
    <w:basedOn w:val="Normal"/>
    <w:next w:val="BodyText"/>
    <w:link w:val="Heading7Char"/>
    <w:uiPriority w:val="9"/>
    <w:unhideWhenUsed/>
    <w:qFormat/>
    <w:rsid w:val="00766485"/>
    <w:pPr>
      <w:keepNext/>
      <w:keepLines/>
      <w:spacing w:before="200"/>
      <w:outlineLvl w:val="6"/>
    </w:pPr>
    <w:rPr>
      <w:rFonts w:asciiTheme="majorHAnsi" w:eastAsiaTheme="majorEastAsia" w:hAnsiTheme="majorHAnsi" w:cstheme="majorBidi"/>
      <w:color w:val="4472C4" w:themeColor="accent1"/>
      <w:lang w:val="en-US"/>
    </w:rPr>
  </w:style>
  <w:style w:type="paragraph" w:styleId="Heading8">
    <w:name w:val="heading 8"/>
    <w:basedOn w:val="Normal"/>
    <w:next w:val="BodyText"/>
    <w:link w:val="Heading8Char"/>
    <w:uiPriority w:val="9"/>
    <w:unhideWhenUsed/>
    <w:qFormat/>
    <w:rsid w:val="00766485"/>
    <w:pPr>
      <w:keepNext/>
      <w:keepLines/>
      <w:spacing w:before="200"/>
      <w:outlineLvl w:val="7"/>
    </w:pPr>
    <w:rPr>
      <w:rFonts w:asciiTheme="majorHAnsi" w:eastAsiaTheme="majorEastAsia" w:hAnsiTheme="majorHAnsi" w:cstheme="majorBidi"/>
      <w:color w:val="4472C4" w:themeColor="accent1"/>
      <w:lang w:val="en-US"/>
    </w:rPr>
  </w:style>
  <w:style w:type="paragraph" w:styleId="Heading9">
    <w:name w:val="heading 9"/>
    <w:basedOn w:val="Normal"/>
    <w:next w:val="BodyText"/>
    <w:link w:val="Heading9Char"/>
    <w:uiPriority w:val="9"/>
    <w:unhideWhenUsed/>
    <w:qFormat/>
    <w:rsid w:val="00766485"/>
    <w:pPr>
      <w:keepNext/>
      <w:keepLines/>
      <w:spacing w:before="200"/>
      <w:outlineLvl w:val="8"/>
    </w:pPr>
    <w:rPr>
      <w:rFonts w:asciiTheme="majorHAnsi" w:eastAsiaTheme="majorEastAsia" w:hAnsiTheme="majorHAnsi" w:cstheme="majorBidi"/>
      <w:color w:val="4472C4"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C39"/>
    <w:pPr>
      <w:ind w:left="720"/>
    </w:pPr>
    <w:rPr>
      <w:rFonts w:ascii="Calibri" w:eastAsiaTheme="minorHAnsi" w:hAnsi="Calibri" w:cs="Calibri"/>
      <w:sz w:val="22"/>
      <w:szCs w:val="22"/>
      <w:lang w:eastAsia="es-ES"/>
    </w:rPr>
  </w:style>
  <w:style w:type="paragraph" w:customStyle="1" w:styleId="Normal1">
    <w:name w:val="Normal1"/>
    <w:link w:val="normalChar"/>
    <w:qFormat/>
    <w:rsid w:val="00DD4C39"/>
    <w:pPr>
      <w:widowControl w:val="0"/>
      <w:suppressAutoHyphens/>
      <w:spacing w:after="0" w:line="240" w:lineRule="auto"/>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D4C39"/>
    <w:rPr>
      <w:rFonts w:ascii="Courier" w:eastAsia="SimSun" w:hAnsi="Courier" w:cs="Courier"/>
      <w:sz w:val="24"/>
      <w:szCs w:val="24"/>
      <w:lang w:eastAsia="zh-CN"/>
    </w:rPr>
  </w:style>
  <w:style w:type="paragraph" w:styleId="BodyText">
    <w:name w:val="Body Text"/>
    <w:basedOn w:val="Normal"/>
    <w:link w:val="BodyTextChar"/>
    <w:uiPriority w:val="1"/>
    <w:qFormat/>
    <w:rsid w:val="00DD4C39"/>
    <w:pPr>
      <w:jc w:val="center"/>
    </w:pPr>
    <w:rPr>
      <w:b/>
      <w:bCs/>
      <w:lang w:eastAsia="es-ES"/>
    </w:rPr>
  </w:style>
  <w:style w:type="character" w:customStyle="1" w:styleId="BodyTextChar">
    <w:name w:val="Body Text Char"/>
    <w:basedOn w:val="DefaultParagraphFont"/>
    <w:link w:val="BodyText"/>
    <w:uiPriority w:val="1"/>
    <w:rsid w:val="00DD4C39"/>
    <w:rPr>
      <w:rFonts w:ascii="Times New Roman" w:eastAsia="Times New Roman" w:hAnsi="Times New Roman" w:cs="Times New Roman"/>
      <w:b/>
      <w:bCs/>
      <w:sz w:val="24"/>
      <w:szCs w:val="24"/>
      <w:lang w:val="es-ES" w:eastAsia="es-ES"/>
    </w:rPr>
  </w:style>
  <w:style w:type="character" w:styleId="Hyperlink">
    <w:name w:val="Hyperlink"/>
    <w:basedOn w:val="DefaultParagraphFont"/>
    <w:uiPriority w:val="99"/>
    <w:unhideWhenUsed/>
    <w:qFormat/>
    <w:rsid w:val="00DD4C39"/>
    <w:rPr>
      <w:color w:val="0563C1" w:themeColor="hyperlink"/>
      <w:u w:val="single"/>
    </w:rPr>
  </w:style>
  <w:style w:type="paragraph" w:styleId="FootnoteText">
    <w:name w:val="footnote text"/>
    <w:basedOn w:val="Normal"/>
    <w:link w:val="FootnoteTextChar"/>
    <w:uiPriority w:val="9"/>
    <w:unhideWhenUsed/>
    <w:qFormat/>
    <w:rsid w:val="00DD4C39"/>
    <w:rPr>
      <w:sz w:val="20"/>
      <w:szCs w:val="20"/>
    </w:rPr>
  </w:style>
  <w:style w:type="character" w:customStyle="1" w:styleId="FootnoteTextChar">
    <w:name w:val="Footnote Text Char"/>
    <w:basedOn w:val="DefaultParagraphFont"/>
    <w:link w:val="FootnoteText"/>
    <w:rsid w:val="00DD4C39"/>
    <w:rPr>
      <w:rFonts w:ascii="Times New Roman" w:eastAsia="Times New Roman" w:hAnsi="Times New Roman" w:cs="Times New Roman"/>
      <w:sz w:val="20"/>
      <w:szCs w:val="20"/>
      <w:lang w:val="es-ES"/>
    </w:rPr>
  </w:style>
  <w:style w:type="character" w:styleId="FootnoteReference">
    <w:name w:val="footnote reference"/>
    <w:basedOn w:val="DefaultParagraphFont"/>
    <w:uiPriority w:val="99"/>
    <w:unhideWhenUsed/>
    <w:rsid w:val="00DD4C39"/>
    <w:rPr>
      <w:vertAlign w:val="superscript"/>
    </w:rPr>
  </w:style>
  <w:style w:type="character" w:styleId="CommentReference">
    <w:name w:val="annotation reference"/>
    <w:basedOn w:val="DefaultParagraphFont"/>
    <w:uiPriority w:val="99"/>
    <w:unhideWhenUsed/>
    <w:qFormat/>
    <w:rsid w:val="00FC1C55"/>
    <w:rPr>
      <w:sz w:val="16"/>
      <w:szCs w:val="16"/>
    </w:rPr>
  </w:style>
  <w:style w:type="paragraph" w:styleId="CommentText">
    <w:name w:val="annotation text"/>
    <w:basedOn w:val="Normal"/>
    <w:link w:val="CommentTextChar"/>
    <w:uiPriority w:val="99"/>
    <w:unhideWhenUsed/>
    <w:qFormat/>
    <w:rsid w:val="00FC1C55"/>
    <w:rPr>
      <w:sz w:val="20"/>
      <w:szCs w:val="20"/>
    </w:rPr>
  </w:style>
  <w:style w:type="character" w:customStyle="1" w:styleId="CommentTextChar">
    <w:name w:val="Comment Text Char"/>
    <w:basedOn w:val="DefaultParagraphFont"/>
    <w:link w:val="CommentText"/>
    <w:uiPriority w:val="99"/>
    <w:rsid w:val="00FC1C55"/>
    <w:rPr>
      <w:rFonts w:ascii="Times New Roman" w:eastAsia="Times New Roman" w:hAnsi="Times New Roman" w:cs="Times New Roman"/>
      <w:sz w:val="20"/>
      <w:szCs w:val="20"/>
      <w:lang w:val="es-ES"/>
    </w:rPr>
  </w:style>
  <w:style w:type="paragraph" w:styleId="CommentSubject">
    <w:name w:val="annotation subject"/>
    <w:basedOn w:val="CommentText"/>
    <w:next w:val="CommentText"/>
    <w:link w:val="CommentSubjectChar"/>
    <w:uiPriority w:val="99"/>
    <w:unhideWhenUsed/>
    <w:rsid w:val="00FC1C55"/>
    <w:rPr>
      <w:b/>
      <w:bCs/>
    </w:rPr>
  </w:style>
  <w:style w:type="character" w:customStyle="1" w:styleId="CommentSubjectChar">
    <w:name w:val="Comment Subject Char"/>
    <w:basedOn w:val="CommentTextChar"/>
    <w:link w:val="CommentSubject"/>
    <w:uiPriority w:val="99"/>
    <w:rsid w:val="00FC1C55"/>
    <w:rPr>
      <w:rFonts w:ascii="Times New Roman" w:eastAsia="Times New Roman" w:hAnsi="Times New Roman" w:cs="Times New Roman"/>
      <w:b/>
      <w:bCs/>
      <w:sz w:val="20"/>
      <w:szCs w:val="20"/>
      <w:lang w:val="es-ES"/>
    </w:rPr>
  </w:style>
  <w:style w:type="paragraph" w:styleId="Revision">
    <w:name w:val="Revision"/>
    <w:hidden/>
    <w:uiPriority w:val="99"/>
    <w:semiHidden/>
    <w:rsid w:val="00CF220B"/>
    <w:pPr>
      <w:spacing w:after="0" w:line="240" w:lineRule="auto"/>
    </w:pPr>
    <w:rPr>
      <w:rFonts w:ascii="Times New Roman" w:eastAsia="Times New Roman" w:hAnsi="Times New Roman" w:cs="Times New Roman"/>
      <w:sz w:val="24"/>
      <w:szCs w:val="24"/>
    </w:rPr>
  </w:style>
  <w:style w:type="paragraph" w:customStyle="1" w:styleId="Default">
    <w:name w:val="Default"/>
    <w:link w:val="DefaultChar"/>
    <w:qFormat/>
    <w:rsid w:val="00043A65"/>
    <w:pPr>
      <w:autoSpaceDE w:val="0"/>
      <w:autoSpaceDN w:val="0"/>
      <w:adjustRightInd w:val="0"/>
      <w:spacing w:after="0" w:line="240" w:lineRule="auto"/>
    </w:pPr>
    <w:rPr>
      <w:rFonts w:ascii="Cambria" w:hAnsi="Cambria" w:cs="Cambria"/>
      <w:color w:val="000000"/>
      <w:sz w:val="24"/>
      <w:szCs w:val="24"/>
    </w:rPr>
  </w:style>
  <w:style w:type="character" w:customStyle="1" w:styleId="cf01">
    <w:name w:val="cf01"/>
    <w:basedOn w:val="DefaultParagraphFont"/>
    <w:rsid w:val="00506617"/>
    <w:rPr>
      <w:rFonts w:ascii="Segoe UI" w:hAnsi="Segoe UI" w:cs="Segoe UI" w:hint="default"/>
      <w:b/>
      <w:bCs/>
      <w:sz w:val="18"/>
      <w:szCs w:val="18"/>
    </w:rPr>
  </w:style>
  <w:style w:type="character" w:styleId="FollowedHyperlink">
    <w:name w:val="FollowedHyperlink"/>
    <w:basedOn w:val="DefaultParagraphFont"/>
    <w:uiPriority w:val="99"/>
    <w:semiHidden/>
    <w:unhideWhenUsed/>
    <w:rsid w:val="00E234E9"/>
    <w:rPr>
      <w:color w:val="954F72" w:themeColor="followedHyperlink"/>
      <w:u w:val="single"/>
    </w:rPr>
  </w:style>
  <w:style w:type="paragraph" w:customStyle="1" w:styleId="msonormal0">
    <w:name w:val="msonormal"/>
    <w:basedOn w:val="Normal"/>
    <w:rsid w:val="004F39B9"/>
    <w:pPr>
      <w:spacing w:before="100" w:beforeAutospacing="1" w:after="100" w:afterAutospacing="1"/>
    </w:pPr>
    <w:rPr>
      <w:lang w:val="en-US"/>
    </w:rPr>
  </w:style>
  <w:style w:type="paragraph" w:customStyle="1" w:styleId="paragraph">
    <w:name w:val="paragraph"/>
    <w:basedOn w:val="Normal"/>
    <w:rsid w:val="004F39B9"/>
    <w:pPr>
      <w:spacing w:before="100" w:beforeAutospacing="1" w:after="100" w:afterAutospacing="1"/>
    </w:pPr>
    <w:rPr>
      <w:lang w:val="en-US"/>
    </w:rPr>
  </w:style>
  <w:style w:type="character" w:customStyle="1" w:styleId="textrun">
    <w:name w:val="textrun"/>
    <w:basedOn w:val="DefaultParagraphFont"/>
    <w:rsid w:val="004F39B9"/>
  </w:style>
  <w:style w:type="character" w:customStyle="1" w:styleId="normaltextrun">
    <w:name w:val="normaltextrun"/>
    <w:basedOn w:val="DefaultParagraphFont"/>
    <w:rsid w:val="004F39B9"/>
  </w:style>
  <w:style w:type="character" w:customStyle="1" w:styleId="eop">
    <w:name w:val="eop"/>
    <w:basedOn w:val="DefaultParagraphFont"/>
    <w:rsid w:val="004F39B9"/>
  </w:style>
  <w:style w:type="paragraph" w:customStyle="1" w:styleId="outlineelement">
    <w:name w:val="outlineelement"/>
    <w:basedOn w:val="Normal"/>
    <w:rsid w:val="004F39B9"/>
    <w:pPr>
      <w:spacing w:before="100" w:beforeAutospacing="1" w:after="100" w:afterAutospacing="1"/>
    </w:pPr>
    <w:rPr>
      <w:lang w:val="en-US"/>
    </w:rPr>
  </w:style>
  <w:style w:type="character" w:customStyle="1" w:styleId="tabrun">
    <w:name w:val="tabrun"/>
    <w:basedOn w:val="DefaultParagraphFont"/>
    <w:rsid w:val="004F39B9"/>
  </w:style>
  <w:style w:type="character" w:customStyle="1" w:styleId="tabchar">
    <w:name w:val="tabchar"/>
    <w:basedOn w:val="DefaultParagraphFont"/>
    <w:rsid w:val="004F39B9"/>
  </w:style>
  <w:style w:type="character" w:customStyle="1" w:styleId="tableaderchars">
    <w:name w:val="tableaderchars"/>
    <w:basedOn w:val="DefaultParagraphFont"/>
    <w:rsid w:val="004F39B9"/>
  </w:style>
  <w:style w:type="character" w:customStyle="1" w:styleId="pagebreakblob">
    <w:name w:val="pagebreakblob"/>
    <w:basedOn w:val="DefaultParagraphFont"/>
    <w:rsid w:val="004F39B9"/>
  </w:style>
  <w:style w:type="character" w:customStyle="1" w:styleId="pagebreakborderspan">
    <w:name w:val="pagebreakborderspan"/>
    <w:basedOn w:val="DefaultParagraphFont"/>
    <w:rsid w:val="004F39B9"/>
  </w:style>
  <w:style w:type="character" w:customStyle="1" w:styleId="pagebreaktextspan">
    <w:name w:val="pagebreaktextspan"/>
    <w:basedOn w:val="DefaultParagraphFont"/>
    <w:rsid w:val="004F39B9"/>
  </w:style>
  <w:style w:type="character" w:customStyle="1" w:styleId="linebreakblob">
    <w:name w:val="linebreakblob"/>
    <w:basedOn w:val="DefaultParagraphFont"/>
    <w:rsid w:val="004F39B9"/>
  </w:style>
  <w:style w:type="character" w:customStyle="1" w:styleId="scxw138215210">
    <w:name w:val="scxw138215210"/>
    <w:basedOn w:val="DefaultParagraphFont"/>
    <w:rsid w:val="004F39B9"/>
  </w:style>
  <w:style w:type="paragraph" w:styleId="Header">
    <w:name w:val="header"/>
    <w:basedOn w:val="Normal"/>
    <w:link w:val="HeaderChar"/>
    <w:uiPriority w:val="99"/>
    <w:unhideWhenUsed/>
    <w:qFormat/>
    <w:rsid w:val="004F39B9"/>
    <w:pPr>
      <w:tabs>
        <w:tab w:val="center" w:pos="4680"/>
        <w:tab w:val="right" w:pos="9360"/>
      </w:tabs>
    </w:pPr>
  </w:style>
  <w:style w:type="character" w:customStyle="1" w:styleId="HeaderChar">
    <w:name w:val="Header Char"/>
    <w:basedOn w:val="DefaultParagraphFont"/>
    <w:link w:val="Header"/>
    <w:uiPriority w:val="99"/>
    <w:qFormat/>
    <w:rsid w:val="004F39B9"/>
    <w:rPr>
      <w:rFonts w:ascii="Times New Roman" w:eastAsia="Times New Roman" w:hAnsi="Times New Roman" w:cs="Times New Roman"/>
      <w:sz w:val="24"/>
      <w:szCs w:val="24"/>
    </w:rPr>
  </w:style>
  <w:style w:type="paragraph" w:styleId="Footer">
    <w:name w:val="footer"/>
    <w:basedOn w:val="Normal"/>
    <w:link w:val="FooterChar"/>
    <w:uiPriority w:val="99"/>
    <w:unhideWhenUsed/>
    <w:qFormat/>
    <w:rsid w:val="004F39B9"/>
    <w:pPr>
      <w:tabs>
        <w:tab w:val="center" w:pos="4680"/>
        <w:tab w:val="right" w:pos="9360"/>
      </w:tabs>
    </w:pPr>
  </w:style>
  <w:style w:type="character" w:customStyle="1" w:styleId="FooterChar">
    <w:name w:val="Footer Char"/>
    <w:basedOn w:val="DefaultParagraphFont"/>
    <w:link w:val="Footer"/>
    <w:uiPriority w:val="99"/>
    <w:qFormat/>
    <w:rsid w:val="004F39B9"/>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A2BB3"/>
    <w:rPr>
      <w:color w:val="605E5C"/>
      <w:shd w:val="clear" w:color="auto" w:fill="E1DFDD"/>
    </w:rPr>
  </w:style>
  <w:style w:type="character" w:customStyle="1" w:styleId="DefaultChar">
    <w:name w:val="Default Char"/>
    <w:basedOn w:val="DefaultParagraphFont"/>
    <w:link w:val="Default"/>
    <w:locked/>
    <w:rsid w:val="00743EF7"/>
    <w:rPr>
      <w:rFonts w:ascii="Cambria" w:hAnsi="Cambria" w:cs="Cambria"/>
      <w:color w:val="000000"/>
      <w:sz w:val="24"/>
      <w:szCs w:val="24"/>
    </w:rPr>
  </w:style>
  <w:style w:type="character" w:customStyle="1" w:styleId="Heading1Char">
    <w:name w:val="Heading 1 Char"/>
    <w:basedOn w:val="DefaultParagraphFont"/>
    <w:link w:val="Heading1"/>
    <w:uiPriority w:val="9"/>
    <w:rsid w:val="00766485"/>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76648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66485"/>
    <w:rPr>
      <w:rFonts w:asciiTheme="majorHAnsi" w:eastAsiaTheme="majorEastAsia" w:hAnsiTheme="majorHAnsi" w:cstheme="majorBidi"/>
      <w:b/>
      <w:bCs/>
      <w:color w:val="4472C4" w:themeColor="accent1"/>
      <w:sz w:val="28"/>
      <w:szCs w:val="28"/>
      <w:lang w:val="en-US"/>
    </w:rPr>
  </w:style>
  <w:style w:type="character" w:customStyle="1" w:styleId="Heading4Char">
    <w:name w:val="Heading 4 Char"/>
    <w:basedOn w:val="DefaultParagraphFont"/>
    <w:link w:val="Heading4"/>
    <w:uiPriority w:val="9"/>
    <w:rsid w:val="00766485"/>
    <w:rPr>
      <w:rFonts w:asciiTheme="majorHAnsi" w:eastAsiaTheme="majorEastAsia" w:hAnsiTheme="majorHAnsi" w:cstheme="majorBidi"/>
      <w:b/>
      <w:bCs/>
      <w:color w:val="4472C4" w:themeColor="accent1"/>
      <w:sz w:val="24"/>
      <w:szCs w:val="24"/>
      <w:lang w:val="en-US"/>
    </w:rPr>
  </w:style>
  <w:style w:type="character" w:customStyle="1" w:styleId="Heading5Char">
    <w:name w:val="Heading 5 Char"/>
    <w:basedOn w:val="DefaultParagraphFont"/>
    <w:link w:val="Heading5"/>
    <w:uiPriority w:val="9"/>
    <w:rsid w:val="00766485"/>
    <w:rPr>
      <w:rFonts w:asciiTheme="majorHAnsi" w:eastAsiaTheme="majorEastAsia" w:hAnsiTheme="majorHAnsi" w:cstheme="majorBidi"/>
      <w:i/>
      <w:iCs/>
      <w:color w:val="4472C4" w:themeColor="accent1"/>
      <w:sz w:val="24"/>
      <w:szCs w:val="24"/>
      <w:lang w:val="en-US"/>
    </w:rPr>
  </w:style>
  <w:style w:type="character" w:customStyle="1" w:styleId="Heading6Char">
    <w:name w:val="Heading 6 Char"/>
    <w:basedOn w:val="DefaultParagraphFont"/>
    <w:link w:val="Heading6"/>
    <w:uiPriority w:val="9"/>
    <w:rsid w:val="00766485"/>
    <w:rPr>
      <w:rFonts w:asciiTheme="majorHAnsi" w:eastAsiaTheme="majorEastAsia" w:hAnsiTheme="majorHAnsi" w:cstheme="majorBidi"/>
      <w:color w:val="4472C4" w:themeColor="accent1"/>
      <w:sz w:val="24"/>
      <w:szCs w:val="24"/>
      <w:lang w:val="en-US"/>
    </w:rPr>
  </w:style>
  <w:style w:type="character" w:customStyle="1" w:styleId="Heading7Char">
    <w:name w:val="Heading 7 Char"/>
    <w:basedOn w:val="DefaultParagraphFont"/>
    <w:link w:val="Heading7"/>
    <w:uiPriority w:val="9"/>
    <w:rsid w:val="00766485"/>
    <w:rPr>
      <w:rFonts w:asciiTheme="majorHAnsi" w:eastAsiaTheme="majorEastAsia" w:hAnsiTheme="majorHAnsi" w:cstheme="majorBidi"/>
      <w:color w:val="4472C4" w:themeColor="accent1"/>
      <w:sz w:val="24"/>
      <w:szCs w:val="24"/>
      <w:lang w:val="en-US"/>
    </w:rPr>
  </w:style>
  <w:style w:type="character" w:customStyle="1" w:styleId="Heading8Char">
    <w:name w:val="Heading 8 Char"/>
    <w:basedOn w:val="DefaultParagraphFont"/>
    <w:link w:val="Heading8"/>
    <w:uiPriority w:val="9"/>
    <w:rsid w:val="00766485"/>
    <w:rPr>
      <w:rFonts w:asciiTheme="majorHAnsi" w:eastAsiaTheme="majorEastAsia" w:hAnsiTheme="majorHAnsi" w:cstheme="majorBidi"/>
      <w:color w:val="4472C4" w:themeColor="accent1"/>
      <w:sz w:val="24"/>
      <w:szCs w:val="24"/>
      <w:lang w:val="en-US"/>
    </w:rPr>
  </w:style>
  <w:style w:type="character" w:customStyle="1" w:styleId="Heading9Char">
    <w:name w:val="Heading 9 Char"/>
    <w:basedOn w:val="DefaultParagraphFont"/>
    <w:link w:val="Heading9"/>
    <w:uiPriority w:val="9"/>
    <w:rsid w:val="00766485"/>
    <w:rPr>
      <w:rFonts w:asciiTheme="majorHAnsi" w:eastAsiaTheme="majorEastAsia" w:hAnsiTheme="majorHAnsi" w:cstheme="majorBidi"/>
      <w:color w:val="4472C4" w:themeColor="accent1"/>
      <w:sz w:val="24"/>
      <w:szCs w:val="24"/>
      <w:lang w:val="en-US"/>
    </w:rPr>
  </w:style>
  <w:style w:type="paragraph" w:customStyle="1" w:styleId="1Paragraph">
    <w:name w:val="1Paragraph"/>
    <w:qFormat/>
    <w:rsid w:val="00766485"/>
    <w:pPr>
      <w:tabs>
        <w:tab w:val="left" w:pos="720"/>
      </w:tabs>
      <w:autoSpaceDE w:val="0"/>
      <w:autoSpaceDN w:val="0"/>
      <w:adjustRightInd w:val="0"/>
      <w:spacing w:after="0" w:line="240" w:lineRule="auto"/>
      <w:ind w:left="720" w:hanging="720"/>
    </w:pPr>
    <w:rPr>
      <w:rFonts w:ascii="Courier 10cpi" w:eastAsia="Times New Roman" w:hAnsi="Courier 10cpi" w:cs="Times New Roman"/>
      <w:sz w:val="20"/>
      <w:szCs w:val="24"/>
    </w:rPr>
  </w:style>
  <w:style w:type="paragraph" w:styleId="BodyTextIndent">
    <w:name w:val="Body Text Indent"/>
    <w:basedOn w:val="Normal"/>
    <w:link w:val="BodyTextIndentChar"/>
    <w:rsid w:val="00766485"/>
    <w:pPr>
      <w:tabs>
        <w:tab w:val="left" w:pos="-720"/>
        <w:tab w:val="left" w:pos="180"/>
        <w:tab w:val="left" w:pos="720"/>
        <w:tab w:val="left" w:pos="817"/>
        <w:tab w:val="left" w:pos="1152"/>
      </w:tabs>
      <w:spacing w:line="287" w:lineRule="atLeast"/>
      <w:ind w:left="180"/>
    </w:pPr>
    <w:rPr>
      <w:sz w:val="22"/>
      <w:szCs w:val="22"/>
    </w:rPr>
  </w:style>
  <w:style w:type="character" w:customStyle="1" w:styleId="BodyTextIndentChar">
    <w:name w:val="Body Text Indent Char"/>
    <w:basedOn w:val="DefaultParagraphFont"/>
    <w:link w:val="BodyTextIndent"/>
    <w:rsid w:val="00766485"/>
    <w:rPr>
      <w:rFonts w:ascii="Times New Roman" w:eastAsia="Times New Roman" w:hAnsi="Times New Roman" w:cs="Times New Roman"/>
    </w:rPr>
  </w:style>
  <w:style w:type="character" w:styleId="PageNumber">
    <w:name w:val="page number"/>
    <w:basedOn w:val="DefaultParagraphFont"/>
    <w:rsid w:val="00766485"/>
  </w:style>
  <w:style w:type="paragraph" w:styleId="BalloonText">
    <w:name w:val="Balloon Text"/>
    <w:basedOn w:val="Normal"/>
    <w:link w:val="BalloonTextChar"/>
    <w:uiPriority w:val="99"/>
    <w:semiHidden/>
    <w:rsid w:val="00766485"/>
    <w:rPr>
      <w:rFonts w:ascii="Tahoma" w:hAnsi="Tahoma" w:cs="Tahoma"/>
      <w:sz w:val="16"/>
      <w:szCs w:val="16"/>
    </w:rPr>
  </w:style>
  <w:style w:type="character" w:customStyle="1" w:styleId="BalloonTextChar">
    <w:name w:val="Balloon Text Char"/>
    <w:basedOn w:val="DefaultParagraphFont"/>
    <w:link w:val="BalloonText"/>
    <w:uiPriority w:val="99"/>
    <w:semiHidden/>
    <w:rsid w:val="00766485"/>
    <w:rPr>
      <w:rFonts w:ascii="Tahoma" w:eastAsia="Times New Roman" w:hAnsi="Tahoma" w:cs="Tahoma"/>
      <w:sz w:val="16"/>
      <w:szCs w:val="16"/>
    </w:rPr>
  </w:style>
  <w:style w:type="paragraph" w:styleId="EndnoteText">
    <w:name w:val="endnote text"/>
    <w:basedOn w:val="Normal"/>
    <w:link w:val="EndnoteTextChar"/>
    <w:rsid w:val="00766485"/>
    <w:rPr>
      <w:sz w:val="20"/>
      <w:szCs w:val="20"/>
    </w:rPr>
  </w:style>
  <w:style w:type="character" w:customStyle="1" w:styleId="EndnoteTextChar">
    <w:name w:val="Endnote Text Char"/>
    <w:basedOn w:val="DefaultParagraphFont"/>
    <w:link w:val="EndnoteText"/>
    <w:rsid w:val="00766485"/>
    <w:rPr>
      <w:rFonts w:ascii="Times New Roman" w:eastAsia="Times New Roman" w:hAnsi="Times New Roman" w:cs="Times New Roman"/>
      <w:sz w:val="20"/>
      <w:szCs w:val="20"/>
    </w:rPr>
  </w:style>
  <w:style w:type="character" w:styleId="EndnoteReference">
    <w:name w:val="endnote reference"/>
    <w:rsid w:val="00766485"/>
    <w:rPr>
      <w:vertAlign w:val="superscript"/>
    </w:rPr>
  </w:style>
  <w:style w:type="paragraph" w:customStyle="1" w:styleId="Paragraphedeliste">
    <w:name w:val="Paragraphe de liste"/>
    <w:basedOn w:val="Normal"/>
    <w:qFormat/>
    <w:rsid w:val="00766485"/>
    <w:pPr>
      <w:spacing w:after="200" w:line="276" w:lineRule="auto"/>
      <w:ind w:left="720"/>
      <w:contextualSpacing/>
    </w:pPr>
    <w:rPr>
      <w:rFonts w:ascii="Calibri" w:eastAsia="Calibri" w:hAnsi="Calibri"/>
      <w:sz w:val="22"/>
      <w:szCs w:val="22"/>
    </w:rPr>
  </w:style>
  <w:style w:type="paragraph" w:styleId="NormalWeb">
    <w:name w:val="Normal (Web)"/>
    <w:basedOn w:val="Normal"/>
    <w:uiPriority w:val="99"/>
    <w:qFormat/>
    <w:rsid w:val="00766485"/>
    <w:pPr>
      <w:spacing w:before="100" w:beforeAutospacing="1" w:after="100" w:afterAutospacing="1"/>
    </w:pPr>
    <w:rPr>
      <w:lang w:eastAsia="pt-BR"/>
    </w:rPr>
  </w:style>
  <w:style w:type="paragraph" w:customStyle="1" w:styleId="TableParagraph">
    <w:name w:val="Table Paragraph"/>
    <w:basedOn w:val="Normal"/>
    <w:uiPriority w:val="1"/>
    <w:qFormat/>
    <w:rsid w:val="00766485"/>
    <w:pPr>
      <w:widowControl w:val="0"/>
    </w:pPr>
    <w:rPr>
      <w:rFonts w:ascii="Calibri" w:eastAsia="Calibri" w:hAnsi="Calibri"/>
      <w:sz w:val="22"/>
      <w:szCs w:val="22"/>
    </w:rPr>
  </w:style>
  <w:style w:type="character" w:customStyle="1" w:styleId="BodyTextChar1">
    <w:name w:val="Body Text Char1"/>
    <w:basedOn w:val="DefaultParagraphFont"/>
    <w:uiPriority w:val="1"/>
    <w:rsid w:val="00766485"/>
    <w:rPr>
      <w:rFonts w:ascii="Times New Roman" w:eastAsia="Times New Roman" w:hAnsi="Times New Roman" w:cs="Times New Roman"/>
      <w:sz w:val="24"/>
      <w:szCs w:val="24"/>
      <w:lang w:val="en-US"/>
    </w:rPr>
  </w:style>
  <w:style w:type="table" w:customStyle="1" w:styleId="TableGrid4">
    <w:name w:val="Table Grid4"/>
    <w:basedOn w:val="TableNormal"/>
    <w:uiPriority w:val="59"/>
    <w:rsid w:val="00766485"/>
    <w:pPr>
      <w:spacing w:after="0" w:line="240" w:lineRule="auto"/>
    </w:pPr>
    <w:rPr>
      <w:rFonts w:ascii="Calibri" w:eastAsia="Calibri" w:hAnsi="Calibri" w:cs="Times New Roman"/>
      <w:sz w:val="20"/>
      <w:szCs w:val="20"/>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766485"/>
    <w:pPr>
      <w:spacing w:after="0" w:line="240" w:lineRule="auto"/>
    </w:pPr>
    <w:rPr>
      <w:rFonts w:ascii="Calibri" w:eastAsia="Calibri" w:hAnsi="Calibri" w:cs="Times New Roman"/>
      <w:sz w:val="20"/>
      <w:szCs w:val="20"/>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66485"/>
    <w:pPr>
      <w:spacing w:after="0" w:line="240" w:lineRule="auto"/>
    </w:pPr>
    <w:rPr>
      <w:lang w:val="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66485"/>
    <w:rPr>
      <w:color w:val="605E5C"/>
      <w:shd w:val="clear" w:color="auto" w:fill="E1DFDD"/>
    </w:rPr>
  </w:style>
  <w:style w:type="paragraph" w:customStyle="1" w:styleId="FirstParagraph">
    <w:name w:val="First Paragraph"/>
    <w:basedOn w:val="BodyText"/>
    <w:next w:val="BodyText"/>
    <w:qFormat/>
    <w:rsid w:val="00766485"/>
    <w:pPr>
      <w:suppressAutoHyphens/>
      <w:autoSpaceDN w:val="0"/>
      <w:spacing w:before="180" w:after="180"/>
      <w:jc w:val="left"/>
      <w:textAlignment w:val="baseline"/>
    </w:pPr>
    <w:rPr>
      <w:rFonts w:ascii="Calibri" w:eastAsia="Calibri" w:hAnsi="Calibri"/>
      <w:b w:val="0"/>
      <w:bCs w:val="0"/>
      <w:lang w:val="en-US" w:eastAsia="en-US"/>
    </w:rPr>
  </w:style>
  <w:style w:type="paragraph" w:customStyle="1" w:styleId="2AutoList25">
    <w:name w:val="2AutoList25"/>
    <w:rsid w:val="00766485"/>
    <w:pPr>
      <w:tabs>
        <w:tab w:val="left" w:pos="720"/>
        <w:tab w:val="left" w:pos="1440"/>
      </w:tabs>
      <w:autoSpaceDE w:val="0"/>
      <w:autoSpaceDN w:val="0"/>
      <w:adjustRightInd w:val="0"/>
      <w:spacing w:after="0" w:line="240" w:lineRule="auto"/>
      <w:ind w:left="1440" w:hanging="720"/>
    </w:pPr>
    <w:rPr>
      <w:rFonts w:ascii="Times New Roman" w:eastAsia="Times New Roman" w:hAnsi="Times New Roman" w:cs="Times New Roman"/>
      <w:sz w:val="20"/>
      <w:szCs w:val="24"/>
      <w:lang w:val="en-US"/>
    </w:rPr>
  </w:style>
  <w:style w:type="character" w:customStyle="1" w:styleId="tlid-translation">
    <w:name w:val="tlid-translation"/>
    <w:basedOn w:val="DefaultParagraphFont"/>
    <w:rsid w:val="00766485"/>
  </w:style>
  <w:style w:type="paragraph" w:customStyle="1" w:styleId="Standard">
    <w:name w:val="Standard"/>
    <w:qFormat/>
    <w:rsid w:val="00766485"/>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val="en-US" w:eastAsia="zh-CN"/>
    </w:rPr>
  </w:style>
  <w:style w:type="paragraph" w:customStyle="1" w:styleId="Compact">
    <w:name w:val="Compact"/>
    <w:basedOn w:val="BodyText"/>
    <w:qFormat/>
    <w:rsid w:val="00766485"/>
    <w:pPr>
      <w:spacing w:before="36" w:after="36"/>
      <w:jc w:val="left"/>
    </w:pPr>
    <w:rPr>
      <w:rFonts w:asciiTheme="minorHAnsi" w:eastAsiaTheme="minorHAnsi" w:hAnsiTheme="minorHAnsi" w:cstheme="minorBidi"/>
      <w:b w:val="0"/>
      <w:bCs w:val="0"/>
      <w:lang w:val="en-US" w:eastAsia="en-US"/>
    </w:rPr>
  </w:style>
  <w:style w:type="paragraph" w:styleId="Title">
    <w:name w:val="Title"/>
    <w:basedOn w:val="Normal"/>
    <w:next w:val="BodyText"/>
    <w:link w:val="TitleChar"/>
    <w:uiPriority w:val="10"/>
    <w:qFormat/>
    <w:rsid w:val="00766485"/>
    <w:pPr>
      <w:keepNext/>
      <w:keepLines/>
      <w:spacing w:before="480" w:after="240"/>
      <w:jc w:val="center"/>
    </w:pPr>
    <w:rPr>
      <w:rFonts w:asciiTheme="majorHAnsi" w:eastAsiaTheme="majorEastAsia" w:hAnsiTheme="majorHAnsi" w:cstheme="majorBidi"/>
      <w:b/>
      <w:bCs/>
      <w:color w:val="2D4F8E" w:themeColor="accent1" w:themeShade="B5"/>
      <w:sz w:val="36"/>
      <w:szCs w:val="36"/>
      <w:lang w:val="en-US"/>
    </w:rPr>
  </w:style>
  <w:style w:type="character" w:customStyle="1" w:styleId="TitleChar">
    <w:name w:val="Title Char"/>
    <w:basedOn w:val="DefaultParagraphFont"/>
    <w:link w:val="Title"/>
    <w:uiPriority w:val="10"/>
    <w:rsid w:val="00766485"/>
    <w:rPr>
      <w:rFonts w:asciiTheme="majorHAnsi" w:eastAsiaTheme="majorEastAsia" w:hAnsiTheme="majorHAnsi" w:cstheme="majorBidi"/>
      <w:b/>
      <w:bCs/>
      <w:color w:val="2D4F8E" w:themeColor="accent1" w:themeShade="B5"/>
      <w:sz w:val="36"/>
      <w:szCs w:val="36"/>
      <w:lang w:val="en-US"/>
    </w:rPr>
  </w:style>
  <w:style w:type="paragraph" w:styleId="Subtitle">
    <w:name w:val="Subtitle"/>
    <w:basedOn w:val="Title"/>
    <w:next w:val="BodyText"/>
    <w:link w:val="SubtitleChar"/>
    <w:uiPriority w:val="11"/>
    <w:qFormat/>
    <w:rsid w:val="00766485"/>
    <w:pPr>
      <w:spacing w:before="240"/>
    </w:pPr>
    <w:rPr>
      <w:sz w:val="30"/>
      <w:szCs w:val="30"/>
    </w:rPr>
  </w:style>
  <w:style w:type="character" w:customStyle="1" w:styleId="SubtitleChar">
    <w:name w:val="Subtitle Char"/>
    <w:basedOn w:val="DefaultParagraphFont"/>
    <w:link w:val="Subtitle"/>
    <w:uiPriority w:val="11"/>
    <w:rsid w:val="00766485"/>
    <w:rPr>
      <w:rFonts w:asciiTheme="majorHAnsi" w:eastAsiaTheme="majorEastAsia" w:hAnsiTheme="majorHAnsi" w:cstheme="majorBidi"/>
      <w:b/>
      <w:bCs/>
      <w:color w:val="2D4F8E" w:themeColor="accent1" w:themeShade="B5"/>
      <w:sz w:val="30"/>
      <w:szCs w:val="30"/>
      <w:lang w:val="en-US"/>
    </w:rPr>
  </w:style>
  <w:style w:type="paragraph" w:customStyle="1" w:styleId="Author">
    <w:name w:val="Author"/>
    <w:next w:val="BodyText"/>
    <w:qFormat/>
    <w:rsid w:val="00766485"/>
    <w:pPr>
      <w:keepNext/>
      <w:keepLines/>
      <w:spacing w:after="200" w:line="240" w:lineRule="auto"/>
      <w:jc w:val="center"/>
    </w:pPr>
    <w:rPr>
      <w:sz w:val="24"/>
      <w:szCs w:val="24"/>
      <w:lang w:val="en-US"/>
    </w:rPr>
  </w:style>
  <w:style w:type="paragraph" w:styleId="Date">
    <w:name w:val="Date"/>
    <w:next w:val="BodyText"/>
    <w:link w:val="DateChar"/>
    <w:qFormat/>
    <w:rsid w:val="00766485"/>
    <w:pPr>
      <w:keepNext/>
      <w:keepLines/>
      <w:spacing w:after="200" w:line="240" w:lineRule="auto"/>
      <w:jc w:val="center"/>
    </w:pPr>
    <w:rPr>
      <w:sz w:val="24"/>
      <w:szCs w:val="24"/>
      <w:lang w:val="en-US"/>
    </w:rPr>
  </w:style>
  <w:style w:type="character" w:customStyle="1" w:styleId="DateChar">
    <w:name w:val="Date Char"/>
    <w:basedOn w:val="DefaultParagraphFont"/>
    <w:link w:val="Date"/>
    <w:rsid w:val="00766485"/>
    <w:rPr>
      <w:sz w:val="24"/>
      <w:szCs w:val="24"/>
      <w:lang w:val="en-US"/>
    </w:rPr>
  </w:style>
  <w:style w:type="paragraph" w:customStyle="1" w:styleId="Abstract">
    <w:name w:val="Abstract"/>
    <w:basedOn w:val="Normal"/>
    <w:next w:val="BodyText"/>
    <w:qFormat/>
    <w:rsid w:val="00766485"/>
    <w:pPr>
      <w:keepNext/>
      <w:keepLines/>
      <w:spacing w:before="300" w:after="300"/>
    </w:pPr>
    <w:rPr>
      <w:rFonts w:asciiTheme="minorHAnsi" w:eastAsiaTheme="minorHAnsi" w:hAnsiTheme="minorHAnsi" w:cstheme="minorBidi"/>
      <w:sz w:val="20"/>
      <w:szCs w:val="20"/>
      <w:lang w:val="en-US"/>
    </w:rPr>
  </w:style>
  <w:style w:type="paragraph" w:styleId="Bibliography">
    <w:name w:val="Bibliography"/>
    <w:basedOn w:val="Normal"/>
    <w:qFormat/>
    <w:rsid w:val="00766485"/>
    <w:pPr>
      <w:spacing w:after="200"/>
    </w:pPr>
    <w:rPr>
      <w:rFonts w:asciiTheme="minorHAnsi" w:eastAsiaTheme="minorHAnsi" w:hAnsiTheme="minorHAnsi" w:cstheme="minorBidi"/>
      <w:lang w:val="en-US"/>
    </w:rPr>
  </w:style>
  <w:style w:type="paragraph" w:styleId="BlockText">
    <w:name w:val="Block Text"/>
    <w:basedOn w:val="BodyText"/>
    <w:next w:val="BodyText"/>
    <w:uiPriority w:val="9"/>
    <w:unhideWhenUsed/>
    <w:qFormat/>
    <w:rsid w:val="00766485"/>
    <w:pPr>
      <w:spacing w:before="100" w:after="100"/>
      <w:jc w:val="left"/>
    </w:pPr>
    <w:rPr>
      <w:rFonts w:asciiTheme="majorHAnsi" w:eastAsiaTheme="majorEastAsia" w:hAnsiTheme="majorHAnsi" w:cstheme="majorBidi"/>
      <w:b w:val="0"/>
      <w:sz w:val="20"/>
      <w:szCs w:val="20"/>
      <w:lang w:val="en-US" w:eastAsia="en-US"/>
    </w:rPr>
  </w:style>
  <w:style w:type="table" w:customStyle="1" w:styleId="Table">
    <w:name w:val="Table"/>
    <w:semiHidden/>
    <w:unhideWhenUsed/>
    <w:qFormat/>
    <w:rsid w:val="00766485"/>
    <w:pPr>
      <w:spacing w:after="200" w:line="240" w:lineRule="auto"/>
    </w:pPr>
    <w:rPr>
      <w:sz w:val="24"/>
      <w:szCs w:val="24"/>
      <w:lang w:val="en-US"/>
    </w:rPr>
    <w:tblPr>
      <w:tblInd w:w="0" w:type="dxa"/>
      <w:tblCellMar>
        <w:top w:w="0" w:type="dxa"/>
        <w:left w:w="108" w:type="dxa"/>
        <w:bottom w:w="0" w:type="dxa"/>
        <w:right w:w="108" w:type="dxa"/>
      </w:tblCellMar>
    </w:tblPr>
  </w:style>
  <w:style w:type="paragraph" w:customStyle="1" w:styleId="DefinitionTerm">
    <w:name w:val="Definition Term"/>
    <w:basedOn w:val="Normal"/>
    <w:next w:val="Definition"/>
    <w:rsid w:val="00766485"/>
    <w:pPr>
      <w:keepNext/>
      <w:keepLines/>
    </w:pPr>
    <w:rPr>
      <w:rFonts w:asciiTheme="minorHAnsi" w:eastAsiaTheme="minorHAnsi" w:hAnsiTheme="minorHAnsi" w:cstheme="minorBidi"/>
      <w:b/>
      <w:lang w:val="en-US"/>
    </w:rPr>
  </w:style>
  <w:style w:type="paragraph" w:customStyle="1" w:styleId="Definition">
    <w:name w:val="Definition"/>
    <w:basedOn w:val="Normal"/>
    <w:rsid w:val="00766485"/>
    <w:pPr>
      <w:spacing w:after="200"/>
    </w:pPr>
    <w:rPr>
      <w:rFonts w:asciiTheme="minorHAnsi" w:eastAsiaTheme="minorHAnsi" w:hAnsiTheme="minorHAnsi" w:cstheme="minorBidi"/>
      <w:lang w:val="en-US"/>
    </w:rPr>
  </w:style>
  <w:style w:type="paragraph" w:styleId="Caption">
    <w:name w:val="caption"/>
    <w:basedOn w:val="Normal"/>
    <w:link w:val="CaptionChar"/>
    <w:qFormat/>
    <w:rsid w:val="00766485"/>
    <w:pPr>
      <w:spacing w:after="120"/>
    </w:pPr>
    <w:rPr>
      <w:rFonts w:asciiTheme="minorHAnsi" w:eastAsiaTheme="minorHAnsi" w:hAnsiTheme="minorHAnsi" w:cstheme="minorBidi"/>
      <w:i/>
      <w:lang w:val="en-US"/>
    </w:rPr>
  </w:style>
  <w:style w:type="paragraph" w:customStyle="1" w:styleId="TableCaption">
    <w:name w:val="Table Caption"/>
    <w:basedOn w:val="Caption"/>
    <w:rsid w:val="00766485"/>
    <w:pPr>
      <w:keepNext/>
    </w:pPr>
  </w:style>
  <w:style w:type="paragraph" w:customStyle="1" w:styleId="ImageCaption">
    <w:name w:val="Image Caption"/>
    <w:basedOn w:val="Caption"/>
    <w:rsid w:val="00766485"/>
  </w:style>
  <w:style w:type="paragraph" w:customStyle="1" w:styleId="Figure">
    <w:name w:val="Figure"/>
    <w:basedOn w:val="Normal"/>
    <w:rsid w:val="00766485"/>
    <w:pPr>
      <w:spacing w:after="200"/>
    </w:pPr>
    <w:rPr>
      <w:rFonts w:asciiTheme="minorHAnsi" w:eastAsiaTheme="minorHAnsi" w:hAnsiTheme="minorHAnsi" w:cstheme="minorBidi"/>
      <w:lang w:val="en-US"/>
    </w:rPr>
  </w:style>
  <w:style w:type="paragraph" w:customStyle="1" w:styleId="CaptionedFigure">
    <w:name w:val="Captioned Figure"/>
    <w:basedOn w:val="Figure"/>
    <w:rsid w:val="00766485"/>
    <w:pPr>
      <w:keepNext/>
    </w:pPr>
  </w:style>
  <w:style w:type="character" w:customStyle="1" w:styleId="CaptionChar">
    <w:name w:val="Caption Char"/>
    <w:basedOn w:val="DefaultParagraphFont"/>
    <w:link w:val="Caption"/>
    <w:rsid w:val="00766485"/>
    <w:rPr>
      <w:i/>
      <w:sz w:val="24"/>
      <w:szCs w:val="24"/>
      <w:lang w:val="en-US"/>
    </w:rPr>
  </w:style>
  <w:style w:type="character" w:customStyle="1" w:styleId="VerbatimChar">
    <w:name w:val="Verbatim Char"/>
    <w:basedOn w:val="CaptionChar"/>
    <w:link w:val="SourceCode"/>
    <w:rsid w:val="00766485"/>
    <w:rPr>
      <w:rFonts w:ascii="Consolas" w:hAnsi="Consolas"/>
      <w:i/>
      <w:sz w:val="24"/>
      <w:szCs w:val="24"/>
      <w:shd w:val="clear" w:color="auto" w:fill="F8F8F8"/>
      <w:lang w:val="en-US"/>
    </w:rPr>
  </w:style>
  <w:style w:type="paragraph" w:styleId="TOCHeading">
    <w:name w:val="TOC Heading"/>
    <w:basedOn w:val="Heading1"/>
    <w:next w:val="BodyText"/>
    <w:uiPriority w:val="39"/>
    <w:unhideWhenUsed/>
    <w:qFormat/>
    <w:rsid w:val="00766485"/>
    <w:pPr>
      <w:keepLines/>
      <w:spacing w:after="0" w:line="259" w:lineRule="auto"/>
      <w:outlineLvl w:val="9"/>
    </w:pPr>
    <w:rPr>
      <w:rFonts w:asciiTheme="majorHAnsi" w:eastAsiaTheme="majorEastAsia" w:hAnsiTheme="majorHAnsi" w:cstheme="majorBidi"/>
      <w:b w:val="0"/>
      <w:bCs w:val="0"/>
      <w:color w:val="2F5496" w:themeColor="accent1" w:themeShade="BF"/>
      <w:kern w:val="0"/>
      <w:lang w:val="en-US"/>
    </w:rPr>
  </w:style>
  <w:style w:type="paragraph" w:customStyle="1" w:styleId="SourceCode">
    <w:name w:val="Source Code"/>
    <w:basedOn w:val="Normal"/>
    <w:link w:val="VerbatimChar"/>
    <w:rsid w:val="00766485"/>
    <w:pPr>
      <w:shd w:val="clear" w:color="auto" w:fill="F8F8F8"/>
      <w:wordWrap w:val="0"/>
      <w:spacing w:after="200"/>
    </w:pPr>
    <w:rPr>
      <w:rFonts w:ascii="Consolas" w:eastAsiaTheme="minorHAnsi" w:hAnsi="Consolas" w:cstheme="minorBidi"/>
      <w:i/>
      <w:lang w:val="en-US"/>
    </w:rPr>
  </w:style>
  <w:style w:type="character" w:customStyle="1" w:styleId="KeywordTok">
    <w:name w:val="KeywordTok"/>
    <w:basedOn w:val="VerbatimChar"/>
    <w:rsid w:val="00766485"/>
    <w:rPr>
      <w:rFonts w:ascii="Consolas" w:hAnsi="Consolas"/>
      <w:b/>
      <w:i/>
      <w:color w:val="204A87"/>
      <w:sz w:val="24"/>
      <w:szCs w:val="24"/>
      <w:shd w:val="clear" w:color="auto" w:fill="F8F8F8"/>
      <w:lang w:val="en-US"/>
    </w:rPr>
  </w:style>
  <w:style w:type="character" w:customStyle="1" w:styleId="DataTypeTok">
    <w:name w:val="DataTypeTok"/>
    <w:basedOn w:val="VerbatimChar"/>
    <w:rsid w:val="00766485"/>
    <w:rPr>
      <w:rFonts w:ascii="Consolas" w:hAnsi="Consolas"/>
      <w:i/>
      <w:color w:val="204A87"/>
      <w:sz w:val="24"/>
      <w:szCs w:val="24"/>
      <w:shd w:val="clear" w:color="auto" w:fill="F8F8F8"/>
      <w:lang w:val="en-US"/>
    </w:rPr>
  </w:style>
  <w:style w:type="character" w:customStyle="1" w:styleId="DecValTok">
    <w:name w:val="DecValTok"/>
    <w:basedOn w:val="VerbatimChar"/>
    <w:rsid w:val="00766485"/>
    <w:rPr>
      <w:rFonts w:ascii="Consolas" w:hAnsi="Consolas"/>
      <w:i/>
      <w:color w:val="0000CF"/>
      <w:sz w:val="24"/>
      <w:szCs w:val="24"/>
      <w:shd w:val="clear" w:color="auto" w:fill="F8F8F8"/>
      <w:lang w:val="en-US"/>
    </w:rPr>
  </w:style>
  <w:style w:type="character" w:customStyle="1" w:styleId="BaseNTok">
    <w:name w:val="BaseNTok"/>
    <w:basedOn w:val="VerbatimChar"/>
    <w:rsid w:val="00766485"/>
    <w:rPr>
      <w:rFonts w:ascii="Consolas" w:hAnsi="Consolas"/>
      <w:i/>
      <w:color w:val="0000CF"/>
      <w:sz w:val="24"/>
      <w:szCs w:val="24"/>
      <w:shd w:val="clear" w:color="auto" w:fill="F8F8F8"/>
      <w:lang w:val="en-US"/>
    </w:rPr>
  </w:style>
  <w:style w:type="character" w:customStyle="1" w:styleId="FloatTok">
    <w:name w:val="FloatTok"/>
    <w:basedOn w:val="VerbatimChar"/>
    <w:rsid w:val="00766485"/>
    <w:rPr>
      <w:rFonts w:ascii="Consolas" w:hAnsi="Consolas"/>
      <w:i/>
      <w:color w:val="0000CF"/>
      <w:sz w:val="24"/>
      <w:szCs w:val="24"/>
      <w:shd w:val="clear" w:color="auto" w:fill="F8F8F8"/>
      <w:lang w:val="en-US"/>
    </w:rPr>
  </w:style>
  <w:style w:type="character" w:customStyle="1" w:styleId="ConstantTok">
    <w:name w:val="ConstantTok"/>
    <w:basedOn w:val="VerbatimChar"/>
    <w:rsid w:val="00766485"/>
    <w:rPr>
      <w:rFonts w:ascii="Consolas" w:hAnsi="Consolas"/>
      <w:i/>
      <w:color w:val="000000"/>
      <w:sz w:val="24"/>
      <w:szCs w:val="24"/>
      <w:shd w:val="clear" w:color="auto" w:fill="F8F8F8"/>
      <w:lang w:val="en-US"/>
    </w:rPr>
  </w:style>
  <w:style w:type="character" w:customStyle="1" w:styleId="CharTok">
    <w:name w:val="CharTok"/>
    <w:basedOn w:val="VerbatimChar"/>
    <w:rsid w:val="00766485"/>
    <w:rPr>
      <w:rFonts w:ascii="Consolas" w:hAnsi="Consolas"/>
      <w:i/>
      <w:color w:val="4E9A06"/>
      <w:sz w:val="24"/>
      <w:szCs w:val="24"/>
      <w:shd w:val="clear" w:color="auto" w:fill="F8F8F8"/>
      <w:lang w:val="en-US"/>
    </w:rPr>
  </w:style>
  <w:style w:type="character" w:customStyle="1" w:styleId="SpecialCharTok">
    <w:name w:val="SpecialCharTok"/>
    <w:basedOn w:val="VerbatimChar"/>
    <w:rsid w:val="00766485"/>
    <w:rPr>
      <w:rFonts w:ascii="Consolas" w:hAnsi="Consolas"/>
      <w:i/>
      <w:color w:val="000000"/>
      <w:sz w:val="24"/>
      <w:szCs w:val="24"/>
      <w:shd w:val="clear" w:color="auto" w:fill="F8F8F8"/>
      <w:lang w:val="en-US"/>
    </w:rPr>
  </w:style>
  <w:style w:type="character" w:customStyle="1" w:styleId="StringTok">
    <w:name w:val="StringTok"/>
    <w:basedOn w:val="VerbatimChar"/>
    <w:rsid w:val="00766485"/>
    <w:rPr>
      <w:rFonts w:ascii="Consolas" w:hAnsi="Consolas"/>
      <w:i/>
      <w:color w:val="4E9A06"/>
      <w:sz w:val="24"/>
      <w:szCs w:val="24"/>
      <w:shd w:val="clear" w:color="auto" w:fill="F8F8F8"/>
      <w:lang w:val="en-US"/>
    </w:rPr>
  </w:style>
  <w:style w:type="character" w:customStyle="1" w:styleId="VerbatimStringTok">
    <w:name w:val="VerbatimStringTok"/>
    <w:basedOn w:val="VerbatimChar"/>
    <w:rsid w:val="00766485"/>
    <w:rPr>
      <w:rFonts w:ascii="Consolas" w:hAnsi="Consolas"/>
      <w:i/>
      <w:color w:val="4E9A06"/>
      <w:sz w:val="24"/>
      <w:szCs w:val="24"/>
      <w:shd w:val="clear" w:color="auto" w:fill="F8F8F8"/>
      <w:lang w:val="en-US"/>
    </w:rPr>
  </w:style>
  <w:style w:type="character" w:customStyle="1" w:styleId="SpecialStringTok">
    <w:name w:val="SpecialStringTok"/>
    <w:basedOn w:val="VerbatimChar"/>
    <w:rsid w:val="00766485"/>
    <w:rPr>
      <w:rFonts w:ascii="Consolas" w:hAnsi="Consolas"/>
      <w:i/>
      <w:color w:val="4E9A06"/>
      <w:sz w:val="24"/>
      <w:szCs w:val="24"/>
      <w:shd w:val="clear" w:color="auto" w:fill="F8F8F8"/>
      <w:lang w:val="en-US"/>
    </w:rPr>
  </w:style>
  <w:style w:type="character" w:customStyle="1" w:styleId="ImportTok">
    <w:name w:val="ImportTok"/>
    <w:basedOn w:val="VerbatimChar"/>
    <w:rsid w:val="00766485"/>
    <w:rPr>
      <w:rFonts w:ascii="Consolas" w:hAnsi="Consolas"/>
      <w:i/>
      <w:sz w:val="24"/>
      <w:szCs w:val="24"/>
      <w:shd w:val="clear" w:color="auto" w:fill="F8F8F8"/>
      <w:lang w:val="en-US"/>
    </w:rPr>
  </w:style>
  <w:style w:type="character" w:customStyle="1" w:styleId="CommentTok">
    <w:name w:val="CommentTok"/>
    <w:basedOn w:val="VerbatimChar"/>
    <w:rsid w:val="00766485"/>
    <w:rPr>
      <w:rFonts w:ascii="Consolas" w:hAnsi="Consolas"/>
      <w:i w:val="0"/>
      <w:color w:val="8F5902"/>
      <w:sz w:val="24"/>
      <w:szCs w:val="24"/>
      <w:shd w:val="clear" w:color="auto" w:fill="F8F8F8"/>
      <w:lang w:val="en-US"/>
    </w:rPr>
  </w:style>
  <w:style w:type="character" w:customStyle="1" w:styleId="DocumentationTok">
    <w:name w:val="DocumentationTok"/>
    <w:basedOn w:val="VerbatimChar"/>
    <w:rsid w:val="00766485"/>
    <w:rPr>
      <w:rFonts w:ascii="Consolas" w:hAnsi="Consolas"/>
      <w:b/>
      <w:i w:val="0"/>
      <w:color w:val="8F5902"/>
      <w:sz w:val="24"/>
      <w:szCs w:val="24"/>
      <w:shd w:val="clear" w:color="auto" w:fill="F8F8F8"/>
      <w:lang w:val="en-US"/>
    </w:rPr>
  </w:style>
  <w:style w:type="character" w:customStyle="1" w:styleId="AnnotationTok">
    <w:name w:val="AnnotationTok"/>
    <w:basedOn w:val="VerbatimChar"/>
    <w:rsid w:val="00766485"/>
    <w:rPr>
      <w:rFonts w:ascii="Consolas" w:hAnsi="Consolas"/>
      <w:b/>
      <w:i w:val="0"/>
      <w:color w:val="8F5902"/>
      <w:sz w:val="24"/>
      <w:szCs w:val="24"/>
      <w:shd w:val="clear" w:color="auto" w:fill="F8F8F8"/>
      <w:lang w:val="en-US"/>
    </w:rPr>
  </w:style>
  <w:style w:type="character" w:customStyle="1" w:styleId="CommentVarTok">
    <w:name w:val="CommentVarTok"/>
    <w:basedOn w:val="VerbatimChar"/>
    <w:rsid w:val="00766485"/>
    <w:rPr>
      <w:rFonts w:ascii="Consolas" w:hAnsi="Consolas"/>
      <w:b/>
      <w:i w:val="0"/>
      <w:color w:val="8F5902"/>
      <w:sz w:val="24"/>
      <w:szCs w:val="24"/>
      <w:shd w:val="clear" w:color="auto" w:fill="F8F8F8"/>
      <w:lang w:val="en-US"/>
    </w:rPr>
  </w:style>
  <w:style w:type="character" w:customStyle="1" w:styleId="OtherTok">
    <w:name w:val="OtherTok"/>
    <w:basedOn w:val="VerbatimChar"/>
    <w:rsid w:val="00766485"/>
    <w:rPr>
      <w:rFonts w:ascii="Consolas" w:hAnsi="Consolas"/>
      <w:i/>
      <w:color w:val="8F5902"/>
      <w:sz w:val="24"/>
      <w:szCs w:val="24"/>
      <w:shd w:val="clear" w:color="auto" w:fill="F8F8F8"/>
      <w:lang w:val="en-US"/>
    </w:rPr>
  </w:style>
  <w:style w:type="character" w:customStyle="1" w:styleId="FunctionTok">
    <w:name w:val="FunctionTok"/>
    <w:basedOn w:val="VerbatimChar"/>
    <w:rsid w:val="00766485"/>
    <w:rPr>
      <w:rFonts w:ascii="Consolas" w:hAnsi="Consolas"/>
      <w:i/>
      <w:color w:val="000000"/>
      <w:sz w:val="24"/>
      <w:szCs w:val="24"/>
      <w:shd w:val="clear" w:color="auto" w:fill="F8F8F8"/>
      <w:lang w:val="en-US"/>
    </w:rPr>
  </w:style>
  <w:style w:type="character" w:customStyle="1" w:styleId="VariableTok">
    <w:name w:val="VariableTok"/>
    <w:basedOn w:val="VerbatimChar"/>
    <w:rsid w:val="00766485"/>
    <w:rPr>
      <w:rFonts w:ascii="Consolas" w:hAnsi="Consolas"/>
      <w:i/>
      <w:color w:val="000000"/>
      <w:sz w:val="24"/>
      <w:szCs w:val="24"/>
      <w:shd w:val="clear" w:color="auto" w:fill="F8F8F8"/>
      <w:lang w:val="en-US"/>
    </w:rPr>
  </w:style>
  <w:style w:type="character" w:customStyle="1" w:styleId="ControlFlowTok">
    <w:name w:val="ControlFlowTok"/>
    <w:basedOn w:val="VerbatimChar"/>
    <w:rsid w:val="00766485"/>
    <w:rPr>
      <w:rFonts w:ascii="Consolas" w:hAnsi="Consolas"/>
      <w:b/>
      <w:i/>
      <w:color w:val="204A87"/>
      <w:sz w:val="24"/>
      <w:szCs w:val="24"/>
      <w:shd w:val="clear" w:color="auto" w:fill="F8F8F8"/>
      <w:lang w:val="en-US"/>
    </w:rPr>
  </w:style>
  <w:style w:type="character" w:customStyle="1" w:styleId="OperatorTok">
    <w:name w:val="OperatorTok"/>
    <w:basedOn w:val="VerbatimChar"/>
    <w:rsid w:val="00766485"/>
    <w:rPr>
      <w:rFonts w:ascii="Consolas" w:hAnsi="Consolas"/>
      <w:b/>
      <w:i/>
      <w:color w:val="CE5C00"/>
      <w:sz w:val="24"/>
      <w:szCs w:val="24"/>
      <w:shd w:val="clear" w:color="auto" w:fill="F8F8F8"/>
      <w:lang w:val="en-US"/>
    </w:rPr>
  </w:style>
  <w:style w:type="character" w:customStyle="1" w:styleId="BuiltInTok">
    <w:name w:val="BuiltInTok"/>
    <w:basedOn w:val="VerbatimChar"/>
    <w:rsid w:val="00766485"/>
    <w:rPr>
      <w:rFonts w:ascii="Consolas" w:hAnsi="Consolas"/>
      <w:i/>
      <w:sz w:val="24"/>
      <w:szCs w:val="24"/>
      <w:shd w:val="clear" w:color="auto" w:fill="F8F8F8"/>
      <w:lang w:val="en-US"/>
    </w:rPr>
  </w:style>
  <w:style w:type="character" w:customStyle="1" w:styleId="ExtensionTok">
    <w:name w:val="ExtensionTok"/>
    <w:basedOn w:val="VerbatimChar"/>
    <w:rsid w:val="00766485"/>
    <w:rPr>
      <w:rFonts w:ascii="Consolas" w:hAnsi="Consolas"/>
      <w:i/>
      <w:sz w:val="24"/>
      <w:szCs w:val="24"/>
      <w:shd w:val="clear" w:color="auto" w:fill="F8F8F8"/>
      <w:lang w:val="en-US"/>
    </w:rPr>
  </w:style>
  <w:style w:type="character" w:customStyle="1" w:styleId="PreprocessorTok">
    <w:name w:val="PreprocessorTok"/>
    <w:basedOn w:val="VerbatimChar"/>
    <w:rsid w:val="00766485"/>
    <w:rPr>
      <w:rFonts w:ascii="Consolas" w:hAnsi="Consolas"/>
      <w:i w:val="0"/>
      <w:color w:val="8F5902"/>
      <w:sz w:val="24"/>
      <w:szCs w:val="24"/>
      <w:shd w:val="clear" w:color="auto" w:fill="F8F8F8"/>
      <w:lang w:val="en-US"/>
    </w:rPr>
  </w:style>
  <w:style w:type="character" w:customStyle="1" w:styleId="AttributeTok">
    <w:name w:val="AttributeTok"/>
    <w:basedOn w:val="VerbatimChar"/>
    <w:rsid w:val="00766485"/>
    <w:rPr>
      <w:rFonts w:ascii="Consolas" w:hAnsi="Consolas"/>
      <w:i/>
      <w:color w:val="C4A000"/>
      <w:sz w:val="24"/>
      <w:szCs w:val="24"/>
      <w:shd w:val="clear" w:color="auto" w:fill="F8F8F8"/>
      <w:lang w:val="en-US"/>
    </w:rPr>
  </w:style>
  <w:style w:type="character" w:customStyle="1" w:styleId="RegionMarkerTok">
    <w:name w:val="RegionMarkerTok"/>
    <w:basedOn w:val="VerbatimChar"/>
    <w:rsid w:val="00766485"/>
    <w:rPr>
      <w:rFonts w:ascii="Consolas" w:hAnsi="Consolas"/>
      <w:i/>
      <w:sz w:val="24"/>
      <w:szCs w:val="24"/>
      <w:shd w:val="clear" w:color="auto" w:fill="F8F8F8"/>
      <w:lang w:val="en-US"/>
    </w:rPr>
  </w:style>
  <w:style w:type="character" w:customStyle="1" w:styleId="InformationTok">
    <w:name w:val="InformationTok"/>
    <w:basedOn w:val="VerbatimChar"/>
    <w:rsid w:val="00766485"/>
    <w:rPr>
      <w:rFonts w:ascii="Consolas" w:hAnsi="Consolas"/>
      <w:b/>
      <w:i w:val="0"/>
      <w:color w:val="8F5902"/>
      <w:sz w:val="24"/>
      <w:szCs w:val="24"/>
      <w:shd w:val="clear" w:color="auto" w:fill="F8F8F8"/>
      <w:lang w:val="en-US"/>
    </w:rPr>
  </w:style>
  <w:style w:type="character" w:customStyle="1" w:styleId="WarningTok">
    <w:name w:val="WarningTok"/>
    <w:basedOn w:val="VerbatimChar"/>
    <w:rsid w:val="00766485"/>
    <w:rPr>
      <w:rFonts w:ascii="Consolas" w:hAnsi="Consolas"/>
      <w:b/>
      <w:i w:val="0"/>
      <w:color w:val="8F5902"/>
      <w:sz w:val="24"/>
      <w:szCs w:val="24"/>
      <w:shd w:val="clear" w:color="auto" w:fill="F8F8F8"/>
      <w:lang w:val="en-US"/>
    </w:rPr>
  </w:style>
  <w:style w:type="character" w:customStyle="1" w:styleId="AlertTok">
    <w:name w:val="AlertTok"/>
    <w:basedOn w:val="VerbatimChar"/>
    <w:rsid w:val="00766485"/>
    <w:rPr>
      <w:rFonts w:ascii="Consolas" w:hAnsi="Consolas"/>
      <w:i/>
      <w:color w:val="EF2929"/>
      <w:sz w:val="24"/>
      <w:szCs w:val="24"/>
      <w:shd w:val="clear" w:color="auto" w:fill="F8F8F8"/>
      <w:lang w:val="en-US"/>
    </w:rPr>
  </w:style>
  <w:style w:type="character" w:customStyle="1" w:styleId="ErrorTok">
    <w:name w:val="ErrorTok"/>
    <w:basedOn w:val="VerbatimChar"/>
    <w:rsid w:val="00766485"/>
    <w:rPr>
      <w:rFonts w:ascii="Consolas" w:hAnsi="Consolas"/>
      <w:b/>
      <w:i/>
      <w:color w:val="A40000"/>
      <w:sz w:val="24"/>
      <w:szCs w:val="24"/>
      <w:shd w:val="clear" w:color="auto" w:fill="F8F8F8"/>
      <w:lang w:val="en-US"/>
    </w:rPr>
  </w:style>
  <w:style w:type="character" w:customStyle="1" w:styleId="NormalTok">
    <w:name w:val="NormalTok"/>
    <w:basedOn w:val="VerbatimChar"/>
    <w:rsid w:val="00766485"/>
    <w:rPr>
      <w:rFonts w:ascii="Consolas" w:hAnsi="Consolas"/>
      <w:i/>
      <w:sz w:val="24"/>
      <w:szCs w:val="24"/>
      <w:shd w:val="clear" w:color="auto" w:fill="F8F8F8"/>
      <w:lang w:val="en-US"/>
    </w:rPr>
  </w:style>
  <w:style w:type="character" w:customStyle="1" w:styleId="UnresolvedMention11">
    <w:name w:val="Unresolved Mention11"/>
    <w:basedOn w:val="DefaultParagraphFont"/>
    <w:uiPriority w:val="99"/>
    <w:semiHidden/>
    <w:unhideWhenUsed/>
    <w:rsid w:val="00766485"/>
    <w:rPr>
      <w:color w:val="605E5C"/>
      <w:shd w:val="clear" w:color="auto" w:fill="E1DFDD"/>
    </w:rPr>
  </w:style>
  <w:style w:type="paragraph" w:styleId="NoSpacing">
    <w:name w:val="No Spacing"/>
    <w:link w:val="NoSpacingChar"/>
    <w:uiPriority w:val="1"/>
    <w:qFormat/>
    <w:rsid w:val="00766485"/>
    <w:pPr>
      <w:spacing w:line="256" w:lineRule="auto"/>
    </w:pPr>
    <w:rPr>
      <w:rFonts w:ascii="Times New Roman" w:eastAsiaTheme="minorEastAsia" w:hAnsi="Times New Roman"/>
      <w:sz w:val="24"/>
      <w:lang w:val="en-CA"/>
    </w:rPr>
  </w:style>
  <w:style w:type="character" w:customStyle="1" w:styleId="NoSpacingChar">
    <w:name w:val="No Spacing Char"/>
    <w:basedOn w:val="DefaultParagraphFont"/>
    <w:link w:val="NoSpacing"/>
    <w:uiPriority w:val="1"/>
    <w:rsid w:val="00766485"/>
    <w:rPr>
      <w:rFonts w:ascii="Times New Roman" w:eastAsiaTheme="minorEastAsia" w:hAnsi="Times New Roman"/>
      <w:sz w:val="24"/>
      <w:lang w:val="en-CA"/>
    </w:rPr>
  </w:style>
  <w:style w:type="table" w:customStyle="1" w:styleId="TableGrid1">
    <w:name w:val="Table Grid1"/>
    <w:basedOn w:val="TableNormal"/>
    <w:next w:val="TableGrid"/>
    <w:uiPriority w:val="59"/>
    <w:rsid w:val="00766485"/>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cp">
    <w:name w:val="Caption_cp"/>
    <w:basedOn w:val="Standard"/>
    <w:autoRedefine/>
    <w:qFormat/>
    <w:rsid w:val="00766485"/>
    <w:pPr>
      <w:autoSpaceDN/>
      <w:jc w:val="both"/>
    </w:pPr>
    <w:rPr>
      <w:rFonts w:eastAsia="Droid Sans Fallback" w:cs="Lohit Hindi"/>
      <w:b/>
      <w:bCs/>
      <w:kern w:val="2"/>
      <w:sz w:val="16"/>
      <w:szCs w:val="16"/>
      <w:lang w:bidi="hi-IN"/>
    </w:rPr>
  </w:style>
  <w:style w:type="character" w:styleId="Strong">
    <w:name w:val="Strong"/>
    <w:basedOn w:val="DefaultParagraphFont"/>
    <w:uiPriority w:val="22"/>
    <w:qFormat/>
    <w:rsid w:val="00766485"/>
    <w:rPr>
      <w:b/>
      <w:bCs/>
    </w:rPr>
  </w:style>
  <w:style w:type="character" w:customStyle="1" w:styleId="CommentReference1">
    <w:name w:val="Comment Reference1"/>
    <w:basedOn w:val="DefaultParagraphFont"/>
    <w:uiPriority w:val="99"/>
    <w:semiHidden/>
    <w:unhideWhenUsed/>
    <w:rsid w:val="00766485"/>
    <w:rPr>
      <w:sz w:val="16"/>
      <w:szCs w:val="16"/>
    </w:rPr>
  </w:style>
  <w:style w:type="character" w:customStyle="1" w:styleId="InternetLink">
    <w:name w:val="Internet Link"/>
    <w:basedOn w:val="DefaultParagraphFont"/>
    <w:uiPriority w:val="99"/>
    <w:unhideWhenUsed/>
    <w:rsid w:val="00766485"/>
    <w:rPr>
      <w:color w:val="0563C1" w:themeColor="hyperlink"/>
      <w:u w:val="single"/>
    </w:rPr>
  </w:style>
  <w:style w:type="character" w:styleId="LineNumber">
    <w:name w:val="line number"/>
    <w:basedOn w:val="DefaultParagraphFont"/>
    <w:uiPriority w:val="99"/>
    <w:semiHidden/>
    <w:unhideWhenUsed/>
    <w:rsid w:val="00766485"/>
  </w:style>
  <w:style w:type="table" w:customStyle="1" w:styleId="TableGrid2">
    <w:name w:val="Table Grid2"/>
    <w:basedOn w:val="TableNormal"/>
    <w:next w:val="TableGrid"/>
    <w:uiPriority w:val="39"/>
    <w:rsid w:val="00EF4FD8"/>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EF4FD8"/>
  </w:style>
  <w:style w:type="paragraph" w:styleId="Quote">
    <w:name w:val="Quote"/>
    <w:basedOn w:val="Normal"/>
    <w:next w:val="Normal"/>
    <w:link w:val="QuoteChar"/>
    <w:uiPriority w:val="29"/>
    <w:qFormat/>
    <w:rsid w:val="00EF4FD8"/>
    <w:pPr>
      <w:spacing w:before="160" w:after="160" w:line="278" w:lineRule="auto"/>
      <w:jc w:val="center"/>
    </w:pPr>
    <w:rPr>
      <w:rFonts w:asciiTheme="minorHAnsi" w:eastAsiaTheme="minorHAnsi" w:hAnsiTheme="minorHAnsi" w:cstheme="minorBidi"/>
      <w:i/>
      <w:iCs/>
      <w:color w:val="404040" w:themeColor="text1" w:themeTint="BF"/>
      <w:kern w:val="2"/>
      <w:lang w:val="es-UY"/>
      <w14:ligatures w14:val="standardContextual"/>
    </w:rPr>
  </w:style>
  <w:style w:type="character" w:customStyle="1" w:styleId="QuoteChar">
    <w:name w:val="Quote Char"/>
    <w:basedOn w:val="DefaultParagraphFont"/>
    <w:link w:val="Quote"/>
    <w:uiPriority w:val="29"/>
    <w:rsid w:val="00EF4FD8"/>
    <w:rPr>
      <w:i/>
      <w:iCs/>
      <w:color w:val="404040" w:themeColor="text1" w:themeTint="BF"/>
      <w:kern w:val="2"/>
      <w:sz w:val="24"/>
      <w:szCs w:val="24"/>
      <w:lang w:val="es-UY"/>
      <w14:ligatures w14:val="standardContextual"/>
    </w:rPr>
  </w:style>
  <w:style w:type="character" w:styleId="IntenseEmphasis">
    <w:name w:val="Intense Emphasis"/>
    <w:basedOn w:val="DefaultParagraphFont"/>
    <w:uiPriority w:val="21"/>
    <w:qFormat/>
    <w:rsid w:val="00EF4FD8"/>
    <w:rPr>
      <w:i/>
      <w:iCs/>
      <w:color w:val="2F5496" w:themeColor="accent1" w:themeShade="BF"/>
    </w:rPr>
  </w:style>
  <w:style w:type="paragraph" w:styleId="IntenseQuote">
    <w:name w:val="Intense Quote"/>
    <w:basedOn w:val="Normal"/>
    <w:next w:val="Normal"/>
    <w:link w:val="IntenseQuoteChar"/>
    <w:uiPriority w:val="30"/>
    <w:qFormat/>
    <w:rsid w:val="00EF4FD8"/>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s-UY"/>
      <w14:ligatures w14:val="standardContextual"/>
    </w:rPr>
  </w:style>
  <w:style w:type="character" w:customStyle="1" w:styleId="IntenseQuoteChar">
    <w:name w:val="Intense Quote Char"/>
    <w:basedOn w:val="DefaultParagraphFont"/>
    <w:link w:val="IntenseQuote"/>
    <w:uiPriority w:val="30"/>
    <w:rsid w:val="00EF4FD8"/>
    <w:rPr>
      <w:i/>
      <w:iCs/>
      <w:color w:val="2F5496" w:themeColor="accent1" w:themeShade="BF"/>
      <w:kern w:val="2"/>
      <w:sz w:val="24"/>
      <w:szCs w:val="24"/>
      <w:lang w:val="es-UY"/>
      <w14:ligatures w14:val="standardContextual"/>
    </w:rPr>
  </w:style>
  <w:style w:type="character" w:styleId="IntenseReference">
    <w:name w:val="Intense Reference"/>
    <w:basedOn w:val="DefaultParagraphFont"/>
    <w:uiPriority w:val="32"/>
    <w:qFormat/>
    <w:rsid w:val="00EF4FD8"/>
    <w:rPr>
      <w:b/>
      <w:bCs/>
      <w:smallCaps/>
      <w:color w:val="2F5496" w:themeColor="accent1" w:themeShade="BF"/>
      <w:spacing w:val="5"/>
    </w:rPr>
  </w:style>
  <w:style w:type="table" w:customStyle="1" w:styleId="TableGrid3">
    <w:name w:val="Table Grid3"/>
    <w:basedOn w:val="TableNormal"/>
    <w:next w:val="TableGrid"/>
    <w:uiPriority w:val="39"/>
    <w:rsid w:val="00EF4FD8"/>
    <w:pPr>
      <w:spacing w:after="0" w:line="240" w:lineRule="auto"/>
    </w:pPr>
    <w:rPr>
      <w:kern w:val="2"/>
      <w:sz w:val="24"/>
      <w:szCs w:val="24"/>
      <w:lang w:val="es-UY"/>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4F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6">
    <w:name w:val="Table Grid6"/>
    <w:basedOn w:val="TableNormal"/>
    <w:next w:val="TableGrid"/>
    <w:uiPriority w:val="39"/>
    <w:rsid w:val="00EF4FD8"/>
    <w:pPr>
      <w:suppressAutoHyphens/>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acteresdenotaalpie">
    <w:name w:val="Caracteres de nota al pie"/>
    <w:basedOn w:val="DefaultParagraphFont"/>
    <w:uiPriority w:val="99"/>
    <w:semiHidden/>
    <w:unhideWhenUsed/>
    <w:qFormat/>
    <w:rsid w:val="00EF4FD8"/>
    <w:rPr>
      <w:vertAlign w:val="superscript"/>
    </w:rPr>
  </w:style>
  <w:style w:type="table" w:customStyle="1" w:styleId="TableGrid7">
    <w:name w:val="Table Grid7"/>
    <w:basedOn w:val="TableNormal"/>
    <w:next w:val="TableGrid"/>
    <w:uiPriority w:val="39"/>
    <w:rsid w:val="00EF4FD8"/>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EF4FD8"/>
    <w:pPr>
      <w:spacing w:after="0" w:line="240" w:lineRule="auto"/>
      <w:jc w:val="center"/>
    </w:pPr>
    <w:rPr>
      <w:rFonts w:eastAsia="Yu Gothic"/>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EF4FD8"/>
    <w:pPr>
      <w:spacing w:after="0" w:line="240" w:lineRule="auto"/>
      <w:jc w:val="center"/>
    </w:pPr>
    <w:rPr>
      <w:rFonts w:eastAsia="Yu Gothic"/>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EF4FD8"/>
    <w:pPr>
      <w:spacing w:after="0" w:line="240" w:lineRule="auto"/>
      <w:jc w:val="center"/>
    </w:pPr>
    <w:rPr>
      <w:rFonts w:eastAsia="Yu Gothic"/>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6941">
      <w:bodyDiv w:val="1"/>
      <w:marLeft w:val="0"/>
      <w:marRight w:val="0"/>
      <w:marTop w:val="0"/>
      <w:marBottom w:val="0"/>
      <w:divBdr>
        <w:top w:val="none" w:sz="0" w:space="0" w:color="auto"/>
        <w:left w:val="none" w:sz="0" w:space="0" w:color="auto"/>
        <w:bottom w:val="none" w:sz="0" w:space="0" w:color="auto"/>
        <w:right w:val="none" w:sz="0" w:space="0" w:color="auto"/>
      </w:divBdr>
    </w:div>
    <w:div w:id="103812293">
      <w:bodyDiv w:val="1"/>
      <w:marLeft w:val="0"/>
      <w:marRight w:val="0"/>
      <w:marTop w:val="0"/>
      <w:marBottom w:val="0"/>
      <w:divBdr>
        <w:top w:val="none" w:sz="0" w:space="0" w:color="auto"/>
        <w:left w:val="none" w:sz="0" w:space="0" w:color="auto"/>
        <w:bottom w:val="none" w:sz="0" w:space="0" w:color="auto"/>
        <w:right w:val="none" w:sz="0" w:space="0" w:color="auto"/>
      </w:divBdr>
    </w:div>
    <w:div w:id="105003840">
      <w:bodyDiv w:val="1"/>
      <w:marLeft w:val="0"/>
      <w:marRight w:val="0"/>
      <w:marTop w:val="0"/>
      <w:marBottom w:val="0"/>
      <w:divBdr>
        <w:top w:val="none" w:sz="0" w:space="0" w:color="auto"/>
        <w:left w:val="none" w:sz="0" w:space="0" w:color="auto"/>
        <w:bottom w:val="none" w:sz="0" w:space="0" w:color="auto"/>
        <w:right w:val="none" w:sz="0" w:space="0" w:color="auto"/>
      </w:divBdr>
    </w:div>
    <w:div w:id="220295132">
      <w:bodyDiv w:val="1"/>
      <w:marLeft w:val="0"/>
      <w:marRight w:val="0"/>
      <w:marTop w:val="0"/>
      <w:marBottom w:val="0"/>
      <w:divBdr>
        <w:top w:val="none" w:sz="0" w:space="0" w:color="auto"/>
        <w:left w:val="none" w:sz="0" w:space="0" w:color="auto"/>
        <w:bottom w:val="none" w:sz="0" w:space="0" w:color="auto"/>
        <w:right w:val="none" w:sz="0" w:space="0" w:color="auto"/>
      </w:divBdr>
    </w:div>
    <w:div w:id="297689912">
      <w:bodyDiv w:val="1"/>
      <w:marLeft w:val="0"/>
      <w:marRight w:val="0"/>
      <w:marTop w:val="0"/>
      <w:marBottom w:val="0"/>
      <w:divBdr>
        <w:top w:val="none" w:sz="0" w:space="0" w:color="auto"/>
        <w:left w:val="none" w:sz="0" w:space="0" w:color="auto"/>
        <w:bottom w:val="none" w:sz="0" w:space="0" w:color="auto"/>
        <w:right w:val="none" w:sz="0" w:space="0" w:color="auto"/>
      </w:divBdr>
    </w:div>
    <w:div w:id="371152014">
      <w:bodyDiv w:val="1"/>
      <w:marLeft w:val="0"/>
      <w:marRight w:val="0"/>
      <w:marTop w:val="0"/>
      <w:marBottom w:val="0"/>
      <w:divBdr>
        <w:top w:val="none" w:sz="0" w:space="0" w:color="auto"/>
        <w:left w:val="none" w:sz="0" w:space="0" w:color="auto"/>
        <w:bottom w:val="none" w:sz="0" w:space="0" w:color="auto"/>
        <w:right w:val="none" w:sz="0" w:space="0" w:color="auto"/>
      </w:divBdr>
    </w:div>
    <w:div w:id="664356266">
      <w:bodyDiv w:val="1"/>
      <w:marLeft w:val="0"/>
      <w:marRight w:val="0"/>
      <w:marTop w:val="0"/>
      <w:marBottom w:val="0"/>
      <w:divBdr>
        <w:top w:val="none" w:sz="0" w:space="0" w:color="auto"/>
        <w:left w:val="none" w:sz="0" w:space="0" w:color="auto"/>
        <w:bottom w:val="none" w:sz="0" w:space="0" w:color="auto"/>
        <w:right w:val="none" w:sz="0" w:space="0" w:color="auto"/>
      </w:divBdr>
    </w:div>
    <w:div w:id="940917987">
      <w:bodyDiv w:val="1"/>
      <w:marLeft w:val="0"/>
      <w:marRight w:val="0"/>
      <w:marTop w:val="0"/>
      <w:marBottom w:val="0"/>
      <w:divBdr>
        <w:top w:val="none" w:sz="0" w:space="0" w:color="auto"/>
        <w:left w:val="none" w:sz="0" w:space="0" w:color="auto"/>
        <w:bottom w:val="none" w:sz="0" w:space="0" w:color="auto"/>
        <w:right w:val="none" w:sz="0" w:space="0" w:color="auto"/>
      </w:divBdr>
    </w:div>
    <w:div w:id="1235310330">
      <w:bodyDiv w:val="1"/>
      <w:marLeft w:val="0"/>
      <w:marRight w:val="0"/>
      <w:marTop w:val="0"/>
      <w:marBottom w:val="0"/>
      <w:divBdr>
        <w:top w:val="none" w:sz="0" w:space="0" w:color="auto"/>
        <w:left w:val="none" w:sz="0" w:space="0" w:color="auto"/>
        <w:bottom w:val="none" w:sz="0" w:space="0" w:color="auto"/>
        <w:right w:val="none" w:sz="0" w:space="0" w:color="auto"/>
      </w:divBdr>
    </w:div>
    <w:div w:id="1382286211">
      <w:bodyDiv w:val="1"/>
      <w:marLeft w:val="0"/>
      <w:marRight w:val="0"/>
      <w:marTop w:val="0"/>
      <w:marBottom w:val="0"/>
      <w:divBdr>
        <w:top w:val="none" w:sz="0" w:space="0" w:color="auto"/>
        <w:left w:val="none" w:sz="0" w:space="0" w:color="auto"/>
        <w:bottom w:val="none" w:sz="0" w:space="0" w:color="auto"/>
        <w:right w:val="none" w:sz="0" w:space="0" w:color="auto"/>
      </w:divBdr>
    </w:div>
    <w:div w:id="1413160078">
      <w:bodyDiv w:val="1"/>
      <w:marLeft w:val="0"/>
      <w:marRight w:val="0"/>
      <w:marTop w:val="0"/>
      <w:marBottom w:val="0"/>
      <w:divBdr>
        <w:top w:val="none" w:sz="0" w:space="0" w:color="auto"/>
        <w:left w:val="none" w:sz="0" w:space="0" w:color="auto"/>
        <w:bottom w:val="none" w:sz="0" w:space="0" w:color="auto"/>
        <w:right w:val="none" w:sz="0" w:space="0" w:color="auto"/>
      </w:divBdr>
    </w:div>
    <w:div w:id="1496073320">
      <w:bodyDiv w:val="1"/>
      <w:marLeft w:val="0"/>
      <w:marRight w:val="0"/>
      <w:marTop w:val="0"/>
      <w:marBottom w:val="0"/>
      <w:divBdr>
        <w:top w:val="none" w:sz="0" w:space="0" w:color="auto"/>
        <w:left w:val="none" w:sz="0" w:space="0" w:color="auto"/>
        <w:bottom w:val="none" w:sz="0" w:space="0" w:color="auto"/>
        <w:right w:val="none" w:sz="0" w:space="0" w:color="auto"/>
      </w:divBdr>
    </w:div>
    <w:div w:id="1516189415">
      <w:bodyDiv w:val="1"/>
      <w:marLeft w:val="0"/>
      <w:marRight w:val="0"/>
      <w:marTop w:val="0"/>
      <w:marBottom w:val="0"/>
      <w:divBdr>
        <w:top w:val="none" w:sz="0" w:space="0" w:color="auto"/>
        <w:left w:val="none" w:sz="0" w:space="0" w:color="auto"/>
        <w:bottom w:val="none" w:sz="0" w:space="0" w:color="auto"/>
        <w:right w:val="none" w:sz="0" w:space="0" w:color="auto"/>
      </w:divBdr>
      <w:divsChild>
        <w:div w:id="596002">
          <w:marLeft w:val="0"/>
          <w:marRight w:val="0"/>
          <w:marTop w:val="0"/>
          <w:marBottom w:val="0"/>
          <w:divBdr>
            <w:top w:val="none" w:sz="0" w:space="0" w:color="auto"/>
            <w:left w:val="none" w:sz="0" w:space="0" w:color="auto"/>
            <w:bottom w:val="none" w:sz="0" w:space="0" w:color="auto"/>
            <w:right w:val="none" w:sz="0" w:space="0" w:color="auto"/>
          </w:divBdr>
        </w:div>
        <w:div w:id="19934295">
          <w:marLeft w:val="0"/>
          <w:marRight w:val="0"/>
          <w:marTop w:val="0"/>
          <w:marBottom w:val="0"/>
          <w:divBdr>
            <w:top w:val="none" w:sz="0" w:space="0" w:color="auto"/>
            <w:left w:val="none" w:sz="0" w:space="0" w:color="auto"/>
            <w:bottom w:val="none" w:sz="0" w:space="0" w:color="auto"/>
            <w:right w:val="none" w:sz="0" w:space="0" w:color="auto"/>
          </w:divBdr>
        </w:div>
        <w:div w:id="53311593">
          <w:marLeft w:val="0"/>
          <w:marRight w:val="0"/>
          <w:marTop w:val="0"/>
          <w:marBottom w:val="0"/>
          <w:divBdr>
            <w:top w:val="none" w:sz="0" w:space="0" w:color="auto"/>
            <w:left w:val="none" w:sz="0" w:space="0" w:color="auto"/>
            <w:bottom w:val="none" w:sz="0" w:space="0" w:color="auto"/>
            <w:right w:val="none" w:sz="0" w:space="0" w:color="auto"/>
          </w:divBdr>
        </w:div>
        <w:div w:id="72747576">
          <w:marLeft w:val="0"/>
          <w:marRight w:val="0"/>
          <w:marTop w:val="0"/>
          <w:marBottom w:val="0"/>
          <w:divBdr>
            <w:top w:val="none" w:sz="0" w:space="0" w:color="auto"/>
            <w:left w:val="none" w:sz="0" w:space="0" w:color="auto"/>
            <w:bottom w:val="none" w:sz="0" w:space="0" w:color="auto"/>
            <w:right w:val="none" w:sz="0" w:space="0" w:color="auto"/>
          </w:divBdr>
        </w:div>
        <w:div w:id="77604553">
          <w:marLeft w:val="0"/>
          <w:marRight w:val="0"/>
          <w:marTop w:val="0"/>
          <w:marBottom w:val="0"/>
          <w:divBdr>
            <w:top w:val="none" w:sz="0" w:space="0" w:color="auto"/>
            <w:left w:val="none" w:sz="0" w:space="0" w:color="auto"/>
            <w:bottom w:val="none" w:sz="0" w:space="0" w:color="auto"/>
            <w:right w:val="none" w:sz="0" w:space="0" w:color="auto"/>
          </w:divBdr>
        </w:div>
        <w:div w:id="79524482">
          <w:marLeft w:val="0"/>
          <w:marRight w:val="0"/>
          <w:marTop w:val="0"/>
          <w:marBottom w:val="0"/>
          <w:divBdr>
            <w:top w:val="none" w:sz="0" w:space="0" w:color="auto"/>
            <w:left w:val="none" w:sz="0" w:space="0" w:color="auto"/>
            <w:bottom w:val="none" w:sz="0" w:space="0" w:color="auto"/>
            <w:right w:val="none" w:sz="0" w:space="0" w:color="auto"/>
          </w:divBdr>
        </w:div>
        <w:div w:id="89936321">
          <w:marLeft w:val="0"/>
          <w:marRight w:val="0"/>
          <w:marTop w:val="0"/>
          <w:marBottom w:val="0"/>
          <w:divBdr>
            <w:top w:val="none" w:sz="0" w:space="0" w:color="auto"/>
            <w:left w:val="none" w:sz="0" w:space="0" w:color="auto"/>
            <w:bottom w:val="none" w:sz="0" w:space="0" w:color="auto"/>
            <w:right w:val="none" w:sz="0" w:space="0" w:color="auto"/>
          </w:divBdr>
        </w:div>
        <w:div w:id="91055738">
          <w:marLeft w:val="0"/>
          <w:marRight w:val="0"/>
          <w:marTop w:val="0"/>
          <w:marBottom w:val="0"/>
          <w:divBdr>
            <w:top w:val="none" w:sz="0" w:space="0" w:color="auto"/>
            <w:left w:val="none" w:sz="0" w:space="0" w:color="auto"/>
            <w:bottom w:val="none" w:sz="0" w:space="0" w:color="auto"/>
            <w:right w:val="none" w:sz="0" w:space="0" w:color="auto"/>
          </w:divBdr>
        </w:div>
        <w:div w:id="92869904">
          <w:marLeft w:val="0"/>
          <w:marRight w:val="0"/>
          <w:marTop w:val="0"/>
          <w:marBottom w:val="0"/>
          <w:divBdr>
            <w:top w:val="none" w:sz="0" w:space="0" w:color="auto"/>
            <w:left w:val="none" w:sz="0" w:space="0" w:color="auto"/>
            <w:bottom w:val="none" w:sz="0" w:space="0" w:color="auto"/>
            <w:right w:val="none" w:sz="0" w:space="0" w:color="auto"/>
          </w:divBdr>
        </w:div>
        <w:div w:id="99226303">
          <w:marLeft w:val="0"/>
          <w:marRight w:val="0"/>
          <w:marTop w:val="0"/>
          <w:marBottom w:val="0"/>
          <w:divBdr>
            <w:top w:val="none" w:sz="0" w:space="0" w:color="auto"/>
            <w:left w:val="none" w:sz="0" w:space="0" w:color="auto"/>
            <w:bottom w:val="none" w:sz="0" w:space="0" w:color="auto"/>
            <w:right w:val="none" w:sz="0" w:space="0" w:color="auto"/>
          </w:divBdr>
        </w:div>
        <w:div w:id="108278061">
          <w:marLeft w:val="0"/>
          <w:marRight w:val="0"/>
          <w:marTop w:val="0"/>
          <w:marBottom w:val="0"/>
          <w:divBdr>
            <w:top w:val="none" w:sz="0" w:space="0" w:color="auto"/>
            <w:left w:val="none" w:sz="0" w:space="0" w:color="auto"/>
            <w:bottom w:val="none" w:sz="0" w:space="0" w:color="auto"/>
            <w:right w:val="none" w:sz="0" w:space="0" w:color="auto"/>
          </w:divBdr>
        </w:div>
        <w:div w:id="114561314">
          <w:marLeft w:val="0"/>
          <w:marRight w:val="0"/>
          <w:marTop w:val="0"/>
          <w:marBottom w:val="0"/>
          <w:divBdr>
            <w:top w:val="none" w:sz="0" w:space="0" w:color="auto"/>
            <w:left w:val="none" w:sz="0" w:space="0" w:color="auto"/>
            <w:bottom w:val="none" w:sz="0" w:space="0" w:color="auto"/>
            <w:right w:val="none" w:sz="0" w:space="0" w:color="auto"/>
          </w:divBdr>
        </w:div>
        <w:div w:id="114645056">
          <w:marLeft w:val="0"/>
          <w:marRight w:val="0"/>
          <w:marTop w:val="0"/>
          <w:marBottom w:val="0"/>
          <w:divBdr>
            <w:top w:val="none" w:sz="0" w:space="0" w:color="auto"/>
            <w:left w:val="none" w:sz="0" w:space="0" w:color="auto"/>
            <w:bottom w:val="none" w:sz="0" w:space="0" w:color="auto"/>
            <w:right w:val="none" w:sz="0" w:space="0" w:color="auto"/>
          </w:divBdr>
        </w:div>
        <w:div w:id="120154559">
          <w:marLeft w:val="0"/>
          <w:marRight w:val="0"/>
          <w:marTop w:val="0"/>
          <w:marBottom w:val="0"/>
          <w:divBdr>
            <w:top w:val="none" w:sz="0" w:space="0" w:color="auto"/>
            <w:left w:val="none" w:sz="0" w:space="0" w:color="auto"/>
            <w:bottom w:val="none" w:sz="0" w:space="0" w:color="auto"/>
            <w:right w:val="none" w:sz="0" w:space="0" w:color="auto"/>
          </w:divBdr>
        </w:div>
        <w:div w:id="127405629">
          <w:marLeft w:val="0"/>
          <w:marRight w:val="0"/>
          <w:marTop w:val="0"/>
          <w:marBottom w:val="0"/>
          <w:divBdr>
            <w:top w:val="none" w:sz="0" w:space="0" w:color="auto"/>
            <w:left w:val="none" w:sz="0" w:space="0" w:color="auto"/>
            <w:bottom w:val="none" w:sz="0" w:space="0" w:color="auto"/>
            <w:right w:val="none" w:sz="0" w:space="0" w:color="auto"/>
          </w:divBdr>
        </w:div>
        <w:div w:id="130365244">
          <w:marLeft w:val="0"/>
          <w:marRight w:val="0"/>
          <w:marTop w:val="0"/>
          <w:marBottom w:val="0"/>
          <w:divBdr>
            <w:top w:val="none" w:sz="0" w:space="0" w:color="auto"/>
            <w:left w:val="none" w:sz="0" w:space="0" w:color="auto"/>
            <w:bottom w:val="none" w:sz="0" w:space="0" w:color="auto"/>
            <w:right w:val="none" w:sz="0" w:space="0" w:color="auto"/>
          </w:divBdr>
        </w:div>
        <w:div w:id="172303857">
          <w:marLeft w:val="0"/>
          <w:marRight w:val="0"/>
          <w:marTop w:val="0"/>
          <w:marBottom w:val="0"/>
          <w:divBdr>
            <w:top w:val="none" w:sz="0" w:space="0" w:color="auto"/>
            <w:left w:val="none" w:sz="0" w:space="0" w:color="auto"/>
            <w:bottom w:val="none" w:sz="0" w:space="0" w:color="auto"/>
            <w:right w:val="none" w:sz="0" w:space="0" w:color="auto"/>
          </w:divBdr>
        </w:div>
        <w:div w:id="172768418">
          <w:marLeft w:val="0"/>
          <w:marRight w:val="0"/>
          <w:marTop w:val="0"/>
          <w:marBottom w:val="0"/>
          <w:divBdr>
            <w:top w:val="none" w:sz="0" w:space="0" w:color="auto"/>
            <w:left w:val="none" w:sz="0" w:space="0" w:color="auto"/>
            <w:bottom w:val="none" w:sz="0" w:space="0" w:color="auto"/>
            <w:right w:val="none" w:sz="0" w:space="0" w:color="auto"/>
          </w:divBdr>
        </w:div>
        <w:div w:id="189490237">
          <w:marLeft w:val="0"/>
          <w:marRight w:val="0"/>
          <w:marTop w:val="0"/>
          <w:marBottom w:val="0"/>
          <w:divBdr>
            <w:top w:val="none" w:sz="0" w:space="0" w:color="auto"/>
            <w:left w:val="none" w:sz="0" w:space="0" w:color="auto"/>
            <w:bottom w:val="none" w:sz="0" w:space="0" w:color="auto"/>
            <w:right w:val="none" w:sz="0" w:space="0" w:color="auto"/>
          </w:divBdr>
        </w:div>
        <w:div w:id="212428120">
          <w:marLeft w:val="0"/>
          <w:marRight w:val="0"/>
          <w:marTop w:val="0"/>
          <w:marBottom w:val="0"/>
          <w:divBdr>
            <w:top w:val="none" w:sz="0" w:space="0" w:color="auto"/>
            <w:left w:val="none" w:sz="0" w:space="0" w:color="auto"/>
            <w:bottom w:val="none" w:sz="0" w:space="0" w:color="auto"/>
            <w:right w:val="none" w:sz="0" w:space="0" w:color="auto"/>
          </w:divBdr>
        </w:div>
        <w:div w:id="246965377">
          <w:marLeft w:val="0"/>
          <w:marRight w:val="0"/>
          <w:marTop w:val="0"/>
          <w:marBottom w:val="0"/>
          <w:divBdr>
            <w:top w:val="none" w:sz="0" w:space="0" w:color="auto"/>
            <w:left w:val="none" w:sz="0" w:space="0" w:color="auto"/>
            <w:bottom w:val="none" w:sz="0" w:space="0" w:color="auto"/>
            <w:right w:val="none" w:sz="0" w:space="0" w:color="auto"/>
          </w:divBdr>
        </w:div>
        <w:div w:id="252055879">
          <w:marLeft w:val="0"/>
          <w:marRight w:val="0"/>
          <w:marTop w:val="0"/>
          <w:marBottom w:val="0"/>
          <w:divBdr>
            <w:top w:val="none" w:sz="0" w:space="0" w:color="auto"/>
            <w:left w:val="none" w:sz="0" w:space="0" w:color="auto"/>
            <w:bottom w:val="none" w:sz="0" w:space="0" w:color="auto"/>
            <w:right w:val="none" w:sz="0" w:space="0" w:color="auto"/>
          </w:divBdr>
        </w:div>
        <w:div w:id="269824012">
          <w:marLeft w:val="0"/>
          <w:marRight w:val="0"/>
          <w:marTop w:val="0"/>
          <w:marBottom w:val="0"/>
          <w:divBdr>
            <w:top w:val="none" w:sz="0" w:space="0" w:color="auto"/>
            <w:left w:val="none" w:sz="0" w:space="0" w:color="auto"/>
            <w:bottom w:val="none" w:sz="0" w:space="0" w:color="auto"/>
            <w:right w:val="none" w:sz="0" w:space="0" w:color="auto"/>
          </w:divBdr>
        </w:div>
        <w:div w:id="273447169">
          <w:marLeft w:val="0"/>
          <w:marRight w:val="0"/>
          <w:marTop w:val="0"/>
          <w:marBottom w:val="0"/>
          <w:divBdr>
            <w:top w:val="none" w:sz="0" w:space="0" w:color="auto"/>
            <w:left w:val="none" w:sz="0" w:space="0" w:color="auto"/>
            <w:bottom w:val="none" w:sz="0" w:space="0" w:color="auto"/>
            <w:right w:val="none" w:sz="0" w:space="0" w:color="auto"/>
          </w:divBdr>
        </w:div>
        <w:div w:id="273752185">
          <w:marLeft w:val="0"/>
          <w:marRight w:val="0"/>
          <w:marTop w:val="0"/>
          <w:marBottom w:val="0"/>
          <w:divBdr>
            <w:top w:val="none" w:sz="0" w:space="0" w:color="auto"/>
            <w:left w:val="none" w:sz="0" w:space="0" w:color="auto"/>
            <w:bottom w:val="none" w:sz="0" w:space="0" w:color="auto"/>
            <w:right w:val="none" w:sz="0" w:space="0" w:color="auto"/>
          </w:divBdr>
        </w:div>
        <w:div w:id="275986929">
          <w:marLeft w:val="0"/>
          <w:marRight w:val="0"/>
          <w:marTop w:val="0"/>
          <w:marBottom w:val="0"/>
          <w:divBdr>
            <w:top w:val="none" w:sz="0" w:space="0" w:color="auto"/>
            <w:left w:val="none" w:sz="0" w:space="0" w:color="auto"/>
            <w:bottom w:val="none" w:sz="0" w:space="0" w:color="auto"/>
            <w:right w:val="none" w:sz="0" w:space="0" w:color="auto"/>
          </w:divBdr>
        </w:div>
        <w:div w:id="276378139">
          <w:marLeft w:val="0"/>
          <w:marRight w:val="0"/>
          <w:marTop w:val="0"/>
          <w:marBottom w:val="0"/>
          <w:divBdr>
            <w:top w:val="none" w:sz="0" w:space="0" w:color="auto"/>
            <w:left w:val="none" w:sz="0" w:space="0" w:color="auto"/>
            <w:bottom w:val="none" w:sz="0" w:space="0" w:color="auto"/>
            <w:right w:val="none" w:sz="0" w:space="0" w:color="auto"/>
          </w:divBdr>
        </w:div>
        <w:div w:id="281421714">
          <w:marLeft w:val="0"/>
          <w:marRight w:val="0"/>
          <w:marTop w:val="0"/>
          <w:marBottom w:val="0"/>
          <w:divBdr>
            <w:top w:val="none" w:sz="0" w:space="0" w:color="auto"/>
            <w:left w:val="none" w:sz="0" w:space="0" w:color="auto"/>
            <w:bottom w:val="none" w:sz="0" w:space="0" w:color="auto"/>
            <w:right w:val="none" w:sz="0" w:space="0" w:color="auto"/>
          </w:divBdr>
        </w:div>
        <w:div w:id="310402605">
          <w:marLeft w:val="0"/>
          <w:marRight w:val="0"/>
          <w:marTop w:val="0"/>
          <w:marBottom w:val="0"/>
          <w:divBdr>
            <w:top w:val="none" w:sz="0" w:space="0" w:color="auto"/>
            <w:left w:val="none" w:sz="0" w:space="0" w:color="auto"/>
            <w:bottom w:val="none" w:sz="0" w:space="0" w:color="auto"/>
            <w:right w:val="none" w:sz="0" w:space="0" w:color="auto"/>
          </w:divBdr>
        </w:div>
        <w:div w:id="314074066">
          <w:marLeft w:val="0"/>
          <w:marRight w:val="0"/>
          <w:marTop w:val="0"/>
          <w:marBottom w:val="0"/>
          <w:divBdr>
            <w:top w:val="none" w:sz="0" w:space="0" w:color="auto"/>
            <w:left w:val="none" w:sz="0" w:space="0" w:color="auto"/>
            <w:bottom w:val="none" w:sz="0" w:space="0" w:color="auto"/>
            <w:right w:val="none" w:sz="0" w:space="0" w:color="auto"/>
          </w:divBdr>
        </w:div>
        <w:div w:id="320739038">
          <w:marLeft w:val="0"/>
          <w:marRight w:val="0"/>
          <w:marTop w:val="0"/>
          <w:marBottom w:val="0"/>
          <w:divBdr>
            <w:top w:val="none" w:sz="0" w:space="0" w:color="auto"/>
            <w:left w:val="none" w:sz="0" w:space="0" w:color="auto"/>
            <w:bottom w:val="none" w:sz="0" w:space="0" w:color="auto"/>
            <w:right w:val="none" w:sz="0" w:space="0" w:color="auto"/>
          </w:divBdr>
        </w:div>
        <w:div w:id="323969292">
          <w:marLeft w:val="0"/>
          <w:marRight w:val="0"/>
          <w:marTop w:val="0"/>
          <w:marBottom w:val="0"/>
          <w:divBdr>
            <w:top w:val="none" w:sz="0" w:space="0" w:color="auto"/>
            <w:left w:val="none" w:sz="0" w:space="0" w:color="auto"/>
            <w:bottom w:val="none" w:sz="0" w:space="0" w:color="auto"/>
            <w:right w:val="none" w:sz="0" w:space="0" w:color="auto"/>
          </w:divBdr>
        </w:div>
        <w:div w:id="336428288">
          <w:marLeft w:val="0"/>
          <w:marRight w:val="0"/>
          <w:marTop w:val="0"/>
          <w:marBottom w:val="0"/>
          <w:divBdr>
            <w:top w:val="none" w:sz="0" w:space="0" w:color="auto"/>
            <w:left w:val="none" w:sz="0" w:space="0" w:color="auto"/>
            <w:bottom w:val="none" w:sz="0" w:space="0" w:color="auto"/>
            <w:right w:val="none" w:sz="0" w:space="0" w:color="auto"/>
          </w:divBdr>
        </w:div>
        <w:div w:id="341512514">
          <w:marLeft w:val="0"/>
          <w:marRight w:val="0"/>
          <w:marTop w:val="0"/>
          <w:marBottom w:val="0"/>
          <w:divBdr>
            <w:top w:val="none" w:sz="0" w:space="0" w:color="auto"/>
            <w:left w:val="none" w:sz="0" w:space="0" w:color="auto"/>
            <w:bottom w:val="none" w:sz="0" w:space="0" w:color="auto"/>
            <w:right w:val="none" w:sz="0" w:space="0" w:color="auto"/>
          </w:divBdr>
        </w:div>
        <w:div w:id="356006804">
          <w:marLeft w:val="0"/>
          <w:marRight w:val="0"/>
          <w:marTop w:val="0"/>
          <w:marBottom w:val="0"/>
          <w:divBdr>
            <w:top w:val="none" w:sz="0" w:space="0" w:color="auto"/>
            <w:left w:val="none" w:sz="0" w:space="0" w:color="auto"/>
            <w:bottom w:val="none" w:sz="0" w:space="0" w:color="auto"/>
            <w:right w:val="none" w:sz="0" w:space="0" w:color="auto"/>
          </w:divBdr>
        </w:div>
        <w:div w:id="360320245">
          <w:marLeft w:val="0"/>
          <w:marRight w:val="0"/>
          <w:marTop w:val="0"/>
          <w:marBottom w:val="0"/>
          <w:divBdr>
            <w:top w:val="none" w:sz="0" w:space="0" w:color="auto"/>
            <w:left w:val="none" w:sz="0" w:space="0" w:color="auto"/>
            <w:bottom w:val="none" w:sz="0" w:space="0" w:color="auto"/>
            <w:right w:val="none" w:sz="0" w:space="0" w:color="auto"/>
          </w:divBdr>
        </w:div>
        <w:div w:id="367418310">
          <w:marLeft w:val="0"/>
          <w:marRight w:val="0"/>
          <w:marTop w:val="0"/>
          <w:marBottom w:val="0"/>
          <w:divBdr>
            <w:top w:val="none" w:sz="0" w:space="0" w:color="auto"/>
            <w:left w:val="none" w:sz="0" w:space="0" w:color="auto"/>
            <w:bottom w:val="none" w:sz="0" w:space="0" w:color="auto"/>
            <w:right w:val="none" w:sz="0" w:space="0" w:color="auto"/>
          </w:divBdr>
        </w:div>
        <w:div w:id="369309419">
          <w:marLeft w:val="0"/>
          <w:marRight w:val="0"/>
          <w:marTop w:val="0"/>
          <w:marBottom w:val="0"/>
          <w:divBdr>
            <w:top w:val="none" w:sz="0" w:space="0" w:color="auto"/>
            <w:left w:val="none" w:sz="0" w:space="0" w:color="auto"/>
            <w:bottom w:val="none" w:sz="0" w:space="0" w:color="auto"/>
            <w:right w:val="none" w:sz="0" w:space="0" w:color="auto"/>
          </w:divBdr>
        </w:div>
        <w:div w:id="384837690">
          <w:marLeft w:val="0"/>
          <w:marRight w:val="0"/>
          <w:marTop w:val="0"/>
          <w:marBottom w:val="0"/>
          <w:divBdr>
            <w:top w:val="none" w:sz="0" w:space="0" w:color="auto"/>
            <w:left w:val="none" w:sz="0" w:space="0" w:color="auto"/>
            <w:bottom w:val="none" w:sz="0" w:space="0" w:color="auto"/>
            <w:right w:val="none" w:sz="0" w:space="0" w:color="auto"/>
          </w:divBdr>
        </w:div>
        <w:div w:id="385688128">
          <w:marLeft w:val="0"/>
          <w:marRight w:val="0"/>
          <w:marTop w:val="0"/>
          <w:marBottom w:val="0"/>
          <w:divBdr>
            <w:top w:val="none" w:sz="0" w:space="0" w:color="auto"/>
            <w:left w:val="none" w:sz="0" w:space="0" w:color="auto"/>
            <w:bottom w:val="none" w:sz="0" w:space="0" w:color="auto"/>
            <w:right w:val="none" w:sz="0" w:space="0" w:color="auto"/>
          </w:divBdr>
        </w:div>
        <w:div w:id="391268548">
          <w:marLeft w:val="0"/>
          <w:marRight w:val="0"/>
          <w:marTop w:val="0"/>
          <w:marBottom w:val="0"/>
          <w:divBdr>
            <w:top w:val="none" w:sz="0" w:space="0" w:color="auto"/>
            <w:left w:val="none" w:sz="0" w:space="0" w:color="auto"/>
            <w:bottom w:val="none" w:sz="0" w:space="0" w:color="auto"/>
            <w:right w:val="none" w:sz="0" w:space="0" w:color="auto"/>
          </w:divBdr>
        </w:div>
        <w:div w:id="394665699">
          <w:marLeft w:val="0"/>
          <w:marRight w:val="0"/>
          <w:marTop w:val="0"/>
          <w:marBottom w:val="0"/>
          <w:divBdr>
            <w:top w:val="none" w:sz="0" w:space="0" w:color="auto"/>
            <w:left w:val="none" w:sz="0" w:space="0" w:color="auto"/>
            <w:bottom w:val="none" w:sz="0" w:space="0" w:color="auto"/>
            <w:right w:val="none" w:sz="0" w:space="0" w:color="auto"/>
          </w:divBdr>
          <w:divsChild>
            <w:div w:id="84502205">
              <w:marLeft w:val="0"/>
              <w:marRight w:val="0"/>
              <w:marTop w:val="0"/>
              <w:marBottom w:val="0"/>
              <w:divBdr>
                <w:top w:val="none" w:sz="0" w:space="0" w:color="auto"/>
                <w:left w:val="none" w:sz="0" w:space="0" w:color="auto"/>
                <w:bottom w:val="none" w:sz="0" w:space="0" w:color="auto"/>
                <w:right w:val="none" w:sz="0" w:space="0" w:color="auto"/>
              </w:divBdr>
            </w:div>
            <w:div w:id="157187983">
              <w:marLeft w:val="0"/>
              <w:marRight w:val="0"/>
              <w:marTop w:val="0"/>
              <w:marBottom w:val="0"/>
              <w:divBdr>
                <w:top w:val="none" w:sz="0" w:space="0" w:color="auto"/>
                <w:left w:val="none" w:sz="0" w:space="0" w:color="auto"/>
                <w:bottom w:val="none" w:sz="0" w:space="0" w:color="auto"/>
                <w:right w:val="none" w:sz="0" w:space="0" w:color="auto"/>
              </w:divBdr>
            </w:div>
            <w:div w:id="179272674">
              <w:marLeft w:val="0"/>
              <w:marRight w:val="0"/>
              <w:marTop w:val="0"/>
              <w:marBottom w:val="0"/>
              <w:divBdr>
                <w:top w:val="none" w:sz="0" w:space="0" w:color="auto"/>
                <w:left w:val="none" w:sz="0" w:space="0" w:color="auto"/>
                <w:bottom w:val="none" w:sz="0" w:space="0" w:color="auto"/>
                <w:right w:val="none" w:sz="0" w:space="0" w:color="auto"/>
              </w:divBdr>
            </w:div>
            <w:div w:id="268390551">
              <w:marLeft w:val="0"/>
              <w:marRight w:val="0"/>
              <w:marTop w:val="0"/>
              <w:marBottom w:val="0"/>
              <w:divBdr>
                <w:top w:val="none" w:sz="0" w:space="0" w:color="auto"/>
                <w:left w:val="none" w:sz="0" w:space="0" w:color="auto"/>
                <w:bottom w:val="none" w:sz="0" w:space="0" w:color="auto"/>
                <w:right w:val="none" w:sz="0" w:space="0" w:color="auto"/>
              </w:divBdr>
            </w:div>
            <w:div w:id="513109027">
              <w:marLeft w:val="0"/>
              <w:marRight w:val="0"/>
              <w:marTop w:val="0"/>
              <w:marBottom w:val="0"/>
              <w:divBdr>
                <w:top w:val="none" w:sz="0" w:space="0" w:color="auto"/>
                <w:left w:val="none" w:sz="0" w:space="0" w:color="auto"/>
                <w:bottom w:val="none" w:sz="0" w:space="0" w:color="auto"/>
                <w:right w:val="none" w:sz="0" w:space="0" w:color="auto"/>
              </w:divBdr>
            </w:div>
            <w:div w:id="736706366">
              <w:marLeft w:val="0"/>
              <w:marRight w:val="0"/>
              <w:marTop w:val="0"/>
              <w:marBottom w:val="0"/>
              <w:divBdr>
                <w:top w:val="none" w:sz="0" w:space="0" w:color="auto"/>
                <w:left w:val="none" w:sz="0" w:space="0" w:color="auto"/>
                <w:bottom w:val="none" w:sz="0" w:space="0" w:color="auto"/>
                <w:right w:val="none" w:sz="0" w:space="0" w:color="auto"/>
              </w:divBdr>
            </w:div>
            <w:div w:id="785930904">
              <w:marLeft w:val="0"/>
              <w:marRight w:val="0"/>
              <w:marTop w:val="0"/>
              <w:marBottom w:val="0"/>
              <w:divBdr>
                <w:top w:val="none" w:sz="0" w:space="0" w:color="auto"/>
                <w:left w:val="none" w:sz="0" w:space="0" w:color="auto"/>
                <w:bottom w:val="none" w:sz="0" w:space="0" w:color="auto"/>
                <w:right w:val="none" w:sz="0" w:space="0" w:color="auto"/>
              </w:divBdr>
            </w:div>
            <w:div w:id="798954008">
              <w:marLeft w:val="0"/>
              <w:marRight w:val="0"/>
              <w:marTop w:val="0"/>
              <w:marBottom w:val="0"/>
              <w:divBdr>
                <w:top w:val="none" w:sz="0" w:space="0" w:color="auto"/>
                <w:left w:val="none" w:sz="0" w:space="0" w:color="auto"/>
                <w:bottom w:val="none" w:sz="0" w:space="0" w:color="auto"/>
                <w:right w:val="none" w:sz="0" w:space="0" w:color="auto"/>
              </w:divBdr>
            </w:div>
            <w:div w:id="825585790">
              <w:marLeft w:val="0"/>
              <w:marRight w:val="0"/>
              <w:marTop w:val="0"/>
              <w:marBottom w:val="0"/>
              <w:divBdr>
                <w:top w:val="none" w:sz="0" w:space="0" w:color="auto"/>
                <w:left w:val="none" w:sz="0" w:space="0" w:color="auto"/>
                <w:bottom w:val="none" w:sz="0" w:space="0" w:color="auto"/>
                <w:right w:val="none" w:sz="0" w:space="0" w:color="auto"/>
              </w:divBdr>
            </w:div>
            <w:div w:id="843544625">
              <w:marLeft w:val="0"/>
              <w:marRight w:val="0"/>
              <w:marTop w:val="0"/>
              <w:marBottom w:val="0"/>
              <w:divBdr>
                <w:top w:val="none" w:sz="0" w:space="0" w:color="auto"/>
                <w:left w:val="none" w:sz="0" w:space="0" w:color="auto"/>
                <w:bottom w:val="none" w:sz="0" w:space="0" w:color="auto"/>
                <w:right w:val="none" w:sz="0" w:space="0" w:color="auto"/>
              </w:divBdr>
            </w:div>
            <w:div w:id="1097944785">
              <w:marLeft w:val="0"/>
              <w:marRight w:val="0"/>
              <w:marTop w:val="0"/>
              <w:marBottom w:val="0"/>
              <w:divBdr>
                <w:top w:val="none" w:sz="0" w:space="0" w:color="auto"/>
                <w:left w:val="none" w:sz="0" w:space="0" w:color="auto"/>
                <w:bottom w:val="none" w:sz="0" w:space="0" w:color="auto"/>
                <w:right w:val="none" w:sz="0" w:space="0" w:color="auto"/>
              </w:divBdr>
            </w:div>
            <w:div w:id="1177692839">
              <w:marLeft w:val="0"/>
              <w:marRight w:val="0"/>
              <w:marTop w:val="0"/>
              <w:marBottom w:val="0"/>
              <w:divBdr>
                <w:top w:val="none" w:sz="0" w:space="0" w:color="auto"/>
                <w:left w:val="none" w:sz="0" w:space="0" w:color="auto"/>
                <w:bottom w:val="none" w:sz="0" w:space="0" w:color="auto"/>
                <w:right w:val="none" w:sz="0" w:space="0" w:color="auto"/>
              </w:divBdr>
            </w:div>
            <w:div w:id="1185754284">
              <w:marLeft w:val="0"/>
              <w:marRight w:val="0"/>
              <w:marTop w:val="0"/>
              <w:marBottom w:val="0"/>
              <w:divBdr>
                <w:top w:val="none" w:sz="0" w:space="0" w:color="auto"/>
                <w:left w:val="none" w:sz="0" w:space="0" w:color="auto"/>
                <w:bottom w:val="none" w:sz="0" w:space="0" w:color="auto"/>
                <w:right w:val="none" w:sz="0" w:space="0" w:color="auto"/>
              </w:divBdr>
            </w:div>
            <w:div w:id="1192762086">
              <w:marLeft w:val="0"/>
              <w:marRight w:val="0"/>
              <w:marTop w:val="0"/>
              <w:marBottom w:val="0"/>
              <w:divBdr>
                <w:top w:val="none" w:sz="0" w:space="0" w:color="auto"/>
                <w:left w:val="none" w:sz="0" w:space="0" w:color="auto"/>
                <w:bottom w:val="none" w:sz="0" w:space="0" w:color="auto"/>
                <w:right w:val="none" w:sz="0" w:space="0" w:color="auto"/>
              </w:divBdr>
            </w:div>
            <w:div w:id="1216694881">
              <w:marLeft w:val="0"/>
              <w:marRight w:val="0"/>
              <w:marTop w:val="0"/>
              <w:marBottom w:val="0"/>
              <w:divBdr>
                <w:top w:val="none" w:sz="0" w:space="0" w:color="auto"/>
                <w:left w:val="none" w:sz="0" w:space="0" w:color="auto"/>
                <w:bottom w:val="none" w:sz="0" w:space="0" w:color="auto"/>
                <w:right w:val="none" w:sz="0" w:space="0" w:color="auto"/>
              </w:divBdr>
            </w:div>
            <w:div w:id="1312246511">
              <w:marLeft w:val="0"/>
              <w:marRight w:val="0"/>
              <w:marTop w:val="0"/>
              <w:marBottom w:val="0"/>
              <w:divBdr>
                <w:top w:val="none" w:sz="0" w:space="0" w:color="auto"/>
                <w:left w:val="none" w:sz="0" w:space="0" w:color="auto"/>
                <w:bottom w:val="none" w:sz="0" w:space="0" w:color="auto"/>
                <w:right w:val="none" w:sz="0" w:space="0" w:color="auto"/>
              </w:divBdr>
            </w:div>
            <w:div w:id="1343363514">
              <w:marLeft w:val="0"/>
              <w:marRight w:val="0"/>
              <w:marTop w:val="0"/>
              <w:marBottom w:val="0"/>
              <w:divBdr>
                <w:top w:val="none" w:sz="0" w:space="0" w:color="auto"/>
                <w:left w:val="none" w:sz="0" w:space="0" w:color="auto"/>
                <w:bottom w:val="none" w:sz="0" w:space="0" w:color="auto"/>
                <w:right w:val="none" w:sz="0" w:space="0" w:color="auto"/>
              </w:divBdr>
            </w:div>
            <w:div w:id="1480076576">
              <w:marLeft w:val="0"/>
              <w:marRight w:val="0"/>
              <w:marTop w:val="0"/>
              <w:marBottom w:val="0"/>
              <w:divBdr>
                <w:top w:val="none" w:sz="0" w:space="0" w:color="auto"/>
                <w:left w:val="none" w:sz="0" w:space="0" w:color="auto"/>
                <w:bottom w:val="none" w:sz="0" w:space="0" w:color="auto"/>
                <w:right w:val="none" w:sz="0" w:space="0" w:color="auto"/>
              </w:divBdr>
            </w:div>
            <w:div w:id="1523058235">
              <w:marLeft w:val="0"/>
              <w:marRight w:val="0"/>
              <w:marTop w:val="0"/>
              <w:marBottom w:val="0"/>
              <w:divBdr>
                <w:top w:val="none" w:sz="0" w:space="0" w:color="auto"/>
                <w:left w:val="none" w:sz="0" w:space="0" w:color="auto"/>
                <w:bottom w:val="none" w:sz="0" w:space="0" w:color="auto"/>
                <w:right w:val="none" w:sz="0" w:space="0" w:color="auto"/>
              </w:divBdr>
            </w:div>
            <w:div w:id="1757049242">
              <w:marLeft w:val="0"/>
              <w:marRight w:val="0"/>
              <w:marTop w:val="0"/>
              <w:marBottom w:val="0"/>
              <w:divBdr>
                <w:top w:val="none" w:sz="0" w:space="0" w:color="auto"/>
                <w:left w:val="none" w:sz="0" w:space="0" w:color="auto"/>
                <w:bottom w:val="none" w:sz="0" w:space="0" w:color="auto"/>
                <w:right w:val="none" w:sz="0" w:space="0" w:color="auto"/>
              </w:divBdr>
            </w:div>
          </w:divsChild>
        </w:div>
        <w:div w:id="413010660">
          <w:marLeft w:val="0"/>
          <w:marRight w:val="0"/>
          <w:marTop w:val="0"/>
          <w:marBottom w:val="0"/>
          <w:divBdr>
            <w:top w:val="none" w:sz="0" w:space="0" w:color="auto"/>
            <w:left w:val="none" w:sz="0" w:space="0" w:color="auto"/>
            <w:bottom w:val="none" w:sz="0" w:space="0" w:color="auto"/>
            <w:right w:val="none" w:sz="0" w:space="0" w:color="auto"/>
          </w:divBdr>
        </w:div>
        <w:div w:id="415051891">
          <w:marLeft w:val="0"/>
          <w:marRight w:val="0"/>
          <w:marTop w:val="0"/>
          <w:marBottom w:val="0"/>
          <w:divBdr>
            <w:top w:val="none" w:sz="0" w:space="0" w:color="auto"/>
            <w:left w:val="none" w:sz="0" w:space="0" w:color="auto"/>
            <w:bottom w:val="none" w:sz="0" w:space="0" w:color="auto"/>
            <w:right w:val="none" w:sz="0" w:space="0" w:color="auto"/>
          </w:divBdr>
        </w:div>
        <w:div w:id="423691028">
          <w:marLeft w:val="0"/>
          <w:marRight w:val="0"/>
          <w:marTop w:val="0"/>
          <w:marBottom w:val="0"/>
          <w:divBdr>
            <w:top w:val="none" w:sz="0" w:space="0" w:color="auto"/>
            <w:left w:val="none" w:sz="0" w:space="0" w:color="auto"/>
            <w:bottom w:val="none" w:sz="0" w:space="0" w:color="auto"/>
            <w:right w:val="none" w:sz="0" w:space="0" w:color="auto"/>
          </w:divBdr>
        </w:div>
        <w:div w:id="431557727">
          <w:marLeft w:val="0"/>
          <w:marRight w:val="0"/>
          <w:marTop w:val="0"/>
          <w:marBottom w:val="0"/>
          <w:divBdr>
            <w:top w:val="none" w:sz="0" w:space="0" w:color="auto"/>
            <w:left w:val="none" w:sz="0" w:space="0" w:color="auto"/>
            <w:bottom w:val="none" w:sz="0" w:space="0" w:color="auto"/>
            <w:right w:val="none" w:sz="0" w:space="0" w:color="auto"/>
          </w:divBdr>
        </w:div>
        <w:div w:id="452095112">
          <w:marLeft w:val="0"/>
          <w:marRight w:val="0"/>
          <w:marTop w:val="0"/>
          <w:marBottom w:val="0"/>
          <w:divBdr>
            <w:top w:val="none" w:sz="0" w:space="0" w:color="auto"/>
            <w:left w:val="none" w:sz="0" w:space="0" w:color="auto"/>
            <w:bottom w:val="none" w:sz="0" w:space="0" w:color="auto"/>
            <w:right w:val="none" w:sz="0" w:space="0" w:color="auto"/>
          </w:divBdr>
        </w:div>
        <w:div w:id="457842505">
          <w:marLeft w:val="0"/>
          <w:marRight w:val="0"/>
          <w:marTop w:val="0"/>
          <w:marBottom w:val="0"/>
          <w:divBdr>
            <w:top w:val="none" w:sz="0" w:space="0" w:color="auto"/>
            <w:left w:val="none" w:sz="0" w:space="0" w:color="auto"/>
            <w:bottom w:val="none" w:sz="0" w:space="0" w:color="auto"/>
            <w:right w:val="none" w:sz="0" w:space="0" w:color="auto"/>
          </w:divBdr>
        </w:div>
        <w:div w:id="471138874">
          <w:marLeft w:val="0"/>
          <w:marRight w:val="0"/>
          <w:marTop w:val="0"/>
          <w:marBottom w:val="0"/>
          <w:divBdr>
            <w:top w:val="none" w:sz="0" w:space="0" w:color="auto"/>
            <w:left w:val="none" w:sz="0" w:space="0" w:color="auto"/>
            <w:bottom w:val="none" w:sz="0" w:space="0" w:color="auto"/>
            <w:right w:val="none" w:sz="0" w:space="0" w:color="auto"/>
          </w:divBdr>
        </w:div>
        <w:div w:id="480733173">
          <w:marLeft w:val="0"/>
          <w:marRight w:val="0"/>
          <w:marTop w:val="0"/>
          <w:marBottom w:val="0"/>
          <w:divBdr>
            <w:top w:val="none" w:sz="0" w:space="0" w:color="auto"/>
            <w:left w:val="none" w:sz="0" w:space="0" w:color="auto"/>
            <w:bottom w:val="none" w:sz="0" w:space="0" w:color="auto"/>
            <w:right w:val="none" w:sz="0" w:space="0" w:color="auto"/>
          </w:divBdr>
        </w:div>
        <w:div w:id="486482495">
          <w:marLeft w:val="0"/>
          <w:marRight w:val="0"/>
          <w:marTop w:val="0"/>
          <w:marBottom w:val="0"/>
          <w:divBdr>
            <w:top w:val="none" w:sz="0" w:space="0" w:color="auto"/>
            <w:left w:val="none" w:sz="0" w:space="0" w:color="auto"/>
            <w:bottom w:val="none" w:sz="0" w:space="0" w:color="auto"/>
            <w:right w:val="none" w:sz="0" w:space="0" w:color="auto"/>
          </w:divBdr>
        </w:div>
        <w:div w:id="493841048">
          <w:marLeft w:val="0"/>
          <w:marRight w:val="0"/>
          <w:marTop w:val="0"/>
          <w:marBottom w:val="0"/>
          <w:divBdr>
            <w:top w:val="none" w:sz="0" w:space="0" w:color="auto"/>
            <w:left w:val="none" w:sz="0" w:space="0" w:color="auto"/>
            <w:bottom w:val="none" w:sz="0" w:space="0" w:color="auto"/>
            <w:right w:val="none" w:sz="0" w:space="0" w:color="auto"/>
          </w:divBdr>
          <w:divsChild>
            <w:div w:id="169226026">
              <w:marLeft w:val="0"/>
              <w:marRight w:val="0"/>
              <w:marTop w:val="0"/>
              <w:marBottom w:val="0"/>
              <w:divBdr>
                <w:top w:val="none" w:sz="0" w:space="0" w:color="auto"/>
                <w:left w:val="none" w:sz="0" w:space="0" w:color="auto"/>
                <w:bottom w:val="none" w:sz="0" w:space="0" w:color="auto"/>
                <w:right w:val="none" w:sz="0" w:space="0" w:color="auto"/>
              </w:divBdr>
            </w:div>
            <w:div w:id="275672503">
              <w:marLeft w:val="0"/>
              <w:marRight w:val="0"/>
              <w:marTop w:val="0"/>
              <w:marBottom w:val="0"/>
              <w:divBdr>
                <w:top w:val="none" w:sz="0" w:space="0" w:color="auto"/>
                <w:left w:val="none" w:sz="0" w:space="0" w:color="auto"/>
                <w:bottom w:val="none" w:sz="0" w:space="0" w:color="auto"/>
                <w:right w:val="none" w:sz="0" w:space="0" w:color="auto"/>
              </w:divBdr>
            </w:div>
            <w:div w:id="370573145">
              <w:marLeft w:val="0"/>
              <w:marRight w:val="0"/>
              <w:marTop w:val="0"/>
              <w:marBottom w:val="0"/>
              <w:divBdr>
                <w:top w:val="none" w:sz="0" w:space="0" w:color="auto"/>
                <w:left w:val="none" w:sz="0" w:space="0" w:color="auto"/>
                <w:bottom w:val="none" w:sz="0" w:space="0" w:color="auto"/>
                <w:right w:val="none" w:sz="0" w:space="0" w:color="auto"/>
              </w:divBdr>
            </w:div>
            <w:div w:id="900823441">
              <w:marLeft w:val="0"/>
              <w:marRight w:val="0"/>
              <w:marTop w:val="0"/>
              <w:marBottom w:val="0"/>
              <w:divBdr>
                <w:top w:val="none" w:sz="0" w:space="0" w:color="auto"/>
                <w:left w:val="none" w:sz="0" w:space="0" w:color="auto"/>
                <w:bottom w:val="none" w:sz="0" w:space="0" w:color="auto"/>
                <w:right w:val="none" w:sz="0" w:space="0" w:color="auto"/>
              </w:divBdr>
            </w:div>
            <w:div w:id="942300175">
              <w:marLeft w:val="0"/>
              <w:marRight w:val="0"/>
              <w:marTop w:val="0"/>
              <w:marBottom w:val="0"/>
              <w:divBdr>
                <w:top w:val="none" w:sz="0" w:space="0" w:color="auto"/>
                <w:left w:val="none" w:sz="0" w:space="0" w:color="auto"/>
                <w:bottom w:val="none" w:sz="0" w:space="0" w:color="auto"/>
                <w:right w:val="none" w:sz="0" w:space="0" w:color="auto"/>
              </w:divBdr>
            </w:div>
            <w:div w:id="1123304958">
              <w:marLeft w:val="0"/>
              <w:marRight w:val="0"/>
              <w:marTop w:val="0"/>
              <w:marBottom w:val="0"/>
              <w:divBdr>
                <w:top w:val="none" w:sz="0" w:space="0" w:color="auto"/>
                <w:left w:val="none" w:sz="0" w:space="0" w:color="auto"/>
                <w:bottom w:val="none" w:sz="0" w:space="0" w:color="auto"/>
                <w:right w:val="none" w:sz="0" w:space="0" w:color="auto"/>
              </w:divBdr>
            </w:div>
            <w:div w:id="1165436309">
              <w:marLeft w:val="0"/>
              <w:marRight w:val="0"/>
              <w:marTop w:val="0"/>
              <w:marBottom w:val="0"/>
              <w:divBdr>
                <w:top w:val="none" w:sz="0" w:space="0" w:color="auto"/>
                <w:left w:val="none" w:sz="0" w:space="0" w:color="auto"/>
                <w:bottom w:val="none" w:sz="0" w:space="0" w:color="auto"/>
                <w:right w:val="none" w:sz="0" w:space="0" w:color="auto"/>
              </w:divBdr>
            </w:div>
            <w:div w:id="1272469766">
              <w:marLeft w:val="0"/>
              <w:marRight w:val="0"/>
              <w:marTop w:val="0"/>
              <w:marBottom w:val="0"/>
              <w:divBdr>
                <w:top w:val="none" w:sz="0" w:space="0" w:color="auto"/>
                <w:left w:val="none" w:sz="0" w:space="0" w:color="auto"/>
                <w:bottom w:val="none" w:sz="0" w:space="0" w:color="auto"/>
                <w:right w:val="none" w:sz="0" w:space="0" w:color="auto"/>
              </w:divBdr>
            </w:div>
            <w:div w:id="1387678848">
              <w:marLeft w:val="0"/>
              <w:marRight w:val="0"/>
              <w:marTop w:val="0"/>
              <w:marBottom w:val="0"/>
              <w:divBdr>
                <w:top w:val="none" w:sz="0" w:space="0" w:color="auto"/>
                <w:left w:val="none" w:sz="0" w:space="0" w:color="auto"/>
                <w:bottom w:val="none" w:sz="0" w:space="0" w:color="auto"/>
                <w:right w:val="none" w:sz="0" w:space="0" w:color="auto"/>
              </w:divBdr>
            </w:div>
            <w:div w:id="1469202522">
              <w:marLeft w:val="0"/>
              <w:marRight w:val="0"/>
              <w:marTop w:val="0"/>
              <w:marBottom w:val="0"/>
              <w:divBdr>
                <w:top w:val="none" w:sz="0" w:space="0" w:color="auto"/>
                <w:left w:val="none" w:sz="0" w:space="0" w:color="auto"/>
                <w:bottom w:val="none" w:sz="0" w:space="0" w:color="auto"/>
                <w:right w:val="none" w:sz="0" w:space="0" w:color="auto"/>
              </w:divBdr>
            </w:div>
            <w:div w:id="1488739621">
              <w:marLeft w:val="0"/>
              <w:marRight w:val="0"/>
              <w:marTop w:val="0"/>
              <w:marBottom w:val="0"/>
              <w:divBdr>
                <w:top w:val="none" w:sz="0" w:space="0" w:color="auto"/>
                <w:left w:val="none" w:sz="0" w:space="0" w:color="auto"/>
                <w:bottom w:val="none" w:sz="0" w:space="0" w:color="auto"/>
                <w:right w:val="none" w:sz="0" w:space="0" w:color="auto"/>
              </w:divBdr>
            </w:div>
            <w:div w:id="1596132359">
              <w:marLeft w:val="0"/>
              <w:marRight w:val="0"/>
              <w:marTop w:val="0"/>
              <w:marBottom w:val="0"/>
              <w:divBdr>
                <w:top w:val="none" w:sz="0" w:space="0" w:color="auto"/>
                <w:left w:val="none" w:sz="0" w:space="0" w:color="auto"/>
                <w:bottom w:val="none" w:sz="0" w:space="0" w:color="auto"/>
                <w:right w:val="none" w:sz="0" w:space="0" w:color="auto"/>
              </w:divBdr>
            </w:div>
            <w:div w:id="1616980999">
              <w:marLeft w:val="0"/>
              <w:marRight w:val="0"/>
              <w:marTop w:val="0"/>
              <w:marBottom w:val="0"/>
              <w:divBdr>
                <w:top w:val="none" w:sz="0" w:space="0" w:color="auto"/>
                <w:left w:val="none" w:sz="0" w:space="0" w:color="auto"/>
                <w:bottom w:val="none" w:sz="0" w:space="0" w:color="auto"/>
                <w:right w:val="none" w:sz="0" w:space="0" w:color="auto"/>
              </w:divBdr>
            </w:div>
            <w:div w:id="1668941097">
              <w:marLeft w:val="0"/>
              <w:marRight w:val="0"/>
              <w:marTop w:val="0"/>
              <w:marBottom w:val="0"/>
              <w:divBdr>
                <w:top w:val="none" w:sz="0" w:space="0" w:color="auto"/>
                <w:left w:val="none" w:sz="0" w:space="0" w:color="auto"/>
                <w:bottom w:val="none" w:sz="0" w:space="0" w:color="auto"/>
                <w:right w:val="none" w:sz="0" w:space="0" w:color="auto"/>
              </w:divBdr>
            </w:div>
            <w:div w:id="1707751686">
              <w:marLeft w:val="0"/>
              <w:marRight w:val="0"/>
              <w:marTop w:val="0"/>
              <w:marBottom w:val="0"/>
              <w:divBdr>
                <w:top w:val="none" w:sz="0" w:space="0" w:color="auto"/>
                <w:left w:val="none" w:sz="0" w:space="0" w:color="auto"/>
                <w:bottom w:val="none" w:sz="0" w:space="0" w:color="auto"/>
                <w:right w:val="none" w:sz="0" w:space="0" w:color="auto"/>
              </w:divBdr>
            </w:div>
            <w:div w:id="1710564463">
              <w:marLeft w:val="0"/>
              <w:marRight w:val="0"/>
              <w:marTop w:val="0"/>
              <w:marBottom w:val="0"/>
              <w:divBdr>
                <w:top w:val="none" w:sz="0" w:space="0" w:color="auto"/>
                <w:left w:val="none" w:sz="0" w:space="0" w:color="auto"/>
                <w:bottom w:val="none" w:sz="0" w:space="0" w:color="auto"/>
                <w:right w:val="none" w:sz="0" w:space="0" w:color="auto"/>
              </w:divBdr>
            </w:div>
            <w:div w:id="1778790873">
              <w:marLeft w:val="0"/>
              <w:marRight w:val="0"/>
              <w:marTop w:val="0"/>
              <w:marBottom w:val="0"/>
              <w:divBdr>
                <w:top w:val="none" w:sz="0" w:space="0" w:color="auto"/>
                <w:left w:val="none" w:sz="0" w:space="0" w:color="auto"/>
                <w:bottom w:val="none" w:sz="0" w:space="0" w:color="auto"/>
                <w:right w:val="none" w:sz="0" w:space="0" w:color="auto"/>
              </w:divBdr>
            </w:div>
            <w:div w:id="1794057625">
              <w:marLeft w:val="0"/>
              <w:marRight w:val="0"/>
              <w:marTop w:val="0"/>
              <w:marBottom w:val="0"/>
              <w:divBdr>
                <w:top w:val="none" w:sz="0" w:space="0" w:color="auto"/>
                <w:left w:val="none" w:sz="0" w:space="0" w:color="auto"/>
                <w:bottom w:val="none" w:sz="0" w:space="0" w:color="auto"/>
                <w:right w:val="none" w:sz="0" w:space="0" w:color="auto"/>
              </w:divBdr>
            </w:div>
            <w:div w:id="1841004261">
              <w:marLeft w:val="0"/>
              <w:marRight w:val="0"/>
              <w:marTop w:val="0"/>
              <w:marBottom w:val="0"/>
              <w:divBdr>
                <w:top w:val="none" w:sz="0" w:space="0" w:color="auto"/>
                <w:left w:val="none" w:sz="0" w:space="0" w:color="auto"/>
                <w:bottom w:val="none" w:sz="0" w:space="0" w:color="auto"/>
                <w:right w:val="none" w:sz="0" w:space="0" w:color="auto"/>
              </w:divBdr>
            </w:div>
            <w:div w:id="1851673291">
              <w:marLeft w:val="0"/>
              <w:marRight w:val="0"/>
              <w:marTop w:val="0"/>
              <w:marBottom w:val="0"/>
              <w:divBdr>
                <w:top w:val="none" w:sz="0" w:space="0" w:color="auto"/>
                <w:left w:val="none" w:sz="0" w:space="0" w:color="auto"/>
                <w:bottom w:val="none" w:sz="0" w:space="0" w:color="auto"/>
                <w:right w:val="none" w:sz="0" w:space="0" w:color="auto"/>
              </w:divBdr>
            </w:div>
          </w:divsChild>
        </w:div>
        <w:div w:id="494688851">
          <w:marLeft w:val="0"/>
          <w:marRight w:val="0"/>
          <w:marTop w:val="0"/>
          <w:marBottom w:val="0"/>
          <w:divBdr>
            <w:top w:val="none" w:sz="0" w:space="0" w:color="auto"/>
            <w:left w:val="none" w:sz="0" w:space="0" w:color="auto"/>
            <w:bottom w:val="none" w:sz="0" w:space="0" w:color="auto"/>
            <w:right w:val="none" w:sz="0" w:space="0" w:color="auto"/>
          </w:divBdr>
        </w:div>
        <w:div w:id="494732579">
          <w:marLeft w:val="0"/>
          <w:marRight w:val="0"/>
          <w:marTop w:val="0"/>
          <w:marBottom w:val="0"/>
          <w:divBdr>
            <w:top w:val="none" w:sz="0" w:space="0" w:color="auto"/>
            <w:left w:val="none" w:sz="0" w:space="0" w:color="auto"/>
            <w:bottom w:val="none" w:sz="0" w:space="0" w:color="auto"/>
            <w:right w:val="none" w:sz="0" w:space="0" w:color="auto"/>
          </w:divBdr>
        </w:div>
        <w:div w:id="510264991">
          <w:marLeft w:val="0"/>
          <w:marRight w:val="0"/>
          <w:marTop w:val="0"/>
          <w:marBottom w:val="0"/>
          <w:divBdr>
            <w:top w:val="none" w:sz="0" w:space="0" w:color="auto"/>
            <w:left w:val="none" w:sz="0" w:space="0" w:color="auto"/>
            <w:bottom w:val="none" w:sz="0" w:space="0" w:color="auto"/>
            <w:right w:val="none" w:sz="0" w:space="0" w:color="auto"/>
          </w:divBdr>
        </w:div>
        <w:div w:id="523134212">
          <w:marLeft w:val="0"/>
          <w:marRight w:val="0"/>
          <w:marTop w:val="0"/>
          <w:marBottom w:val="0"/>
          <w:divBdr>
            <w:top w:val="none" w:sz="0" w:space="0" w:color="auto"/>
            <w:left w:val="none" w:sz="0" w:space="0" w:color="auto"/>
            <w:bottom w:val="none" w:sz="0" w:space="0" w:color="auto"/>
            <w:right w:val="none" w:sz="0" w:space="0" w:color="auto"/>
          </w:divBdr>
        </w:div>
        <w:div w:id="538128397">
          <w:marLeft w:val="0"/>
          <w:marRight w:val="0"/>
          <w:marTop w:val="0"/>
          <w:marBottom w:val="0"/>
          <w:divBdr>
            <w:top w:val="none" w:sz="0" w:space="0" w:color="auto"/>
            <w:left w:val="none" w:sz="0" w:space="0" w:color="auto"/>
            <w:bottom w:val="none" w:sz="0" w:space="0" w:color="auto"/>
            <w:right w:val="none" w:sz="0" w:space="0" w:color="auto"/>
          </w:divBdr>
        </w:div>
        <w:div w:id="541405244">
          <w:marLeft w:val="0"/>
          <w:marRight w:val="0"/>
          <w:marTop w:val="0"/>
          <w:marBottom w:val="0"/>
          <w:divBdr>
            <w:top w:val="none" w:sz="0" w:space="0" w:color="auto"/>
            <w:left w:val="none" w:sz="0" w:space="0" w:color="auto"/>
            <w:bottom w:val="none" w:sz="0" w:space="0" w:color="auto"/>
            <w:right w:val="none" w:sz="0" w:space="0" w:color="auto"/>
          </w:divBdr>
        </w:div>
        <w:div w:id="547179804">
          <w:marLeft w:val="0"/>
          <w:marRight w:val="0"/>
          <w:marTop w:val="0"/>
          <w:marBottom w:val="0"/>
          <w:divBdr>
            <w:top w:val="none" w:sz="0" w:space="0" w:color="auto"/>
            <w:left w:val="none" w:sz="0" w:space="0" w:color="auto"/>
            <w:bottom w:val="none" w:sz="0" w:space="0" w:color="auto"/>
            <w:right w:val="none" w:sz="0" w:space="0" w:color="auto"/>
          </w:divBdr>
        </w:div>
        <w:div w:id="563033449">
          <w:marLeft w:val="0"/>
          <w:marRight w:val="0"/>
          <w:marTop w:val="0"/>
          <w:marBottom w:val="0"/>
          <w:divBdr>
            <w:top w:val="none" w:sz="0" w:space="0" w:color="auto"/>
            <w:left w:val="none" w:sz="0" w:space="0" w:color="auto"/>
            <w:bottom w:val="none" w:sz="0" w:space="0" w:color="auto"/>
            <w:right w:val="none" w:sz="0" w:space="0" w:color="auto"/>
          </w:divBdr>
        </w:div>
        <w:div w:id="567569255">
          <w:marLeft w:val="0"/>
          <w:marRight w:val="0"/>
          <w:marTop w:val="0"/>
          <w:marBottom w:val="0"/>
          <w:divBdr>
            <w:top w:val="none" w:sz="0" w:space="0" w:color="auto"/>
            <w:left w:val="none" w:sz="0" w:space="0" w:color="auto"/>
            <w:bottom w:val="none" w:sz="0" w:space="0" w:color="auto"/>
            <w:right w:val="none" w:sz="0" w:space="0" w:color="auto"/>
          </w:divBdr>
        </w:div>
        <w:div w:id="571165340">
          <w:marLeft w:val="0"/>
          <w:marRight w:val="0"/>
          <w:marTop w:val="0"/>
          <w:marBottom w:val="0"/>
          <w:divBdr>
            <w:top w:val="none" w:sz="0" w:space="0" w:color="auto"/>
            <w:left w:val="none" w:sz="0" w:space="0" w:color="auto"/>
            <w:bottom w:val="none" w:sz="0" w:space="0" w:color="auto"/>
            <w:right w:val="none" w:sz="0" w:space="0" w:color="auto"/>
          </w:divBdr>
        </w:div>
        <w:div w:id="583495789">
          <w:marLeft w:val="0"/>
          <w:marRight w:val="0"/>
          <w:marTop w:val="0"/>
          <w:marBottom w:val="0"/>
          <w:divBdr>
            <w:top w:val="none" w:sz="0" w:space="0" w:color="auto"/>
            <w:left w:val="none" w:sz="0" w:space="0" w:color="auto"/>
            <w:bottom w:val="none" w:sz="0" w:space="0" w:color="auto"/>
            <w:right w:val="none" w:sz="0" w:space="0" w:color="auto"/>
          </w:divBdr>
        </w:div>
        <w:div w:id="583606717">
          <w:marLeft w:val="0"/>
          <w:marRight w:val="0"/>
          <w:marTop w:val="0"/>
          <w:marBottom w:val="0"/>
          <w:divBdr>
            <w:top w:val="none" w:sz="0" w:space="0" w:color="auto"/>
            <w:left w:val="none" w:sz="0" w:space="0" w:color="auto"/>
            <w:bottom w:val="none" w:sz="0" w:space="0" w:color="auto"/>
            <w:right w:val="none" w:sz="0" w:space="0" w:color="auto"/>
          </w:divBdr>
        </w:div>
        <w:div w:id="586689757">
          <w:marLeft w:val="0"/>
          <w:marRight w:val="0"/>
          <w:marTop w:val="0"/>
          <w:marBottom w:val="0"/>
          <w:divBdr>
            <w:top w:val="none" w:sz="0" w:space="0" w:color="auto"/>
            <w:left w:val="none" w:sz="0" w:space="0" w:color="auto"/>
            <w:bottom w:val="none" w:sz="0" w:space="0" w:color="auto"/>
            <w:right w:val="none" w:sz="0" w:space="0" w:color="auto"/>
          </w:divBdr>
        </w:div>
        <w:div w:id="597983111">
          <w:marLeft w:val="0"/>
          <w:marRight w:val="0"/>
          <w:marTop w:val="0"/>
          <w:marBottom w:val="0"/>
          <w:divBdr>
            <w:top w:val="none" w:sz="0" w:space="0" w:color="auto"/>
            <w:left w:val="none" w:sz="0" w:space="0" w:color="auto"/>
            <w:bottom w:val="none" w:sz="0" w:space="0" w:color="auto"/>
            <w:right w:val="none" w:sz="0" w:space="0" w:color="auto"/>
          </w:divBdr>
        </w:div>
        <w:div w:id="611940775">
          <w:marLeft w:val="0"/>
          <w:marRight w:val="0"/>
          <w:marTop w:val="0"/>
          <w:marBottom w:val="0"/>
          <w:divBdr>
            <w:top w:val="none" w:sz="0" w:space="0" w:color="auto"/>
            <w:left w:val="none" w:sz="0" w:space="0" w:color="auto"/>
            <w:bottom w:val="none" w:sz="0" w:space="0" w:color="auto"/>
            <w:right w:val="none" w:sz="0" w:space="0" w:color="auto"/>
          </w:divBdr>
        </w:div>
        <w:div w:id="623467927">
          <w:marLeft w:val="0"/>
          <w:marRight w:val="0"/>
          <w:marTop w:val="0"/>
          <w:marBottom w:val="0"/>
          <w:divBdr>
            <w:top w:val="none" w:sz="0" w:space="0" w:color="auto"/>
            <w:left w:val="none" w:sz="0" w:space="0" w:color="auto"/>
            <w:bottom w:val="none" w:sz="0" w:space="0" w:color="auto"/>
            <w:right w:val="none" w:sz="0" w:space="0" w:color="auto"/>
          </w:divBdr>
        </w:div>
        <w:div w:id="641930830">
          <w:marLeft w:val="0"/>
          <w:marRight w:val="0"/>
          <w:marTop w:val="0"/>
          <w:marBottom w:val="0"/>
          <w:divBdr>
            <w:top w:val="none" w:sz="0" w:space="0" w:color="auto"/>
            <w:left w:val="none" w:sz="0" w:space="0" w:color="auto"/>
            <w:bottom w:val="none" w:sz="0" w:space="0" w:color="auto"/>
            <w:right w:val="none" w:sz="0" w:space="0" w:color="auto"/>
          </w:divBdr>
        </w:div>
        <w:div w:id="656880145">
          <w:marLeft w:val="0"/>
          <w:marRight w:val="0"/>
          <w:marTop w:val="0"/>
          <w:marBottom w:val="0"/>
          <w:divBdr>
            <w:top w:val="none" w:sz="0" w:space="0" w:color="auto"/>
            <w:left w:val="none" w:sz="0" w:space="0" w:color="auto"/>
            <w:bottom w:val="none" w:sz="0" w:space="0" w:color="auto"/>
            <w:right w:val="none" w:sz="0" w:space="0" w:color="auto"/>
          </w:divBdr>
        </w:div>
        <w:div w:id="657654103">
          <w:marLeft w:val="0"/>
          <w:marRight w:val="0"/>
          <w:marTop w:val="0"/>
          <w:marBottom w:val="0"/>
          <w:divBdr>
            <w:top w:val="none" w:sz="0" w:space="0" w:color="auto"/>
            <w:left w:val="none" w:sz="0" w:space="0" w:color="auto"/>
            <w:bottom w:val="none" w:sz="0" w:space="0" w:color="auto"/>
            <w:right w:val="none" w:sz="0" w:space="0" w:color="auto"/>
          </w:divBdr>
        </w:div>
        <w:div w:id="694425488">
          <w:marLeft w:val="0"/>
          <w:marRight w:val="0"/>
          <w:marTop w:val="0"/>
          <w:marBottom w:val="0"/>
          <w:divBdr>
            <w:top w:val="none" w:sz="0" w:space="0" w:color="auto"/>
            <w:left w:val="none" w:sz="0" w:space="0" w:color="auto"/>
            <w:bottom w:val="none" w:sz="0" w:space="0" w:color="auto"/>
            <w:right w:val="none" w:sz="0" w:space="0" w:color="auto"/>
          </w:divBdr>
        </w:div>
        <w:div w:id="709913833">
          <w:marLeft w:val="0"/>
          <w:marRight w:val="0"/>
          <w:marTop w:val="0"/>
          <w:marBottom w:val="0"/>
          <w:divBdr>
            <w:top w:val="none" w:sz="0" w:space="0" w:color="auto"/>
            <w:left w:val="none" w:sz="0" w:space="0" w:color="auto"/>
            <w:bottom w:val="none" w:sz="0" w:space="0" w:color="auto"/>
            <w:right w:val="none" w:sz="0" w:space="0" w:color="auto"/>
          </w:divBdr>
          <w:divsChild>
            <w:div w:id="26415232">
              <w:marLeft w:val="0"/>
              <w:marRight w:val="0"/>
              <w:marTop w:val="0"/>
              <w:marBottom w:val="0"/>
              <w:divBdr>
                <w:top w:val="none" w:sz="0" w:space="0" w:color="auto"/>
                <w:left w:val="none" w:sz="0" w:space="0" w:color="auto"/>
                <w:bottom w:val="none" w:sz="0" w:space="0" w:color="auto"/>
                <w:right w:val="none" w:sz="0" w:space="0" w:color="auto"/>
              </w:divBdr>
            </w:div>
            <w:div w:id="74322586">
              <w:marLeft w:val="0"/>
              <w:marRight w:val="0"/>
              <w:marTop w:val="0"/>
              <w:marBottom w:val="0"/>
              <w:divBdr>
                <w:top w:val="none" w:sz="0" w:space="0" w:color="auto"/>
                <w:left w:val="none" w:sz="0" w:space="0" w:color="auto"/>
                <w:bottom w:val="none" w:sz="0" w:space="0" w:color="auto"/>
                <w:right w:val="none" w:sz="0" w:space="0" w:color="auto"/>
              </w:divBdr>
            </w:div>
            <w:div w:id="99105330">
              <w:marLeft w:val="0"/>
              <w:marRight w:val="0"/>
              <w:marTop w:val="0"/>
              <w:marBottom w:val="0"/>
              <w:divBdr>
                <w:top w:val="none" w:sz="0" w:space="0" w:color="auto"/>
                <w:left w:val="none" w:sz="0" w:space="0" w:color="auto"/>
                <w:bottom w:val="none" w:sz="0" w:space="0" w:color="auto"/>
                <w:right w:val="none" w:sz="0" w:space="0" w:color="auto"/>
              </w:divBdr>
            </w:div>
            <w:div w:id="115219513">
              <w:marLeft w:val="0"/>
              <w:marRight w:val="0"/>
              <w:marTop w:val="0"/>
              <w:marBottom w:val="0"/>
              <w:divBdr>
                <w:top w:val="none" w:sz="0" w:space="0" w:color="auto"/>
                <w:left w:val="none" w:sz="0" w:space="0" w:color="auto"/>
                <w:bottom w:val="none" w:sz="0" w:space="0" w:color="auto"/>
                <w:right w:val="none" w:sz="0" w:space="0" w:color="auto"/>
              </w:divBdr>
            </w:div>
            <w:div w:id="291791592">
              <w:marLeft w:val="0"/>
              <w:marRight w:val="0"/>
              <w:marTop w:val="0"/>
              <w:marBottom w:val="0"/>
              <w:divBdr>
                <w:top w:val="none" w:sz="0" w:space="0" w:color="auto"/>
                <w:left w:val="none" w:sz="0" w:space="0" w:color="auto"/>
                <w:bottom w:val="none" w:sz="0" w:space="0" w:color="auto"/>
                <w:right w:val="none" w:sz="0" w:space="0" w:color="auto"/>
              </w:divBdr>
            </w:div>
            <w:div w:id="296181997">
              <w:marLeft w:val="0"/>
              <w:marRight w:val="0"/>
              <w:marTop w:val="0"/>
              <w:marBottom w:val="0"/>
              <w:divBdr>
                <w:top w:val="none" w:sz="0" w:space="0" w:color="auto"/>
                <w:left w:val="none" w:sz="0" w:space="0" w:color="auto"/>
                <w:bottom w:val="none" w:sz="0" w:space="0" w:color="auto"/>
                <w:right w:val="none" w:sz="0" w:space="0" w:color="auto"/>
              </w:divBdr>
            </w:div>
            <w:div w:id="597520651">
              <w:marLeft w:val="0"/>
              <w:marRight w:val="0"/>
              <w:marTop w:val="0"/>
              <w:marBottom w:val="0"/>
              <w:divBdr>
                <w:top w:val="none" w:sz="0" w:space="0" w:color="auto"/>
                <w:left w:val="none" w:sz="0" w:space="0" w:color="auto"/>
                <w:bottom w:val="none" w:sz="0" w:space="0" w:color="auto"/>
                <w:right w:val="none" w:sz="0" w:space="0" w:color="auto"/>
              </w:divBdr>
            </w:div>
            <w:div w:id="664478255">
              <w:marLeft w:val="0"/>
              <w:marRight w:val="0"/>
              <w:marTop w:val="0"/>
              <w:marBottom w:val="0"/>
              <w:divBdr>
                <w:top w:val="none" w:sz="0" w:space="0" w:color="auto"/>
                <w:left w:val="none" w:sz="0" w:space="0" w:color="auto"/>
                <w:bottom w:val="none" w:sz="0" w:space="0" w:color="auto"/>
                <w:right w:val="none" w:sz="0" w:space="0" w:color="auto"/>
              </w:divBdr>
            </w:div>
            <w:div w:id="702091662">
              <w:marLeft w:val="0"/>
              <w:marRight w:val="0"/>
              <w:marTop w:val="0"/>
              <w:marBottom w:val="0"/>
              <w:divBdr>
                <w:top w:val="none" w:sz="0" w:space="0" w:color="auto"/>
                <w:left w:val="none" w:sz="0" w:space="0" w:color="auto"/>
                <w:bottom w:val="none" w:sz="0" w:space="0" w:color="auto"/>
                <w:right w:val="none" w:sz="0" w:space="0" w:color="auto"/>
              </w:divBdr>
            </w:div>
            <w:div w:id="972448898">
              <w:marLeft w:val="0"/>
              <w:marRight w:val="0"/>
              <w:marTop w:val="0"/>
              <w:marBottom w:val="0"/>
              <w:divBdr>
                <w:top w:val="none" w:sz="0" w:space="0" w:color="auto"/>
                <w:left w:val="none" w:sz="0" w:space="0" w:color="auto"/>
                <w:bottom w:val="none" w:sz="0" w:space="0" w:color="auto"/>
                <w:right w:val="none" w:sz="0" w:space="0" w:color="auto"/>
              </w:divBdr>
            </w:div>
            <w:div w:id="1207138697">
              <w:marLeft w:val="0"/>
              <w:marRight w:val="0"/>
              <w:marTop w:val="0"/>
              <w:marBottom w:val="0"/>
              <w:divBdr>
                <w:top w:val="none" w:sz="0" w:space="0" w:color="auto"/>
                <w:left w:val="none" w:sz="0" w:space="0" w:color="auto"/>
                <w:bottom w:val="none" w:sz="0" w:space="0" w:color="auto"/>
                <w:right w:val="none" w:sz="0" w:space="0" w:color="auto"/>
              </w:divBdr>
            </w:div>
            <w:div w:id="1258753379">
              <w:marLeft w:val="0"/>
              <w:marRight w:val="0"/>
              <w:marTop w:val="0"/>
              <w:marBottom w:val="0"/>
              <w:divBdr>
                <w:top w:val="none" w:sz="0" w:space="0" w:color="auto"/>
                <w:left w:val="none" w:sz="0" w:space="0" w:color="auto"/>
                <w:bottom w:val="none" w:sz="0" w:space="0" w:color="auto"/>
                <w:right w:val="none" w:sz="0" w:space="0" w:color="auto"/>
              </w:divBdr>
            </w:div>
            <w:div w:id="1335567248">
              <w:marLeft w:val="0"/>
              <w:marRight w:val="0"/>
              <w:marTop w:val="0"/>
              <w:marBottom w:val="0"/>
              <w:divBdr>
                <w:top w:val="none" w:sz="0" w:space="0" w:color="auto"/>
                <w:left w:val="none" w:sz="0" w:space="0" w:color="auto"/>
                <w:bottom w:val="none" w:sz="0" w:space="0" w:color="auto"/>
                <w:right w:val="none" w:sz="0" w:space="0" w:color="auto"/>
              </w:divBdr>
            </w:div>
            <w:div w:id="1358920675">
              <w:marLeft w:val="0"/>
              <w:marRight w:val="0"/>
              <w:marTop w:val="0"/>
              <w:marBottom w:val="0"/>
              <w:divBdr>
                <w:top w:val="none" w:sz="0" w:space="0" w:color="auto"/>
                <w:left w:val="none" w:sz="0" w:space="0" w:color="auto"/>
                <w:bottom w:val="none" w:sz="0" w:space="0" w:color="auto"/>
                <w:right w:val="none" w:sz="0" w:space="0" w:color="auto"/>
              </w:divBdr>
            </w:div>
            <w:div w:id="1447390767">
              <w:marLeft w:val="0"/>
              <w:marRight w:val="0"/>
              <w:marTop w:val="0"/>
              <w:marBottom w:val="0"/>
              <w:divBdr>
                <w:top w:val="none" w:sz="0" w:space="0" w:color="auto"/>
                <w:left w:val="none" w:sz="0" w:space="0" w:color="auto"/>
                <w:bottom w:val="none" w:sz="0" w:space="0" w:color="auto"/>
                <w:right w:val="none" w:sz="0" w:space="0" w:color="auto"/>
              </w:divBdr>
            </w:div>
            <w:div w:id="1521428676">
              <w:marLeft w:val="0"/>
              <w:marRight w:val="0"/>
              <w:marTop w:val="0"/>
              <w:marBottom w:val="0"/>
              <w:divBdr>
                <w:top w:val="none" w:sz="0" w:space="0" w:color="auto"/>
                <w:left w:val="none" w:sz="0" w:space="0" w:color="auto"/>
                <w:bottom w:val="none" w:sz="0" w:space="0" w:color="auto"/>
                <w:right w:val="none" w:sz="0" w:space="0" w:color="auto"/>
              </w:divBdr>
            </w:div>
            <w:div w:id="1918592270">
              <w:marLeft w:val="0"/>
              <w:marRight w:val="0"/>
              <w:marTop w:val="0"/>
              <w:marBottom w:val="0"/>
              <w:divBdr>
                <w:top w:val="none" w:sz="0" w:space="0" w:color="auto"/>
                <w:left w:val="none" w:sz="0" w:space="0" w:color="auto"/>
                <w:bottom w:val="none" w:sz="0" w:space="0" w:color="auto"/>
                <w:right w:val="none" w:sz="0" w:space="0" w:color="auto"/>
              </w:divBdr>
            </w:div>
            <w:div w:id="1945116638">
              <w:marLeft w:val="0"/>
              <w:marRight w:val="0"/>
              <w:marTop w:val="0"/>
              <w:marBottom w:val="0"/>
              <w:divBdr>
                <w:top w:val="none" w:sz="0" w:space="0" w:color="auto"/>
                <w:left w:val="none" w:sz="0" w:space="0" w:color="auto"/>
                <w:bottom w:val="none" w:sz="0" w:space="0" w:color="auto"/>
                <w:right w:val="none" w:sz="0" w:space="0" w:color="auto"/>
              </w:divBdr>
            </w:div>
            <w:div w:id="1999339336">
              <w:marLeft w:val="0"/>
              <w:marRight w:val="0"/>
              <w:marTop w:val="0"/>
              <w:marBottom w:val="0"/>
              <w:divBdr>
                <w:top w:val="none" w:sz="0" w:space="0" w:color="auto"/>
                <w:left w:val="none" w:sz="0" w:space="0" w:color="auto"/>
                <w:bottom w:val="none" w:sz="0" w:space="0" w:color="auto"/>
                <w:right w:val="none" w:sz="0" w:space="0" w:color="auto"/>
              </w:divBdr>
            </w:div>
            <w:div w:id="2115782593">
              <w:marLeft w:val="0"/>
              <w:marRight w:val="0"/>
              <w:marTop w:val="0"/>
              <w:marBottom w:val="0"/>
              <w:divBdr>
                <w:top w:val="none" w:sz="0" w:space="0" w:color="auto"/>
                <w:left w:val="none" w:sz="0" w:space="0" w:color="auto"/>
                <w:bottom w:val="none" w:sz="0" w:space="0" w:color="auto"/>
                <w:right w:val="none" w:sz="0" w:space="0" w:color="auto"/>
              </w:divBdr>
            </w:div>
          </w:divsChild>
        </w:div>
        <w:div w:id="727999462">
          <w:marLeft w:val="0"/>
          <w:marRight w:val="0"/>
          <w:marTop w:val="0"/>
          <w:marBottom w:val="0"/>
          <w:divBdr>
            <w:top w:val="none" w:sz="0" w:space="0" w:color="auto"/>
            <w:left w:val="none" w:sz="0" w:space="0" w:color="auto"/>
            <w:bottom w:val="none" w:sz="0" w:space="0" w:color="auto"/>
            <w:right w:val="none" w:sz="0" w:space="0" w:color="auto"/>
          </w:divBdr>
        </w:div>
        <w:div w:id="738480996">
          <w:marLeft w:val="0"/>
          <w:marRight w:val="0"/>
          <w:marTop w:val="0"/>
          <w:marBottom w:val="0"/>
          <w:divBdr>
            <w:top w:val="none" w:sz="0" w:space="0" w:color="auto"/>
            <w:left w:val="none" w:sz="0" w:space="0" w:color="auto"/>
            <w:bottom w:val="none" w:sz="0" w:space="0" w:color="auto"/>
            <w:right w:val="none" w:sz="0" w:space="0" w:color="auto"/>
          </w:divBdr>
        </w:div>
        <w:div w:id="741608471">
          <w:marLeft w:val="0"/>
          <w:marRight w:val="0"/>
          <w:marTop w:val="0"/>
          <w:marBottom w:val="0"/>
          <w:divBdr>
            <w:top w:val="none" w:sz="0" w:space="0" w:color="auto"/>
            <w:left w:val="none" w:sz="0" w:space="0" w:color="auto"/>
            <w:bottom w:val="none" w:sz="0" w:space="0" w:color="auto"/>
            <w:right w:val="none" w:sz="0" w:space="0" w:color="auto"/>
          </w:divBdr>
        </w:div>
        <w:div w:id="746809963">
          <w:marLeft w:val="0"/>
          <w:marRight w:val="0"/>
          <w:marTop w:val="0"/>
          <w:marBottom w:val="0"/>
          <w:divBdr>
            <w:top w:val="none" w:sz="0" w:space="0" w:color="auto"/>
            <w:left w:val="none" w:sz="0" w:space="0" w:color="auto"/>
            <w:bottom w:val="none" w:sz="0" w:space="0" w:color="auto"/>
            <w:right w:val="none" w:sz="0" w:space="0" w:color="auto"/>
          </w:divBdr>
        </w:div>
        <w:div w:id="764812452">
          <w:marLeft w:val="0"/>
          <w:marRight w:val="0"/>
          <w:marTop w:val="0"/>
          <w:marBottom w:val="0"/>
          <w:divBdr>
            <w:top w:val="none" w:sz="0" w:space="0" w:color="auto"/>
            <w:left w:val="none" w:sz="0" w:space="0" w:color="auto"/>
            <w:bottom w:val="none" w:sz="0" w:space="0" w:color="auto"/>
            <w:right w:val="none" w:sz="0" w:space="0" w:color="auto"/>
          </w:divBdr>
        </w:div>
        <w:div w:id="769551518">
          <w:marLeft w:val="0"/>
          <w:marRight w:val="0"/>
          <w:marTop w:val="0"/>
          <w:marBottom w:val="0"/>
          <w:divBdr>
            <w:top w:val="none" w:sz="0" w:space="0" w:color="auto"/>
            <w:left w:val="none" w:sz="0" w:space="0" w:color="auto"/>
            <w:bottom w:val="none" w:sz="0" w:space="0" w:color="auto"/>
            <w:right w:val="none" w:sz="0" w:space="0" w:color="auto"/>
          </w:divBdr>
        </w:div>
        <w:div w:id="782842913">
          <w:marLeft w:val="0"/>
          <w:marRight w:val="0"/>
          <w:marTop w:val="0"/>
          <w:marBottom w:val="0"/>
          <w:divBdr>
            <w:top w:val="none" w:sz="0" w:space="0" w:color="auto"/>
            <w:left w:val="none" w:sz="0" w:space="0" w:color="auto"/>
            <w:bottom w:val="none" w:sz="0" w:space="0" w:color="auto"/>
            <w:right w:val="none" w:sz="0" w:space="0" w:color="auto"/>
          </w:divBdr>
        </w:div>
        <w:div w:id="794131641">
          <w:marLeft w:val="0"/>
          <w:marRight w:val="0"/>
          <w:marTop w:val="0"/>
          <w:marBottom w:val="0"/>
          <w:divBdr>
            <w:top w:val="none" w:sz="0" w:space="0" w:color="auto"/>
            <w:left w:val="none" w:sz="0" w:space="0" w:color="auto"/>
            <w:bottom w:val="none" w:sz="0" w:space="0" w:color="auto"/>
            <w:right w:val="none" w:sz="0" w:space="0" w:color="auto"/>
          </w:divBdr>
        </w:div>
        <w:div w:id="801994882">
          <w:marLeft w:val="0"/>
          <w:marRight w:val="0"/>
          <w:marTop w:val="0"/>
          <w:marBottom w:val="0"/>
          <w:divBdr>
            <w:top w:val="none" w:sz="0" w:space="0" w:color="auto"/>
            <w:left w:val="none" w:sz="0" w:space="0" w:color="auto"/>
            <w:bottom w:val="none" w:sz="0" w:space="0" w:color="auto"/>
            <w:right w:val="none" w:sz="0" w:space="0" w:color="auto"/>
          </w:divBdr>
        </w:div>
        <w:div w:id="813718450">
          <w:marLeft w:val="0"/>
          <w:marRight w:val="0"/>
          <w:marTop w:val="0"/>
          <w:marBottom w:val="0"/>
          <w:divBdr>
            <w:top w:val="none" w:sz="0" w:space="0" w:color="auto"/>
            <w:left w:val="none" w:sz="0" w:space="0" w:color="auto"/>
            <w:bottom w:val="none" w:sz="0" w:space="0" w:color="auto"/>
            <w:right w:val="none" w:sz="0" w:space="0" w:color="auto"/>
          </w:divBdr>
        </w:div>
        <w:div w:id="829518221">
          <w:marLeft w:val="0"/>
          <w:marRight w:val="0"/>
          <w:marTop w:val="0"/>
          <w:marBottom w:val="0"/>
          <w:divBdr>
            <w:top w:val="none" w:sz="0" w:space="0" w:color="auto"/>
            <w:left w:val="none" w:sz="0" w:space="0" w:color="auto"/>
            <w:bottom w:val="none" w:sz="0" w:space="0" w:color="auto"/>
            <w:right w:val="none" w:sz="0" w:space="0" w:color="auto"/>
          </w:divBdr>
        </w:div>
        <w:div w:id="845168271">
          <w:marLeft w:val="0"/>
          <w:marRight w:val="0"/>
          <w:marTop w:val="0"/>
          <w:marBottom w:val="0"/>
          <w:divBdr>
            <w:top w:val="none" w:sz="0" w:space="0" w:color="auto"/>
            <w:left w:val="none" w:sz="0" w:space="0" w:color="auto"/>
            <w:bottom w:val="none" w:sz="0" w:space="0" w:color="auto"/>
            <w:right w:val="none" w:sz="0" w:space="0" w:color="auto"/>
          </w:divBdr>
        </w:div>
        <w:div w:id="851652565">
          <w:marLeft w:val="0"/>
          <w:marRight w:val="0"/>
          <w:marTop w:val="0"/>
          <w:marBottom w:val="0"/>
          <w:divBdr>
            <w:top w:val="none" w:sz="0" w:space="0" w:color="auto"/>
            <w:left w:val="none" w:sz="0" w:space="0" w:color="auto"/>
            <w:bottom w:val="none" w:sz="0" w:space="0" w:color="auto"/>
            <w:right w:val="none" w:sz="0" w:space="0" w:color="auto"/>
          </w:divBdr>
        </w:div>
        <w:div w:id="858737742">
          <w:marLeft w:val="0"/>
          <w:marRight w:val="0"/>
          <w:marTop w:val="0"/>
          <w:marBottom w:val="0"/>
          <w:divBdr>
            <w:top w:val="none" w:sz="0" w:space="0" w:color="auto"/>
            <w:left w:val="none" w:sz="0" w:space="0" w:color="auto"/>
            <w:bottom w:val="none" w:sz="0" w:space="0" w:color="auto"/>
            <w:right w:val="none" w:sz="0" w:space="0" w:color="auto"/>
          </w:divBdr>
        </w:div>
        <w:div w:id="884760498">
          <w:marLeft w:val="0"/>
          <w:marRight w:val="0"/>
          <w:marTop w:val="0"/>
          <w:marBottom w:val="0"/>
          <w:divBdr>
            <w:top w:val="none" w:sz="0" w:space="0" w:color="auto"/>
            <w:left w:val="none" w:sz="0" w:space="0" w:color="auto"/>
            <w:bottom w:val="none" w:sz="0" w:space="0" w:color="auto"/>
            <w:right w:val="none" w:sz="0" w:space="0" w:color="auto"/>
          </w:divBdr>
        </w:div>
        <w:div w:id="908345198">
          <w:marLeft w:val="0"/>
          <w:marRight w:val="0"/>
          <w:marTop w:val="0"/>
          <w:marBottom w:val="0"/>
          <w:divBdr>
            <w:top w:val="none" w:sz="0" w:space="0" w:color="auto"/>
            <w:left w:val="none" w:sz="0" w:space="0" w:color="auto"/>
            <w:bottom w:val="none" w:sz="0" w:space="0" w:color="auto"/>
            <w:right w:val="none" w:sz="0" w:space="0" w:color="auto"/>
          </w:divBdr>
        </w:div>
        <w:div w:id="910240626">
          <w:marLeft w:val="0"/>
          <w:marRight w:val="0"/>
          <w:marTop w:val="0"/>
          <w:marBottom w:val="0"/>
          <w:divBdr>
            <w:top w:val="none" w:sz="0" w:space="0" w:color="auto"/>
            <w:left w:val="none" w:sz="0" w:space="0" w:color="auto"/>
            <w:bottom w:val="none" w:sz="0" w:space="0" w:color="auto"/>
            <w:right w:val="none" w:sz="0" w:space="0" w:color="auto"/>
          </w:divBdr>
        </w:div>
        <w:div w:id="917180385">
          <w:marLeft w:val="0"/>
          <w:marRight w:val="0"/>
          <w:marTop w:val="0"/>
          <w:marBottom w:val="0"/>
          <w:divBdr>
            <w:top w:val="none" w:sz="0" w:space="0" w:color="auto"/>
            <w:left w:val="none" w:sz="0" w:space="0" w:color="auto"/>
            <w:bottom w:val="none" w:sz="0" w:space="0" w:color="auto"/>
            <w:right w:val="none" w:sz="0" w:space="0" w:color="auto"/>
          </w:divBdr>
        </w:div>
        <w:div w:id="924071531">
          <w:marLeft w:val="0"/>
          <w:marRight w:val="0"/>
          <w:marTop w:val="0"/>
          <w:marBottom w:val="0"/>
          <w:divBdr>
            <w:top w:val="none" w:sz="0" w:space="0" w:color="auto"/>
            <w:left w:val="none" w:sz="0" w:space="0" w:color="auto"/>
            <w:bottom w:val="none" w:sz="0" w:space="0" w:color="auto"/>
            <w:right w:val="none" w:sz="0" w:space="0" w:color="auto"/>
          </w:divBdr>
        </w:div>
        <w:div w:id="935014725">
          <w:marLeft w:val="0"/>
          <w:marRight w:val="0"/>
          <w:marTop w:val="0"/>
          <w:marBottom w:val="0"/>
          <w:divBdr>
            <w:top w:val="none" w:sz="0" w:space="0" w:color="auto"/>
            <w:left w:val="none" w:sz="0" w:space="0" w:color="auto"/>
            <w:bottom w:val="none" w:sz="0" w:space="0" w:color="auto"/>
            <w:right w:val="none" w:sz="0" w:space="0" w:color="auto"/>
          </w:divBdr>
        </w:div>
        <w:div w:id="956790516">
          <w:marLeft w:val="0"/>
          <w:marRight w:val="0"/>
          <w:marTop w:val="0"/>
          <w:marBottom w:val="0"/>
          <w:divBdr>
            <w:top w:val="none" w:sz="0" w:space="0" w:color="auto"/>
            <w:left w:val="none" w:sz="0" w:space="0" w:color="auto"/>
            <w:bottom w:val="none" w:sz="0" w:space="0" w:color="auto"/>
            <w:right w:val="none" w:sz="0" w:space="0" w:color="auto"/>
          </w:divBdr>
        </w:div>
        <w:div w:id="961378622">
          <w:marLeft w:val="0"/>
          <w:marRight w:val="0"/>
          <w:marTop w:val="0"/>
          <w:marBottom w:val="0"/>
          <w:divBdr>
            <w:top w:val="none" w:sz="0" w:space="0" w:color="auto"/>
            <w:left w:val="none" w:sz="0" w:space="0" w:color="auto"/>
            <w:bottom w:val="none" w:sz="0" w:space="0" w:color="auto"/>
            <w:right w:val="none" w:sz="0" w:space="0" w:color="auto"/>
          </w:divBdr>
        </w:div>
        <w:div w:id="963072850">
          <w:marLeft w:val="0"/>
          <w:marRight w:val="0"/>
          <w:marTop w:val="0"/>
          <w:marBottom w:val="0"/>
          <w:divBdr>
            <w:top w:val="none" w:sz="0" w:space="0" w:color="auto"/>
            <w:left w:val="none" w:sz="0" w:space="0" w:color="auto"/>
            <w:bottom w:val="none" w:sz="0" w:space="0" w:color="auto"/>
            <w:right w:val="none" w:sz="0" w:space="0" w:color="auto"/>
          </w:divBdr>
        </w:div>
        <w:div w:id="969822605">
          <w:marLeft w:val="0"/>
          <w:marRight w:val="0"/>
          <w:marTop w:val="0"/>
          <w:marBottom w:val="0"/>
          <w:divBdr>
            <w:top w:val="none" w:sz="0" w:space="0" w:color="auto"/>
            <w:left w:val="none" w:sz="0" w:space="0" w:color="auto"/>
            <w:bottom w:val="none" w:sz="0" w:space="0" w:color="auto"/>
            <w:right w:val="none" w:sz="0" w:space="0" w:color="auto"/>
          </w:divBdr>
        </w:div>
        <w:div w:id="971599868">
          <w:marLeft w:val="0"/>
          <w:marRight w:val="0"/>
          <w:marTop w:val="0"/>
          <w:marBottom w:val="0"/>
          <w:divBdr>
            <w:top w:val="none" w:sz="0" w:space="0" w:color="auto"/>
            <w:left w:val="none" w:sz="0" w:space="0" w:color="auto"/>
            <w:bottom w:val="none" w:sz="0" w:space="0" w:color="auto"/>
            <w:right w:val="none" w:sz="0" w:space="0" w:color="auto"/>
          </w:divBdr>
        </w:div>
        <w:div w:id="973218231">
          <w:marLeft w:val="0"/>
          <w:marRight w:val="0"/>
          <w:marTop w:val="0"/>
          <w:marBottom w:val="0"/>
          <w:divBdr>
            <w:top w:val="none" w:sz="0" w:space="0" w:color="auto"/>
            <w:left w:val="none" w:sz="0" w:space="0" w:color="auto"/>
            <w:bottom w:val="none" w:sz="0" w:space="0" w:color="auto"/>
            <w:right w:val="none" w:sz="0" w:space="0" w:color="auto"/>
          </w:divBdr>
        </w:div>
        <w:div w:id="983436408">
          <w:marLeft w:val="0"/>
          <w:marRight w:val="0"/>
          <w:marTop w:val="0"/>
          <w:marBottom w:val="0"/>
          <w:divBdr>
            <w:top w:val="none" w:sz="0" w:space="0" w:color="auto"/>
            <w:left w:val="none" w:sz="0" w:space="0" w:color="auto"/>
            <w:bottom w:val="none" w:sz="0" w:space="0" w:color="auto"/>
            <w:right w:val="none" w:sz="0" w:space="0" w:color="auto"/>
          </w:divBdr>
        </w:div>
        <w:div w:id="985360357">
          <w:marLeft w:val="0"/>
          <w:marRight w:val="0"/>
          <w:marTop w:val="0"/>
          <w:marBottom w:val="0"/>
          <w:divBdr>
            <w:top w:val="none" w:sz="0" w:space="0" w:color="auto"/>
            <w:left w:val="none" w:sz="0" w:space="0" w:color="auto"/>
            <w:bottom w:val="none" w:sz="0" w:space="0" w:color="auto"/>
            <w:right w:val="none" w:sz="0" w:space="0" w:color="auto"/>
          </w:divBdr>
        </w:div>
        <w:div w:id="985818266">
          <w:marLeft w:val="0"/>
          <w:marRight w:val="0"/>
          <w:marTop w:val="0"/>
          <w:marBottom w:val="0"/>
          <w:divBdr>
            <w:top w:val="none" w:sz="0" w:space="0" w:color="auto"/>
            <w:left w:val="none" w:sz="0" w:space="0" w:color="auto"/>
            <w:bottom w:val="none" w:sz="0" w:space="0" w:color="auto"/>
            <w:right w:val="none" w:sz="0" w:space="0" w:color="auto"/>
          </w:divBdr>
        </w:div>
        <w:div w:id="1036583047">
          <w:marLeft w:val="0"/>
          <w:marRight w:val="0"/>
          <w:marTop w:val="0"/>
          <w:marBottom w:val="0"/>
          <w:divBdr>
            <w:top w:val="none" w:sz="0" w:space="0" w:color="auto"/>
            <w:left w:val="none" w:sz="0" w:space="0" w:color="auto"/>
            <w:bottom w:val="none" w:sz="0" w:space="0" w:color="auto"/>
            <w:right w:val="none" w:sz="0" w:space="0" w:color="auto"/>
          </w:divBdr>
        </w:div>
        <w:div w:id="1059864940">
          <w:marLeft w:val="0"/>
          <w:marRight w:val="0"/>
          <w:marTop w:val="0"/>
          <w:marBottom w:val="0"/>
          <w:divBdr>
            <w:top w:val="none" w:sz="0" w:space="0" w:color="auto"/>
            <w:left w:val="none" w:sz="0" w:space="0" w:color="auto"/>
            <w:bottom w:val="none" w:sz="0" w:space="0" w:color="auto"/>
            <w:right w:val="none" w:sz="0" w:space="0" w:color="auto"/>
          </w:divBdr>
        </w:div>
        <w:div w:id="1062413225">
          <w:marLeft w:val="0"/>
          <w:marRight w:val="0"/>
          <w:marTop w:val="0"/>
          <w:marBottom w:val="0"/>
          <w:divBdr>
            <w:top w:val="none" w:sz="0" w:space="0" w:color="auto"/>
            <w:left w:val="none" w:sz="0" w:space="0" w:color="auto"/>
            <w:bottom w:val="none" w:sz="0" w:space="0" w:color="auto"/>
            <w:right w:val="none" w:sz="0" w:space="0" w:color="auto"/>
          </w:divBdr>
        </w:div>
        <w:div w:id="1071662338">
          <w:marLeft w:val="0"/>
          <w:marRight w:val="0"/>
          <w:marTop w:val="0"/>
          <w:marBottom w:val="0"/>
          <w:divBdr>
            <w:top w:val="none" w:sz="0" w:space="0" w:color="auto"/>
            <w:left w:val="none" w:sz="0" w:space="0" w:color="auto"/>
            <w:bottom w:val="none" w:sz="0" w:space="0" w:color="auto"/>
            <w:right w:val="none" w:sz="0" w:space="0" w:color="auto"/>
          </w:divBdr>
        </w:div>
        <w:div w:id="1078668455">
          <w:marLeft w:val="0"/>
          <w:marRight w:val="0"/>
          <w:marTop w:val="0"/>
          <w:marBottom w:val="0"/>
          <w:divBdr>
            <w:top w:val="none" w:sz="0" w:space="0" w:color="auto"/>
            <w:left w:val="none" w:sz="0" w:space="0" w:color="auto"/>
            <w:bottom w:val="none" w:sz="0" w:space="0" w:color="auto"/>
            <w:right w:val="none" w:sz="0" w:space="0" w:color="auto"/>
          </w:divBdr>
        </w:div>
        <w:div w:id="1080635732">
          <w:marLeft w:val="0"/>
          <w:marRight w:val="0"/>
          <w:marTop w:val="0"/>
          <w:marBottom w:val="0"/>
          <w:divBdr>
            <w:top w:val="none" w:sz="0" w:space="0" w:color="auto"/>
            <w:left w:val="none" w:sz="0" w:space="0" w:color="auto"/>
            <w:bottom w:val="none" w:sz="0" w:space="0" w:color="auto"/>
            <w:right w:val="none" w:sz="0" w:space="0" w:color="auto"/>
          </w:divBdr>
        </w:div>
        <w:div w:id="1091779242">
          <w:marLeft w:val="0"/>
          <w:marRight w:val="0"/>
          <w:marTop w:val="0"/>
          <w:marBottom w:val="0"/>
          <w:divBdr>
            <w:top w:val="none" w:sz="0" w:space="0" w:color="auto"/>
            <w:left w:val="none" w:sz="0" w:space="0" w:color="auto"/>
            <w:bottom w:val="none" w:sz="0" w:space="0" w:color="auto"/>
            <w:right w:val="none" w:sz="0" w:space="0" w:color="auto"/>
          </w:divBdr>
        </w:div>
        <w:div w:id="1130048121">
          <w:marLeft w:val="0"/>
          <w:marRight w:val="0"/>
          <w:marTop w:val="0"/>
          <w:marBottom w:val="0"/>
          <w:divBdr>
            <w:top w:val="none" w:sz="0" w:space="0" w:color="auto"/>
            <w:left w:val="none" w:sz="0" w:space="0" w:color="auto"/>
            <w:bottom w:val="none" w:sz="0" w:space="0" w:color="auto"/>
            <w:right w:val="none" w:sz="0" w:space="0" w:color="auto"/>
          </w:divBdr>
        </w:div>
        <w:div w:id="1143087088">
          <w:marLeft w:val="0"/>
          <w:marRight w:val="0"/>
          <w:marTop w:val="0"/>
          <w:marBottom w:val="0"/>
          <w:divBdr>
            <w:top w:val="none" w:sz="0" w:space="0" w:color="auto"/>
            <w:left w:val="none" w:sz="0" w:space="0" w:color="auto"/>
            <w:bottom w:val="none" w:sz="0" w:space="0" w:color="auto"/>
            <w:right w:val="none" w:sz="0" w:space="0" w:color="auto"/>
          </w:divBdr>
        </w:div>
        <w:div w:id="1145312472">
          <w:marLeft w:val="0"/>
          <w:marRight w:val="0"/>
          <w:marTop w:val="0"/>
          <w:marBottom w:val="0"/>
          <w:divBdr>
            <w:top w:val="none" w:sz="0" w:space="0" w:color="auto"/>
            <w:left w:val="none" w:sz="0" w:space="0" w:color="auto"/>
            <w:bottom w:val="none" w:sz="0" w:space="0" w:color="auto"/>
            <w:right w:val="none" w:sz="0" w:space="0" w:color="auto"/>
          </w:divBdr>
        </w:div>
        <w:div w:id="1175068970">
          <w:marLeft w:val="0"/>
          <w:marRight w:val="0"/>
          <w:marTop w:val="0"/>
          <w:marBottom w:val="0"/>
          <w:divBdr>
            <w:top w:val="none" w:sz="0" w:space="0" w:color="auto"/>
            <w:left w:val="none" w:sz="0" w:space="0" w:color="auto"/>
            <w:bottom w:val="none" w:sz="0" w:space="0" w:color="auto"/>
            <w:right w:val="none" w:sz="0" w:space="0" w:color="auto"/>
          </w:divBdr>
        </w:div>
        <w:div w:id="1176262988">
          <w:marLeft w:val="0"/>
          <w:marRight w:val="0"/>
          <w:marTop w:val="0"/>
          <w:marBottom w:val="0"/>
          <w:divBdr>
            <w:top w:val="none" w:sz="0" w:space="0" w:color="auto"/>
            <w:left w:val="none" w:sz="0" w:space="0" w:color="auto"/>
            <w:bottom w:val="none" w:sz="0" w:space="0" w:color="auto"/>
            <w:right w:val="none" w:sz="0" w:space="0" w:color="auto"/>
          </w:divBdr>
        </w:div>
        <w:div w:id="1180657373">
          <w:marLeft w:val="0"/>
          <w:marRight w:val="0"/>
          <w:marTop w:val="0"/>
          <w:marBottom w:val="0"/>
          <w:divBdr>
            <w:top w:val="none" w:sz="0" w:space="0" w:color="auto"/>
            <w:left w:val="none" w:sz="0" w:space="0" w:color="auto"/>
            <w:bottom w:val="none" w:sz="0" w:space="0" w:color="auto"/>
            <w:right w:val="none" w:sz="0" w:space="0" w:color="auto"/>
          </w:divBdr>
        </w:div>
        <w:div w:id="1186359183">
          <w:marLeft w:val="0"/>
          <w:marRight w:val="0"/>
          <w:marTop w:val="0"/>
          <w:marBottom w:val="0"/>
          <w:divBdr>
            <w:top w:val="none" w:sz="0" w:space="0" w:color="auto"/>
            <w:left w:val="none" w:sz="0" w:space="0" w:color="auto"/>
            <w:bottom w:val="none" w:sz="0" w:space="0" w:color="auto"/>
            <w:right w:val="none" w:sz="0" w:space="0" w:color="auto"/>
          </w:divBdr>
        </w:div>
        <w:div w:id="1186671353">
          <w:marLeft w:val="0"/>
          <w:marRight w:val="0"/>
          <w:marTop w:val="0"/>
          <w:marBottom w:val="0"/>
          <w:divBdr>
            <w:top w:val="none" w:sz="0" w:space="0" w:color="auto"/>
            <w:left w:val="none" w:sz="0" w:space="0" w:color="auto"/>
            <w:bottom w:val="none" w:sz="0" w:space="0" w:color="auto"/>
            <w:right w:val="none" w:sz="0" w:space="0" w:color="auto"/>
          </w:divBdr>
        </w:div>
        <w:div w:id="1189221917">
          <w:marLeft w:val="0"/>
          <w:marRight w:val="0"/>
          <w:marTop w:val="0"/>
          <w:marBottom w:val="0"/>
          <w:divBdr>
            <w:top w:val="none" w:sz="0" w:space="0" w:color="auto"/>
            <w:left w:val="none" w:sz="0" w:space="0" w:color="auto"/>
            <w:bottom w:val="none" w:sz="0" w:space="0" w:color="auto"/>
            <w:right w:val="none" w:sz="0" w:space="0" w:color="auto"/>
          </w:divBdr>
        </w:div>
        <w:div w:id="1193424593">
          <w:marLeft w:val="0"/>
          <w:marRight w:val="0"/>
          <w:marTop w:val="0"/>
          <w:marBottom w:val="0"/>
          <w:divBdr>
            <w:top w:val="none" w:sz="0" w:space="0" w:color="auto"/>
            <w:left w:val="none" w:sz="0" w:space="0" w:color="auto"/>
            <w:bottom w:val="none" w:sz="0" w:space="0" w:color="auto"/>
            <w:right w:val="none" w:sz="0" w:space="0" w:color="auto"/>
          </w:divBdr>
        </w:div>
        <w:div w:id="1195465826">
          <w:marLeft w:val="0"/>
          <w:marRight w:val="0"/>
          <w:marTop w:val="0"/>
          <w:marBottom w:val="0"/>
          <w:divBdr>
            <w:top w:val="none" w:sz="0" w:space="0" w:color="auto"/>
            <w:left w:val="none" w:sz="0" w:space="0" w:color="auto"/>
            <w:bottom w:val="none" w:sz="0" w:space="0" w:color="auto"/>
            <w:right w:val="none" w:sz="0" w:space="0" w:color="auto"/>
          </w:divBdr>
        </w:div>
        <w:div w:id="1224752473">
          <w:marLeft w:val="0"/>
          <w:marRight w:val="0"/>
          <w:marTop w:val="0"/>
          <w:marBottom w:val="0"/>
          <w:divBdr>
            <w:top w:val="none" w:sz="0" w:space="0" w:color="auto"/>
            <w:left w:val="none" w:sz="0" w:space="0" w:color="auto"/>
            <w:bottom w:val="none" w:sz="0" w:space="0" w:color="auto"/>
            <w:right w:val="none" w:sz="0" w:space="0" w:color="auto"/>
          </w:divBdr>
        </w:div>
        <w:div w:id="1239291218">
          <w:marLeft w:val="0"/>
          <w:marRight w:val="0"/>
          <w:marTop w:val="0"/>
          <w:marBottom w:val="0"/>
          <w:divBdr>
            <w:top w:val="none" w:sz="0" w:space="0" w:color="auto"/>
            <w:left w:val="none" w:sz="0" w:space="0" w:color="auto"/>
            <w:bottom w:val="none" w:sz="0" w:space="0" w:color="auto"/>
            <w:right w:val="none" w:sz="0" w:space="0" w:color="auto"/>
          </w:divBdr>
        </w:div>
        <w:div w:id="1243175072">
          <w:marLeft w:val="0"/>
          <w:marRight w:val="0"/>
          <w:marTop w:val="0"/>
          <w:marBottom w:val="0"/>
          <w:divBdr>
            <w:top w:val="none" w:sz="0" w:space="0" w:color="auto"/>
            <w:left w:val="none" w:sz="0" w:space="0" w:color="auto"/>
            <w:bottom w:val="none" w:sz="0" w:space="0" w:color="auto"/>
            <w:right w:val="none" w:sz="0" w:space="0" w:color="auto"/>
          </w:divBdr>
        </w:div>
        <w:div w:id="1262027573">
          <w:marLeft w:val="0"/>
          <w:marRight w:val="0"/>
          <w:marTop w:val="0"/>
          <w:marBottom w:val="0"/>
          <w:divBdr>
            <w:top w:val="none" w:sz="0" w:space="0" w:color="auto"/>
            <w:left w:val="none" w:sz="0" w:space="0" w:color="auto"/>
            <w:bottom w:val="none" w:sz="0" w:space="0" w:color="auto"/>
            <w:right w:val="none" w:sz="0" w:space="0" w:color="auto"/>
          </w:divBdr>
        </w:div>
        <w:div w:id="1262102462">
          <w:marLeft w:val="0"/>
          <w:marRight w:val="0"/>
          <w:marTop w:val="0"/>
          <w:marBottom w:val="0"/>
          <w:divBdr>
            <w:top w:val="none" w:sz="0" w:space="0" w:color="auto"/>
            <w:left w:val="none" w:sz="0" w:space="0" w:color="auto"/>
            <w:bottom w:val="none" w:sz="0" w:space="0" w:color="auto"/>
            <w:right w:val="none" w:sz="0" w:space="0" w:color="auto"/>
          </w:divBdr>
        </w:div>
        <w:div w:id="1264650981">
          <w:marLeft w:val="0"/>
          <w:marRight w:val="0"/>
          <w:marTop w:val="0"/>
          <w:marBottom w:val="0"/>
          <w:divBdr>
            <w:top w:val="none" w:sz="0" w:space="0" w:color="auto"/>
            <w:left w:val="none" w:sz="0" w:space="0" w:color="auto"/>
            <w:bottom w:val="none" w:sz="0" w:space="0" w:color="auto"/>
            <w:right w:val="none" w:sz="0" w:space="0" w:color="auto"/>
          </w:divBdr>
        </w:div>
        <w:div w:id="1266691511">
          <w:marLeft w:val="0"/>
          <w:marRight w:val="0"/>
          <w:marTop w:val="0"/>
          <w:marBottom w:val="0"/>
          <w:divBdr>
            <w:top w:val="none" w:sz="0" w:space="0" w:color="auto"/>
            <w:left w:val="none" w:sz="0" w:space="0" w:color="auto"/>
            <w:bottom w:val="none" w:sz="0" w:space="0" w:color="auto"/>
            <w:right w:val="none" w:sz="0" w:space="0" w:color="auto"/>
          </w:divBdr>
        </w:div>
        <w:div w:id="1326133422">
          <w:marLeft w:val="0"/>
          <w:marRight w:val="0"/>
          <w:marTop w:val="0"/>
          <w:marBottom w:val="0"/>
          <w:divBdr>
            <w:top w:val="none" w:sz="0" w:space="0" w:color="auto"/>
            <w:left w:val="none" w:sz="0" w:space="0" w:color="auto"/>
            <w:bottom w:val="none" w:sz="0" w:space="0" w:color="auto"/>
            <w:right w:val="none" w:sz="0" w:space="0" w:color="auto"/>
          </w:divBdr>
        </w:div>
        <w:div w:id="1327636575">
          <w:marLeft w:val="0"/>
          <w:marRight w:val="0"/>
          <w:marTop w:val="0"/>
          <w:marBottom w:val="0"/>
          <w:divBdr>
            <w:top w:val="none" w:sz="0" w:space="0" w:color="auto"/>
            <w:left w:val="none" w:sz="0" w:space="0" w:color="auto"/>
            <w:bottom w:val="none" w:sz="0" w:space="0" w:color="auto"/>
            <w:right w:val="none" w:sz="0" w:space="0" w:color="auto"/>
          </w:divBdr>
        </w:div>
        <w:div w:id="1334726640">
          <w:marLeft w:val="0"/>
          <w:marRight w:val="0"/>
          <w:marTop w:val="0"/>
          <w:marBottom w:val="0"/>
          <w:divBdr>
            <w:top w:val="none" w:sz="0" w:space="0" w:color="auto"/>
            <w:left w:val="none" w:sz="0" w:space="0" w:color="auto"/>
            <w:bottom w:val="none" w:sz="0" w:space="0" w:color="auto"/>
            <w:right w:val="none" w:sz="0" w:space="0" w:color="auto"/>
          </w:divBdr>
        </w:div>
        <w:div w:id="1338383780">
          <w:marLeft w:val="0"/>
          <w:marRight w:val="0"/>
          <w:marTop w:val="0"/>
          <w:marBottom w:val="0"/>
          <w:divBdr>
            <w:top w:val="none" w:sz="0" w:space="0" w:color="auto"/>
            <w:left w:val="none" w:sz="0" w:space="0" w:color="auto"/>
            <w:bottom w:val="none" w:sz="0" w:space="0" w:color="auto"/>
            <w:right w:val="none" w:sz="0" w:space="0" w:color="auto"/>
          </w:divBdr>
        </w:div>
        <w:div w:id="1342007913">
          <w:marLeft w:val="0"/>
          <w:marRight w:val="0"/>
          <w:marTop w:val="0"/>
          <w:marBottom w:val="0"/>
          <w:divBdr>
            <w:top w:val="none" w:sz="0" w:space="0" w:color="auto"/>
            <w:left w:val="none" w:sz="0" w:space="0" w:color="auto"/>
            <w:bottom w:val="none" w:sz="0" w:space="0" w:color="auto"/>
            <w:right w:val="none" w:sz="0" w:space="0" w:color="auto"/>
          </w:divBdr>
        </w:div>
        <w:div w:id="1360619114">
          <w:marLeft w:val="0"/>
          <w:marRight w:val="0"/>
          <w:marTop w:val="0"/>
          <w:marBottom w:val="0"/>
          <w:divBdr>
            <w:top w:val="none" w:sz="0" w:space="0" w:color="auto"/>
            <w:left w:val="none" w:sz="0" w:space="0" w:color="auto"/>
            <w:bottom w:val="none" w:sz="0" w:space="0" w:color="auto"/>
            <w:right w:val="none" w:sz="0" w:space="0" w:color="auto"/>
          </w:divBdr>
        </w:div>
        <w:div w:id="1371802028">
          <w:marLeft w:val="0"/>
          <w:marRight w:val="0"/>
          <w:marTop w:val="0"/>
          <w:marBottom w:val="0"/>
          <w:divBdr>
            <w:top w:val="none" w:sz="0" w:space="0" w:color="auto"/>
            <w:left w:val="none" w:sz="0" w:space="0" w:color="auto"/>
            <w:bottom w:val="none" w:sz="0" w:space="0" w:color="auto"/>
            <w:right w:val="none" w:sz="0" w:space="0" w:color="auto"/>
          </w:divBdr>
        </w:div>
        <w:div w:id="1385131290">
          <w:marLeft w:val="0"/>
          <w:marRight w:val="0"/>
          <w:marTop w:val="0"/>
          <w:marBottom w:val="0"/>
          <w:divBdr>
            <w:top w:val="none" w:sz="0" w:space="0" w:color="auto"/>
            <w:left w:val="none" w:sz="0" w:space="0" w:color="auto"/>
            <w:bottom w:val="none" w:sz="0" w:space="0" w:color="auto"/>
            <w:right w:val="none" w:sz="0" w:space="0" w:color="auto"/>
          </w:divBdr>
        </w:div>
        <w:div w:id="1385448433">
          <w:marLeft w:val="0"/>
          <w:marRight w:val="0"/>
          <w:marTop w:val="0"/>
          <w:marBottom w:val="0"/>
          <w:divBdr>
            <w:top w:val="none" w:sz="0" w:space="0" w:color="auto"/>
            <w:left w:val="none" w:sz="0" w:space="0" w:color="auto"/>
            <w:bottom w:val="none" w:sz="0" w:space="0" w:color="auto"/>
            <w:right w:val="none" w:sz="0" w:space="0" w:color="auto"/>
          </w:divBdr>
        </w:div>
        <w:div w:id="1388989785">
          <w:marLeft w:val="0"/>
          <w:marRight w:val="0"/>
          <w:marTop w:val="0"/>
          <w:marBottom w:val="0"/>
          <w:divBdr>
            <w:top w:val="none" w:sz="0" w:space="0" w:color="auto"/>
            <w:left w:val="none" w:sz="0" w:space="0" w:color="auto"/>
            <w:bottom w:val="none" w:sz="0" w:space="0" w:color="auto"/>
            <w:right w:val="none" w:sz="0" w:space="0" w:color="auto"/>
          </w:divBdr>
        </w:div>
        <w:div w:id="1404571216">
          <w:marLeft w:val="0"/>
          <w:marRight w:val="0"/>
          <w:marTop w:val="0"/>
          <w:marBottom w:val="0"/>
          <w:divBdr>
            <w:top w:val="none" w:sz="0" w:space="0" w:color="auto"/>
            <w:left w:val="none" w:sz="0" w:space="0" w:color="auto"/>
            <w:bottom w:val="none" w:sz="0" w:space="0" w:color="auto"/>
            <w:right w:val="none" w:sz="0" w:space="0" w:color="auto"/>
          </w:divBdr>
        </w:div>
        <w:div w:id="1417554624">
          <w:marLeft w:val="0"/>
          <w:marRight w:val="0"/>
          <w:marTop w:val="0"/>
          <w:marBottom w:val="0"/>
          <w:divBdr>
            <w:top w:val="none" w:sz="0" w:space="0" w:color="auto"/>
            <w:left w:val="none" w:sz="0" w:space="0" w:color="auto"/>
            <w:bottom w:val="none" w:sz="0" w:space="0" w:color="auto"/>
            <w:right w:val="none" w:sz="0" w:space="0" w:color="auto"/>
          </w:divBdr>
        </w:div>
        <w:div w:id="1423917871">
          <w:marLeft w:val="0"/>
          <w:marRight w:val="0"/>
          <w:marTop w:val="0"/>
          <w:marBottom w:val="0"/>
          <w:divBdr>
            <w:top w:val="none" w:sz="0" w:space="0" w:color="auto"/>
            <w:left w:val="none" w:sz="0" w:space="0" w:color="auto"/>
            <w:bottom w:val="none" w:sz="0" w:space="0" w:color="auto"/>
            <w:right w:val="none" w:sz="0" w:space="0" w:color="auto"/>
          </w:divBdr>
        </w:div>
        <w:div w:id="1434400650">
          <w:marLeft w:val="0"/>
          <w:marRight w:val="0"/>
          <w:marTop w:val="0"/>
          <w:marBottom w:val="0"/>
          <w:divBdr>
            <w:top w:val="none" w:sz="0" w:space="0" w:color="auto"/>
            <w:left w:val="none" w:sz="0" w:space="0" w:color="auto"/>
            <w:bottom w:val="none" w:sz="0" w:space="0" w:color="auto"/>
            <w:right w:val="none" w:sz="0" w:space="0" w:color="auto"/>
          </w:divBdr>
        </w:div>
        <w:div w:id="1466196259">
          <w:marLeft w:val="0"/>
          <w:marRight w:val="0"/>
          <w:marTop w:val="0"/>
          <w:marBottom w:val="0"/>
          <w:divBdr>
            <w:top w:val="none" w:sz="0" w:space="0" w:color="auto"/>
            <w:left w:val="none" w:sz="0" w:space="0" w:color="auto"/>
            <w:bottom w:val="none" w:sz="0" w:space="0" w:color="auto"/>
            <w:right w:val="none" w:sz="0" w:space="0" w:color="auto"/>
          </w:divBdr>
        </w:div>
        <w:div w:id="1469937282">
          <w:marLeft w:val="0"/>
          <w:marRight w:val="0"/>
          <w:marTop w:val="0"/>
          <w:marBottom w:val="0"/>
          <w:divBdr>
            <w:top w:val="none" w:sz="0" w:space="0" w:color="auto"/>
            <w:left w:val="none" w:sz="0" w:space="0" w:color="auto"/>
            <w:bottom w:val="none" w:sz="0" w:space="0" w:color="auto"/>
            <w:right w:val="none" w:sz="0" w:space="0" w:color="auto"/>
          </w:divBdr>
        </w:div>
        <w:div w:id="1485008305">
          <w:marLeft w:val="0"/>
          <w:marRight w:val="0"/>
          <w:marTop w:val="0"/>
          <w:marBottom w:val="0"/>
          <w:divBdr>
            <w:top w:val="none" w:sz="0" w:space="0" w:color="auto"/>
            <w:left w:val="none" w:sz="0" w:space="0" w:color="auto"/>
            <w:bottom w:val="none" w:sz="0" w:space="0" w:color="auto"/>
            <w:right w:val="none" w:sz="0" w:space="0" w:color="auto"/>
          </w:divBdr>
        </w:div>
        <w:div w:id="1510828223">
          <w:marLeft w:val="0"/>
          <w:marRight w:val="0"/>
          <w:marTop w:val="0"/>
          <w:marBottom w:val="0"/>
          <w:divBdr>
            <w:top w:val="none" w:sz="0" w:space="0" w:color="auto"/>
            <w:left w:val="none" w:sz="0" w:space="0" w:color="auto"/>
            <w:bottom w:val="none" w:sz="0" w:space="0" w:color="auto"/>
            <w:right w:val="none" w:sz="0" w:space="0" w:color="auto"/>
          </w:divBdr>
        </w:div>
        <w:div w:id="1516503438">
          <w:marLeft w:val="0"/>
          <w:marRight w:val="0"/>
          <w:marTop w:val="0"/>
          <w:marBottom w:val="0"/>
          <w:divBdr>
            <w:top w:val="none" w:sz="0" w:space="0" w:color="auto"/>
            <w:left w:val="none" w:sz="0" w:space="0" w:color="auto"/>
            <w:bottom w:val="none" w:sz="0" w:space="0" w:color="auto"/>
            <w:right w:val="none" w:sz="0" w:space="0" w:color="auto"/>
          </w:divBdr>
        </w:div>
        <w:div w:id="1518234007">
          <w:marLeft w:val="0"/>
          <w:marRight w:val="0"/>
          <w:marTop w:val="0"/>
          <w:marBottom w:val="0"/>
          <w:divBdr>
            <w:top w:val="none" w:sz="0" w:space="0" w:color="auto"/>
            <w:left w:val="none" w:sz="0" w:space="0" w:color="auto"/>
            <w:bottom w:val="none" w:sz="0" w:space="0" w:color="auto"/>
            <w:right w:val="none" w:sz="0" w:space="0" w:color="auto"/>
          </w:divBdr>
        </w:div>
        <w:div w:id="1545170127">
          <w:marLeft w:val="0"/>
          <w:marRight w:val="0"/>
          <w:marTop w:val="0"/>
          <w:marBottom w:val="0"/>
          <w:divBdr>
            <w:top w:val="none" w:sz="0" w:space="0" w:color="auto"/>
            <w:left w:val="none" w:sz="0" w:space="0" w:color="auto"/>
            <w:bottom w:val="none" w:sz="0" w:space="0" w:color="auto"/>
            <w:right w:val="none" w:sz="0" w:space="0" w:color="auto"/>
          </w:divBdr>
        </w:div>
        <w:div w:id="1552228919">
          <w:marLeft w:val="0"/>
          <w:marRight w:val="0"/>
          <w:marTop w:val="0"/>
          <w:marBottom w:val="0"/>
          <w:divBdr>
            <w:top w:val="none" w:sz="0" w:space="0" w:color="auto"/>
            <w:left w:val="none" w:sz="0" w:space="0" w:color="auto"/>
            <w:bottom w:val="none" w:sz="0" w:space="0" w:color="auto"/>
            <w:right w:val="none" w:sz="0" w:space="0" w:color="auto"/>
          </w:divBdr>
        </w:div>
        <w:div w:id="1553157255">
          <w:marLeft w:val="0"/>
          <w:marRight w:val="0"/>
          <w:marTop w:val="0"/>
          <w:marBottom w:val="0"/>
          <w:divBdr>
            <w:top w:val="none" w:sz="0" w:space="0" w:color="auto"/>
            <w:left w:val="none" w:sz="0" w:space="0" w:color="auto"/>
            <w:bottom w:val="none" w:sz="0" w:space="0" w:color="auto"/>
            <w:right w:val="none" w:sz="0" w:space="0" w:color="auto"/>
          </w:divBdr>
        </w:div>
        <w:div w:id="1553887175">
          <w:marLeft w:val="0"/>
          <w:marRight w:val="0"/>
          <w:marTop w:val="0"/>
          <w:marBottom w:val="0"/>
          <w:divBdr>
            <w:top w:val="none" w:sz="0" w:space="0" w:color="auto"/>
            <w:left w:val="none" w:sz="0" w:space="0" w:color="auto"/>
            <w:bottom w:val="none" w:sz="0" w:space="0" w:color="auto"/>
            <w:right w:val="none" w:sz="0" w:space="0" w:color="auto"/>
          </w:divBdr>
        </w:div>
        <w:div w:id="1557736180">
          <w:marLeft w:val="0"/>
          <w:marRight w:val="0"/>
          <w:marTop w:val="0"/>
          <w:marBottom w:val="0"/>
          <w:divBdr>
            <w:top w:val="none" w:sz="0" w:space="0" w:color="auto"/>
            <w:left w:val="none" w:sz="0" w:space="0" w:color="auto"/>
            <w:bottom w:val="none" w:sz="0" w:space="0" w:color="auto"/>
            <w:right w:val="none" w:sz="0" w:space="0" w:color="auto"/>
          </w:divBdr>
        </w:div>
        <w:div w:id="1560239104">
          <w:marLeft w:val="0"/>
          <w:marRight w:val="0"/>
          <w:marTop w:val="0"/>
          <w:marBottom w:val="0"/>
          <w:divBdr>
            <w:top w:val="none" w:sz="0" w:space="0" w:color="auto"/>
            <w:left w:val="none" w:sz="0" w:space="0" w:color="auto"/>
            <w:bottom w:val="none" w:sz="0" w:space="0" w:color="auto"/>
            <w:right w:val="none" w:sz="0" w:space="0" w:color="auto"/>
          </w:divBdr>
        </w:div>
        <w:div w:id="1581711671">
          <w:marLeft w:val="0"/>
          <w:marRight w:val="0"/>
          <w:marTop w:val="0"/>
          <w:marBottom w:val="0"/>
          <w:divBdr>
            <w:top w:val="none" w:sz="0" w:space="0" w:color="auto"/>
            <w:left w:val="none" w:sz="0" w:space="0" w:color="auto"/>
            <w:bottom w:val="none" w:sz="0" w:space="0" w:color="auto"/>
            <w:right w:val="none" w:sz="0" w:space="0" w:color="auto"/>
          </w:divBdr>
        </w:div>
        <w:div w:id="1586068706">
          <w:marLeft w:val="0"/>
          <w:marRight w:val="0"/>
          <w:marTop w:val="0"/>
          <w:marBottom w:val="0"/>
          <w:divBdr>
            <w:top w:val="none" w:sz="0" w:space="0" w:color="auto"/>
            <w:left w:val="none" w:sz="0" w:space="0" w:color="auto"/>
            <w:bottom w:val="none" w:sz="0" w:space="0" w:color="auto"/>
            <w:right w:val="none" w:sz="0" w:space="0" w:color="auto"/>
          </w:divBdr>
        </w:div>
        <w:div w:id="1594588153">
          <w:marLeft w:val="0"/>
          <w:marRight w:val="0"/>
          <w:marTop w:val="0"/>
          <w:marBottom w:val="0"/>
          <w:divBdr>
            <w:top w:val="none" w:sz="0" w:space="0" w:color="auto"/>
            <w:left w:val="none" w:sz="0" w:space="0" w:color="auto"/>
            <w:bottom w:val="none" w:sz="0" w:space="0" w:color="auto"/>
            <w:right w:val="none" w:sz="0" w:space="0" w:color="auto"/>
          </w:divBdr>
          <w:divsChild>
            <w:div w:id="110708195">
              <w:marLeft w:val="0"/>
              <w:marRight w:val="0"/>
              <w:marTop w:val="0"/>
              <w:marBottom w:val="0"/>
              <w:divBdr>
                <w:top w:val="none" w:sz="0" w:space="0" w:color="auto"/>
                <w:left w:val="none" w:sz="0" w:space="0" w:color="auto"/>
                <w:bottom w:val="none" w:sz="0" w:space="0" w:color="auto"/>
                <w:right w:val="none" w:sz="0" w:space="0" w:color="auto"/>
              </w:divBdr>
            </w:div>
            <w:div w:id="356851333">
              <w:marLeft w:val="0"/>
              <w:marRight w:val="0"/>
              <w:marTop w:val="0"/>
              <w:marBottom w:val="0"/>
              <w:divBdr>
                <w:top w:val="none" w:sz="0" w:space="0" w:color="auto"/>
                <w:left w:val="none" w:sz="0" w:space="0" w:color="auto"/>
                <w:bottom w:val="none" w:sz="0" w:space="0" w:color="auto"/>
                <w:right w:val="none" w:sz="0" w:space="0" w:color="auto"/>
              </w:divBdr>
            </w:div>
            <w:div w:id="550338148">
              <w:marLeft w:val="0"/>
              <w:marRight w:val="0"/>
              <w:marTop w:val="0"/>
              <w:marBottom w:val="0"/>
              <w:divBdr>
                <w:top w:val="none" w:sz="0" w:space="0" w:color="auto"/>
                <w:left w:val="none" w:sz="0" w:space="0" w:color="auto"/>
                <w:bottom w:val="none" w:sz="0" w:space="0" w:color="auto"/>
                <w:right w:val="none" w:sz="0" w:space="0" w:color="auto"/>
              </w:divBdr>
            </w:div>
            <w:div w:id="758021332">
              <w:marLeft w:val="0"/>
              <w:marRight w:val="0"/>
              <w:marTop w:val="0"/>
              <w:marBottom w:val="0"/>
              <w:divBdr>
                <w:top w:val="none" w:sz="0" w:space="0" w:color="auto"/>
                <w:left w:val="none" w:sz="0" w:space="0" w:color="auto"/>
                <w:bottom w:val="none" w:sz="0" w:space="0" w:color="auto"/>
                <w:right w:val="none" w:sz="0" w:space="0" w:color="auto"/>
              </w:divBdr>
            </w:div>
            <w:div w:id="825632949">
              <w:marLeft w:val="0"/>
              <w:marRight w:val="0"/>
              <w:marTop w:val="0"/>
              <w:marBottom w:val="0"/>
              <w:divBdr>
                <w:top w:val="none" w:sz="0" w:space="0" w:color="auto"/>
                <w:left w:val="none" w:sz="0" w:space="0" w:color="auto"/>
                <w:bottom w:val="none" w:sz="0" w:space="0" w:color="auto"/>
                <w:right w:val="none" w:sz="0" w:space="0" w:color="auto"/>
              </w:divBdr>
            </w:div>
            <w:div w:id="850026915">
              <w:marLeft w:val="0"/>
              <w:marRight w:val="0"/>
              <w:marTop w:val="0"/>
              <w:marBottom w:val="0"/>
              <w:divBdr>
                <w:top w:val="none" w:sz="0" w:space="0" w:color="auto"/>
                <w:left w:val="none" w:sz="0" w:space="0" w:color="auto"/>
                <w:bottom w:val="none" w:sz="0" w:space="0" w:color="auto"/>
                <w:right w:val="none" w:sz="0" w:space="0" w:color="auto"/>
              </w:divBdr>
            </w:div>
            <w:div w:id="927152596">
              <w:marLeft w:val="0"/>
              <w:marRight w:val="0"/>
              <w:marTop w:val="0"/>
              <w:marBottom w:val="0"/>
              <w:divBdr>
                <w:top w:val="none" w:sz="0" w:space="0" w:color="auto"/>
                <w:left w:val="none" w:sz="0" w:space="0" w:color="auto"/>
                <w:bottom w:val="none" w:sz="0" w:space="0" w:color="auto"/>
                <w:right w:val="none" w:sz="0" w:space="0" w:color="auto"/>
              </w:divBdr>
            </w:div>
            <w:div w:id="1388912316">
              <w:marLeft w:val="0"/>
              <w:marRight w:val="0"/>
              <w:marTop w:val="0"/>
              <w:marBottom w:val="0"/>
              <w:divBdr>
                <w:top w:val="none" w:sz="0" w:space="0" w:color="auto"/>
                <w:left w:val="none" w:sz="0" w:space="0" w:color="auto"/>
                <w:bottom w:val="none" w:sz="0" w:space="0" w:color="auto"/>
                <w:right w:val="none" w:sz="0" w:space="0" w:color="auto"/>
              </w:divBdr>
            </w:div>
            <w:div w:id="1421173648">
              <w:marLeft w:val="0"/>
              <w:marRight w:val="0"/>
              <w:marTop w:val="0"/>
              <w:marBottom w:val="0"/>
              <w:divBdr>
                <w:top w:val="none" w:sz="0" w:space="0" w:color="auto"/>
                <w:left w:val="none" w:sz="0" w:space="0" w:color="auto"/>
                <w:bottom w:val="none" w:sz="0" w:space="0" w:color="auto"/>
                <w:right w:val="none" w:sz="0" w:space="0" w:color="auto"/>
              </w:divBdr>
            </w:div>
            <w:div w:id="1663776120">
              <w:marLeft w:val="0"/>
              <w:marRight w:val="0"/>
              <w:marTop w:val="0"/>
              <w:marBottom w:val="0"/>
              <w:divBdr>
                <w:top w:val="none" w:sz="0" w:space="0" w:color="auto"/>
                <w:left w:val="none" w:sz="0" w:space="0" w:color="auto"/>
                <w:bottom w:val="none" w:sz="0" w:space="0" w:color="auto"/>
                <w:right w:val="none" w:sz="0" w:space="0" w:color="auto"/>
              </w:divBdr>
            </w:div>
            <w:div w:id="1678532380">
              <w:marLeft w:val="0"/>
              <w:marRight w:val="0"/>
              <w:marTop w:val="0"/>
              <w:marBottom w:val="0"/>
              <w:divBdr>
                <w:top w:val="none" w:sz="0" w:space="0" w:color="auto"/>
                <w:left w:val="none" w:sz="0" w:space="0" w:color="auto"/>
                <w:bottom w:val="none" w:sz="0" w:space="0" w:color="auto"/>
                <w:right w:val="none" w:sz="0" w:space="0" w:color="auto"/>
              </w:divBdr>
            </w:div>
            <w:div w:id="1692148137">
              <w:marLeft w:val="0"/>
              <w:marRight w:val="0"/>
              <w:marTop w:val="0"/>
              <w:marBottom w:val="0"/>
              <w:divBdr>
                <w:top w:val="none" w:sz="0" w:space="0" w:color="auto"/>
                <w:left w:val="none" w:sz="0" w:space="0" w:color="auto"/>
                <w:bottom w:val="none" w:sz="0" w:space="0" w:color="auto"/>
                <w:right w:val="none" w:sz="0" w:space="0" w:color="auto"/>
              </w:divBdr>
            </w:div>
            <w:div w:id="1719082809">
              <w:marLeft w:val="0"/>
              <w:marRight w:val="0"/>
              <w:marTop w:val="0"/>
              <w:marBottom w:val="0"/>
              <w:divBdr>
                <w:top w:val="none" w:sz="0" w:space="0" w:color="auto"/>
                <w:left w:val="none" w:sz="0" w:space="0" w:color="auto"/>
                <w:bottom w:val="none" w:sz="0" w:space="0" w:color="auto"/>
                <w:right w:val="none" w:sz="0" w:space="0" w:color="auto"/>
              </w:divBdr>
            </w:div>
            <w:div w:id="1732389744">
              <w:marLeft w:val="0"/>
              <w:marRight w:val="0"/>
              <w:marTop w:val="0"/>
              <w:marBottom w:val="0"/>
              <w:divBdr>
                <w:top w:val="none" w:sz="0" w:space="0" w:color="auto"/>
                <w:left w:val="none" w:sz="0" w:space="0" w:color="auto"/>
                <w:bottom w:val="none" w:sz="0" w:space="0" w:color="auto"/>
                <w:right w:val="none" w:sz="0" w:space="0" w:color="auto"/>
              </w:divBdr>
            </w:div>
            <w:div w:id="1738431850">
              <w:marLeft w:val="0"/>
              <w:marRight w:val="0"/>
              <w:marTop w:val="0"/>
              <w:marBottom w:val="0"/>
              <w:divBdr>
                <w:top w:val="none" w:sz="0" w:space="0" w:color="auto"/>
                <w:left w:val="none" w:sz="0" w:space="0" w:color="auto"/>
                <w:bottom w:val="none" w:sz="0" w:space="0" w:color="auto"/>
                <w:right w:val="none" w:sz="0" w:space="0" w:color="auto"/>
              </w:divBdr>
            </w:div>
            <w:div w:id="1770589601">
              <w:marLeft w:val="0"/>
              <w:marRight w:val="0"/>
              <w:marTop w:val="0"/>
              <w:marBottom w:val="0"/>
              <w:divBdr>
                <w:top w:val="none" w:sz="0" w:space="0" w:color="auto"/>
                <w:left w:val="none" w:sz="0" w:space="0" w:color="auto"/>
                <w:bottom w:val="none" w:sz="0" w:space="0" w:color="auto"/>
                <w:right w:val="none" w:sz="0" w:space="0" w:color="auto"/>
              </w:divBdr>
            </w:div>
            <w:div w:id="1815177241">
              <w:marLeft w:val="0"/>
              <w:marRight w:val="0"/>
              <w:marTop w:val="0"/>
              <w:marBottom w:val="0"/>
              <w:divBdr>
                <w:top w:val="none" w:sz="0" w:space="0" w:color="auto"/>
                <w:left w:val="none" w:sz="0" w:space="0" w:color="auto"/>
                <w:bottom w:val="none" w:sz="0" w:space="0" w:color="auto"/>
                <w:right w:val="none" w:sz="0" w:space="0" w:color="auto"/>
              </w:divBdr>
            </w:div>
            <w:div w:id="1821312673">
              <w:marLeft w:val="0"/>
              <w:marRight w:val="0"/>
              <w:marTop w:val="0"/>
              <w:marBottom w:val="0"/>
              <w:divBdr>
                <w:top w:val="none" w:sz="0" w:space="0" w:color="auto"/>
                <w:left w:val="none" w:sz="0" w:space="0" w:color="auto"/>
                <w:bottom w:val="none" w:sz="0" w:space="0" w:color="auto"/>
                <w:right w:val="none" w:sz="0" w:space="0" w:color="auto"/>
              </w:divBdr>
            </w:div>
            <w:div w:id="1838186137">
              <w:marLeft w:val="0"/>
              <w:marRight w:val="0"/>
              <w:marTop w:val="0"/>
              <w:marBottom w:val="0"/>
              <w:divBdr>
                <w:top w:val="none" w:sz="0" w:space="0" w:color="auto"/>
                <w:left w:val="none" w:sz="0" w:space="0" w:color="auto"/>
                <w:bottom w:val="none" w:sz="0" w:space="0" w:color="auto"/>
                <w:right w:val="none" w:sz="0" w:space="0" w:color="auto"/>
              </w:divBdr>
            </w:div>
            <w:div w:id="1870753912">
              <w:marLeft w:val="0"/>
              <w:marRight w:val="0"/>
              <w:marTop w:val="0"/>
              <w:marBottom w:val="0"/>
              <w:divBdr>
                <w:top w:val="none" w:sz="0" w:space="0" w:color="auto"/>
                <w:left w:val="none" w:sz="0" w:space="0" w:color="auto"/>
                <w:bottom w:val="none" w:sz="0" w:space="0" w:color="auto"/>
                <w:right w:val="none" w:sz="0" w:space="0" w:color="auto"/>
              </w:divBdr>
            </w:div>
          </w:divsChild>
        </w:div>
        <w:div w:id="1601644492">
          <w:marLeft w:val="0"/>
          <w:marRight w:val="0"/>
          <w:marTop w:val="0"/>
          <w:marBottom w:val="0"/>
          <w:divBdr>
            <w:top w:val="none" w:sz="0" w:space="0" w:color="auto"/>
            <w:left w:val="none" w:sz="0" w:space="0" w:color="auto"/>
            <w:bottom w:val="none" w:sz="0" w:space="0" w:color="auto"/>
            <w:right w:val="none" w:sz="0" w:space="0" w:color="auto"/>
          </w:divBdr>
        </w:div>
        <w:div w:id="1611744533">
          <w:marLeft w:val="0"/>
          <w:marRight w:val="0"/>
          <w:marTop w:val="0"/>
          <w:marBottom w:val="0"/>
          <w:divBdr>
            <w:top w:val="none" w:sz="0" w:space="0" w:color="auto"/>
            <w:left w:val="none" w:sz="0" w:space="0" w:color="auto"/>
            <w:bottom w:val="none" w:sz="0" w:space="0" w:color="auto"/>
            <w:right w:val="none" w:sz="0" w:space="0" w:color="auto"/>
          </w:divBdr>
        </w:div>
        <w:div w:id="1615402231">
          <w:marLeft w:val="0"/>
          <w:marRight w:val="0"/>
          <w:marTop w:val="0"/>
          <w:marBottom w:val="0"/>
          <w:divBdr>
            <w:top w:val="none" w:sz="0" w:space="0" w:color="auto"/>
            <w:left w:val="none" w:sz="0" w:space="0" w:color="auto"/>
            <w:bottom w:val="none" w:sz="0" w:space="0" w:color="auto"/>
            <w:right w:val="none" w:sz="0" w:space="0" w:color="auto"/>
          </w:divBdr>
        </w:div>
        <w:div w:id="1627814614">
          <w:marLeft w:val="0"/>
          <w:marRight w:val="0"/>
          <w:marTop w:val="0"/>
          <w:marBottom w:val="0"/>
          <w:divBdr>
            <w:top w:val="none" w:sz="0" w:space="0" w:color="auto"/>
            <w:left w:val="none" w:sz="0" w:space="0" w:color="auto"/>
            <w:bottom w:val="none" w:sz="0" w:space="0" w:color="auto"/>
            <w:right w:val="none" w:sz="0" w:space="0" w:color="auto"/>
          </w:divBdr>
        </w:div>
        <w:div w:id="1640114859">
          <w:marLeft w:val="0"/>
          <w:marRight w:val="0"/>
          <w:marTop w:val="0"/>
          <w:marBottom w:val="0"/>
          <w:divBdr>
            <w:top w:val="none" w:sz="0" w:space="0" w:color="auto"/>
            <w:left w:val="none" w:sz="0" w:space="0" w:color="auto"/>
            <w:bottom w:val="none" w:sz="0" w:space="0" w:color="auto"/>
            <w:right w:val="none" w:sz="0" w:space="0" w:color="auto"/>
          </w:divBdr>
        </w:div>
        <w:div w:id="1640457989">
          <w:marLeft w:val="0"/>
          <w:marRight w:val="0"/>
          <w:marTop w:val="0"/>
          <w:marBottom w:val="0"/>
          <w:divBdr>
            <w:top w:val="none" w:sz="0" w:space="0" w:color="auto"/>
            <w:left w:val="none" w:sz="0" w:space="0" w:color="auto"/>
            <w:bottom w:val="none" w:sz="0" w:space="0" w:color="auto"/>
            <w:right w:val="none" w:sz="0" w:space="0" w:color="auto"/>
          </w:divBdr>
        </w:div>
        <w:div w:id="1642421897">
          <w:marLeft w:val="0"/>
          <w:marRight w:val="0"/>
          <w:marTop w:val="0"/>
          <w:marBottom w:val="0"/>
          <w:divBdr>
            <w:top w:val="none" w:sz="0" w:space="0" w:color="auto"/>
            <w:left w:val="none" w:sz="0" w:space="0" w:color="auto"/>
            <w:bottom w:val="none" w:sz="0" w:space="0" w:color="auto"/>
            <w:right w:val="none" w:sz="0" w:space="0" w:color="auto"/>
          </w:divBdr>
        </w:div>
        <w:div w:id="1686321237">
          <w:marLeft w:val="0"/>
          <w:marRight w:val="0"/>
          <w:marTop w:val="0"/>
          <w:marBottom w:val="0"/>
          <w:divBdr>
            <w:top w:val="none" w:sz="0" w:space="0" w:color="auto"/>
            <w:left w:val="none" w:sz="0" w:space="0" w:color="auto"/>
            <w:bottom w:val="none" w:sz="0" w:space="0" w:color="auto"/>
            <w:right w:val="none" w:sz="0" w:space="0" w:color="auto"/>
          </w:divBdr>
        </w:div>
        <w:div w:id="1690132840">
          <w:marLeft w:val="0"/>
          <w:marRight w:val="0"/>
          <w:marTop w:val="0"/>
          <w:marBottom w:val="0"/>
          <w:divBdr>
            <w:top w:val="none" w:sz="0" w:space="0" w:color="auto"/>
            <w:left w:val="none" w:sz="0" w:space="0" w:color="auto"/>
            <w:bottom w:val="none" w:sz="0" w:space="0" w:color="auto"/>
            <w:right w:val="none" w:sz="0" w:space="0" w:color="auto"/>
          </w:divBdr>
        </w:div>
        <w:div w:id="1692493844">
          <w:marLeft w:val="0"/>
          <w:marRight w:val="0"/>
          <w:marTop w:val="0"/>
          <w:marBottom w:val="0"/>
          <w:divBdr>
            <w:top w:val="none" w:sz="0" w:space="0" w:color="auto"/>
            <w:left w:val="none" w:sz="0" w:space="0" w:color="auto"/>
            <w:bottom w:val="none" w:sz="0" w:space="0" w:color="auto"/>
            <w:right w:val="none" w:sz="0" w:space="0" w:color="auto"/>
          </w:divBdr>
        </w:div>
        <w:div w:id="1709866372">
          <w:marLeft w:val="0"/>
          <w:marRight w:val="0"/>
          <w:marTop w:val="0"/>
          <w:marBottom w:val="0"/>
          <w:divBdr>
            <w:top w:val="none" w:sz="0" w:space="0" w:color="auto"/>
            <w:left w:val="none" w:sz="0" w:space="0" w:color="auto"/>
            <w:bottom w:val="none" w:sz="0" w:space="0" w:color="auto"/>
            <w:right w:val="none" w:sz="0" w:space="0" w:color="auto"/>
          </w:divBdr>
        </w:div>
        <w:div w:id="1720350374">
          <w:marLeft w:val="0"/>
          <w:marRight w:val="0"/>
          <w:marTop w:val="0"/>
          <w:marBottom w:val="0"/>
          <w:divBdr>
            <w:top w:val="none" w:sz="0" w:space="0" w:color="auto"/>
            <w:left w:val="none" w:sz="0" w:space="0" w:color="auto"/>
            <w:bottom w:val="none" w:sz="0" w:space="0" w:color="auto"/>
            <w:right w:val="none" w:sz="0" w:space="0" w:color="auto"/>
          </w:divBdr>
        </w:div>
        <w:div w:id="1723361076">
          <w:marLeft w:val="0"/>
          <w:marRight w:val="0"/>
          <w:marTop w:val="0"/>
          <w:marBottom w:val="0"/>
          <w:divBdr>
            <w:top w:val="none" w:sz="0" w:space="0" w:color="auto"/>
            <w:left w:val="none" w:sz="0" w:space="0" w:color="auto"/>
            <w:bottom w:val="none" w:sz="0" w:space="0" w:color="auto"/>
            <w:right w:val="none" w:sz="0" w:space="0" w:color="auto"/>
          </w:divBdr>
        </w:div>
        <w:div w:id="1733625538">
          <w:marLeft w:val="0"/>
          <w:marRight w:val="0"/>
          <w:marTop w:val="0"/>
          <w:marBottom w:val="0"/>
          <w:divBdr>
            <w:top w:val="none" w:sz="0" w:space="0" w:color="auto"/>
            <w:left w:val="none" w:sz="0" w:space="0" w:color="auto"/>
            <w:bottom w:val="none" w:sz="0" w:space="0" w:color="auto"/>
            <w:right w:val="none" w:sz="0" w:space="0" w:color="auto"/>
          </w:divBdr>
        </w:div>
        <w:div w:id="1742944248">
          <w:marLeft w:val="0"/>
          <w:marRight w:val="0"/>
          <w:marTop w:val="0"/>
          <w:marBottom w:val="0"/>
          <w:divBdr>
            <w:top w:val="none" w:sz="0" w:space="0" w:color="auto"/>
            <w:left w:val="none" w:sz="0" w:space="0" w:color="auto"/>
            <w:bottom w:val="none" w:sz="0" w:space="0" w:color="auto"/>
            <w:right w:val="none" w:sz="0" w:space="0" w:color="auto"/>
          </w:divBdr>
        </w:div>
        <w:div w:id="1746998982">
          <w:marLeft w:val="0"/>
          <w:marRight w:val="0"/>
          <w:marTop w:val="0"/>
          <w:marBottom w:val="0"/>
          <w:divBdr>
            <w:top w:val="none" w:sz="0" w:space="0" w:color="auto"/>
            <w:left w:val="none" w:sz="0" w:space="0" w:color="auto"/>
            <w:bottom w:val="none" w:sz="0" w:space="0" w:color="auto"/>
            <w:right w:val="none" w:sz="0" w:space="0" w:color="auto"/>
          </w:divBdr>
        </w:div>
        <w:div w:id="1757169543">
          <w:marLeft w:val="0"/>
          <w:marRight w:val="0"/>
          <w:marTop w:val="0"/>
          <w:marBottom w:val="0"/>
          <w:divBdr>
            <w:top w:val="none" w:sz="0" w:space="0" w:color="auto"/>
            <w:left w:val="none" w:sz="0" w:space="0" w:color="auto"/>
            <w:bottom w:val="none" w:sz="0" w:space="0" w:color="auto"/>
            <w:right w:val="none" w:sz="0" w:space="0" w:color="auto"/>
          </w:divBdr>
        </w:div>
        <w:div w:id="1766531976">
          <w:marLeft w:val="0"/>
          <w:marRight w:val="0"/>
          <w:marTop w:val="0"/>
          <w:marBottom w:val="0"/>
          <w:divBdr>
            <w:top w:val="none" w:sz="0" w:space="0" w:color="auto"/>
            <w:left w:val="none" w:sz="0" w:space="0" w:color="auto"/>
            <w:bottom w:val="none" w:sz="0" w:space="0" w:color="auto"/>
            <w:right w:val="none" w:sz="0" w:space="0" w:color="auto"/>
          </w:divBdr>
        </w:div>
        <w:div w:id="1771008135">
          <w:marLeft w:val="0"/>
          <w:marRight w:val="0"/>
          <w:marTop w:val="0"/>
          <w:marBottom w:val="0"/>
          <w:divBdr>
            <w:top w:val="none" w:sz="0" w:space="0" w:color="auto"/>
            <w:left w:val="none" w:sz="0" w:space="0" w:color="auto"/>
            <w:bottom w:val="none" w:sz="0" w:space="0" w:color="auto"/>
            <w:right w:val="none" w:sz="0" w:space="0" w:color="auto"/>
          </w:divBdr>
        </w:div>
        <w:div w:id="1792432117">
          <w:marLeft w:val="0"/>
          <w:marRight w:val="0"/>
          <w:marTop w:val="0"/>
          <w:marBottom w:val="0"/>
          <w:divBdr>
            <w:top w:val="none" w:sz="0" w:space="0" w:color="auto"/>
            <w:left w:val="none" w:sz="0" w:space="0" w:color="auto"/>
            <w:bottom w:val="none" w:sz="0" w:space="0" w:color="auto"/>
            <w:right w:val="none" w:sz="0" w:space="0" w:color="auto"/>
          </w:divBdr>
        </w:div>
        <w:div w:id="1800144909">
          <w:marLeft w:val="0"/>
          <w:marRight w:val="0"/>
          <w:marTop w:val="0"/>
          <w:marBottom w:val="0"/>
          <w:divBdr>
            <w:top w:val="none" w:sz="0" w:space="0" w:color="auto"/>
            <w:left w:val="none" w:sz="0" w:space="0" w:color="auto"/>
            <w:bottom w:val="none" w:sz="0" w:space="0" w:color="auto"/>
            <w:right w:val="none" w:sz="0" w:space="0" w:color="auto"/>
          </w:divBdr>
        </w:div>
        <w:div w:id="1803231151">
          <w:marLeft w:val="0"/>
          <w:marRight w:val="0"/>
          <w:marTop w:val="0"/>
          <w:marBottom w:val="0"/>
          <w:divBdr>
            <w:top w:val="none" w:sz="0" w:space="0" w:color="auto"/>
            <w:left w:val="none" w:sz="0" w:space="0" w:color="auto"/>
            <w:bottom w:val="none" w:sz="0" w:space="0" w:color="auto"/>
            <w:right w:val="none" w:sz="0" w:space="0" w:color="auto"/>
          </w:divBdr>
        </w:div>
        <w:div w:id="1803498020">
          <w:marLeft w:val="0"/>
          <w:marRight w:val="0"/>
          <w:marTop w:val="0"/>
          <w:marBottom w:val="0"/>
          <w:divBdr>
            <w:top w:val="none" w:sz="0" w:space="0" w:color="auto"/>
            <w:left w:val="none" w:sz="0" w:space="0" w:color="auto"/>
            <w:bottom w:val="none" w:sz="0" w:space="0" w:color="auto"/>
            <w:right w:val="none" w:sz="0" w:space="0" w:color="auto"/>
          </w:divBdr>
        </w:div>
        <w:div w:id="1842888420">
          <w:marLeft w:val="0"/>
          <w:marRight w:val="0"/>
          <w:marTop w:val="0"/>
          <w:marBottom w:val="0"/>
          <w:divBdr>
            <w:top w:val="none" w:sz="0" w:space="0" w:color="auto"/>
            <w:left w:val="none" w:sz="0" w:space="0" w:color="auto"/>
            <w:bottom w:val="none" w:sz="0" w:space="0" w:color="auto"/>
            <w:right w:val="none" w:sz="0" w:space="0" w:color="auto"/>
          </w:divBdr>
          <w:divsChild>
            <w:div w:id="58752026">
              <w:marLeft w:val="0"/>
              <w:marRight w:val="0"/>
              <w:marTop w:val="0"/>
              <w:marBottom w:val="0"/>
              <w:divBdr>
                <w:top w:val="none" w:sz="0" w:space="0" w:color="auto"/>
                <w:left w:val="none" w:sz="0" w:space="0" w:color="auto"/>
                <w:bottom w:val="none" w:sz="0" w:space="0" w:color="auto"/>
                <w:right w:val="none" w:sz="0" w:space="0" w:color="auto"/>
              </w:divBdr>
            </w:div>
            <w:div w:id="202178959">
              <w:marLeft w:val="0"/>
              <w:marRight w:val="0"/>
              <w:marTop w:val="0"/>
              <w:marBottom w:val="0"/>
              <w:divBdr>
                <w:top w:val="none" w:sz="0" w:space="0" w:color="auto"/>
                <w:left w:val="none" w:sz="0" w:space="0" w:color="auto"/>
                <w:bottom w:val="none" w:sz="0" w:space="0" w:color="auto"/>
                <w:right w:val="none" w:sz="0" w:space="0" w:color="auto"/>
              </w:divBdr>
            </w:div>
            <w:div w:id="306739115">
              <w:marLeft w:val="0"/>
              <w:marRight w:val="0"/>
              <w:marTop w:val="0"/>
              <w:marBottom w:val="0"/>
              <w:divBdr>
                <w:top w:val="none" w:sz="0" w:space="0" w:color="auto"/>
                <w:left w:val="none" w:sz="0" w:space="0" w:color="auto"/>
                <w:bottom w:val="none" w:sz="0" w:space="0" w:color="auto"/>
                <w:right w:val="none" w:sz="0" w:space="0" w:color="auto"/>
              </w:divBdr>
            </w:div>
            <w:div w:id="495147628">
              <w:marLeft w:val="0"/>
              <w:marRight w:val="0"/>
              <w:marTop w:val="0"/>
              <w:marBottom w:val="0"/>
              <w:divBdr>
                <w:top w:val="none" w:sz="0" w:space="0" w:color="auto"/>
                <w:left w:val="none" w:sz="0" w:space="0" w:color="auto"/>
                <w:bottom w:val="none" w:sz="0" w:space="0" w:color="auto"/>
                <w:right w:val="none" w:sz="0" w:space="0" w:color="auto"/>
              </w:divBdr>
            </w:div>
            <w:div w:id="513956402">
              <w:marLeft w:val="0"/>
              <w:marRight w:val="0"/>
              <w:marTop w:val="0"/>
              <w:marBottom w:val="0"/>
              <w:divBdr>
                <w:top w:val="none" w:sz="0" w:space="0" w:color="auto"/>
                <w:left w:val="none" w:sz="0" w:space="0" w:color="auto"/>
                <w:bottom w:val="none" w:sz="0" w:space="0" w:color="auto"/>
                <w:right w:val="none" w:sz="0" w:space="0" w:color="auto"/>
              </w:divBdr>
            </w:div>
            <w:div w:id="565339553">
              <w:marLeft w:val="0"/>
              <w:marRight w:val="0"/>
              <w:marTop w:val="0"/>
              <w:marBottom w:val="0"/>
              <w:divBdr>
                <w:top w:val="none" w:sz="0" w:space="0" w:color="auto"/>
                <w:left w:val="none" w:sz="0" w:space="0" w:color="auto"/>
                <w:bottom w:val="none" w:sz="0" w:space="0" w:color="auto"/>
                <w:right w:val="none" w:sz="0" w:space="0" w:color="auto"/>
              </w:divBdr>
            </w:div>
            <w:div w:id="1021130775">
              <w:marLeft w:val="0"/>
              <w:marRight w:val="0"/>
              <w:marTop w:val="0"/>
              <w:marBottom w:val="0"/>
              <w:divBdr>
                <w:top w:val="none" w:sz="0" w:space="0" w:color="auto"/>
                <w:left w:val="none" w:sz="0" w:space="0" w:color="auto"/>
                <w:bottom w:val="none" w:sz="0" w:space="0" w:color="auto"/>
                <w:right w:val="none" w:sz="0" w:space="0" w:color="auto"/>
              </w:divBdr>
            </w:div>
            <w:div w:id="1158889088">
              <w:marLeft w:val="0"/>
              <w:marRight w:val="0"/>
              <w:marTop w:val="0"/>
              <w:marBottom w:val="0"/>
              <w:divBdr>
                <w:top w:val="none" w:sz="0" w:space="0" w:color="auto"/>
                <w:left w:val="none" w:sz="0" w:space="0" w:color="auto"/>
                <w:bottom w:val="none" w:sz="0" w:space="0" w:color="auto"/>
                <w:right w:val="none" w:sz="0" w:space="0" w:color="auto"/>
              </w:divBdr>
            </w:div>
            <w:div w:id="1368992567">
              <w:marLeft w:val="0"/>
              <w:marRight w:val="0"/>
              <w:marTop w:val="0"/>
              <w:marBottom w:val="0"/>
              <w:divBdr>
                <w:top w:val="none" w:sz="0" w:space="0" w:color="auto"/>
                <w:left w:val="none" w:sz="0" w:space="0" w:color="auto"/>
                <w:bottom w:val="none" w:sz="0" w:space="0" w:color="auto"/>
                <w:right w:val="none" w:sz="0" w:space="0" w:color="auto"/>
              </w:divBdr>
            </w:div>
            <w:div w:id="1388916573">
              <w:marLeft w:val="0"/>
              <w:marRight w:val="0"/>
              <w:marTop w:val="0"/>
              <w:marBottom w:val="0"/>
              <w:divBdr>
                <w:top w:val="none" w:sz="0" w:space="0" w:color="auto"/>
                <w:left w:val="none" w:sz="0" w:space="0" w:color="auto"/>
                <w:bottom w:val="none" w:sz="0" w:space="0" w:color="auto"/>
                <w:right w:val="none" w:sz="0" w:space="0" w:color="auto"/>
              </w:divBdr>
            </w:div>
            <w:div w:id="1418789928">
              <w:marLeft w:val="0"/>
              <w:marRight w:val="0"/>
              <w:marTop w:val="0"/>
              <w:marBottom w:val="0"/>
              <w:divBdr>
                <w:top w:val="none" w:sz="0" w:space="0" w:color="auto"/>
                <w:left w:val="none" w:sz="0" w:space="0" w:color="auto"/>
                <w:bottom w:val="none" w:sz="0" w:space="0" w:color="auto"/>
                <w:right w:val="none" w:sz="0" w:space="0" w:color="auto"/>
              </w:divBdr>
            </w:div>
            <w:div w:id="1421685103">
              <w:marLeft w:val="0"/>
              <w:marRight w:val="0"/>
              <w:marTop w:val="0"/>
              <w:marBottom w:val="0"/>
              <w:divBdr>
                <w:top w:val="none" w:sz="0" w:space="0" w:color="auto"/>
                <w:left w:val="none" w:sz="0" w:space="0" w:color="auto"/>
                <w:bottom w:val="none" w:sz="0" w:space="0" w:color="auto"/>
                <w:right w:val="none" w:sz="0" w:space="0" w:color="auto"/>
              </w:divBdr>
            </w:div>
            <w:div w:id="1461805289">
              <w:marLeft w:val="0"/>
              <w:marRight w:val="0"/>
              <w:marTop w:val="0"/>
              <w:marBottom w:val="0"/>
              <w:divBdr>
                <w:top w:val="none" w:sz="0" w:space="0" w:color="auto"/>
                <w:left w:val="none" w:sz="0" w:space="0" w:color="auto"/>
                <w:bottom w:val="none" w:sz="0" w:space="0" w:color="auto"/>
                <w:right w:val="none" w:sz="0" w:space="0" w:color="auto"/>
              </w:divBdr>
            </w:div>
            <w:div w:id="1583299514">
              <w:marLeft w:val="0"/>
              <w:marRight w:val="0"/>
              <w:marTop w:val="0"/>
              <w:marBottom w:val="0"/>
              <w:divBdr>
                <w:top w:val="none" w:sz="0" w:space="0" w:color="auto"/>
                <w:left w:val="none" w:sz="0" w:space="0" w:color="auto"/>
                <w:bottom w:val="none" w:sz="0" w:space="0" w:color="auto"/>
                <w:right w:val="none" w:sz="0" w:space="0" w:color="auto"/>
              </w:divBdr>
            </w:div>
            <w:div w:id="1900902405">
              <w:marLeft w:val="0"/>
              <w:marRight w:val="0"/>
              <w:marTop w:val="0"/>
              <w:marBottom w:val="0"/>
              <w:divBdr>
                <w:top w:val="none" w:sz="0" w:space="0" w:color="auto"/>
                <w:left w:val="none" w:sz="0" w:space="0" w:color="auto"/>
                <w:bottom w:val="none" w:sz="0" w:space="0" w:color="auto"/>
                <w:right w:val="none" w:sz="0" w:space="0" w:color="auto"/>
              </w:divBdr>
            </w:div>
            <w:div w:id="1953776764">
              <w:marLeft w:val="0"/>
              <w:marRight w:val="0"/>
              <w:marTop w:val="0"/>
              <w:marBottom w:val="0"/>
              <w:divBdr>
                <w:top w:val="none" w:sz="0" w:space="0" w:color="auto"/>
                <w:left w:val="none" w:sz="0" w:space="0" w:color="auto"/>
                <w:bottom w:val="none" w:sz="0" w:space="0" w:color="auto"/>
                <w:right w:val="none" w:sz="0" w:space="0" w:color="auto"/>
              </w:divBdr>
            </w:div>
            <w:div w:id="2006207138">
              <w:marLeft w:val="0"/>
              <w:marRight w:val="0"/>
              <w:marTop w:val="0"/>
              <w:marBottom w:val="0"/>
              <w:divBdr>
                <w:top w:val="none" w:sz="0" w:space="0" w:color="auto"/>
                <w:left w:val="none" w:sz="0" w:space="0" w:color="auto"/>
                <w:bottom w:val="none" w:sz="0" w:space="0" w:color="auto"/>
                <w:right w:val="none" w:sz="0" w:space="0" w:color="auto"/>
              </w:divBdr>
            </w:div>
            <w:div w:id="2014334090">
              <w:marLeft w:val="0"/>
              <w:marRight w:val="0"/>
              <w:marTop w:val="0"/>
              <w:marBottom w:val="0"/>
              <w:divBdr>
                <w:top w:val="none" w:sz="0" w:space="0" w:color="auto"/>
                <w:left w:val="none" w:sz="0" w:space="0" w:color="auto"/>
                <w:bottom w:val="none" w:sz="0" w:space="0" w:color="auto"/>
                <w:right w:val="none" w:sz="0" w:space="0" w:color="auto"/>
              </w:divBdr>
            </w:div>
            <w:div w:id="2026058610">
              <w:marLeft w:val="0"/>
              <w:marRight w:val="0"/>
              <w:marTop w:val="0"/>
              <w:marBottom w:val="0"/>
              <w:divBdr>
                <w:top w:val="none" w:sz="0" w:space="0" w:color="auto"/>
                <w:left w:val="none" w:sz="0" w:space="0" w:color="auto"/>
                <w:bottom w:val="none" w:sz="0" w:space="0" w:color="auto"/>
                <w:right w:val="none" w:sz="0" w:space="0" w:color="auto"/>
              </w:divBdr>
            </w:div>
            <w:div w:id="2077702733">
              <w:marLeft w:val="0"/>
              <w:marRight w:val="0"/>
              <w:marTop w:val="0"/>
              <w:marBottom w:val="0"/>
              <w:divBdr>
                <w:top w:val="none" w:sz="0" w:space="0" w:color="auto"/>
                <w:left w:val="none" w:sz="0" w:space="0" w:color="auto"/>
                <w:bottom w:val="none" w:sz="0" w:space="0" w:color="auto"/>
                <w:right w:val="none" w:sz="0" w:space="0" w:color="auto"/>
              </w:divBdr>
            </w:div>
          </w:divsChild>
        </w:div>
        <w:div w:id="1843277717">
          <w:marLeft w:val="0"/>
          <w:marRight w:val="0"/>
          <w:marTop w:val="0"/>
          <w:marBottom w:val="0"/>
          <w:divBdr>
            <w:top w:val="none" w:sz="0" w:space="0" w:color="auto"/>
            <w:left w:val="none" w:sz="0" w:space="0" w:color="auto"/>
            <w:bottom w:val="none" w:sz="0" w:space="0" w:color="auto"/>
            <w:right w:val="none" w:sz="0" w:space="0" w:color="auto"/>
          </w:divBdr>
        </w:div>
        <w:div w:id="1845436494">
          <w:marLeft w:val="0"/>
          <w:marRight w:val="0"/>
          <w:marTop w:val="0"/>
          <w:marBottom w:val="0"/>
          <w:divBdr>
            <w:top w:val="none" w:sz="0" w:space="0" w:color="auto"/>
            <w:left w:val="none" w:sz="0" w:space="0" w:color="auto"/>
            <w:bottom w:val="none" w:sz="0" w:space="0" w:color="auto"/>
            <w:right w:val="none" w:sz="0" w:space="0" w:color="auto"/>
          </w:divBdr>
        </w:div>
        <w:div w:id="1852407743">
          <w:marLeft w:val="0"/>
          <w:marRight w:val="0"/>
          <w:marTop w:val="0"/>
          <w:marBottom w:val="0"/>
          <w:divBdr>
            <w:top w:val="none" w:sz="0" w:space="0" w:color="auto"/>
            <w:left w:val="none" w:sz="0" w:space="0" w:color="auto"/>
            <w:bottom w:val="none" w:sz="0" w:space="0" w:color="auto"/>
            <w:right w:val="none" w:sz="0" w:space="0" w:color="auto"/>
          </w:divBdr>
        </w:div>
        <w:div w:id="1861435336">
          <w:marLeft w:val="0"/>
          <w:marRight w:val="0"/>
          <w:marTop w:val="0"/>
          <w:marBottom w:val="0"/>
          <w:divBdr>
            <w:top w:val="none" w:sz="0" w:space="0" w:color="auto"/>
            <w:left w:val="none" w:sz="0" w:space="0" w:color="auto"/>
            <w:bottom w:val="none" w:sz="0" w:space="0" w:color="auto"/>
            <w:right w:val="none" w:sz="0" w:space="0" w:color="auto"/>
          </w:divBdr>
        </w:div>
        <w:div w:id="1885215085">
          <w:marLeft w:val="0"/>
          <w:marRight w:val="0"/>
          <w:marTop w:val="0"/>
          <w:marBottom w:val="0"/>
          <w:divBdr>
            <w:top w:val="none" w:sz="0" w:space="0" w:color="auto"/>
            <w:left w:val="none" w:sz="0" w:space="0" w:color="auto"/>
            <w:bottom w:val="none" w:sz="0" w:space="0" w:color="auto"/>
            <w:right w:val="none" w:sz="0" w:space="0" w:color="auto"/>
          </w:divBdr>
        </w:div>
        <w:div w:id="1889603333">
          <w:marLeft w:val="0"/>
          <w:marRight w:val="0"/>
          <w:marTop w:val="0"/>
          <w:marBottom w:val="0"/>
          <w:divBdr>
            <w:top w:val="none" w:sz="0" w:space="0" w:color="auto"/>
            <w:left w:val="none" w:sz="0" w:space="0" w:color="auto"/>
            <w:bottom w:val="none" w:sz="0" w:space="0" w:color="auto"/>
            <w:right w:val="none" w:sz="0" w:space="0" w:color="auto"/>
          </w:divBdr>
        </w:div>
        <w:div w:id="1890217990">
          <w:marLeft w:val="0"/>
          <w:marRight w:val="0"/>
          <w:marTop w:val="0"/>
          <w:marBottom w:val="0"/>
          <w:divBdr>
            <w:top w:val="none" w:sz="0" w:space="0" w:color="auto"/>
            <w:left w:val="none" w:sz="0" w:space="0" w:color="auto"/>
            <w:bottom w:val="none" w:sz="0" w:space="0" w:color="auto"/>
            <w:right w:val="none" w:sz="0" w:space="0" w:color="auto"/>
          </w:divBdr>
        </w:div>
        <w:div w:id="1890264268">
          <w:marLeft w:val="0"/>
          <w:marRight w:val="0"/>
          <w:marTop w:val="0"/>
          <w:marBottom w:val="0"/>
          <w:divBdr>
            <w:top w:val="none" w:sz="0" w:space="0" w:color="auto"/>
            <w:left w:val="none" w:sz="0" w:space="0" w:color="auto"/>
            <w:bottom w:val="none" w:sz="0" w:space="0" w:color="auto"/>
            <w:right w:val="none" w:sz="0" w:space="0" w:color="auto"/>
          </w:divBdr>
        </w:div>
        <w:div w:id="1891651416">
          <w:marLeft w:val="0"/>
          <w:marRight w:val="0"/>
          <w:marTop w:val="0"/>
          <w:marBottom w:val="0"/>
          <w:divBdr>
            <w:top w:val="none" w:sz="0" w:space="0" w:color="auto"/>
            <w:left w:val="none" w:sz="0" w:space="0" w:color="auto"/>
            <w:bottom w:val="none" w:sz="0" w:space="0" w:color="auto"/>
            <w:right w:val="none" w:sz="0" w:space="0" w:color="auto"/>
          </w:divBdr>
        </w:div>
        <w:div w:id="1893229924">
          <w:marLeft w:val="0"/>
          <w:marRight w:val="0"/>
          <w:marTop w:val="0"/>
          <w:marBottom w:val="0"/>
          <w:divBdr>
            <w:top w:val="none" w:sz="0" w:space="0" w:color="auto"/>
            <w:left w:val="none" w:sz="0" w:space="0" w:color="auto"/>
            <w:bottom w:val="none" w:sz="0" w:space="0" w:color="auto"/>
            <w:right w:val="none" w:sz="0" w:space="0" w:color="auto"/>
          </w:divBdr>
        </w:div>
        <w:div w:id="1904758857">
          <w:marLeft w:val="0"/>
          <w:marRight w:val="0"/>
          <w:marTop w:val="0"/>
          <w:marBottom w:val="0"/>
          <w:divBdr>
            <w:top w:val="none" w:sz="0" w:space="0" w:color="auto"/>
            <w:left w:val="none" w:sz="0" w:space="0" w:color="auto"/>
            <w:bottom w:val="none" w:sz="0" w:space="0" w:color="auto"/>
            <w:right w:val="none" w:sz="0" w:space="0" w:color="auto"/>
          </w:divBdr>
        </w:div>
        <w:div w:id="1934194032">
          <w:marLeft w:val="0"/>
          <w:marRight w:val="0"/>
          <w:marTop w:val="0"/>
          <w:marBottom w:val="0"/>
          <w:divBdr>
            <w:top w:val="none" w:sz="0" w:space="0" w:color="auto"/>
            <w:left w:val="none" w:sz="0" w:space="0" w:color="auto"/>
            <w:bottom w:val="none" w:sz="0" w:space="0" w:color="auto"/>
            <w:right w:val="none" w:sz="0" w:space="0" w:color="auto"/>
          </w:divBdr>
        </w:div>
        <w:div w:id="1945065869">
          <w:marLeft w:val="0"/>
          <w:marRight w:val="0"/>
          <w:marTop w:val="0"/>
          <w:marBottom w:val="0"/>
          <w:divBdr>
            <w:top w:val="none" w:sz="0" w:space="0" w:color="auto"/>
            <w:left w:val="none" w:sz="0" w:space="0" w:color="auto"/>
            <w:bottom w:val="none" w:sz="0" w:space="0" w:color="auto"/>
            <w:right w:val="none" w:sz="0" w:space="0" w:color="auto"/>
          </w:divBdr>
        </w:div>
        <w:div w:id="1966766615">
          <w:marLeft w:val="0"/>
          <w:marRight w:val="0"/>
          <w:marTop w:val="0"/>
          <w:marBottom w:val="0"/>
          <w:divBdr>
            <w:top w:val="none" w:sz="0" w:space="0" w:color="auto"/>
            <w:left w:val="none" w:sz="0" w:space="0" w:color="auto"/>
            <w:bottom w:val="none" w:sz="0" w:space="0" w:color="auto"/>
            <w:right w:val="none" w:sz="0" w:space="0" w:color="auto"/>
          </w:divBdr>
        </w:div>
        <w:div w:id="1971478410">
          <w:marLeft w:val="0"/>
          <w:marRight w:val="0"/>
          <w:marTop w:val="0"/>
          <w:marBottom w:val="0"/>
          <w:divBdr>
            <w:top w:val="none" w:sz="0" w:space="0" w:color="auto"/>
            <w:left w:val="none" w:sz="0" w:space="0" w:color="auto"/>
            <w:bottom w:val="none" w:sz="0" w:space="0" w:color="auto"/>
            <w:right w:val="none" w:sz="0" w:space="0" w:color="auto"/>
          </w:divBdr>
        </w:div>
        <w:div w:id="2033803254">
          <w:marLeft w:val="0"/>
          <w:marRight w:val="0"/>
          <w:marTop w:val="0"/>
          <w:marBottom w:val="0"/>
          <w:divBdr>
            <w:top w:val="none" w:sz="0" w:space="0" w:color="auto"/>
            <w:left w:val="none" w:sz="0" w:space="0" w:color="auto"/>
            <w:bottom w:val="none" w:sz="0" w:space="0" w:color="auto"/>
            <w:right w:val="none" w:sz="0" w:space="0" w:color="auto"/>
          </w:divBdr>
        </w:div>
        <w:div w:id="2044205784">
          <w:marLeft w:val="0"/>
          <w:marRight w:val="0"/>
          <w:marTop w:val="0"/>
          <w:marBottom w:val="0"/>
          <w:divBdr>
            <w:top w:val="none" w:sz="0" w:space="0" w:color="auto"/>
            <w:left w:val="none" w:sz="0" w:space="0" w:color="auto"/>
            <w:bottom w:val="none" w:sz="0" w:space="0" w:color="auto"/>
            <w:right w:val="none" w:sz="0" w:space="0" w:color="auto"/>
          </w:divBdr>
        </w:div>
        <w:div w:id="2059545802">
          <w:marLeft w:val="0"/>
          <w:marRight w:val="0"/>
          <w:marTop w:val="0"/>
          <w:marBottom w:val="0"/>
          <w:divBdr>
            <w:top w:val="none" w:sz="0" w:space="0" w:color="auto"/>
            <w:left w:val="none" w:sz="0" w:space="0" w:color="auto"/>
            <w:bottom w:val="none" w:sz="0" w:space="0" w:color="auto"/>
            <w:right w:val="none" w:sz="0" w:space="0" w:color="auto"/>
          </w:divBdr>
        </w:div>
        <w:div w:id="2067793628">
          <w:marLeft w:val="0"/>
          <w:marRight w:val="0"/>
          <w:marTop w:val="0"/>
          <w:marBottom w:val="0"/>
          <w:divBdr>
            <w:top w:val="none" w:sz="0" w:space="0" w:color="auto"/>
            <w:left w:val="none" w:sz="0" w:space="0" w:color="auto"/>
            <w:bottom w:val="none" w:sz="0" w:space="0" w:color="auto"/>
            <w:right w:val="none" w:sz="0" w:space="0" w:color="auto"/>
          </w:divBdr>
        </w:div>
        <w:div w:id="2107922491">
          <w:marLeft w:val="0"/>
          <w:marRight w:val="0"/>
          <w:marTop w:val="0"/>
          <w:marBottom w:val="0"/>
          <w:divBdr>
            <w:top w:val="none" w:sz="0" w:space="0" w:color="auto"/>
            <w:left w:val="none" w:sz="0" w:space="0" w:color="auto"/>
            <w:bottom w:val="none" w:sz="0" w:space="0" w:color="auto"/>
            <w:right w:val="none" w:sz="0" w:space="0" w:color="auto"/>
          </w:divBdr>
        </w:div>
        <w:div w:id="2112161264">
          <w:marLeft w:val="0"/>
          <w:marRight w:val="0"/>
          <w:marTop w:val="0"/>
          <w:marBottom w:val="0"/>
          <w:divBdr>
            <w:top w:val="none" w:sz="0" w:space="0" w:color="auto"/>
            <w:left w:val="none" w:sz="0" w:space="0" w:color="auto"/>
            <w:bottom w:val="none" w:sz="0" w:space="0" w:color="auto"/>
            <w:right w:val="none" w:sz="0" w:space="0" w:color="auto"/>
          </w:divBdr>
        </w:div>
        <w:div w:id="2125533654">
          <w:marLeft w:val="0"/>
          <w:marRight w:val="0"/>
          <w:marTop w:val="0"/>
          <w:marBottom w:val="0"/>
          <w:divBdr>
            <w:top w:val="none" w:sz="0" w:space="0" w:color="auto"/>
            <w:left w:val="none" w:sz="0" w:space="0" w:color="auto"/>
            <w:bottom w:val="none" w:sz="0" w:space="0" w:color="auto"/>
            <w:right w:val="none" w:sz="0" w:space="0" w:color="auto"/>
          </w:divBdr>
        </w:div>
        <w:div w:id="2134979518">
          <w:marLeft w:val="0"/>
          <w:marRight w:val="0"/>
          <w:marTop w:val="0"/>
          <w:marBottom w:val="0"/>
          <w:divBdr>
            <w:top w:val="none" w:sz="0" w:space="0" w:color="auto"/>
            <w:left w:val="none" w:sz="0" w:space="0" w:color="auto"/>
            <w:bottom w:val="none" w:sz="0" w:space="0" w:color="auto"/>
            <w:right w:val="none" w:sz="0" w:space="0" w:color="auto"/>
          </w:divBdr>
        </w:div>
      </w:divsChild>
    </w:div>
    <w:div w:id="1787894173">
      <w:bodyDiv w:val="1"/>
      <w:marLeft w:val="0"/>
      <w:marRight w:val="0"/>
      <w:marTop w:val="0"/>
      <w:marBottom w:val="0"/>
      <w:divBdr>
        <w:top w:val="none" w:sz="0" w:space="0" w:color="auto"/>
        <w:left w:val="none" w:sz="0" w:space="0" w:color="auto"/>
        <w:bottom w:val="none" w:sz="0" w:space="0" w:color="auto"/>
        <w:right w:val="none" w:sz="0" w:space="0" w:color="auto"/>
      </w:divBdr>
    </w:div>
    <w:div w:id="1825930663">
      <w:bodyDiv w:val="1"/>
      <w:marLeft w:val="0"/>
      <w:marRight w:val="0"/>
      <w:marTop w:val="0"/>
      <w:marBottom w:val="0"/>
      <w:divBdr>
        <w:top w:val="none" w:sz="0" w:space="0" w:color="auto"/>
        <w:left w:val="none" w:sz="0" w:space="0" w:color="auto"/>
        <w:bottom w:val="none" w:sz="0" w:space="0" w:color="auto"/>
        <w:right w:val="none" w:sz="0" w:space="0" w:color="auto"/>
      </w:divBdr>
    </w:div>
    <w:div w:id="18926893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ccat.int/Documents/Recs/compendiopdf-s/2025-09-s.pdf" TargetMode="External"/><Relationship Id="rId21" Type="http://schemas.openxmlformats.org/officeDocument/2006/relationships/hyperlink" Target="https://www.iccat.int/Documents/Recs/compendiopdf-s/2025-09-s.pdf" TargetMode="External"/><Relationship Id="rId42" Type="http://schemas.openxmlformats.org/officeDocument/2006/relationships/hyperlink" Target="https://www.iccat.int/Documents/Recs/compendiopdf-s/2024-12-s.pdf" TargetMode="External"/><Relationship Id="rId47" Type="http://schemas.openxmlformats.org/officeDocument/2006/relationships/hyperlink" Target="https://www.iccat.int/Documents/Recs/compendiopdf-s/2025-07-s.pdf" TargetMode="External"/><Relationship Id="rId63" Type="http://schemas.openxmlformats.org/officeDocument/2006/relationships/hyperlink" Target="https://www.iccat.int/Documents/Recs/compendiopdf-s/2025-08-s.pdf" TargetMode="External"/><Relationship Id="rId68" Type="http://schemas.openxmlformats.org/officeDocument/2006/relationships/hyperlink" Target="https://www.iccat.int/Documents/Recs/compendiopdf-s/2021-09-s.pdf" TargetMode="External"/><Relationship Id="rId84" Type="http://schemas.openxmlformats.org/officeDocument/2006/relationships/fontTable" Target="fontTable.xml"/><Relationship Id="rId16" Type="http://schemas.openxmlformats.org/officeDocument/2006/relationships/hyperlink" Target="https://www.iccat.int/Documents/BienRep/REP_ES_24-25-I-2.pdf" TargetMode="External"/><Relationship Id="rId11" Type="http://schemas.openxmlformats.org/officeDocument/2006/relationships/hyperlink" Target="https://www.iccat.int/Documents/Recs/compendiopdf-s/2019-05-s.pdf" TargetMode="External"/><Relationship Id="rId32" Type="http://schemas.openxmlformats.org/officeDocument/2006/relationships/hyperlink" Target="https://www.iccat.int/Documents/Recs/compendiopdf-s/2025-10-s.pdf" TargetMode="External"/><Relationship Id="rId37" Type="http://schemas.openxmlformats.org/officeDocument/2006/relationships/hyperlink" Target="https://www.iccat.int/Documents/Recs/compendiopdf-s/2025-10-s.pdf" TargetMode="External"/><Relationship Id="rId53" Type="http://schemas.openxmlformats.org/officeDocument/2006/relationships/hyperlink" Target="https://www.iccat.int/Documents/Recs/compendiopdf-s/2025-08-s.pdf" TargetMode="External"/><Relationship Id="rId58" Type="http://schemas.openxmlformats.org/officeDocument/2006/relationships/hyperlink" Target="https://www.iccat.int/Documents/Recs/compendiopdf-s/2021-09-s.pdf" TargetMode="External"/><Relationship Id="rId74" Type="http://schemas.openxmlformats.org/officeDocument/2006/relationships/hyperlink" Target="https://www.iccat.int/Documents/Recs/compendiopdf-s/2021-09-s.pdf" TargetMode="External"/><Relationship Id="rId79" Type="http://schemas.openxmlformats.org/officeDocument/2006/relationships/hyperlink" Target="https://www.iccat.int/Documents/Recs/compendiopdf-s/2022-11-s.pdf" TargetMode="External"/><Relationship Id="rId5" Type="http://schemas.openxmlformats.org/officeDocument/2006/relationships/webSettings" Target="webSettings.xml"/><Relationship Id="rId19" Type="http://schemas.openxmlformats.org/officeDocument/2006/relationships/image" Target="media/image1.png"/><Relationship Id="rId14" Type="http://schemas.openxmlformats.org/officeDocument/2006/relationships/hyperlink" Target="https://www.iccat.int/Documents/Recs/compendiopdf-s/2019-05-s.pdf" TargetMode="External"/><Relationship Id="rId22" Type="http://schemas.openxmlformats.org/officeDocument/2006/relationships/hyperlink" Target="https://www.iccat.int/Documents/Recs/compendiopdf-s/2025-09-s.pdf" TargetMode="External"/><Relationship Id="rId27" Type="http://schemas.openxmlformats.org/officeDocument/2006/relationships/hyperlink" Target="https://www.iccat.int/Documents/Recs/compendiopdf-s/2025-09-s.pdf" TargetMode="External"/><Relationship Id="rId30" Type="http://schemas.openxmlformats.org/officeDocument/2006/relationships/hyperlink" Target="https://www.iccat.int/Documents/Recs/compendiopdf-s/2025-09-s.pdf" TargetMode="External"/><Relationship Id="rId35" Type="http://schemas.openxmlformats.org/officeDocument/2006/relationships/hyperlink" Target="https://www.iccat.int/Documents/Recs/compendiopdf-s/2025-10-s.pdf" TargetMode="External"/><Relationship Id="rId43" Type="http://schemas.openxmlformats.org/officeDocument/2006/relationships/hyperlink" Target="https://www.iccat.int/Documents/Recs/compendiopdf-s/2024-12-s.pdf" TargetMode="External"/><Relationship Id="rId48" Type="http://schemas.openxmlformats.org/officeDocument/2006/relationships/hyperlink" Target="https://www.iccat.int/Documents/Recs/compendiopdf-s/2025-07-s.pdf" TargetMode="External"/><Relationship Id="rId56" Type="http://schemas.openxmlformats.org/officeDocument/2006/relationships/hyperlink" Target="https://www.iccat.int/Documents/Recs/compendiopdf-s/2025-08-s.pdf" TargetMode="External"/><Relationship Id="rId64" Type="http://schemas.openxmlformats.org/officeDocument/2006/relationships/hyperlink" Target="https://www.iccat.int/Documents/Recs/compendiopdf-s/2025-08-s.pdf" TargetMode="External"/><Relationship Id="rId69" Type="http://schemas.openxmlformats.org/officeDocument/2006/relationships/hyperlink" Target="https://www.iccat.int/Documents/Recs/compendiopdf-s/2021-09-s.pdf" TargetMode="External"/><Relationship Id="rId77" Type="http://schemas.openxmlformats.org/officeDocument/2006/relationships/hyperlink" Target="https://www.iccat.int/Documents/Recs/compendiopdf-s/2025-08-s.pdf" TargetMode="External"/><Relationship Id="rId8" Type="http://schemas.openxmlformats.org/officeDocument/2006/relationships/hyperlink" Target="https://www.iccat.int/Documents/Recs/compendiopdf-s/2019-05-s.pdf" TargetMode="External"/><Relationship Id="rId51" Type="http://schemas.openxmlformats.org/officeDocument/2006/relationships/hyperlink" Target="https://www.iccat.int/Documents/Recs/compendiopdf-s/2025-08-s.pdf" TargetMode="External"/><Relationship Id="rId72" Type="http://schemas.openxmlformats.org/officeDocument/2006/relationships/hyperlink" Target="https://www.iccat.int/Documents/Recs/compendiopdf-s/2021-09-s.pdf" TargetMode="External"/><Relationship Id="rId80" Type="http://schemas.openxmlformats.org/officeDocument/2006/relationships/hyperlink" Target="https://www.iccat.int/Documents/Recs/compendiopdf-s/2021-09-s.pdf"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app.powerbi.com/view?r=eyJrIjoiYzMzNzhhNjItMTcyNC00Y2EzLWJkZGMtZGUzNzIxZTg4YjVjIiwidCI6IjQzYWUxY2NmLTA0NGYtNDAxMy1hNzUwLWZjNWQ2NjAwMTlmYSIsImMiOjl9" TargetMode="External"/><Relationship Id="rId17" Type="http://schemas.openxmlformats.org/officeDocument/2006/relationships/hyperlink" Target="https://www.iccat.int/Documents/Recs/compendiopdf-s/2024-11-s.pdf" TargetMode="External"/><Relationship Id="rId25" Type="http://schemas.openxmlformats.org/officeDocument/2006/relationships/hyperlink" Target="https://www.iccat.int/Documents/Recs/compendiopdf-s/2025-09-s.pdf" TargetMode="External"/><Relationship Id="rId33" Type="http://schemas.openxmlformats.org/officeDocument/2006/relationships/hyperlink" Target="https://www.iccat.int/Documents/Recs/compendiopdf-s/2025-10-s.pdf" TargetMode="External"/><Relationship Id="rId38" Type="http://schemas.openxmlformats.org/officeDocument/2006/relationships/hyperlink" Target="https://www.iccat.int/Documents/Recs/compendiopdf-s/2024-12-s.pdf" TargetMode="External"/><Relationship Id="rId46" Type="http://schemas.openxmlformats.org/officeDocument/2006/relationships/hyperlink" Target="https://www.iccat.int/Documents/Recs/compendiopdf-s/2025-07-s.pdf" TargetMode="External"/><Relationship Id="rId59" Type="http://schemas.openxmlformats.org/officeDocument/2006/relationships/hyperlink" Target="https://www.iccat.int/Documents/Recs/compendiopdf-s/2021-09-s.pdf" TargetMode="External"/><Relationship Id="rId67" Type="http://schemas.openxmlformats.org/officeDocument/2006/relationships/hyperlink" Target="https://www.iccat.int/Documents/Recs/compendiopdf-s/2021-09-s.pdf" TargetMode="External"/><Relationship Id="rId20" Type="http://schemas.openxmlformats.org/officeDocument/2006/relationships/hyperlink" Target="https://www.iccat.int/Documents/Recs/compendiopdf-s/2025-09-s.pdf" TargetMode="External"/><Relationship Id="rId41" Type="http://schemas.openxmlformats.org/officeDocument/2006/relationships/hyperlink" Target="https://www.iccat.int/Documents/Recs/compendiopdf-s/2023-14-s.pdf" TargetMode="External"/><Relationship Id="rId54" Type="http://schemas.openxmlformats.org/officeDocument/2006/relationships/hyperlink" Target="https://www.iccat.int/Documents/Recs/compendiopdf-s/2025-08-s.pdf" TargetMode="External"/><Relationship Id="rId62" Type="http://schemas.openxmlformats.org/officeDocument/2006/relationships/hyperlink" Target="https://www.iccat.int/Documents/Recs/compendiopdf-s/2025-08-s.pdf" TargetMode="External"/><Relationship Id="rId70" Type="http://schemas.openxmlformats.org/officeDocument/2006/relationships/hyperlink" Target="https://www.iccat.int/Documents/Recs/compendiopdf-s/2021-09-s.pdf" TargetMode="External"/><Relationship Id="rId75" Type="http://schemas.openxmlformats.org/officeDocument/2006/relationships/hyperlink" Target="https://www.iccat.int/Documents/Recs/compendiopdf-s/2025-08-s.pdf" TargetMode="External"/><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ccat.int/Documents/Recs/compendiopdf-s/2019-05-s.pdf" TargetMode="External"/><Relationship Id="rId23" Type="http://schemas.openxmlformats.org/officeDocument/2006/relationships/hyperlink" Target="https://www.iccat.int/Documents/Recs/compendiopdf-s/2025-09-s.pdf" TargetMode="External"/><Relationship Id="rId28" Type="http://schemas.openxmlformats.org/officeDocument/2006/relationships/hyperlink" Target="https://www.iccat.int/Documents/Recs/compendiopdf-s/2025-09-s.pdf" TargetMode="External"/><Relationship Id="rId36" Type="http://schemas.openxmlformats.org/officeDocument/2006/relationships/hyperlink" Target="https://www.iccat.int/Documents/Recs/compendiopdf-s/2025-10-s.pdf" TargetMode="External"/><Relationship Id="rId49" Type="http://schemas.openxmlformats.org/officeDocument/2006/relationships/hyperlink" Target="https://www.iccat.int/Documents/Recs/compendiopdf-s/2025-08-s.pdf" TargetMode="External"/><Relationship Id="rId57" Type="http://schemas.openxmlformats.org/officeDocument/2006/relationships/hyperlink" Target="https://www.iccat.int/Documents/Recs/compendiopdf-s/2025-08-s.pdf" TargetMode="External"/><Relationship Id="rId10" Type="http://schemas.openxmlformats.org/officeDocument/2006/relationships/hyperlink" Target="https://ebabcock.github.io/BycatchEstimator/" TargetMode="External"/><Relationship Id="rId31" Type="http://schemas.openxmlformats.org/officeDocument/2006/relationships/hyperlink" Target="https://www.iccat.int/Documents/Recs/compendiopdf-s/2025-09-s.pdf" TargetMode="External"/><Relationship Id="rId44" Type="http://schemas.openxmlformats.org/officeDocument/2006/relationships/hyperlink" Target="https://www.iccat.int/Documents/Recs/compendiopdf-s/2023-14-s.pdf" TargetMode="External"/><Relationship Id="rId52" Type="http://schemas.openxmlformats.org/officeDocument/2006/relationships/hyperlink" Target="https://www.iccat.int/Documents/Recs/compendiopdf-s/2025-08-s.pdf" TargetMode="External"/><Relationship Id="rId60" Type="http://schemas.openxmlformats.org/officeDocument/2006/relationships/hyperlink" Target="https://www.iccat.int/Documents/Recs/compendiopdf-s/2025-08-s.pdf" TargetMode="External"/><Relationship Id="rId65" Type="http://schemas.openxmlformats.org/officeDocument/2006/relationships/hyperlink" Target="https://www.iccat.int/Documents/Recs/compendiopdf-s/2021-09-s.pdf" TargetMode="External"/><Relationship Id="rId73" Type="http://schemas.openxmlformats.org/officeDocument/2006/relationships/hyperlink" Target="https://www.iccat.int/Documents/Recs/compendiopdf-s/2021-09-s.pdf" TargetMode="External"/><Relationship Id="rId78" Type="http://schemas.openxmlformats.org/officeDocument/2006/relationships/hyperlink" Target="https://www.iccat.int/Documents/Recs/compendiopdf-s/2021-09-s.pdf" TargetMode="External"/><Relationship Id="rId81" Type="http://schemas.openxmlformats.org/officeDocument/2006/relationships/hyperlink" Target="https://www.iccat.int/Documents/Recs/compendiopdf-s/2022-11-s.pdf" TargetMode="External"/><Relationship Id="rId4" Type="http://schemas.openxmlformats.org/officeDocument/2006/relationships/settings" Target="settings.xml"/><Relationship Id="rId9" Type="http://schemas.openxmlformats.org/officeDocument/2006/relationships/hyperlink" Target="https://www.iccat.int/Documents/Meetings/Docs/2026/reports/2026_WGSAM_SPA.pdf" TargetMode="External"/><Relationship Id="rId13" Type="http://schemas.openxmlformats.org/officeDocument/2006/relationships/hyperlink" Target="https://app.powerbi.com/view?r=eyJrIjoiMjE4YTg0ZmEtNjNlMS00YzFlLTk3YTUtYWYzNmEwMzViMThkIiwidCI6IjQzYWUxY2NmLTA0NGYtNDAxMy1hNzUwLWZjNWQ2NjAwMTlmYSIsImMiOjl9" TargetMode="External"/><Relationship Id="rId18" Type="http://schemas.openxmlformats.org/officeDocument/2006/relationships/hyperlink" Target="https://www.iccat.int/Documents/Recs/compendiopdf-s/2016-15-s.pdf" TargetMode="External"/><Relationship Id="rId39" Type="http://schemas.openxmlformats.org/officeDocument/2006/relationships/hyperlink" Target="https://www.iccat.int/Documents/BienRep/REP_ES_24-25-I-2.pdf" TargetMode="External"/><Relationship Id="rId34" Type="http://schemas.openxmlformats.org/officeDocument/2006/relationships/image" Target="media/image2.emf"/><Relationship Id="rId50" Type="http://schemas.openxmlformats.org/officeDocument/2006/relationships/hyperlink" Target="https://www.iccat.int/Documents/Recs/compendiopdf-s/2021-09-s.pdf" TargetMode="External"/><Relationship Id="rId55" Type="http://schemas.openxmlformats.org/officeDocument/2006/relationships/hyperlink" Target="https://www.iccat.int/Documents/Recs/compendiopdf-s/2025-08-s.pdf" TargetMode="External"/><Relationship Id="rId76" Type="http://schemas.openxmlformats.org/officeDocument/2006/relationships/hyperlink" Target="https://www.iccat.int/Documents/Recs/compendiopdf-s/2022-11-s.pdf" TargetMode="External"/><Relationship Id="rId7" Type="http://schemas.openxmlformats.org/officeDocument/2006/relationships/endnotes" Target="endnotes.xml"/><Relationship Id="rId71" Type="http://schemas.openxmlformats.org/officeDocument/2006/relationships/hyperlink" Target="https://www.iccat.int/Documents/Recs/compendiopdf-s/2021-09-s.pdf" TargetMode="External"/><Relationship Id="rId2" Type="http://schemas.openxmlformats.org/officeDocument/2006/relationships/numbering" Target="numbering.xml"/><Relationship Id="rId29" Type="http://schemas.openxmlformats.org/officeDocument/2006/relationships/hyperlink" Target="https://www.iccat.int/Documents/Recs/compendiopdf-s/2025-09-s.pdf" TargetMode="External"/><Relationship Id="rId24" Type="http://schemas.openxmlformats.org/officeDocument/2006/relationships/hyperlink" Target="https://www.iccat.int/Documents/Recs/compendiopdf-s/2025-09-s.pdf" TargetMode="External"/><Relationship Id="rId40" Type="http://schemas.openxmlformats.org/officeDocument/2006/relationships/hyperlink" Target="https://www.iccat.int/Documents/Recs/compendiopdf-s/2023-14-s.pdf" TargetMode="External"/><Relationship Id="rId45" Type="http://schemas.openxmlformats.org/officeDocument/2006/relationships/hyperlink" Target="https://www.iccat.int/Documents/Recs/compendiopdf-s/2023-14-s.pdf" TargetMode="External"/><Relationship Id="rId66" Type="http://schemas.openxmlformats.org/officeDocument/2006/relationships/hyperlink" Target="https://www.iccat.int/Documents/Recs/compendiopdf-s/2021-09-s.pdf" TargetMode="External"/><Relationship Id="rId61" Type="http://schemas.openxmlformats.org/officeDocument/2006/relationships/hyperlink" Target="https://www.iccat.int/Documents/Recs/compendiopdf-s/2025-08-s.pdf" TargetMode="External"/><Relationship Id="rId8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A31EF-0C65-46A4-B703-297961243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9636</Words>
  <Characters>52616</Characters>
  <Application>Microsoft Office Word</Application>
  <DocSecurity>0</DocSecurity>
  <Lines>1697</Lines>
  <Paragraphs>778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61474</CharactersWithSpaces>
  <SharedDoc>false</SharedDoc>
  <HLinks>
    <vt:vector size="216" baseType="variant">
      <vt:variant>
        <vt:i4>5177346</vt:i4>
      </vt:variant>
      <vt:variant>
        <vt:i4>105</vt:i4>
      </vt:variant>
      <vt:variant>
        <vt:i4>0</vt:i4>
      </vt:variant>
      <vt:variant>
        <vt:i4>5</vt:i4>
      </vt:variant>
      <vt:variant>
        <vt:lpwstr>https://www.iccat.int/Documents/Recs/compendiopdf-e/2019-08-e.pdf</vt:lpwstr>
      </vt:variant>
      <vt:variant>
        <vt:lpwstr/>
      </vt:variant>
      <vt:variant>
        <vt:i4>4456456</vt:i4>
      </vt:variant>
      <vt:variant>
        <vt:i4>102</vt:i4>
      </vt:variant>
      <vt:variant>
        <vt:i4>0</vt:i4>
      </vt:variant>
      <vt:variant>
        <vt:i4>5</vt:i4>
      </vt:variant>
      <vt:variant>
        <vt:lpwstr>https://www.iccat.int/Documents/Recs/compendiopdf-e/2023-11-e.pdf</vt:lpwstr>
      </vt:variant>
      <vt:variant>
        <vt:lpwstr/>
      </vt:variant>
      <vt:variant>
        <vt:i4>5177357</vt:i4>
      </vt:variant>
      <vt:variant>
        <vt:i4>99</vt:i4>
      </vt:variant>
      <vt:variant>
        <vt:i4>0</vt:i4>
      </vt:variant>
      <vt:variant>
        <vt:i4>5</vt:i4>
      </vt:variant>
      <vt:variant>
        <vt:lpwstr>https://www.iccat.int/Documents/Recs/compendiopdf-e/2019-07-e.pdf</vt:lpwstr>
      </vt:variant>
      <vt:variant>
        <vt:lpwstr/>
      </vt:variant>
      <vt:variant>
        <vt:i4>4456457</vt:i4>
      </vt:variant>
      <vt:variant>
        <vt:i4>96</vt:i4>
      </vt:variant>
      <vt:variant>
        <vt:i4>0</vt:i4>
      </vt:variant>
      <vt:variant>
        <vt:i4>5</vt:i4>
      </vt:variant>
      <vt:variant>
        <vt:lpwstr>https://www.iccat.int/Documents/Recs/compendiopdf-e/2023-10-e.pdf</vt:lpwstr>
      </vt:variant>
      <vt:variant>
        <vt:lpwstr/>
      </vt:variant>
      <vt:variant>
        <vt:i4>4521992</vt:i4>
      </vt:variant>
      <vt:variant>
        <vt:i4>93</vt:i4>
      </vt:variant>
      <vt:variant>
        <vt:i4>0</vt:i4>
      </vt:variant>
      <vt:variant>
        <vt:i4>5</vt:i4>
      </vt:variant>
      <vt:variant>
        <vt:lpwstr>https://www.iccat.int/Documents/Recs/compendiopdf-e/2022-11-e.pdf</vt:lpwstr>
      </vt:variant>
      <vt:variant>
        <vt:lpwstr/>
      </vt:variant>
      <vt:variant>
        <vt:i4>5177359</vt:i4>
      </vt:variant>
      <vt:variant>
        <vt:i4>90</vt:i4>
      </vt:variant>
      <vt:variant>
        <vt:i4>0</vt:i4>
      </vt:variant>
      <vt:variant>
        <vt:i4>5</vt:i4>
      </vt:variant>
      <vt:variant>
        <vt:lpwstr>https://www.iccat.int/Documents/Recs/compendiopdf-e/2019-05-e.pdf</vt:lpwstr>
      </vt:variant>
      <vt:variant>
        <vt:lpwstr/>
      </vt:variant>
      <vt:variant>
        <vt:i4>4325385</vt:i4>
      </vt:variant>
      <vt:variant>
        <vt:i4>87</vt:i4>
      </vt:variant>
      <vt:variant>
        <vt:i4>0</vt:i4>
      </vt:variant>
      <vt:variant>
        <vt:i4>5</vt:i4>
      </vt:variant>
      <vt:variant>
        <vt:lpwstr>https://www.iccat.int/Documents/Recs/compendiopdf-e/2015-13-e.pdf</vt:lpwstr>
      </vt:variant>
      <vt:variant>
        <vt:lpwstr/>
      </vt:variant>
      <vt:variant>
        <vt:i4>4325385</vt:i4>
      </vt:variant>
      <vt:variant>
        <vt:i4>84</vt:i4>
      </vt:variant>
      <vt:variant>
        <vt:i4>0</vt:i4>
      </vt:variant>
      <vt:variant>
        <vt:i4>5</vt:i4>
      </vt:variant>
      <vt:variant>
        <vt:lpwstr>https://www.iccat.int/Documents/Recs/compendiopdf-e/2015-13-e.pdf</vt:lpwstr>
      </vt:variant>
      <vt:variant>
        <vt:lpwstr/>
      </vt:variant>
      <vt:variant>
        <vt:i4>4456463</vt:i4>
      </vt:variant>
      <vt:variant>
        <vt:i4>81</vt:i4>
      </vt:variant>
      <vt:variant>
        <vt:i4>0</vt:i4>
      </vt:variant>
      <vt:variant>
        <vt:i4>5</vt:i4>
      </vt:variant>
      <vt:variant>
        <vt:lpwstr>https://www.iccat.int/Documents/Recs/compendiopdf-e/2022-06-e.pdf</vt:lpwstr>
      </vt:variant>
      <vt:variant>
        <vt:lpwstr/>
      </vt:variant>
      <vt:variant>
        <vt:i4>4325388</vt:i4>
      </vt:variant>
      <vt:variant>
        <vt:i4>78</vt:i4>
      </vt:variant>
      <vt:variant>
        <vt:i4>0</vt:i4>
      </vt:variant>
      <vt:variant>
        <vt:i4>5</vt:i4>
      </vt:variant>
      <vt:variant>
        <vt:lpwstr>https://www.iccat.int/Documents/Recs/compendiopdf-e/2024-05-e.pdf</vt:lpwstr>
      </vt:variant>
      <vt:variant>
        <vt:lpwstr/>
      </vt:variant>
      <vt:variant>
        <vt:i4>4325388</vt:i4>
      </vt:variant>
      <vt:variant>
        <vt:i4>75</vt:i4>
      </vt:variant>
      <vt:variant>
        <vt:i4>0</vt:i4>
      </vt:variant>
      <vt:variant>
        <vt:i4>5</vt:i4>
      </vt:variant>
      <vt:variant>
        <vt:lpwstr>https://www.iccat.int/Documents/Recs/compendiopdf-e/2024-05-e.pdf</vt:lpwstr>
      </vt:variant>
      <vt:variant>
        <vt:lpwstr/>
      </vt:variant>
      <vt:variant>
        <vt:i4>4325385</vt:i4>
      </vt:variant>
      <vt:variant>
        <vt:i4>72</vt:i4>
      </vt:variant>
      <vt:variant>
        <vt:i4>0</vt:i4>
      </vt:variant>
      <vt:variant>
        <vt:i4>5</vt:i4>
      </vt:variant>
      <vt:variant>
        <vt:lpwstr>https://www.iccat.int/Documents/Recs/compendiopdf-e/2015-13-e.pdf</vt:lpwstr>
      </vt:variant>
      <vt:variant>
        <vt:lpwstr/>
      </vt:variant>
      <vt:variant>
        <vt:i4>4325389</vt:i4>
      </vt:variant>
      <vt:variant>
        <vt:i4>69</vt:i4>
      </vt:variant>
      <vt:variant>
        <vt:i4>0</vt:i4>
      </vt:variant>
      <vt:variant>
        <vt:i4>5</vt:i4>
      </vt:variant>
      <vt:variant>
        <vt:lpwstr>https://www.iccat.int/Documents/Recs/compendiopdf-e/2024-04-e.pdf</vt:lpwstr>
      </vt:variant>
      <vt:variant>
        <vt:lpwstr/>
      </vt:variant>
      <vt:variant>
        <vt:i4>4325384</vt:i4>
      </vt:variant>
      <vt:variant>
        <vt:i4>66</vt:i4>
      </vt:variant>
      <vt:variant>
        <vt:i4>0</vt:i4>
      </vt:variant>
      <vt:variant>
        <vt:i4>5</vt:i4>
      </vt:variant>
      <vt:variant>
        <vt:lpwstr>https://www.iccat.int/Documents/Recs/compendiopdf-e/2024-01-e.pdf</vt:lpwstr>
      </vt:variant>
      <vt:variant>
        <vt:lpwstr/>
      </vt:variant>
      <vt:variant>
        <vt:i4>4325385</vt:i4>
      </vt:variant>
      <vt:variant>
        <vt:i4>63</vt:i4>
      </vt:variant>
      <vt:variant>
        <vt:i4>0</vt:i4>
      </vt:variant>
      <vt:variant>
        <vt:i4>5</vt:i4>
      </vt:variant>
      <vt:variant>
        <vt:lpwstr>https://www.iccat.int/Documents/Recs/compendiopdf-e/2015-13-e.pdf</vt:lpwstr>
      </vt:variant>
      <vt:variant>
        <vt:lpwstr/>
      </vt:variant>
      <vt:variant>
        <vt:i4>4653129</vt:i4>
      </vt:variant>
      <vt:variant>
        <vt:i4>60</vt:i4>
      </vt:variant>
      <vt:variant>
        <vt:i4>0</vt:i4>
      </vt:variant>
      <vt:variant>
        <vt:i4>5</vt:i4>
      </vt:variant>
      <vt:variant>
        <vt:lpwstr>https://secretariat.iccat.online/index.php/s/YxK8jPqkysM3nj3</vt:lpwstr>
      </vt:variant>
      <vt:variant>
        <vt:lpwstr/>
      </vt:variant>
      <vt:variant>
        <vt:i4>4325388</vt:i4>
      </vt:variant>
      <vt:variant>
        <vt:i4>57</vt:i4>
      </vt:variant>
      <vt:variant>
        <vt:i4>0</vt:i4>
      </vt:variant>
      <vt:variant>
        <vt:i4>5</vt:i4>
      </vt:variant>
      <vt:variant>
        <vt:lpwstr>https://www.iccat.int/Documents/Recs/compendiopdf-e/2024-05-e.pdf</vt:lpwstr>
      </vt:variant>
      <vt:variant>
        <vt:lpwstr/>
      </vt:variant>
      <vt:variant>
        <vt:i4>4587599</vt:i4>
      </vt:variant>
      <vt:variant>
        <vt:i4>54</vt:i4>
      </vt:variant>
      <vt:variant>
        <vt:i4>0</vt:i4>
      </vt:variant>
      <vt:variant>
        <vt:i4>5</vt:i4>
      </vt:variant>
      <vt:variant>
        <vt:lpwstr>http://www.iccat.int/en/vesselsrecord.asp</vt:lpwstr>
      </vt:variant>
      <vt:variant>
        <vt:lpwstr/>
      </vt:variant>
      <vt:variant>
        <vt:i4>4390924</vt:i4>
      </vt:variant>
      <vt:variant>
        <vt:i4>51</vt:i4>
      </vt:variant>
      <vt:variant>
        <vt:i4>0</vt:i4>
      </vt:variant>
      <vt:variant>
        <vt:i4>5</vt:i4>
      </vt:variant>
      <vt:variant>
        <vt:lpwstr>https://www.iccat.int/Documents/Recs/compendiopdf-e/2024-15-e.pdf</vt:lpwstr>
      </vt:variant>
      <vt:variant>
        <vt:lpwstr/>
      </vt:variant>
      <vt:variant>
        <vt:i4>8126501</vt:i4>
      </vt:variant>
      <vt:variant>
        <vt:i4>48</vt:i4>
      </vt:variant>
      <vt:variant>
        <vt:i4>0</vt:i4>
      </vt:variant>
      <vt:variant>
        <vt:i4>5</vt:i4>
      </vt:variant>
      <vt:variant>
        <vt:lpwstr>https://www.iccat.int/Documents/BienRep/REP_EN_24-25-I-1.pdf</vt:lpwstr>
      </vt:variant>
      <vt:variant>
        <vt:lpwstr/>
      </vt:variant>
      <vt:variant>
        <vt:i4>4521985</vt:i4>
      </vt:variant>
      <vt:variant>
        <vt:i4>45</vt:i4>
      </vt:variant>
      <vt:variant>
        <vt:i4>0</vt:i4>
      </vt:variant>
      <vt:variant>
        <vt:i4>5</vt:i4>
      </vt:variant>
      <vt:variant>
        <vt:lpwstr>https://www.iccat.int/Documents/Recs/compendiopdf-e/2022-18-e.pdf</vt:lpwstr>
      </vt:variant>
      <vt:variant>
        <vt:lpwstr/>
      </vt:variant>
      <vt:variant>
        <vt:i4>4259848</vt:i4>
      </vt:variant>
      <vt:variant>
        <vt:i4>42</vt:i4>
      </vt:variant>
      <vt:variant>
        <vt:i4>0</vt:i4>
      </vt:variant>
      <vt:variant>
        <vt:i4>5</vt:i4>
      </vt:variant>
      <vt:variant>
        <vt:lpwstr>https://www.iccat.int/Documents/Recs/compendiopdf-e/2006-13-e.pdf</vt:lpwstr>
      </vt:variant>
      <vt:variant>
        <vt:lpwstr/>
      </vt:variant>
      <vt:variant>
        <vt:i4>4259848</vt:i4>
      </vt:variant>
      <vt:variant>
        <vt:i4>39</vt:i4>
      </vt:variant>
      <vt:variant>
        <vt:i4>0</vt:i4>
      </vt:variant>
      <vt:variant>
        <vt:i4>5</vt:i4>
      </vt:variant>
      <vt:variant>
        <vt:lpwstr>https://www.iccat.int/Documents/Recs/compendiopdf-e/2006-13-e.pdf</vt:lpwstr>
      </vt:variant>
      <vt:variant>
        <vt:lpwstr/>
      </vt:variant>
      <vt:variant>
        <vt:i4>5111810</vt:i4>
      </vt:variant>
      <vt:variant>
        <vt:i4>36</vt:i4>
      </vt:variant>
      <vt:variant>
        <vt:i4>0</vt:i4>
      </vt:variant>
      <vt:variant>
        <vt:i4>5</vt:i4>
      </vt:variant>
      <vt:variant>
        <vt:lpwstr>https://www.iccat.int/Documents/Recs/compendiopdf-e/2008-09-e.pdf</vt:lpwstr>
      </vt:variant>
      <vt:variant>
        <vt:lpwstr/>
      </vt:variant>
      <vt:variant>
        <vt:i4>4587535</vt:i4>
      </vt:variant>
      <vt:variant>
        <vt:i4>33</vt:i4>
      </vt:variant>
      <vt:variant>
        <vt:i4>0</vt:i4>
      </vt:variant>
      <vt:variant>
        <vt:i4>5</vt:i4>
      </vt:variant>
      <vt:variant>
        <vt:lpwstr>https://www.iccat.int/Documents/Recs/compendiopdf-e/2011-15-e.pdf</vt:lpwstr>
      </vt:variant>
      <vt:variant>
        <vt:lpwstr/>
      </vt:variant>
      <vt:variant>
        <vt:i4>4390914</vt:i4>
      </vt:variant>
      <vt:variant>
        <vt:i4>30</vt:i4>
      </vt:variant>
      <vt:variant>
        <vt:i4>0</vt:i4>
      </vt:variant>
      <vt:variant>
        <vt:i4>5</vt:i4>
      </vt:variant>
      <vt:variant>
        <vt:lpwstr>https://www.iccat.int/Documents/Recs/compendiopdf-e/2005-09-e.pdf</vt:lpwstr>
      </vt:variant>
      <vt:variant>
        <vt:lpwstr/>
      </vt:variant>
      <vt:variant>
        <vt:i4>4259851</vt:i4>
      </vt:variant>
      <vt:variant>
        <vt:i4>27</vt:i4>
      </vt:variant>
      <vt:variant>
        <vt:i4>0</vt:i4>
      </vt:variant>
      <vt:variant>
        <vt:i4>5</vt:i4>
      </vt:variant>
      <vt:variant>
        <vt:lpwstr>https://www.iccat.int/Documents/Recs/compendiopdf-e/2016-11-e.pdf</vt:lpwstr>
      </vt:variant>
      <vt:variant>
        <vt:lpwstr/>
      </vt:variant>
      <vt:variant>
        <vt:i4>4456458</vt:i4>
      </vt:variant>
      <vt:variant>
        <vt:i4>24</vt:i4>
      </vt:variant>
      <vt:variant>
        <vt:i4>0</vt:i4>
      </vt:variant>
      <vt:variant>
        <vt:i4>5</vt:i4>
      </vt:variant>
      <vt:variant>
        <vt:lpwstr>https://www.iccat.int/Documents/Recs/compendiopdf-e/2023-13-e.pdf</vt:lpwstr>
      </vt:variant>
      <vt:variant>
        <vt:lpwstr/>
      </vt:variant>
      <vt:variant>
        <vt:i4>4521995</vt:i4>
      </vt:variant>
      <vt:variant>
        <vt:i4>21</vt:i4>
      </vt:variant>
      <vt:variant>
        <vt:i4>0</vt:i4>
      </vt:variant>
      <vt:variant>
        <vt:i4>5</vt:i4>
      </vt:variant>
      <vt:variant>
        <vt:lpwstr>https://www.iccat.int/Documents/Recs/compendiopdf-e/2022-12-e.pdf</vt:lpwstr>
      </vt:variant>
      <vt:variant>
        <vt:lpwstr/>
      </vt:variant>
      <vt:variant>
        <vt:i4>4259854</vt:i4>
      </vt:variant>
      <vt:variant>
        <vt:i4>18</vt:i4>
      </vt:variant>
      <vt:variant>
        <vt:i4>0</vt:i4>
      </vt:variant>
      <vt:variant>
        <vt:i4>5</vt:i4>
      </vt:variant>
      <vt:variant>
        <vt:lpwstr>https://www.iccat.int/Documents/Recs/compendiopdf-e/2016-14-e.pdf</vt:lpwstr>
      </vt:variant>
      <vt:variant>
        <vt:lpwstr/>
      </vt:variant>
      <vt:variant>
        <vt:i4>5111820</vt:i4>
      </vt:variant>
      <vt:variant>
        <vt:i4>15</vt:i4>
      </vt:variant>
      <vt:variant>
        <vt:i4>0</vt:i4>
      </vt:variant>
      <vt:variant>
        <vt:i4>5</vt:i4>
      </vt:variant>
      <vt:variant>
        <vt:lpwstr>https://www.iccat.int/Documents/Recs/compendiopdf-e/2018-06-e.pdf</vt:lpwstr>
      </vt:variant>
      <vt:variant>
        <vt:lpwstr/>
      </vt:variant>
      <vt:variant>
        <vt:i4>5111823</vt:i4>
      </vt:variant>
      <vt:variant>
        <vt:i4>12</vt:i4>
      </vt:variant>
      <vt:variant>
        <vt:i4>0</vt:i4>
      </vt:variant>
      <vt:variant>
        <vt:i4>5</vt:i4>
      </vt:variant>
      <vt:variant>
        <vt:lpwstr>https://www.iccat.int/Documents/Recs/compendiopdf-e/2018-05-e.pdf</vt:lpwstr>
      </vt:variant>
      <vt:variant>
        <vt:lpwstr/>
      </vt:variant>
      <vt:variant>
        <vt:i4>4456462</vt:i4>
      </vt:variant>
      <vt:variant>
        <vt:i4>9</vt:i4>
      </vt:variant>
      <vt:variant>
        <vt:i4>0</vt:i4>
      </vt:variant>
      <vt:variant>
        <vt:i4>5</vt:i4>
      </vt:variant>
      <vt:variant>
        <vt:lpwstr>https://www.iccat.int/Documents/Recs/compendiopdf-e/2023-17-e.pdf</vt:lpwstr>
      </vt:variant>
      <vt:variant>
        <vt:lpwstr/>
      </vt:variant>
      <vt:variant>
        <vt:i4>2883619</vt:i4>
      </vt:variant>
      <vt:variant>
        <vt:i4>6</vt:i4>
      </vt:variant>
      <vt:variant>
        <vt:i4>0</vt:i4>
      </vt:variant>
      <vt:variant>
        <vt:i4>5</vt:i4>
      </vt:variant>
      <vt:variant>
        <vt:lpwstr>https://www.fao.org/iuu-fishing/en/</vt:lpwstr>
      </vt:variant>
      <vt:variant>
        <vt:lpwstr/>
      </vt:variant>
      <vt:variant>
        <vt:i4>4259853</vt:i4>
      </vt:variant>
      <vt:variant>
        <vt:i4>3</vt:i4>
      </vt:variant>
      <vt:variant>
        <vt:i4>0</vt:i4>
      </vt:variant>
      <vt:variant>
        <vt:i4>5</vt:i4>
      </vt:variant>
      <vt:variant>
        <vt:lpwstr>https://www.iccat.int/Documents/Recs/compendiopdf-e/2016-17-e.pdf</vt:lpwstr>
      </vt:variant>
      <vt:variant>
        <vt:lpwstr/>
      </vt:variant>
      <vt:variant>
        <vt:i4>5898320</vt:i4>
      </vt:variant>
      <vt:variant>
        <vt:i4>0</vt:i4>
      </vt:variant>
      <vt:variant>
        <vt:i4>0</vt:i4>
      </vt:variant>
      <vt:variant>
        <vt:i4>5</vt:i4>
      </vt:variant>
      <vt:variant>
        <vt:lpwstr>https://www.iccat.int/com2025/index.htm</vt:lpwstr>
      </vt:variant>
      <vt:variant>
        <vt:lpwstr>en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2026-10-13T13:16:00Z</dcterms:created>
  <dcterms:modified xsi:type="dcterms:W3CDTF">2026-10-14T08:01:00Z</dcterms:modified>
</cp:coreProperties>
</file>