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19333F6E" w:rsidR="000B0920" w:rsidRPr="00A33D23" w:rsidRDefault="00857C38" w:rsidP="00857C38">
      <w:pPr>
        <w:jc w:val="right"/>
        <w:rPr>
          <w:rFonts w:ascii="Cambria" w:hAnsi="Cambria"/>
          <w:sz w:val="20"/>
          <w:szCs w:val="20"/>
          <w:lang w:val="fr-FR"/>
        </w:rPr>
      </w:pPr>
      <w:r w:rsidRPr="00A33D23">
        <w:rPr>
          <w:rFonts w:ascii="Cambria" w:hAnsi="Cambria"/>
          <w:b/>
          <w:bCs/>
          <w:sz w:val="20"/>
          <w:szCs w:val="20"/>
          <w:lang w:val="fr-FR"/>
        </w:rPr>
        <w:t>Original</w:t>
      </w:r>
      <w:r w:rsidRPr="00A33D23">
        <w:rPr>
          <w:rFonts w:ascii="Cambria" w:hAnsi="Cambria"/>
          <w:sz w:val="20"/>
          <w:szCs w:val="20"/>
          <w:lang w:val="fr-FR"/>
        </w:rPr>
        <w:t xml:space="preserve">: </w:t>
      </w:r>
      <w:r w:rsidR="00EF4FD8" w:rsidRPr="00A33D23">
        <w:rPr>
          <w:rFonts w:ascii="Cambria" w:hAnsi="Cambria"/>
          <w:sz w:val="20"/>
          <w:szCs w:val="20"/>
          <w:lang w:val="fr-FR"/>
        </w:rPr>
        <w:t>inglés</w:t>
      </w:r>
    </w:p>
    <w:p w14:paraId="546FFD34" w14:textId="77777777" w:rsidR="00857C38" w:rsidRPr="00A33D23" w:rsidRDefault="00857C38" w:rsidP="00857C38">
      <w:pPr>
        <w:jc w:val="right"/>
        <w:rPr>
          <w:rFonts w:ascii="Cambria" w:hAnsi="Cambria"/>
          <w:sz w:val="20"/>
          <w:szCs w:val="20"/>
          <w:lang w:val="fr-FR"/>
        </w:rPr>
      </w:pPr>
    </w:p>
    <w:p w14:paraId="4BA022E0" w14:textId="6BB8FFAC" w:rsidR="005A6FE2" w:rsidRDefault="005A6FE2" w:rsidP="005A6FE2">
      <w:pPr>
        <w:jc w:val="center"/>
        <w:rPr>
          <w:rFonts w:ascii="Cambria" w:hAnsi="Cambria"/>
          <w:b/>
          <w:bCs/>
          <w:sz w:val="20"/>
          <w:szCs w:val="20"/>
          <w:lang w:val="fr-FR"/>
        </w:rPr>
      </w:pPr>
      <w:r w:rsidRPr="009353F0">
        <w:rPr>
          <w:rFonts w:ascii="Cambria" w:hAnsi="Cambria"/>
          <w:b/>
          <w:bCs/>
          <w:sz w:val="20"/>
          <w:szCs w:val="20"/>
          <w:lang w:val="fr-FR"/>
        </w:rPr>
        <w:t xml:space="preserve">Réponses et recommandations du SCRS concernant la Sous-commission </w:t>
      </w:r>
      <w:r>
        <w:rPr>
          <w:rFonts w:ascii="Cambria" w:hAnsi="Cambria"/>
          <w:b/>
          <w:bCs/>
          <w:sz w:val="20"/>
          <w:szCs w:val="20"/>
          <w:lang w:val="fr-FR"/>
        </w:rPr>
        <w:t>4</w:t>
      </w:r>
    </w:p>
    <w:p w14:paraId="5966D0D4" w14:textId="77777777" w:rsidR="005A6FE2" w:rsidRPr="00554AB0" w:rsidRDefault="005A6FE2" w:rsidP="005A6FE2">
      <w:pPr>
        <w:jc w:val="center"/>
        <w:rPr>
          <w:rFonts w:ascii="Cambria" w:hAnsi="Cambria"/>
          <w:b/>
          <w:bCs/>
          <w:sz w:val="20"/>
          <w:szCs w:val="20"/>
          <w:lang w:val="fr-FR"/>
        </w:rPr>
      </w:pPr>
    </w:p>
    <w:p w14:paraId="5866439C" w14:textId="3531B076" w:rsidR="005A6FE2" w:rsidRPr="009353F0" w:rsidRDefault="005A6FE2" w:rsidP="005A6FE2">
      <w:pPr>
        <w:jc w:val="both"/>
        <w:rPr>
          <w:rFonts w:ascii="Cambria" w:eastAsia="Aptos" w:hAnsi="Cambria" w:cs="Aptos"/>
          <w:sz w:val="20"/>
          <w:szCs w:val="20"/>
          <w:lang w:val="fr-FR"/>
          <w14:ligatures w14:val="standardContextual"/>
        </w:rPr>
      </w:pPr>
      <w:r w:rsidRPr="009353F0">
        <w:rPr>
          <w:rFonts w:ascii="Cambria" w:eastAsia="Aptos" w:hAnsi="Cambria" w:cs="Aptos"/>
          <w:sz w:val="20"/>
          <w:szCs w:val="20"/>
          <w:lang w:val="fr-FR"/>
          <w14:ligatures w14:val="standardContextual"/>
        </w:rPr>
        <w:t xml:space="preserve">Les réponses de 2026 adressées à la Commission et les recommandations du SCRS concernant la </w:t>
      </w:r>
      <w:r w:rsidRPr="00F81087">
        <w:rPr>
          <w:rFonts w:ascii="Cambria" w:hAnsi="Cambria"/>
          <w:sz w:val="20"/>
          <w:szCs w:val="20"/>
          <w:lang w:val="fr-FR"/>
        </w:rPr>
        <w:t>Sous</w:t>
      </w:r>
      <w:r w:rsidRPr="009353F0">
        <w:rPr>
          <w:rFonts w:ascii="Cambria" w:eastAsia="Aptos" w:hAnsi="Cambria" w:cs="Aptos"/>
          <w:sz w:val="20"/>
          <w:szCs w:val="20"/>
          <w:lang w:val="fr-FR"/>
          <w14:ligatures w14:val="standardContextual"/>
        </w:rPr>
        <w:t xml:space="preserve">-commission </w:t>
      </w:r>
      <w:r w:rsidR="00A33D23">
        <w:rPr>
          <w:rFonts w:ascii="Cambria" w:eastAsia="Aptos" w:hAnsi="Cambria" w:cs="Aptos"/>
          <w:sz w:val="20"/>
          <w:szCs w:val="20"/>
          <w:lang w:val="fr-FR"/>
          <w14:ligatures w14:val="standardContextual"/>
        </w:rPr>
        <w:t>4</w:t>
      </w:r>
      <w:r w:rsidRPr="009353F0">
        <w:rPr>
          <w:rFonts w:ascii="Cambria" w:eastAsia="Aptos" w:hAnsi="Cambria" w:cs="Aptos"/>
          <w:sz w:val="20"/>
          <w:szCs w:val="20"/>
          <w:lang w:val="fr-FR"/>
          <w14:ligatures w14:val="standardContextual"/>
        </w:rPr>
        <w:t xml:space="preserve"> ont été compilées par le Secrétariat directement à partir du rapport de la réunion plénière du SCRS de 2026 (document PLE-104). Les recommandations ayant des implications financières ne figurent pas dans le présent document, car elles sont incluses dans l’appendice 2 du budget de l’ICCAT (document STF-203).</w:t>
      </w:r>
    </w:p>
    <w:p w14:paraId="663C9568" w14:textId="77777777" w:rsidR="005A6FE2" w:rsidRDefault="005A6FE2" w:rsidP="005A6FE2">
      <w:pPr>
        <w:rPr>
          <w:rFonts w:ascii="Cambria" w:hAnsi="Cambria"/>
          <w:b/>
          <w:bCs/>
          <w:sz w:val="20"/>
          <w:szCs w:val="20"/>
          <w:lang w:val="fr-FR"/>
        </w:rPr>
      </w:pPr>
    </w:p>
    <w:p w14:paraId="3D3C998A" w14:textId="77777777" w:rsidR="005A6FE2" w:rsidRDefault="005A6FE2" w:rsidP="005A6FE2">
      <w:pPr>
        <w:rPr>
          <w:rFonts w:ascii="Cambria" w:hAnsi="Cambria"/>
          <w:b/>
          <w:bCs/>
          <w:sz w:val="20"/>
          <w:szCs w:val="20"/>
          <w:lang w:val="fr-FR"/>
        </w:rPr>
      </w:pPr>
      <w:r w:rsidRPr="009353F0">
        <w:rPr>
          <w:rFonts w:ascii="Cambria" w:hAnsi="Cambria"/>
          <w:b/>
          <w:bCs/>
          <w:sz w:val="20"/>
          <w:szCs w:val="20"/>
          <w:lang w:val="fr-FR"/>
        </w:rPr>
        <w:t xml:space="preserve">Réponses </w:t>
      </w:r>
      <w:r>
        <w:rPr>
          <w:rFonts w:ascii="Cambria" w:hAnsi="Cambria"/>
          <w:b/>
          <w:bCs/>
          <w:sz w:val="20"/>
          <w:szCs w:val="20"/>
          <w:lang w:val="fr-FR"/>
        </w:rPr>
        <w:t>à la Commission</w:t>
      </w:r>
      <w:r>
        <w:rPr>
          <w:rFonts w:ascii="Cambria" w:hAnsi="Cambria"/>
          <w:b/>
          <w:bCs/>
          <w:sz w:val="20"/>
          <w:szCs w:val="20"/>
          <w:lang w:val="fr-FR"/>
        </w:rPr>
        <w:br/>
      </w:r>
    </w:p>
    <w:p w14:paraId="3A6F3FBB" w14:textId="77777777" w:rsidR="007B39C6" w:rsidRPr="00A33D23" w:rsidRDefault="007B39C6" w:rsidP="007B39C6">
      <w:pPr>
        <w:jc w:val="both"/>
        <w:rPr>
          <w:rFonts w:ascii="Cambria" w:hAnsi="Cambria"/>
          <w:sz w:val="20"/>
          <w:szCs w:val="20"/>
          <w:lang w:val="fr-FR"/>
        </w:rPr>
      </w:pPr>
    </w:p>
    <w:p w14:paraId="73CB7E7A" w14:textId="77777777" w:rsidR="005B5D1D" w:rsidRPr="005B5D1D" w:rsidRDefault="005B5D1D" w:rsidP="005B5D1D">
      <w:pPr>
        <w:spacing w:after="160" w:line="259" w:lineRule="auto"/>
        <w:rPr>
          <w:rFonts w:ascii="Cambria" w:hAnsi="Cambria"/>
          <w:b/>
          <w:i/>
          <w:sz w:val="20"/>
          <w:szCs w:val="20"/>
          <w:lang w:val="fr-FR"/>
        </w:rPr>
      </w:pPr>
      <w:r w:rsidRPr="005B5D1D">
        <w:rPr>
          <w:rFonts w:ascii="Cambria" w:hAnsi="Cambria"/>
          <w:b/>
          <w:i/>
          <w:sz w:val="20"/>
          <w:szCs w:val="20"/>
          <w:lang w:val="fr-FR"/>
        </w:rPr>
        <w:t>Istiophoridés</w:t>
      </w:r>
    </w:p>
    <w:p w14:paraId="60C004B5" w14:textId="77777777" w:rsidR="005B5D1D" w:rsidRPr="005B5D1D" w:rsidRDefault="005B5D1D" w:rsidP="005B5D1D">
      <w:pPr>
        <w:jc w:val="both"/>
        <w:rPr>
          <w:rFonts w:ascii="Cambria" w:eastAsia="Cambria" w:hAnsi="Cambria"/>
          <w:b/>
          <w:i/>
          <w:color w:val="000000"/>
          <w:sz w:val="20"/>
          <w:szCs w:val="20"/>
          <w:lang w:val="fr-FR"/>
        </w:rPr>
      </w:pPr>
    </w:p>
    <w:p w14:paraId="41816D4B" w14:textId="77777777" w:rsidR="005B5D1D" w:rsidRPr="005B5D1D" w:rsidRDefault="005B5D1D" w:rsidP="005B5D1D">
      <w:pPr>
        <w:pBdr>
          <w:top w:val="nil"/>
          <w:left w:val="nil"/>
          <w:bottom w:val="nil"/>
          <w:right w:val="nil"/>
          <w:between w:val="nil"/>
        </w:pBdr>
        <w:tabs>
          <w:tab w:val="left" w:pos="720"/>
          <w:tab w:val="left" w:pos="0"/>
          <w:tab w:val="right" w:pos="8505"/>
          <w:tab w:val="right" w:pos="9072"/>
        </w:tabs>
        <w:ind w:right="4"/>
        <w:jc w:val="both"/>
        <w:rPr>
          <w:rFonts w:ascii="Cambria" w:eastAsia="Cambria" w:hAnsi="Cambria" w:cs="Cambria"/>
          <w:b/>
          <w:i/>
          <w:color w:val="000000"/>
          <w:sz w:val="20"/>
          <w:szCs w:val="20"/>
          <w:lang w:val="fr-FR"/>
        </w:rPr>
      </w:pPr>
      <w:r w:rsidRPr="005B5D1D">
        <w:rPr>
          <w:rFonts w:ascii="Cambria" w:hAnsi="Cambria"/>
          <w:b/>
          <w:i/>
          <w:color w:val="000000"/>
          <w:sz w:val="20"/>
          <w:szCs w:val="20"/>
          <w:lang w:val="fr-FR"/>
        </w:rPr>
        <w:t xml:space="preserve">19.11 Le SCRS devra réviser la méthodologie statistique utilisée pour estimer les rejets morts et vivants et fournir un retour d'information aux CPC. </w:t>
      </w:r>
      <w:r w:rsidRPr="005B5D1D">
        <w:rPr>
          <w:rFonts w:ascii="Cambria" w:hAnsi="Cambria"/>
          <w:b/>
          <w:i/>
          <w:sz w:val="20"/>
          <w:szCs w:val="20"/>
          <w:lang w:val="fr-FR"/>
        </w:rPr>
        <w:t xml:space="preserve">Le SCRS devra également déterminer si un ou plusieurs ateliers de renforcement des capacités sont justifiés pour aider les CPC à se conformer à l'obligation de déclarer le nombre total de rejets vivants et morts, </w:t>
      </w:r>
      <w:hyperlink r:id="rId8" w:history="1">
        <w:r w:rsidRPr="005B5D1D">
          <w:rPr>
            <w:rStyle w:val="Hyperlink"/>
            <w:rFonts w:ascii="Cambria" w:hAnsi="Cambria"/>
            <w:b/>
            <w:i/>
            <w:sz w:val="20"/>
            <w:szCs w:val="20"/>
            <w:u w:val="none"/>
            <w:lang w:val="fr-FR"/>
          </w:rPr>
          <w:t>Rec. 19-05</w:t>
        </w:r>
      </w:hyperlink>
      <w:r w:rsidRPr="005B5D1D">
        <w:rPr>
          <w:rFonts w:ascii="Cambria" w:hAnsi="Cambria"/>
          <w:b/>
          <w:i/>
          <w:sz w:val="20"/>
          <w:szCs w:val="20"/>
          <w:lang w:val="fr-FR"/>
        </w:rPr>
        <w:t>,</w:t>
      </w:r>
      <w:r w:rsidRPr="005B5D1D">
        <w:rPr>
          <w:rFonts w:ascii="Cambria" w:hAnsi="Cambria"/>
          <w:b/>
          <w:bCs/>
          <w:i/>
          <w:iCs/>
          <w:sz w:val="20"/>
          <w:szCs w:val="20"/>
          <w:lang w:val="fr-FR"/>
        </w:rPr>
        <w:t xml:space="preserve"> paragraphe</w:t>
      </w:r>
      <w:r w:rsidRPr="005B5D1D">
        <w:rPr>
          <w:rFonts w:ascii="Cambria" w:hAnsi="Cambria"/>
          <w:b/>
          <w:i/>
          <w:color w:val="000000"/>
          <w:sz w:val="20"/>
          <w:szCs w:val="20"/>
          <w:lang w:val="fr-FR"/>
        </w:rPr>
        <w:t xml:space="preserve"> 16</w:t>
      </w:r>
      <w:r w:rsidRPr="005B5D1D">
        <w:rPr>
          <w:rFonts w:ascii="Cambria" w:hAnsi="Cambria"/>
          <w:bCs/>
          <w:i/>
          <w:color w:val="000000"/>
          <w:sz w:val="20"/>
          <w:szCs w:val="20"/>
          <w:lang w:val="fr-FR"/>
        </w:rPr>
        <w:t xml:space="preserve"> </w:t>
      </w:r>
    </w:p>
    <w:p w14:paraId="1D4AB269" w14:textId="77777777" w:rsidR="005B5D1D" w:rsidRPr="005B5D1D" w:rsidRDefault="005B5D1D" w:rsidP="005B5D1D">
      <w:pPr>
        <w:tabs>
          <w:tab w:val="left" w:pos="426"/>
          <w:tab w:val="left" w:pos="567"/>
          <w:tab w:val="left" w:pos="720"/>
          <w:tab w:val="right" w:pos="8505"/>
          <w:tab w:val="right" w:pos="9072"/>
        </w:tabs>
        <w:ind w:left="720" w:right="4" w:hanging="720"/>
        <w:jc w:val="both"/>
        <w:rPr>
          <w:rFonts w:ascii="Cambria" w:eastAsia="Cambria" w:hAnsi="Cambria" w:cs="Cambria"/>
          <w:color w:val="000000"/>
          <w:sz w:val="20"/>
          <w:szCs w:val="20"/>
          <w:lang w:val="fr-FR"/>
        </w:rPr>
      </w:pPr>
    </w:p>
    <w:p w14:paraId="55AB29A7" w14:textId="77777777" w:rsidR="005B5D1D" w:rsidRPr="005B5D1D" w:rsidRDefault="005B5D1D" w:rsidP="005B5D1D">
      <w:pPr>
        <w:jc w:val="both"/>
        <w:rPr>
          <w:rFonts w:ascii="Cambria" w:eastAsia="Cambria" w:hAnsi="Cambria" w:cs="Cambria"/>
          <w:i/>
          <w:color w:val="000000"/>
          <w:sz w:val="20"/>
          <w:szCs w:val="20"/>
          <w:lang w:val="fr-FR"/>
        </w:rPr>
      </w:pPr>
      <w:r w:rsidRPr="005B5D1D">
        <w:rPr>
          <w:rFonts w:ascii="Cambria" w:hAnsi="Cambria"/>
          <w:b/>
          <w:color w:val="000000"/>
          <w:sz w:val="20"/>
          <w:szCs w:val="20"/>
          <w:lang w:val="fr-FR"/>
        </w:rPr>
        <w:t xml:space="preserve">Contexte : </w:t>
      </w:r>
      <w:r w:rsidRPr="005B5D1D">
        <w:rPr>
          <w:rFonts w:ascii="Cambria" w:hAnsi="Cambria"/>
          <w:i/>
          <w:color w:val="000000"/>
          <w:sz w:val="20"/>
          <w:szCs w:val="20"/>
          <w:lang w:val="fr-FR"/>
        </w:rPr>
        <w:t>En 2020, au plus tard, les CPC devront présenter au SCRS la méthodologie statistique utilisée pour estimer les rejets morts et vivants. Les CPC ayant des pêcheries artisanales et de petits métiers devront également fournir des informations sur leurs programmes de collecte de données.</w:t>
      </w:r>
    </w:p>
    <w:p w14:paraId="2269DEC3" w14:textId="77777777" w:rsidR="005B5D1D" w:rsidRPr="005B5D1D" w:rsidRDefault="005B5D1D" w:rsidP="005B5D1D">
      <w:pPr>
        <w:jc w:val="both"/>
        <w:rPr>
          <w:rFonts w:ascii="Cambria" w:eastAsia="Cambria" w:hAnsi="Cambria" w:cs="Cambria"/>
          <w:i/>
          <w:color w:val="000000"/>
          <w:sz w:val="20"/>
          <w:szCs w:val="20"/>
          <w:lang w:val="fr-FR"/>
        </w:rPr>
      </w:pPr>
    </w:p>
    <w:p w14:paraId="52939251" w14:textId="77777777" w:rsidR="005B5D1D" w:rsidRPr="005B5D1D" w:rsidRDefault="005B5D1D" w:rsidP="005B5D1D">
      <w:pPr>
        <w:jc w:val="both"/>
        <w:rPr>
          <w:rFonts w:ascii="Cambria" w:eastAsia="Cambria" w:hAnsi="Cambria" w:cs="Cambria"/>
          <w:i/>
          <w:color w:val="000000"/>
          <w:sz w:val="20"/>
          <w:szCs w:val="20"/>
          <w:lang w:val="fr-FR"/>
        </w:rPr>
      </w:pPr>
      <w:r w:rsidRPr="005B5D1D">
        <w:rPr>
          <w:rFonts w:ascii="Cambria" w:hAnsi="Cambria"/>
          <w:i/>
          <w:color w:val="000000"/>
          <w:sz w:val="20"/>
          <w:szCs w:val="20"/>
          <w:lang w:val="fr-FR"/>
        </w:rPr>
        <w:t>Le SCRS devra réviser ces méthodologies et, s’il détermine qu’une méthodologie n’est pas scientifiquement fondée, le SCRS devra fournir des observations pertinentes aux CPC concernées afin d’améliorer les méthodologies.</w:t>
      </w:r>
    </w:p>
    <w:p w14:paraId="0260FF1A" w14:textId="77777777" w:rsidR="005B5D1D" w:rsidRPr="005B5D1D" w:rsidRDefault="005B5D1D" w:rsidP="005B5D1D">
      <w:pPr>
        <w:jc w:val="both"/>
        <w:rPr>
          <w:rFonts w:ascii="Cambria" w:eastAsia="Cambria" w:hAnsi="Cambria" w:cs="Cambria"/>
          <w:i/>
          <w:color w:val="000000"/>
          <w:sz w:val="20"/>
          <w:szCs w:val="20"/>
          <w:lang w:val="fr-FR"/>
        </w:rPr>
      </w:pPr>
    </w:p>
    <w:p w14:paraId="5E273B78" w14:textId="77777777" w:rsidR="005B5D1D" w:rsidRPr="005B5D1D" w:rsidRDefault="005B5D1D" w:rsidP="005B5D1D">
      <w:pPr>
        <w:jc w:val="both"/>
        <w:rPr>
          <w:rFonts w:ascii="Cambria" w:hAnsi="Cambria"/>
          <w:i/>
          <w:color w:val="000000"/>
          <w:sz w:val="20"/>
          <w:szCs w:val="20"/>
          <w:lang w:val="fr-FR"/>
        </w:rPr>
      </w:pPr>
      <w:r w:rsidRPr="005B5D1D">
        <w:rPr>
          <w:rFonts w:ascii="Cambria" w:hAnsi="Cambria"/>
          <w:i/>
          <w:color w:val="000000"/>
          <w:sz w:val="20"/>
          <w:szCs w:val="20"/>
          <w:lang w:val="fr-FR"/>
        </w:rPr>
        <w:t>Le SCRS devra également déterminer si un ou plusieurs ateliers de renforcement des capacités sont justifiés pour aider les CPC à se conformer à l'obligation de déclarer le nombre total de rejets vivants et morts. Si tel est le cas, le Secrétariat de l’ICCAT, en coordination avec le SCRS, devrait commencer à organiser le ou les ateliers recommandés par le SCRS en 2021 en vue de les convoquer dès que possible.</w:t>
      </w:r>
    </w:p>
    <w:p w14:paraId="22215F30" w14:textId="77777777" w:rsidR="005B5D1D" w:rsidRPr="005B5D1D" w:rsidRDefault="005B5D1D" w:rsidP="005B5D1D">
      <w:pPr>
        <w:jc w:val="both"/>
        <w:rPr>
          <w:rFonts w:ascii="Cambria" w:hAnsi="Cambria"/>
          <w:b/>
          <w:bCs/>
          <w:i/>
          <w:iCs/>
          <w:sz w:val="20"/>
          <w:szCs w:val="20"/>
          <w:lang w:val="fr-FR"/>
        </w:rPr>
      </w:pPr>
    </w:p>
    <w:p w14:paraId="754D70D4" w14:textId="77777777" w:rsidR="005B5D1D" w:rsidRPr="005B5D1D" w:rsidRDefault="005B5D1D" w:rsidP="005B5D1D">
      <w:pPr>
        <w:jc w:val="both"/>
        <w:rPr>
          <w:rFonts w:ascii="Cambria" w:eastAsia="Cambria" w:hAnsi="Cambria" w:cs="Cambria"/>
          <w:iCs/>
          <w:color w:val="000000"/>
          <w:sz w:val="20"/>
          <w:szCs w:val="20"/>
          <w:lang w:val="fr-FR"/>
        </w:rPr>
      </w:pPr>
      <w:r w:rsidRPr="005B5D1D">
        <w:rPr>
          <w:rFonts w:ascii="Cambria" w:hAnsi="Cambria"/>
          <w:color w:val="000000"/>
          <w:sz w:val="20"/>
          <w:szCs w:val="20"/>
          <w:lang w:val="fr-FR"/>
        </w:rPr>
        <w:t xml:space="preserve">En 2026, le Groupe de travail sur les méthodes d’évaluation des stocks (WGSAM) </w:t>
      </w:r>
      <w:hyperlink r:id="rId9" w:history="1">
        <w:r w:rsidRPr="005B5D1D">
          <w:rPr>
            <w:rStyle w:val="Hyperlink"/>
            <w:rFonts w:ascii="Cambria" w:hAnsi="Cambria"/>
            <w:sz w:val="20"/>
            <w:szCs w:val="20"/>
            <w:u w:val="none"/>
            <w:lang w:val="fr-FR"/>
          </w:rPr>
          <w:t>(Anon., 2026h)</w:t>
        </w:r>
      </w:hyperlink>
      <w:r w:rsidRPr="005B5D1D">
        <w:rPr>
          <w:rFonts w:ascii="Cambria" w:hAnsi="Cambria"/>
          <w:color w:val="000000"/>
          <w:sz w:val="20"/>
          <w:szCs w:val="20"/>
          <w:lang w:val="fr-FR"/>
        </w:rPr>
        <w:t xml:space="preserve"> a passé en revue un certain nombre de méthodologies d'estimation des rejets pour diverses espèces. Le WGSAM a proposé un cadre standardisé et une liste de contrôle diagnostique afin de faciliter l'évaluation des différentes méthodologies. En règle générale, le WGSAM a recommandé que la décision ou la recommandation finale concernant l'acceptation des estimations des prises accessoires pour une CPC donnée et un stock donné devrait être prise par les Groupes d’espèces. Le Comité a recommandé aux CPC de suivre la liste de contrôle adoptée, qui comprend les diagnostics et la validation (SCRS/2026/197).</w:t>
      </w:r>
    </w:p>
    <w:p w14:paraId="36EE5E4A" w14:textId="77777777" w:rsidR="005B5D1D" w:rsidRPr="005B5D1D" w:rsidRDefault="005B5D1D" w:rsidP="005B5D1D">
      <w:pPr>
        <w:jc w:val="both"/>
        <w:rPr>
          <w:rFonts w:ascii="Cambria" w:eastAsia="Cambria" w:hAnsi="Cambria" w:cs="Cambria"/>
          <w:iCs/>
          <w:color w:val="000000"/>
          <w:sz w:val="20"/>
          <w:szCs w:val="20"/>
          <w:lang w:val="fr-FR"/>
        </w:rPr>
      </w:pPr>
    </w:p>
    <w:p w14:paraId="71A41EA9" w14:textId="77777777" w:rsidR="005B5D1D" w:rsidRPr="005B5D1D" w:rsidRDefault="005B5D1D" w:rsidP="005B5D1D">
      <w:pPr>
        <w:jc w:val="both"/>
        <w:rPr>
          <w:rFonts w:ascii="Cambria" w:eastAsia="Cambria" w:hAnsi="Cambria" w:cs="Cambria"/>
          <w:iCs/>
          <w:color w:val="000000"/>
          <w:sz w:val="20"/>
          <w:szCs w:val="20"/>
          <w:lang w:val="fr-FR"/>
        </w:rPr>
      </w:pPr>
      <w:r w:rsidRPr="005B5D1D">
        <w:rPr>
          <w:rFonts w:ascii="Cambria" w:hAnsi="Cambria"/>
          <w:color w:val="000000"/>
          <w:sz w:val="20"/>
          <w:szCs w:val="20"/>
          <w:lang w:val="fr-FR"/>
        </w:rPr>
        <w:t xml:space="preserve">Le Comité a rappelé qu’il était important que le Comité comprenne la méthodologie utilisée par les CPC pour estimer les rejets morts et vivants. Le Comité a rappelé aux CPC qui n'ont pas encore présenté de documents ou qui n'ont pas fourni d'informations suffisantes, conformément à la liste de contrôle adoptée par le Comité concernant les méthodes d'estimation des prises accessoires/rejets (vivants et morts), qu'elles étaient tenues de le faire. </w:t>
      </w:r>
    </w:p>
    <w:p w14:paraId="40393B2C" w14:textId="77777777" w:rsidR="005B5D1D" w:rsidRPr="005B5D1D" w:rsidRDefault="005B5D1D" w:rsidP="005B5D1D">
      <w:pPr>
        <w:jc w:val="both"/>
        <w:rPr>
          <w:rFonts w:ascii="Cambria" w:eastAsia="Cambria" w:hAnsi="Cambria" w:cs="Cambria"/>
          <w:iCs/>
          <w:color w:val="000000"/>
          <w:sz w:val="20"/>
          <w:szCs w:val="20"/>
          <w:lang w:val="fr-FR"/>
        </w:rPr>
      </w:pPr>
    </w:p>
    <w:p w14:paraId="6E9FD189" w14:textId="77777777" w:rsidR="005B5D1D" w:rsidRPr="005B5D1D" w:rsidRDefault="005B5D1D" w:rsidP="005B5D1D">
      <w:pPr>
        <w:jc w:val="both"/>
        <w:rPr>
          <w:rFonts w:ascii="Cambria" w:eastAsia="Cambria" w:hAnsi="Cambria" w:cs="Cambria"/>
          <w:iCs/>
          <w:color w:val="000000"/>
          <w:sz w:val="20"/>
          <w:szCs w:val="20"/>
          <w:lang w:val="fr-FR"/>
        </w:rPr>
      </w:pPr>
      <w:r w:rsidRPr="005B5D1D">
        <w:rPr>
          <w:rFonts w:ascii="Cambria" w:hAnsi="Cambria"/>
          <w:color w:val="000000"/>
          <w:sz w:val="20"/>
          <w:szCs w:val="20"/>
          <w:lang w:val="fr-FR"/>
        </w:rPr>
        <w:t xml:space="preserve">Le SCRS a organisé des ateliers régionaux sur les statistiques des pêcheries de petits métiers en Afrique de l'Ouest et dans les Caraïbes et a mis en œuvre un projet pilote visant à améliorer les données sur le makaire bleu et l’albacore capturés par les pêcheries des Caraïbes. Les flottilles artisanales et de petits métiers ne rejettent pas souvent les istiophoridés étant donné que ces espèces sont retenues et débarquées à des fins de consommation locale. Dans la plupart des cas, les débarquements représentent la capture totale. </w:t>
      </w:r>
    </w:p>
    <w:p w14:paraId="04366AB6" w14:textId="77777777" w:rsidR="005B5D1D" w:rsidRPr="005B5D1D" w:rsidRDefault="005B5D1D" w:rsidP="005B5D1D">
      <w:pPr>
        <w:jc w:val="both"/>
        <w:rPr>
          <w:rFonts w:ascii="Cambria" w:eastAsia="Cambria" w:hAnsi="Cambria" w:cs="Cambria"/>
          <w:iCs/>
          <w:color w:val="000000"/>
          <w:sz w:val="20"/>
          <w:szCs w:val="20"/>
          <w:lang w:val="fr-FR"/>
        </w:rPr>
      </w:pPr>
    </w:p>
    <w:p w14:paraId="36A877FF" w14:textId="77777777" w:rsidR="005B5D1D" w:rsidRPr="005B5D1D" w:rsidRDefault="005B5D1D" w:rsidP="005B5D1D">
      <w:pPr>
        <w:jc w:val="both"/>
        <w:rPr>
          <w:rFonts w:ascii="Cambria" w:eastAsia="Cambria" w:hAnsi="Cambria" w:cs="Cambria"/>
          <w:iCs/>
          <w:color w:val="000000"/>
          <w:sz w:val="20"/>
          <w:szCs w:val="20"/>
          <w:lang w:val="fr-FR"/>
        </w:rPr>
      </w:pPr>
      <w:r w:rsidRPr="005B5D1D">
        <w:rPr>
          <w:rFonts w:ascii="Cambria" w:hAnsi="Cambria"/>
          <w:color w:val="000000"/>
          <w:sz w:val="20"/>
          <w:szCs w:val="20"/>
          <w:lang w:val="fr-FR"/>
        </w:rPr>
        <w:t xml:space="preserve">Ces dernières décennies, de nombreux navires sportifs ont remis à l’eau la plupart des istiophoridés capturés, mais la plupart de ces flottilles de pêche ne déclarent pas systématiquement les remises à l’eau ou les débarquements. Le ratio de remises à l’eau/débarquements de ces flottilles varie au fil du temps, selon les régions et selon que la pêche est pratiquée dans le cadre d’un tournoi. </w:t>
      </w:r>
    </w:p>
    <w:p w14:paraId="78104E18" w14:textId="77777777" w:rsidR="005B5D1D" w:rsidRPr="005B5D1D" w:rsidRDefault="005B5D1D" w:rsidP="005B5D1D">
      <w:pPr>
        <w:jc w:val="both"/>
        <w:rPr>
          <w:rFonts w:ascii="Cambria" w:eastAsia="Cambria" w:hAnsi="Cambria" w:cs="Cambria"/>
          <w:iCs/>
          <w:color w:val="000000"/>
          <w:sz w:val="20"/>
          <w:szCs w:val="20"/>
          <w:lang w:val="fr-FR"/>
        </w:rPr>
      </w:pPr>
    </w:p>
    <w:p w14:paraId="2490F478" w14:textId="77777777" w:rsidR="005B5D1D" w:rsidRPr="005B5D1D" w:rsidRDefault="005B5D1D" w:rsidP="005B5D1D">
      <w:pPr>
        <w:jc w:val="both"/>
        <w:rPr>
          <w:rFonts w:ascii="Cambria" w:eastAsia="Cambria" w:hAnsi="Cambria" w:cs="Cambria"/>
          <w:iCs/>
          <w:color w:val="000000"/>
          <w:sz w:val="20"/>
          <w:szCs w:val="20"/>
          <w:lang w:val="fr-FR"/>
        </w:rPr>
      </w:pPr>
      <w:r w:rsidRPr="005B5D1D">
        <w:rPr>
          <w:rFonts w:ascii="Cambria" w:hAnsi="Cambria"/>
          <w:color w:val="000000"/>
          <w:sz w:val="20"/>
          <w:szCs w:val="20"/>
          <w:lang w:val="fr-FR"/>
        </w:rPr>
        <w:lastRenderedPageBreak/>
        <w:t>Afin d’améliorer la qualité des données de débarquements et des rejets d’istiophoridés, il est recommandé de continuer à soutenir le projet collaboratif en cours entre les correspondants statistiques nationaux, les scientifiques nationaux et les experts en suivi de données de l’ICCAT. Le projet vise à améliorer les données des pêcheries sportives et de petits métiers sur les istiophoridés des Caraïbes et comporter les éléments suivants :</w:t>
      </w:r>
    </w:p>
    <w:p w14:paraId="67FF5BE9" w14:textId="77777777" w:rsidR="005B5D1D" w:rsidRPr="005B5D1D" w:rsidRDefault="005B5D1D" w:rsidP="005B5D1D">
      <w:pPr>
        <w:jc w:val="both"/>
        <w:rPr>
          <w:rFonts w:ascii="Cambria" w:eastAsia="Cambria" w:hAnsi="Cambria" w:cs="Cambria"/>
          <w:iCs/>
          <w:color w:val="000000"/>
          <w:sz w:val="20"/>
          <w:szCs w:val="20"/>
          <w:lang w:val="fr-FR"/>
        </w:rPr>
      </w:pPr>
    </w:p>
    <w:p w14:paraId="4A75DBF3" w14:textId="77777777" w:rsidR="005B5D1D" w:rsidRPr="005B5D1D" w:rsidRDefault="005B5D1D" w:rsidP="005B5D1D">
      <w:pPr>
        <w:numPr>
          <w:ilvl w:val="1"/>
          <w:numId w:val="1"/>
        </w:numPr>
        <w:ind w:left="851" w:hanging="425"/>
        <w:jc w:val="both"/>
        <w:rPr>
          <w:rFonts w:ascii="Cambria" w:eastAsia="Cambria" w:hAnsi="Cambria" w:cs="Cambria"/>
          <w:iCs/>
          <w:color w:val="000000"/>
          <w:sz w:val="20"/>
          <w:szCs w:val="20"/>
          <w:lang w:val="fr-FR"/>
        </w:rPr>
      </w:pPr>
      <w:r w:rsidRPr="005B5D1D">
        <w:rPr>
          <w:rFonts w:ascii="Cambria" w:hAnsi="Cambria"/>
          <w:color w:val="000000"/>
          <w:sz w:val="20"/>
          <w:szCs w:val="20"/>
          <w:lang w:val="fr-FR"/>
        </w:rPr>
        <w:t xml:space="preserve">Un examen approfondi des documents historiques sur les pêcheries sportives et de petits métiers capturant des espèces de l’ICCAT, notamment des istiophoridés. </w:t>
      </w:r>
    </w:p>
    <w:p w14:paraId="2683DF1B" w14:textId="77777777" w:rsidR="005B5D1D" w:rsidRPr="005B5D1D" w:rsidRDefault="005B5D1D" w:rsidP="005B5D1D">
      <w:pPr>
        <w:numPr>
          <w:ilvl w:val="1"/>
          <w:numId w:val="1"/>
        </w:numPr>
        <w:ind w:left="851" w:hanging="425"/>
        <w:jc w:val="both"/>
        <w:rPr>
          <w:rFonts w:ascii="Cambria" w:eastAsia="Cambria" w:hAnsi="Cambria" w:cs="Cambria"/>
          <w:iCs/>
          <w:color w:val="000000"/>
          <w:sz w:val="20"/>
          <w:szCs w:val="20"/>
          <w:lang w:val="fr-FR"/>
        </w:rPr>
      </w:pPr>
      <w:r w:rsidRPr="005B5D1D">
        <w:rPr>
          <w:rFonts w:ascii="Cambria" w:hAnsi="Cambria"/>
          <w:color w:val="000000"/>
          <w:sz w:val="20"/>
          <w:szCs w:val="20"/>
          <w:lang w:val="fr-FR"/>
        </w:rPr>
        <w:t>Un examen des systèmes nationaux de gouvernance en lien avec les pêcheries de l’ICCAT.</w:t>
      </w:r>
    </w:p>
    <w:p w14:paraId="2C12E2E1" w14:textId="77777777" w:rsidR="005B5D1D" w:rsidRPr="005B5D1D" w:rsidRDefault="005B5D1D" w:rsidP="005B5D1D">
      <w:pPr>
        <w:numPr>
          <w:ilvl w:val="1"/>
          <w:numId w:val="1"/>
        </w:numPr>
        <w:ind w:left="851" w:hanging="425"/>
        <w:jc w:val="both"/>
        <w:rPr>
          <w:rFonts w:ascii="Cambria" w:eastAsia="Cambria" w:hAnsi="Cambria" w:cs="Cambria"/>
          <w:iCs/>
          <w:color w:val="000000"/>
          <w:sz w:val="20"/>
          <w:szCs w:val="20"/>
          <w:lang w:val="fr-FR"/>
        </w:rPr>
      </w:pPr>
      <w:r w:rsidRPr="005B5D1D">
        <w:rPr>
          <w:rFonts w:ascii="Cambria" w:hAnsi="Cambria"/>
          <w:color w:val="000000"/>
          <w:sz w:val="20"/>
          <w:szCs w:val="20"/>
          <w:lang w:val="fr-FR"/>
        </w:rPr>
        <w:t>Des entretiens avec les principaux participants impliqués dans la gouvernance, les opérations et le suivi des pêcheries.</w:t>
      </w:r>
    </w:p>
    <w:p w14:paraId="6B96A3EF" w14:textId="77777777" w:rsidR="005B5D1D" w:rsidRPr="005B5D1D" w:rsidRDefault="005B5D1D" w:rsidP="005B5D1D">
      <w:pPr>
        <w:numPr>
          <w:ilvl w:val="1"/>
          <w:numId w:val="1"/>
        </w:numPr>
        <w:ind w:left="851" w:hanging="425"/>
        <w:jc w:val="both"/>
        <w:rPr>
          <w:rFonts w:ascii="Cambria" w:eastAsia="Cambria" w:hAnsi="Cambria" w:cs="Cambria"/>
          <w:iCs/>
          <w:color w:val="000000"/>
          <w:sz w:val="20"/>
          <w:szCs w:val="20"/>
          <w:lang w:val="fr-FR"/>
        </w:rPr>
      </w:pPr>
      <w:r w:rsidRPr="005B5D1D">
        <w:rPr>
          <w:rFonts w:ascii="Cambria" w:hAnsi="Cambria"/>
          <w:color w:val="000000"/>
          <w:sz w:val="20"/>
          <w:szCs w:val="20"/>
          <w:lang w:val="fr-FR"/>
        </w:rPr>
        <w:t>Une assistance technique pour améliorer la conception, le suivi et l’estimation statistique de la capture, des rejets et de l’effort de pêche.</w:t>
      </w:r>
    </w:p>
    <w:p w14:paraId="0D1BEBA2" w14:textId="77777777" w:rsidR="005B5D1D" w:rsidRPr="005B5D1D" w:rsidRDefault="005B5D1D" w:rsidP="005B5D1D">
      <w:pPr>
        <w:numPr>
          <w:ilvl w:val="1"/>
          <w:numId w:val="1"/>
        </w:numPr>
        <w:spacing w:after="160" w:line="259" w:lineRule="auto"/>
        <w:ind w:left="851" w:hanging="425"/>
        <w:jc w:val="both"/>
        <w:rPr>
          <w:rFonts w:ascii="Cambria" w:hAnsi="Cambria"/>
          <w:sz w:val="20"/>
          <w:szCs w:val="20"/>
          <w:lang w:val="fr-FR"/>
        </w:rPr>
      </w:pPr>
      <w:r w:rsidRPr="005B5D1D">
        <w:rPr>
          <w:rFonts w:ascii="Cambria" w:hAnsi="Cambria"/>
          <w:color w:val="000000"/>
          <w:sz w:val="20"/>
          <w:szCs w:val="20"/>
          <w:lang w:val="fr-FR"/>
        </w:rPr>
        <w:t>L’amélioration de la collecte des échantillons biologiques.</w:t>
      </w:r>
    </w:p>
    <w:p w14:paraId="032B573C" w14:textId="77777777" w:rsidR="005B5D1D" w:rsidRPr="005B5D1D" w:rsidRDefault="005B5D1D" w:rsidP="005B5D1D">
      <w:pPr>
        <w:spacing w:after="160" w:line="259" w:lineRule="auto"/>
        <w:jc w:val="both"/>
        <w:rPr>
          <w:rFonts w:ascii="Cambria" w:hAnsi="Cambria"/>
          <w:sz w:val="20"/>
          <w:szCs w:val="20"/>
          <w:lang w:val="fr-FR"/>
        </w:rPr>
      </w:pPr>
      <w:r w:rsidRPr="005B5D1D">
        <w:rPr>
          <w:rFonts w:ascii="Cambria" w:hAnsi="Cambria"/>
          <w:sz w:val="20"/>
          <w:szCs w:val="20"/>
          <w:lang w:val="fr-FR"/>
        </w:rPr>
        <w:t xml:space="preserve">Afin de renforcer les capacités </w:t>
      </w:r>
      <w:r w:rsidRPr="005B5D1D">
        <w:rPr>
          <w:rFonts w:ascii="Cambria" w:hAnsi="Cambria"/>
          <w:color w:val="000000"/>
          <w:sz w:val="20"/>
          <w:szCs w:val="20"/>
          <w:lang w:val="fr-FR"/>
        </w:rPr>
        <w:t>en matière d’estimation des rejets morts et vivants, le Comité appuie la poursuite du développement et l’utilisation de l’</w:t>
      </w:r>
      <w:hyperlink r:id="rId10" w:history="1">
        <w:r w:rsidRPr="005B5D1D">
          <w:rPr>
            <w:rFonts w:ascii="Cambria" w:hAnsi="Cambria"/>
            <w:color w:val="0563C1" w:themeColor="hyperlink"/>
            <w:sz w:val="20"/>
            <w:szCs w:val="20"/>
            <w:lang w:val="fr-FR"/>
          </w:rPr>
          <w:t>outil d'estimation des prises accessoires</w:t>
        </w:r>
      </w:hyperlink>
      <w:r w:rsidRPr="005B5D1D">
        <w:rPr>
          <w:rFonts w:ascii="Cambria" w:hAnsi="Cambria"/>
          <w:color w:val="0563C1" w:themeColor="hyperlink"/>
          <w:sz w:val="20"/>
          <w:szCs w:val="20"/>
          <w:lang w:val="fr-FR"/>
        </w:rPr>
        <w:t xml:space="preserve"> (BYET)</w:t>
      </w:r>
      <w:r w:rsidRPr="005B5D1D">
        <w:rPr>
          <w:rFonts w:ascii="Cambria" w:hAnsi="Cambria"/>
          <w:sz w:val="20"/>
          <w:szCs w:val="20"/>
          <w:lang w:val="fr-FR"/>
        </w:rPr>
        <w:t>.</w:t>
      </w:r>
      <w:r w:rsidRPr="005B5D1D">
        <w:rPr>
          <w:rFonts w:ascii="Cambria" w:hAnsi="Cambria"/>
          <w:color w:val="000000"/>
          <w:sz w:val="20"/>
          <w:szCs w:val="20"/>
          <w:lang w:val="fr-FR"/>
        </w:rPr>
        <w:t xml:space="preserve"> Le WGSAM identifie la capacité à estimer les prises accessoires et les rejets au niveau statistique de l’ICCAT (déclaration de la tâche 1). Le WGSAM a également convenu de poursuivre les activités de renforcement des capacités en 2027, et il prévoit également un atelier de formation en décembre 2026. Le Comité encourage les CPC à tirer parti de cette formation et des formations à venir afin d'améliorer leur capacité à estimer et à déclarer les rejets de spécimens vivants et morts. </w:t>
      </w:r>
    </w:p>
    <w:p w14:paraId="30BE40CF" w14:textId="77777777" w:rsidR="005B5D1D" w:rsidRPr="005B5D1D" w:rsidRDefault="005B5D1D" w:rsidP="005B5D1D">
      <w:pPr>
        <w:jc w:val="both"/>
        <w:rPr>
          <w:rFonts w:ascii="Cambria" w:hAnsi="Cambria"/>
          <w:b/>
          <w:bCs/>
          <w:i/>
          <w:iCs/>
          <w:sz w:val="20"/>
          <w:szCs w:val="20"/>
          <w:lang w:val="fr-FR"/>
        </w:rPr>
      </w:pPr>
    </w:p>
    <w:p w14:paraId="0DC91EE5" w14:textId="77777777" w:rsidR="005B5D1D" w:rsidRPr="005B5D1D" w:rsidRDefault="005B5D1D" w:rsidP="005B5D1D">
      <w:pPr>
        <w:jc w:val="both"/>
        <w:rPr>
          <w:rFonts w:ascii="Cambria" w:hAnsi="Cambria"/>
          <w:b/>
          <w:bCs/>
          <w:i/>
          <w:iCs/>
          <w:sz w:val="20"/>
          <w:szCs w:val="20"/>
          <w:lang w:val="fr-FR"/>
        </w:rPr>
      </w:pPr>
      <w:r w:rsidRPr="005B5D1D">
        <w:rPr>
          <w:rFonts w:ascii="Cambria" w:hAnsi="Cambria"/>
          <w:b/>
          <w:bCs/>
          <w:i/>
          <w:iCs/>
          <w:sz w:val="20"/>
          <w:szCs w:val="20"/>
          <w:lang w:val="fr-FR"/>
        </w:rPr>
        <w:t xml:space="preserve">19.12 Le SCRS devra évaluer l’exhaustivité des soumissions de données des tâches 1 et 2, y compris des estimations du nombre total de rejets morts et vivants, et déterminer la viabilité d'estimer les mortalités par pêche dues aux pêcheries industrielles (y compris de palangriers et de senneurs), aux pêcheries artisanales et aux pêcheries récréatives, </w:t>
      </w:r>
      <w:hyperlink r:id="rId11" w:history="1">
        <w:r w:rsidRPr="005B5D1D">
          <w:rPr>
            <w:rStyle w:val="Hyperlink"/>
            <w:rFonts w:ascii="Cambria" w:hAnsi="Cambria"/>
            <w:b/>
            <w:bCs/>
            <w:i/>
            <w:iCs/>
            <w:sz w:val="20"/>
            <w:szCs w:val="20"/>
            <w:u w:val="none"/>
            <w:lang w:val="fr-FR"/>
          </w:rPr>
          <w:t>Rec. 19-05</w:t>
        </w:r>
      </w:hyperlink>
      <w:r w:rsidRPr="005B5D1D">
        <w:rPr>
          <w:rFonts w:ascii="Cambria" w:hAnsi="Cambria"/>
          <w:b/>
          <w:bCs/>
          <w:i/>
          <w:iCs/>
          <w:sz w:val="20"/>
          <w:szCs w:val="20"/>
          <w:lang w:val="fr-FR"/>
        </w:rPr>
        <w:t>, paragraphe 17</w:t>
      </w:r>
    </w:p>
    <w:p w14:paraId="77B2EB90" w14:textId="77777777" w:rsidR="005B5D1D" w:rsidRPr="005B5D1D" w:rsidRDefault="005B5D1D" w:rsidP="005B5D1D">
      <w:pPr>
        <w:jc w:val="both"/>
        <w:rPr>
          <w:rFonts w:ascii="Cambria" w:hAnsi="Cambria"/>
          <w:b/>
          <w:sz w:val="20"/>
          <w:szCs w:val="20"/>
          <w:lang w:val="fr-FR"/>
        </w:rPr>
      </w:pPr>
    </w:p>
    <w:p w14:paraId="2603F23E" w14:textId="77777777" w:rsidR="005B5D1D" w:rsidRPr="005B5D1D" w:rsidRDefault="005B5D1D" w:rsidP="005B5D1D">
      <w:pPr>
        <w:jc w:val="both"/>
        <w:rPr>
          <w:rFonts w:ascii="Cambria" w:hAnsi="Cambria"/>
          <w:i/>
          <w:sz w:val="20"/>
          <w:szCs w:val="20"/>
          <w:lang w:val="fr-FR"/>
        </w:rPr>
      </w:pPr>
      <w:r w:rsidRPr="005B5D1D">
        <w:rPr>
          <w:rFonts w:ascii="Cambria" w:hAnsi="Cambria"/>
          <w:b/>
          <w:iCs/>
          <w:sz w:val="20"/>
          <w:szCs w:val="20"/>
          <w:lang w:val="fr-FR"/>
        </w:rPr>
        <w:t>Contexte</w:t>
      </w:r>
      <w:r w:rsidRPr="005B5D1D">
        <w:rPr>
          <w:rFonts w:ascii="Cambria" w:hAnsi="Cambria"/>
          <w:b/>
          <w:i/>
          <w:sz w:val="20"/>
          <w:szCs w:val="20"/>
          <w:lang w:val="fr-FR"/>
        </w:rPr>
        <w:t xml:space="preserve"> :</w:t>
      </w:r>
      <w:r w:rsidRPr="005B5D1D">
        <w:rPr>
          <w:rFonts w:ascii="Cambria" w:hAnsi="Cambria"/>
          <w:i/>
          <w:sz w:val="20"/>
          <w:szCs w:val="20"/>
          <w:lang w:val="fr-FR"/>
        </w:rPr>
        <w:t xml:space="preserve"> Le SCRS devra évaluer l’exhaustivité des soumissions de données des tâches 1 et 2, y compris des estimations du nombre total de rejets morts et vivants, et déterminer la viabilité d'estimer les mortalités par pêche dues aux pêcheries industrielles (y compris de palangriers et de senneurs), aux pêcheries artisanales et aux pêcheries récréatives. Si, après avoir mené cette évaluation, le SCRS détermine qu'il existe des lacunes importantes dans la déclaration des données, il devrait explorer des méthodes permettant d'estimer le niveau des captures non déclarées à inclure dans les futures évaluations des stocks afin de renforcer la base sur laquelle il fournira des avis de gestion à la Commission.</w:t>
      </w:r>
    </w:p>
    <w:p w14:paraId="007102FA" w14:textId="77777777" w:rsidR="005B5D1D" w:rsidRPr="005B5D1D" w:rsidRDefault="005B5D1D" w:rsidP="005B5D1D">
      <w:pPr>
        <w:tabs>
          <w:tab w:val="left" w:pos="1320"/>
        </w:tabs>
        <w:jc w:val="both"/>
        <w:rPr>
          <w:rFonts w:ascii="Cambria" w:hAnsi="Cambria"/>
          <w:bCs/>
          <w:sz w:val="20"/>
          <w:szCs w:val="20"/>
          <w:lang w:val="fr-FR"/>
        </w:rPr>
      </w:pPr>
    </w:p>
    <w:p w14:paraId="0A8BEB1E"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szCs w:val="20"/>
          <w:lang w:val="fr-FR"/>
        </w:rPr>
        <w:t xml:space="preserve">Une présentation a été fournie au Comité en ce qui concerne le tableau de bord en ligne « </w:t>
      </w:r>
      <w:hyperlink r:id="rId12" w:history="1">
        <w:r w:rsidRPr="005B5D1D">
          <w:rPr>
            <w:rStyle w:val="Hyperlink"/>
            <w:rFonts w:ascii="Cambria" w:hAnsi="Cambria"/>
            <w:sz w:val="20"/>
            <w:szCs w:val="20"/>
            <w:u w:val="none"/>
            <w:lang w:val="fr-FR"/>
          </w:rPr>
          <w:t xml:space="preserve">BLUE </w:t>
        </w:r>
      </w:hyperlink>
      <w:r w:rsidRPr="005B5D1D">
        <w:rPr>
          <w:rFonts w:ascii="Cambria" w:hAnsi="Cambria"/>
          <w:sz w:val="20"/>
          <w:szCs w:val="20"/>
          <w:lang w:val="fr-FR"/>
        </w:rPr>
        <w:t xml:space="preserve">/ </w:t>
      </w:r>
      <w:hyperlink r:id="rId13" w:history="1">
        <w:r w:rsidRPr="005B5D1D">
          <w:rPr>
            <w:rStyle w:val="Hyperlink"/>
            <w:rFonts w:ascii="Cambria" w:hAnsi="Cambria"/>
            <w:sz w:val="20"/>
            <w:szCs w:val="20"/>
            <w:u w:val="none"/>
            <w:lang w:val="fr-FR"/>
          </w:rPr>
          <w:t xml:space="preserve">RED </w:t>
        </w:r>
      </w:hyperlink>
      <w:r w:rsidRPr="005B5D1D">
        <w:rPr>
          <w:rFonts w:ascii="Cambria" w:hAnsi="Cambria"/>
          <w:sz w:val="20"/>
          <w:szCs w:val="20"/>
          <w:lang w:val="fr-FR"/>
        </w:rPr>
        <w:t>» du catalogue de données du SCRS et les CPC ont été invitées à consulter ce tableau de bord et à donner la priorité aux améliorations des données en vue des futures évaluations des istiophoridés.</w:t>
      </w:r>
    </w:p>
    <w:p w14:paraId="34C79D84" w14:textId="77777777" w:rsidR="005B5D1D" w:rsidRPr="005B5D1D" w:rsidRDefault="005B5D1D" w:rsidP="005B5D1D">
      <w:pPr>
        <w:tabs>
          <w:tab w:val="left" w:pos="1320"/>
        </w:tabs>
        <w:jc w:val="both"/>
        <w:rPr>
          <w:rFonts w:ascii="Cambria" w:hAnsi="Cambria"/>
          <w:bCs/>
          <w:sz w:val="20"/>
          <w:szCs w:val="20"/>
          <w:lang w:val="fr-FR"/>
        </w:rPr>
      </w:pPr>
    </w:p>
    <w:p w14:paraId="68F29818" w14:textId="77777777" w:rsidR="005B5D1D" w:rsidRPr="005B5D1D" w:rsidRDefault="005B5D1D" w:rsidP="005B5D1D">
      <w:pPr>
        <w:tabs>
          <w:tab w:val="left" w:pos="0"/>
          <w:tab w:val="right" w:leader="dot" w:pos="8505"/>
          <w:tab w:val="right" w:pos="9072"/>
        </w:tabs>
        <w:autoSpaceDE w:val="0"/>
        <w:autoSpaceDN w:val="0"/>
        <w:adjustRightInd w:val="0"/>
        <w:ind w:right="4"/>
        <w:jc w:val="both"/>
        <w:rPr>
          <w:rFonts w:ascii="Cambria" w:hAnsi="Cambria"/>
          <w:b/>
          <w:i/>
          <w:iCs/>
          <w:sz w:val="20"/>
          <w:szCs w:val="20"/>
          <w:lang w:val="fr-FR"/>
        </w:rPr>
      </w:pPr>
      <w:r w:rsidRPr="005B5D1D">
        <w:rPr>
          <w:rFonts w:ascii="Cambria" w:hAnsi="Cambria"/>
          <w:b/>
          <w:bCs/>
          <w:i/>
          <w:iCs/>
          <w:sz w:val="20"/>
          <w:szCs w:val="20"/>
          <w:lang w:val="fr-FR"/>
        </w:rPr>
        <w:t>19.13 Le SCRS devra poursuivre ses travaux pour améliorer davantage les initiatives de collecte des données dans le cadre de l’EPBR afin de solutionner les problèmes de lacunes en matière de données que connaissent ces pêcheries, notamment les pêcheries artisanales des CPC en développement, afin d’éclairer les futures décisions de la Commission,</w:t>
      </w:r>
      <w:r w:rsidRPr="005B5D1D">
        <w:rPr>
          <w:rFonts w:ascii="Cambria" w:hAnsi="Cambria"/>
          <w:sz w:val="20"/>
          <w:szCs w:val="20"/>
          <w:lang w:val="fr-FR"/>
        </w:rPr>
        <w:t xml:space="preserve"> </w:t>
      </w:r>
      <w:hyperlink r:id="rId14" w:history="1">
        <w:r w:rsidRPr="005B5D1D">
          <w:rPr>
            <w:rStyle w:val="Hyperlink"/>
            <w:rFonts w:ascii="Cambria" w:hAnsi="Cambria"/>
            <w:b/>
            <w:i/>
            <w:sz w:val="20"/>
            <w:szCs w:val="20"/>
            <w:u w:val="none"/>
            <w:lang w:val="fr-FR"/>
          </w:rPr>
          <w:t>Rec. 19-05</w:t>
        </w:r>
      </w:hyperlink>
      <w:r w:rsidRPr="005B5D1D">
        <w:rPr>
          <w:rFonts w:ascii="Cambria" w:hAnsi="Cambria"/>
          <w:b/>
          <w:sz w:val="20"/>
          <w:szCs w:val="20"/>
          <w:lang w:val="fr-FR"/>
        </w:rPr>
        <w:t>,</w:t>
      </w:r>
      <w:r w:rsidRPr="005B5D1D">
        <w:rPr>
          <w:rFonts w:ascii="Cambria" w:hAnsi="Cambria"/>
          <w:b/>
          <w:i/>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18</w:t>
      </w:r>
      <w:r w:rsidRPr="005B5D1D">
        <w:rPr>
          <w:rFonts w:ascii="Cambria" w:hAnsi="Cambria"/>
          <w:i/>
          <w:sz w:val="20"/>
          <w:szCs w:val="20"/>
          <w:lang w:val="fr-FR"/>
        </w:rPr>
        <w:t xml:space="preserve"> </w:t>
      </w:r>
    </w:p>
    <w:p w14:paraId="3DC1CFAF" w14:textId="77777777" w:rsidR="005B5D1D" w:rsidRPr="005B5D1D" w:rsidRDefault="005B5D1D" w:rsidP="005B5D1D">
      <w:pPr>
        <w:tabs>
          <w:tab w:val="center" w:pos="4513"/>
          <w:tab w:val="left" w:pos="6804"/>
        </w:tabs>
        <w:jc w:val="both"/>
        <w:rPr>
          <w:rFonts w:ascii="Cambria" w:hAnsi="Cambria"/>
          <w:b/>
          <w:i/>
          <w:iCs/>
          <w:sz w:val="20"/>
          <w:szCs w:val="20"/>
          <w:lang w:val="fr-FR"/>
        </w:rPr>
      </w:pPr>
    </w:p>
    <w:p w14:paraId="4F495194" w14:textId="77777777" w:rsidR="005B5D1D" w:rsidRPr="005B5D1D" w:rsidRDefault="005B5D1D" w:rsidP="005B5D1D">
      <w:pPr>
        <w:suppressAutoHyphens/>
        <w:jc w:val="both"/>
        <w:rPr>
          <w:rFonts w:ascii="Cambria" w:hAnsi="Cambria"/>
          <w:sz w:val="20"/>
          <w:szCs w:val="20"/>
          <w:lang w:val="fr-FR"/>
        </w:rPr>
      </w:pPr>
      <w:r w:rsidRPr="005B5D1D">
        <w:rPr>
          <w:rFonts w:ascii="Cambria" w:hAnsi="Cambria"/>
          <w:b/>
          <w:sz w:val="20"/>
          <w:szCs w:val="20"/>
          <w:lang w:val="fr-FR"/>
        </w:rPr>
        <w:t>Contexte :</w:t>
      </w:r>
      <w:r w:rsidRPr="005B5D1D">
        <w:rPr>
          <w:rFonts w:ascii="Cambria" w:hAnsi="Cambria"/>
          <w:b/>
          <w:i/>
          <w:sz w:val="20"/>
          <w:szCs w:val="20"/>
          <w:lang w:val="fr-FR"/>
        </w:rPr>
        <w:t xml:space="preserve"> </w:t>
      </w:r>
      <w:r w:rsidRPr="005B5D1D">
        <w:rPr>
          <w:rFonts w:ascii="Cambria" w:hAnsi="Cambria"/>
          <w:i/>
          <w:sz w:val="20"/>
          <w:szCs w:val="20"/>
          <w:lang w:val="fr-FR"/>
        </w:rPr>
        <w:t>Le SCRS devra poursuivre ses travaux pour améliorer davantage les initiatives de collecte des données dans le cadre du Programme ICCAT de recherche intensive sur les istiophoridés afin de solutionner les problèmes de lacunes en matière de données que connaissent ces pêcheries, notamment les pêcheries artisanales des CPC en développement, afin d’éclairer les futures décisions de la Commission.</w:t>
      </w:r>
    </w:p>
    <w:p w14:paraId="4ACB6EE9" w14:textId="77777777" w:rsidR="005B5D1D" w:rsidRPr="005B5D1D" w:rsidRDefault="005B5D1D" w:rsidP="005B5D1D">
      <w:pPr>
        <w:tabs>
          <w:tab w:val="left" w:pos="0"/>
          <w:tab w:val="right" w:leader="dot" w:pos="8505"/>
          <w:tab w:val="right" w:pos="9072"/>
        </w:tabs>
        <w:autoSpaceDE w:val="0"/>
        <w:autoSpaceDN w:val="0"/>
        <w:adjustRightInd w:val="0"/>
        <w:ind w:right="4"/>
        <w:jc w:val="both"/>
        <w:rPr>
          <w:rFonts w:ascii="Cambria" w:hAnsi="Cambria"/>
          <w:sz w:val="20"/>
          <w:szCs w:val="20"/>
          <w:lang w:val="fr-FR"/>
        </w:rPr>
      </w:pPr>
    </w:p>
    <w:p w14:paraId="796AB9CE"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szCs w:val="20"/>
          <w:lang w:val="fr-FR"/>
        </w:rPr>
        <w:t>Le Comité a poursuivi ses travaux dans le cadre du programme EPBR, avec pour objectifs de maintenir et de renforcer cet axe de recherche afin d'améliorer la qualité des données et de contribuer à la formulation de l’avis scientifique concernant les istiophoridés. Pour plus d'informations, veuillez-vous reporter aux points 13.4 (résumé de l'EPBR) et 17.1.5 (plan de travail 2027) du présent rapport.</w:t>
      </w:r>
    </w:p>
    <w:p w14:paraId="0E6719E3" w14:textId="77777777" w:rsidR="005B5D1D" w:rsidRPr="005B5D1D" w:rsidRDefault="005B5D1D" w:rsidP="005B5D1D">
      <w:pPr>
        <w:tabs>
          <w:tab w:val="left" w:pos="0"/>
          <w:tab w:val="right" w:leader="dot" w:pos="8505"/>
          <w:tab w:val="right" w:pos="9072"/>
        </w:tabs>
        <w:autoSpaceDE w:val="0"/>
        <w:autoSpaceDN w:val="0"/>
        <w:adjustRightInd w:val="0"/>
        <w:ind w:right="4"/>
        <w:jc w:val="both"/>
        <w:rPr>
          <w:rFonts w:ascii="Cambria" w:hAnsi="Cambria"/>
          <w:sz w:val="20"/>
          <w:szCs w:val="20"/>
          <w:lang w:val="fr-FR"/>
        </w:rPr>
      </w:pPr>
    </w:p>
    <w:p w14:paraId="2458CB4B" w14:textId="77777777" w:rsidR="005B5D1D" w:rsidRPr="005B5D1D" w:rsidRDefault="005B5D1D" w:rsidP="005B5D1D">
      <w:pPr>
        <w:jc w:val="both"/>
        <w:rPr>
          <w:rFonts w:ascii="Cambria" w:hAnsi="Cambria"/>
          <w:b/>
          <w:bCs/>
          <w:i/>
          <w:iCs/>
          <w:sz w:val="20"/>
          <w:szCs w:val="20"/>
          <w:lang w:val="fr-FR"/>
        </w:rPr>
      </w:pPr>
      <w:r w:rsidRPr="005B5D1D">
        <w:rPr>
          <w:rFonts w:ascii="Cambria" w:hAnsi="Cambria"/>
          <w:b/>
          <w:i/>
          <w:sz w:val="20"/>
          <w:szCs w:val="20"/>
          <w:lang w:val="fr-FR"/>
        </w:rPr>
        <w:t xml:space="preserve">19.14 Le SCRS devra étudier les changements techniques potentiels de l'engin terminal et des pratiques de pêche qui pourraient réduire les prises accessoires et leur mortalité. </w:t>
      </w:r>
      <w:r w:rsidRPr="005B5D1D">
        <w:rPr>
          <w:rFonts w:ascii="Cambria" w:hAnsi="Cambria"/>
          <w:b/>
          <w:bCs/>
          <w:i/>
          <w:iCs/>
          <w:sz w:val="20"/>
          <w:szCs w:val="20"/>
          <w:lang w:val="fr-FR"/>
        </w:rPr>
        <w:t xml:space="preserve">Concevoir et mettre en œuvre </w:t>
      </w:r>
      <w:r w:rsidRPr="005B5D1D">
        <w:rPr>
          <w:rFonts w:ascii="Cambria" w:hAnsi="Cambria"/>
          <w:b/>
          <w:bCs/>
          <w:i/>
          <w:iCs/>
          <w:sz w:val="20"/>
          <w:szCs w:val="20"/>
          <w:lang w:val="fr-FR"/>
        </w:rPr>
        <w:lastRenderedPageBreak/>
        <w:t>une ou plusieurs études pour comparer les effets de la forme et de la taille des hameçons sur les taux de capture</w:t>
      </w:r>
      <w:r w:rsidRPr="005B5D1D">
        <w:rPr>
          <w:rFonts w:ascii="Cambria" w:hAnsi="Cambria"/>
          <w:sz w:val="20"/>
          <w:szCs w:val="20"/>
          <w:lang w:val="fr-FR"/>
        </w:rPr>
        <w:t xml:space="preserve">, </w:t>
      </w:r>
      <w:hyperlink r:id="rId15" w:history="1">
        <w:r w:rsidRPr="005B5D1D">
          <w:rPr>
            <w:rStyle w:val="Hyperlink"/>
            <w:rFonts w:ascii="Cambria" w:hAnsi="Cambria"/>
            <w:b/>
            <w:i/>
            <w:sz w:val="20"/>
            <w:szCs w:val="20"/>
            <w:u w:val="none"/>
            <w:lang w:val="fr-FR"/>
          </w:rPr>
          <w:t>Rec. 19-05</w:t>
        </w:r>
      </w:hyperlink>
      <w:r w:rsidRPr="005B5D1D">
        <w:rPr>
          <w:rFonts w:ascii="Cambria" w:hAnsi="Cambria"/>
          <w:b/>
          <w:sz w:val="20"/>
          <w:szCs w:val="20"/>
          <w:lang w:val="fr-FR"/>
        </w:rPr>
        <w:t>,</w:t>
      </w:r>
      <w:r w:rsidRPr="005B5D1D">
        <w:rPr>
          <w:rFonts w:ascii="Cambria" w:hAnsi="Cambria"/>
          <w:b/>
          <w:i/>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21</w:t>
      </w:r>
      <w:r w:rsidRPr="005B5D1D">
        <w:rPr>
          <w:rFonts w:ascii="Cambria" w:hAnsi="Cambria"/>
          <w:i/>
          <w:sz w:val="20"/>
          <w:szCs w:val="20"/>
          <w:lang w:val="fr-FR"/>
        </w:rPr>
        <w:t xml:space="preserve"> </w:t>
      </w:r>
    </w:p>
    <w:p w14:paraId="7D7BCE10" w14:textId="77777777" w:rsidR="005B5D1D" w:rsidRPr="005B5D1D" w:rsidRDefault="005B5D1D" w:rsidP="005B5D1D">
      <w:pPr>
        <w:jc w:val="both"/>
        <w:rPr>
          <w:rFonts w:ascii="Cambria" w:hAnsi="Cambria"/>
          <w:b/>
          <w:bCs/>
          <w:i/>
          <w:iCs/>
          <w:sz w:val="20"/>
          <w:szCs w:val="20"/>
          <w:lang w:val="fr-FR"/>
        </w:rPr>
      </w:pPr>
    </w:p>
    <w:p w14:paraId="119D4981" w14:textId="77777777" w:rsidR="005B5D1D" w:rsidRPr="005B5D1D" w:rsidRDefault="005B5D1D" w:rsidP="005B5D1D">
      <w:pPr>
        <w:jc w:val="both"/>
        <w:rPr>
          <w:rFonts w:ascii="Cambria" w:hAnsi="Cambria"/>
          <w:i/>
          <w:iCs/>
          <w:sz w:val="20"/>
          <w:szCs w:val="20"/>
          <w:lang w:val="fr-FR"/>
        </w:rPr>
      </w:pPr>
      <w:r w:rsidRPr="005B5D1D">
        <w:rPr>
          <w:rFonts w:ascii="Cambria" w:hAnsi="Cambria"/>
          <w:b/>
          <w:sz w:val="20"/>
          <w:szCs w:val="20"/>
          <w:lang w:val="fr-FR"/>
        </w:rPr>
        <w:t xml:space="preserve">Contexte : </w:t>
      </w:r>
      <w:r w:rsidRPr="005B5D1D">
        <w:rPr>
          <w:rFonts w:ascii="Cambria" w:hAnsi="Cambria"/>
          <w:i/>
          <w:sz w:val="20"/>
          <w:szCs w:val="20"/>
          <w:lang w:val="fr-FR"/>
        </w:rPr>
        <w:t>Le SCRS devra, en collaboration avec les CPC, étudier les changements techniques potentiels à l'engin terminal (tels que la forme de l'hameçon, la taille de l'hameçon, le type de bas de ligne, etc.) et les pratiques de pêche (par exemple, le moment, le temps d’immersion, les appâts, les profondeurs, les zones) qui pourraient réduire les prises accessoires et la mortalité de celles-ci (à bord du navire et après la remise à l'eau). Dans le cadre de ce processus, le SCRS, en collaboration avec les CPC, devra concevoir et mettre en œuvre une ou plusieurs études pour comparer les effets de la forme et de la taille des hameçons sur les taux de capture (en tenant compte à la fois des taux d'hameçonnage et de rétention), la mortalité à la remontée et la mortalité après la remise à l’eau. La conception expérimentale devrait tenir compte de l'influence des types de matériaux de la ligne de bas et tenir compte des différences opérationnelles potentielles entre les régions et les flottilles.</w:t>
      </w:r>
    </w:p>
    <w:p w14:paraId="5A199FEC" w14:textId="77777777" w:rsidR="005B5D1D" w:rsidRPr="005B5D1D" w:rsidRDefault="005B5D1D" w:rsidP="005B5D1D">
      <w:pPr>
        <w:jc w:val="both"/>
        <w:rPr>
          <w:rFonts w:ascii="Cambria" w:hAnsi="Cambria"/>
          <w:i/>
          <w:iCs/>
          <w:sz w:val="20"/>
          <w:szCs w:val="20"/>
          <w:lang w:val="fr-FR"/>
        </w:rPr>
      </w:pPr>
    </w:p>
    <w:p w14:paraId="2418F435" w14:textId="77777777" w:rsidR="005B5D1D" w:rsidRPr="005B5D1D" w:rsidRDefault="005B5D1D" w:rsidP="005B5D1D">
      <w:pPr>
        <w:jc w:val="both"/>
        <w:rPr>
          <w:rFonts w:ascii="Cambria" w:hAnsi="Cambria"/>
          <w:i/>
          <w:iCs/>
          <w:sz w:val="20"/>
          <w:szCs w:val="20"/>
          <w:lang w:val="fr-FR"/>
        </w:rPr>
      </w:pPr>
      <w:r w:rsidRPr="005B5D1D">
        <w:rPr>
          <w:rFonts w:ascii="Cambria" w:hAnsi="Cambria"/>
          <w:sz w:val="20"/>
          <w:szCs w:val="20"/>
          <w:lang w:val="fr-FR"/>
        </w:rPr>
        <w:t xml:space="preserve">En 2026, aucune information supplémentaire sur cette question n'a été présentée au Comité. Par conséquent, la réponse fournie au point 19.9 du </w:t>
      </w:r>
      <w:hyperlink r:id="rId16" w:history="1">
        <w:r w:rsidRPr="005B5D1D">
          <w:rPr>
            <w:rStyle w:val="Hyperlink"/>
            <w:rFonts w:ascii="Cambria" w:hAnsi="Cambria"/>
            <w:i/>
            <w:sz w:val="20"/>
            <w:szCs w:val="20"/>
            <w:u w:val="none"/>
            <w:lang w:val="fr-FR"/>
          </w:rPr>
          <w:t>Rapport pour la période biennale 2024-2025, partie II (2025), Vol. 2</w:t>
        </w:r>
      </w:hyperlink>
      <w:r w:rsidRPr="005B5D1D">
        <w:rPr>
          <w:rFonts w:ascii="Cambria" w:hAnsi="Cambria"/>
          <w:sz w:val="20"/>
          <w:szCs w:val="20"/>
          <w:lang w:val="fr-FR"/>
        </w:rPr>
        <w:t xml:space="preserve"> contient toujours les informations les plus à jour.</w:t>
      </w:r>
    </w:p>
    <w:p w14:paraId="6156B164" w14:textId="77777777" w:rsidR="007B39C6" w:rsidRPr="005B5D1D" w:rsidRDefault="007B39C6" w:rsidP="007B39C6">
      <w:pPr>
        <w:jc w:val="both"/>
        <w:rPr>
          <w:rFonts w:ascii="Cambria" w:hAnsi="Cambria"/>
          <w:sz w:val="20"/>
          <w:szCs w:val="20"/>
          <w:lang w:val="fr-FR"/>
        </w:rPr>
      </w:pPr>
    </w:p>
    <w:p w14:paraId="64A5AD59" w14:textId="77777777" w:rsidR="005B5D1D" w:rsidRPr="005B5D1D" w:rsidRDefault="005B5D1D" w:rsidP="005B5D1D">
      <w:pPr>
        <w:spacing w:after="160" w:line="259" w:lineRule="auto"/>
        <w:rPr>
          <w:rFonts w:ascii="Cambria" w:hAnsi="Cambria"/>
          <w:b/>
          <w:i/>
          <w:color w:val="000000"/>
          <w:sz w:val="20"/>
          <w:szCs w:val="20"/>
          <w:lang w:val="fr-FR"/>
        </w:rPr>
      </w:pPr>
      <w:r w:rsidRPr="005B5D1D">
        <w:rPr>
          <w:rFonts w:ascii="Cambria" w:hAnsi="Cambria"/>
          <w:b/>
          <w:i/>
          <w:color w:val="000000"/>
          <w:sz w:val="20"/>
          <w:szCs w:val="20"/>
          <w:lang w:val="fr-FR"/>
        </w:rPr>
        <w:t>Espadon</w:t>
      </w:r>
    </w:p>
    <w:p w14:paraId="42F82DBC" w14:textId="77777777" w:rsidR="005B5D1D" w:rsidRPr="005B5D1D" w:rsidRDefault="005B5D1D" w:rsidP="005B5D1D">
      <w:pPr>
        <w:tabs>
          <w:tab w:val="left" w:pos="0"/>
          <w:tab w:val="left" w:pos="720"/>
          <w:tab w:val="right" w:pos="8505"/>
          <w:tab w:val="right" w:pos="9072"/>
        </w:tabs>
        <w:ind w:right="6"/>
        <w:jc w:val="both"/>
        <w:rPr>
          <w:rFonts w:ascii="Cambria" w:eastAsia="Cambria" w:hAnsi="Cambria" w:cs="Cambria"/>
          <w:b/>
          <w:i/>
          <w:color w:val="000000"/>
          <w:sz w:val="8"/>
          <w:szCs w:val="8"/>
          <w:lang w:val="fr-FR"/>
        </w:rPr>
      </w:pPr>
    </w:p>
    <w:p w14:paraId="45FF6F8C" w14:textId="77777777" w:rsidR="005B5D1D" w:rsidRPr="005B5D1D" w:rsidRDefault="005B5D1D" w:rsidP="005B5D1D">
      <w:pPr>
        <w:tabs>
          <w:tab w:val="center" w:pos="4513"/>
          <w:tab w:val="left" w:pos="6804"/>
        </w:tabs>
        <w:jc w:val="both"/>
        <w:rPr>
          <w:rFonts w:ascii="Cambria" w:hAnsi="Cambria"/>
          <w:b/>
          <w:i/>
          <w:iCs/>
          <w:sz w:val="20"/>
          <w:szCs w:val="20"/>
          <w:lang w:val="fr-FR"/>
        </w:rPr>
      </w:pPr>
      <w:r w:rsidRPr="005B5D1D">
        <w:rPr>
          <w:rFonts w:ascii="Cambria" w:hAnsi="Cambria"/>
          <w:b/>
          <w:bCs/>
          <w:i/>
          <w:iCs/>
          <w:sz w:val="20"/>
          <w:szCs w:val="20"/>
          <w:lang w:val="fr-FR"/>
        </w:rPr>
        <w:t>19.16 Le SCRS devrait évaluer l'impact des réductions effectuées sur le rétablissement du stock, le plus tôt possible</w:t>
      </w:r>
      <w:r w:rsidRPr="005B5D1D">
        <w:rPr>
          <w:rFonts w:ascii="Cambria" w:hAnsi="Cambria"/>
          <w:b/>
          <w:i/>
          <w:sz w:val="20"/>
          <w:szCs w:val="20"/>
          <w:lang w:val="fr-FR"/>
        </w:rPr>
        <w:t xml:space="preserve">, </w:t>
      </w:r>
      <w:hyperlink r:id="rId17" w:history="1">
        <w:r w:rsidRPr="005B5D1D">
          <w:rPr>
            <w:rStyle w:val="Hyperlink"/>
            <w:rFonts w:ascii="Cambria" w:hAnsi="Cambria"/>
            <w:b/>
            <w:i/>
            <w:sz w:val="20"/>
            <w:szCs w:val="20"/>
            <w:u w:val="none"/>
            <w:lang w:val="fr-FR"/>
          </w:rPr>
          <w:t>Rec. 24-11</w:t>
        </w:r>
      </w:hyperlink>
      <w:r w:rsidRPr="005B5D1D">
        <w:rPr>
          <w:rFonts w:ascii="Cambria" w:hAnsi="Cambria"/>
          <w:b/>
          <w:i/>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2</w:t>
      </w:r>
      <w:r w:rsidRPr="005B5D1D">
        <w:rPr>
          <w:rFonts w:ascii="Cambria" w:hAnsi="Cambria"/>
          <w:i/>
          <w:sz w:val="20"/>
          <w:szCs w:val="20"/>
          <w:lang w:val="fr-FR"/>
        </w:rPr>
        <w:t xml:space="preserve"> </w:t>
      </w:r>
    </w:p>
    <w:p w14:paraId="73671710" w14:textId="77777777" w:rsidR="005B5D1D" w:rsidRPr="005B5D1D" w:rsidRDefault="005B5D1D" w:rsidP="005B5D1D">
      <w:pPr>
        <w:tabs>
          <w:tab w:val="center" w:pos="4513"/>
          <w:tab w:val="left" w:pos="6804"/>
        </w:tabs>
        <w:jc w:val="both"/>
        <w:rPr>
          <w:rFonts w:ascii="Cambria" w:hAnsi="Cambria"/>
          <w:b/>
          <w:i/>
          <w:iCs/>
          <w:sz w:val="8"/>
          <w:szCs w:val="8"/>
          <w:lang w:val="fr-FR"/>
        </w:rPr>
      </w:pPr>
    </w:p>
    <w:p w14:paraId="54ECAC69" w14:textId="77777777" w:rsidR="005B5D1D" w:rsidRPr="005B5D1D" w:rsidRDefault="005B5D1D" w:rsidP="005B5D1D">
      <w:pPr>
        <w:suppressAutoHyphens/>
        <w:jc w:val="both"/>
        <w:rPr>
          <w:rFonts w:ascii="Cambria" w:hAnsi="Cambria"/>
          <w:sz w:val="20"/>
          <w:szCs w:val="20"/>
          <w:lang w:val="fr-FR"/>
        </w:rPr>
      </w:pPr>
      <w:r w:rsidRPr="005B5D1D">
        <w:rPr>
          <w:rFonts w:ascii="Cambria" w:hAnsi="Cambria"/>
          <w:b/>
          <w:sz w:val="20"/>
          <w:szCs w:val="20"/>
          <w:lang w:val="fr-FR"/>
        </w:rPr>
        <w:t>Contexte :</w:t>
      </w:r>
      <w:r w:rsidRPr="005B5D1D">
        <w:rPr>
          <w:rFonts w:ascii="Cambria" w:hAnsi="Cambria"/>
          <w:b/>
          <w:i/>
          <w:sz w:val="20"/>
          <w:szCs w:val="20"/>
          <w:lang w:val="fr-FR"/>
        </w:rPr>
        <w:t xml:space="preserve"> </w:t>
      </w:r>
      <w:r w:rsidRPr="005B5D1D">
        <w:rPr>
          <w:rFonts w:ascii="Cambria" w:hAnsi="Cambria"/>
          <w:i/>
          <w:sz w:val="20"/>
          <w:szCs w:val="20"/>
          <w:lang w:val="fr-FR"/>
        </w:rPr>
        <w:t>Le SCRS devrait évaluer l'impact des réductions effectuées sur le rétablissement du stock, le plus tôt possible.</w:t>
      </w:r>
    </w:p>
    <w:p w14:paraId="169F0BB1" w14:textId="77777777" w:rsidR="005B5D1D" w:rsidRPr="005B5D1D" w:rsidRDefault="005B5D1D" w:rsidP="005B5D1D">
      <w:pPr>
        <w:tabs>
          <w:tab w:val="left" w:pos="0"/>
          <w:tab w:val="left" w:pos="720"/>
          <w:tab w:val="right" w:pos="8505"/>
          <w:tab w:val="right" w:pos="9072"/>
        </w:tabs>
        <w:ind w:right="6"/>
        <w:jc w:val="both"/>
        <w:rPr>
          <w:rFonts w:ascii="Cambria" w:eastAsia="Cambria" w:hAnsi="Cambria" w:cs="Cambria"/>
          <w:b/>
          <w:i/>
          <w:color w:val="000000"/>
          <w:sz w:val="20"/>
          <w:szCs w:val="20"/>
          <w:lang w:val="fr-FR"/>
        </w:rPr>
      </w:pPr>
    </w:p>
    <w:p w14:paraId="6E904D14"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szCs w:val="20"/>
          <w:lang w:val="fr-FR"/>
        </w:rPr>
        <w:t xml:space="preserve">Le rétablissement du stock d’espadon de la Méditerranée n’a pas fait l'objet d'une évaluation directe. Toutefois, les estimations de la biomasse du stock reproducteur issues de l'évaluation de 2026 </w:t>
      </w:r>
      <w:r w:rsidRPr="005B5D1D">
        <w:rPr>
          <w:rFonts w:ascii="Cambria" w:hAnsi="Cambria"/>
          <w:b/>
          <w:bCs/>
          <w:sz w:val="20"/>
          <w:szCs w:val="20"/>
          <w:lang w:val="fr-FR"/>
        </w:rPr>
        <w:t>(figure 19.16.1</w:t>
      </w:r>
      <w:r w:rsidRPr="005B5D1D">
        <w:rPr>
          <w:rFonts w:ascii="Cambria" w:hAnsi="Cambria"/>
          <w:sz w:val="20"/>
          <w:szCs w:val="20"/>
          <w:lang w:val="fr-FR"/>
        </w:rPr>
        <w:t>) ne font état d'aucune augmentation depuis la mise en œuvre du plan de rétablissement en 2017 (Rec. 16-05).</w:t>
      </w:r>
    </w:p>
    <w:p w14:paraId="30E9F8EB" w14:textId="77777777" w:rsidR="005B5D1D" w:rsidRPr="007B779F" w:rsidRDefault="005B5D1D" w:rsidP="005B5D1D">
      <w:pPr>
        <w:tabs>
          <w:tab w:val="center" w:pos="4513"/>
          <w:tab w:val="left" w:pos="6804"/>
        </w:tabs>
        <w:jc w:val="both"/>
        <w:rPr>
          <w:rFonts w:ascii="Cambria" w:hAnsi="Cambria"/>
          <w:sz w:val="20"/>
          <w:szCs w:val="20"/>
        </w:rPr>
      </w:pPr>
      <w:r w:rsidRPr="007B779F">
        <w:rPr>
          <w:rFonts w:ascii="Cambria" w:hAnsi="Cambria"/>
          <w:noProof/>
          <w:sz w:val="20"/>
          <w:szCs w:val="20"/>
        </w:rPr>
        <w:drawing>
          <wp:inline distT="0" distB="0" distL="0" distR="0" wp14:anchorId="575680B4" wp14:editId="2C94533B">
            <wp:extent cx="3726180" cy="2034540"/>
            <wp:effectExtent l="0" t="0" r="7620" b="3810"/>
            <wp:docPr id="1055537057" name="Picture 2" descr="P17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37057" name="Picture 2" descr="P1720#yIS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180" cy="2034540"/>
                    </a:xfrm>
                    <a:prstGeom prst="rect">
                      <a:avLst/>
                    </a:prstGeom>
                    <a:noFill/>
                    <a:ln>
                      <a:noFill/>
                    </a:ln>
                  </pic:spPr>
                </pic:pic>
              </a:graphicData>
            </a:graphic>
          </wp:inline>
        </w:drawing>
      </w:r>
    </w:p>
    <w:p w14:paraId="1AFF2491"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b/>
          <w:bCs/>
          <w:sz w:val="20"/>
          <w:szCs w:val="20"/>
          <w:lang w:val="fr-FR"/>
        </w:rPr>
        <w:t xml:space="preserve">Figure 19.16.1. </w:t>
      </w:r>
      <w:r w:rsidRPr="005B5D1D">
        <w:rPr>
          <w:rFonts w:ascii="Cambria" w:hAnsi="Cambria"/>
          <w:sz w:val="20"/>
          <w:szCs w:val="20"/>
          <w:lang w:val="fr-FR"/>
        </w:rPr>
        <w:t>Série temporelle de la biomasse du stock reproducteur de l'espadon de Méditerranée issue du modèle d'évaluation structuré par âge de 2026.</w:t>
      </w:r>
    </w:p>
    <w:p w14:paraId="492A964F" w14:textId="77777777" w:rsidR="005B5D1D" w:rsidRPr="005B5D1D" w:rsidRDefault="005B5D1D" w:rsidP="005B5D1D">
      <w:pPr>
        <w:tabs>
          <w:tab w:val="left" w:pos="0"/>
          <w:tab w:val="left" w:pos="720"/>
          <w:tab w:val="right" w:pos="8505"/>
          <w:tab w:val="right" w:pos="9072"/>
        </w:tabs>
        <w:ind w:right="6"/>
        <w:jc w:val="both"/>
        <w:rPr>
          <w:rFonts w:ascii="Cambria" w:eastAsia="Cambria" w:hAnsi="Cambria" w:cs="Cambria"/>
          <w:b/>
          <w:i/>
          <w:color w:val="000000"/>
          <w:sz w:val="20"/>
          <w:szCs w:val="20"/>
          <w:lang w:val="fr-FR"/>
        </w:rPr>
      </w:pPr>
    </w:p>
    <w:p w14:paraId="01D5210E" w14:textId="77777777" w:rsidR="005B5D1D" w:rsidRPr="005B5D1D" w:rsidRDefault="005B5D1D" w:rsidP="005B5D1D">
      <w:pPr>
        <w:tabs>
          <w:tab w:val="center" w:pos="4513"/>
          <w:tab w:val="left" w:pos="6804"/>
        </w:tabs>
        <w:jc w:val="both"/>
        <w:rPr>
          <w:rFonts w:ascii="Cambria" w:hAnsi="Cambria"/>
          <w:b/>
          <w:i/>
          <w:iCs/>
          <w:sz w:val="20"/>
          <w:szCs w:val="20"/>
          <w:lang w:val="fr-FR"/>
        </w:rPr>
      </w:pPr>
      <w:r w:rsidRPr="005B5D1D">
        <w:rPr>
          <w:rFonts w:ascii="Cambria" w:hAnsi="Cambria"/>
          <w:b/>
          <w:i/>
          <w:sz w:val="20"/>
          <w:lang w:val="fr-FR"/>
        </w:rPr>
        <w:t>19.17 Le SCRS devra examiner le projet de modèle de déclaration ainsi que les informations incluses à l’annexe 2 et indiquer à la Commission si des amendements sont nécessaires.</w:t>
      </w:r>
      <w:hyperlink r:id="rId19" w:history="1">
        <w:r w:rsidRPr="005B5D1D">
          <w:rPr>
            <w:rStyle w:val="Hyperlink"/>
            <w:rFonts w:ascii="Cambria" w:hAnsi="Cambria"/>
            <w:b/>
            <w:i/>
            <w:sz w:val="20"/>
            <w:u w:val="none"/>
            <w:lang w:val="fr-FR"/>
          </w:rPr>
          <w:t xml:space="preserve"> Rec. 25-09</w:t>
        </w:r>
      </w:hyperlink>
      <w:r w:rsidRPr="005B5D1D">
        <w:rPr>
          <w:rFonts w:ascii="Cambria" w:hAnsi="Cambria"/>
          <w:b/>
          <w:i/>
          <w:sz w:val="20"/>
          <w:lang w:val="fr-FR"/>
        </w:rPr>
        <w:t xml:space="preserve">, paragraphe 6 </w:t>
      </w:r>
    </w:p>
    <w:p w14:paraId="6861CD15" w14:textId="77777777" w:rsidR="005B5D1D" w:rsidRPr="005B5D1D" w:rsidRDefault="005B5D1D" w:rsidP="005B5D1D">
      <w:pPr>
        <w:tabs>
          <w:tab w:val="center" w:pos="4513"/>
          <w:tab w:val="left" w:pos="6804"/>
        </w:tabs>
        <w:rPr>
          <w:rFonts w:ascii="Cambria" w:hAnsi="Cambria"/>
          <w:b/>
          <w:i/>
          <w:iCs/>
          <w:sz w:val="20"/>
          <w:szCs w:val="20"/>
          <w:lang w:val="fr-FR"/>
        </w:rPr>
      </w:pPr>
    </w:p>
    <w:p w14:paraId="0B0584E9" w14:textId="77777777" w:rsidR="005B5D1D" w:rsidRPr="005B5D1D" w:rsidRDefault="005B5D1D" w:rsidP="005B5D1D">
      <w:pPr>
        <w:suppressAutoHyphens/>
        <w:jc w:val="both"/>
        <w:rPr>
          <w:rFonts w:ascii="Cambria" w:hAnsi="Cambria"/>
          <w:sz w:val="20"/>
          <w:szCs w:val="20"/>
          <w:lang w:val="fr-FR"/>
        </w:rPr>
      </w:pPr>
      <w:r w:rsidRPr="005B5D1D">
        <w:rPr>
          <w:rFonts w:ascii="Cambria" w:hAnsi="Cambria"/>
          <w:b/>
          <w:sz w:val="20"/>
          <w:lang w:val="fr-FR"/>
        </w:rPr>
        <w:t>Contexte :</w:t>
      </w:r>
      <w:r w:rsidRPr="005B5D1D">
        <w:rPr>
          <w:rFonts w:ascii="Cambria" w:hAnsi="Cambria"/>
          <w:b/>
          <w:i/>
          <w:sz w:val="20"/>
          <w:lang w:val="fr-FR"/>
        </w:rPr>
        <w:t xml:space="preserve"> </w:t>
      </w:r>
      <w:r w:rsidRPr="005B5D1D">
        <w:rPr>
          <w:rFonts w:ascii="Cambria" w:hAnsi="Cambria"/>
          <w:i/>
          <w:sz w:val="20"/>
          <w:lang w:val="fr-FR"/>
        </w:rPr>
        <w:t>D'ici la fin 2025, le Secrétariat de l’ICCAT devra créer un projet de modèle de déclaration pour garantir la collecte de données harmonisées. Un projet de modèle devra être diffusé dès que possible aux CPC qui devront l'utiliser lorsqu'il sera disponible. À sa plénière de 2026, le SCRS devra examiner le projet de modèle de déclaration ainsi que les informations incluses à l’annexe 2 et indiquer à la Commission si des amendements sont nécessaires.</w:t>
      </w:r>
    </w:p>
    <w:p w14:paraId="6DC8A6CC" w14:textId="77777777" w:rsidR="005B5D1D" w:rsidRPr="005B5D1D" w:rsidRDefault="005B5D1D" w:rsidP="005B5D1D">
      <w:pPr>
        <w:tabs>
          <w:tab w:val="center" w:pos="4513"/>
          <w:tab w:val="left" w:pos="6804"/>
        </w:tabs>
        <w:rPr>
          <w:rFonts w:ascii="Cambria" w:hAnsi="Cambria"/>
          <w:sz w:val="20"/>
          <w:szCs w:val="20"/>
          <w:lang w:val="fr-FR"/>
        </w:rPr>
      </w:pPr>
    </w:p>
    <w:p w14:paraId="45B3DD3D"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lang w:val="fr-FR"/>
        </w:rPr>
        <w:t xml:space="preserve">Le Comité approuve dans l'ensemble les exigences relatives aux informations figurant à l'annexe 2 de la </w:t>
      </w:r>
      <w:hyperlink r:id="rId20" w:history="1">
        <w:r w:rsidRPr="005B5D1D">
          <w:rPr>
            <w:rStyle w:val="Hyperlink"/>
            <w:rFonts w:ascii="Cambria" w:hAnsi="Cambria"/>
            <w:sz w:val="20"/>
            <w:u w:val="none"/>
            <w:lang w:val="fr-FR"/>
          </w:rPr>
          <w:t>Rec. 25-09</w:t>
        </w:r>
      </w:hyperlink>
      <w:r w:rsidRPr="005B5D1D">
        <w:rPr>
          <w:rFonts w:ascii="Cambria" w:hAnsi="Cambria"/>
          <w:sz w:val="20"/>
          <w:lang w:val="fr-FR"/>
        </w:rPr>
        <w:t>, qui précisent les données devant être collectées par les CPC dans le cadre des projets pilotes sur les lignes de piégeage.</w:t>
      </w:r>
    </w:p>
    <w:p w14:paraId="203B5430" w14:textId="77777777" w:rsidR="005B5D1D" w:rsidRPr="005B5D1D" w:rsidRDefault="005B5D1D" w:rsidP="005B5D1D">
      <w:pPr>
        <w:tabs>
          <w:tab w:val="center" w:pos="4513"/>
          <w:tab w:val="left" w:pos="6804"/>
        </w:tabs>
        <w:jc w:val="both"/>
        <w:rPr>
          <w:rFonts w:ascii="Cambria" w:hAnsi="Cambria"/>
          <w:sz w:val="20"/>
          <w:szCs w:val="20"/>
          <w:lang w:val="fr-FR"/>
        </w:rPr>
      </w:pPr>
    </w:p>
    <w:p w14:paraId="1F1985EA"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lang w:val="fr-FR"/>
        </w:rPr>
        <w:lastRenderedPageBreak/>
        <w:t xml:space="preserve">Les principales discussions du Comité ont porté sur le niveau de résolution auquel les données doivent être transmises à l’ICCAT, soit sous forme de données brutes pleinement détaillées au niveau de l’opération (ce qui correspond à la version actuelle du formulaire ST-13, à compter de la date limite de soumission des données en 2026), soit sous la forme de métadonnées plus générales et/ou agrégées, dont l’objectif principal est de garantir que les données sont collectées conformément aux exigences de l’annexe 2 de la </w:t>
      </w:r>
      <w:hyperlink r:id="rId21" w:history="1">
        <w:r w:rsidRPr="005B5D1D">
          <w:rPr>
            <w:rStyle w:val="Hyperlink"/>
            <w:rFonts w:ascii="Cambria" w:hAnsi="Cambria"/>
            <w:sz w:val="20"/>
            <w:u w:val="none"/>
            <w:lang w:val="fr-FR"/>
          </w:rPr>
          <w:t>Rec. 25-09</w:t>
        </w:r>
      </w:hyperlink>
      <w:r w:rsidRPr="005B5D1D">
        <w:rPr>
          <w:rFonts w:ascii="Cambria" w:hAnsi="Cambria"/>
          <w:sz w:val="20"/>
          <w:lang w:val="fr-FR"/>
        </w:rPr>
        <w:t>.</w:t>
      </w:r>
    </w:p>
    <w:p w14:paraId="313318A2" w14:textId="77777777" w:rsidR="005B5D1D" w:rsidRPr="005B5D1D" w:rsidRDefault="005B5D1D" w:rsidP="005B5D1D">
      <w:pPr>
        <w:tabs>
          <w:tab w:val="center" w:pos="4513"/>
          <w:tab w:val="left" w:pos="6804"/>
        </w:tabs>
        <w:jc w:val="both"/>
        <w:rPr>
          <w:rFonts w:ascii="Cambria" w:hAnsi="Cambria"/>
          <w:sz w:val="20"/>
          <w:szCs w:val="20"/>
          <w:lang w:val="fr-FR"/>
        </w:rPr>
      </w:pPr>
    </w:p>
    <w:p w14:paraId="1044C24A" w14:textId="77777777" w:rsidR="005B5D1D" w:rsidRPr="005B5D1D" w:rsidRDefault="005B5D1D" w:rsidP="005B5D1D">
      <w:pPr>
        <w:tabs>
          <w:tab w:val="center" w:pos="4513"/>
          <w:tab w:val="left" w:pos="6804"/>
        </w:tabs>
        <w:jc w:val="both"/>
        <w:rPr>
          <w:rFonts w:ascii="Cambria" w:hAnsi="Cambria"/>
          <w:sz w:val="20"/>
          <w:lang w:val="fr-FR"/>
        </w:rPr>
      </w:pPr>
      <w:r w:rsidRPr="005B5D1D">
        <w:rPr>
          <w:rFonts w:ascii="Cambria" w:hAnsi="Cambria"/>
          <w:sz w:val="20"/>
          <w:lang w:val="fr-FR"/>
        </w:rPr>
        <w:t xml:space="preserve">Les principales questions soulevées concernant les données détaillées au niveau de l’opération portaient sur les points suivants : 1) pour certaines CPC, il pourrait s'avérer impossible de transmettre des données brutes pleinement détaillées au niveau de l’opération en raison de réglementations internes relatives aux données et de questions de confidentialité ; 2) il a été convenu que les analyses détaillées devraient être menées directement par les CPC, qui connaissent parfaitement tous les détails et toutes les spécificités des données, et pas nécessairement par le Groupe d’espèces sur l’espadon (SWO-SG). Il convient par ailleurs de noter que plusieurs CPC ont déjà présenté au SCRS des documents exposant les conclusions détaillées de leurs projets pilotes, soulignant ainsi que l'analyse détaillée devrait être menée directement par les CPC. Le Comité devrait ensuite procéder à une analyse finale synthétisant toutes les contributions des différentes CPC (analyse des métadonnées) afin d’apporter une réponse définitive à la demande de la Commission formulée au paragraphe 7 de la </w:t>
      </w:r>
      <w:hyperlink r:id="rId22" w:history="1">
        <w:r w:rsidRPr="005B5D1D">
          <w:rPr>
            <w:rStyle w:val="Hyperlink"/>
            <w:rFonts w:ascii="Cambria" w:hAnsi="Cambria"/>
            <w:sz w:val="20"/>
            <w:u w:val="none"/>
            <w:lang w:val="fr-FR"/>
          </w:rPr>
          <w:t>Rec. 25-09</w:t>
        </w:r>
      </w:hyperlink>
      <w:r w:rsidRPr="005B5D1D">
        <w:rPr>
          <w:rFonts w:ascii="Cambria" w:hAnsi="Cambria"/>
          <w:sz w:val="20"/>
          <w:lang w:val="fr-FR"/>
        </w:rPr>
        <w:t xml:space="preserve"> de l’ICCAT.</w:t>
      </w:r>
    </w:p>
    <w:p w14:paraId="38DE56A4" w14:textId="77777777" w:rsidR="005B5D1D" w:rsidRPr="005B5D1D" w:rsidRDefault="005B5D1D" w:rsidP="005B5D1D">
      <w:pPr>
        <w:tabs>
          <w:tab w:val="center" w:pos="4513"/>
          <w:tab w:val="left" w:pos="6804"/>
        </w:tabs>
        <w:jc w:val="both"/>
        <w:rPr>
          <w:rFonts w:ascii="Cambria" w:hAnsi="Cambria"/>
          <w:sz w:val="20"/>
          <w:lang w:val="fr-FR"/>
        </w:rPr>
      </w:pPr>
    </w:p>
    <w:p w14:paraId="44AEAF8A" w14:textId="77777777" w:rsidR="005B5D1D" w:rsidRPr="005B5D1D" w:rsidRDefault="005B5D1D" w:rsidP="005B5D1D">
      <w:pPr>
        <w:tabs>
          <w:tab w:val="center" w:pos="4513"/>
          <w:tab w:val="left" w:pos="6804"/>
        </w:tabs>
        <w:jc w:val="both"/>
        <w:rPr>
          <w:rFonts w:ascii="Cambria" w:hAnsi="Cambria"/>
          <w:sz w:val="20"/>
          <w:lang w:val="fr-FR"/>
        </w:rPr>
      </w:pPr>
      <w:r w:rsidRPr="005B5D1D">
        <w:rPr>
          <w:rFonts w:ascii="Cambria" w:hAnsi="Cambria"/>
          <w:sz w:val="20"/>
          <w:lang w:val="fr-FR"/>
        </w:rPr>
        <w:t>Pour ces raisons, le SWO-SG recommande de remanier le formulaire ST-13 afin de recueillir des métadonnées plus générales issues des projets pilotes et des résultats des CPC, sans pour autant nécessairement collecter des données brutes détaillées au niveau de l’opération de pêche. Cela serait conforme à ce que les CPC sont actuellement tenues de transmettre au Secrétariat dans le cadre de leurs programmes nationaux d'observateurs (formulaire ST-09).</w:t>
      </w:r>
    </w:p>
    <w:p w14:paraId="7C91126D" w14:textId="77777777" w:rsidR="005B5D1D" w:rsidRPr="005B5D1D" w:rsidRDefault="005B5D1D" w:rsidP="005B5D1D">
      <w:pPr>
        <w:tabs>
          <w:tab w:val="center" w:pos="4513"/>
          <w:tab w:val="left" w:pos="6804"/>
        </w:tabs>
        <w:jc w:val="both"/>
        <w:rPr>
          <w:rFonts w:ascii="Cambria" w:hAnsi="Cambria"/>
          <w:sz w:val="20"/>
          <w:szCs w:val="20"/>
          <w:lang w:val="fr-FR"/>
        </w:rPr>
      </w:pPr>
    </w:p>
    <w:p w14:paraId="647CE2DF"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lang w:val="fr-FR"/>
        </w:rPr>
        <w:t>Une proposition de révision du formulaire ST-13 a été transmise au Secrétariat.</w:t>
      </w:r>
    </w:p>
    <w:p w14:paraId="261867D8" w14:textId="77777777" w:rsidR="005B5D1D" w:rsidRPr="005B5D1D" w:rsidRDefault="005B5D1D" w:rsidP="005B5D1D">
      <w:pPr>
        <w:tabs>
          <w:tab w:val="center" w:pos="4513"/>
          <w:tab w:val="left" w:pos="6804"/>
        </w:tabs>
        <w:jc w:val="both"/>
        <w:rPr>
          <w:rFonts w:ascii="Cambria" w:hAnsi="Cambria"/>
          <w:i/>
          <w:iCs/>
          <w:sz w:val="20"/>
          <w:szCs w:val="20"/>
          <w:lang w:val="fr-FR"/>
        </w:rPr>
      </w:pPr>
    </w:p>
    <w:p w14:paraId="1034FE31" w14:textId="77777777" w:rsidR="005B5D1D" w:rsidRPr="005B5D1D" w:rsidRDefault="005B5D1D" w:rsidP="005B5D1D">
      <w:pPr>
        <w:tabs>
          <w:tab w:val="center" w:pos="4513"/>
          <w:tab w:val="left" w:pos="6804"/>
        </w:tabs>
        <w:jc w:val="both"/>
        <w:rPr>
          <w:rFonts w:ascii="Cambria" w:hAnsi="Cambria"/>
          <w:b/>
          <w:i/>
          <w:iCs/>
          <w:sz w:val="20"/>
          <w:szCs w:val="20"/>
          <w:lang w:val="fr-FR"/>
        </w:rPr>
      </w:pPr>
      <w:r w:rsidRPr="005B5D1D">
        <w:rPr>
          <w:rFonts w:ascii="Cambria" w:hAnsi="Cambria"/>
          <w:b/>
          <w:bCs/>
          <w:i/>
          <w:iCs/>
          <w:sz w:val="20"/>
          <w:szCs w:val="20"/>
          <w:lang w:val="fr-FR"/>
        </w:rPr>
        <w:t>19.18 Le SCRS devra réexaminer chaque année les objectifs et les dispositions de la présente mesure et formuler un avis à la Commission sur d'éventuelles modifications</w:t>
      </w:r>
      <w:r w:rsidRPr="005B5D1D">
        <w:rPr>
          <w:rFonts w:ascii="Cambria" w:hAnsi="Cambria"/>
          <w:b/>
          <w:i/>
          <w:sz w:val="20"/>
          <w:szCs w:val="20"/>
          <w:lang w:val="fr-FR"/>
        </w:rPr>
        <w:t>,</w:t>
      </w:r>
      <w:hyperlink r:id="rId23" w:history="1">
        <w:r w:rsidRPr="005B5D1D">
          <w:rPr>
            <w:rStyle w:val="Hyperlink"/>
            <w:rFonts w:ascii="Cambria" w:hAnsi="Cambria"/>
            <w:b/>
            <w:i/>
            <w:sz w:val="20"/>
            <w:szCs w:val="20"/>
            <w:u w:val="none"/>
            <w:lang w:val="fr-FR"/>
          </w:rPr>
          <w:t xml:space="preserve"> Rec.</w:t>
        </w:r>
      </w:hyperlink>
      <w:hyperlink r:id="rId24" w:history="1">
        <w:r w:rsidRPr="005B5D1D">
          <w:rPr>
            <w:rStyle w:val="Hyperlink"/>
            <w:rFonts w:ascii="Cambria" w:hAnsi="Cambria"/>
            <w:b/>
            <w:i/>
            <w:sz w:val="20"/>
            <w:szCs w:val="20"/>
            <w:u w:val="none"/>
            <w:lang w:val="fr-FR"/>
          </w:rPr>
          <w:t xml:space="preserve"> 25-09</w:t>
        </w:r>
      </w:hyperlink>
      <w:r w:rsidRPr="005B5D1D">
        <w:rPr>
          <w:rFonts w:ascii="Cambria" w:hAnsi="Cambria"/>
          <w:b/>
          <w:i/>
          <w:sz w:val="20"/>
          <w:szCs w:val="20"/>
          <w:lang w:val="fr-FR"/>
        </w:rPr>
        <w:t xml:space="preserve">, paragraphe 8 </w:t>
      </w:r>
      <w:r w:rsidRPr="005B5D1D">
        <w:rPr>
          <w:rFonts w:ascii="Cambria" w:hAnsi="Cambria"/>
          <w:i/>
          <w:sz w:val="20"/>
          <w:szCs w:val="20"/>
          <w:lang w:val="fr-FR"/>
        </w:rPr>
        <w:t xml:space="preserve"> </w:t>
      </w:r>
    </w:p>
    <w:p w14:paraId="5C0868F4" w14:textId="77777777" w:rsidR="005B5D1D" w:rsidRPr="005B5D1D" w:rsidRDefault="005B5D1D" w:rsidP="005B5D1D">
      <w:pPr>
        <w:tabs>
          <w:tab w:val="center" w:pos="4513"/>
          <w:tab w:val="left" w:pos="6804"/>
        </w:tabs>
        <w:rPr>
          <w:rFonts w:ascii="Cambria" w:hAnsi="Cambria"/>
          <w:b/>
          <w:i/>
          <w:iCs/>
          <w:sz w:val="20"/>
          <w:szCs w:val="20"/>
          <w:lang w:val="fr-FR"/>
        </w:rPr>
      </w:pPr>
    </w:p>
    <w:p w14:paraId="49AF3999" w14:textId="77777777" w:rsidR="005B5D1D" w:rsidRPr="005B5D1D" w:rsidRDefault="005B5D1D" w:rsidP="005B5D1D">
      <w:pPr>
        <w:suppressAutoHyphens/>
        <w:jc w:val="both"/>
        <w:rPr>
          <w:rFonts w:ascii="Cambria" w:hAnsi="Cambria"/>
          <w:sz w:val="20"/>
          <w:szCs w:val="20"/>
          <w:lang w:val="fr-FR"/>
        </w:rPr>
      </w:pPr>
      <w:r w:rsidRPr="005B5D1D">
        <w:rPr>
          <w:rFonts w:ascii="Cambria" w:hAnsi="Cambria"/>
          <w:b/>
          <w:sz w:val="20"/>
          <w:szCs w:val="20"/>
          <w:lang w:val="fr-FR"/>
        </w:rPr>
        <w:t>Contexte :</w:t>
      </w:r>
      <w:r w:rsidRPr="005B5D1D">
        <w:rPr>
          <w:rFonts w:ascii="Cambria" w:hAnsi="Cambria"/>
          <w:b/>
          <w:i/>
          <w:sz w:val="20"/>
          <w:szCs w:val="20"/>
          <w:lang w:val="fr-FR"/>
        </w:rPr>
        <w:t xml:space="preserve"> </w:t>
      </w:r>
      <w:r w:rsidRPr="005B5D1D">
        <w:rPr>
          <w:rFonts w:ascii="Cambria" w:hAnsi="Cambria"/>
          <w:i/>
          <w:sz w:val="20"/>
          <w:szCs w:val="20"/>
          <w:lang w:val="fr-FR"/>
        </w:rPr>
        <w:t>Le SCRS devra réexaminer chaque année les objectifs et les dispositions de la présente mesure et formuler un avis à la Commission sur d'éventuelles modifications, y compris sur le calendrier pour la formulation de l’avis et sur les informations à collecter.</w:t>
      </w:r>
    </w:p>
    <w:p w14:paraId="62417E11" w14:textId="77777777" w:rsidR="005B5D1D" w:rsidRPr="005B5D1D" w:rsidRDefault="005B5D1D" w:rsidP="005B5D1D">
      <w:pPr>
        <w:tabs>
          <w:tab w:val="center" w:pos="4513"/>
          <w:tab w:val="left" w:pos="6804"/>
        </w:tabs>
        <w:rPr>
          <w:rFonts w:ascii="Cambria" w:hAnsi="Cambria"/>
          <w:sz w:val="20"/>
          <w:szCs w:val="20"/>
          <w:lang w:val="fr-FR"/>
        </w:rPr>
      </w:pPr>
    </w:p>
    <w:p w14:paraId="058E4A11"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szCs w:val="20"/>
          <w:lang w:val="fr-FR"/>
        </w:rPr>
        <w:t xml:space="preserve">Le Comité approuve dans l'ensemble les objectifs et les dispositions des mesures figurant dans la </w:t>
      </w:r>
      <w:hyperlink r:id="rId25" w:history="1">
        <w:r w:rsidRPr="005B5D1D">
          <w:rPr>
            <w:rStyle w:val="Hyperlink"/>
            <w:rFonts w:ascii="Cambria" w:hAnsi="Cambria"/>
            <w:i/>
            <w:iCs/>
            <w:sz w:val="20"/>
            <w:szCs w:val="20"/>
            <w:u w:val="none"/>
            <w:lang w:val="fr-FR"/>
          </w:rPr>
          <w:t xml:space="preserve">Recommandation de l’ICCAT sur l’utilisation expérimentale des lignes de piégeage </w:t>
        </w:r>
        <w:r w:rsidRPr="005B5D1D">
          <w:rPr>
            <w:rStyle w:val="Hyperlink"/>
            <w:rFonts w:ascii="Cambria" w:hAnsi="Cambria"/>
            <w:sz w:val="20"/>
            <w:szCs w:val="20"/>
            <w:u w:val="none"/>
            <w:lang w:val="fr-FR"/>
          </w:rPr>
          <w:t>(Rec.</w:t>
        </w:r>
      </w:hyperlink>
      <w:r w:rsidRPr="005B5D1D">
        <w:rPr>
          <w:rFonts w:ascii="Cambria" w:hAnsi="Cambria"/>
          <w:sz w:val="20"/>
          <w:szCs w:val="20"/>
          <w:lang w:val="fr-FR"/>
        </w:rPr>
        <w:t xml:space="preserve"> </w:t>
      </w:r>
      <w:hyperlink r:id="rId26" w:history="1">
        <w:r w:rsidRPr="005B5D1D">
          <w:rPr>
            <w:rStyle w:val="Hyperlink"/>
            <w:rFonts w:ascii="Cambria" w:hAnsi="Cambria"/>
            <w:sz w:val="20"/>
            <w:szCs w:val="20"/>
            <w:u w:val="none"/>
            <w:lang w:val="fr-FR"/>
          </w:rPr>
          <w:t>25-09)</w:t>
        </w:r>
      </w:hyperlink>
      <w:r w:rsidRPr="005B5D1D">
        <w:rPr>
          <w:rFonts w:ascii="Cambria" w:hAnsi="Cambria"/>
          <w:sz w:val="20"/>
          <w:szCs w:val="20"/>
          <w:lang w:val="fr-FR"/>
        </w:rPr>
        <w:t>. Le Groupe d’espèces sur l’espadon (SWO) constate qu'à ce jour, plusieurs CPC ont présenté leurs projets pilotes concernant l'utilisation des lignes de piégeage de leurs flottes, ainsi que les résultats préliminaires.</w:t>
      </w:r>
    </w:p>
    <w:p w14:paraId="3EBC1344" w14:textId="77777777" w:rsidR="005B5D1D" w:rsidRPr="005B5D1D" w:rsidRDefault="005B5D1D" w:rsidP="005B5D1D">
      <w:pPr>
        <w:tabs>
          <w:tab w:val="center" w:pos="4513"/>
          <w:tab w:val="left" w:pos="6804"/>
        </w:tabs>
        <w:jc w:val="both"/>
        <w:rPr>
          <w:rFonts w:ascii="Cambria" w:hAnsi="Cambria"/>
          <w:sz w:val="20"/>
          <w:szCs w:val="20"/>
          <w:lang w:val="fr-FR"/>
        </w:rPr>
      </w:pPr>
    </w:p>
    <w:p w14:paraId="503BEE2B"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szCs w:val="20"/>
          <w:lang w:val="fr-FR"/>
        </w:rPr>
        <w:t xml:space="preserve">À ce stade, le Comité estime qu'il sera possible de respecter le calendrier actuel défini dans la </w:t>
      </w:r>
      <w:hyperlink r:id="rId27" w:history="1">
        <w:r w:rsidRPr="005B5D1D">
          <w:rPr>
            <w:rStyle w:val="Hyperlink"/>
            <w:rFonts w:ascii="Cambria" w:hAnsi="Cambria"/>
            <w:sz w:val="20"/>
            <w:szCs w:val="20"/>
            <w:u w:val="none"/>
            <w:lang w:val="fr-FR"/>
          </w:rPr>
          <w:t>Rec.</w:t>
        </w:r>
      </w:hyperlink>
      <w:r w:rsidRPr="005B5D1D">
        <w:rPr>
          <w:rFonts w:ascii="Cambria" w:hAnsi="Cambria"/>
          <w:sz w:val="20"/>
          <w:szCs w:val="20"/>
          <w:lang w:val="fr-FR"/>
        </w:rPr>
        <w:t>.</w:t>
      </w:r>
      <w:hyperlink r:id="rId28" w:history="1">
        <w:r w:rsidRPr="005B5D1D">
          <w:rPr>
            <w:rStyle w:val="Hyperlink"/>
            <w:rFonts w:ascii="Cambria" w:hAnsi="Cambria"/>
            <w:sz w:val="20"/>
            <w:szCs w:val="20"/>
            <w:u w:val="none"/>
            <w:lang w:val="fr-FR"/>
          </w:rPr>
          <w:t xml:space="preserve"> 25-09</w:t>
        </w:r>
      </w:hyperlink>
      <w:r w:rsidRPr="005B5D1D">
        <w:rPr>
          <w:rFonts w:ascii="Cambria" w:hAnsi="Cambria"/>
          <w:sz w:val="20"/>
          <w:szCs w:val="20"/>
          <w:lang w:val="fr-FR"/>
        </w:rPr>
        <w:t>, pour fournir un avis sur l'utilisation des lignes de piégeage d'ici 2028.</w:t>
      </w:r>
    </w:p>
    <w:p w14:paraId="262CD8FD" w14:textId="77777777" w:rsidR="005B5D1D" w:rsidRPr="005B5D1D" w:rsidRDefault="005B5D1D" w:rsidP="005B5D1D">
      <w:pPr>
        <w:tabs>
          <w:tab w:val="left" w:pos="0"/>
          <w:tab w:val="left" w:pos="720"/>
          <w:tab w:val="right" w:pos="8505"/>
          <w:tab w:val="right" w:pos="9072"/>
        </w:tabs>
        <w:ind w:right="6"/>
        <w:jc w:val="both"/>
        <w:rPr>
          <w:rFonts w:ascii="Cambria" w:eastAsia="Cambria" w:hAnsi="Cambria" w:cs="Cambria"/>
          <w:b/>
          <w:i/>
          <w:color w:val="000000"/>
          <w:sz w:val="20"/>
          <w:szCs w:val="20"/>
          <w:lang w:val="fr-FR"/>
        </w:rPr>
      </w:pPr>
    </w:p>
    <w:p w14:paraId="218D34EF" w14:textId="77777777" w:rsidR="005B5D1D" w:rsidRPr="005B5D1D" w:rsidRDefault="005B5D1D" w:rsidP="005B5D1D">
      <w:pPr>
        <w:tabs>
          <w:tab w:val="center" w:pos="4513"/>
          <w:tab w:val="left" w:pos="6804"/>
        </w:tabs>
        <w:jc w:val="both"/>
        <w:rPr>
          <w:rFonts w:ascii="Cambria" w:hAnsi="Cambria"/>
          <w:b/>
          <w:i/>
          <w:iCs/>
          <w:sz w:val="20"/>
          <w:szCs w:val="20"/>
          <w:lang w:val="fr-FR"/>
        </w:rPr>
      </w:pPr>
      <w:r w:rsidRPr="005B5D1D">
        <w:rPr>
          <w:rFonts w:ascii="Cambria" w:hAnsi="Cambria"/>
          <w:b/>
          <w:i/>
          <w:sz w:val="20"/>
          <w:szCs w:val="20"/>
          <w:lang w:val="fr-FR"/>
        </w:rPr>
        <w:t xml:space="preserve">19.19 Le SCRS devra évaluer chaque année la survenance des circonstances exceptionnelles et la Commission devra agir conformément au Protocole de circonstances exceptionnelles énoncé à l’annexe 4. </w:t>
      </w:r>
      <w:hyperlink r:id="rId29" w:history="1">
        <w:r w:rsidRPr="005B5D1D">
          <w:rPr>
            <w:rStyle w:val="Hyperlink"/>
            <w:rFonts w:ascii="Cambria" w:hAnsi="Cambria"/>
            <w:b/>
            <w:i/>
            <w:sz w:val="20"/>
            <w:szCs w:val="20"/>
            <w:u w:val="none"/>
            <w:lang w:val="fr-FR"/>
          </w:rPr>
          <w:t>Rec. 25-10</w:t>
        </w:r>
      </w:hyperlink>
      <w:r w:rsidRPr="005B5D1D">
        <w:rPr>
          <w:rFonts w:ascii="Cambria" w:hAnsi="Cambria"/>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5</w:t>
      </w:r>
      <w:r w:rsidRPr="005B5D1D">
        <w:rPr>
          <w:rFonts w:ascii="Cambria" w:hAnsi="Cambria"/>
          <w:i/>
          <w:sz w:val="20"/>
          <w:szCs w:val="20"/>
          <w:lang w:val="fr-FR"/>
        </w:rPr>
        <w:t xml:space="preserve"> </w:t>
      </w:r>
    </w:p>
    <w:p w14:paraId="41347231" w14:textId="77777777" w:rsidR="005B5D1D" w:rsidRPr="005B5D1D" w:rsidRDefault="005B5D1D" w:rsidP="005B5D1D">
      <w:pPr>
        <w:tabs>
          <w:tab w:val="center" w:pos="4513"/>
          <w:tab w:val="left" w:pos="6804"/>
        </w:tabs>
        <w:jc w:val="both"/>
        <w:rPr>
          <w:rFonts w:ascii="Cambria" w:hAnsi="Cambria"/>
          <w:b/>
          <w:i/>
          <w:iCs/>
          <w:sz w:val="20"/>
          <w:szCs w:val="20"/>
          <w:lang w:val="fr-FR"/>
        </w:rPr>
      </w:pPr>
    </w:p>
    <w:p w14:paraId="140D9294" w14:textId="77777777" w:rsidR="005B5D1D" w:rsidRPr="005B5D1D" w:rsidRDefault="005B5D1D" w:rsidP="005B5D1D">
      <w:pPr>
        <w:suppressAutoHyphens/>
        <w:jc w:val="both"/>
        <w:rPr>
          <w:rFonts w:ascii="Cambria" w:hAnsi="Cambria"/>
          <w:i/>
          <w:iCs/>
          <w:sz w:val="20"/>
          <w:szCs w:val="20"/>
          <w:lang w:val="fr-FR"/>
        </w:rPr>
      </w:pPr>
      <w:r w:rsidRPr="005B5D1D">
        <w:rPr>
          <w:rFonts w:ascii="Cambria" w:hAnsi="Cambria"/>
          <w:b/>
          <w:sz w:val="20"/>
          <w:szCs w:val="20"/>
          <w:lang w:val="fr-FR"/>
        </w:rPr>
        <w:t>Contexte :</w:t>
      </w:r>
      <w:r w:rsidRPr="005B5D1D">
        <w:rPr>
          <w:rFonts w:ascii="Cambria" w:hAnsi="Cambria"/>
          <w:b/>
          <w:i/>
          <w:sz w:val="20"/>
          <w:szCs w:val="20"/>
          <w:lang w:val="fr-FR"/>
        </w:rPr>
        <w:t xml:space="preserve"> </w:t>
      </w:r>
      <w:r w:rsidRPr="005B5D1D">
        <w:rPr>
          <w:rFonts w:ascii="Cambria" w:hAnsi="Cambria"/>
          <w:i/>
          <w:sz w:val="20"/>
          <w:szCs w:val="20"/>
          <w:lang w:val="fr-FR"/>
        </w:rPr>
        <w:t>Le SCRS devra appliquer la MP spécifiée à l'annexe 1 conformément au calendrier établi à l'annexe 3 et informer la Commission du TAC résultant pour l'espadon de l'Atlantique Nord pour le prochain cycle de gestion triennal. Le SCRS devra évaluer chaque année la survenance des circonstances exceptionnelles et la Commission devra agir conformément au Protocole de circonstances exceptionnelles énoncé à l’annexe 4.</w:t>
      </w:r>
    </w:p>
    <w:p w14:paraId="67BCE3E5" w14:textId="77777777" w:rsidR="005B5D1D" w:rsidRPr="005B5D1D" w:rsidRDefault="005B5D1D" w:rsidP="005B5D1D">
      <w:pPr>
        <w:tabs>
          <w:tab w:val="left" w:pos="0"/>
          <w:tab w:val="left" w:pos="720"/>
          <w:tab w:val="right" w:pos="8505"/>
          <w:tab w:val="right" w:pos="9072"/>
        </w:tabs>
        <w:ind w:right="6"/>
        <w:jc w:val="both"/>
        <w:rPr>
          <w:rFonts w:ascii="Cambria" w:eastAsia="Cambria" w:hAnsi="Cambria" w:cs="Cambria"/>
          <w:b/>
          <w:i/>
          <w:color w:val="000000"/>
          <w:sz w:val="20"/>
          <w:szCs w:val="20"/>
          <w:lang w:val="fr-FR"/>
        </w:rPr>
      </w:pPr>
    </w:p>
    <w:p w14:paraId="547FC7DE" w14:textId="77777777" w:rsidR="005B5D1D" w:rsidRPr="005B5D1D" w:rsidRDefault="005B5D1D" w:rsidP="005B5D1D">
      <w:pPr>
        <w:jc w:val="both"/>
        <w:rPr>
          <w:rFonts w:ascii="Cambria" w:hAnsi="Cambria"/>
          <w:sz w:val="20"/>
          <w:szCs w:val="20"/>
          <w:lang w:val="fr-FR"/>
        </w:rPr>
      </w:pPr>
      <w:r w:rsidRPr="005B5D1D">
        <w:rPr>
          <w:rFonts w:ascii="Cambria" w:hAnsi="Cambria"/>
          <w:sz w:val="20"/>
          <w:szCs w:val="20"/>
          <w:lang w:val="fr-FR"/>
        </w:rPr>
        <w:t xml:space="preserve">La procédure de gestion MCC11 adoptée a été exécutée en 2024 et a fourni un avis sur le TAC pour le premier cycle de gestion (2025-2027). Le SCRS a mené des analyses afin d'appuyer l'élaboration d'un protocole de circonstances exceptionnelles (ECP) et, conformément à cet avis, la Commission a adopté un protocole en 2025. Le protocole adopté met l'accent sur la souplesse, le jugement d'expert et le fait qu'il doit servir à identifier les situations dans lesquelles l'application de la MP pourrait s'avérer risquée ou inappropriée. Le Comité a procédé à une évaluation conformément aux spécifications relatives aux circonstances exceptionnelles (EC) figurant à l'annexe 4 de la </w:t>
      </w:r>
      <w:hyperlink r:id="rId30" w:history="1">
        <w:r w:rsidRPr="005B5D1D">
          <w:rPr>
            <w:rStyle w:val="Hyperlink"/>
            <w:rFonts w:ascii="Cambria" w:hAnsi="Cambria"/>
            <w:i/>
            <w:iCs/>
            <w:sz w:val="20"/>
            <w:szCs w:val="20"/>
            <w:u w:val="none"/>
            <w:lang w:val="fr-FR"/>
          </w:rPr>
          <w:t xml:space="preserve">Recommandation de l’ICCAT remplaçant la </w:t>
        </w:r>
        <w:r w:rsidRPr="005B5D1D">
          <w:rPr>
            <w:rStyle w:val="Hyperlink"/>
            <w:rFonts w:ascii="Cambria" w:hAnsi="Cambria"/>
            <w:i/>
            <w:iCs/>
            <w:sz w:val="20"/>
            <w:szCs w:val="20"/>
            <w:u w:val="none"/>
            <w:lang w:val="fr-FR"/>
          </w:rPr>
          <w:lastRenderedPageBreak/>
          <w:t>Recommandation 24-10 sur des mesures de conservation et de gestion, incluant une procédure de gestion, pour l’espadon de l’Atlantique Nord</w:t>
        </w:r>
        <w:r w:rsidRPr="005B5D1D">
          <w:rPr>
            <w:rStyle w:val="Hyperlink"/>
            <w:rFonts w:ascii="Cambria" w:hAnsi="Cambria"/>
            <w:sz w:val="20"/>
            <w:szCs w:val="20"/>
            <w:u w:val="none"/>
            <w:lang w:val="fr-FR"/>
          </w:rPr>
          <w:t xml:space="preserve"> (Rec.</w:t>
        </w:r>
      </w:hyperlink>
      <w:hyperlink r:id="rId31" w:history="1">
        <w:r w:rsidRPr="005B5D1D">
          <w:rPr>
            <w:rStyle w:val="Hyperlink"/>
            <w:rFonts w:ascii="Cambria" w:hAnsi="Cambria"/>
            <w:sz w:val="20"/>
            <w:szCs w:val="20"/>
            <w:u w:val="none"/>
            <w:lang w:val="fr-FR"/>
          </w:rPr>
          <w:t xml:space="preserve"> 25-10)</w:t>
        </w:r>
      </w:hyperlink>
      <w:r w:rsidRPr="005B5D1D">
        <w:rPr>
          <w:rFonts w:ascii="Cambria" w:hAnsi="Cambria"/>
          <w:sz w:val="20"/>
          <w:szCs w:val="20"/>
          <w:lang w:val="fr-FR"/>
        </w:rPr>
        <w:t>.</w:t>
      </w:r>
    </w:p>
    <w:p w14:paraId="45237D45" w14:textId="77777777" w:rsidR="005B5D1D" w:rsidRPr="005B5D1D" w:rsidRDefault="005B5D1D" w:rsidP="005B5D1D">
      <w:pPr>
        <w:jc w:val="both"/>
        <w:rPr>
          <w:rFonts w:ascii="Cambria" w:hAnsi="Cambria"/>
          <w:sz w:val="20"/>
          <w:szCs w:val="20"/>
          <w:lang w:val="fr-FR"/>
        </w:rPr>
      </w:pPr>
    </w:p>
    <w:p w14:paraId="7D898FF0" w14:textId="77777777" w:rsidR="005B5D1D" w:rsidRPr="005B5D1D" w:rsidRDefault="005B5D1D" w:rsidP="005B5D1D">
      <w:pPr>
        <w:jc w:val="both"/>
        <w:rPr>
          <w:rFonts w:ascii="Cambria" w:hAnsi="Cambria"/>
          <w:sz w:val="20"/>
          <w:szCs w:val="20"/>
          <w:lang w:val="fr-FR"/>
        </w:rPr>
      </w:pPr>
      <w:r w:rsidRPr="005B5D1D">
        <w:rPr>
          <w:rFonts w:ascii="Cambria" w:hAnsi="Cambria"/>
          <w:sz w:val="20"/>
          <w:szCs w:val="20"/>
          <w:lang w:val="fr-FR"/>
        </w:rPr>
        <w:t>Le tableau 1 de l’ECP présente quatre indicateurs relatifs aux circonstances exceptionnelles qui doivent être vérifiés chaque année ou dès que de nouvelles informations sont disponibles. Le Comité a établi qu'en 2026, aucune circonstance exceptionnelle n'a été constatée pour trois indicateurs, tandis que celles-ci ont été constatées pour un indicateur.</w:t>
      </w:r>
    </w:p>
    <w:p w14:paraId="2163DC28" w14:textId="77777777" w:rsidR="005B5D1D" w:rsidRPr="005B5D1D" w:rsidRDefault="005B5D1D" w:rsidP="005B5D1D">
      <w:pPr>
        <w:jc w:val="both"/>
        <w:rPr>
          <w:rFonts w:ascii="Cambria" w:hAnsi="Cambria"/>
          <w:sz w:val="20"/>
          <w:szCs w:val="20"/>
          <w:lang w:val="fr-FR"/>
        </w:rPr>
      </w:pPr>
    </w:p>
    <w:p w14:paraId="0F01A8A6" w14:textId="77777777" w:rsidR="005B5D1D" w:rsidRPr="005B5D1D" w:rsidRDefault="005B5D1D" w:rsidP="005B5D1D">
      <w:pPr>
        <w:jc w:val="both"/>
        <w:rPr>
          <w:rFonts w:ascii="Cambria" w:hAnsi="Cambria"/>
          <w:sz w:val="20"/>
          <w:szCs w:val="20"/>
          <w:lang w:val="fr-FR"/>
        </w:rPr>
      </w:pPr>
      <w:r w:rsidRPr="005B5D1D">
        <w:rPr>
          <w:rFonts w:ascii="Cambria" w:hAnsi="Cambria"/>
          <w:b/>
          <w:sz w:val="20"/>
          <w:szCs w:val="20"/>
          <w:lang w:val="fr-FR"/>
        </w:rPr>
        <w:t>Principe:</w:t>
      </w:r>
      <w:r w:rsidRPr="005B5D1D">
        <w:rPr>
          <w:rFonts w:ascii="Cambria" w:hAnsi="Cambria"/>
          <w:sz w:val="20"/>
          <w:szCs w:val="20"/>
          <w:lang w:val="fr-FR"/>
        </w:rPr>
        <w:t xml:space="preserve"> Dynamique du stock et de la pêcherie</w:t>
      </w:r>
    </w:p>
    <w:p w14:paraId="4DAFB209" w14:textId="77777777" w:rsidR="005B5D1D" w:rsidRPr="005B5D1D" w:rsidRDefault="005B5D1D" w:rsidP="005B5D1D">
      <w:pPr>
        <w:jc w:val="both"/>
        <w:rPr>
          <w:rFonts w:ascii="Cambria" w:hAnsi="Cambria"/>
          <w:sz w:val="20"/>
          <w:szCs w:val="20"/>
          <w:lang w:val="fr-FR"/>
        </w:rPr>
      </w:pPr>
    </w:p>
    <w:tbl>
      <w:tblPr>
        <w:tblStyle w:val="TableGrid"/>
        <w:tblW w:w="0" w:type="auto"/>
        <w:tblInd w:w="0" w:type="dxa"/>
        <w:tblLook w:val="04A0" w:firstRow="1" w:lastRow="0" w:firstColumn="1" w:lastColumn="0" w:noHBand="0" w:noVBand="1"/>
      </w:tblPr>
      <w:tblGrid>
        <w:gridCol w:w="1705"/>
        <w:gridCol w:w="5490"/>
        <w:gridCol w:w="1821"/>
      </w:tblGrid>
      <w:tr w:rsidR="005B5D1D" w:rsidRPr="007B779F" w14:paraId="67E9AC5F" w14:textId="77777777" w:rsidTr="007C17C6">
        <w:tc>
          <w:tcPr>
            <w:tcW w:w="1705" w:type="dxa"/>
            <w:vMerge w:val="restart"/>
            <w:vAlign w:val="center"/>
          </w:tcPr>
          <w:p w14:paraId="684DD2EB" w14:textId="77777777" w:rsidR="005B5D1D" w:rsidRPr="007B779F" w:rsidRDefault="005B5D1D" w:rsidP="007C17C6">
            <w:pPr>
              <w:jc w:val="center"/>
              <w:rPr>
                <w:rFonts w:ascii="Cambria" w:hAnsi="Cambria"/>
                <w:b/>
                <w:bCs/>
                <w:sz w:val="20"/>
                <w:szCs w:val="20"/>
              </w:rPr>
            </w:pPr>
            <w:r w:rsidRPr="007B779F">
              <w:rPr>
                <w:rFonts w:ascii="Cambria" w:hAnsi="Cambria"/>
                <w:b/>
                <w:sz w:val="20"/>
                <w:szCs w:val="20"/>
              </w:rPr>
              <w:t xml:space="preserve">Indicateur : </w:t>
            </w:r>
            <w:r w:rsidRPr="007B779F">
              <w:rPr>
                <w:rFonts w:ascii="Cambria" w:hAnsi="Cambria"/>
                <w:sz w:val="20"/>
                <w:szCs w:val="20"/>
              </w:rPr>
              <w:t>Indices</w:t>
            </w:r>
          </w:p>
        </w:tc>
        <w:tc>
          <w:tcPr>
            <w:tcW w:w="5490" w:type="dxa"/>
          </w:tcPr>
          <w:p w14:paraId="0CA15E6F" w14:textId="77777777" w:rsidR="005B5D1D" w:rsidRPr="007B779F" w:rsidRDefault="005B5D1D" w:rsidP="007C17C6">
            <w:pPr>
              <w:jc w:val="both"/>
              <w:rPr>
                <w:rFonts w:ascii="Cambria" w:hAnsi="Cambria"/>
                <w:sz w:val="20"/>
                <w:szCs w:val="20"/>
              </w:rPr>
            </w:pPr>
            <w:r w:rsidRPr="007B779F">
              <w:rPr>
                <w:rFonts w:ascii="Cambria" w:hAnsi="Cambria"/>
                <w:b/>
                <w:sz w:val="20"/>
                <w:szCs w:val="20"/>
              </w:rPr>
              <w:t>Critère:</w:t>
            </w:r>
            <w:r w:rsidRPr="007B779F">
              <w:rPr>
                <w:rFonts w:ascii="Cambria" w:hAnsi="Cambria"/>
                <w:sz w:val="20"/>
                <w:szCs w:val="20"/>
              </w:rPr>
              <w:t xml:space="preserve"> Si, pour une année donnée, les valeurs observées de l'indice combiné se situent en dehors de la fourchette allant du percentile 2,5 au percentile 97,5 de l'indice combiné simulé utilisé dans les projections pour tester la MP adoptée.</w:t>
            </w:r>
          </w:p>
        </w:tc>
        <w:tc>
          <w:tcPr>
            <w:tcW w:w="1821" w:type="dxa"/>
            <w:vMerge w:val="restart"/>
            <w:vAlign w:val="center"/>
          </w:tcPr>
          <w:p w14:paraId="25B092BB" w14:textId="77777777" w:rsidR="005B5D1D" w:rsidRPr="007B779F" w:rsidRDefault="005B5D1D" w:rsidP="007C17C6">
            <w:pPr>
              <w:jc w:val="center"/>
              <w:rPr>
                <w:rFonts w:ascii="Cambria" w:hAnsi="Cambria"/>
                <w:b/>
                <w:bCs/>
                <w:sz w:val="20"/>
                <w:szCs w:val="20"/>
              </w:rPr>
            </w:pPr>
            <w:r w:rsidRPr="007B779F">
              <w:rPr>
                <w:rFonts w:ascii="Cambria" w:hAnsi="Cambria"/>
                <w:b/>
                <w:sz w:val="20"/>
                <w:szCs w:val="20"/>
              </w:rPr>
              <w:t>Circonstances exceptionnelles?</w:t>
            </w:r>
          </w:p>
          <w:p w14:paraId="01F9D193" w14:textId="77777777" w:rsidR="005B5D1D" w:rsidRPr="007B779F" w:rsidRDefault="005B5D1D" w:rsidP="007C17C6">
            <w:pPr>
              <w:jc w:val="center"/>
              <w:rPr>
                <w:rFonts w:ascii="Cambria" w:hAnsi="Cambria"/>
                <w:sz w:val="20"/>
                <w:szCs w:val="20"/>
              </w:rPr>
            </w:pPr>
            <w:r w:rsidRPr="007B779F">
              <w:rPr>
                <w:rFonts w:ascii="Cambria" w:hAnsi="Cambria"/>
                <w:sz w:val="20"/>
                <w:szCs w:val="20"/>
              </w:rPr>
              <w:t>OUI</w:t>
            </w:r>
          </w:p>
        </w:tc>
      </w:tr>
      <w:tr w:rsidR="005B5D1D" w:rsidRPr="00A33D23" w14:paraId="49655B0A" w14:textId="77777777" w:rsidTr="007C17C6">
        <w:trPr>
          <w:trHeight w:val="479"/>
        </w:trPr>
        <w:tc>
          <w:tcPr>
            <w:tcW w:w="1705" w:type="dxa"/>
            <w:vMerge/>
          </w:tcPr>
          <w:p w14:paraId="0A86ACA8" w14:textId="77777777" w:rsidR="005B5D1D" w:rsidRPr="007B779F" w:rsidRDefault="005B5D1D" w:rsidP="007C17C6">
            <w:pPr>
              <w:jc w:val="both"/>
              <w:rPr>
                <w:rFonts w:ascii="Cambria" w:hAnsi="Cambria"/>
                <w:sz w:val="20"/>
                <w:szCs w:val="20"/>
                <w:lang w:val="en-US"/>
              </w:rPr>
            </w:pPr>
          </w:p>
        </w:tc>
        <w:tc>
          <w:tcPr>
            <w:tcW w:w="5490" w:type="dxa"/>
          </w:tcPr>
          <w:p w14:paraId="6B9A61F9" w14:textId="77777777" w:rsidR="005B5D1D" w:rsidRPr="007B779F" w:rsidRDefault="005B5D1D" w:rsidP="007C17C6">
            <w:pPr>
              <w:jc w:val="both"/>
              <w:rPr>
                <w:rFonts w:ascii="Cambria" w:hAnsi="Cambria"/>
                <w:sz w:val="20"/>
                <w:szCs w:val="20"/>
              </w:rPr>
            </w:pPr>
            <w:r w:rsidRPr="007B779F">
              <w:rPr>
                <w:rFonts w:ascii="Cambria" w:hAnsi="Cambria"/>
                <w:b/>
                <w:sz w:val="20"/>
                <w:szCs w:val="20"/>
              </w:rPr>
              <w:t>Résultat:</w:t>
            </w:r>
            <w:r w:rsidRPr="007B779F">
              <w:rPr>
                <w:rFonts w:ascii="Cambria" w:hAnsi="Cambria"/>
                <w:sz w:val="20"/>
                <w:szCs w:val="20"/>
              </w:rPr>
              <w:t xml:space="preserve"> Les dernières années (2023 et 2024) de l'indice combiné d'abondance se situent en dehors de la limite supérieure de l'intervalle de prédiction à 95 % (</w:t>
            </w:r>
            <w:r w:rsidRPr="007B779F">
              <w:rPr>
                <w:rFonts w:ascii="Cambria" w:hAnsi="Cambria"/>
                <w:b/>
                <w:bCs/>
                <w:sz w:val="20"/>
                <w:szCs w:val="20"/>
              </w:rPr>
              <w:t>figure 19.19.1</w:t>
            </w:r>
            <w:r w:rsidRPr="007B779F">
              <w:rPr>
                <w:rFonts w:ascii="Cambria" w:hAnsi="Cambria"/>
                <w:sz w:val="20"/>
                <w:szCs w:val="20"/>
              </w:rPr>
              <w:t>).</w:t>
            </w:r>
          </w:p>
        </w:tc>
        <w:tc>
          <w:tcPr>
            <w:tcW w:w="1821" w:type="dxa"/>
            <w:vMerge/>
          </w:tcPr>
          <w:p w14:paraId="1CAD8F76" w14:textId="77777777" w:rsidR="005B5D1D" w:rsidRPr="007B779F" w:rsidRDefault="005B5D1D" w:rsidP="007C17C6">
            <w:pPr>
              <w:jc w:val="both"/>
              <w:rPr>
                <w:rFonts w:ascii="Cambria" w:hAnsi="Cambria"/>
                <w:sz w:val="20"/>
                <w:szCs w:val="20"/>
              </w:rPr>
            </w:pPr>
          </w:p>
        </w:tc>
      </w:tr>
    </w:tbl>
    <w:p w14:paraId="506258D0" w14:textId="77777777" w:rsidR="005B5D1D" w:rsidRPr="005B5D1D" w:rsidRDefault="005B5D1D" w:rsidP="005B5D1D">
      <w:pPr>
        <w:jc w:val="center"/>
        <w:rPr>
          <w:rFonts w:ascii="Cambria" w:hAnsi="Cambria"/>
          <w:sz w:val="20"/>
          <w:szCs w:val="20"/>
          <w:lang w:val="fr-FR"/>
        </w:rPr>
      </w:pPr>
    </w:p>
    <w:p w14:paraId="67F5F6A8" w14:textId="77777777" w:rsidR="005B5D1D" w:rsidRPr="007B779F" w:rsidRDefault="005B5D1D" w:rsidP="005B5D1D">
      <w:pPr>
        <w:jc w:val="center"/>
        <w:rPr>
          <w:rFonts w:ascii="Cambria" w:hAnsi="Cambria"/>
          <w:sz w:val="20"/>
          <w:szCs w:val="20"/>
        </w:rPr>
      </w:pPr>
      <w:r w:rsidRPr="007B779F">
        <w:rPr>
          <w:rFonts w:ascii="Cambria" w:hAnsi="Cambria"/>
          <w:noProof/>
          <w:sz w:val="20"/>
          <w:szCs w:val="20"/>
        </w:rPr>
        <w:drawing>
          <wp:inline distT="0" distB="0" distL="0" distR="0" wp14:anchorId="5149D01B" wp14:editId="17C17533">
            <wp:extent cx="5731510" cy="2360930"/>
            <wp:effectExtent l="0" t="0" r="0" b="1270"/>
            <wp:docPr id="1136336405" name="Picture 1" descr="P17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36405" name="Picture 1" descr="P1766#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2360930"/>
                    </a:xfrm>
                    <a:prstGeom prst="rect">
                      <a:avLst/>
                    </a:prstGeom>
                    <a:noFill/>
                    <a:ln>
                      <a:noFill/>
                    </a:ln>
                  </pic:spPr>
                </pic:pic>
              </a:graphicData>
            </a:graphic>
          </wp:inline>
        </w:drawing>
      </w:r>
    </w:p>
    <w:p w14:paraId="620475BA" w14:textId="77777777" w:rsidR="005B5D1D" w:rsidRPr="005B5D1D" w:rsidRDefault="005B5D1D" w:rsidP="005B5D1D">
      <w:pPr>
        <w:jc w:val="both"/>
        <w:rPr>
          <w:rFonts w:ascii="Cambria" w:hAnsi="Cambria"/>
          <w:sz w:val="20"/>
          <w:szCs w:val="20"/>
          <w:lang w:val="fr-FR"/>
        </w:rPr>
      </w:pPr>
      <w:r w:rsidRPr="005B5D1D">
        <w:rPr>
          <w:rFonts w:ascii="Cambria" w:hAnsi="Cambria"/>
          <w:b/>
          <w:sz w:val="20"/>
          <w:szCs w:val="20"/>
          <w:lang w:val="fr-FR"/>
        </w:rPr>
        <w:t>Figure 19.19.1.</w:t>
      </w:r>
      <w:r w:rsidRPr="005B5D1D">
        <w:rPr>
          <w:rFonts w:ascii="Cambria" w:hAnsi="Cambria"/>
          <w:sz w:val="20"/>
          <w:szCs w:val="20"/>
          <w:lang w:val="fr-FR"/>
        </w:rPr>
        <w:t xml:space="preserve"> Valeurs observées de l'indice combiné (lignes noires) par rapport aux valeurs simulées projetées pour la période 2023-2028.</w:t>
      </w:r>
    </w:p>
    <w:p w14:paraId="60255395" w14:textId="77777777" w:rsidR="005B5D1D" w:rsidRPr="005B5D1D" w:rsidRDefault="005B5D1D" w:rsidP="005B5D1D">
      <w:pPr>
        <w:jc w:val="both"/>
        <w:rPr>
          <w:rFonts w:ascii="Cambria" w:hAnsi="Cambria"/>
          <w:sz w:val="20"/>
          <w:szCs w:val="20"/>
          <w:lang w:val="fr-FR"/>
        </w:rPr>
      </w:pPr>
    </w:p>
    <w:tbl>
      <w:tblPr>
        <w:tblStyle w:val="TableGrid"/>
        <w:tblW w:w="0" w:type="auto"/>
        <w:tblInd w:w="0" w:type="dxa"/>
        <w:tblLook w:val="04A0" w:firstRow="1" w:lastRow="0" w:firstColumn="1" w:lastColumn="0" w:noHBand="0" w:noVBand="1"/>
      </w:tblPr>
      <w:tblGrid>
        <w:gridCol w:w="1705"/>
        <w:gridCol w:w="5490"/>
        <w:gridCol w:w="1821"/>
      </w:tblGrid>
      <w:tr w:rsidR="005B5D1D" w:rsidRPr="007B779F" w14:paraId="4417552F" w14:textId="77777777" w:rsidTr="007C17C6">
        <w:tc>
          <w:tcPr>
            <w:tcW w:w="1705" w:type="dxa"/>
            <w:vMerge w:val="restart"/>
            <w:tcBorders>
              <w:top w:val="single" w:sz="4" w:space="0" w:color="auto"/>
              <w:left w:val="single" w:sz="4" w:space="0" w:color="auto"/>
              <w:bottom w:val="single" w:sz="4" w:space="0" w:color="auto"/>
              <w:right w:val="single" w:sz="4" w:space="0" w:color="auto"/>
            </w:tcBorders>
            <w:vAlign w:val="center"/>
            <w:hideMark/>
          </w:tcPr>
          <w:p w14:paraId="1304745E" w14:textId="77777777" w:rsidR="005B5D1D" w:rsidRPr="007B779F" w:rsidRDefault="005B5D1D" w:rsidP="007C17C6">
            <w:pPr>
              <w:jc w:val="center"/>
              <w:rPr>
                <w:rFonts w:ascii="Cambria" w:hAnsi="Cambria"/>
                <w:sz w:val="20"/>
                <w:szCs w:val="20"/>
              </w:rPr>
            </w:pPr>
            <w:r w:rsidRPr="007B779F">
              <w:rPr>
                <w:rFonts w:ascii="Cambria" w:hAnsi="Cambria"/>
                <w:b/>
                <w:sz w:val="20"/>
                <w:szCs w:val="20"/>
              </w:rPr>
              <w:t xml:space="preserve">Indicateur : </w:t>
            </w:r>
            <w:r w:rsidRPr="007B779F">
              <w:rPr>
                <w:rFonts w:ascii="Cambria" w:hAnsi="Cambria"/>
                <w:sz w:val="20"/>
                <w:szCs w:val="20"/>
              </w:rPr>
              <w:t xml:space="preserve">Abondance, </w:t>
            </w:r>
          </w:p>
          <w:p w14:paraId="2CF0E994" w14:textId="77777777" w:rsidR="005B5D1D" w:rsidRPr="007B779F" w:rsidRDefault="005B5D1D" w:rsidP="007C17C6">
            <w:pPr>
              <w:jc w:val="center"/>
              <w:rPr>
                <w:rFonts w:ascii="Cambria" w:hAnsi="Cambria"/>
                <w:sz w:val="20"/>
                <w:szCs w:val="20"/>
              </w:rPr>
            </w:pPr>
            <w:r w:rsidRPr="007B779F">
              <w:rPr>
                <w:rFonts w:ascii="Cambria" w:hAnsi="Cambria"/>
                <w:sz w:val="20"/>
                <w:szCs w:val="20"/>
              </w:rPr>
              <w:t xml:space="preserve">Cycle vital </w:t>
            </w:r>
          </w:p>
          <w:p w14:paraId="313DABC8" w14:textId="77777777" w:rsidR="005B5D1D" w:rsidRPr="007B779F" w:rsidRDefault="005B5D1D" w:rsidP="007C17C6">
            <w:pPr>
              <w:jc w:val="center"/>
              <w:rPr>
                <w:rFonts w:ascii="Cambria" w:hAnsi="Cambria"/>
                <w:b/>
                <w:bCs/>
                <w:sz w:val="20"/>
                <w:szCs w:val="20"/>
              </w:rPr>
            </w:pPr>
            <w:r w:rsidRPr="007B779F">
              <w:rPr>
                <w:rFonts w:ascii="Cambria" w:hAnsi="Cambria"/>
                <w:sz w:val="20"/>
                <w:szCs w:val="20"/>
              </w:rPr>
              <w:t>et dynamique des pêcheries</w:t>
            </w:r>
          </w:p>
        </w:tc>
        <w:tc>
          <w:tcPr>
            <w:tcW w:w="5490" w:type="dxa"/>
            <w:tcBorders>
              <w:top w:val="single" w:sz="4" w:space="0" w:color="auto"/>
              <w:left w:val="single" w:sz="4" w:space="0" w:color="auto"/>
              <w:bottom w:val="single" w:sz="4" w:space="0" w:color="auto"/>
              <w:right w:val="single" w:sz="4" w:space="0" w:color="auto"/>
            </w:tcBorders>
            <w:hideMark/>
          </w:tcPr>
          <w:p w14:paraId="25F3E968" w14:textId="77777777" w:rsidR="005B5D1D" w:rsidRPr="007B779F" w:rsidRDefault="005B5D1D" w:rsidP="007C17C6">
            <w:pPr>
              <w:jc w:val="both"/>
              <w:rPr>
                <w:rFonts w:ascii="Cambria" w:hAnsi="Cambria"/>
                <w:sz w:val="20"/>
                <w:szCs w:val="20"/>
              </w:rPr>
            </w:pPr>
            <w:r w:rsidRPr="007B779F">
              <w:rPr>
                <w:rFonts w:ascii="Cambria" w:hAnsi="Cambria"/>
                <w:b/>
                <w:sz w:val="20"/>
                <w:szCs w:val="20"/>
              </w:rPr>
              <w:t>Critère:</w:t>
            </w:r>
            <w:r w:rsidRPr="007B779F">
              <w:rPr>
                <w:rFonts w:ascii="Cambria" w:hAnsi="Cambria"/>
                <w:sz w:val="20"/>
                <w:szCs w:val="20"/>
              </w:rPr>
              <w:t xml:space="preserve"> Lorsqu'il existe des preuves que le stocks et/ou la dynamique de la pêcherie se trouvent dans des états qui n'étaient pas auparavant et/ou ne sont plus considérés comme plausibles dans le contexte de la MSE ou lorsqu'il existe des preuves que les états du stock ou la dynamique de la pêcherie inclus dans les OM pour tester la MSE ne sont plus considérés comme plausibles.</w:t>
            </w:r>
          </w:p>
        </w:tc>
        <w:tc>
          <w:tcPr>
            <w:tcW w:w="1821" w:type="dxa"/>
            <w:vMerge w:val="restart"/>
            <w:tcBorders>
              <w:top w:val="single" w:sz="4" w:space="0" w:color="auto"/>
              <w:left w:val="single" w:sz="4" w:space="0" w:color="auto"/>
              <w:bottom w:val="single" w:sz="4" w:space="0" w:color="auto"/>
              <w:right w:val="single" w:sz="4" w:space="0" w:color="auto"/>
            </w:tcBorders>
            <w:vAlign w:val="center"/>
            <w:hideMark/>
          </w:tcPr>
          <w:p w14:paraId="194DF4C7" w14:textId="77777777" w:rsidR="005B5D1D" w:rsidRPr="007B779F" w:rsidRDefault="005B5D1D" w:rsidP="007C17C6">
            <w:pPr>
              <w:jc w:val="center"/>
              <w:rPr>
                <w:rFonts w:ascii="Cambria" w:hAnsi="Cambria"/>
                <w:b/>
                <w:bCs/>
                <w:sz w:val="20"/>
                <w:szCs w:val="20"/>
              </w:rPr>
            </w:pPr>
            <w:r w:rsidRPr="007B779F">
              <w:rPr>
                <w:rFonts w:ascii="Cambria" w:hAnsi="Cambria"/>
                <w:b/>
                <w:sz w:val="20"/>
                <w:szCs w:val="20"/>
              </w:rPr>
              <w:t>Circonstances exceptionnelles ?</w:t>
            </w:r>
          </w:p>
          <w:p w14:paraId="5EB44065" w14:textId="77777777" w:rsidR="005B5D1D" w:rsidRPr="007B779F" w:rsidRDefault="005B5D1D" w:rsidP="007C17C6">
            <w:pPr>
              <w:jc w:val="center"/>
              <w:rPr>
                <w:rFonts w:ascii="Cambria" w:hAnsi="Cambria"/>
                <w:sz w:val="20"/>
                <w:szCs w:val="20"/>
              </w:rPr>
            </w:pPr>
            <w:r w:rsidRPr="007B779F">
              <w:rPr>
                <w:rFonts w:ascii="Cambria" w:hAnsi="Cambria"/>
                <w:sz w:val="20"/>
                <w:szCs w:val="20"/>
              </w:rPr>
              <w:t>NON</w:t>
            </w:r>
          </w:p>
        </w:tc>
      </w:tr>
      <w:tr w:rsidR="005B5D1D" w:rsidRPr="00A33D23" w14:paraId="2A5C3A35" w14:textId="77777777" w:rsidTr="007C17C6">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2BB488" w14:textId="77777777" w:rsidR="005B5D1D" w:rsidRPr="007B779F" w:rsidRDefault="005B5D1D" w:rsidP="007C17C6">
            <w:pPr>
              <w:rPr>
                <w:rFonts w:ascii="Cambria" w:hAnsi="Cambria"/>
                <w:b/>
                <w:bCs/>
                <w:sz w:val="20"/>
                <w:szCs w:val="20"/>
                <w:lang w:val="en-US"/>
              </w:rPr>
            </w:pPr>
          </w:p>
        </w:tc>
        <w:tc>
          <w:tcPr>
            <w:tcW w:w="5490" w:type="dxa"/>
            <w:tcBorders>
              <w:top w:val="single" w:sz="4" w:space="0" w:color="auto"/>
              <w:left w:val="single" w:sz="4" w:space="0" w:color="auto"/>
              <w:bottom w:val="single" w:sz="4" w:space="0" w:color="auto"/>
              <w:right w:val="single" w:sz="4" w:space="0" w:color="auto"/>
            </w:tcBorders>
            <w:hideMark/>
          </w:tcPr>
          <w:p w14:paraId="7DB991AE" w14:textId="77777777" w:rsidR="005B5D1D" w:rsidRPr="007B779F" w:rsidRDefault="005B5D1D" w:rsidP="007C17C6">
            <w:pPr>
              <w:jc w:val="both"/>
              <w:rPr>
                <w:rFonts w:ascii="Cambria" w:hAnsi="Cambria"/>
                <w:sz w:val="20"/>
                <w:szCs w:val="20"/>
              </w:rPr>
            </w:pPr>
            <w:r w:rsidRPr="007B779F">
              <w:rPr>
                <w:rFonts w:ascii="Cambria" w:hAnsi="Cambria"/>
                <w:b/>
                <w:sz w:val="20"/>
                <w:szCs w:val="20"/>
              </w:rPr>
              <w:t>Résultat:</w:t>
            </w:r>
            <w:r w:rsidRPr="007B779F">
              <w:rPr>
                <w:rFonts w:ascii="Cambria" w:hAnsi="Cambria"/>
                <w:sz w:val="20"/>
                <w:szCs w:val="20"/>
              </w:rPr>
              <w:t xml:space="preserve"> Le Comité n'a reçu aucun élément de preuve indiquant une circonstance exceptionnelle pour cet indicateur. Le Comité note toutefois que l'utilisation croissante de la ligne de piégeage nécessitera une analyse plus approfondie afin de déterminer si l'indice combiné d'abondance et la MP résistent aux incertitudes liées à l'utilisation de cet engin.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16BCF7" w14:textId="77777777" w:rsidR="005B5D1D" w:rsidRPr="007B779F" w:rsidRDefault="005B5D1D" w:rsidP="007C17C6">
            <w:pPr>
              <w:rPr>
                <w:rFonts w:ascii="Cambria" w:hAnsi="Cambria"/>
                <w:b/>
                <w:bCs/>
                <w:sz w:val="20"/>
                <w:szCs w:val="20"/>
              </w:rPr>
            </w:pPr>
          </w:p>
        </w:tc>
      </w:tr>
    </w:tbl>
    <w:p w14:paraId="2F31BB00" w14:textId="77777777" w:rsidR="005B5D1D" w:rsidRPr="005B5D1D" w:rsidRDefault="005B5D1D" w:rsidP="005B5D1D">
      <w:pPr>
        <w:jc w:val="both"/>
        <w:rPr>
          <w:rFonts w:ascii="Cambria" w:hAnsi="Cambria"/>
          <w:sz w:val="20"/>
          <w:szCs w:val="20"/>
          <w:lang w:val="fr-FR"/>
        </w:rPr>
      </w:pPr>
    </w:p>
    <w:p w14:paraId="21DFCE3C" w14:textId="77777777" w:rsidR="005B5D1D" w:rsidRPr="005B5D1D" w:rsidRDefault="005B5D1D" w:rsidP="005B5D1D">
      <w:pPr>
        <w:jc w:val="both"/>
        <w:rPr>
          <w:rFonts w:ascii="Cambria" w:hAnsi="Cambria"/>
          <w:sz w:val="20"/>
          <w:szCs w:val="20"/>
          <w:lang w:val="fr-FR"/>
        </w:rPr>
      </w:pPr>
    </w:p>
    <w:p w14:paraId="21F7A878" w14:textId="77777777" w:rsidR="005B5D1D" w:rsidRPr="005B5D1D" w:rsidRDefault="005B5D1D" w:rsidP="005B5D1D">
      <w:pPr>
        <w:jc w:val="both"/>
        <w:rPr>
          <w:rFonts w:ascii="Cambria" w:hAnsi="Cambria"/>
          <w:sz w:val="20"/>
          <w:szCs w:val="20"/>
          <w:lang w:val="fr-FR"/>
        </w:rPr>
      </w:pPr>
      <w:r w:rsidRPr="005B5D1D">
        <w:rPr>
          <w:rFonts w:ascii="Cambria" w:hAnsi="Cambria"/>
          <w:b/>
          <w:sz w:val="20"/>
          <w:szCs w:val="20"/>
          <w:lang w:val="fr-FR"/>
        </w:rPr>
        <w:t>Principe:</w:t>
      </w:r>
      <w:r w:rsidRPr="005B5D1D">
        <w:rPr>
          <w:rFonts w:ascii="Cambria" w:hAnsi="Cambria"/>
          <w:sz w:val="20"/>
          <w:szCs w:val="20"/>
          <w:lang w:val="fr-FR"/>
        </w:rPr>
        <w:t xml:space="preserve"> Disponibilité des données pour la MP  </w:t>
      </w:r>
    </w:p>
    <w:p w14:paraId="3506C0D0" w14:textId="77777777" w:rsidR="005B5D1D" w:rsidRPr="005B5D1D" w:rsidRDefault="005B5D1D" w:rsidP="005B5D1D">
      <w:pPr>
        <w:jc w:val="both"/>
        <w:rPr>
          <w:rFonts w:ascii="Cambria" w:hAnsi="Cambria"/>
          <w:sz w:val="20"/>
          <w:szCs w:val="20"/>
          <w:lang w:val="fr-FR"/>
        </w:rPr>
      </w:pPr>
    </w:p>
    <w:tbl>
      <w:tblPr>
        <w:tblStyle w:val="TableGrid"/>
        <w:tblW w:w="0" w:type="auto"/>
        <w:tblInd w:w="0" w:type="dxa"/>
        <w:tblLook w:val="04A0" w:firstRow="1" w:lastRow="0" w:firstColumn="1" w:lastColumn="0" w:noHBand="0" w:noVBand="1"/>
      </w:tblPr>
      <w:tblGrid>
        <w:gridCol w:w="1705"/>
        <w:gridCol w:w="5490"/>
        <w:gridCol w:w="1821"/>
      </w:tblGrid>
      <w:tr w:rsidR="005B5D1D" w:rsidRPr="007B779F" w14:paraId="272EA282" w14:textId="77777777" w:rsidTr="007C17C6">
        <w:tc>
          <w:tcPr>
            <w:tcW w:w="1705" w:type="dxa"/>
            <w:vMerge w:val="restart"/>
            <w:tcBorders>
              <w:top w:val="single" w:sz="4" w:space="0" w:color="auto"/>
              <w:left w:val="single" w:sz="4" w:space="0" w:color="auto"/>
              <w:bottom w:val="single" w:sz="4" w:space="0" w:color="auto"/>
              <w:right w:val="single" w:sz="4" w:space="0" w:color="auto"/>
            </w:tcBorders>
            <w:vAlign w:val="center"/>
            <w:hideMark/>
          </w:tcPr>
          <w:p w14:paraId="5F1FAE66" w14:textId="77777777" w:rsidR="005B5D1D" w:rsidRPr="007B779F" w:rsidRDefault="005B5D1D" w:rsidP="007C17C6">
            <w:pPr>
              <w:jc w:val="center"/>
              <w:rPr>
                <w:rFonts w:ascii="Cambria" w:hAnsi="Cambria"/>
                <w:b/>
                <w:bCs/>
                <w:sz w:val="20"/>
                <w:szCs w:val="20"/>
              </w:rPr>
            </w:pPr>
            <w:r w:rsidRPr="007B779F">
              <w:rPr>
                <w:rFonts w:ascii="Cambria" w:hAnsi="Cambria"/>
                <w:b/>
                <w:sz w:val="20"/>
                <w:szCs w:val="20"/>
              </w:rPr>
              <w:t xml:space="preserve">Indicateur : </w:t>
            </w:r>
            <w:r w:rsidRPr="007B779F">
              <w:rPr>
                <w:rFonts w:ascii="Cambria" w:hAnsi="Cambria"/>
                <w:sz w:val="20"/>
                <w:szCs w:val="20"/>
              </w:rPr>
              <w:t>Indices</w:t>
            </w:r>
          </w:p>
        </w:tc>
        <w:tc>
          <w:tcPr>
            <w:tcW w:w="5490" w:type="dxa"/>
            <w:tcBorders>
              <w:top w:val="single" w:sz="4" w:space="0" w:color="auto"/>
              <w:left w:val="single" w:sz="4" w:space="0" w:color="auto"/>
              <w:bottom w:val="single" w:sz="4" w:space="0" w:color="auto"/>
              <w:right w:val="single" w:sz="4" w:space="0" w:color="auto"/>
            </w:tcBorders>
            <w:hideMark/>
          </w:tcPr>
          <w:p w14:paraId="5D7259CB" w14:textId="77777777" w:rsidR="005B5D1D" w:rsidRPr="007B779F" w:rsidRDefault="005B5D1D" w:rsidP="007C17C6">
            <w:pPr>
              <w:jc w:val="both"/>
              <w:rPr>
                <w:rFonts w:ascii="Cambria" w:hAnsi="Cambria"/>
                <w:sz w:val="20"/>
                <w:szCs w:val="20"/>
              </w:rPr>
            </w:pPr>
            <w:r w:rsidRPr="007B779F">
              <w:rPr>
                <w:rFonts w:ascii="Cambria" w:hAnsi="Cambria"/>
                <w:b/>
                <w:sz w:val="20"/>
                <w:szCs w:val="20"/>
              </w:rPr>
              <w:t>Critère:</w:t>
            </w:r>
            <w:r w:rsidRPr="007B779F">
              <w:rPr>
                <w:rFonts w:ascii="Cambria" w:hAnsi="Cambria"/>
                <w:sz w:val="20"/>
                <w:szCs w:val="20"/>
              </w:rPr>
              <w:t xml:space="preserve"> Si des données de deux flottilles influentes ou plus contribuant à l'indice combiné manquent.</w:t>
            </w:r>
          </w:p>
        </w:tc>
        <w:tc>
          <w:tcPr>
            <w:tcW w:w="1821" w:type="dxa"/>
            <w:vMerge w:val="restart"/>
            <w:tcBorders>
              <w:top w:val="single" w:sz="4" w:space="0" w:color="auto"/>
              <w:left w:val="single" w:sz="4" w:space="0" w:color="auto"/>
              <w:bottom w:val="single" w:sz="4" w:space="0" w:color="auto"/>
              <w:right w:val="single" w:sz="4" w:space="0" w:color="auto"/>
            </w:tcBorders>
            <w:vAlign w:val="center"/>
            <w:hideMark/>
          </w:tcPr>
          <w:p w14:paraId="06EB9951" w14:textId="77777777" w:rsidR="005B5D1D" w:rsidRPr="007B779F" w:rsidRDefault="005B5D1D" w:rsidP="007C17C6">
            <w:pPr>
              <w:jc w:val="center"/>
              <w:rPr>
                <w:rFonts w:ascii="Cambria" w:hAnsi="Cambria"/>
                <w:b/>
                <w:bCs/>
                <w:sz w:val="20"/>
                <w:szCs w:val="20"/>
              </w:rPr>
            </w:pPr>
            <w:r w:rsidRPr="007B779F">
              <w:rPr>
                <w:rFonts w:ascii="Cambria" w:hAnsi="Cambria"/>
                <w:b/>
                <w:sz w:val="20"/>
                <w:szCs w:val="20"/>
              </w:rPr>
              <w:t>Circonstances exceptionnelles ?</w:t>
            </w:r>
          </w:p>
          <w:p w14:paraId="1765605E" w14:textId="77777777" w:rsidR="005B5D1D" w:rsidRPr="007B779F" w:rsidRDefault="005B5D1D" w:rsidP="007C17C6">
            <w:pPr>
              <w:jc w:val="center"/>
              <w:rPr>
                <w:rFonts w:ascii="Cambria" w:hAnsi="Cambria"/>
                <w:sz w:val="20"/>
                <w:szCs w:val="20"/>
              </w:rPr>
            </w:pPr>
            <w:r w:rsidRPr="007B779F">
              <w:rPr>
                <w:rFonts w:ascii="Cambria" w:hAnsi="Cambria"/>
                <w:sz w:val="20"/>
                <w:szCs w:val="20"/>
              </w:rPr>
              <w:t>NON</w:t>
            </w:r>
          </w:p>
        </w:tc>
      </w:tr>
      <w:tr w:rsidR="005B5D1D" w:rsidRPr="00A33D23" w14:paraId="71FC3E44" w14:textId="77777777" w:rsidTr="007C17C6">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D1D15" w14:textId="77777777" w:rsidR="005B5D1D" w:rsidRPr="007B779F" w:rsidRDefault="005B5D1D" w:rsidP="007C17C6">
            <w:pPr>
              <w:jc w:val="both"/>
              <w:rPr>
                <w:rFonts w:ascii="Cambria" w:hAnsi="Cambria"/>
                <w:b/>
                <w:bCs/>
                <w:sz w:val="20"/>
                <w:szCs w:val="20"/>
                <w:lang w:val="en-US"/>
              </w:rPr>
            </w:pPr>
          </w:p>
        </w:tc>
        <w:tc>
          <w:tcPr>
            <w:tcW w:w="5490" w:type="dxa"/>
            <w:tcBorders>
              <w:top w:val="single" w:sz="4" w:space="0" w:color="auto"/>
              <w:left w:val="single" w:sz="4" w:space="0" w:color="auto"/>
              <w:bottom w:val="single" w:sz="4" w:space="0" w:color="auto"/>
              <w:right w:val="single" w:sz="4" w:space="0" w:color="auto"/>
            </w:tcBorders>
            <w:hideMark/>
          </w:tcPr>
          <w:p w14:paraId="4EF18FE3" w14:textId="77777777" w:rsidR="005B5D1D" w:rsidRPr="007B779F" w:rsidRDefault="005B5D1D" w:rsidP="007C17C6">
            <w:pPr>
              <w:jc w:val="both"/>
              <w:rPr>
                <w:rFonts w:ascii="Cambria" w:hAnsi="Cambria"/>
                <w:sz w:val="20"/>
                <w:szCs w:val="20"/>
              </w:rPr>
            </w:pPr>
            <w:r w:rsidRPr="007B779F">
              <w:rPr>
                <w:rFonts w:ascii="Cambria" w:hAnsi="Cambria"/>
                <w:b/>
                <w:sz w:val="20"/>
                <w:szCs w:val="20"/>
              </w:rPr>
              <w:t>Résultat:</w:t>
            </w:r>
            <w:r w:rsidRPr="007B779F">
              <w:rPr>
                <w:rFonts w:ascii="Cambria" w:hAnsi="Cambria"/>
                <w:sz w:val="20"/>
                <w:szCs w:val="20"/>
              </w:rPr>
              <w:t xml:space="preserve"> Toutes les données nécessaires à la mise à jour de l'indice combiné d'abondance étaient disponibles.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29C877" w14:textId="77777777" w:rsidR="005B5D1D" w:rsidRPr="007B779F" w:rsidRDefault="005B5D1D" w:rsidP="007C17C6">
            <w:pPr>
              <w:jc w:val="both"/>
              <w:rPr>
                <w:rFonts w:ascii="Cambria" w:hAnsi="Cambria"/>
                <w:sz w:val="20"/>
                <w:szCs w:val="20"/>
              </w:rPr>
            </w:pPr>
          </w:p>
        </w:tc>
      </w:tr>
    </w:tbl>
    <w:p w14:paraId="74EDAA04" w14:textId="77777777" w:rsidR="005B5D1D" w:rsidRPr="005B5D1D" w:rsidRDefault="005B5D1D" w:rsidP="005B5D1D">
      <w:pPr>
        <w:jc w:val="both"/>
        <w:rPr>
          <w:rFonts w:ascii="Cambria" w:hAnsi="Cambria"/>
          <w:sz w:val="20"/>
          <w:szCs w:val="20"/>
          <w:lang w:val="fr-FR"/>
        </w:rPr>
      </w:pPr>
    </w:p>
    <w:p w14:paraId="5CA04A45" w14:textId="77777777" w:rsidR="005B5D1D" w:rsidRPr="005B5D1D" w:rsidRDefault="005B5D1D" w:rsidP="005B5D1D">
      <w:pPr>
        <w:jc w:val="both"/>
        <w:rPr>
          <w:rFonts w:ascii="Cambria" w:hAnsi="Cambria"/>
          <w:sz w:val="20"/>
          <w:szCs w:val="20"/>
          <w:lang w:val="fr-FR"/>
        </w:rPr>
      </w:pPr>
    </w:p>
    <w:p w14:paraId="0C4E2BC9" w14:textId="77777777" w:rsidR="005B5D1D" w:rsidRPr="005B5D1D" w:rsidRDefault="005B5D1D" w:rsidP="005B5D1D">
      <w:pPr>
        <w:jc w:val="both"/>
        <w:rPr>
          <w:rFonts w:ascii="Cambria" w:hAnsi="Cambria"/>
          <w:sz w:val="20"/>
          <w:szCs w:val="20"/>
          <w:lang w:val="fr-FR"/>
        </w:rPr>
      </w:pPr>
      <w:r w:rsidRPr="005B5D1D">
        <w:rPr>
          <w:rFonts w:ascii="Cambria" w:hAnsi="Cambria"/>
          <w:b/>
          <w:sz w:val="20"/>
          <w:szCs w:val="20"/>
          <w:lang w:val="fr-FR"/>
        </w:rPr>
        <w:t>Principe:</w:t>
      </w:r>
      <w:r w:rsidRPr="005B5D1D">
        <w:rPr>
          <w:rFonts w:ascii="Cambria" w:hAnsi="Cambria"/>
          <w:sz w:val="20"/>
          <w:szCs w:val="20"/>
          <w:lang w:val="fr-FR"/>
        </w:rPr>
        <w:t xml:space="preserve"> Mise en œuvre du TAC  </w:t>
      </w:r>
    </w:p>
    <w:p w14:paraId="2DF27505" w14:textId="77777777" w:rsidR="005B5D1D" w:rsidRPr="005B5D1D" w:rsidRDefault="005B5D1D" w:rsidP="005B5D1D">
      <w:pPr>
        <w:jc w:val="both"/>
        <w:rPr>
          <w:rFonts w:ascii="Cambria" w:hAnsi="Cambria"/>
          <w:sz w:val="20"/>
          <w:szCs w:val="20"/>
          <w:lang w:val="fr-FR"/>
        </w:rPr>
      </w:pPr>
    </w:p>
    <w:tbl>
      <w:tblPr>
        <w:tblStyle w:val="TableGrid"/>
        <w:tblW w:w="0" w:type="auto"/>
        <w:tblInd w:w="0" w:type="dxa"/>
        <w:tblLook w:val="04A0" w:firstRow="1" w:lastRow="0" w:firstColumn="1" w:lastColumn="0" w:noHBand="0" w:noVBand="1"/>
      </w:tblPr>
      <w:tblGrid>
        <w:gridCol w:w="1705"/>
        <w:gridCol w:w="5490"/>
        <w:gridCol w:w="1821"/>
      </w:tblGrid>
      <w:tr w:rsidR="005B5D1D" w:rsidRPr="007B779F" w14:paraId="688194E8" w14:textId="77777777" w:rsidTr="007C17C6">
        <w:tc>
          <w:tcPr>
            <w:tcW w:w="1705" w:type="dxa"/>
            <w:vMerge w:val="restart"/>
            <w:tcBorders>
              <w:top w:val="single" w:sz="4" w:space="0" w:color="auto"/>
              <w:left w:val="single" w:sz="4" w:space="0" w:color="auto"/>
              <w:bottom w:val="single" w:sz="4" w:space="0" w:color="auto"/>
              <w:right w:val="single" w:sz="4" w:space="0" w:color="auto"/>
            </w:tcBorders>
            <w:vAlign w:val="center"/>
            <w:hideMark/>
          </w:tcPr>
          <w:p w14:paraId="498000BB" w14:textId="77777777" w:rsidR="005B5D1D" w:rsidRPr="007B779F" w:rsidRDefault="005B5D1D" w:rsidP="007C17C6">
            <w:pPr>
              <w:jc w:val="center"/>
              <w:rPr>
                <w:rFonts w:ascii="Cambria" w:hAnsi="Cambria"/>
                <w:b/>
                <w:bCs/>
                <w:sz w:val="20"/>
                <w:szCs w:val="20"/>
              </w:rPr>
            </w:pPr>
            <w:r w:rsidRPr="007B779F">
              <w:rPr>
                <w:rFonts w:ascii="Cambria" w:hAnsi="Cambria"/>
                <w:b/>
                <w:sz w:val="20"/>
                <w:szCs w:val="20"/>
              </w:rPr>
              <w:t>Indicateur :</w:t>
            </w:r>
          </w:p>
          <w:p w14:paraId="4EA8DD73" w14:textId="77777777" w:rsidR="005B5D1D" w:rsidRPr="007B779F" w:rsidRDefault="005B5D1D" w:rsidP="007C17C6">
            <w:pPr>
              <w:jc w:val="center"/>
              <w:rPr>
                <w:rFonts w:ascii="Cambria" w:hAnsi="Cambria"/>
                <w:b/>
                <w:bCs/>
                <w:sz w:val="20"/>
                <w:szCs w:val="20"/>
              </w:rPr>
            </w:pPr>
            <w:r w:rsidRPr="007B779F">
              <w:rPr>
                <w:rFonts w:ascii="Cambria" w:hAnsi="Cambria"/>
                <w:sz w:val="20"/>
                <w:szCs w:val="20"/>
              </w:rPr>
              <w:t>Capture</w:t>
            </w:r>
          </w:p>
        </w:tc>
        <w:tc>
          <w:tcPr>
            <w:tcW w:w="5490" w:type="dxa"/>
            <w:tcBorders>
              <w:top w:val="single" w:sz="4" w:space="0" w:color="auto"/>
              <w:left w:val="single" w:sz="4" w:space="0" w:color="auto"/>
              <w:bottom w:val="single" w:sz="4" w:space="0" w:color="auto"/>
              <w:right w:val="single" w:sz="4" w:space="0" w:color="auto"/>
            </w:tcBorders>
            <w:hideMark/>
          </w:tcPr>
          <w:p w14:paraId="3F44649C" w14:textId="77777777" w:rsidR="005B5D1D" w:rsidRPr="007B779F" w:rsidRDefault="005B5D1D" w:rsidP="007C17C6">
            <w:pPr>
              <w:jc w:val="both"/>
              <w:rPr>
                <w:rFonts w:ascii="Cambria" w:hAnsi="Cambria"/>
                <w:sz w:val="20"/>
                <w:szCs w:val="20"/>
              </w:rPr>
            </w:pPr>
            <w:r w:rsidRPr="007B779F">
              <w:rPr>
                <w:rFonts w:ascii="Cambria" w:hAnsi="Cambria"/>
                <w:b/>
                <w:sz w:val="20"/>
                <w:szCs w:val="20"/>
              </w:rPr>
              <w:t>Critère:</w:t>
            </w:r>
            <w:r w:rsidRPr="007B779F">
              <w:rPr>
                <w:rFonts w:ascii="Cambria" w:hAnsi="Cambria"/>
                <w:sz w:val="20"/>
                <w:szCs w:val="20"/>
              </w:rPr>
              <w:t xml:space="preserve"> Si la prise totale dépasse de 20% ou plus le TAC établi au moyen de la MP.</w:t>
            </w:r>
          </w:p>
        </w:tc>
        <w:tc>
          <w:tcPr>
            <w:tcW w:w="1821" w:type="dxa"/>
            <w:vMerge w:val="restart"/>
            <w:tcBorders>
              <w:top w:val="single" w:sz="4" w:space="0" w:color="auto"/>
              <w:left w:val="single" w:sz="4" w:space="0" w:color="auto"/>
              <w:bottom w:val="single" w:sz="4" w:space="0" w:color="auto"/>
              <w:right w:val="single" w:sz="4" w:space="0" w:color="auto"/>
            </w:tcBorders>
            <w:vAlign w:val="center"/>
            <w:hideMark/>
          </w:tcPr>
          <w:p w14:paraId="3DD49ABA" w14:textId="77777777" w:rsidR="005B5D1D" w:rsidRPr="007B779F" w:rsidRDefault="005B5D1D" w:rsidP="007C17C6">
            <w:pPr>
              <w:jc w:val="center"/>
              <w:rPr>
                <w:rFonts w:ascii="Cambria" w:hAnsi="Cambria"/>
                <w:b/>
                <w:bCs/>
                <w:sz w:val="20"/>
                <w:szCs w:val="20"/>
              </w:rPr>
            </w:pPr>
            <w:r w:rsidRPr="007B779F">
              <w:rPr>
                <w:rFonts w:ascii="Cambria" w:hAnsi="Cambria"/>
                <w:b/>
                <w:sz w:val="20"/>
                <w:szCs w:val="20"/>
              </w:rPr>
              <w:t>Circonstances exceptionnelles?</w:t>
            </w:r>
          </w:p>
          <w:p w14:paraId="2040942F" w14:textId="77777777" w:rsidR="005B5D1D" w:rsidRPr="007B779F" w:rsidRDefault="005B5D1D" w:rsidP="007C17C6">
            <w:pPr>
              <w:jc w:val="center"/>
              <w:rPr>
                <w:rFonts w:ascii="Cambria" w:hAnsi="Cambria"/>
                <w:sz w:val="20"/>
                <w:szCs w:val="20"/>
              </w:rPr>
            </w:pPr>
            <w:r w:rsidRPr="007B779F">
              <w:rPr>
                <w:rFonts w:ascii="Cambria" w:hAnsi="Cambria"/>
                <w:sz w:val="20"/>
                <w:szCs w:val="20"/>
              </w:rPr>
              <w:t>NON</w:t>
            </w:r>
          </w:p>
        </w:tc>
      </w:tr>
      <w:tr w:rsidR="005B5D1D" w:rsidRPr="00A33D23" w14:paraId="35A4BC37" w14:textId="77777777" w:rsidTr="007C17C6">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3A6D36" w14:textId="77777777" w:rsidR="005B5D1D" w:rsidRPr="007B779F" w:rsidRDefault="005B5D1D" w:rsidP="007C17C6">
            <w:pPr>
              <w:jc w:val="both"/>
              <w:rPr>
                <w:rFonts w:ascii="Cambria" w:hAnsi="Cambria"/>
                <w:b/>
                <w:bCs/>
                <w:sz w:val="20"/>
                <w:szCs w:val="20"/>
                <w:lang w:val="en-US"/>
              </w:rPr>
            </w:pPr>
          </w:p>
        </w:tc>
        <w:tc>
          <w:tcPr>
            <w:tcW w:w="5490" w:type="dxa"/>
            <w:tcBorders>
              <w:top w:val="single" w:sz="4" w:space="0" w:color="auto"/>
              <w:left w:val="single" w:sz="4" w:space="0" w:color="auto"/>
              <w:bottom w:val="single" w:sz="4" w:space="0" w:color="auto"/>
              <w:right w:val="single" w:sz="4" w:space="0" w:color="auto"/>
            </w:tcBorders>
            <w:hideMark/>
          </w:tcPr>
          <w:p w14:paraId="327C7DCB" w14:textId="77777777" w:rsidR="005B5D1D" w:rsidRPr="007B779F" w:rsidRDefault="005B5D1D" w:rsidP="007C17C6">
            <w:pPr>
              <w:jc w:val="both"/>
              <w:rPr>
                <w:rFonts w:ascii="Cambria" w:hAnsi="Cambria"/>
                <w:sz w:val="20"/>
                <w:szCs w:val="20"/>
              </w:rPr>
            </w:pPr>
            <w:r w:rsidRPr="007B779F">
              <w:rPr>
                <w:rFonts w:ascii="Cambria" w:hAnsi="Cambria"/>
                <w:b/>
                <w:sz w:val="20"/>
                <w:szCs w:val="20"/>
              </w:rPr>
              <w:t>Résultat:</w:t>
            </w:r>
            <w:r w:rsidRPr="007B779F">
              <w:rPr>
                <w:rFonts w:ascii="Cambria" w:hAnsi="Cambria"/>
                <w:sz w:val="20"/>
                <w:szCs w:val="20"/>
              </w:rPr>
              <w:t xml:space="preserve"> Les captures déclarées en 2025 se sont élevées à 10.577 tonnes et n'ont pas dépassé le TAC fixé par la MP (14.769 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2B208" w14:textId="77777777" w:rsidR="005B5D1D" w:rsidRPr="007B779F" w:rsidRDefault="005B5D1D" w:rsidP="007C17C6">
            <w:pPr>
              <w:jc w:val="both"/>
              <w:rPr>
                <w:rFonts w:ascii="Cambria" w:hAnsi="Cambria"/>
                <w:sz w:val="20"/>
                <w:szCs w:val="20"/>
              </w:rPr>
            </w:pPr>
          </w:p>
        </w:tc>
      </w:tr>
    </w:tbl>
    <w:p w14:paraId="0BD5659F" w14:textId="77777777" w:rsidR="005B5D1D" w:rsidRPr="005B5D1D" w:rsidRDefault="005B5D1D" w:rsidP="005B5D1D">
      <w:pPr>
        <w:jc w:val="both"/>
        <w:rPr>
          <w:rFonts w:ascii="Cambria" w:hAnsi="Cambria"/>
          <w:i/>
          <w:iCs/>
          <w:sz w:val="20"/>
          <w:szCs w:val="20"/>
          <w:lang w:val="fr-FR"/>
        </w:rPr>
      </w:pPr>
      <w:r w:rsidRPr="005B5D1D">
        <w:rPr>
          <w:rFonts w:ascii="Cambria" w:hAnsi="Cambria"/>
          <w:i/>
          <w:sz w:val="20"/>
          <w:szCs w:val="20"/>
          <w:lang w:val="fr-FR"/>
        </w:rPr>
        <w:t>Discussion</w:t>
      </w:r>
    </w:p>
    <w:p w14:paraId="14A83DDC" w14:textId="77777777" w:rsidR="005B5D1D" w:rsidRPr="005B5D1D" w:rsidRDefault="005B5D1D" w:rsidP="005B5D1D">
      <w:pPr>
        <w:jc w:val="both"/>
        <w:rPr>
          <w:rFonts w:ascii="Cambria" w:hAnsi="Cambria"/>
          <w:sz w:val="20"/>
          <w:szCs w:val="20"/>
          <w:lang w:val="fr-FR"/>
        </w:rPr>
      </w:pPr>
    </w:p>
    <w:p w14:paraId="1559E423" w14:textId="77777777" w:rsidR="005B5D1D" w:rsidRPr="005B5D1D" w:rsidRDefault="005B5D1D" w:rsidP="005B5D1D">
      <w:pPr>
        <w:jc w:val="both"/>
        <w:rPr>
          <w:rFonts w:ascii="Cambria" w:hAnsi="Cambria"/>
          <w:sz w:val="20"/>
          <w:szCs w:val="20"/>
          <w:lang w:val="fr-FR"/>
        </w:rPr>
      </w:pPr>
      <w:r w:rsidRPr="005B5D1D">
        <w:rPr>
          <w:rFonts w:ascii="Cambria" w:hAnsi="Cambria"/>
          <w:sz w:val="20"/>
          <w:szCs w:val="20"/>
          <w:lang w:val="fr-FR"/>
        </w:rPr>
        <w:t>Une fois les circonstances exceptionnelles identifiées, le protocole adopté prévoit que le SCRS examine leur nature et leur gravité ; qu’il indique à la Commission si ces circonstances empêchent l’application de la MP ; et, si une circonstance exceptionnelle spécifique empêche l’application de la MP, qu’il conseille la Commission sur les mesures à prendre.</w:t>
      </w:r>
    </w:p>
    <w:p w14:paraId="3491C392" w14:textId="77777777" w:rsidR="005B5D1D" w:rsidRPr="005B5D1D" w:rsidRDefault="005B5D1D" w:rsidP="005B5D1D">
      <w:pPr>
        <w:jc w:val="both"/>
        <w:rPr>
          <w:rFonts w:ascii="Cambria" w:hAnsi="Cambria"/>
          <w:sz w:val="20"/>
          <w:szCs w:val="20"/>
          <w:lang w:val="fr-FR"/>
        </w:rPr>
      </w:pPr>
    </w:p>
    <w:p w14:paraId="57087BFF"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szCs w:val="20"/>
          <w:lang w:val="fr-FR"/>
        </w:rPr>
        <w:t xml:space="preserve">Cette décision spécifique de la circonstance exceptionnelle résulte du fait que les valeurs de 2023 et de 2024 de l'indice combiné d'abondance ont dépassé la limite supérieure des valeurs prévue par le cadre de simulation. En d'autres termes, les valeurs de l’indice combiné, qui servent à estimer l'abondance des stocks, restent élevées et dépassent la plupart des valeurs estimées dans l’analyse de la MSE. Cela pourrait s'expliquer par le fait que les captures sont systématiquement inférieures au TAC. Le Comité a élaboré un plan de travail (voir 17.1.9) afin d'évaluer les tendances de l'abondance des stocks et de formuler un avis sur la poursuite de l'application de la MP. </w:t>
      </w:r>
    </w:p>
    <w:p w14:paraId="7B89DC2C" w14:textId="77777777" w:rsidR="005B5D1D" w:rsidRPr="005B5D1D" w:rsidRDefault="005B5D1D" w:rsidP="005B5D1D">
      <w:pPr>
        <w:tabs>
          <w:tab w:val="center" w:pos="4513"/>
          <w:tab w:val="left" w:pos="6804"/>
        </w:tabs>
        <w:jc w:val="both"/>
        <w:rPr>
          <w:rFonts w:ascii="Cambria" w:hAnsi="Cambria"/>
          <w:sz w:val="20"/>
          <w:szCs w:val="20"/>
          <w:lang w:val="fr-FR"/>
        </w:rPr>
      </w:pPr>
    </w:p>
    <w:p w14:paraId="72D06B75"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szCs w:val="20"/>
          <w:lang w:val="fr-FR"/>
        </w:rPr>
        <w:t>Si des circonstances exceptionnelles devaient à nouveau être constatées pour l’indice en 2027, l’ECP prévoit les options suivantes :</w:t>
      </w:r>
    </w:p>
    <w:p w14:paraId="40B761DD" w14:textId="77777777" w:rsidR="005B5D1D" w:rsidRPr="005B5D1D" w:rsidRDefault="005B5D1D" w:rsidP="005B5D1D">
      <w:pPr>
        <w:tabs>
          <w:tab w:val="center" w:pos="4513"/>
          <w:tab w:val="left" w:pos="6804"/>
        </w:tabs>
        <w:jc w:val="both"/>
        <w:rPr>
          <w:rFonts w:ascii="Cambria" w:hAnsi="Cambria"/>
          <w:sz w:val="20"/>
          <w:szCs w:val="20"/>
          <w:lang w:val="fr-FR"/>
        </w:rPr>
      </w:pPr>
    </w:p>
    <w:p w14:paraId="56322696" w14:textId="77777777" w:rsidR="005B5D1D" w:rsidRPr="005B5D1D" w:rsidRDefault="005B5D1D" w:rsidP="005B5D1D">
      <w:pPr>
        <w:tabs>
          <w:tab w:val="center" w:pos="4513"/>
          <w:tab w:val="left" w:pos="6804"/>
        </w:tabs>
        <w:ind w:left="851" w:hanging="425"/>
        <w:jc w:val="both"/>
        <w:rPr>
          <w:rFonts w:ascii="Cambria" w:hAnsi="Cambria"/>
          <w:sz w:val="20"/>
          <w:szCs w:val="20"/>
          <w:lang w:val="fr-FR"/>
        </w:rPr>
      </w:pPr>
      <w:r w:rsidRPr="005B5D1D">
        <w:rPr>
          <w:rFonts w:ascii="Cambria" w:hAnsi="Cambria"/>
          <w:sz w:val="20"/>
          <w:szCs w:val="20"/>
          <w:lang w:val="fr-FR"/>
        </w:rPr>
        <w:t>(i)</w:t>
      </w:r>
      <w:r w:rsidRPr="005B5D1D">
        <w:rPr>
          <w:rFonts w:ascii="Cambria" w:hAnsi="Cambria"/>
          <w:sz w:val="20"/>
          <w:szCs w:val="20"/>
          <w:lang w:val="fr-FR"/>
        </w:rPr>
        <w:tab/>
        <w:t>Maintenir l’avis actuel sur le TAC décidé par le biais de la MP,</w:t>
      </w:r>
    </w:p>
    <w:p w14:paraId="5CFF3762" w14:textId="77777777" w:rsidR="005B5D1D" w:rsidRPr="005B5D1D" w:rsidRDefault="005B5D1D" w:rsidP="005B5D1D">
      <w:pPr>
        <w:tabs>
          <w:tab w:val="center" w:pos="4513"/>
          <w:tab w:val="left" w:pos="6804"/>
        </w:tabs>
        <w:ind w:left="851" w:hanging="425"/>
        <w:jc w:val="both"/>
        <w:rPr>
          <w:rFonts w:ascii="Cambria" w:hAnsi="Cambria"/>
          <w:sz w:val="20"/>
          <w:szCs w:val="20"/>
          <w:lang w:val="fr-FR"/>
        </w:rPr>
      </w:pPr>
      <w:r w:rsidRPr="005B5D1D">
        <w:rPr>
          <w:rFonts w:ascii="Cambria" w:hAnsi="Cambria"/>
          <w:sz w:val="20"/>
          <w:szCs w:val="20"/>
          <w:lang w:val="fr-FR"/>
        </w:rPr>
        <w:t>(ii)</w:t>
      </w:r>
      <w:r w:rsidRPr="005B5D1D">
        <w:rPr>
          <w:rFonts w:ascii="Cambria" w:hAnsi="Cambria"/>
          <w:sz w:val="20"/>
          <w:szCs w:val="20"/>
          <w:lang w:val="fr-FR"/>
        </w:rPr>
        <w:tab/>
        <w:t>Formuler un avis visant à réduire le TAC compte tenu des signes de déclin du stock,</w:t>
      </w:r>
    </w:p>
    <w:p w14:paraId="45FCA436" w14:textId="77777777" w:rsidR="005B5D1D" w:rsidRPr="005B5D1D" w:rsidRDefault="005B5D1D" w:rsidP="005B5D1D">
      <w:pPr>
        <w:tabs>
          <w:tab w:val="center" w:pos="4513"/>
          <w:tab w:val="left" w:pos="6804"/>
        </w:tabs>
        <w:ind w:left="851" w:hanging="425"/>
        <w:jc w:val="both"/>
        <w:rPr>
          <w:rFonts w:ascii="Cambria" w:hAnsi="Cambria"/>
          <w:sz w:val="20"/>
          <w:szCs w:val="20"/>
          <w:lang w:val="fr-FR"/>
        </w:rPr>
      </w:pPr>
      <w:r w:rsidRPr="005B5D1D">
        <w:rPr>
          <w:rFonts w:ascii="Cambria" w:hAnsi="Cambria"/>
          <w:sz w:val="20"/>
          <w:szCs w:val="20"/>
          <w:lang w:val="fr-FR"/>
        </w:rPr>
        <w:t>(iii)</w:t>
      </w:r>
      <w:r w:rsidRPr="005B5D1D">
        <w:rPr>
          <w:rFonts w:ascii="Cambria" w:hAnsi="Cambria"/>
          <w:sz w:val="20"/>
          <w:szCs w:val="20"/>
          <w:lang w:val="fr-FR"/>
        </w:rPr>
        <w:tab/>
        <w:t xml:space="preserve">Formuler un avis visant à augmenter le TAC compte tenu des signes d’augmentation du stock qui n’avaient pas été jugés plausibles lors des tests de la MSE, et </w:t>
      </w:r>
    </w:p>
    <w:p w14:paraId="08347DE4" w14:textId="77777777" w:rsidR="005B5D1D" w:rsidRPr="005B5D1D" w:rsidRDefault="005B5D1D" w:rsidP="005B5D1D">
      <w:pPr>
        <w:tabs>
          <w:tab w:val="center" w:pos="4513"/>
          <w:tab w:val="left" w:pos="6804"/>
        </w:tabs>
        <w:ind w:left="851" w:hanging="425"/>
        <w:jc w:val="both"/>
        <w:rPr>
          <w:rFonts w:ascii="Cambria" w:hAnsi="Cambria"/>
          <w:sz w:val="20"/>
          <w:szCs w:val="20"/>
          <w:lang w:val="fr-FR"/>
        </w:rPr>
      </w:pPr>
      <w:r w:rsidRPr="005B5D1D">
        <w:rPr>
          <w:rFonts w:ascii="Cambria" w:hAnsi="Cambria"/>
          <w:sz w:val="20"/>
          <w:szCs w:val="20"/>
          <w:lang w:val="fr-FR"/>
        </w:rPr>
        <w:t>(iv)</w:t>
      </w:r>
      <w:r w:rsidRPr="005B5D1D">
        <w:rPr>
          <w:rFonts w:ascii="Cambria" w:hAnsi="Cambria"/>
          <w:sz w:val="20"/>
          <w:szCs w:val="20"/>
          <w:lang w:val="fr-FR"/>
        </w:rPr>
        <w:tab/>
        <w:t>toute autre mesure de conservation et de gestion appropriée.</w:t>
      </w:r>
    </w:p>
    <w:p w14:paraId="60CE583C" w14:textId="77777777" w:rsidR="005B5D1D" w:rsidRPr="005B5D1D" w:rsidRDefault="005B5D1D" w:rsidP="005B5D1D">
      <w:pPr>
        <w:tabs>
          <w:tab w:val="center" w:pos="4513"/>
          <w:tab w:val="left" w:pos="6804"/>
        </w:tabs>
        <w:jc w:val="both"/>
        <w:rPr>
          <w:rFonts w:ascii="Cambria" w:hAnsi="Cambria"/>
          <w:i/>
          <w:sz w:val="20"/>
          <w:szCs w:val="20"/>
          <w:lang w:val="fr-FR"/>
        </w:rPr>
      </w:pPr>
    </w:p>
    <w:p w14:paraId="671BEFC7" w14:textId="77777777" w:rsidR="005B5D1D" w:rsidRPr="005B5D1D" w:rsidRDefault="005B5D1D" w:rsidP="005B5D1D">
      <w:pPr>
        <w:tabs>
          <w:tab w:val="center" w:pos="4513"/>
          <w:tab w:val="left" w:pos="6804"/>
        </w:tabs>
        <w:jc w:val="both"/>
        <w:rPr>
          <w:rFonts w:ascii="Cambria" w:hAnsi="Cambria"/>
          <w:iCs/>
          <w:sz w:val="20"/>
          <w:szCs w:val="20"/>
          <w:lang w:val="fr-FR"/>
        </w:rPr>
      </w:pPr>
      <w:r w:rsidRPr="005B5D1D">
        <w:rPr>
          <w:rFonts w:ascii="Cambria" w:hAnsi="Cambria"/>
          <w:iCs/>
          <w:sz w:val="20"/>
          <w:szCs w:val="20"/>
          <w:lang w:val="fr-FR"/>
        </w:rPr>
        <w:t>Si l’une de ces mesures s’avère nécessaire, le Comité fera part de sa recommandation à la Commission.</w:t>
      </w:r>
    </w:p>
    <w:p w14:paraId="35CA9A68" w14:textId="77777777" w:rsidR="005B5D1D" w:rsidRPr="005B5D1D" w:rsidRDefault="005B5D1D" w:rsidP="005B5D1D">
      <w:pPr>
        <w:tabs>
          <w:tab w:val="center" w:pos="4513"/>
          <w:tab w:val="left" w:pos="6804"/>
        </w:tabs>
        <w:jc w:val="both"/>
        <w:rPr>
          <w:rFonts w:ascii="Cambria" w:hAnsi="Cambria"/>
          <w:i/>
          <w:sz w:val="20"/>
          <w:szCs w:val="20"/>
          <w:lang w:val="fr-FR"/>
        </w:rPr>
      </w:pPr>
    </w:p>
    <w:p w14:paraId="38925DF3" w14:textId="77777777" w:rsidR="005B5D1D" w:rsidRPr="005B5D1D" w:rsidRDefault="005B5D1D" w:rsidP="005B5D1D">
      <w:pPr>
        <w:tabs>
          <w:tab w:val="center" w:pos="4513"/>
          <w:tab w:val="left" w:pos="6804"/>
        </w:tabs>
        <w:jc w:val="both"/>
        <w:rPr>
          <w:rFonts w:ascii="Cambria" w:hAnsi="Cambria"/>
          <w:i/>
          <w:iCs/>
          <w:sz w:val="20"/>
          <w:szCs w:val="20"/>
          <w:lang w:val="fr-FR"/>
        </w:rPr>
      </w:pPr>
      <w:r w:rsidRPr="005B5D1D">
        <w:rPr>
          <w:rFonts w:ascii="Cambria" w:hAnsi="Cambria"/>
          <w:i/>
          <w:sz w:val="20"/>
          <w:szCs w:val="20"/>
          <w:lang w:val="fr-FR"/>
        </w:rPr>
        <w:t>Conclusion</w:t>
      </w:r>
    </w:p>
    <w:p w14:paraId="622B08C5" w14:textId="77777777" w:rsidR="005B5D1D" w:rsidRPr="005B5D1D" w:rsidRDefault="005B5D1D" w:rsidP="005B5D1D">
      <w:pPr>
        <w:tabs>
          <w:tab w:val="center" w:pos="4513"/>
          <w:tab w:val="left" w:pos="6804"/>
        </w:tabs>
        <w:jc w:val="both"/>
        <w:rPr>
          <w:rFonts w:ascii="Cambria" w:hAnsi="Cambria"/>
          <w:sz w:val="20"/>
          <w:szCs w:val="20"/>
          <w:lang w:val="fr-FR"/>
        </w:rPr>
      </w:pPr>
    </w:p>
    <w:p w14:paraId="27FC5113"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szCs w:val="20"/>
          <w:lang w:val="fr-FR"/>
        </w:rPr>
        <w:t>Le Comité a estimé que cette EC n'empêchait pas le maintien du TAC pour 2027 fixé selon la MP et que sa mise en œuvre ne présentait aucun risque ni ne s'avérait inappropriée pour le reste du cycle de gestion actuel. Le Comité a élaboré un plan de travail visant à approfondir l'évaluation de cette EC et à formuler un avis concernant la mise en œuvre future de la MP.</w:t>
      </w:r>
    </w:p>
    <w:p w14:paraId="15BF01C6" w14:textId="77777777" w:rsidR="005B5D1D" w:rsidRPr="005B5D1D" w:rsidRDefault="005B5D1D" w:rsidP="005B5D1D">
      <w:pPr>
        <w:tabs>
          <w:tab w:val="center" w:pos="4513"/>
          <w:tab w:val="left" w:pos="6804"/>
        </w:tabs>
        <w:jc w:val="both"/>
        <w:rPr>
          <w:rFonts w:ascii="Cambria" w:hAnsi="Cambria"/>
          <w:sz w:val="20"/>
          <w:szCs w:val="20"/>
          <w:lang w:val="fr-FR"/>
        </w:rPr>
      </w:pPr>
    </w:p>
    <w:p w14:paraId="5BB3C16D" w14:textId="77777777" w:rsidR="005B5D1D" w:rsidRPr="005B5D1D" w:rsidRDefault="005B5D1D" w:rsidP="005B5D1D">
      <w:pPr>
        <w:tabs>
          <w:tab w:val="center" w:pos="4513"/>
          <w:tab w:val="left" w:pos="6804"/>
        </w:tabs>
        <w:jc w:val="both"/>
        <w:rPr>
          <w:rFonts w:ascii="Cambria" w:hAnsi="Cambria"/>
          <w:b/>
          <w:i/>
          <w:iCs/>
          <w:sz w:val="20"/>
          <w:szCs w:val="20"/>
          <w:lang w:val="fr-FR"/>
        </w:rPr>
      </w:pPr>
      <w:r w:rsidRPr="005B5D1D">
        <w:rPr>
          <w:rFonts w:ascii="Cambria" w:hAnsi="Cambria"/>
          <w:b/>
          <w:i/>
          <w:sz w:val="20"/>
          <w:szCs w:val="20"/>
          <w:lang w:val="fr-FR"/>
        </w:rPr>
        <w:t xml:space="preserve">19.20 Le SCRS devra réviser les méthodologies utilisées par les CPC pour estimer les rejets morts et les remises à l'eau de spécimens vivants et, s’il détermine qu’une méthodologie n’est pas scientifiquement fondée, il devra fournir des observations pertinentes aux CPC concernées afin d’améliorer les méthodologies, </w:t>
      </w:r>
      <w:hyperlink r:id="rId33" w:history="1">
        <w:r w:rsidRPr="005B5D1D">
          <w:rPr>
            <w:rStyle w:val="Hyperlink"/>
            <w:rFonts w:ascii="Cambria" w:hAnsi="Cambria"/>
            <w:b/>
            <w:i/>
            <w:sz w:val="20"/>
            <w:szCs w:val="20"/>
            <w:u w:val="none"/>
            <w:lang w:val="fr-FR"/>
          </w:rPr>
          <w:t>Rec. 25-10</w:t>
        </w:r>
      </w:hyperlink>
      <w:r w:rsidRPr="005B5D1D">
        <w:rPr>
          <w:rFonts w:ascii="Cambria" w:hAnsi="Cambria"/>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19</w:t>
      </w:r>
      <w:r w:rsidRPr="005B5D1D">
        <w:rPr>
          <w:rFonts w:ascii="Cambria" w:hAnsi="Cambria"/>
          <w:i/>
          <w:sz w:val="20"/>
          <w:szCs w:val="20"/>
          <w:lang w:val="fr-FR"/>
        </w:rPr>
        <w:t xml:space="preserve"> </w:t>
      </w:r>
    </w:p>
    <w:p w14:paraId="1A104ACA" w14:textId="77777777" w:rsidR="005B5D1D" w:rsidRPr="005B5D1D" w:rsidRDefault="005B5D1D" w:rsidP="005B5D1D">
      <w:pPr>
        <w:suppressAutoHyphens/>
        <w:jc w:val="both"/>
        <w:rPr>
          <w:rFonts w:ascii="Cambria" w:hAnsi="Cambria"/>
          <w:b/>
          <w:sz w:val="20"/>
          <w:szCs w:val="20"/>
          <w:lang w:val="fr-FR"/>
        </w:rPr>
      </w:pPr>
    </w:p>
    <w:p w14:paraId="7E11F933" w14:textId="77777777" w:rsidR="005B5D1D" w:rsidRPr="005B5D1D" w:rsidRDefault="005B5D1D" w:rsidP="005B5D1D">
      <w:pPr>
        <w:suppressAutoHyphens/>
        <w:jc w:val="both"/>
        <w:rPr>
          <w:rFonts w:ascii="Cambria" w:hAnsi="Cambria"/>
          <w:sz w:val="20"/>
          <w:szCs w:val="20"/>
          <w:lang w:val="fr-FR"/>
        </w:rPr>
      </w:pPr>
      <w:r w:rsidRPr="005B5D1D">
        <w:rPr>
          <w:rFonts w:ascii="Cambria" w:hAnsi="Cambria"/>
          <w:b/>
          <w:sz w:val="20"/>
          <w:szCs w:val="20"/>
          <w:lang w:val="fr-FR"/>
        </w:rPr>
        <w:t>Contexte :</w:t>
      </w:r>
      <w:r w:rsidRPr="005B5D1D">
        <w:rPr>
          <w:rFonts w:ascii="Cambria" w:hAnsi="Cambria"/>
          <w:b/>
          <w:i/>
          <w:sz w:val="20"/>
          <w:szCs w:val="20"/>
          <w:lang w:val="fr-FR"/>
        </w:rPr>
        <w:t xml:space="preserve"> </w:t>
      </w:r>
      <w:r w:rsidRPr="005B5D1D">
        <w:rPr>
          <w:rFonts w:ascii="Cambria" w:hAnsi="Cambria"/>
          <w:i/>
          <w:sz w:val="20"/>
          <w:szCs w:val="20"/>
          <w:lang w:val="fr-FR"/>
        </w:rPr>
        <w:t>Le 15 juillet 2025, au plus tard, les CPC devront présenter au SCRS la méthodologie statistique utilisée pour estimer les rejets morts et les remises à l’eau de spécimens vivants. Les CPC ayant des pêcheries artisanales et de petits métiers devront également fournir des informations sur leurs programmes de collecte de données. Le SCRS devra réviser ces méthodologies et, s’il détermine qu’une méthodologie n’est pas scientifiquement fondée, le SCRS devra fournir des observations pertinentes aux CPC concernées afin d’améliorer les méthodologies. Une fois que ces méthodes auront été approuvées, les CPC devraient actualiser leur déclaration de capture afin d'incorporer ces rejets estimés de poissons morts et vivants.</w:t>
      </w:r>
    </w:p>
    <w:p w14:paraId="12922738" w14:textId="77777777" w:rsidR="005B5D1D" w:rsidRPr="005B5D1D" w:rsidRDefault="005B5D1D" w:rsidP="005B5D1D">
      <w:pPr>
        <w:tabs>
          <w:tab w:val="left" w:pos="0"/>
          <w:tab w:val="left" w:pos="720"/>
          <w:tab w:val="right" w:pos="8505"/>
          <w:tab w:val="right" w:pos="9072"/>
        </w:tabs>
        <w:ind w:right="4"/>
        <w:jc w:val="both"/>
        <w:rPr>
          <w:rFonts w:ascii="Cambria" w:hAnsi="Cambria"/>
          <w:b/>
          <w:i/>
          <w:color w:val="000000"/>
          <w:sz w:val="20"/>
          <w:szCs w:val="20"/>
          <w:lang w:val="fr-FR"/>
        </w:rPr>
      </w:pPr>
    </w:p>
    <w:p w14:paraId="0BF75568" w14:textId="77777777" w:rsidR="005B5D1D" w:rsidRPr="005B5D1D" w:rsidRDefault="005B5D1D" w:rsidP="005B5D1D">
      <w:pPr>
        <w:tabs>
          <w:tab w:val="left" w:pos="0"/>
          <w:tab w:val="left" w:pos="720"/>
          <w:tab w:val="right" w:pos="8505"/>
          <w:tab w:val="right" w:pos="9072"/>
        </w:tabs>
        <w:ind w:right="4"/>
        <w:jc w:val="both"/>
        <w:rPr>
          <w:rFonts w:ascii="Cambria" w:hAnsi="Cambria"/>
          <w:bCs/>
          <w:iCs/>
          <w:color w:val="000000"/>
          <w:sz w:val="20"/>
          <w:szCs w:val="20"/>
          <w:lang w:val="fr-FR"/>
        </w:rPr>
      </w:pPr>
      <w:r w:rsidRPr="005B5D1D">
        <w:rPr>
          <w:rFonts w:ascii="Cambria" w:hAnsi="Cambria"/>
          <w:bCs/>
          <w:iCs/>
          <w:color w:val="000000"/>
          <w:sz w:val="20"/>
          <w:szCs w:val="20"/>
          <w:lang w:val="fr-FR"/>
        </w:rPr>
        <w:t>Le Comité a reçu des propositions de méthodes d'estimation des rejets d'espadon pour certaines flottilles palangrières. En 2027, le Comité commencera à évaluer les méthodes qui lui ont été soumises à ce jour, en utilisant la procédure d'évaluation et la liste de contrôle correspondante figurant à l'annexe 1 du Rapport du Sous-comité des statistiques.</w:t>
      </w:r>
    </w:p>
    <w:p w14:paraId="2A9423E4" w14:textId="77777777" w:rsidR="005B5D1D" w:rsidRPr="005B5D1D" w:rsidRDefault="005B5D1D" w:rsidP="005B5D1D">
      <w:pPr>
        <w:tabs>
          <w:tab w:val="left" w:pos="0"/>
          <w:tab w:val="left" w:pos="720"/>
          <w:tab w:val="right" w:pos="8505"/>
          <w:tab w:val="right" w:pos="9072"/>
        </w:tabs>
        <w:ind w:right="4"/>
        <w:jc w:val="both"/>
        <w:rPr>
          <w:rFonts w:ascii="Cambria" w:hAnsi="Cambria"/>
          <w:b/>
          <w:i/>
          <w:color w:val="000000"/>
          <w:sz w:val="20"/>
          <w:szCs w:val="20"/>
          <w:lang w:val="fr-FR"/>
        </w:rPr>
      </w:pPr>
    </w:p>
    <w:p w14:paraId="1031A2A5" w14:textId="77777777" w:rsidR="005B5D1D" w:rsidRPr="005B5D1D" w:rsidRDefault="005B5D1D" w:rsidP="005B5D1D">
      <w:pPr>
        <w:tabs>
          <w:tab w:val="center" w:pos="4513"/>
          <w:tab w:val="left" w:pos="6804"/>
        </w:tabs>
        <w:jc w:val="both"/>
        <w:rPr>
          <w:rFonts w:ascii="Cambria" w:hAnsi="Cambria"/>
          <w:b/>
          <w:i/>
          <w:sz w:val="20"/>
          <w:lang w:val="fr-FR"/>
        </w:rPr>
      </w:pPr>
      <w:r w:rsidRPr="005B5D1D">
        <w:rPr>
          <w:rFonts w:ascii="Cambria" w:hAnsi="Cambria"/>
          <w:b/>
          <w:i/>
          <w:sz w:val="20"/>
          <w:lang w:val="fr-FR"/>
        </w:rPr>
        <w:t xml:space="preserve">19.21 Le SCRS devra poursuivre ses travaux sur les tests de robustesse, en se concentrant en particulier sur les scénarios de changement </w:t>
      </w:r>
      <w:r w:rsidRPr="005B5D1D">
        <w:rPr>
          <w:rFonts w:ascii="Cambria" w:hAnsi="Cambria"/>
          <w:b/>
          <w:i/>
          <w:sz w:val="20"/>
          <w:szCs w:val="20"/>
          <w:lang w:val="fr-FR"/>
        </w:rPr>
        <w:t>climatique</w:t>
      </w:r>
      <w:r w:rsidRPr="005B5D1D">
        <w:rPr>
          <w:rFonts w:ascii="Cambria" w:hAnsi="Cambria"/>
          <w:b/>
          <w:i/>
          <w:sz w:val="20"/>
          <w:lang w:val="fr-FR"/>
        </w:rPr>
        <w:t xml:space="preserve"> et les limites de taille minimale, </w:t>
      </w:r>
      <w:hyperlink r:id="rId34" w:history="1">
        <w:r w:rsidRPr="005B5D1D">
          <w:rPr>
            <w:rStyle w:val="Hyperlink"/>
            <w:rFonts w:ascii="Cambria" w:hAnsi="Cambria"/>
            <w:b/>
            <w:i/>
            <w:sz w:val="20"/>
            <w:u w:val="none"/>
            <w:lang w:val="fr-FR"/>
          </w:rPr>
          <w:t>Rec.</w:t>
        </w:r>
      </w:hyperlink>
      <w:hyperlink r:id="rId35" w:history="1">
        <w:r w:rsidRPr="005B5D1D">
          <w:rPr>
            <w:rStyle w:val="Hyperlink"/>
            <w:rFonts w:ascii="Cambria" w:hAnsi="Cambria"/>
            <w:b/>
            <w:i/>
            <w:sz w:val="20"/>
            <w:u w:val="none"/>
            <w:lang w:val="fr-FR"/>
          </w:rPr>
          <w:t xml:space="preserve"> 25-10</w:t>
        </w:r>
      </w:hyperlink>
      <w:r w:rsidRPr="005B5D1D">
        <w:rPr>
          <w:rFonts w:ascii="Cambria" w:hAnsi="Cambria"/>
          <w:b/>
          <w:i/>
          <w:sz w:val="20"/>
          <w:lang w:val="fr-FR"/>
        </w:rPr>
        <w:t xml:space="preserve">, paragraphe 6 </w:t>
      </w:r>
    </w:p>
    <w:p w14:paraId="5B394BFD" w14:textId="77777777" w:rsidR="005B5D1D" w:rsidRPr="005B5D1D" w:rsidRDefault="005B5D1D" w:rsidP="005B5D1D">
      <w:pPr>
        <w:jc w:val="both"/>
        <w:rPr>
          <w:rFonts w:ascii="Cambria" w:hAnsi="Cambria"/>
          <w:b/>
          <w:bCs/>
          <w:i/>
          <w:iCs/>
          <w:sz w:val="20"/>
          <w:szCs w:val="20"/>
          <w:lang w:val="fr-FR"/>
        </w:rPr>
      </w:pPr>
    </w:p>
    <w:p w14:paraId="4024FDA8" w14:textId="77777777" w:rsidR="005B5D1D" w:rsidRPr="005B5D1D" w:rsidRDefault="005B5D1D" w:rsidP="005B5D1D">
      <w:pPr>
        <w:jc w:val="both"/>
        <w:rPr>
          <w:rFonts w:ascii="Cambria" w:hAnsi="Cambria"/>
          <w:i/>
          <w:iCs/>
          <w:sz w:val="20"/>
          <w:szCs w:val="20"/>
          <w:lang w:val="fr-FR"/>
        </w:rPr>
      </w:pPr>
      <w:r w:rsidRPr="005B5D1D">
        <w:rPr>
          <w:rFonts w:ascii="Cambria" w:hAnsi="Cambria"/>
          <w:b/>
          <w:bCs/>
          <w:i/>
          <w:sz w:val="20"/>
          <w:lang w:val="fr-FR"/>
        </w:rPr>
        <w:t>Contexte :</w:t>
      </w:r>
      <w:r w:rsidRPr="005B5D1D">
        <w:rPr>
          <w:rFonts w:ascii="Cambria" w:hAnsi="Cambria"/>
          <w:b/>
          <w:i/>
          <w:sz w:val="20"/>
          <w:lang w:val="fr-FR"/>
        </w:rPr>
        <w:t xml:space="preserve"> </w:t>
      </w:r>
      <w:r w:rsidRPr="005B5D1D">
        <w:rPr>
          <w:rFonts w:ascii="Cambria" w:hAnsi="Cambria"/>
          <w:i/>
          <w:sz w:val="20"/>
          <w:lang w:val="fr-FR"/>
        </w:rPr>
        <w:t>La Commission devra adopter le TAC sur la base des résultats de la MP, à moins que le SCRS n'identifie des circonstances exceptionnelles qui obligent la Commission à prendre d'autres mesures de gestion afin de rester conforme aux principes de la Rec. 11-13.</w:t>
      </w:r>
    </w:p>
    <w:p w14:paraId="6623DA37" w14:textId="77777777" w:rsidR="005B5D1D" w:rsidRPr="005B5D1D" w:rsidRDefault="005B5D1D" w:rsidP="005B5D1D">
      <w:pPr>
        <w:tabs>
          <w:tab w:val="left" w:pos="0"/>
          <w:tab w:val="left" w:pos="720"/>
          <w:tab w:val="right" w:pos="8505"/>
          <w:tab w:val="right" w:pos="9072"/>
        </w:tabs>
        <w:ind w:right="4"/>
        <w:jc w:val="both"/>
        <w:rPr>
          <w:rFonts w:ascii="Cambria" w:hAnsi="Cambria"/>
          <w:b/>
          <w:i/>
          <w:color w:val="000000"/>
          <w:sz w:val="20"/>
          <w:szCs w:val="20"/>
          <w:lang w:val="fr-FR"/>
        </w:rPr>
      </w:pPr>
    </w:p>
    <w:p w14:paraId="08775510" w14:textId="77777777" w:rsidR="005B5D1D" w:rsidRPr="005B5D1D" w:rsidRDefault="005B5D1D" w:rsidP="005B5D1D">
      <w:pPr>
        <w:jc w:val="both"/>
        <w:rPr>
          <w:rFonts w:ascii="Cambria" w:hAnsi="Cambria"/>
          <w:sz w:val="20"/>
          <w:szCs w:val="20"/>
          <w:lang w:val="fr-FR"/>
        </w:rPr>
      </w:pPr>
      <w:r w:rsidRPr="005B5D1D">
        <w:rPr>
          <w:rFonts w:ascii="Cambria" w:hAnsi="Cambria"/>
          <w:sz w:val="20"/>
          <w:lang w:val="fr-FR"/>
        </w:rPr>
        <w:t>Le Comité a mené deux analyses afin d'évaluer les impacts escomptés de la suppression ou de la modification de la limite de taille minimale (MSL).</w:t>
      </w:r>
    </w:p>
    <w:p w14:paraId="6506FB8F" w14:textId="77777777" w:rsidR="005B5D1D" w:rsidRPr="005B5D1D" w:rsidRDefault="005B5D1D" w:rsidP="005B5D1D">
      <w:pPr>
        <w:jc w:val="both"/>
        <w:rPr>
          <w:rFonts w:ascii="Cambria" w:hAnsi="Cambria"/>
          <w:sz w:val="20"/>
          <w:szCs w:val="20"/>
          <w:lang w:val="fr-FR"/>
        </w:rPr>
      </w:pPr>
    </w:p>
    <w:p w14:paraId="57ED985B" w14:textId="77777777" w:rsidR="005B5D1D" w:rsidRPr="007B779F" w:rsidRDefault="005B5D1D" w:rsidP="005B5D1D">
      <w:pPr>
        <w:jc w:val="both"/>
        <w:rPr>
          <w:rFonts w:ascii="Cambria" w:hAnsi="Cambria"/>
          <w:sz w:val="20"/>
          <w:szCs w:val="20"/>
        </w:rPr>
      </w:pPr>
      <w:r w:rsidRPr="005B5D1D">
        <w:rPr>
          <w:rFonts w:ascii="Cambria" w:hAnsi="Cambria"/>
          <w:sz w:val="20"/>
          <w:lang w:val="fr-FR"/>
        </w:rPr>
        <w:t xml:space="preserve">La première analyse a évalué les compromis entre la sélectivité, la rétention et la mortalité due aux rejets (Hordyk et Gillespie, 2026, SCRS/2026/172). </w:t>
      </w:r>
      <w:r w:rsidRPr="007B779F">
        <w:rPr>
          <w:rFonts w:ascii="Cambria" w:hAnsi="Cambria"/>
          <w:sz w:val="20"/>
        </w:rPr>
        <w:t>Cette étude a révélé que :</w:t>
      </w:r>
    </w:p>
    <w:p w14:paraId="50FABB1E" w14:textId="77777777" w:rsidR="005B5D1D" w:rsidRPr="007B779F" w:rsidRDefault="005B5D1D" w:rsidP="005B5D1D">
      <w:pPr>
        <w:jc w:val="both"/>
        <w:rPr>
          <w:rFonts w:ascii="Cambria" w:hAnsi="Cambria"/>
          <w:sz w:val="20"/>
          <w:szCs w:val="20"/>
        </w:rPr>
      </w:pPr>
    </w:p>
    <w:p w14:paraId="3DE9427E" w14:textId="77777777" w:rsidR="005B5D1D" w:rsidRPr="005B5D1D" w:rsidRDefault="005B5D1D" w:rsidP="00075A2E">
      <w:pPr>
        <w:pStyle w:val="ListParagraph"/>
        <w:numPr>
          <w:ilvl w:val="0"/>
          <w:numId w:val="5"/>
        </w:numPr>
        <w:ind w:left="851" w:hanging="425"/>
        <w:contextualSpacing/>
        <w:jc w:val="both"/>
        <w:rPr>
          <w:rFonts w:ascii="Cambria" w:hAnsi="Cambria"/>
          <w:sz w:val="20"/>
          <w:szCs w:val="20"/>
          <w:lang w:val="fr-FR"/>
        </w:rPr>
      </w:pPr>
      <w:r w:rsidRPr="005B5D1D">
        <w:rPr>
          <w:rFonts w:ascii="Cambria" w:hAnsi="Cambria"/>
          <w:sz w:val="20"/>
          <w:lang w:val="fr-FR"/>
        </w:rPr>
        <w:t>le taux élevé de mortalité des rejets lors de la remontée de l’engin et suivant la remise à l'eau signifie que la MSL ne protège pas les poissons de petite taille ou juvéniles de la mortalité par pêche,</w:t>
      </w:r>
    </w:p>
    <w:p w14:paraId="38A8B863" w14:textId="77777777" w:rsidR="005B5D1D" w:rsidRPr="005B5D1D" w:rsidRDefault="005B5D1D" w:rsidP="00075A2E">
      <w:pPr>
        <w:pStyle w:val="ListParagraph"/>
        <w:numPr>
          <w:ilvl w:val="0"/>
          <w:numId w:val="5"/>
        </w:numPr>
        <w:ind w:left="851" w:hanging="425"/>
        <w:contextualSpacing/>
        <w:jc w:val="both"/>
        <w:rPr>
          <w:rFonts w:ascii="Cambria" w:hAnsi="Cambria"/>
          <w:sz w:val="20"/>
          <w:szCs w:val="20"/>
          <w:lang w:val="fr-FR"/>
        </w:rPr>
      </w:pPr>
      <w:r w:rsidRPr="005B5D1D">
        <w:rPr>
          <w:rFonts w:ascii="Cambria" w:hAnsi="Cambria"/>
          <w:sz w:val="20"/>
          <w:lang w:val="fr-FR"/>
        </w:rPr>
        <w:t>la suppression de la MSL (une politique de conservation totale) entraînerait une augmentation des captures débarquées et n'aurait pas d'impact négatif significatif sur la population reproductrice, même dans les scénarios où toutes les flottes modifient leur comportement et capturent davantage de petits poissons,</w:t>
      </w:r>
    </w:p>
    <w:p w14:paraId="3BB674EC" w14:textId="77777777" w:rsidR="005B5D1D" w:rsidRPr="005B5D1D" w:rsidRDefault="005B5D1D" w:rsidP="00075A2E">
      <w:pPr>
        <w:pStyle w:val="ListParagraph"/>
        <w:numPr>
          <w:ilvl w:val="0"/>
          <w:numId w:val="5"/>
        </w:numPr>
        <w:ind w:left="851" w:hanging="425"/>
        <w:contextualSpacing/>
        <w:jc w:val="both"/>
        <w:rPr>
          <w:rFonts w:ascii="Cambria" w:hAnsi="Cambria"/>
          <w:sz w:val="20"/>
          <w:szCs w:val="20"/>
          <w:lang w:val="fr-FR"/>
        </w:rPr>
      </w:pPr>
      <w:r w:rsidRPr="005B5D1D">
        <w:rPr>
          <w:rFonts w:ascii="Cambria" w:hAnsi="Cambria"/>
          <w:sz w:val="20"/>
          <w:lang w:val="fr-FR"/>
        </w:rPr>
        <w:t>une MSL ne serait efficace que si a) la limite de taille était augmentée pour se rapprocher de la taille à maturité (~ 166 cm) ET b) les interactions entre les engins de pêche et les poissons de taille inférieure à la MSL étaient négligeables ; c'est-à-dire s'il y avait un changement de type d'engin permettant d'éviter la capture de poissons sous-taille OU si les mortalités lors de la remontée de l’engin et suivant la remise à l'eau étaient négligeables.</w:t>
      </w:r>
    </w:p>
    <w:p w14:paraId="61B05C19" w14:textId="77777777" w:rsidR="005B5D1D" w:rsidRPr="005B5D1D" w:rsidRDefault="005B5D1D" w:rsidP="005B5D1D">
      <w:pPr>
        <w:ind w:left="720"/>
        <w:jc w:val="both"/>
        <w:rPr>
          <w:rFonts w:ascii="Cambria" w:hAnsi="Cambria"/>
          <w:sz w:val="20"/>
          <w:szCs w:val="20"/>
          <w:lang w:val="fr-FR"/>
        </w:rPr>
      </w:pPr>
    </w:p>
    <w:p w14:paraId="45CA072B" w14:textId="77777777" w:rsidR="005B5D1D" w:rsidRPr="007B779F" w:rsidRDefault="005B5D1D" w:rsidP="005B5D1D">
      <w:pPr>
        <w:jc w:val="both"/>
        <w:rPr>
          <w:rFonts w:ascii="Cambria" w:hAnsi="Cambria"/>
          <w:sz w:val="20"/>
          <w:szCs w:val="20"/>
        </w:rPr>
      </w:pPr>
      <w:r w:rsidRPr="005B5D1D">
        <w:rPr>
          <w:rFonts w:ascii="Cambria" w:hAnsi="Cambria"/>
          <w:sz w:val="20"/>
          <w:lang w:val="fr-FR"/>
        </w:rPr>
        <w:t xml:space="preserve">La deuxième analyse a évalué la robustesse de la procédure de gestion MCC dans un scénario où la MSL a été supprimée, et a comparé les projections à celles de l'analyse du statu quo, dans laquelle la sélectivité et les calendriers de rétention restent inchangés (Hordyk </w:t>
      </w:r>
      <w:r w:rsidRPr="005B5D1D">
        <w:rPr>
          <w:rFonts w:ascii="Cambria" w:hAnsi="Cambria"/>
          <w:i/>
          <w:sz w:val="20"/>
          <w:lang w:val="fr-FR"/>
        </w:rPr>
        <w:t>et al</w:t>
      </w:r>
      <w:r w:rsidRPr="005B5D1D">
        <w:rPr>
          <w:rFonts w:ascii="Cambria" w:hAnsi="Cambria"/>
          <w:sz w:val="20"/>
          <w:lang w:val="fr-FR"/>
        </w:rPr>
        <w:t xml:space="preserve">., 2026, SCRS/2026/243). </w:t>
      </w:r>
      <w:r w:rsidRPr="007B779F">
        <w:rPr>
          <w:rFonts w:ascii="Cambria" w:hAnsi="Cambria"/>
          <w:sz w:val="20"/>
        </w:rPr>
        <w:t>Cette étude a fait apparaître que :</w:t>
      </w:r>
    </w:p>
    <w:p w14:paraId="7281DF86" w14:textId="77777777" w:rsidR="005B5D1D" w:rsidRPr="007B779F" w:rsidRDefault="005B5D1D" w:rsidP="005B5D1D">
      <w:pPr>
        <w:jc w:val="both"/>
        <w:rPr>
          <w:rFonts w:ascii="Cambria" w:hAnsi="Cambria"/>
          <w:sz w:val="20"/>
          <w:szCs w:val="20"/>
        </w:rPr>
      </w:pPr>
    </w:p>
    <w:p w14:paraId="7B690EE3" w14:textId="77777777" w:rsidR="005B5D1D" w:rsidRPr="005B5D1D" w:rsidRDefault="005B5D1D" w:rsidP="00075A2E">
      <w:pPr>
        <w:pStyle w:val="ListParagraph"/>
        <w:numPr>
          <w:ilvl w:val="0"/>
          <w:numId w:val="5"/>
        </w:numPr>
        <w:ind w:left="851" w:hanging="425"/>
        <w:contextualSpacing/>
        <w:jc w:val="both"/>
        <w:rPr>
          <w:rFonts w:ascii="Cambria" w:hAnsi="Cambria"/>
          <w:sz w:val="20"/>
          <w:szCs w:val="20"/>
          <w:lang w:val="fr-FR"/>
        </w:rPr>
      </w:pPr>
      <w:r w:rsidRPr="005B5D1D">
        <w:rPr>
          <w:rFonts w:ascii="Cambria" w:hAnsi="Cambria"/>
          <w:sz w:val="20"/>
          <w:lang w:val="fr-FR"/>
        </w:rPr>
        <w:t>la suppression de la MSL a entraîné une baisse de la mortalité par pêche pour un même TAC et une augmentation d'environ 5 % des débarquements (en poids), les poissons auparavant rejetés venant désormais s'ajouter aux captures débarquées,</w:t>
      </w:r>
    </w:p>
    <w:p w14:paraId="086D1A5F" w14:textId="77777777" w:rsidR="005B5D1D" w:rsidRPr="005B5D1D" w:rsidRDefault="005B5D1D" w:rsidP="00075A2E">
      <w:pPr>
        <w:pStyle w:val="ListParagraph"/>
        <w:numPr>
          <w:ilvl w:val="0"/>
          <w:numId w:val="5"/>
        </w:numPr>
        <w:ind w:left="851" w:hanging="425"/>
        <w:contextualSpacing/>
        <w:jc w:val="both"/>
        <w:rPr>
          <w:rFonts w:ascii="Cambria" w:hAnsi="Cambria"/>
          <w:sz w:val="20"/>
          <w:szCs w:val="20"/>
          <w:lang w:val="fr-FR"/>
        </w:rPr>
      </w:pPr>
      <w:r w:rsidRPr="005B5D1D">
        <w:rPr>
          <w:rFonts w:ascii="Cambria" w:hAnsi="Cambria"/>
          <w:sz w:val="20"/>
          <w:lang w:val="fr-FR"/>
        </w:rPr>
        <w:t>dans tous les cas, les indicateurs de performance relatifs à la sécurité, à l'état et à la production sont restés identiques ou se sont améliorés lorsque la MSL a été supprimée par rapport au statu quo,</w:t>
      </w:r>
    </w:p>
    <w:p w14:paraId="5C996462" w14:textId="77777777" w:rsidR="005B5D1D" w:rsidRPr="005B5D1D" w:rsidRDefault="005B5D1D" w:rsidP="00075A2E">
      <w:pPr>
        <w:pStyle w:val="ListParagraph"/>
        <w:numPr>
          <w:ilvl w:val="0"/>
          <w:numId w:val="5"/>
        </w:numPr>
        <w:ind w:left="851" w:hanging="425"/>
        <w:contextualSpacing/>
        <w:jc w:val="both"/>
        <w:rPr>
          <w:rFonts w:ascii="Cambria" w:hAnsi="Cambria"/>
          <w:sz w:val="20"/>
          <w:szCs w:val="20"/>
          <w:lang w:val="fr-FR"/>
        </w:rPr>
      </w:pPr>
      <w:r w:rsidRPr="005B5D1D">
        <w:rPr>
          <w:rFonts w:ascii="Cambria" w:hAnsi="Cambria"/>
          <w:sz w:val="20"/>
          <w:lang w:val="fr-FR"/>
        </w:rPr>
        <w:t>Conclusion : la MP MCC résiste bien à la suppression de la limite de taille minimale.</w:t>
      </w:r>
    </w:p>
    <w:p w14:paraId="03ACF473" w14:textId="77777777" w:rsidR="005B5D1D" w:rsidRPr="005B5D1D" w:rsidRDefault="005B5D1D" w:rsidP="005B5D1D">
      <w:pPr>
        <w:jc w:val="both"/>
        <w:rPr>
          <w:rFonts w:ascii="Cambria" w:hAnsi="Cambria"/>
          <w:sz w:val="20"/>
          <w:szCs w:val="20"/>
          <w:lang w:val="fr-FR"/>
        </w:rPr>
      </w:pPr>
    </w:p>
    <w:p w14:paraId="1D2A8206" w14:textId="77777777" w:rsidR="005B5D1D" w:rsidRPr="007B779F" w:rsidRDefault="005B5D1D" w:rsidP="005B5D1D">
      <w:pPr>
        <w:jc w:val="both"/>
        <w:rPr>
          <w:rFonts w:ascii="Cambria" w:hAnsi="Cambria"/>
          <w:sz w:val="20"/>
          <w:szCs w:val="20"/>
        </w:rPr>
      </w:pPr>
      <w:r w:rsidRPr="007B779F">
        <w:rPr>
          <w:rFonts w:ascii="Cambria" w:hAnsi="Cambria"/>
          <w:i/>
          <w:iCs/>
          <w:sz w:val="20"/>
          <w:szCs w:val="20"/>
        </w:rPr>
        <w:t>Résumé</w:t>
      </w:r>
    </w:p>
    <w:p w14:paraId="02CAD409" w14:textId="77777777" w:rsidR="005B5D1D" w:rsidRPr="007B779F" w:rsidRDefault="005B5D1D" w:rsidP="005B5D1D">
      <w:pPr>
        <w:jc w:val="both"/>
        <w:rPr>
          <w:rFonts w:ascii="Cambria" w:hAnsi="Cambria"/>
          <w:sz w:val="20"/>
          <w:szCs w:val="20"/>
        </w:rPr>
      </w:pPr>
    </w:p>
    <w:p w14:paraId="3A35050F" w14:textId="77777777" w:rsidR="005B5D1D" w:rsidRPr="005B5D1D" w:rsidRDefault="005B5D1D" w:rsidP="00075A2E">
      <w:pPr>
        <w:numPr>
          <w:ilvl w:val="0"/>
          <w:numId w:val="6"/>
        </w:numPr>
        <w:jc w:val="both"/>
        <w:rPr>
          <w:rFonts w:ascii="Cambria" w:hAnsi="Cambria"/>
          <w:sz w:val="20"/>
          <w:szCs w:val="20"/>
          <w:lang w:val="fr-FR"/>
        </w:rPr>
      </w:pPr>
      <w:r w:rsidRPr="005B5D1D">
        <w:rPr>
          <w:rFonts w:ascii="Cambria" w:hAnsi="Cambria"/>
          <w:sz w:val="20"/>
          <w:szCs w:val="20"/>
          <w:lang w:val="fr-FR"/>
        </w:rPr>
        <w:t>Ces études montrent que les limites de taille minimale fixées pour l'espadon ne permettent pas de protéger efficacement les petits poissons.</w:t>
      </w:r>
    </w:p>
    <w:p w14:paraId="1F0FD53D" w14:textId="77777777" w:rsidR="005B5D1D" w:rsidRPr="005B5D1D" w:rsidRDefault="005B5D1D" w:rsidP="00075A2E">
      <w:pPr>
        <w:numPr>
          <w:ilvl w:val="0"/>
          <w:numId w:val="6"/>
        </w:numPr>
        <w:jc w:val="both"/>
        <w:rPr>
          <w:rFonts w:ascii="Cambria" w:hAnsi="Cambria"/>
          <w:sz w:val="20"/>
          <w:szCs w:val="20"/>
          <w:lang w:val="fr-FR"/>
        </w:rPr>
      </w:pPr>
      <w:r w:rsidRPr="005B5D1D">
        <w:rPr>
          <w:rFonts w:ascii="Cambria" w:hAnsi="Cambria"/>
          <w:sz w:val="20"/>
          <w:szCs w:val="20"/>
          <w:lang w:val="fr-FR"/>
        </w:rPr>
        <w:t>Un relèvement des limites de taille minimale ne permettra probablement pas de protéger les petits poissons si l'on ne modifie pas les engins utilisés dans cette pêcherie.</w:t>
      </w:r>
    </w:p>
    <w:p w14:paraId="3D7445E6" w14:textId="77777777" w:rsidR="005B5D1D" w:rsidRPr="005B5D1D" w:rsidRDefault="005B5D1D" w:rsidP="00075A2E">
      <w:pPr>
        <w:numPr>
          <w:ilvl w:val="0"/>
          <w:numId w:val="6"/>
        </w:numPr>
        <w:jc w:val="both"/>
        <w:rPr>
          <w:rFonts w:ascii="Cambria" w:hAnsi="Cambria"/>
          <w:sz w:val="20"/>
          <w:szCs w:val="20"/>
          <w:lang w:val="fr-FR"/>
        </w:rPr>
      </w:pPr>
      <w:r w:rsidRPr="005B5D1D">
        <w:rPr>
          <w:rFonts w:ascii="Cambria" w:hAnsi="Cambria"/>
          <w:sz w:val="20"/>
          <w:szCs w:val="20"/>
          <w:lang w:val="fr-FR"/>
        </w:rPr>
        <w:t>La MP résiste à la suppression des limites de taille minimale si la Commission venait à le décider.</w:t>
      </w:r>
    </w:p>
    <w:p w14:paraId="30AA5FFF" w14:textId="77777777" w:rsidR="005B5D1D" w:rsidRPr="005B5D1D" w:rsidRDefault="005B5D1D" w:rsidP="005B5D1D">
      <w:pPr>
        <w:jc w:val="both"/>
        <w:rPr>
          <w:rFonts w:ascii="Cambria" w:hAnsi="Cambria"/>
          <w:sz w:val="20"/>
          <w:szCs w:val="20"/>
          <w:lang w:val="fr-FR"/>
        </w:rPr>
      </w:pPr>
    </w:p>
    <w:p w14:paraId="13319281" w14:textId="77777777" w:rsidR="005B5D1D" w:rsidRPr="005B5D1D" w:rsidRDefault="005B5D1D" w:rsidP="005B5D1D">
      <w:pPr>
        <w:tabs>
          <w:tab w:val="left" w:pos="0"/>
          <w:tab w:val="left" w:pos="720"/>
          <w:tab w:val="right" w:pos="8505"/>
          <w:tab w:val="right" w:pos="9072"/>
        </w:tabs>
        <w:ind w:right="4"/>
        <w:jc w:val="both"/>
        <w:rPr>
          <w:rFonts w:ascii="Cambria" w:eastAsia="Cambria" w:hAnsi="Cambria"/>
          <w:b/>
          <w:i/>
          <w:color w:val="000000"/>
          <w:sz w:val="20"/>
          <w:szCs w:val="20"/>
          <w:lang w:val="fr-FR"/>
        </w:rPr>
      </w:pPr>
      <w:r w:rsidRPr="005B5D1D">
        <w:rPr>
          <w:rFonts w:ascii="Cambria" w:hAnsi="Cambria"/>
          <w:b/>
          <w:i/>
          <w:color w:val="000000"/>
          <w:sz w:val="20"/>
          <w:szCs w:val="20"/>
          <w:lang w:val="fr-FR"/>
        </w:rPr>
        <w:t>Requins</w:t>
      </w:r>
    </w:p>
    <w:p w14:paraId="6FCE22AC" w14:textId="77777777" w:rsidR="005B5D1D" w:rsidRPr="005B5D1D" w:rsidRDefault="005B5D1D" w:rsidP="005B5D1D">
      <w:pPr>
        <w:jc w:val="both"/>
        <w:rPr>
          <w:rFonts w:ascii="Cambria" w:hAnsi="Cambria"/>
          <w:b/>
          <w:bCs/>
          <w:i/>
          <w:iCs/>
          <w:sz w:val="8"/>
          <w:szCs w:val="8"/>
          <w:lang w:val="fr-FR"/>
        </w:rPr>
      </w:pPr>
    </w:p>
    <w:p w14:paraId="52150915" w14:textId="77777777" w:rsidR="005B5D1D" w:rsidRPr="005B5D1D" w:rsidRDefault="005B5D1D" w:rsidP="005B5D1D">
      <w:pPr>
        <w:tabs>
          <w:tab w:val="center" w:pos="4513"/>
          <w:tab w:val="left" w:pos="6804"/>
        </w:tabs>
        <w:jc w:val="both"/>
        <w:rPr>
          <w:rFonts w:ascii="Cambria" w:hAnsi="Cambria"/>
          <w:b/>
          <w:i/>
          <w:iCs/>
          <w:sz w:val="20"/>
          <w:szCs w:val="20"/>
          <w:lang w:val="fr-FR"/>
        </w:rPr>
      </w:pPr>
      <w:r w:rsidRPr="005B5D1D">
        <w:rPr>
          <w:rFonts w:ascii="Cambria" w:hAnsi="Cambria"/>
          <w:b/>
          <w:bCs/>
          <w:i/>
          <w:iCs/>
          <w:sz w:val="20"/>
          <w:szCs w:val="20"/>
          <w:lang w:val="fr-FR"/>
        </w:rPr>
        <w:t>19.22</w:t>
      </w:r>
      <w:r w:rsidRPr="005B5D1D">
        <w:rPr>
          <w:rFonts w:ascii="Cambria" w:hAnsi="Cambria"/>
          <w:b/>
          <w:bCs/>
          <w:i/>
          <w:iCs/>
          <w:sz w:val="20"/>
          <w:szCs w:val="20"/>
          <w:lang w:val="fr-FR"/>
        </w:rPr>
        <w:tab/>
        <w:t xml:space="preserve"> En 2024, le SCRS devra examiner les données et les informations existantes relatives au cycle vital et à l'état de conservation des raies mobulidées, et confirmer si elles répondent à la définition d'un taxon présentant la plus grande vulnérabilité biologique et la plus grande préoccupation en matière de conservation, pour lequel il existe très peu de données. </w:t>
      </w:r>
      <w:hyperlink r:id="rId36" w:history="1">
        <w:r w:rsidRPr="005B5D1D">
          <w:rPr>
            <w:rStyle w:val="Hyperlink"/>
            <w:rFonts w:ascii="Cambria" w:hAnsi="Cambria"/>
            <w:b/>
            <w:i/>
            <w:sz w:val="20"/>
            <w:szCs w:val="20"/>
            <w:u w:val="none"/>
            <w:lang w:val="fr-FR"/>
          </w:rPr>
          <w:t>Rec. 24-12</w:t>
        </w:r>
      </w:hyperlink>
      <w:r w:rsidRPr="005B5D1D">
        <w:rPr>
          <w:rFonts w:ascii="Cambria" w:hAnsi="Cambria"/>
          <w:sz w:val="20"/>
          <w:szCs w:val="20"/>
          <w:lang w:val="fr-FR"/>
        </w:rPr>
        <w:t>,</w:t>
      </w:r>
      <w:r w:rsidRPr="005B5D1D">
        <w:rPr>
          <w:rFonts w:ascii="Cambria" w:hAnsi="Cambria"/>
          <w:b/>
          <w:i/>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8 </w:t>
      </w:r>
    </w:p>
    <w:p w14:paraId="0C0A5A5A" w14:textId="77777777" w:rsidR="005B5D1D" w:rsidRPr="005B5D1D" w:rsidRDefault="005B5D1D" w:rsidP="005B5D1D">
      <w:pPr>
        <w:tabs>
          <w:tab w:val="center" w:pos="4513"/>
          <w:tab w:val="left" w:pos="6804"/>
        </w:tabs>
        <w:jc w:val="both"/>
        <w:rPr>
          <w:rFonts w:ascii="Cambria" w:hAnsi="Cambria"/>
          <w:b/>
          <w:i/>
          <w:iCs/>
          <w:sz w:val="20"/>
          <w:szCs w:val="20"/>
          <w:lang w:val="fr-FR"/>
        </w:rPr>
      </w:pPr>
    </w:p>
    <w:p w14:paraId="0438DB82" w14:textId="77777777" w:rsidR="005B5D1D" w:rsidRPr="005B5D1D" w:rsidRDefault="005B5D1D" w:rsidP="005B5D1D">
      <w:pPr>
        <w:suppressAutoHyphens/>
        <w:jc w:val="both"/>
        <w:rPr>
          <w:rFonts w:ascii="Cambria" w:hAnsi="Cambria"/>
          <w:i/>
          <w:sz w:val="20"/>
          <w:szCs w:val="20"/>
          <w:lang w:val="fr-FR"/>
        </w:rPr>
      </w:pPr>
      <w:r w:rsidRPr="005B5D1D">
        <w:rPr>
          <w:rFonts w:ascii="Cambria" w:hAnsi="Cambria"/>
          <w:b/>
          <w:sz w:val="20"/>
          <w:szCs w:val="20"/>
          <w:lang w:val="fr-FR"/>
        </w:rPr>
        <w:t>Contexte :</w:t>
      </w:r>
      <w:r w:rsidRPr="005B5D1D">
        <w:rPr>
          <w:rFonts w:ascii="Cambria" w:hAnsi="Cambria"/>
          <w:b/>
          <w:i/>
          <w:sz w:val="20"/>
          <w:szCs w:val="20"/>
          <w:lang w:val="fr-FR"/>
        </w:rPr>
        <w:t xml:space="preserve"> </w:t>
      </w:r>
      <w:r w:rsidRPr="005B5D1D">
        <w:rPr>
          <w:rFonts w:ascii="Cambria" w:hAnsi="Cambria"/>
          <w:i/>
          <w:sz w:val="20"/>
          <w:szCs w:val="20"/>
          <w:lang w:val="fr-FR"/>
        </w:rPr>
        <w:t xml:space="preserve">En 2024, le SCRS devra examiner les données et les informations existantes relatives au cycle vital et à l'état de conservation des raies mobulidées, et confirmer si elles répondent à la définition d'un taxon présentant la plus grande vulnérabilité biologique et la plus grande préoccupation en matière de conservation, pour lequel il existe très peu de données. Si tel est le cas, le SCRS devra donner son avis sur l'opportunité d'appliquer des mesures de gestion de précaution telles que l'interdiction de la rétention. Le SCRS peut </w:t>
      </w:r>
      <w:r w:rsidRPr="005B5D1D">
        <w:rPr>
          <w:rFonts w:ascii="Cambria" w:hAnsi="Cambria"/>
          <w:i/>
          <w:sz w:val="20"/>
          <w:szCs w:val="20"/>
          <w:lang w:val="fr-FR"/>
        </w:rPr>
        <w:lastRenderedPageBreak/>
        <w:t>également identifier les options pour la recherche future et la collecte de données, et formuler un avis sur d'autres mesures d'atténuation.</w:t>
      </w:r>
    </w:p>
    <w:p w14:paraId="1449AF2B" w14:textId="77777777" w:rsidR="005B5D1D" w:rsidRPr="005B5D1D" w:rsidRDefault="005B5D1D" w:rsidP="005B5D1D">
      <w:pPr>
        <w:suppressAutoHyphens/>
        <w:jc w:val="both"/>
        <w:rPr>
          <w:rFonts w:ascii="Cambria" w:hAnsi="Cambria"/>
          <w:b/>
          <w:i/>
          <w:sz w:val="20"/>
          <w:szCs w:val="20"/>
          <w:lang w:val="fr-FR"/>
        </w:rPr>
      </w:pPr>
    </w:p>
    <w:p w14:paraId="69D1CD26" w14:textId="77777777" w:rsidR="005B5D1D" w:rsidRPr="005B5D1D" w:rsidRDefault="005B5D1D" w:rsidP="005B5D1D">
      <w:pPr>
        <w:jc w:val="both"/>
        <w:rPr>
          <w:rFonts w:ascii="Cambria" w:hAnsi="Cambria"/>
          <w:sz w:val="20"/>
          <w:szCs w:val="20"/>
          <w:lang w:val="fr-FR"/>
        </w:rPr>
      </w:pPr>
      <w:r w:rsidRPr="005B5D1D">
        <w:rPr>
          <w:rFonts w:ascii="Cambria" w:hAnsi="Cambria"/>
          <w:sz w:val="20"/>
          <w:szCs w:val="20"/>
          <w:lang w:val="fr-FR"/>
        </w:rPr>
        <w:t xml:space="preserve">En 2024, le Comité a répondu à la demande de la Commission (se reporter au point </w:t>
      </w:r>
      <w:hyperlink r:id="rId37" w:history="1">
        <w:r w:rsidRPr="005B5D1D">
          <w:rPr>
            <w:rStyle w:val="Hyperlink"/>
            <w:rFonts w:ascii="Cambria" w:hAnsi="Cambria"/>
            <w:sz w:val="20"/>
            <w:szCs w:val="20"/>
            <w:u w:val="none"/>
            <w:lang w:val="fr-FR"/>
          </w:rPr>
          <w:t>19.24 du rapport de la réunion plénière du SCRS de 2024</w:t>
        </w:r>
      </w:hyperlink>
      <w:r w:rsidRPr="005B5D1D">
        <w:rPr>
          <w:rFonts w:ascii="Cambria" w:hAnsi="Cambria"/>
          <w:sz w:val="20"/>
          <w:szCs w:val="20"/>
          <w:lang w:val="fr-FR"/>
        </w:rPr>
        <w:t xml:space="preserve">) en recommandant de donner plein effet à la </w:t>
      </w:r>
      <w:hyperlink r:id="rId38" w:history="1">
        <w:r w:rsidRPr="005B5D1D">
          <w:rPr>
            <w:rStyle w:val="Hyperlink"/>
            <w:rFonts w:ascii="Cambria" w:hAnsi="Cambria"/>
            <w:sz w:val="20"/>
            <w:szCs w:val="20"/>
            <w:u w:val="none"/>
            <w:lang w:val="fr-FR"/>
          </w:rPr>
          <w:t>Rec.</w:t>
        </w:r>
      </w:hyperlink>
      <w:hyperlink r:id="rId39" w:history="1">
        <w:r w:rsidRPr="005B5D1D">
          <w:rPr>
            <w:rStyle w:val="Hyperlink"/>
            <w:rFonts w:ascii="Cambria" w:hAnsi="Cambria"/>
            <w:sz w:val="20"/>
            <w:szCs w:val="20"/>
            <w:u w:val="none"/>
            <w:lang w:val="fr-FR"/>
          </w:rPr>
          <w:t xml:space="preserve"> 23-14</w:t>
        </w:r>
      </w:hyperlink>
      <w:r w:rsidRPr="005B5D1D">
        <w:rPr>
          <w:rFonts w:ascii="Cambria" w:hAnsi="Cambria"/>
          <w:sz w:val="20"/>
          <w:szCs w:val="20"/>
          <w:lang w:val="fr-FR"/>
        </w:rPr>
        <w:t xml:space="preserve">. En 2024, la Commission a adopté la </w:t>
      </w:r>
      <w:hyperlink r:id="rId40" w:history="1">
        <w:r w:rsidRPr="005B5D1D">
          <w:rPr>
            <w:rStyle w:val="Hyperlink"/>
            <w:rFonts w:ascii="Cambria" w:hAnsi="Cambria"/>
            <w:sz w:val="20"/>
            <w:szCs w:val="20"/>
            <w:u w:val="none"/>
            <w:lang w:val="fr-FR"/>
          </w:rPr>
          <w:t>Rec.</w:t>
        </w:r>
      </w:hyperlink>
      <w:hyperlink r:id="rId41" w:history="1">
        <w:r w:rsidRPr="005B5D1D">
          <w:rPr>
            <w:rStyle w:val="Hyperlink"/>
            <w:rFonts w:ascii="Cambria" w:hAnsi="Cambria"/>
            <w:sz w:val="20"/>
            <w:szCs w:val="20"/>
            <w:u w:val="none"/>
            <w:lang w:val="fr-FR"/>
          </w:rPr>
          <w:t xml:space="preserve"> 24-12</w:t>
        </w:r>
      </w:hyperlink>
      <w:r w:rsidRPr="005B5D1D">
        <w:rPr>
          <w:rFonts w:ascii="Cambria" w:hAnsi="Cambria"/>
          <w:sz w:val="20"/>
          <w:szCs w:val="20"/>
          <w:lang w:val="fr-FR"/>
        </w:rPr>
        <w:t xml:space="preserve"> qui abrogeait et remplaçait la </w:t>
      </w:r>
      <w:hyperlink r:id="rId42" w:history="1">
        <w:r w:rsidRPr="005B5D1D">
          <w:rPr>
            <w:rStyle w:val="Hyperlink"/>
            <w:rFonts w:ascii="Cambria" w:hAnsi="Cambria"/>
            <w:sz w:val="20"/>
            <w:szCs w:val="20"/>
            <w:u w:val="none"/>
            <w:lang w:val="fr-FR"/>
          </w:rPr>
          <w:t>Rec.</w:t>
        </w:r>
      </w:hyperlink>
      <w:hyperlink r:id="rId43" w:history="1">
        <w:r w:rsidRPr="005B5D1D">
          <w:rPr>
            <w:rStyle w:val="Hyperlink"/>
            <w:rFonts w:ascii="Cambria" w:hAnsi="Cambria"/>
            <w:sz w:val="20"/>
            <w:szCs w:val="20"/>
            <w:u w:val="none"/>
            <w:lang w:val="fr-FR"/>
          </w:rPr>
          <w:t xml:space="preserve"> 23-14</w:t>
        </w:r>
      </w:hyperlink>
      <w:r w:rsidRPr="005B5D1D">
        <w:rPr>
          <w:rFonts w:ascii="Cambria" w:hAnsi="Cambria"/>
          <w:sz w:val="20"/>
          <w:szCs w:val="20"/>
          <w:lang w:val="fr-FR"/>
        </w:rPr>
        <w:t xml:space="preserve">. </w:t>
      </w:r>
    </w:p>
    <w:p w14:paraId="30B8246A" w14:textId="77777777" w:rsidR="005B5D1D" w:rsidRPr="005B5D1D" w:rsidRDefault="005B5D1D" w:rsidP="005B5D1D">
      <w:pPr>
        <w:jc w:val="both"/>
        <w:rPr>
          <w:rFonts w:ascii="Cambria" w:hAnsi="Cambria"/>
          <w:sz w:val="20"/>
          <w:szCs w:val="20"/>
          <w:lang w:val="fr-FR"/>
        </w:rPr>
      </w:pPr>
    </w:p>
    <w:p w14:paraId="2359C8C8" w14:textId="77777777" w:rsidR="005B5D1D" w:rsidRPr="005B5D1D" w:rsidRDefault="005B5D1D" w:rsidP="005B5D1D">
      <w:pPr>
        <w:jc w:val="both"/>
        <w:rPr>
          <w:rFonts w:ascii="Cambria" w:hAnsi="Cambria"/>
          <w:sz w:val="20"/>
          <w:szCs w:val="20"/>
          <w:lang w:val="fr-FR"/>
        </w:rPr>
      </w:pPr>
      <w:r w:rsidRPr="005B5D1D">
        <w:rPr>
          <w:rFonts w:ascii="Cambria" w:hAnsi="Cambria"/>
          <w:sz w:val="20"/>
          <w:szCs w:val="20"/>
          <w:lang w:val="fr-FR"/>
        </w:rPr>
        <w:t xml:space="preserve">Le Comité comprend qu’il n’est désormais plus nécessaire de répondre à cette demande tant que de nouvelles informations ou axes de recherche sur les mesures d’atténuation n’auront pas été présentés. </w:t>
      </w:r>
    </w:p>
    <w:p w14:paraId="46786511" w14:textId="77777777" w:rsidR="005B5D1D" w:rsidRPr="005B5D1D" w:rsidRDefault="005B5D1D" w:rsidP="005B5D1D">
      <w:pPr>
        <w:suppressAutoHyphens/>
        <w:jc w:val="both"/>
        <w:rPr>
          <w:rFonts w:ascii="Cambria" w:hAnsi="Cambria"/>
          <w:b/>
          <w:i/>
          <w:sz w:val="20"/>
          <w:szCs w:val="20"/>
          <w:lang w:val="fr-FR"/>
        </w:rPr>
      </w:pPr>
    </w:p>
    <w:p w14:paraId="13CA10CC" w14:textId="77777777" w:rsidR="005B5D1D" w:rsidRPr="005B5D1D" w:rsidRDefault="005B5D1D" w:rsidP="005B5D1D">
      <w:pPr>
        <w:tabs>
          <w:tab w:val="center" w:pos="4513"/>
          <w:tab w:val="left" w:pos="6804"/>
        </w:tabs>
        <w:jc w:val="both"/>
        <w:rPr>
          <w:rFonts w:ascii="Cambria" w:hAnsi="Cambria"/>
          <w:b/>
          <w:i/>
          <w:iCs/>
          <w:sz w:val="20"/>
          <w:szCs w:val="20"/>
          <w:lang w:val="fr-FR"/>
        </w:rPr>
      </w:pPr>
      <w:r w:rsidRPr="005B5D1D">
        <w:rPr>
          <w:rFonts w:ascii="Cambria" w:hAnsi="Cambria"/>
          <w:b/>
          <w:i/>
          <w:sz w:val="20"/>
          <w:szCs w:val="20"/>
          <w:lang w:val="fr-FR"/>
        </w:rPr>
        <w:t>19.23</w:t>
      </w:r>
      <w:r w:rsidRPr="005B5D1D">
        <w:rPr>
          <w:rFonts w:ascii="Cambria" w:hAnsi="Cambria"/>
          <w:sz w:val="20"/>
          <w:szCs w:val="20"/>
          <w:lang w:val="fr-FR"/>
        </w:rPr>
        <w:t xml:space="preserve"> </w:t>
      </w:r>
      <w:r w:rsidRPr="005B5D1D">
        <w:rPr>
          <w:rFonts w:ascii="Cambria" w:hAnsi="Cambria"/>
          <w:b/>
          <w:i/>
          <w:sz w:val="20"/>
          <w:szCs w:val="20"/>
          <w:lang w:val="fr-FR"/>
        </w:rPr>
        <w:t xml:space="preserve">Le SCRS devra périodiquement formuler un avis sur l’aire de répartition géographique du requin pèlerin et du grand requin blanc, </w:t>
      </w:r>
      <w:hyperlink r:id="rId44" w:history="1">
        <w:r w:rsidRPr="005B5D1D">
          <w:rPr>
            <w:rStyle w:val="Hyperlink"/>
            <w:rFonts w:ascii="Cambria" w:hAnsi="Cambria"/>
            <w:b/>
            <w:i/>
            <w:sz w:val="20"/>
            <w:szCs w:val="20"/>
            <w:u w:val="none"/>
            <w:lang w:val="fr-FR"/>
          </w:rPr>
          <w:t>Rec. 25-07</w:t>
        </w:r>
      </w:hyperlink>
      <w:r w:rsidRPr="005B5D1D">
        <w:rPr>
          <w:rFonts w:ascii="Cambria" w:hAnsi="Cambria"/>
          <w:b/>
          <w:sz w:val="20"/>
          <w:szCs w:val="20"/>
          <w:lang w:val="fr-FR"/>
        </w:rPr>
        <w:t>,</w:t>
      </w:r>
      <w:r w:rsidRPr="005B5D1D">
        <w:rPr>
          <w:rFonts w:ascii="Cambria" w:hAnsi="Cambria"/>
          <w:b/>
          <w:i/>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7</w:t>
      </w:r>
      <w:r w:rsidRPr="005B5D1D">
        <w:rPr>
          <w:rFonts w:ascii="Cambria" w:hAnsi="Cambria"/>
          <w:i/>
          <w:sz w:val="20"/>
          <w:szCs w:val="20"/>
          <w:lang w:val="fr-FR"/>
        </w:rPr>
        <w:t xml:space="preserve"> </w:t>
      </w:r>
    </w:p>
    <w:p w14:paraId="49F330DC" w14:textId="77777777" w:rsidR="005B5D1D" w:rsidRPr="005B5D1D" w:rsidRDefault="005B5D1D" w:rsidP="005B5D1D">
      <w:pPr>
        <w:tabs>
          <w:tab w:val="center" w:pos="4513"/>
          <w:tab w:val="left" w:pos="6804"/>
        </w:tabs>
        <w:jc w:val="both"/>
        <w:rPr>
          <w:rFonts w:ascii="Cambria" w:hAnsi="Cambria"/>
          <w:b/>
          <w:i/>
          <w:iCs/>
          <w:sz w:val="20"/>
          <w:szCs w:val="20"/>
          <w:lang w:val="fr-FR"/>
        </w:rPr>
      </w:pPr>
    </w:p>
    <w:p w14:paraId="11A63E18" w14:textId="77777777" w:rsidR="005B5D1D" w:rsidRPr="005B5D1D" w:rsidRDefault="005B5D1D" w:rsidP="005B5D1D">
      <w:pPr>
        <w:suppressAutoHyphens/>
        <w:jc w:val="both"/>
        <w:rPr>
          <w:rFonts w:ascii="Cambria" w:hAnsi="Cambria"/>
          <w:i/>
          <w:sz w:val="20"/>
          <w:szCs w:val="20"/>
          <w:lang w:val="fr-FR"/>
        </w:rPr>
      </w:pPr>
      <w:r w:rsidRPr="005B5D1D">
        <w:rPr>
          <w:rFonts w:ascii="Cambria" w:hAnsi="Cambria"/>
          <w:b/>
          <w:sz w:val="20"/>
          <w:szCs w:val="20"/>
          <w:lang w:val="fr-FR"/>
        </w:rPr>
        <w:t>Contexte :</w:t>
      </w:r>
      <w:r w:rsidRPr="005B5D1D">
        <w:rPr>
          <w:rFonts w:ascii="Cambria" w:hAnsi="Cambria"/>
          <w:b/>
          <w:i/>
          <w:sz w:val="20"/>
          <w:szCs w:val="20"/>
          <w:lang w:val="fr-FR"/>
        </w:rPr>
        <w:t xml:space="preserve"> </w:t>
      </w:r>
      <w:r w:rsidRPr="005B5D1D">
        <w:rPr>
          <w:rFonts w:ascii="Cambria" w:hAnsi="Cambria"/>
          <w:i/>
          <w:sz w:val="20"/>
          <w:szCs w:val="20"/>
          <w:lang w:val="fr-FR"/>
        </w:rPr>
        <w:t>Nonobstant les dispositions du paragraphe 6, le SCRS devra, en 2026 et périodiquement par la suite, formuler un avis sur l’aire de répartition géographique du requin pèlerin et du grand requin blanc. Les CPC dont les navires opèrent exclusivement en dehors de l’aire de répartition géographique faisant l’objet de l’avis devront ensuite, sur décision de la Commission fondée sur l'avis du SCRS, être exemptées des mesures visées aux paragraphes 1, 2 et 3. L'analyse de l’exemption devrait être spécifique à chaque espèce, en tenant compte de l</w:t>
      </w:r>
      <w:r w:rsidRPr="005B5D1D">
        <w:rPr>
          <w:rFonts w:ascii="Cambria" w:hAnsi="Cambria" w:cs="Cambria"/>
          <w:i/>
          <w:sz w:val="20"/>
          <w:szCs w:val="20"/>
          <w:lang w:val="fr-FR"/>
        </w:rPr>
        <w:t>’</w:t>
      </w:r>
      <w:r w:rsidRPr="005B5D1D">
        <w:rPr>
          <w:rFonts w:ascii="Cambria" w:hAnsi="Cambria"/>
          <w:i/>
          <w:sz w:val="20"/>
          <w:szCs w:val="20"/>
          <w:lang w:val="fr-FR"/>
        </w:rPr>
        <w:t>aire de répartition géographique des deux espèces. Si le SCRS estime que cette aire de répartition géographique n'est pas correcte, l'exemption ne s'appliquera pas.</w:t>
      </w:r>
    </w:p>
    <w:p w14:paraId="31A8CDDA" w14:textId="77777777" w:rsidR="005B5D1D" w:rsidRPr="005B5D1D" w:rsidRDefault="005B5D1D" w:rsidP="005B5D1D">
      <w:pPr>
        <w:suppressAutoHyphens/>
        <w:jc w:val="both"/>
        <w:rPr>
          <w:rFonts w:ascii="Cambria" w:eastAsia="Cambria" w:hAnsi="Cambria" w:cs="Cambria"/>
          <w:b/>
          <w:iCs/>
          <w:color w:val="000000"/>
          <w:sz w:val="20"/>
          <w:szCs w:val="20"/>
          <w:lang w:val="fr-FR"/>
        </w:rPr>
      </w:pPr>
    </w:p>
    <w:p w14:paraId="33EDE156" w14:textId="77777777" w:rsidR="005B5D1D" w:rsidRPr="005B5D1D" w:rsidRDefault="005B5D1D" w:rsidP="005B5D1D">
      <w:pPr>
        <w:suppressAutoHyphens/>
        <w:jc w:val="both"/>
        <w:rPr>
          <w:rFonts w:ascii="Cambria" w:hAnsi="Cambria"/>
          <w:sz w:val="20"/>
          <w:szCs w:val="20"/>
          <w:lang w:val="fr-FR"/>
        </w:rPr>
      </w:pPr>
      <w:r w:rsidRPr="005B5D1D">
        <w:rPr>
          <w:rFonts w:ascii="Cambria" w:hAnsi="Cambria"/>
          <w:sz w:val="20"/>
          <w:szCs w:val="20"/>
          <w:lang w:val="fr-FR"/>
        </w:rPr>
        <w:t xml:space="preserve">Aucun document n’a été présenté au Comité en 2026 en ce qui concerne l’aire de répartition géographique de ces espèces. En outre, aucune CPC n’a demandé à être exemptée des mesures visées aux paragraphes 1, 2 et 3 de la </w:t>
      </w:r>
      <w:hyperlink r:id="rId45" w:history="1">
        <w:r w:rsidRPr="005B5D1D">
          <w:rPr>
            <w:rStyle w:val="Hyperlink"/>
            <w:rFonts w:ascii="Cambria" w:hAnsi="Cambria"/>
            <w:sz w:val="20"/>
            <w:szCs w:val="20"/>
            <w:u w:val="none"/>
            <w:lang w:val="fr-FR"/>
          </w:rPr>
          <w:t>Rec.</w:t>
        </w:r>
      </w:hyperlink>
      <w:hyperlink r:id="rId46" w:history="1">
        <w:r w:rsidRPr="005B5D1D">
          <w:rPr>
            <w:rStyle w:val="Hyperlink"/>
            <w:rFonts w:ascii="Cambria" w:hAnsi="Cambria"/>
            <w:sz w:val="20"/>
            <w:szCs w:val="20"/>
            <w:u w:val="none"/>
            <w:lang w:val="fr-FR"/>
          </w:rPr>
          <w:t xml:space="preserve"> 25-07</w:t>
        </w:r>
      </w:hyperlink>
      <w:r w:rsidRPr="005B5D1D">
        <w:rPr>
          <w:rFonts w:ascii="Cambria" w:hAnsi="Cambria"/>
          <w:sz w:val="20"/>
          <w:szCs w:val="20"/>
          <w:lang w:val="fr-FR"/>
        </w:rPr>
        <w:t xml:space="preserve">. </w:t>
      </w:r>
    </w:p>
    <w:p w14:paraId="47EA8279" w14:textId="77777777" w:rsidR="005B5D1D" w:rsidRPr="005B5D1D" w:rsidRDefault="005B5D1D" w:rsidP="005B5D1D">
      <w:pPr>
        <w:suppressAutoHyphens/>
        <w:jc w:val="both"/>
        <w:rPr>
          <w:rFonts w:ascii="Cambria" w:eastAsia="Cambria" w:hAnsi="Cambria" w:cs="Cambria"/>
          <w:b/>
          <w:iCs/>
          <w:color w:val="000000"/>
          <w:sz w:val="20"/>
          <w:szCs w:val="20"/>
          <w:lang w:val="fr-FR"/>
        </w:rPr>
      </w:pPr>
    </w:p>
    <w:p w14:paraId="0A9C3AD2" w14:textId="77777777" w:rsidR="005B5D1D" w:rsidRPr="005B5D1D" w:rsidRDefault="005B5D1D" w:rsidP="005B5D1D">
      <w:pPr>
        <w:tabs>
          <w:tab w:val="center" w:pos="4513"/>
          <w:tab w:val="left" w:pos="6804"/>
        </w:tabs>
        <w:jc w:val="both"/>
        <w:rPr>
          <w:rFonts w:ascii="Cambria" w:hAnsi="Cambria"/>
          <w:b/>
          <w:i/>
          <w:iCs/>
          <w:sz w:val="20"/>
          <w:szCs w:val="20"/>
          <w:lang w:val="fr-FR"/>
        </w:rPr>
      </w:pPr>
      <w:r w:rsidRPr="005B5D1D">
        <w:rPr>
          <w:rFonts w:ascii="Cambria" w:hAnsi="Cambria"/>
          <w:b/>
          <w:i/>
          <w:sz w:val="20"/>
          <w:szCs w:val="20"/>
          <w:lang w:val="fr-FR"/>
        </w:rPr>
        <w:t>19.24</w:t>
      </w:r>
      <w:r w:rsidRPr="005B5D1D">
        <w:rPr>
          <w:rFonts w:ascii="Cambria" w:hAnsi="Cambria"/>
          <w:sz w:val="20"/>
          <w:szCs w:val="20"/>
          <w:lang w:val="fr-FR"/>
        </w:rPr>
        <w:t xml:space="preserve"> </w:t>
      </w:r>
      <w:r w:rsidRPr="005B5D1D">
        <w:rPr>
          <w:rFonts w:ascii="Cambria" w:hAnsi="Cambria"/>
          <w:b/>
          <w:i/>
          <w:sz w:val="20"/>
          <w:szCs w:val="20"/>
          <w:lang w:val="fr-FR"/>
        </w:rPr>
        <w:t>Les CPC devront présenter au SCRS la méthodologie statistique utilisée pour estimer les rejets morts et les remises à l'eau de spécimens vivants ; le SCRS devra réviser et approuver les méthodes et, s’il détermine que les méthodes ne sont pas scientifiquement fondées, le SCRS devra fournir des observations pertinentes aux CPC concernées afin de les améliorer,</w:t>
      </w:r>
      <w:hyperlink r:id="rId47" w:history="1">
        <w:r w:rsidRPr="005B5D1D">
          <w:rPr>
            <w:rStyle w:val="Hyperlink"/>
            <w:rFonts w:ascii="Cambria" w:hAnsi="Cambria"/>
            <w:b/>
            <w:i/>
            <w:sz w:val="20"/>
            <w:szCs w:val="20"/>
            <w:u w:val="none"/>
            <w:lang w:val="fr-FR"/>
          </w:rPr>
          <w:t xml:space="preserve"> Rec. 25-08</w:t>
        </w:r>
      </w:hyperlink>
      <w:r w:rsidRPr="005B5D1D">
        <w:rPr>
          <w:rFonts w:ascii="Cambria" w:hAnsi="Cambria"/>
          <w:b/>
          <w:i/>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14 </w:t>
      </w:r>
    </w:p>
    <w:p w14:paraId="26893C1E" w14:textId="77777777" w:rsidR="005B5D1D" w:rsidRPr="005B5D1D" w:rsidRDefault="005B5D1D" w:rsidP="005B5D1D">
      <w:pPr>
        <w:tabs>
          <w:tab w:val="center" w:pos="4513"/>
          <w:tab w:val="left" w:pos="6804"/>
        </w:tabs>
        <w:jc w:val="both"/>
        <w:rPr>
          <w:rFonts w:ascii="Cambria" w:hAnsi="Cambria"/>
          <w:b/>
          <w:i/>
          <w:iCs/>
          <w:sz w:val="20"/>
          <w:szCs w:val="20"/>
          <w:lang w:val="fr-FR"/>
        </w:rPr>
      </w:pPr>
    </w:p>
    <w:p w14:paraId="79D41CB8" w14:textId="77777777" w:rsidR="005B5D1D" w:rsidRPr="005B5D1D" w:rsidRDefault="005B5D1D" w:rsidP="005B5D1D">
      <w:pPr>
        <w:jc w:val="both"/>
        <w:rPr>
          <w:rFonts w:ascii="Cambria" w:hAnsi="Cambria"/>
          <w:i/>
          <w:iCs/>
          <w:sz w:val="20"/>
          <w:szCs w:val="20"/>
          <w:lang w:val="fr-FR"/>
        </w:rPr>
      </w:pPr>
      <w:r w:rsidRPr="005B5D1D">
        <w:rPr>
          <w:rFonts w:ascii="Cambria" w:hAnsi="Cambria"/>
          <w:b/>
          <w:sz w:val="20"/>
          <w:szCs w:val="20"/>
          <w:lang w:val="fr-FR"/>
        </w:rPr>
        <w:t>Contexte :</w:t>
      </w:r>
      <w:r w:rsidRPr="005B5D1D">
        <w:rPr>
          <w:rFonts w:ascii="Cambria" w:hAnsi="Cambria"/>
          <w:b/>
          <w:i/>
          <w:sz w:val="20"/>
          <w:szCs w:val="20"/>
          <w:lang w:val="fr-FR"/>
        </w:rPr>
        <w:t xml:space="preserve"> </w:t>
      </w:r>
      <w:r w:rsidRPr="005B5D1D">
        <w:rPr>
          <w:rFonts w:ascii="Cambria" w:hAnsi="Cambria"/>
          <w:i/>
          <w:sz w:val="20"/>
          <w:szCs w:val="20"/>
          <w:lang w:val="fr-FR"/>
        </w:rPr>
        <w:t xml:space="preserve">Les CPC qui ont déclaré des captures moyennes annuelles (débarquements et rejets morts) de requin-taupe bleu de l'Atlantique Sud supérieures à 1 t entre 2018 et 2020 devront présenter au SCRS la méthodologie statistique utilisée pour estimer les rejets morts et les remises à l’eau de spécimens vivants. Les CPC ayant des pêcheries artisanales et de petits métiers devront également fournir des informations sur leurs programmes de collecte de données. Le SCRS devra réviser et approuver les méthodes et, s’il détermine que les méthodes ne sont pas scientifiquement fondées, le SCRS devra fournir des observations pertinentes aux CPC concernées afin de les améliorer. Les CPC qui n'auront pas fourni leur estimation des rejets morts et des remises à l'eau de poissons vivants pour examen par le SCRS en 2027 ne devront pas autoriser la rétention de requins-taupes bleus. </w:t>
      </w:r>
    </w:p>
    <w:p w14:paraId="595EA62B" w14:textId="77777777" w:rsidR="005B5D1D" w:rsidRPr="005B5D1D" w:rsidRDefault="005B5D1D" w:rsidP="005B5D1D">
      <w:pPr>
        <w:tabs>
          <w:tab w:val="left" w:pos="0"/>
          <w:tab w:val="left" w:pos="720"/>
          <w:tab w:val="right" w:pos="8505"/>
          <w:tab w:val="right" w:pos="9072"/>
        </w:tabs>
        <w:ind w:right="4"/>
        <w:jc w:val="both"/>
        <w:rPr>
          <w:rFonts w:ascii="Cambria" w:eastAsia="Cambria" w:hAnsi="Cambria" w:cs="Cambria"/>
          <w:b/>
          <w:iCs/>
          <w:color w:val="000000"/>
          <w:sz w:val="20"/>
          <w:szCs w:val="20"/>
          <w:lang w:val="fr-FR"/>
        </w:rPr>
      </w:pPr>
    </w:p>
    <w:p w14:paraId="1F19AC0B" w14:textId="77777777" w:rsidR="005B5D1D" w:rsidRPr="005B5D1D" w:rsidRDefault="005B5D1D" w:rsidP="005B5D1D">
      <w:pPr>
        <w:suppressAutoHyphens/>
        <w:jc w:val="both"/>
        <w:rPr>
          <w:rFonts w:ascii="Cambria" w:hAnsi="Cambria"/>
          <w:sz w:val="20"/>
          <w:szCs w:val="20"/>
          <w:lang w:val="fr-FR"/>
        </w:rPr>
      </w:pPr>
      <w:r w:rsidRPr="005B5D1D">
        <w:rPr>
          <w:rFonts w:ascii="Cambria" w:hAnsi="Cambria"/>
          <w:sz w:val="20"/>
          <w:szCs w:val="20"/>
          <w:lang w:val="fr-FR"/>
        </w:rPr>
        <w:t xml:space="preserve">En 2026, des documents relatifs à la méthodologie statistique permettant d’estimer les captures de requin-taupe bleu, en conformité avec la </w:t>
      </w:r>
      <w:hyperlink r:id="rId48" w:history="1">
        <w:r w:rsidRPr="005B5D1D">
          <w:rPr>
            <w:rStyle w:val="Hyperlink"/>
            <w:rFonts w:ascii="Cambria" w:hAnsi="Cambria"/>
            <w:sz w:val="20"/>
            <w:szCs w:val="20"/>
            <w:u w:val="none"/>
            <w:lang w:val="fr-FR"/>
          </w:rPr>
          <w:t>Rec.</w:t>
        </w:r>
      </w:hyperlink>
      <w:hyperlink r:id="rId49" w:history="1">
        <w:r w:rsidRPr="005B5D1D">
          <w:rPr>
            <w:rStyle w:val="Hyperlink"/>
            <w:rFonts w:ascii="Cambria" w:hAnsi="Cambria"/>
            <w:sz w:val="20"/>
            <w:szCs w:val="20"/>
            <w:u w:val="none"/>
            <w:lang w:val="fr-FR"/>
          </w:rPr>
          <w:t xml:space="preserve"> 21-09</w:t>
        </w:r>
      </w:hyperlink>
      <w:r w:rsidRPr="005B5D1D">
        <w:rPr>
          <w:rFonts w:ascii="Cambria" w:hAnsi="Cambria"/>
          <w:sz w:val="20"/>
          <w:szCs w:val="20"/>
          <w:lang w:val="fr-FR"/>
        </w:rPr>
        <w:t xml:space="preserve"> et la </w:t>
      </w:r>
      <w:hyperlink r:id="rId50" w:history="1">
        <w:r w:rsidRPr="005B5D1D">
          <w:rPr>
            <w:rStyle w:val="Hyperlink"/>
            <w:rFonts w:ascii="Cambria" w:hAnsi="Cambria"/>
            <w:sz w:val="20"/>
            <w:szCs w:val="20"/>
            <w:u w:val="none"/>
            <w:lang w:val="fr-FR"/>
          </w:rPr>
          <w:t>Rec.</w:t>
        </w:r>
      </w:hyperlink>
      <w:hyperlink r:id="rId51" w:history="1">
        <w:r w:rsidRPr="005B5D1D">
          <w:rPr>
            <w:rStyle w:val="Hyperlink"/>
            <w:rFonts w:ascii="Cambria" w:hAnsi="Cambria"/>
            <w:sz w:val="20"/>
            <w:szCs w:val="20"/>
            <w:u w:val="none"/>
            <w:lang w:val="fr-FR"/>
          </w:rPr>
          <w:t xml:space="preserve"> 25-08</w:t>
        </w:r>
      </w:hyperlink>
      <w:r w:rsidRPr="005B5D1D">
        <w:rPr>
          <w:rFonts w:ascii="Cambria" w:hAnsi="Cambria"/>
          <w:sz w:val="20"/>
          <w:szCs w:val="20"/>
          <w:lang w:val="fr-FR"/>
        </w:rPr>
        <w:t xml:space="preserve">, ont été présentés au Groupe de travail sur les méthodes d’évaluation des stocks (WGSAM) par l’Afrique du Sud (DaSilva </w:t>
      </w:r>
      <w:r w:rsidRPr="005B5D1D">
        <w:rPr>
          <w:rFonts w:ascii="Cambria" w:hAnsi="Cambria"/>
          <w:i/>
          <w:iCs/>
          <w:sz w:val="20"/>
          <w:szCs w:val="20"/>
          <w:lang w:val="fr-FR"/>
        </w:rPr>
        <w:t>et al.,</w:t>
      </w:r>
      <w:r w:rsidRPr="005B5D1D">
        <w:rPr>
          <w:rFonts w:ascii="Cambria" w:hAnsi="Cambria"/>
          <w:sz w:val="20"/>
          <w:szCs w:val="20"/>
          <w:lang w:val="fr-FR"/>
        </w:rPr>
        <w:t xml:space="preserve"> (sous presse) SCRS/2026/134), l’UE-Portugal (DaSilva </w:t>
      </w:r>
      <w:r w:rsidRPr="005B5D1D">
        <w:rPr>
          <w:rFonts w:ascii="Cambria" w:hAnsi="Cambria"/>
          <w:i/>
          <w:iCs/>
          <w:sz w:val="20"/>
          <w:szCs w:val="20"/>
          <w:lang w:val="fr-FR"/>
        </w:rPr>
        <w:t>et al.,</w:t>
      </w:r>
      <w:r w:rsidRPr="005B5D1D">
        <w:rPr>
          <w:rFonts w:ascii="Cambria" w:hAnsi="Cambria"/>
          <w:sz w:val="20"/>
          <w:szCs w:val="20"/>
          <w:lang w:val="fr-FR"/>
        </w:rPr>
        <w:t xml:space="preserve"> (sous presse) SCRS/2026/082), l’UE-Espagne (Baez </w:t>
      </w:r>
      <w:r w:rsidRPr="005B5D1D">
        <w:rPr>
          <w:rFonts w:ascii="Cambria" w:hAnsi="Cambria"/>
          <w:i/>
          <w:iCs/>
          <w:sz w:val="20"/>
          <w:szCs w:val="20"/>
          <w:lang w:val="fr-FR"/>
        </w:rPr>
        <w:t>et al.,</w:t>
      </w:r>
      <w:r w:rsidRPr="005B5D1D">
        <w:rPr>
          <w:rFonts w:ascii="Cambria" w:hAnsi="Cambria"/>
          <w:sz w:val="20"/>
          <w:szCs w:val="20"/>
          <w:lang w:val="fr-FR"/>
        </w:rPr>
        <w:t xml:space="preserve"> (sous presse) SCRS/2026/097) et la Namibie (Jagger</w:t>
      </w:r>
      <w:r w:rsidRPr="005B5D1D">
        <w:rPr>
          <w:rFonts w:ascii="Cambria" w:hAnsi="Cambria"/>
          <w:i/>
          <w:iCs/>
          <w:sz w:val="20"/>
          <w:szCs w:val="20"/>
          <w:lang w:val="fr-FR"/>
        </w:rPr>
        <w:t xml:space="preserve"> et al.,</w:t>
      </w:r>
      <w:r w:rsidRPr="005B5D1D">
        <w:rPr>
          <w:rFonts w:ascii="Cambria" w:hAnsi="Cambria"/>
          <w:sz w:val="20"/>
          <w:szCs w:val="20"/>
          <w:lang w:val="fr-FR"/>
        </w:rPr>
        <w:t xml:space="preserve"> (sous presse) SCRS/2026/135).</w:t>
      </w:r>
    </w:p>
    <w:p w14:paraId="36E9F578" w14:textId="77777777" w:rsidR="005B5D1D" w:rsidRPr="005B5D1D" w:rsidRDefault="005B5D1D" w:rsidP="005B5D1D">
      <w:pPr>
        <w:tabs>
          <w:tab w:val="left" w:pos="0"/>
          <w:tab w:val="left" w:pos="720"/>
          <w:tab w:val="right" w:pos="8505"/>
          <w:tab w:val="right" w:pos="9072"/>
        </w:tabs>
        <w:ind w:right="4"/>
        <w:jc w:val="both"/>
        <w:rPr>
          <w:rFonts w:ascii="Cambria" w:eastAsia="Cambria" w:hAnsi="Cambria" w:cs="Cambria"/>
          <w:b/>
          <w:iCs/>
          <w:color w:val="000000"/>
          <w:sz w:val="20"/>
          <w:szCs w:val="20"/>
          <w:lang w:val="fr-FR"/>
        </w:rPr>
      </w:pPr>
    </w:p>
    <w:p w14:paraId="487ABD68" w14:textId="77777777" w:rsidR="005B5D1D" w:rsidRPr="005B5D1D" w:rsidRDefault="005B5D1D" w:rsidP="005B5D1D">
      <w:pPr>
        <w:spacing w:after="160" w:line="259" w:lineRule="auto"/>
        <w:rPr>
          <w:rFonts w:ascii="Cambria" w:hAnsi="Cambria"/>
          <w:b/>
          <w:i/>
          <w:sz w:val="20"/>
          <w:szCs w:val="20"/>
          <w:lang w:val="fr-FR"/>
        </w:rPr>
      </w:pPr>
      <w:r w:rsidRPr="005B5D1D">
        <w:rPr>
          <w:rFonts w:ascii="Cambria" w:hAnsi="Cambria"/>
          <w:b/>
          <w:i/>
          <w:sz w:val="20"/>
          <w:szCs w:val="20"/>
          <w:lang w:val="fr-FR"/>
        </w:rPr>
        <w:t>19.25</w:t>
      </w:r>
      <w:r w:rsidRPr="005B5D1D">
        <w:rPr>
          <w:rFonts w:ascii="Cambria" w:hAnsi="Cambria"/>
          <w:sz w:val="20"/>
          <w:szCs w:val="20"/>
          <w:lang w:val="fr-FR"/>
        </w:rPr>
        <w:t xml:space="preserve"> </w:t>
      </w:r>
      <w:r w:rsidRPr="005B5D1D">
        <w:rPr>
          <w:rFonts w:ascii="Cambria" w:hAnsi="Cambria"/>
          <w:b/>
          <w:i/>
          <w:sz w:val="20"/>
          <w:szCs w:val="20"/>
          <w:lang w:val="fr-FR"/>
        </w:rPr>
        <w:t xml:space="preserve">Le SCRS devra continuer à donner la priorité à la recherche, </w:t>
      </w:r>
      <w:hyperlink r:id="rId52" w:history="1">
        <w:r w:rsidRPr="005B5D1D">
          <w:rPr>
            <w:rStyle w:val="Hyperlink"/>
            <w:rFonts w:ascii="Cambria" w:hAnsi="Cambria"/>
            <w:b/>
            <w:i/>
            <w:sz w:val="20"/>
            <w:szCs w:val="20"/>
            <w:u w:val="none"/>
            <w:lang w:val="fr-FR"/>
          </w:rPr>
          <w:t>Rec. 25-08</w:t>
        </w:r>
      </w:hyperlink>
      <w:r w:rsidRPr="005B5D1D">
        <w:rPr>
          <w:rFonts w:ascii="Cambria" w:hAnsi="Cambria"/>
          <w:b/>
          <w:i/>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20 </w:t>
      </w:r>
    </w:p>
    <w:p w14:paraId="27C11D31" w14:textId="77777777" w:rsidR="005B5D1D" w:rsidRPr="005B5D1D" w:rsidRDefault="005B5D1D" w:rsidP="005B5D1D">
      <w:pPr>
        <w:tabs>
          <w:tab w:val="center" w:pos="4513"/>
          <w:tab w:val="left" w:pos="6804"/>
        </w:tabs>
        <w:jc w:val="both"/>
        <w:rPr>
          <w:rFonts w:ascii="Cambria" w:hAnsi="Cambria"/>
          <w:b/>
          <w:i/>
          <w:iCs/>
          <w:sz w:val="20"/>
          <w:szCs w:val="20"/>
          <w:lang w:val="fr-FR"/>
        </w:rPr>
      </w:pPr>
    </w:p>
    <w:p w14:paraId="3689B58C" w14:textId="77777777" w:rsidR="005B5D1D" w:rsidRPr="005B5D1D" w:rsidRDefault="005B5D1D" w:rsidP="005B5D1D">
      <w:pPr>
        <w:jc w:val="both"/>
        <w:rPr>
          <w:rFonts w:ascii="Cambria" w:hAnsi="Cambria"/>
          <w:sz w:val="20"/>
          <w:szCs w:val="20"/>
          <w:lang w:val="fr-FR"/>
        </w:rPr>
      </w:pPr>
      <w:r w:rsidRPr="005B5D1D">
        <w:rPr>
          <w:rFonts w:ascii="Cambria" w:hAnsi="Cambria"/>
          <w:b/>
          <w:sz w:val="20"/>
          <w:szCs w:val="20"/>
          <w:lang w:val="fr-FR"/>
        </w:rPr>
        <w:t>Contexte :</w:t>
      </w:r>
      <w:r w:rsidRPr="005B5D1D">
        <w:rPr>
          <w:rFonts w:ascii="Cambria" w:hAnsi="Cambria"/>
          <w:b/>
          <w:i/>
          <w:sz w:val="20"/>
          <w:szCs w:val="20"/>
          <w:lang w:val="fr-FR"/>
        </w:rPr>
        <w:t xml:space="preserve"> </w:t>
      </w:r>
      <w:r w:rsidRPr="005B5D1D">
        <w:rPr>
          <w:rFonts w:ascii="Cambria" w:hAnsi="Cambria"/>
          <w:i/>
          <w:sz w:val="20"/>
          <w:szCs w:val="20"/>
          <w:lang w:val="fr-FR"/>
        </w:rPr>
        <w:t>Le SCRS devra continuer à donner la priorité : à la recherche sur l’identification des zones de reproduction, de mise bas et de nourricerie, ainsi que d'autres zones de forte concentration de requins-taupes bleus ; aux options pour des mesures spatio-temporelles ; des mesures d'atténuation (entre autres la configuration et la modification de l’engin, les options de déploiement), conjointement avec les avantages et les inconvénients pour les objectifs du programme de rétablissement, visant à améliorer davantage l’état des stocks ; et à d'autres domaines que le SCRS juge utiles pour améliorer les évaluations de stocks et réduire la mortalité du requin-taupe bleu. En outre, les CPC sont encouragées à enquêter sur la mortalité à bord et après la remise à l'eau du requin-taupe bleu, y compris, mais pas exclusivement, au moyen de l'incorporation de minuteurs d’hameçons et de programmes de marquage par satellite.</w:t>
      </w:r>
    </w:p>
    <w:p w14:paraId="5C06800B" w14:textId="77777777" w:rsidR="005B5D1D" w:rsidRPr="005B5D1D" w:rsidRDefault="005B5D1D" w:rsidP="005B5D1D">
      <w:pPr>
        <w:tabs>
          <w:tab w:val="center" w:pos="4513"/>
          <w:tab w:val="left" w:pos="6804"/>
        </w:tabs>
        <w:rPr>
          <w:rFonts w:ascii="Cambria" w:hAnsi="Cambria"/>
          <w:i/>
          <w:iCs/>
          <w:sz w:val="20"/>
          <w:szCs w:val="20"/>
          <w:lang w:val="fr-FR"/>
        </w:rPr>
      </w:pPr>
    </w:p>
    <w:p w14:paraId="006B0B14"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lang w:val="fr-FR"/>
        </w:rPr>
        <w:lastRenderedPageBreak/>
        <w:t>Le Programme de recherche et de collecte de données sur les requins (SRDCP) a débuté en 2014 en se concentrant sur différents aspects du cycle vital, de la structure du stock et des pêcheries du requin-taupe bleu. Depuis, une grande quantité de travail a été effectuée, produisant des informations très précieuses concernant l'âge et la croissance de l'espèce, la structure du stock, les mouvements, l'utilisation de l'habitat et la mortalité suivant la remise à l'eau. La plupart des informations recueillies ont été utilisées dans les évaluations du requin-taupe commun pour la période 2025-2026. Toutefois, certains aspects du cycle vital de cette espèce restent encore incertains, et ceux-ci constituent toujours une priorité pour le SRDCP.</w:t>
      </w:r>
    </w:p>
    <w:p w14:paraId="2594B304" w14:textId="77777777" w:rsidR="005B5D1D" w:rsidRPr="005B5D1D" w:rsidRDefault="005B5D1D" w:rsidP="005B5D1D">
      <w:pPr>
        <w:tabs>
          <w:tab w:val="center" w:pos="4513"/>
          <w:tab w:val="left" w:pos="6804"/>
        </w:tabs>
        <w:jc w:val="both"/>
        <w:rPr>
          <w:rFonts w:ascii="Cambria" w:hAnsi="Cambria"/>
          <w:sz w:val="20"/>
          <w:szCs w:val="20"/>
          <w:lang w:val="fr-FR"/>
        </w:rPr>
      </w:pPr>
    </w:p>
    <w:p w14:paraId="54A4757F" w14:textId="77777777" w:rsidR="005B5D1D" w:rsidRPr="005B5D1D" w:rsidRDefault="005B5D1D" w:rsidP="005B5D1D">
      <w:pPr>
        <w:tabs>
          <w:tab w:val="left" w:pos="0"/>
          <w:tab w:val="left" w:pos="720"/>
          <w:tab w:val="right" w:pos="8505"/>
          <w:tab w:val="right" w:pos="9072"/>
        </w:tabs>
        <w:ind w:right="4"/>
        <w:jc w:val="both"/>
        <w:rPr>
          <w:rFonts w:ascii="Cambria" w:eastAsia="Cambria" w:hAnsi="Cambria" w:cs="Cambria"/>
          <w:color w:val="000000"/>
          <w:sz w:val="20"/>
          <w:szCs w:val="20"/>
          <w:lang w:val="fr-FR"/>
        </w:rPr>
      </w:pPr>
      <w:r w:rsidRPr="005B5D1D">
        <w:rPr>
          <w:rFonts w:ascii="Cambria" w:hAnsi="Cambria"/>
          <w:b/>
          <w:bCs/>
          <w:i/>
          <w:iCs/>
          <w:sz w:val="20"/>
          <w:szCs w:val="20"/>
          <w:lang w:val="fr-FR"/>
        </w:rPr>
        <w:t xml:space="preserve">19.26 Le SCRS devra explorer les avantages de l'installation de mini-enregistreurs de données afin de mieux comprendre les effets du temps de mouillage, des profondeurs de pêche et des caractéristiques environnementales à l'origine des captures accidentelles plus élevées de requins-taupes bleus, </w:t>
      </w:r>
      <w:hyperlink r:id="rId53" w:history="1">
        <w:r w:rsidRPr="005B5D1D">
          <w:rPr>
            <w:rStyle w:val="Hyperlink"/>
            <w:rFonts w:ascii="Cambria" w:hAnsi="Cambria"/>
            <w:b/>
            <w:bCs/>
            <w:i/>
            <w:iCs/>
            <w:sz w:val="20"/>
            <w:szCs w:val="20"/>
            <w:u w:val="none"/>
            <w:lang w:val="fr-FR"/>
          </w:rPr>
          <w:t>Rec. 25-08</w:t>
        </w:r>
      </w:hyperlink>
      <w:r w:rsidRPr="005B5D1D">
        <w:rPr>
          <w:rFonts w:ascii="Cambria" w:hAnsi="Cambria"/>
          <w:b/>
          <w:bCs/>
          <w:i/>
          <w:iCs/>
          <w:sz w:val="20"/>
          <w:szCs w:val="20"/>
          <w:lang w:val="fr-FR"/>
        </w:rPr>
        <w:t>,</w:t>
      </w:r>
      <w:r w:rsidRPr="005B5D1D">
        <w:rPr>
          <w:rFonts w:ascii="Cambria" w:hAnsi="Cambria"/>
          <w:b/>
          <w:bCs/>
          <w:i/>
          <w:iCs/>
          <w:color w:val="000000"/>
          <w:sz w:val="20"/>
          <w:szCs w:val="20"/>
          <w:lang w:val="fr-FR"/>
        </w:rPr>
        <w:t xml:space="preserve"> </w:t>
      </w:r>
      <w:r w:rsidRPr="005B5D1D">
        <w:rPr>
          <w:rFonts w:ascii="Cambria" w:hAnsi="Cambria"/>
          <w:b/>
          <w:bCs/>
          <w:i/>
          <w:iCs/>
          <w:sz w:val="20"/>
          <w:szCs w:val="20"/>
          <w:lang w:val="fr-FR"/>
        </w:rPr>
        <w:t>paragraphe</w:t>
      </w:r>
      <w:r w:rsidRPr="005B5D1D">
        <w:rPr>
          <w:rFonts w:ascii="Cambria" w:hAnsi="Cambria"/>
          <w:b/>
          <w:bCs/>
          <w:i/>
          <w:iCs/>
          <w:color w:val="000000"/>
          <w:sz w:val="20"/>
          <w:szCs w:val="20"/>
          <w:lang w:val="fr-FR"/>
        </w:rPr>
        <w:t xml:space="preserve"> 21</w:t>
      </w:r>
      <w:r w:rsidRPr="005B5D1D">
        <w:rPr>
          <w:rFonts w:ascii="Cambria" w:hAnsi="Cambria"/>
          <w:color w:val="000000"/>
          <w:sz w:val="20"/>
          <w:szCs w:val="20"/>
          <w:lang w:val="fr-FR"/>
        </w:rPr>
        <w:t xml:space="preserve"> </w:t>
      </w:r>
    </w:p>
    <w:p w14:paraId="443C74B2" w14:textId="77777777" w:rsidR="005B5D1D" w:rsidRPr="005B5D1D" w:rsidRDefault="005B5D1D" w:rsidP="005B5D1D">
      <w:pPr>
        <w:tabs>
          <w:tab w:val="left" w:pos="0"/>
          <w:tab w:val="left" w:pos="720"/>
          <w:tab w:val="right" w:pos="8505"/>
          <w:tab w:val="right" w:pos="9072"/>
        </w:tabs>
        <w:ind w:right="4"/>
        <w:jc w:val="both"/>
        <w:rPr>
          <w:rFonts w:ascii="Cambria" w:eastAsia="Cambria" w:hAnsi="Cambria" w:cs="Cambria"/>
          <w:b/>
          <w:i/>
          <w:iCs/>
          <w:color w:val="000000"/>
          <w:sz w:val="20"/>
          <w:szCs w:val="20"/>
          <w:lang w:val="fr-FR"/>
        </w:rPr>
      </w:pPr>
    </w:p>
    <w:p w14:paraId="5E55B3DE" w14:textId="77777777" w:rsidR="005B5D1D" w:rsidRPr="005B5D1D" w:rsidRDefault="005B5D1D" w:rsidP="005B5D1D">
      <w:pPr>
        <w:tabs>
          <w:tab w:val="left" w:pos="0"/>
          <w:tab w:val="left" w:pos="720"/>
          <w:tab w:val="right" w:pos="8505"/>
          <w:tab w:val="right" w:pos="9072"/>
        </w:tabs>
        <w:ind w:right="4"/>
        <w:jc w:val="both"/>
        <w:rPr>
          <w:rFonts w:ascii="Cambria" w:eastAsia="Cambria" w:hAnsi="Cambria" w:cs="Cambria"/>
          <w:b/>
          <w:i/>
          <w:iCs/>
          <w:color w:val="000000"/>
          <w:sz w:val="20"/>
          <w:szCs w:val="20"/>
          <w:lang w:val="fr-FR"/>
        </w:rPr>
      </w:pPr>
      <w:r w:rsidRPr="005B5D1D">
        <w:rPr>
          <w:rFonts w:ascii="Cambria" w:hAnsi="Cambria"/>
          <w:b/>
          <w:color w:val="000000"/>
          <w:sz w:val="20"/>
          <w:szCs w:val="20"/>
          <w:lang w:val="fr-FR"/>
        </w:rPr>
        <w:t>Contexte :</w:t>
      </w:r>
      <w:r w:rsidRPr="005B5D1D">
        <w:rPr>
          <w:rFonts w:ascii="Cambria" w:hAnsi="Cambria"/>
          <w:i/>
          <w:color w:val="000000"/>
          <w:sz w:val="20"/>
          <w:szCs w:val="20"/>
          <w:lang w:val="fr-FR"/>
        </w:rPr>
        <w:t xml:space="preserve"> Compte tenu du fait que des captures accessoires réalisées dans des points névralgiques pourraient se produire dans des zones et des périodes présentant des conditions océanographiques spécifiques, le SCRS devra poursuivre le développement d’un projet pilote pour explorer les avantages de l'installation de mini-enregistreurs de données sur la ligne mère et sur les avançons des palangriers qui participent au projet sur une base volontaire ciblant les espèces de l'ICCAT qui ont des interactions potentielles avec le requin-taupe bleu. Le SCRS devra fournir des orientations sur les caractéristiques de base, le nombre minimum et les positions d'installation des mini-enregistreurs de données afin de mieux comprendre les effets du temps de mouillage, des profondeurs de pêche et des caractéristiques environnementales à l'origine des captures accidentelles plus élevées de requins-taupes bleus. </w:t>
      </w:r>
    </w:p>
    <w:p w14:paraId="18E2385F" w14:textId="77777777" w:rsidR="005B5D1D" w:rsidRPr="005B5D1D" w:rsidRDefault="005B5D1D" w:rsidP="005B5D1D">
      <w:pPr>
        <w:tabs>
          <w:tab w:val="center" w:pos="4513"/>
          <w:tab w:val="left" w:pos="6804"/>
        </w:tabs>
        <w:jc w:val="both"/>
        <w:rPr>
          <w:rFonts w:ascii="Cambria" w:hAnsi="Cambria"/>
          <w:sz w:val="20"/>
          <w:szCs w:val="20"/>
          <w:lang w:val="fr-FR"/>
        </w:rPr>
      </w:pPr>
    </w:p>
    <w:p w14:paraId="39995D7E" w14:textId="77777777" w:rsidR="005B5D1D" w:rsidRPr="005B5D1D" w:rsidRDefault="005B5D1D" w:rsidP="005B5D1D">
      <w:pPr>
        <w:tabs>
          <w:tab w:val="center" w:pos="4513"/>
          <w:tab w:val="left" w:pos="6804"/>
        </w:tabs>
        <w:jc w:val="both"/>
        <w:rPr>
          <w:rFonts w:ascii="Cambria" w:hAnsi="Cambria"/>
          <w:sz w:val="20"/>
          <w:szCs w:val="20"/>
          <w:lang w:val="fr-FR"/>
        </w:rPr>
      </w:pPr>
      <w:r w:rsidRPr="005B5D1D">
        <w:rPr>
          <w:rFonts w:ascii="Cambria" w:hAnsi="Cambria"/>
          <w:sz w:val="20"/>
          <w:szCs w:val="20"/>
          <w:lang w:val="fr-FR"/>
        </w:rPr>
        <w:t xml:space="preserve">Il a été proposé d'étudier l'utilisation de minuteurs d’hameçons et de mini-enregistreurs de données (enregistreurs de temps et de profondeur et de température et de profondeur (TDR) comme ligne de recherche potentielle à long terme pouvant être intégrée aux activités du programme de recherche et de collecte de données sur les requins (SRDCP) pour les années à venir. L'utilisation des TDR a commencé en 2025 et s'est poursuivie en 2026.  Une première analyse préliminaire concernant l'utilisation de mini-enregistreurs de données à bord des palangriers pélagiques a été présentée au SCRS dans Coelho </w:t>
      </w:r>
      <w:r w:rsidRPr="005B5D1D">
        <w:rPr>
          <w:rFonts w:ascii="Cambria" w:hAnsi="Cambria"/>
          <w:i/>
          <w:iCs/>
          <w:sz w:val="20"/>
          <w:szCs w:val="20"/>
          <w:lang w:val="fr-FR"/>
        </w:rPr>
        <w:t>et al</w:t>
      </w:r>
      <w:r w:rsidRPr="005B5D1D">
        <w:rPr>
          <w:rFonts w:ascii="Cambria" w:hAnsi="Cambria"/>
          <w:sz w:val="20"/>
          <w:szCs w:val="20"/>
          <w:lang w:val="fr-FR"/>
        </w:rPr>
        <w:t xml:space="preserve">., (sous presse) (SCRS/2026/242). Au total, 93 mouillages ont été suivis, au cours desquels 528 TDR ont été déployés, avec seulement neuf cas de captures recensés (quatre requins peau bleue + cinq espadons). Les informations récupérées des TDR sont très précieuses, car elles fournissent des données environnementales ainsi que l'heure de la capture et le comportement du spécimen capturé. Cependant, comme cela a déjà été mentionné, il s'agit d'une étude à long terme, d'autant plus lorsqu'on considère une espèce comme le requin taupe bleue. Le SRDCP poursuivra cette étude au cours des prochaines années et commencera également à collaborer avec des programmes nationaux qui recourent eux aussi aux TDR. </w:t>
      </w:r>
    </w:p>
    <w:p w14:paraId="4BA48177" w14:textId="77777777" w:rsidR="005B5D1D" w:rsidRPr="005B5D1D" w:rsidRDefault="005B5D1D" w:rsidP="005B5D1D">
      <w:pPr>
        <w:tabs>
          <w:tab w:val="center" w:pos="4513"/>
          <w:tab w:val="left" w:pos="6804"/>
        </w:tabs>
        <w:jc w:val="both"/>
        <w:rPr>
          <w:rFonts w:ascii="Cambria" w:hAnsi="Cambria"/>
          <w:b/>
          <w:i/>
          <w:sz w:val="20"/>
          <w:szCs w:val="20"/>
          <w:lang w:val="fr-FR"/>
        </w:rPr>
      </w:pPr>
    </w:p>
    <w:p w14:paraId="01079225" w14:textId="77777777" w:rsidR="005B5D1D" w:rsidRPr="005B5D1D" w:rsidRDefault="005B5D1D" w:rsidP="005B5D1D">
      <w:pPr>
        <w:tabs>
          <w:tab w:val="center" w:pos="4513"/>
          <w:tab w:val="left" w:pos="6804"/>
        </w:tabs>
        <w:jc w:val="both"/>
        <w:rPr>
          <w:rFonts w:ascii="Cambria" w:hAnsi="Cambria"/>
          <w:bCs/>
          <w:i/>
          <w:iCs/>
          <w:sz w:val="20"/>
          <w:szCs w:val="20"/>
          <w:lang w:val="fr-FR"/>
        </w:rPr>
      </w:pPr>
      <w:r w:rsidRPr="005B5D1D">
        <w:rPr>
          <w:rFonts w:ascii="Cambria" w:hAnsi="Cambria"/>
          <w:b/>
          <w:i/>
          <w:sz w:val="20"/>
          <w:szCs w:val="20"/>
          <w:lang w:val="fr-FR"/>
        </w:rPr>
        <w:t xml:space="preserve">19.27 Le SCRS devra fournir à la Commission dès que de nouvelles informations seront disponibles, un avis actualisé sur les mesures d'atténuation visant à réduire davantage la mortalité du requin-taupe bleu, </w:t>
      </w:r>
      <w:hyperlink r:id="rId54" w:history="1">
        <w:r w:rsidRPr="005B5D1D">
          <w:rPr>
            <w:rStyle w:val="Hyperlink"/>
            <w:rFonts w:ascii="Cambria" w:hAnsi="Cambria"/>
            <w:b/>
            <w:i/>
            <w:sz w:val="20"/>
            <w:szCs w:val="20"/>
            <w:u w:val="none"/>
            <w:lang w:val="fr-FR"/>
          </w:rPr>
          <w:t>Rec. 25-08</w:t>
        </w:r>
      </w:hyperlink>
      <w:r w:rsidRPr="005B5D1D">
        <w:rPr>
          <w:rFonts w:ascii="Cambria" w:hAnsi="Cambria"/>
          <w:b/>
          <w:i/>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22a</w:t>
      </w:r>
    </w:p>
    <w:p w14:paraId="1A7E35BD" w14:textId="77777777" w:rsidR="005B5D1D" w:rsidRPr="005B5D1D" w:rsidRDefault="005B5D1D" w:rsidP="005B5D1D">
      <w:pPr>
        <w:tabs>
          <w:tab w:val="center" w:pos="4513"/>
          <w:tab w:val="left" w:pos="6804"/>
        </w:tabs>
        <w:jc w:val="both"/>
        <w:rPr>
          <w:rFonts w:ascii="Cambria" w:hAnsi="Cambria"/>
          <w:b/>
          <w:i/>
          <w:iCs/>
          <w:sz w:val="20"/>
          <w:szCs w:val="20"/>
          <w:lang w:val="fr-FR"/>
        </w:rPr>
      </w:pPr>
    </w:p>
    <w:p w14:paraId="76E05226" w14:textId="77777777" w:rsidR="005B5D1D" w:rsidRPr="007B779F" w:rsidRDefault="005B5D1D" w:rsidP="005B5D1D">
      <w:pPr>
        <w:jc w:val="both"/>
        <w:rPr>
          <w:rFonts w:ascii="Cambria" w:hAnsi="Cambria"/>
          <w:b/>
          <w:sz w:val="20"/>
          <w:szCs w:val="20"/>
        </w:rPr>
      </w:pPr>
      <w:r w:rsidRPr="007B779F">
        <w:rPr>
          <w:rFonts w:ascii="Cambria" w:hAnsi="Cambria"/>
          <w:b/>
          <w:sz w:val="20"/>
          <w:szCs w:val="20"/>
        </w:rPr>
        <w:t xml:space="preserve">Contexte : </w:t>
      </w:r>
    </w:p>
    <w:p w14:paraId="16BC73E1" w14:textId="77777777" w:rsidR="005B5D1D" w:rsidRPr="007B779F" w:rsidRDefault="005B5D1D" w:rsidP="005B5D1D">
      <w:pPr>
        <w:jc w:val="both"/>
        <w:rPr>
          <w:rFonts w:ascii="Cambria" w:hAnsi="Cambria"/>
          <w:b/>
          <w:sz w:val="20"/>
          <w:szCs w:val="20"/>
        </w:rPr>
      </w:pPr>
    </w:p>
    <w:p w14:paraId="56B6488B" w14:textId="77777777" w:rsidR="005B5D1D" w:rsidRPr="005B5D1D" w:rsidRDefault="005B5D1D" w:rsidP="00075A2E">
      <w:pPr>
        <w:pStyle w:val="ListParagraph"/>
        <w:widowControl w:val="0"/>
        <w:numPr>
          <w:ilvl w:val="0"/>
          <w:numId w:val="20"/>
        </w:numPr>
        <w:ind w:left="426" w:hanging="426"/>
        <w:jc w:val="both"/>
        <w:rPr>
          <w:rFonts w:ascii="Cambria" w:hAnsi="Cambria"/>
          <w:i/>
          <w:iCs/>
          <w:sz w:val="20"/>
          <w:szCs w:val="20"/>
          <w:lang w:val="fr-FR"/>
        </w:rPr>
      </w:pPr>
      <w:r w:rsidRPr="005B5D1D">
        <w:rPr>
          <w:rFonts w:ascii="Cambria" w:hAnsi="Cambria"/>
          <w:i/>
          <w:iCs/>
          <w:sz w:val="20"/>
          <w:szCs w:val="20"/>
          <w:lang w:val="fr-FR"/>
        </w:rPr>
        <w:t>Le SCRS devra fournir à la Commission dès que de nouvelles informations seront disponibles, un avis actualisé sur les mesures d'atténuation visant à réduire davantage la mortalité du requin-taupe bleu.</w:t>
      </w:r>
      <w:r w:rsidRPr="005B5D1D">
        <w:rPr>
          <w:rFonts w:ascii="Cambria" w:hAnsi="Cambria"/>
          <w:i/>
          <w:sz w:val="20"/>
          <w:szCs w:val="20"/>
          <w:lang w:val="fr-FR"/>
        </w:rPr>
        <w:t xml:space="preserve"> Les CPC appliquant le paragraphe 8 devront soumettre au SCRS des informations par pêcherie sur les mesures techniques et autres mesures de gestion qu'elles ont mises en œuvre afin de réduire la mortalité totale par pêche du requin-taupe bleu de l'Atlantique Sud, à l’exception des CPC qui ont déjà fourni cette information au Secrétariat de l’ICCAT. Le SCRS devra examiner ces informations et conseiller la Commission sur les outils et les approches qui ont été les plus efficaces pour réduire la mortalité par pêche, en vue de recommander des mesures spécifiques que la Commission pourrait envisager d’adopter.</w:t>
      </w:r>
    </w:p>
    <w:p w14:paraId="2A09D31D" w14:textId="77777777" w:rsidR="005B5D1D" w:rsidRPr="005B5D1D" w:rsidRDefault="005B5D1D" w:rsidP="005B5D1D">
      <w:pPr>
        <w:tabs>
          <w:tab w:val="left" w:pos="0"/>
          <w:tab w:val="left" w:pos="720"/>
          <w:tab w:val="right" w:pos="8505"/>
          <w:tab w:val="right" w:pos="9072"/>
        </w:tabs>
        <w:ind w:right="4"/>
        <w:jc w:val="both"/>
        <w:rPr>
          <w:rFonts w:ascii="Cambria" w:eastAsia="Cambria" w:hAnsi="Cambria" w:cs="Cambria"/>
          <w:b/>
          <w:iCs/>
          <w:color w:val="000000"/>
          <w:sz w:val="20"/>
          <w:szCs w:val="20"/>
          <w:lang w:val="fr-FR"/>
        </w:rPr>
      </w:pPr>
    </w:p>
    <w:p w14:paraId="55F4D879" w14:textId="77777777" w:rsidR="005B5D1D" w:rsidRPr="005B5D1D" w:rsidRDefault="005B5D1D" w:rsidP="005B5D1D">
      <w:pPr>
        <w:jc w:val="both"/>
        <w:rPr>
          <w:rFonts w:ascii="Cambria" w:eastAsia="Cambria" w:hAnsi="Cambria" w:cs="Cambria"/>
          <w:iCs/>
          <w:color w:val="000000"/>
          <w:sz w:val="20"/>
          <w:szCs w:val="20"/>
          <w:lang w:val="fr-FR"/>
        </w:rPr>
      </w:pPr>
      <w:r w:rsidRPr="005B5D1D">
        <w:rPr>
          <w:rFonts w:ascii="Cambria" w:hAnsi="Cambria"/>
          <w:iCs/>
          <w:color w:val="000000"/>
          <w:sz w:val="20"/>
          <w:szCs w:val="20"/>
          <w:lang w:val="fr-FR"/>
        </w:rPr>
        <w:t>Le Comité a noté qu'aucun nouveau document n'a été soumis au SCRS en 2026 en réponse à cette demande de la Commission.</w:t>
      </w:r>
    </w:p>
    <w:p w14:paraId="2D218B1A" w14:textId="77777777" w:rsidR="005B5D1D" w:rsidRPr="005B5D1D" w:rsidRDefault="005B5D1D" w:rsidP="005B5D1D">
      <w:pPr>
        <w:jc w:val="both"/>
        <w:rPr>
          <w:rFonts w:ascii="Cambria" w:eastAsia="Cambria" w:hAnsi="Cambria" w:cs="Cambria"/>
          <w:iCs/>
          <w:color w:val="000000"/>
          <w:sz w:val="20"/>
          <w:szCs w:val="20"/>
          <w:lang w:val="fr-FR"/>
        </w:rPr>
      </w:pPr>
    </w:p>
    <w:p w14:paraId="7AE2228F" w14:textId="77777777" w:rsidR="005B5D1D" w:rsidRPr="005B5D1D" w:rsidRDefault="005B5D1D" w:rsidP="005B5D1D">
      <w:pPr>
        <w:jc w:val="both"/>
        <w:rPr>
          <w:rFonts w:ascii="Cambria" w:eastAsia="Cambria" w:hAnsi="Cambria" w:cs="Cambria"/>
          <w:iCs/>
          <w:color w:val="000000"/>
          <w:sz w:val="20"/>
          <w:szCs w:val="20"/>
          <w:lang w:val="fr-FR"/>
        </w:rPr>
      </w:pPr>
      <w:r w:rsidRPr="005B5D1D">
        <w:rPr>
          <w:rFonts w:ascii="Cambria" w:hAnsi="Cambria"/>
          <w:iCs/>
          <w:color w:val="000000"/>
          <w:sz w:val="20"/>
          <w:szCs w:val="20"/>
          <w:lang w:val="fr-FR"/>
        </w:rPr>
        <w:t>Des documents contenant des informations sur l'utilisation et l'efficacité de différentes mesures d'atténuation ont été présentés au Comité ces dernières années. Ces informations sur les mesures d'atténuation ont été discutées à diverses occasions par le Groupe d'espèces sur les requins et par le Sous-</w:t>
      </w:r>
      <w:r w:rsidRPr="005B5D1D">
        <w:rPr>
          <w:rFonts w:ascii="Cambria" w:hAnsi="Cambria"/>
          <w:iCs/>
          <w:color w:val="000000"/>
          <w:sz w:val="20"/>
          <w:szCs w:val="20"/>
          <w:lang w:val="fr-FR"/>
        </w:rPr>
        <w:lastRenderedPageBreak/>
        <w:t>comité des écosystèmes et des prises accessoires. Cependant, il n'existe toujours pas de définition ni de recommandation sur les mesures les plus efficaces pour réduire la mortalité par pêche de cette espèce.</w:t>
      </w:r>
    </w:p>
    <w:p w14:paraId="5054B80B" w14:textId="77777777" w:rsidR="005B5D1D" w:rsidRPr="005B5D1D" w:rsidRDefault="005B5D1D" w:rsidP="005B5D1D">
      <w:pPr>
        <w:tabs>
          <w:tab w:val="center" w:pos="4513"/>
          <w:tab w:val="left" w:pos="6804"/>
        </w:tabs>
        <w:jc w:val="both"/>
        <w:rPr>
          <w:rFonts w:ascii="Cambria" w:hAnsi="Cambria"/>
          <w:b/>
          <w:i/>
          <w:sz w:val="20"/>
          <w:szCs w:val="20"/>
          <w:lang w:val="fr-FR"/>
        </w:rPr>
      </w:pPr>
    </w:p>
    <w:p w14:paraId="5D254DA5" w14:textId="77777777" w:rsidR="005B5D1D" w:rsidRPr="005B5D1D" w:rsidRDefault="005B5D1D" w:rsidP="005B5D1D">
      <w:pPr>
        <w:tabs>
          <w:tab w:val="center" w:pos="4513"/>
          <w:tab w:val="left" w:pos="6804"/>
        </w:tabs>
        <w:jc w:val="both"/>
        <w:rPr>
          <w:rFonts w:ascii="Cambria" w:hAnsi="Cambria"/>
          <w:b/>
          <w:i/>
          <w:iCs/>
          <w:sz w:val="20"/>
          <w:szCs w:val="20"/>
          <w:lang w:val="fr-FR"/>
        </w:rPr>
      </w:pPr>
      <w:r w:rsidRPr="005B5D1D">
        <w:rPr>
          <w:rFonts w:ascii="Cambria" w:hAnsi="Cambria"/>
          <w:b/>
          <w:i/>
          <w:sz w:val="20"/>
          <w:szCs w:val="20"/>
          <w:lang w:val="fr-FR"/>
        </w:rPr>
        <w:t>19.28</w:t>
      </w:r>
      <w:r w:rsidRPr="005B5D1D">
        <w:rPr>
          <w:rFonts w:ascii="Cambria" w:hAnsi="Cambria"/>
          <w:sz w:val="20"/>
          <w:szCs w:val="20"/>
          <w:lang w:val="fr-FR"/>
        </w:rPr>
        <w:t xml:space="preserve"> </w:t>
      </w:r>
      <w:r w:rsidRPr="005B5D1D">
        <w:rPr>
          <w:rFonts w:ascii="Cambria" w:hAnsi="Cambria"/>
          <w:b/>
          <w:i/>
          <w:sz w:val="20"/>
          <w:szCs w:val="20"/>
          <w:lang w:val="fr-FR"/>
        </w:rPr>
        <w:t xml:space="preserve">Le SCRS devra évaluer les avantages potentiels des limites de taille tant minimale que maximale pour la rétention de spécimens vivants, </w:t>
      </w:r>
      <w:hyperlink r:id="rId55" w:history="1">
        <w:r w:rsidRPr="005B5D1D">
          <w:rPr>
            <w:rStyle w:val="Hyperlink"/>
            <w:rFonts w:ascii="Cambria" w:hAnsi="Cambria"/>
            <w:b/>
            <w:i/>
            <w:sz w:val="20"/>
            <w:szCs w:val="20"/>
            <w:u w:val="none"/>
            <w:lang w:val="fr-FR"/>
          </w:rPr>
          <w:t>Rec. 25-08</w:t>
        </w:r>
      </w:hyperlink>
      <w:r w:rsidRPr="005B5D1D">
        <w:rPr>
          <w:rFonts w:ascii="Cambria" w:hAnsi="Cambria"/>
          <w:b/>
          <w:i/>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22b, </w:t>
      </w:r>
    </w:p>
    <w:p w14:paraId="7B209000" w14:textId="77777777" w:rsidR="005B5D1D" w:rsidRPr="005B5D1D" w:rsidRDefault="005B5D1D" w:rsidP="005B5D1D">
      <w:pPr>
        <w:tabs>
          <w:tab w:val="center" w:pos="4513"/>
          <w:tab w:val="left" w:pos="6804"/>
        </w:tabs>
        <w:jc w:val="both"/>
        <w:rPr>
          <w:rFonts w:ascii="Cambria" w:hAnsi="Cambria"/>
          <w:b/>
          <w:i/>
          <w:iCs/>
          <w:sz w:val="20"/>
          <w:szCs w:val="20"/>
          <w:lang w:val="fr-FR"/>
        </w:rPr>
      </w:pPr>
    </w:p>
    <w:p w14:paraId="2B4140C5" w14:textId="77777777" w:rsidR="005B5D1D" w:rsidRPr="005B5D1D" w:rsidRDefault="005B5D1D" w:rsidP="005B5D1D">
      <w:pPr>
        <w:jc w:val="both"/>
        <w:rPr>
          <w:rFonts w:ascii="Cambria" w:hAnsi="Cambria"/>
          <w:i/>
          <w:iCs/>
          <w:sz w:val="20"/>
          <w:szCs w:val="20"/>
          <w:lang w:val="fr-FR"/>
        </w:rPr>
      </w:pPr>
      <w:r w:rsidRPr="005B5D1D">
        <w:rPr>
          <w:rFonts w:ascii="Cambria" w:hAnsi="Cambria"/>
          <w:b/>
          <w:bCs/>
          <w:sz w:val="20"/>
          <w:szCs w:val="20"/>
          <w:lang w:val="fr-FR"/>
        </w:rPr>
        <w:t>Contexte </w:t>
      </w:r>
      <w:r w:rsidRPr="005B5D1D">
        <w:rPr>
          <w:rFonts w:ascii="Cambria" w:hAnsi="Cambria"/>
          <w:sz w:val="20"/>
          <w:szCs w:val="20"/>
          <w:lang w:val="fr-FR"/>
        </w:rPr>
        <w:t>:</w:t>
      </w:r>
    </w:p>
    <w:p w14:paraId="015E8748" w14:textId="77777777" w:rsidR="005B5D1D" w:rsidRPr="005B5D1D" w:rsidRDefault="005B5D1D" w:rsidP="005B5D1D">
      <w:pPr>
        <w:jc w:val="both"/>
        <w:rPr>
          <w:rFonts w:ascii="Cambria" w:hAnsi="Cambria"/>
          <w:i/>
          <w:iCs/>
          <w:sz w:val="20"/>
          <w:szCs w:val="20"/>
          <w:lang w:val="fr-FR"/>
        </w:rPr>
      </w:pPr>
    </w:p>
    <w:p w14:paraId="22789419" w14:textId="77777777" w:rsidR="005B5D1D" w:rsidRPr="005B5D1D" w:rsidRDefault="005B5D1D" w:rsidP="005B5D1D">
      <w:pPr>
        <w:ind w:left="426" w:hanging="426"/>
        <w:jc w:val="both"/>
        <w:rPr>
          <w:rFonts w:ascii="Cambria" w:hAnsi="Cambria"/>
          <w:i/>
          <w:iCs/>
          <w:sz w:val="20"/>
          <w:szCs w:val="20"/>
          <w:lang w:val="fr-FR"/>
        </w:rPr>
      </w:pPr>
      <w:r w:rsidRPr="005B5D1D">
        <w:rPr>
          <w:rFonts w:ascii="Cambria" w:hAnsi="Cambria"/>
          <w:i/>
          <w:iCs/>
          <w:sz w:val="20"/>
          <w:szCs w:val="20"/>
          <w:lang w:val="fr-FR"/>
        </w:rPr>
        <w:t xml:space="preserve">b) </w:t>
      </w:r>
      <w:r w:rsidRPr="005B5D1D">
        <w:rPr>
          <w:rFonts w:ascii="Cambria" w:hAnsi="Cambria"/>
          <w:i/>
          <w:iCs/>
          <w:sz w:val="20"/>
          <w:szCs w:val="20"/>
          <w:lang w:val="fr-FR"/>
        </w:rPr>
        <w:tab/>
        <w:t>En tenant compte de l'information sur les mesures techniques et autres mesures de gestion soumises par les CPC au sous-paragraphe (a) ci-dessus, le SCRS devra évaluer les avantages potentiels des limites de taille tant minimale que maximale pour la rétention de spécimens vivants (appliquées séparément ou en combinaison), en particulier les tailles  à maturité spécifiques au sexe basées sur les meilleures données scientifiques disponibles, particulièrement lorsqu'elles sont considérées en combinaison avec d'autres mesures de gestion, afin d’obtenir les réductions requises de mortalité.</w:t>
      </w:r>
    </w:p>
    <w:p w14:paraId="06D64CBE" w14:textId="77777777" w:rsidR="005B5D1D" w:rsidRPr="005B5D1D" w:rsidRDefault="005B5D1D" w:rsidP="005B5D1D">
      <w:pPr>
        <w:tabs>
          <w:tab w:val="left" w:pos="0"/>
          <w:tab w:val="left" w:pos="720"/>
          <w:tab w:val="right" w:pos="8505"/>
          <w:tab w:val="right" w:pos="9072"/>
        </w:tabs>
        <w:ind w:right="4"/>
        <w:jc w:val="both"/>
        <w:rPr>
          <w:rFonts w:ascii="Cambria" w:eastAsia="Cambria" w:hAnsi="Cambria" w:cs="Cambria"/>
          <w:b/>
          <w:iCs/>
          <w:color w:val="000000"/>
          <w:sz w:val="20"/>
          <w:szCs w:val="20"/>
          <w:lang w:val="fr-FR"/>
        </w:rPr>
      </w:pPr>
    </w:p>
    <w:p w14:paraId="664AC2D7" w14:textId="77777777" w:rsidR="005B5D1D" w:rsidRPr="005B5D1D" w:rsidRDefault="005B5D1D" w:rsidP="005B5D1D">
      <w:pPr>
        <w:jc w:val="both"/>
        <w:rPr>
          <w:rFonts w:ascii="Cambria" w:eastAsia="Cambria" w:hAnsi="Cambria" w:cs="Cambria"/>
          <w:iCs/>
          <w:color w:val="000000"/>
          <w:sz w:val="20"/>
          <w:szCs w:val="20"/>
          <w:lang w:val="fr-FR"/>
        </w:rPr>
      </w:pPr>
      <w:r w:rsidRPr="005B5D1D">
        <w:rPr>
          <w:rFonts w:ascii="Cambria" w:hAnsi="Cambria"/>
          <w:sz w:val="20"/>
          <w:szCs w:val="20"/>
          <w:lang w:val="fr-FR"/>
        </w:rPr>
        <w:t xml:space="preserve">Aucun document n'a été présenté au Comité en 2026 en réponse à la demande de la Commission figurant </w:t>
      </w:r>
      <w:r w:rsidRPr="005B5D1D">
        <w:rPr>
          <w:rFonts w:ascii="Cambria" w:hAnsi="Cambria"/>
          <w:iCs/>
          <w:color w:val="000000"/>
          <w:sz w:val="20"/>
          <w:szCs w:val="20"/>
          <w:lang w:val="fr-FR"/>
        </w:rPr>
        <w:t xml:space="preserve">au paragraphe 21 b) de la </w:t>
      </w:r>
      <w:hyperlink r:id="rId56" w:history="1">
        <w:r w:rsidRPr="005B5D1D">
          <w:rPr>
            <w:rStyle w:val="Hyperlink"/>
            <w:rFonts w:ascii="Cambria" w:hAnsi="Cambria"/>
            <w:sz w:val="20"/>
            <w:szCs w:val="20"/>
            <w:u w:val="none"/>
            <w:lang w:val="fr-FR"/>
          </w:rPr>
          <w:t>Rec.</w:t>
        </w:r>
      </w:hyperlink>
      <w:hyperlink r:id="rId57" w:history="1">
        <w:r w:rsidRPr="005B5D1D">
          <w:rPr>
            <w:rStyle w:val="Hyperlink"/>
            <w:rFonts w:ascii="Cambria" w:hAnsi="Cambria"/>
            <w:iCs/>
            <w:sz w:val="20"/>
            <w:szCs w:val="20"/>
            <w:u w:val="none"/>
            <w:lang w:val="fr-FR"/>
          </w:rPr>
          <w:t xml:space="preserve"> </w:t>
        </w:r>
        <w:r w:rsidRPr="005B5D1D">
          <w:rPr>
            <w:rStyle w:val="Hyperlink"/>
            <w:rFonts w:ascii="Cambria" w:hAnsi="Cambria"/>
            <w:sz w:val="20"/>
            <w:szCs w:val="20"/>
            <w:u w:val="none"/>
            <w:lang w:val="fr-FR"/>
          </w:rPr>
          <w:t>21-09</w:t>
        </w:r>
      </w:hyperlink>
      <w:r w:rsidRPr="005B5D1D">
        <w:rPr>
          <w:rFonts w:ascii="Cambria" w:hAnsi="Cambria"/>
          <w:iCs/>
          <w:color w:val="000000"/>
          <w:sz w:val="20"/>
          <w:szCs w:val="20"/>
          <w:lang w:val="fr-FR"/>
        </w:rPr>
        <w:t xml:space="preserve"> et au paragraphe 22 b) de la </w:t>
      </w:r>
      <w:hyperlink r:id="rId58" w:history="1">
        <w:r w:rsidRPr="005B5D1D">
          <w:rPr>
            <w:rStyle w:val="Hyperlink"/>
            <w:rFonts w:ascii="Cambria" w:hAnsi="Cambria"/>
            <w:iCs/>
            <w:sz w:val="20"/>
            <w:szCs w:val="20"/>
            <w:u w:val="none"/>
            <w:lang w:val="fr-FR"/>
          </w:rPr>
          <w:t>Rec.</w:t>
        </w:r>
      </w:hyperlink>
      <w:hyperlink r:id="rId59" w:history="1">
        <w:r w:rsidRPr="005B5D1D">
          <w:rPr>
            <w:rStyle w:val="Hyperlink"/>
            <w:rFonts w:ascii="Cambria" w:hAnsi="Cambria"/>
            <w:iCs/>
            <w:sz w:val="20"/>
            <w:szCs w:val="20"/>
            <w:u w:val="none"/>
            <w:lang w:val="fr-FR"/>
          </w:rPr>
          <w:t xml:space="preserve"> 25-08</w:t>
        </w:r>
      </w:hyperlink>
      <w:r w:rsidRPr="005B5D1D">
        <w:rPr>
          <w:rFonts w:ascii="Cambria" w:hAnsi="Cambria"/>
          <w:iCs/>
          <w:color w:val="000000"/>
          <w:sz w:val="20"/>
          <w:szCs w:val="20"/>
          <w:lang w:val="fr-FR"/>
        </w:rPr>
        <w:t>.</w:t>
      </w:r>
    </w:p>
    <w:p w14:paraId="5D21A1EF" w14:textId="77777777" w:rsidR="005B5D1D" w:rsidRPr="005B5D1D" w:rsidRDefault="005B5D1D" w:rsidP="005B5D1D">
      <w:pPr>
        <w:jc w:val="both"/>
        <w:rPr>
          <w:rFonts w:ascii="Cambria" w:hAnsi="Cambria"/>
          <w:sz w:val="20"/>
          <w:szCs w:val="20"/>
          <w:lang w:val="fr-FR"/>
        </w:rPr>
      </w:pPr>
    </w:p>
    <w:p w14:paraId="6E4E3EAA" w14:textId="77777777" w:rsidR="005B5D1D" w:rsidRPr="005B5D1D" w:rsidRDefault="005B5D1D" w:rsidP="005B5D1D">
      <w:pPr>
        <w:jc w:val="both"/>
        <w:rPr>
          <w:rFonts w:ascii="Cambria" w:eastAsia="Cambria" w:hAnsi="Cambria" w:cs="Cambria"/>
          <w:iCs/>
          <w:color w:val="000000"/>
          <w:sz w:val="20"/>
          <w:szCs w:val="20"/>
          <w:lang w:val="fr-FR"/>
        </w:rPr>
      </w:pPr>
      <w:r w:rsidRPr="005B5D1D">
        <w:rPr>
          <w:rFonts w:ascii="Cambria" w:hAnsi="Cambria"/>
          <w:sz w:val="20"/>
          <w:szCs w:val="20"/>
          <w:lang w:val="fr-FR"/>
        </w:rPr>
        <w:t>Sur la base des informations disponibles, le SCRS n'est pas parvenu à une conclusion sur la question de savoir si les restrictions de taille pour cette espèce sont des outils efficaces pour atteindre les réductions de mortalité requises.</w:t>
      </w:r>
    </w:p>
    <w:p w14:paraId="4AC6EEBA" w14:textId="77777777" w:rsidR="005B5D1D" w:rsidRPr="005B5D1D" w:rsidRDefault="005B5D1D" w:rsidP="005B5D1D">
      <w:pPr>
        <w:tabs>
          <w:tab w:val="center" w:pos="4513"/>
          <w:tab w:val="left" w:pos="6804"/>
        </w:tabs>
        <w:jc w:val="both"/>
        <w:rPr>
          <w:rFonts w:ascii="Cambria" w:hAnsi="Cambria"/>
          <w:b/>
          <w:i/>
          <w:sz w:val="20"/>
          <w:szCs w:val="20"/>
          <w:lang w:val="fr-FR"/>
        </w:rPr>
      </w:pPr>
    </w:p>
    <w:p w14:paraId="4CC12FDC" w14:textId="77777777" w:rsidR="005B5D1D" w:rsidRPr="005B5D1D" w:rsidRDefault="005B5D1D" w:rsidP="005B5D1D">
      <w:pPr>
        <w:tabs>
          <w:tab w:val="center" w:pos="4513"/>
          <w:tab w:val="left" w:pos="6804"/>
        </w:tabs>
        <w:jc w:val="both"/>
        <w:rPr>
          <w:rFonts w:ascii="Cambria" w:hAnsi="Cambria"/>
          <w:bCs/>
          <w:i/>
          <w:iCs/>
          <w:sz w:val="20"/>
          <w:szCs w:val="20"/>
          <w:lang w:val="fr-FR"/>
        </w:rPr>
      </w:pPr>
      <w:r w:rsidRPr="005B5D1D">
        <w:rPr>
          <w:rFonts w:ascii="Cambria" w:hAnsi="Cambria"/>
          <w:b/>
          <w:i/>
          <w:sz w:val="20"/>
          <w:szCs w:val="20"/>
          <w:lang w:val="fr-FR"/>
        </w:rPr>
        <w:t>19.29</w:t>
      </w:r>
      <w:r w:rsidRPr="005B5D1D">
        <w:rPr>
          <w:rFonts w:ascii="Cambria" w:hAnsi="Cambria"/>
          <w:sz w:val="20"/>
          <w:szCs w:val="20"/>
          <w:lang w:val="fr-FR"/>
        </w:rPr>
        <w:t xml:space="preserve"> </w:t>
      </w:r>
      <w:r w:rsidRPr="005B5D1D">
        <w:rPr>
          <w:rFonts w:ascii="Cambria" w:hAnsi="Cambria"/>
          <w:b/>
          <w:i/>
          <w:sz w:val="20"/>
          <w:szCs w:val="20"/>
          <w:lang w:val="fr-FR"/>
        </w:rPr>
        <w:t xml:space="preserve">Le SCRS devra donner un avis sur les mesures techniques les plus efficaces qui devraient être mises en œuvre pour réduire la mortalité par pêche du requin-taupe bleu, tout en fournissant également des informations et des avis sur les avantages et inconvénients pour les captures des espèces cibles par pêcherie, </w:t>
      </w:r>
      <w:hyperlink r:id="rId60" w:history="1">
        <w:r w:rsidRPr="005B5D1D">
          <w:rPr>
            <w:rStyle w:val="Hyperlink"/>
            <w:rFonts w:ascii="Cambria" w:hAnsi="Cambria"/>
            <w:b/>
            <w:i/>
            <w:sz w:val="20"/>
            <w:szCs w:val="20"/>
            <w:u w:val="none"/>
            <w:lang w:val="fr-FR"/>
          </w:rPr>
          <w:t>Rec. 25-08</w:t>
        </w:r>
      </w:hyperlink>
      <w:r w:rsidRPr="005B5D1D">
        <w:rPr>
          <w:rFonts w:ascii="Cambria" w:hAnsi="Cambria"/>
          <w:b/>
          <w:i/>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22c </w:t>
      </w:r>
    </w:p>
    <w:p w14:paraId="2A55E00B" w14:textId="77777777" w:rsidR="005B5D1D" w:rsidRPr="005B5D1D" w:rsidRDefault="005B5D1D" w:rsidP="005B5D1D">
      <w:pPr>
        <w:tabs>
          <w:tab w:val="center" w:pos="4513"/>
          <w:tab w:val="left" w:pos="6804"/>
        </w:tabs>
        <w:jc w:val="both"/>
        <w:rPr>
          <w:rFonts w:ascii="Cambria" w:hAnsi="Cambria"/>
          <w:b/>
          <w:i/>
          <w:iCs/>
          <w:sz w:val="20"/>
          <w:szCs w:val="20"/>
          <w:lang w:val="fr-FR"/>
        </w:rPr>
      </w:pPr>
    </w:p>
    <w:p w14:paraId="3B80C6A9" w14:textId="77777777" w:rsidR="005B5D1D" w:rsidRPr="005B5D1D" w:rsidRDefault="005B5D1D" w:rsidP="005B5D1D">
      <w:pPr>
        <w:jc w:val="both"/>
        <w:rPr>
          <w:rFonts w:ascii="Cambria" w:hAnsi="Cambria"/>
          <w:i/>
          <w:iCs/>
          <w:sz w:val="20"/>
          <w:szCs w:val="20"/>
          <w:lang w:val="fr-FR"/>
        </w:rPr>
      </w:pPr>
      <w:r w:rsidRPr="005B5D1D">
        <w:rPr>
          <w:rFonts w:ascii="Cambria" w:hAnsi="Cambria"/>
          <w:b/>
          <w:bCs/>
          <w:sz w:val="20"/>
          <w:szCs w:val="20"/>
          <w:lang w:val="fr-FR"/>
        </w:rPr>
        <w:t>Contexte</w:t>
      </w:r>
      <w:r w:rsidRPr="005B5D1D">
        <w:rPr>
          <w:rFonts w:ascii="Cambria" w:hAnsi="Cambria"/>
          <w:sz w:val="20"/>
          <w:szCs w:val="20"/>
          <w:lang w:val="fr-FR"/>
        </w:rPr>
        <w:t xml:space="preserve"> :</w:t>
      </w:r>
      <w:r w:rsidRPr="005B5D1D">
        <w:rPr>
          <w:rFonts w:ascii="Cambria" w:hAnsi="Cambria"/>
          <w:i/>
          <w:iCs/>
          <w:sz w:val="20"/>
          <w:szCs w:val="20"/>
          <w:lang w:val="fr-FR"/>
        </w:rPr>
        <w:t xml:space="preserve"> c) Le SCRS devra donner un avis à la Commission sur les mesures techniques les plus efficaces qui devraient être mises en œuvre pour réduire la mortalité par pêche du requin-taupe bleu, tout en fournissant également des informations et des avis sur les avantages et inconvénients pour les captures de l’espèce cible par pêcherie.</w:t>
      </w:r>
    </w:p>
    <w:p w14:paraId="565211DE" w14:textId="77777777" w:rsidR="005B5D1D" w:rsidRPr="005B5D1D" w:rsidRDefault="005B5D1D" w:rsidP="005B5D1D">
      <w:pPr>
        <w:jc w:val="both"/>
        <w:rPr>
          <w:rFonts w:ascii="Cambria" w:hAnsi="Cambria"/>
          <w:i/>
          <w:iCs/>
          <w:sz w:val="20"/>
          <w:szCs w:val="20"/>
          <w:lang w:val="fr-FR"/>
        </w:rPr>
      </w:pPr>
    </w:p>
    <w:p w14:paraId="25844EA3" w14:textId="77777777" w:rsidR="005B5D1D" w:rsidRPr="005B5D1D" w:rsidRDefault="005B5D1D" w:rsidP="005B5D1D">
      <w:pPr>
        <w:jc w:val="both"/>
        <w:rPr>
          <w:rFonts w:ascii="Cambria" w:hAnsi="Cambria"/>
          <w:sz w:val="20"/>
          <w:szCs w:val="20"/>
          <w:lang w:val="fr-FR"/>
        </w:rPr>
      </w:pPr>
      <w:r w:rsidRPr="005B5D1D">
        <w:rPr>
          <w:rFonts w:ascii="Cambria" w:hAnsi="Cambria"/>
          <w:sz w:val="20"/>
          <w:szCs w:val="20"/>
          <w:lang w:val="fr-FR"/>
        </w:rPr>
        <w:t>Aucun document n'a été présenté au SCRS en 2026 en réponse à la demande de la Commission. Au vu des informations disponibles, le SCRS n'est pas en mesure de se prononcer sur les mesures techniques efficaces permettant de réduire la mortalité par pêche du requin taupe bleue.</w:t>
      </w:r>
    </w:p>
    <w:p w14:paraId="5FC986A6" w14:textId="77777777" w:rsidR="005B5D1D" w:rsidRPr="005B5D1D" w:rsidRDefault="005B5D1D" w:rsidP="005B5D1D">
      <w:pPr>
        <w:jc w:val="both"/>
        <w:rPr>
          <w:rFonts w:ascii="Cambria" w:hAnsi="Cambria"/>
          <w:sz w:val="20"/>
          <w:szCs w:val="20"/>
          <w:lang w:val="fr-FR"/>
        </w:rPr>
      </w:pPr>
    </w:p>
    <w:p w14:paraId="513F7A6D" w14:textId="77777777" w:rsidR="005B5D1D" w:rsidRPr="005B5D1D" w:rsidRDefault="005B5D1D" w:rsidP="005B5D1D">
      <w:pPr>
        <w:jc w:val="both"/>
        <w:rPr>
          <w:rFonts w:ascii="Cambria" w:hAnsi="Cambria"/>
          <w:sz w:val="20"/>
          <w:szCs w:val="20"/>
          <w:lang w:val="fr-FR"/>
        </w:rPr>
      </w:pPr>
      <w:r w:rsidRPr="005B5D1D">
        <w:rPr>
          <w:rFonts w:ascii="Cambria" w:hAnsi="Cambria"/>
          <w:sz w:val="20"/>
          <w:szCs w:val="20"/>
          <w:lang w:val="fr-FR"/>
        </w:rPr>
        <w:t>Le Comité a pris connaissance des études pilotes en cours concernant les lignes de piégeage (Rec. 25-09 de l’ICCAT) et évaluera l'impact de cette modification de l’engin de pêche sur les espèces cibles et les prises accessoires, y compris les requins.</w:t>
      </w:r>
    </w:p>
    <w:p w14:paraId="0B488590" w14:textId="77777777" w:rsidR="005B5D1D" w:rsidRPr="005B5D1D" w:rsidRDefault="005B5D1D" w:rsidP="005B5D1D">
      <w:pPr>
        <w:tabs>
          <w:tab w:val="center" w:pos="4513"/>
          <w:tab w:val="left" w:pos="6804"/>
        </w:tabs>
        <w:jc w:val="both"/>
        <w:rPr>
          <w:rFonts w:ascii="Cambria" w:hAnsi="Cambria"/>
          <w:b/>
          <w:i/>
          <w:sz w:val="20"/>
          <w:szCs w:val="20"/>
          <w:lang w:val="fr-FR"/>
        </w:rPr>
      </w:pPr>
    </w:p>
    <w:p w14:paraId="7838903E" w14:textId="77777777" w:rsidR="005B5D1D" w:rsidRPr="005B5D1D" w:rsidRDefault="005B5D1D" w:rsidP="005B5D1D">
      <w:pPr>
        <w:tabs>
          <w:tab w:val="center" w:pos="4513"/>
          <w:tab w:val="left" w:pos="6804"/>
        </w:tabs>
        <w:jc w:val="both"/>
        <w:rPr>
          <w:rFonts w:ascii="Cambria" w:hAnsi="Cambria"/>
          <w:bCs/>
          <w:i/>
          <w:iCs/>
          <w:sz w:val="20"/>
          <w:szCs w:val="20"/>
          <w:lang w:val="fr-FR"/>
        </w:rPr>
      </w:pPr>
      <w:r w:rsidRPr="005B5D1D">
        <w:rPr>
          <w:rFonts w:ascii="Cambria" w:hAnsi="Cambria"/>
          <w:b/>
          <w:i/>
          <w:sz w:val="20"/>
          <w:szCs w:val="20"/>
          <w:lang w:val="fr-FR"/>
        </w:rPr>
        <w:t>19.30</w:t>
      </w:r>
      <w:r w:rsidRPr="005B5D1D">
        <w:rPr>
          <w:rFonts w:ascii="Cambria" w:hAnsi="Cambria"/>
          <w:sz w:val="20"/>
          <w:szCs w:val="20"/>
          <w:lang w:val="fr-FR"/>
        </w:rPr>
        <w:t xml:space="preserve"> </w:t>
      </w:r>
      <w:r w:rsidRPr="005B5D1D">
        <w:rPr>
          <w:rFonts w:ascii="Cambria" w:hAnsi="Cambria"/>
          <w:b/>
          <w:i/>
          <w:sz w:val="20"/>
          <w:szCs w:val="20"/>
          <w:lang w:val="fr-FR"/>
        </w:rPr>
        <w:t xml:space="preserve">Le SCRS devra réviser les débarquements et les rejets déclarés de petite taupe, </w:t>
      </w:r>
      <w:hyperlink r:id="rId61" w:history="1">
        <w:r w:rsidRPr="005B5D1D">
          <w:rPr>
            <w:rStyle w:val="Hyperlink"/>
            <w:rFonts w:ascii="Cambria" w:hAnsi="Cambria"/>
            <w:b/>
            <w:i/>
            <w:sz w:val="20"/>
            <w:szCs w:val="20"/>
            <w:u w:val="none"/>
            <w:lang w:val="fr-FR"/>
          </w:rPr>
          <w:t>Rec. 25-08</w:t>
        </w:r>
      </w:hyperlink>
      <w:r w:rsidRPr="005B5D1D">
        <w:rPr>
          <w:rFonts w:ascii="Cambria" w:hAnsi="Cambria"/>
          <w:b/>
          <w:i/>
          <w:sz w:val="20"/>
          <w:szCs w:val="20"/>
          <w:lang w:val="fr-FR"/>
        </w:rPr>
        <w:t xml:space="preserve">, </w:t>
      </w:r>
      <w:r w:rsidRPr="005B5D1D">
        <w:rPr>
          <w:rFonts w:ascii="Cambria" w:hAnsi="Cambria"/>
          <w:b/>
          <w:bCs/>
          <w:i/>
          <w:iCs/>
          <w:sz w:val="20"/>
          <w:szCs w:val="20"/>
          <w:lang w:val="fr-FR"/>
        </w:rPr>
        <w:t>paragraphe</w:t>
      </w:r>
      <w:r w:rsidRPr="005B5D1D">
        <w:rPr>
          <w:rFonts w:ascii="Cambria" w:hAnsi="Cambria"/>
          <w:b/>
          <w:i/>
          <w:sz w:val="20"/>
          <w:szCs w:val="20"/>
          <w:lang w:val="fr-FR"/>
        </w:rPr>
        <w:t xml:space="preserve"> 23 </w:t>
      </w:r>
    </w:p>
    <w:p w14:paraId="2D029DCD" w14:textId="77777777" w:rsidR="005B5D1D" w:rsidRPr="005B5D1D" w:rsidRDefault="005B5D1D" w:rsidP="005B5D1D">
      <w:pPr>
        <w:tabs>
          <w:tab w:val="center" w:pos="4513"/>
          <w:tab w:val="left" w:pos="6804"/>
        </w:tabs>
        <w:jc w:val="both"/>
        <w:rPr>
          <w:rFonts w:ascii="Cambria" w:hAnsi="Cambria"/>
          <w:b/>
          <w:i/>
          <w:iCs/>
          <w:sz w:val="20"/>
          <w:szCs w:val="20"/>
          <w:lang w:val="fr-FR"/>
        </w:rPr>
      </w:pPr>
    </w:p>
    <w:p w14:paraId="586C7DF0" w14:textId="77777777" w:rsidR="005B5D1D" w:rsidRPr="005B5D1D" w:rsidRDefault="005B5D1D" w:rsidP="005B5D1D">
      <w:pPr>
        <w:jc w:val="both"/>
        <w:rPr>
          <w:rFonts w:ascii="Cambria" w:hAnsi="Cambria"/>
          <w:i/>
          <w:iCs/>
          <w:sz w:val="20"/>
          <w:szCs w:val="20"/>
          <w:lang w:val="fr-FR"/>
        </w:rPr>
      </w:pPr>
      <w:r w:rsidRPr="005B5D1D">
        <w:rPr>
          <w:rFonts w:ascii="Cambria" w:hAnsi="Cambria"/>
          <w:b/>
          <w:sz w:val="20"/>
          <w:szCs w:val="20"/>
          <w:lang w:val="fr-FR"/>
        </w:rPr>
        <w:t>Contexte :</w:t>
      </w:r>
      <w:r w:rsidRPr="005B5D1D">
        <w:rPr>
          <w:rFonts w:ascii="Cambria" w:hAnsi="Cambria"/>
          <w:sz w:val="20"/>
          <w:szCs w:val="20"/>
          <w:lang w:val="fr-FR"/>
        </w:rPr>
        <w:t xml:space="preserve"> </w:t>
      </w:r>
      <w:r w:rsidRPr="005B5D1D">
        <w:rPr>
          <w:rFonts w:ascii="Cambria" w:hAnsi="Cambria"/>
          <w:i/>
          <w:sz w:val="20"/>
          <w:szCs w:val="20"/>
          <w:lang w:val="fr-FR"/>
        </w:rPr>
        <w:t>Le SCRS devra réviser les débarquements et les rejets déclarés de petite taupe afin d’identifier les éventuelles incohérences inattendues qui pourraient être le résultat d’erreurs d’identification entre les deux espèces de requin-taupe, aux fins de la formulation de l’avis de gestion.</w:t>
      </w:r>
    </w:p>
    <w:p w14:paraId="5528506E" w14:textId="77777777" w:rsidR="005B5D1D" w:rsidRPr="005B5D1D" w:rsidRDefault="005B5D1D" w:rsidP="005B5D1D">
      <w:pPr>
        <w:tabs>
          <w:tab w:val="left" w:pos="0"/>
          <w:tab w:val="left" w:pos="720"/>
          <w:tab w:val="right" w:pos="8505"/>
          <w:tab w:val="right" w:pos="9072"/>
        </w:tabs>
        <w:ind w:right="4"/>
        <w:jc w:val="both"/>
        <w:rPr>
          <w:rFonts w:ascii="Cambria" w:eastAsia="Cambria" w:hAnsi="Cambria" w:cs="Cambria"/>
          <w:b/>
          <w:iCs/>
          <w:color w:val="000000"/>
          <w:sz w:val="20"/>
          <w:szCs w:val="20"/>
          <w:lang w:val="fr-FR"/>
        </w:rPr>
      </w:pPr>
    </w:p>
    <w:p w14:paraId="06A2698D" w14:textId="77777777" w:rsidR="005B5D1D" w:rsidRPr="005B5D1D" w:rsidRDefault="005B5D1D" w:rsidP="005B5D1D">
      <w:pPr>
        <w:jc w:val="both"/>
        <w:rPr>
          <w:rFonts w:ascii="Cambria" w:hAnsi="Cambria"/>
          <w:sz w:val="20"/>
          <w:szCs w:val="20"/>
          <w:lang w:val="fr-FR"/>
        </w:rPr>
      </w:pPr>
      <w:r w:rsidRPr="005B5D1D">
        <w:rPr>
          <w:rFonts w:ascii="Cambria" w:hAnsi="Cambria"/>
          <w:iCs/>
          <w:color w:val="000000"/>
          <w:sz w:val="20"/>
          <w:szCs w:val="20"/>
          <w:lang w:val="fr-FR"/>
        </w:rPr>
        <w:t>Le Comité a examiné les captures nominales de petite taupe déclarées ces dernières années. En ce qui concerne l'éventuelle déclaration du requin-taupe bleu comme petite taupe, aucune incohérence liée à une éventuelle identification erronée de l'espèce n'a été constatée.</w:t>
      </w:r>
    </w:p>
    <w:p w14:paraId="1FB7F4AE" w14:textId="77777777" w:rsidR="005B5D1D" w:rsidRPr="005B5D1D" w:rsidRDefault="005B5D1D" w:rsidP="005B5D1D">
      <w:pPr>
        <w:tabs>
          <w:tab w:val="center" w:pos="4513"/>
          <w:tab w:val="left" w:pos="6804"/>
        </w:tabs>
        <w:jc w:val="both"/>
        <w:rPr>
          <w:rFonts w:ascii="Cambria" w:hAnsi="Cambria"/>
          <w:b/>
          <w:i/>
          <w:color w:val="000000"/>
          <w:sz w:val="20"/>
          <w:szCs w:val="20"/>
          <w:lang w:val="fr-FR"/>
        </w:rPr>
      </w:pPr>
    </w:p>
    <w:p w14:paraId="6F32825D" w14:textId="77777777" w:rsidR="005B5D1D" w:rsidRPr="005B5D1D" w:rsidRDefault="005B5D1D" w:rsidP="005B5D1D">
      <w:pPr>
        <w:tabs>
          <w:tab w:val="center" w:pos="4513"/>
          <w:tab w:val="left" w:pos="6804"/>
        </w:tabs>
        <w:jc w:val="both"/>
        <w:rPr>
          <w:rFonts w:ascii="Cambria" w:hAnsi="Cambria"/>
          <w:bCs/>
          <w:i/>
          <w:iCs/>
          <w:sz w:val="20"/>
          <w:szCs w:val="20"/>
          <w:lang w:val="fr-FR"/>
        </w:rPr>
      </w:pPr>
      <w:r w:rsidRPr="005B5D1D">
        <w:rPr>
          <w:rFonts w:ascii="Cambria" w:hAnsi="Cambria"/>
          <w:b/>
          <w:i/>
          <w:color w:val="000000"/>
          <w:sz w:val="20"/>
          <w:szCs w:val="20"/>
          <w:lang w:val="fr-FR"/>
        </w:rPr>
        <w:t xml:space="preserve">19.31 Le SCRS devra calculer le niveau de rétention du requin taupe bleue de l'Atlantique Nord, </w:t>
      </w:r>
      <w:hyperlink r:id="rId62" w:history="1">
        <w:r w:rsidRPr="005B5D1D">
          <w:rPr>
            <w:rStyle w:val="Hyperlink"/>
            <w:rFonts w:ascii="Cambria" w:hAnsi="Cambria"/>
            <w:b/>
            <w:i/>
            <w:sz w:val="20"/>
            <w:szCs w:val="20"/>
            <w:u w:val="none"/>
            <w:lang w:val="fr-FR"/>
          </w:rPr>
          <w:t>Rec. 21-09</w:t>
        </w:r>
      </w:hyperlink>
      <w:r w:rsidRPr="005B5D1D">
        <w:rPr>
          <w:rFonts w:ascii="Cambria" w:hAnsi="Cambria"/>
          <w:b/>
          <w:i/>
          <w:color w:val="000000"/>
          <w:sz w:val="20"/>
          <w:szCs w:val="20"/>
          <w:lang w:val="fr-FR"/>
        </w:rPr>
        <w:t xml:space="preserve">, paragraphe 5c </w:t>
      </w:r>
      <w:r w:rsidRPr="005B5D1D">
        <w:rPr>
          <w:rFonts w:ascii="Cambria" w:hAnsi="Cambria"/>
          <w:b/>
          <w:i/>
          <w:sz w:val="20"/>
          <w:szCs w:val="20"/>
          <w:lang w:val="fr-FR"/>
        </w:rPr>
        <w:t xml:space="preserve"> </w:t>
      </w:r>
    </w:p>
    <w:p w14:paraId="7FC00ABD" w14:textId="77777777" w:rsidR="005B5D1D" w:rsidRPr="005B5D1D" w:rsidRDefault="005B5D1D" w:rsidP="005B5D1D">
      <w:pPr>
        <w:rPr>
          <w:rFonts w:ascii="Cambria" w:hAnsi="Cambria"/>
          <w:b/>
          <w:bCs/>
          <w:i/>
          <w:iCs/>
          <w:color w:val="000000"/>
          <w:sz w:val="20"/>
          <w:szCs w:val="20"/>
          <w:lang w:val="fr-FR"/>
        </w:rPr>
      </w:pPr>
    </w:p>
    <w:p w14:paraId="0568F6AA" w14:textId="77777777" w:rsidR="005B5D1D" w:rsidRPr="005B5D1D" w:rsidRDefault="005B5D1D" w:rsidP="005B5D1D">
      <w:pPr>
        <w:rPr>
          <w:rFonts w:ascii="Cambria" w:hAnsi="Cambria"/>
          <w:i/>
          <w:iCs/>
          <w:color w:val="000000"/>
          <w:sz w:val="20"/>
          <w:szCs w:val="20"/>
          <w:lang w:val="fr-FR"/>
        </w:rPr>
      </w:pPr>
      <w:r w:rsidRPr="005B5D1D">
        <w:rPr>
          <w:rFonts w:ascii="Cambria" w:hAnsi="Cambria"/>
          <w:b/>
          <w:color w:val="000000"/>
          <w:sz w:val="20"/>
          <w:szCs w:val="20"/>
          <w:lang w:val="fr-FR"/>
        </w:rPr>
        <w:t xml:space="preserve">Contexte : </w:t>
      </w:r>
      <w:r w:rsidRPr="005B5D1D">
        <w:rPr>
          <w:rFonts w:ascii="Cambria" w:hAnsi="Cambria"/>
          <w:i/>
          <w:color w:val="000000"/>
          <w:sz w:val="20"/>
          <w:szCs w:val="20"/>
          <w:lang w:val="fr-FR"/>
        </w:rPr>
        <w:t xml:space="preserve">La rétention autorisée devra se faire selon le processus suivant : </w:t>
      </w:r>
    </w:p>
    <w:p w14:paraId="26CB90EE" w14:textId="77777777" w:rsidR="005B5D1D" w:rsidRPr="005B5D1D" w:rsidRDefault="005B5D1D" w:rsidP="005B5D1D">
      <w:pPr>
        <w:rPr>
          <w:rFonts w:ascii="Cambria" w:hAnsi="Cambria"/>
          <w:i/>
          <w:iCs/>
          <w:color w:val="000000"/>
          <w:sz w:val="20"/>
          <w:szCs w:val="20"/>
          <w:lang w:val="fr-FR"/>
        </w:rPr>
      </w:pPr>
    </w:p>
    <w:p w14:paraId="6A83C4A3" w14:textId="77777777" w:rsidR="005B5D1D" w:rsidRPr="005B5D1D" w:rsidRDefault="005B5D1D" w:rsidP="005B5D1D">
      <w:pPr>
        <w:contextualSpacing/>
        <w:jc w:val="both"/>
        <w:rPr>
          <w:rFonts w:ascii="Cambria" w:hAnsi="Cambria"/>
          <w:i/>
          <w:iCs/>
          <w:color w:val="000000"/>
          <w:sz w:val="20"/>
          <w:szCs w:val="20"/>
          <w:lang w:val="fr-FR"/>
        </w:rPr>
      </w:pPr>
      <w:r w:rsidRPr="005B5D1D">
        <w:rPr>
          <w:rFonts w:ascii="Cambria" w:hAnsi="Cambria"/>
          <w:i/>
          <w:color w:val="000000"/>
          <w:sz w:val="20"/>
          <w:szCs w:val="20"/>
          <w:lang w:val="fr-FR"/>
        </w:rPr>
        <w:t xml:space="preserve">c) À partir de 2023 et chaque année par la suite, le SCRS utilisera l'annexe 1 afin de calculer un niveau possible de rétention, y compris les tolérances de rétention individuelles des CPC éligibles, autorisé l'année suivante, et fournira les résultats à la Commission. </w:t>
      </w:r>
    </w:p>
    <w:p w14:paraId="5C1B9AAC" w14:textId="77777777" w:rsidR="005B5D1D" w:rsidRPr="005B5D1D" w:rsidRDefault="005B5D1D" w:rsidP="005B5D1D">
      <w:pPr>
        <w:pStyle w:val="ListParagraph"/>
        <w:ind w:hanging="428"/>
        <w:jc w:val="both"/>
        <w:rPr>
          <w:rFonts w:ascii="Cambria" w:hAnsi="Cambria"/>
          <w:color w:val="000000"/>
          <w:sz w:val="20"/>
          <w:szCs w:val="20"/>
          <w:lang w:val="fr-FR"/>
        </w:rPr>
      </w:pPr>
    </w:p>
    <w:p w14:paraId="2A09A32F" w14:textId="77777777" w:rsidR="005B5D1D" w:rsidRPr="005B5D1D" w:rsidRDefault="005B5D1D" w:rsidP="005B5D1D">
      <w:pPr>
        <w:jc w:val="both"/>
        <w:rPr>
          <w:rFonts w:ascii="Cambria" w:hAnsi="Cambria"/>
          <w:bCs/>
          <w:sz w:val="20"/>
          <w:szCs w:val="20"/>
          <w:lang w:val="fr-FR"/>
        </w:rPr>
      </w:pPr>
      <w:r w:rsidRPr="005B5D1D">
        <w:rPr>
          <w:rFonts w:ascii="Cambria" w:hAnsi="Cambria"/>
          <w:sz w:val="20"/>
          <w:szCs w:val="20"/>
          <w:lang w:val="fr-FR"/>
        </w:rPr>
        <w:t xml:space="preserve">Le Comité a examiné toutes les soumissions de données pour le requin taupe bleue de l’Atlantique Nord au titre de 2025. Le tableau ci-dessous présente les données déclarées en 2025 sur les débarquements, les rejets morts et les remises à l’eau de spécimens vivants. Les valeurs surlignées en bleu sont celles que le SCRS a jugé nécessaire d'estimer sur la base des captures déclarées au cours des trois années précédentes. </w:t>
      </w:r>
    </w:p>
    <w:p w14:paraId="4EC60EBA" w14:textId="77777777" w:rsidR="005B5D1D" w:rsidRPr="005B5D1D" w:rsidRDefault="005B5D1D" w:rsidP="005B5D1D">
      <w:pPr>
        <w:jc w:val="both"/>
        <w:rPr>
          <w:rFonts w:ascii="Cambria" w:hAnsi="Cambria"/>
          <w:bCs/>
          <w:sz w:val="20"/>
          <w:szCs w:val="20"/>
          <w:lang w:val="fr-FR"/>
        </w:rPr>
      </w:pPr>
    </w:p>
    <w:tbl>
      <w:tblPr>
        <w:tblW w:w="9281" w:type="dxa"/>
        <w:tblLook w:val="04A0" w:firstRow="1" w:lastRow="0" w:firstColumn="1" w:lastColumn="0" w:noHBand="0" w:noVBand="1"/>
      </w:tblPr>
      <w:tblGrid>
        <w:gridCol w:w="2080"/>
        <w:gridCol w:w="811"/>
        <w:gridCol w:w="795"/>
        <w:gridCol w:w="795"/>
        <w:gridCol w:w="890"/>
        <w:gridCol w:w="811"/>
        <w:gridCol w:w="811"/>
        <w:gridCol w:w="811"/>
        <w:gridCol w:w="811"/>
        <w:gridCol w:w="811"/>
      </w:tblGrid>
      <w:tr w:rsidR="005B5D1D" w:rsidRPr="00A33D23" w14:paraId="6401A51A" w14:textId="77777777" w:rsidTr="007C17C6">
        <w:trPr>
          <w:trHeight w:val="395"/>
        </w:trPr>
        <w:tc>
          <w:tcPr>
            <w:tcW w:w="2080" w:type="dxa"/>
            <w:tcBorders>
              <w:top w:val="single" w:sz="8" w:space="0" w:color="auto"/>
              <w:left w:val="single" w:sz="8" w:space="0" w:color="auto"/>
              <w:bottom w:val="nil"/>
              <w:right w:val="nil"/>
            </w:tcBorders>
            <w:shd w:val="clear" w:color="000000" w:fill="D9D9D9"/>
            <w:noWrap/>
            <w:vAlign w:val="center"/>
            <w:hideMark/>
          </w:tcPr>
          <w:p w14:paraId="1F2FC871" w14:textId="77777777" w:rsidR="005B5D1D" w:rsidRPr="005B5D1D" w:rsidRDefault="005B5D1D" w:rsidP="007C17C6">
            <w:pPr>
              <w:rPr>
                <w:rFonts w:ascii="Cambria" w:hAnsi="Cambria"/>
                <w:color w:val="000000"/>
                <w:sz w:val="20"/>
                <w:szCs w:val="20"/>
                <w:lang w:val="fr-FR"/>
              </w:rPr>
            </w:pPr>
            <w:r w:rsidRPr="005B5D1D">
              <w:rPr>
                <w:rFonts w:ascii="Cambria" w:hAnsi="Cambria"/>
                <w:color w:val="000000"/>
                <w:sz w:val="20"/>
                <w:szCs w:val="20"/>
                <w:lang w:val="fr-FR"/>
              </w:rPr>
              <w:t> </w:t>
            </w:r>
          </w:p>
        </w:tc>
        <w:tc>
          <w:tcPr>
            <w:tcW w:w="2401" w:type="dxa"/>
            <w:gridSpan w:val="3"/>
            <w:tcBorders>
              <w:top w:val="single" w:sz="8" w:space="0" w:color="auto"/>
              <w:left w:val="single" w:sz="8" w:space="0" w:color="auto"/>
              <w:bottom w:val="nil"/>
              <w:right w:val="single" w:sz="8" w:space="0" w:color="000000"/>
            </w:tcBorders>
            <w:shd w:val="clear" w:color="000000" w:fill="D9D9D9"/>
            <w:noWrap/>
            <w:vAlign w:val="center"/>
            <w:hideMark/>
          </w:tcPr>
          <w:p w14:paraId="07296CD9" w14:textId="77777777" w:rsidR="005B5D1D" w:rsidRPr="007B779F" w:rsidRDefault="005B5D1D" w:rsidP="007C17C6">
            <w:pPr>
              <w:jc w:val="center"/>
              <w:rPr>
                <w:rFonts w:ascii="Cambria" w:hAnsi="Cambria"/>
                <w:b/>
                <w:bCs/>
                <w:i/>
                <w:iCs/>
                <w:color w:val="000000"/>
                <w:sz w:val="20"/>
                <w:szCs w:val="20"/>
              </w:rPr>
            </w:pPr>
            <w:r w:rsidRPr="007B779F">
              <w:rPr>
                <w:rFonts w:ascii="Cambria" w:hAnsi="Cambria"/>
                <w:b/>
                <w:i/>
                <w:iCs/>
                <w:color w:val="000000"/>
                <w:sz w:val="20"/>
                <w:szCs w:val="20"/>
              </w:rPr>
              <w:t>Débarquements</w:t>
            </w:r>
          </w:p>
        </w:tc>
        <w:tc>
          <w:tcPr>
            <w:tcW w:w="2400" w:type="dxa"/>
            <w:gridSpan w:val="3"/>
            <w:tcBorders>
              <w:top w:val="single" w:sz="8" w:space="0" w:color="auto"/>
              <w:left w:val="nil"/>
              <w:bottom w:val="nil"/>
              <w:right w:val="single" w:sz="8" w:space="0" w:color="000000"/>
            </w:tcBorders>
            <w:shd w:val="clear" w:color="000000" w:fill="D9D9D9"/>
            <w:noWrap/>
            <w:vAlign w:val="center"/>
            <w:hideMark/>
          </w:tcPr>
          <w:p w14:paraId="5B41737B" w14:textId="77777777" w:rsidR="005B5D1D" w:rsidRPr="007B779F" w:rsidRDefault="005B5D1D" w:rsidP="007C17C6">
            <w:pPr>
              <w:jc w:val="center"/>
              <w:rPr>
                <w:rFonts w:ascii="Cambria" w:hAnsi="Cambria"/>
                <w:b/>
                <w:bCs/>
                <w:i/>
                <w:iCs/>
                <w:color w:val="000000"/>
                <w:sz w:val="20"/>
                <w:szCs w:val="20"/>
              </w:rPr>
            </w:pPr>
            <w:r w:rsidRPr="007B779F">
              <w:rPr>
                <w:rFonts w:ascii="Cambria" w:hAnsi="Cambria"/>
                <w:b/>
                <w:i/>
                <w:iCs/>
                <w:color w:val="000000"/>
                <w:sz w:val="20"/>
                <w:szCs w:val="20"/>
              </w:rPr>
              <w:t>Rejets morts</w:t>
            </w:r>
          </w:p>
        </w:tc>
        <w:tc>
          <w:tcPr>
            <w:tcW w:w="2400" w:type="dxa"/>
            <w:gridSpan w:val="3"/>
            <w:tcBorders>
              <w:top w:val="single" w:sz="8" w:space="0" w:color="auto"/>
              <w:left w:val="nil"/>
              <w:bottom w:val="nil"/>
              <w:right w:val="single" w:sz="8" w:space="0" w:color="000000"/>
            </w:tcBorders>
            <w:shd w:val="clear" w:color="000000" w:fill="D9D9D9"/>
            <w:noWrap/>
            <w:vAlign w:val="center"/>
            <w:hideMark/>
          </w:tcPr>
          <w:p w14:paraId="78F82DCA" w14:textId="77777777" w:rsidR="005B5D1D" w:rsidRPr="005B5D1D" w:rsidRDefault="005B5D1D" w:rsidP="007C17C6">
            <w:pPr>
              <w:jc w:val="center"/>
              <w:rPr>
                <w:rFonts w:ascii="Cambria" w:hAnsi="Cambria"/>
                <w:b/>
                <w:bCs/>
                <w:i/>
                <w:iCs/>
                <w:color w:val="000000"/>
                <w:sz w:val="20"/>
                <w:szCs w:val="20"/>
                <w:lang w:val="fr-FR"/>
              </w:rPr>
            </w:pPr>
            <w:r w:rsidRPr="005B5D1D">
              <w:rPr>
                <w:rFonts w:ascii="Cambria" w:hAnsi="Cambria"/>
                <w:b/>
                <w:i/>
                <w:iCs/>
                <w:color w:val="000000"/>
                <w:sz w:val="20"/>
                <w:szCs w:val="20"/>
                <w:lang w:val="fr-FR"/>
              </w:rPr>
              <w:t>Remise à l'eau de spécimens vivants</w:t>
            </w:r>
          </w:p>
        </w:tc>
      </w:tr>
      <w:tr w:rsidR="005B5D1D" w:rsidRPr="007B779F" w14:paraId="5E9195A5" w14:textId="77777777" w:rsidTr="007C17C6">
        <w:trPr>
          <w:trHeight w:val="395"/>
        </w:trPr>
        <w:tc>
          <w:tcPr>
            <w:tcW w:w="2080" w:type="dxa"/>
            <w:tcBorders>
              <w:top w:val="single" w:sz="4" w:space="0" w:color="auto"/>
              <w:left w:val="single" w:sz="8" w:space="0" w:color="auto"/>
              <w:bottom w:val="single" w:sz="8" w:space="0" w:color="auto"/>
              <w:right w:val="nil"/>
            </w:tcBorders>
            <w:shd w:val="clear" w:color="000000" w:fill="D9D9D9"/>
            <w:noWrap/>
            <w:vAlign w:val="center"/>
            <w:hideMark/>
          </w:tcPr>
          <w:p w14:paraId="2E27C710" w14:textId="77777777" w:rsidR="005B5D1D" w:rsidRPr="007B779F" w:rsidRDefault="005B5D1D" w:rsidP="007C17C6">
            <w:pPr>
              <w:rPr>
                <w:rFonts w:ascii="Cambria" w:hAnsi="Cambria"/>
                <w:b/>
                <w:bCs/>
                <w:i/>
                <w:iCs/>
                <w:color w:val="000000"/>
                <w:sz w:val="20"/>
                <w:szCs w:val="20"/>
              </w:rPr>
            </w:pPr>
            <w:r w:rsidRPr="007B779F">
              <w:rPr>
                <w:rFonts w:ascii="Cambria" w:hAnsi="Cambria"/>
                <w:b/>
                <w:i/>
                <w:iCs/>
                <w:color w:val="000000"/>
                <w:sz w:val="20"/>
                <w:szCs w:val="20"/>
              </w:rPr>
              <w:t>Nom du pavillon</w:t>
            </w:r>
          </w:p>
        </w:tc>
        <w:tc>
          <w:tcPr>
            <w:tcW w:w="811" w:type="dxa"/>
            <w:tcBorders>
              <w:top w:val="single" w:sz="4" w:space="0" w:color="auto"/>
              <w:left w:val="single" w:sz="8" w:space="0" w:color="auto"/>
              <w:bottom w:val="single" w:sz="8" w:space="0" w:color="auto"/>
              <w:right w:val="single" w:sz="4" w:space="0" w:color="auto"/>
            </w:tcBorders>
            <w:shd w:val="clear" w:color="000000" w:fill="D9D9D9"/>
            <w:noWrap/>
            <w:vAlign w:val="center"/>
            <w:hideMark/>
          </w:tcPr>
          <w:p w14:paraId="470C8AE0" w14:textId="77777777" w:rsidR="005B5D1D" w:rsidRPr="007B779F" w:rsidRDefault="005B5D1D" w:rsidP="007C17C6">
            <w:pPr>
              <w:jc w:val="center"/>
              <w:rPr>
                <w:rFonts w:ascii="Cambria" w:hAnsi="Cambria"/>
                <w:b/>
                <w:bCs/>
                <w:i/>
                <w:iCs/>
                <w:color w:val="000000"/>
                <w:sz w:val="20"/>
                <w:szCs w:val="20"/>
              </w:rPr>
            </w:pPr>
            <w:r w:rsidRPr="007B779F">
              <w:rPr>
                <w:rFonts w:ascii="Cambria" w:hAnsi="Cambria"/>
                <w:b/>
                <w:i/>
                <w:iCs/>
                <w:color w:val="000000"/>
                <w:sz w:val="20"/>
                <w:szCs w:val="20"/>
              </w:rPr>
              <w:t>2023</w:t>
            </w:r>
          </w:p>
        </w:tc>
        <w:tc>
          <w:tcPr>
            <w:tcW w:w="795" w:type="dxa"/>
            <w:tcBorders>
              <w:top w:val="single" w:sz="4" w:space="0" w:color="auto"/>
              <w:left w:val="nil"/>
              <w:bottom w:val="single" w:sz="8" w:space="0" w:color="auto"/>
              <w:right w:val="single" w:sz="4" w:space="0" w:color="auto"/>
            </w:tcBorders>
            <w:shd w:val="clear" w:color="000000" w:fill="D9D9D9"/>
            <w:noWrap/>
            <w:vAlign w:val="center"/>
            <w:hideMark/>
          </w:tcPr>
          <w:p w14:paraId="473899F4" w14:textId="77777777" w:rsidR="005B5D1D" w:rsidRPr="007B779F" w:rsidRDefault="005B5D1D" w:rsidP="007C17C6">
            <w:pPr>
              <w:jc w:val="center"/>
              <w:rPr>
                <w:rFonts w:ascii="Cambria" w:hAnsi="Cambria"/>
                <w:b/>
                <w:bCs/>
                <w:i/>
                <w:iCs/>
                <w:color w:val="000000"/>
                <w:sz w:val="20"/>
                <w:szCs w:val="20"/>
              </w:rPr>
            </w:pPr>
            <w:r w:rsidRPr="007B779F">
              <w:rPr>
                <w:rFonts w:ascii="Cambria" w:hAnsi="Cambria"/>
                <w:b/>
                <w:i/>
                <w:iCs/>
                <w:color w:val="000000"/>
                <w:sz w:val="20"/>
                <w:szCs w:val="20"/>
              </w:rPr>
              <w:t>2024</w:t>
            </w:r>
          </w:p>
        </w:tc>
        <w:tc>
          <w:tcPr>
            <w:tcW w:w="795" w:type="dxa"/>
            <w:tcBorders>
              <w:top w:val="single" w:sz="4" w:space="0" w:color="auto"/>
              <w:left w:val="nil"/>
              <w:bottom w:val="single" w:sz="8" w:space="0" w:color="auto"/>
              <w:right w:val="single" w:sz="8" w:space="0" w:color="auto"/>
            </w:tcBorders>
            <w:shd w:val="clear" w:color="000000" w:fill="D9D9D9"/>
            <w:noWrap/>
            <w:vAlign w:val="center"/>
            <w:hideMark/>
          </w:tcPr>
          <w:p w14:paraId="6176F2AA" w14:textId="77777777" w:rsidR="005B5D1D" w:rsidRPr="007B779F" w:rsidRDefault="005B5D1D" w:rsidP="007C17C6">
            <w:pPr>
              <w:jc w:val="center"/>
              <w:rPr>
                <w:rFonts w:ascii="Cambria" w:hAnsi="Cambria"/>
                <w:b/>
                <w:bCs/>
                <w:i/>
                <w:iCs/>
                <w:color w:val="000000"/>
                <w:sz w:val="20"/>
                <w:szCs w:val="20"/>
              </w:rPr>
            </w:pPr>
            <w:r w:rsidRPr="007B779F">
              <w:rPr>
                <w:rFonts w:ascii="Cambria" w:hAnsi="Cambria"/>
                <w:b/>
                <w:i/>
                <w:iCs/>
                <w:color w:val="000000"/>
                <w:sz w:val="20"/>
                <w:szCs w:val="20"/>
              </w:rPr>
              <w:t>2025</w:t>
            </w:r>
          </w:p>
        </w:tc>
        <w:tc>
          <w:tcPr>
            <w:tcW w:w="890" w:type="dxa"/>
            <w:tcBorders>
              <w:top w:val="single" w:sz="4" w:space="0" w:color="auto"/>
              <w:left w:val="nil"/>
              <w:bottom w:val="single" w:sz="8" w:space="0" w:color="auto"/>
              <w:right w:val="single" w:sz="4" w:space="0" w:color="auto"/>
            </w:tcBorders>
            <w:shd w:val="clear" w:color="000000" w:fill="D9D9D9"/>
            <w:noWrap/>
            <w:vAlign w:val="center"/>
            <w:hideMark/>
          </w:tcPr>
          <w:p w14:paraId="2B485979" w14:textId="77777777" w:rsidR="005B5D1D" w:rsidRPr="007B779F" w:rsidRDefault="005B5D1D" w:rsidP="007C17C6">
            <w:pPr>
              <w:jc w:val="center"/>
              <w:rPr>
                <w:rFonts w:ascii="Cambria" w:hAnsi="Cambria"/>
                <w:b/>
                <w:bCs/>
                <w:i/>
                <w:iCs/>
                <w:color w:val="000000"/>
                <w:sz w:val="20"/>
                <w:szCs w:val="20"/>
              </w:rPr>
            </w:pPr>
            <w:r w:rsidRPr="007B779F">
              <w:rPr>
                <w:rFonts w:ascii="Cambria" w:hAnsi="Cambria"/>
                <w:b/>
                <w:i/>
                <w:iCs/>
                <w:color w:val="000000"/>
                <w:sz w:val="20"/>
                <w:szCs w:val="20"/>
              </w:rPr>
              <w:t>2023</w:t>
            </w:r>
          </w:p>
        </w:tc>
        <w:tc>
          <w:tcPr>
            <w:tcW w:w="755" w:type="dxa"/>
            <w:tcBorders>
              <w:top w:val="single" w:sz="4" w:space="0" w:color="auto"/>
              <w:left w:val="nil"/>
              <w:bottom w:val="single" w:sz="8" w:space="0" w:color="auto"/>
              <w:right w:val="single" w:sz="4" w:space="0" w:color="auto"/>
            </w:tcBorders>
            <w:shd w:val="clear" w:color="000000" w:fill="D9D9D9"/>
            <w:noWrap/>
            <w:vAlign w:val="center"/>
            <w:hideMark/>
          </w:tcPr>
          <w:p w14:paraId="119D3826" w14:textId="77777777" w:rsidR="005B5D1D" w:rsidRPr="007B779F" w:rsidRDefault="005B5D1D" w:rsidP="007C17C6">
            <w:pPr>
              <w:jc w:val="center"/>
              <w:rPr>
                <w:rFonts w:ascii="Cambria" w:hAnsi="Cambria"/>
                <w:b/>
                <w:bCs/>
                <w:i/>
                <w:iCs/>
                <w:color w:val="000000"/>
                <w:sz w:val="20"/>
                <w:szCs w:val="20"/>
              </w:rPr>
            </w:pPr>
            <w:r w:rsidRPr="007B779F">
              <w:rPr>
                <w:rFonts w:ascii="Cambria" w:hAnsi="Cambria"/>
                <w:b/>
                <w:i/>
                <w:iCs/>
                <w:color w:val="000000"/>
                <w:sz w:val="20"/>
                <w:szCs w:val="20"/>
              </w:rPr>
              <w:t>2024</w:t>
            </w:r>
          </w:p>
        </w:tc>
        <w:tc>
          <w:tcPr>
            <w:tcW w:w="755" w:type="dxa"/>
            <w:tcBorders>
              <w:top w:val="single" w:sz="4" w:space="0" w:color="auto"/>
              <w:left w:val="nil"/>
              <w:bottom w:val="single" w:sz="8" w:space="0" w:color="auto"/>
              <w:right w:val="single" w:sz="8" w:space="0" w:color="auto"/>
            </w:tcBorders>
            <w:shd w:val="clear" w:color="000000" w:fill="D9D9D9"/>
            <w:noWrap/>
            <w:vAlign w:val="center"/>
            <w:hideMark/>
          </w:tcPr>
          <w:p w14:paraId="577FBE54" w14:textId="77777777" w:rsidR="005B5D1D" w:rsidRPr="007B779F" w:rsidRDefault="005B5D1D" w:rsidP="007C17C6">
            <w:pPr>
              <w:jc w:val="center"/>
              <w:rPr>
                <w:rFonts w:ascii="Cambria" w:hAnsi="Cambria"/>
                <w:b/>
                <w:bCs/>
                <w:i/>
                <w:iCs/>
                <w:color w:val="000000"/>
                <w:sz w:val="20"/>
                <w:szCs w:val="20"/>
              </w:rPr>
            </w:pPr>
            <w:r w:rsidRPr="007B779F">
              <w:rPr>
                <w:rFonts w:ascii="Cambria" w:hAnsi="Cambria"/>
                <w:b/>
                <w:i/>
                <w:iCs/>
                <w:color w:val="000000"/>
                <w:sz w:val="20"/>
                <w:szCs w:val="20"/>
              </w:rPr>
              <w:t>2025</w:t>
            </w:r>
          </w:p>
        </w:tc>
        <w:tc>
          <w:tcPr>
            <w:tcW w:w="800" w:type="dxa"/>
            <w:tcBorders>
              <w:top w:val="single" w:sz="4" w:space="0" w:color="auto"/>
              <w:left w:val="nil"/>
              <w:bottom w:val="single" w:sz="8" w:space="0" w:color="auto"/>
              <w:right w:val="single" w:sz="4" w:space="0" w:color="auto"/>
            </w:tcBorders>
            <w:shd w:val="clear" w:color="000000" w:fill="D9D9D9"/>
            <w:noWrap/>
            <w:vAlign w:val="center"/>
            <w:hideMark/>
          </w:tcPr>
          <w:p w14:paraId="5AB58304" w14:textId="77777777" w:rsidR="005B5D1D" w:rsidRPr="007B779F" w:rsidRDefault="005B5D1D" w:rsidP="007C17C6">
            <w:pPr>
              <w:jc w:val="center"/>
              <w:rPr>
                <w:rFonts w:ascii="Cambria" w:hAnsi="Cambria"/>
                <w:b/>
                <w:bCs/>
                <w:i/>
                <w:iCs/>
                <w:color w:val="000000"/>
                <w:sz w:val="20"/>
                <w:szCs w:val="20"/>
              </w:rPr>
            </w:pPr>
            <w:r w:rsidRPr="007B779F">
              <w:rPr>
                <w:rFonts w:ascii="Cambria" w:hAnsi="Cambria"/>
                <w:b/>
                <w:i/>
                <w:iCs/>
                <w:color w:val="000000"/>
                <w:sz w:val="20"/>
                <w:szCs w:val="20"/>
              </w:rPr>
              <w:t>2023</w:t>
            </w:r>
          </w:p>
        </w:tc>
        <w:tc>
          <w:tcPr>
            <w:tcW w:w="800" w:type="dxa"/>
            <w:tcBorders>
              <w:top w:val="single" w:sz="4" w:space="0" w:color="auto"/>
              <w:left w:val="nil"/>
              <w:bottom w:val="single" w:sz="8" w:space="0" w:color="auto"/>
              <w:right w:val="single" w:sz="4" w:space="0" w:color="auto"/>
            </w:tcBorders>
            <w:shd w:val="clear" w:color="000000" w:fill="D9D9D9"/>
            <w:noWrap/>
            <w:vAlign w:val="center"/>
            <w:hideMark/>
          </w:tcPr>
          <w:p w14:paraId="00701CE1" w14:textId="77777777" w:rsidR="005B5D1D" w:rsidRPr="007B779F" w:rsidRDefault="005B5D1D" w:rsidP="007C17C6">
            <w:pPr>
              <w:jc w:val="center"/>
              <w:rPr>
                <w:rFonts w:ascii="Cambria" w:hAnsi="Cambria"/>
                <w:b/>
                <w:bCs/>
                <w:i/>
                <w:iCs/>
                <w:color w:val="000000"/>
                <w:sz w:val="20"/>
                <w:szCs w:val="20"/>
              </w:rPr>
            </w:pPr>
            <w:r w:rsidRPr="007B779F">
              <w:rPr>
                <w:rFonts w:ascii="Cambria" w:hAnsi="Cambria"/>
                <w:b/>
                <w:i/>
                <w:iCs/>
                <w:color w:val="000000"/>
                <w:sz w:val="20"/>
                <w:szCs w:val="20"/>
              </w:rPr>
              <w:t>2024</w:t>
            </w:r>
          </w:p>
        </w:tc>
        <w:tc>
          <w:tcPr>
            <w:tcW w:w="800" w:type="dxa"/>
            <w:tcBorders>
              <w:top w:val="single" w:sz="4" w:space="0" w:color="auto"/>
              <w:left w:val="nil"/>
              <w:bottom w:val="single" w:sz="8" w:space="0" w:color="auto"/>
              <w:right w:val="single" w:sz="8" w:space="0" w:color="auto"/>
            </w:tcBorders>
            <w:shd w:val="clear" w:color="000000" w:fill="D9D9D9"/>
            <w:noWrap/>
            <w:vAlign w:val="center"/>
            <w:hideMark/>
          </w:tcPr>
          <w:p w14:paraId="681090D8" w14:textId="77777777" w:rsidR="005B5D1D" w:rsidRPr="007B779F" w:rsidRDefault="005B5D1D" w:rsidP="007C17C6">
            <w:pPr>
              <w:jc w:val="center"/>
              <w:rPr>
                <w:rFonts w:ascii="Cambria" w:hAnsi="Cambria"/>
                <w:b/>
                <w:bCs/>
                <w:i/>
                <w:iCs/>
                <w:color w:val="000000"/>
                <w:sz w:val="20"/>
                <w:szCs w:val="20"/>
              </w:rPr>
            </w:pPr>
            <w:r w:rsidRPr="007B779F">
              <w:rPr>
                <w:rFonts w:ascii="Cambria" w:hAnsi="Cambria"/>
                <w:b/>
                <w:i/>
                <w:iCs/>
                <w:color w:val="000000"/>
                <w:sz w:val="20"/>
                <w:szCs w:val="20"/>
              </w:rPr>
              <w:t>2025</w:t>
            </w:r>
          </w:p>
        </w:tc>
      </w:tr>
      <w:tr w:rsidR="005B5D1D" w:rsidRPr="007B779F" w14:paraId="6ADF1CD8"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1226C4D1"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Cabo Verde</w:t>
            </w:r>
          </w:p>
        </w:tc>
        <w:tc>
          <w:tcPr>
            <w:tcW w:w="811" w:type="dxa"/>
            <w:tcBorders>
              <w:top w:val="nil"/>
              <w:left w:val="single" w:sz="8" w:space="0" w:color="auto"/>
              <w:bottom w:val="single" w:sz="4" w:space="0" w:color="auto"/>
              <w:right w:val="single" w:sz="4" w:space="0" w:color="auto"/>
            </w:tcBorders>
            <w:noWrap/>
            <w:vAlign w:val="center"/>
            <w:hideMark/>
          </w:tcPr>
          <w:p w14:paraId="745952A6"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2,58</w:t>
            </w:r>
          </w:p>
        </w:tc>
        <w:tc>
          <w:tcPr>
            <w:tcW w:w="795" w:type="dxa"/>
            <w:tcBorders>
              <w:top w:val="nil"/>
              <w:left w:val="nil"/>
              <w:bottom w:val="single" w:sz="4" w:space="0" w:color="auto"/>
              <w:right w:val="single" w:sz="4" w:space="0" w:color="auto"/>
            </w:tcBorders>
            <w:noWrap/>
            <w:vAlign w:val="center"/>
            <w:hideMark/>
          </w:tcPr>
          <w:p w14:paraId="21C4AA8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0,86</w:t>
            </w:r>
          </w:p>
        </w:tc>
        <w:tc>
          <w:tcPr>
            <w:tcW w:w="795" w:type="dxa"/>
            <w:tcBorders>
              <w:top w:val="single" w:sz="4" w:space="0" w:color="auto"/>
              <w:left w:val="nil"/>
              <w:bottom w:val="single" w:sz="4" w:space="0" w:color="auto"/>
              <w:right w:val="single" w:sz="8" w:space="0" w:color="auto"/>
            </w:tcBorders>
            <w:shd w:val="clear" w:color="000000" w:fill="DAE9F8"/>
            <w:noWrap/>
            <w:vAlign w:val="center"/>
            <w:hideMark/>
          </w:tcPr>
          <w:p w14:paraId="10CE0EF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90" w:type="dxa"/>
            <w:tcBorders>
              <w:top w:val="nil"/>
              <w:left w:val="nil"/>
              <w:bottom w:val="single" w:sz="4" w:space="0" w:color="auto"/>
              <w:right w:val="single" w:sz="4" w:space="0" w:color="auto"/>
            </w:tcBorders>
            <w:noWrap/>
            <w:vAlign w:val="center"/>
            <w:hideMark/>
          </w:tcPr>
          <w:p w14:paraId="4C2146D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55" w:type="dxa"/>
            <w:tcBorders>
              <w:top w:val="nil"/>
              <w:left w:val="nil"/>
              <w:bottom w:val="single" w:sz="4" w:space="0" w:color="auto"/>
              <w:right w:val="single" w:sz="4" w:space="0" w:color="auto"/>
            </w:tcBorders>
            <w:noWrap/>
            <w:vAlign w:val="center"/>
            <w:hideMark/>
          </w:tcPr>
          <w:p w14:paraId="33A68A0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55" w:type="dxa"/>
            <w:tcBorders>
              <w:top w:val="nil"/>
              <w:left w:val="nil"/>
              <w:bottom w:val="single" w:sz="4" w:space="0" w:color="auto"/>
              <w:right w:val="single" w:sz="8" w:space="0" w:color="auto"/>
            </w:tcBorders>
            <w:shd w:val="clear" w:color="000000" w:fill="DAE9F8"/>
            <w:noWrap/>
            <w:vAlign w:val="center"/>
            <w:hideMark/>
          </w:tcPr>
          <w:p w14:paraId="170A210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00" w:type="dxa"/>
            <w:tcBorders>
              <w:top w:val="nil"/>
              <w:left w:val="nil"/>
              <w:bottom w:val="single" w:sz="4" w:space="0" w:color="auto"/>
              <w:right w:val="single" w:sz="4" w:space="0" w:color="auto"/>
            </w:tcBorders>
            <w:noWrap/>
            <w:vAlign w:val="center"/>
            <w:hideMark/>
          </w:tcPr>
          <w:p w14:paraId="7AA21EB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00" w:type="dxa"/>
            <w:tcBorders>
              <w:top w:val="nil"/>
              <w:left w:val="nil"/>
              <w:bottom w:val="single" w:sz="4" w:space="0" w:color="auto"/>
              <w:right w:val="single" w:sz="4" w:space="0" w:color="auto"/>
            </w:tcBorders>
            <w:noWrap/>
            <w:vAlign w:val="center"/>
            <w:hideMark/>
          </w:tcPr>
          <w:p w14:paraId="388191D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00" w:type="dxa"/>
            <w:tcBorders>
              <w:top w:val="nil"/>
              <w:left w:val="nil"/>
              <w:bottom w:val="single" w:sz="4" w:space="0" w:color="auto"/>
              <w:right w:val="single" w:sz="8" w:space="0" w:color="auto"/>
            </w:tcBorders>
            <w:shd w:val="clear" w:color="000000" w:fill="DAE9F8"/>
            <w:noWrap/>
            <w:vAlign w:val="center"/>
            <w:hideMark/>
          </w:tcPr>
          <w:p w14:paraId="5DC5085F"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r>
      <w:tr w:rsidR="005B5D1D" w:rsidRPr="007B779F" w14:paraId="1E2EFEC7"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0C627FBC"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Canada</w:t>
            </w:r>
          </w:p>
        </w:tc>
        <w:tc>
          <w:tcPr>
            <w:tcW w:w="811" w:type="dxa"/>
            <w:tcBorders>
              <w:top w:val="nil"/>
              <w:left w:val="single" w:sz="8" w:space="0" w:color="auto"/>
              <w:bottom w:val="single" w:sz="4" w:space="0" w:color="auto"/>
              <w:right w:val="single" w:sz="4" w:space="0" w:color="auto"/>
            </w:tcBorders>
            <w:noWrap/>
            <w:vAlign w:val="center"/>
            <w:hideMark/>
          </w:tcPr>
          <w:p w14:paraId="39CB0D1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0,12</w:t>
            </w:r>
          </w:p>
        </w:tc>
        <w:tc>
          <w:tcPr>
            <w:tcW w:w="795" w:type="dxa"/>
            <w:tcBorders>
              <w:top w:val="nil"/>
              <w:left w:val="nil"/>
              <w:bottom w:val="single" w:sz="4" w:space="0" w:color="auto"/>
              <w:right w:val="single" w:sz="4" w:space="0" w:color="auto"/>
            </w:tcBorders>
            <w:noWrap/>
            <w:vAlign w:val="center"/>
            <w:hideMark/>
          </w:tcPr>
          <w:p w14:paraId="3DC2E5C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95" w:type="dxa"/>
            <w:tcBorders>
              <w:top w:val="nil"/>
              <w:left w:val="nil"/>
              <w:bottom w:val="single" w:sz="4" w:space="0" w:color="auto"/>
              <w:right w:val="single" w:sz="8" w:space="0" w:color="auto"/>
            </w:tcBorders>
            <w:shd w:val="clear" w:color="000000" w:fill="DAE9F8"/>
            <w:noWrap/>
            <w:vAlign w:val="center"/>
            <w:hideMark/>
          </w:tcPr>
          <w:p w14:paraId="78F4FD3E"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90" w:type="dxa"/>
            <w:tcBorders>
              <w:top w:val="nil"/>
              <w:left w:val="nil"/>
              <w:bottom w:val="single" w:sz="4" w:space="0" w:color="auto"/>
              <w:right w:val="single" w:sz="4" w:space="0" w:color="auto"/>
            </w:tcBorders>
            <w:noWrap/>
            <w:vAlign w:val="center"/>
            <w:hideMark/>
          </w:tcPr>
          <w:p w14:paraId="69A4357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11,60</w:t>
            </w:r>
          </w:p>
        </w:tc>
        <w:tc>
          <w:tcPr>
            <w:tcW w:w="755" w:type="dxa"/>
            <w:tcBorders>
              <w:top w:val="nil"/>
              <w:left w:val="nil"/>
              <w:bottom w:val="single" w:sz="4" w:space="0" w:color="auto"/>
              <w:right w:val="single" w:sz="4" w:space="0" w:color="auto"/>
            </w:tcBorders>
            <w:noWrap/>
            <w:vAlign w:val="center"/>
            <w:hideMark/>
          </w:tcPr>
          <w:p w14:paraId="5BA3556B"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13,63</w:t>
            </w:r>
          </w:p>
        </w:tc>
        <w:tc>
          <w:tcPr>
            <w:tcW w:w="755" w:type="dxa"/>
            <w:tcBorders>
              <w:top w:val="nil"/>
              <w:left w:val="nil"/>
              <w:bottom w:val="single" w:sz="4" w:space="0" w:color="auto"/>
              <w:right w:val="single" w:sz="8" w:space="0" w:color="auto"/>
            </w:tcBorders>
            <w:shd w:val="clear" w:color="000000" w:fill="DAE9F8"/>
            <w:noWrap/>
            <w:vAlign w:val="center"/>
            <w:hideMark/>
          </w:tcPr>
          <w:p w14:paraId="2410BF24"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10,40</w:t>
            </w:r>
          </w:p>
        </w:tc>
        <w:tc>
          <w:tcPr>
            <w:tcW w:w="800" w:type="dxa"/>
            <w:tcBorders>
              <w:top w:val="nil"/>
              <w:left w:val="nil"/>
              <w:bottom w:val="single" w:sz="4" w:space="0" w:color="auto"/>
              <w:right w:val="single" w:sz="4" w:space="0" w:color="auto"/>
            </w:tcBorders>
            <w:noWrap/>
            <w:vAlign w:val="center"/>
            <w:hideMark/>
          </w:tcPr>
          <w:p w14:paraId="318196AE"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23,33</w:t>
            </w:r>
          </w:p>
        </w:tc>
        <w:tc>
          <w:tcPr>
            <w:tcW w:w="800" w:type="dxa"/>
            <w:tcBorders>
              <w:top w:val="nil"/>
              <w:left w:val="nil"/>
              <w:bottom w:val="single" w:sz="4" w:space="0" w:color="auto"/>
              <w:right w:val="single" w:sz="4" w:space="0" w:color="auto"/>
            </w:tcBorders>
            <w:noWrap/>
            <w:vAlign w:val="center"/>
            <w:hideMark/>
          </w:tcPr>
          <w:p w14:paraId="537E597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44,57</w:t>
            </w:r>
          </w:p>
        </w:tc>
        <w:tc>
          <w:tcPr>
            <w:tcW w:w="800" w:type="dxa"/>
            <w:tcBorders>
              <w:top w:val="nil"/>
              <w:left w:val="nil"/>
              <w:bottom w:val="single" w:sz="4" w:space="0" w:color="auto"/>
              <w:right w:val="single" w:sz="8" w:space="0" w:color="auto"/>
            </w:tcBorders>
            <w:shd w:val="clear" w:color="000000" w:fill="DAE9F8"/>
            <w:noWrap/>
            <w:vAlign w:val="center"/>
            <w:hideMark/>
          </w:tcPr>
          <w:p w14:paraId="313A21C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47,03</w:t>
            </w:r>
          </w:p>
        </w:tc>
      </w:tr>
      <w:tr w:rsidR="005B5D1D" w:rsidRPr="007B779F" w14:paraId="2F1F5CC6"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0BF0DB35"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Chine, Rép. pop.</w:t>
            </w:r>
          </w:p>
        </w:tc>
        <w:tc>
          <w:tcPr>
            <w:tcW w:w="811" w:type="dxa"/>
            <w:tcBorders>
              <w:top w:val="nil"/>
              <w:left w:val="single" w:sz="8" w:space="0" w:color="auto"/>
              <w:bottom w:val="single" w:sz="4" w:space="0" w:color="auto"/>
              <w:right w:val="single" w:sz="4" w:space="0" w:color="auto"/>
            </w:tcBorders>
            <w:noWrap/>
            <w:vAlign w:val="center"/>
            <w:hideMark/>
          </w:tcPr>
          <w:p w14:paraId="32163B9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95" w:type="dxa"/>
            <w:tcBorders>
              <w:top w:val="nil"/>
              <w:left w:val="nil"/>
              <w:bottom w:val="single" w:sz="4" w:space="0" w:color="auto"/>
              <w:right w:val="single" w:sz="4" w:space="0" w:color="auto"/>
            </w:tcBorders>
            <w:noWrap/>
            <w:vAlign w:val="center"/>
            <w:hideMark/>
          </w:tcPr>
          <w:p w14:paraId="19F93107"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95" w:type="dxa"/>
            <w:tcBorders>
              <w:top w:val="nil"/>
              <w:left w:val="nil"/>
              <w:bottom w:val="single" w:sz="4" w:space="0" w:color="auto"/>
              <w:right w:val="single" w:sz="8" w:space="0" w:color="auto"/>
            </w:tcBorders>
            <w:shd w:val="clear" w:color="000000" w:fill="DAE9F8"/>
            <w:noWrap/>
            <w:vAlign w:val="center"/>
            <w:hideMark/>
          </w:tcPr>
          <w:p w14:paraId="07DAA83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90" w:type="dxa"/>
            <w:tcBorders>
              <w:top w:val="nil"/>
              <w:left w:val="nil"/>
              <w:bottom w:val="single" w:sz="4" w:space="0" w:color="auto"/>
              <w:right w:val="single" w:sz="4" w:space="0" w:color="auto"/>
            </w:tcBorders>
            <w:noWrap/>
            <w:vAlign w:val="center"/>
            <w:hideMark/>
          </w:tcPr>
          <w:p w14:paraId="6A743B8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3,64</w:t>
            </w:r>
          </w:p>
        </w:tc>
        <w:tc>
          <w:tcPr>
            <w:tcW w:w="755" w:type="dxa"/>
            <w:tcBorders>
              <w:top w:val="nil"/>
              <w:left w:val="nil"/>
              <w:bottom w:val="single" w:sz="4" w:space="0" w:color="auto"/>
              <w:right w:val="single" w:sz="4" w:space="0" w:color="auto"/>
            </w:tcBorders>
            <w:noWrap/>
            <w:vAlign w:val="center"/>
            <w:hideMark/>
          </w:tcPr>
          <w:p w14:paraId="081D1D1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5,76</w:t>
            </w:r>
          </w:p>
        </w:tc>
        <w:tc>
          <w:tcPr>
            <w:tcW w:w="755" w:type="dxa"/>
            <w:tcBorders>
              <w:top w:val="nil"/>
              <w:left w:val="nil"/>
              <w:bottom w:val="single" w:sz="4" w:space="0" w:color="auto"/>
              <w:right w:val="single" w:sz="8" w:space="0" w:color="auto"/>
            </w:tcBorders>
            <w:shd w:val="clear" w:color="000000" w:fill="DAE9F8"/>
            <w:noWrap/>
            <w:vAlign w:val="center"/>
            <w:hideMark/>
          </w:tcPr>
          <w:p w14:paraId="5FF29E4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20,93</w:t>
            </w:r>
          </w:p>
        </w:tc>
        <w:tc>
          <w:tcPr>
            <w:tcW w:w="800" w:type="dxa"/>
            <w:tcBorders>
              <w:top w:val="nil"/>
              <w:left w:val="nil"/>
              <w:bottom w:val="single" w:sz="4" w:space="0" w:color="auto"/>
              <w:right w:val="single" w:sz="4" w:space="0" w:color="auto"/>
            </w:tcBorders>
            <w:noWrap/>
            <w:vAlign w:val="center"/>
            <w:hideMark/>
          </w:tcPr>
          <w:p w14:paraId="79AFD5B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6,74</w:t>
            </w:r>
          </w:p>
        </w:tc>
        <w:tc>
          <w:tcPr>
            <w:tcW w:w="800" w:type="dxa"/>
            <w:tcBorders>
              <w:top w:val="nil"/>
              <w:left w:val="nil"/>
              <w:bottom w:val="single" w:sz="4" w:space="0" w:color="auto"/>
              <w:right w:val="single" w:sz="4" w:space="0" w:color="auto"/>
            </w:tcBorders>
            <w:noWrap/>
            <w:vAlign w:val="center"/>
            <w:hideMark/>
          </w:tcPr>
          <w:p w14:paraId="69A70DAB"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20,90</w:t>
            </w:r>
          </w:p>
        </w:tc>
        <w:tc>
          <w:tcPr>
            <w:tcW w:w="800" w:type="dxa"/>
            <w:tcBorders>
              <w:top w:val="nil"/>
              <w:left w:val="nil"/>
              <w:bottom w:val="single" w:sz="4" w:space="0" w:color="auto"/>
              <w:right w:val="single" w:sz="8" w:space="0" w:color="auto"/>
            </w:tcBorders>
            <w:shd w:val="clear" w:color="000000" w:fill="DAE9F8"/>
            <w:noWrap/>
            <w:vAlign w:val="center"/>
            <w:hideMark/>
          </w:tcPr>
          <w:p w14:paraId="48C455E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34,35</w:t>
            </w:r>
          </w:p>
        </w:tc>
      </w:tr>
      <w:tr w:rsidR="005B5D1D" w:rsidRPr="007B779F" w14:paraId="4069EF6B"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6136EF12"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Taipei chinois</w:t>
            </w:r>
          </w:p>
        </w:tc>
        <w:tc>
          <w:tcPr>
            <w:tcW w:w="811" w:type="dxa"/>
            <w:tcBorders>
              <w:top w:val="nil"/>
              <w:left w:val="single" w:sz="8" w:space="0" w:color="auto"/>
              <w:bottom w:val="single" w:sz="4" w:space="0" w:color="auto"/>
              <w:right w:val="single" w:sz="4" w:space="0" w:color="auto"/>
            </w:tcBorders>
            <w:noWrap/>
            <w:vAlign w:val="center"/>
            <w:hideMark/>
          </w:tcPr>
          <w:p w14:paraId="137E68E6"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95" w:type="dxa"/>
            <w:tcBorders>
              <w:top w:val="nil"/>
              <w:left w:val="nil"/>
              <w:bottom w:val="single" w:sz="4" w:space="0" w:color="auto"/>
              <w:right w:val="single" w:sz="4" w:space="0" w:color="auto"/>
            </w:tcBorders>
            <w:noWrap/>
            <w:vAlign w:val="center"/>
            <w:hideMark/>
          </w:tcPr>
          <w:p w14:paraId="738AED7C"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95" w:type="dxa"/>
            <w:tcBorders>
              <w:top w:val="nil"/>
              <w:left w:val="nil"/>
              <w:bottom w:val="single" w:sz="4" w:space="0" w:color="auto"/>
              <w:right w:val="single" w:sz="8" w:space="0" w:color="auto"/>
            </w:tcBorders>
            <w:shd w:val="clear" w:color="000000" w:fill="DAE9F8"/>
            <w:noWrap/>
            <w:vAlign w:val="center"/>
            <w:hideMark/>
          </w:tcPr>
          <w:p w14:paraId="33C59526"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90" w:type="dxa"/>
            <w:tcBorders>
              <w:top w:val="nil"/>
              <w:left w:val="nil"/>
              <w:bottom w:val="single" w:sz="4" w:space="0" w:color="auto"/>
              <w:right w:val="single" w:sz="4" w:space="0" w:color="auto"/>
            </w:tcBorders>
            <w:noWrap/>
            <w:vAlign w:val="center"/>
            <w:hideMark/>
          </w:tcPr>
          <w:p w14:paraId="3DF7AA3F"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5,76</w:t>
            </w:r>
          </w:p>
        </w:tc>
        <w:tc>
          <w:tcPr>
            <w:tcW w:w="755" w:type="dxa"/>
            <w:tcBorders>
              <w:top w:val="nil"/>
              <w:left w:val="nil"/>
              <w:bottom w:val="single" w:sz="4" w:space="0" w:color="auto"/>
              <w:right w:val="single" w:sz="4" w:space="0" w:color="auto"/>
            </w:tcBorders>
            <w:noWrap/>
            <w:vAlign w:val="center"/>
            <w:hideMark/>
          </w:tcPr>
          <w:p w14:paraId="614B0BC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2,05</w:t>
            </w:r>
          </w:p>
        </w:tc>
        <w:tc>
          <w:tcPr>
            <w:tcW w:w="755" w:type="dxa"/>
            <w:tcBorders>
              <w:top w:val="nil"/>
              <w:left w:val="nil"/>
              <w:bottom w:val="single" w:sz="4" w:space="0" w:color="auto"/>
              <w:right w:val="single" w:sz="8" w:space="0" w:color="auto"/>
            </w:tcBorders>
            <w:shd w:val="clear" w:color="000000" w:fill="DAE9F8"/>
            <w:noWrap/>
            <w:vAlign w:val="center"/>
            <w:hideMark/>
          </w:tcPr>
          <w:p w14:paraId="170EAEE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3,31</w:t>
            </w:r>
          </w:p>
        </w:tc>
        <w:tc>
          <w:tcPr>
            <w:tcW w:w="800" w:type="dxa"/>
            <w:tcBorders>
              <w:top w:val="nil"/>
              <w:left w:val="nil"/>
              <w:bottom w:val="single" w:sz="4" w:space="0" w:color="auto"/>
              <w:right w:val="single" w:sz="4" w:space="0" w:color="auto"/>
            </w:tcBorders>
            <w:noWrap/>
            <w:vAlign w:val="center"/>
            <w:hideMark/>
          </w:tcPr>
          <w:p w14:paraId="29597C56"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4,86</w:t>
            </w:r>
          </w:p>
        </w:tc>
        <w:tc>
          <w:tcPr>
            <w:tcW w:w="800" w:type="dxa"/>
            <w:tcBorders>
              <w:top w:val="nil"/>
              <w:left w:val="nil"/>
              <w:bottom w:val="single" w:sz="4" w:space="0" w:color="auto"/>
              <w:right w:val="single" w:sz="4" w:space="0" w:color="auto"/>
            </w:tcBorders>
            <w:noWrap/>
            <w:vAlign w:val="center"/>
            <w:hideMark/>
          </w:tcPr>
          <w:p w14:paraId="6903B89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1,70</w:t>
            </w:r>
          </w:p>
        </w:tc>
        <w:tc>
          <w:tcPr>
            <w:tcW w:w="800" w:type="dxa"/>
            <w:tcBorders>
              <w:top w:val="nil"/>
              <w:left w:val="nil"/>
              <w:bottom w:val="single" w:sz="4" w:space="0" w:color="auto"/>
              <w:right w:val="single" w:sz="8" w:space="0" w:color="auto"/>
            </w:tcBorders>
            <w:shd w:val="clear" w:color="000000" w:fill="DAE9F8"/>
            <w:noWrap/>
            <w:vAlign w:val="center"/>
            <w:hideMark/>
          </w:tcPr>
          <w:p w14:paraId="4ECD98C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2,81</w:t>
            </w:r>
          </w:p>
        </w:tc>
      </w:tr>
      <w:tr w:rsidR="005B5D1D" w:rsidRPr="007B779F" w14:paraId="78864410"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3B12A467"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UE-Espagne</w:t>
            </w:r>
          </w:p>
        </w:tc>
        <w:tc>
          <w:tcPr>
            <w:tcW w:w="811" w:type="dxa"/>
            <w:tcBorders>
              <w:top w:val="nil"/>
              <w:left w:val="single" w:sz="8" w:space="0" w:color="auto"/>
              <w:bottom w:val="single" w:sz="4" w:space="0" w:color="auto"/>
              <w:right w:val="single" w:sz="4" w:space="0" w:color="auto"/>
            </w:tcBorders>
            <w:noWrap/>
            <w:vAlign w:val="center"/>
            <w:hideMark/>
          </w:tcPr>
          <w:p w14:paraId="5539D6A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95" w:type="dxa"/>
            <w:tcBorders>
              <w:top w:val="nil"/>
              <w:left w:val="nil"/>
              <w:bottom w:val="single" w:sz="4" w:space="0" w:color="auto"/>
              <w:right w:val="single" w:sz="4" w:space="0" w:color="auto"/>
            </w:tcBorders>
            <w:noWrap/>
            <w:vAlign w:val="center"/>
            <w:hideMark/>
          </w:tcPr>
          <w:p w14:paraId="26ED0A0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95" w:type="dxa"/>
            <w:tcBorders>
              <w:top w:val="nil"/>
              <w:left w:val="nil"/>
              <w:bottom w:val="single" w:sz="4" w:space="0" w:color="auto"/>
              <w:right w:val="single" w:sz="8" w:space="0" w:color="auto"/>
            </w:tcBorders>
            <w:shd w:val="clear" w:color="000000" w:fill="DAE9F8"/>
            <w:noWrap/>
            <w:vAlign w:val="center"/>
            <w:hideMark/>
          </w:tcPr>
          <w:p w14:paraId="6EA6995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90" w:type="dxa"/>
            <w:tcBorders>
              <w:top w:val="nil"/>
              <w:left w:val="nil"/>
              <w:bottom w:val="single" w:sz="4" w:space="0" w:color="auto"/>
              <w:right w:val="single" w:sz="4" w:space="0" w:color="auto"/>
            </w:tcBorders>
            <w:noWrap/>
            <w:vAlign w:val="center"/>
            <w:hideMark/>
          </w:tcPr>
          <w:p w14:paraId="08548C0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935,65</w:t>
            </w:r>
          </w:p>
        </w:tc>
        <w:tc>
          <w:tcPr>
            <w:tcW w:w="755" w:type="dxa"/>
            <w:tcBorders>
              <w:top w:val="nil"/>
              <w:left w:val="nil"/>
              <w:bottom w:val="single" w:sz="4" w:space="0" w:color="auto"/>
              <w:right w:val="single" w:sz="4" w:space="0" w:color="auto"/>
            </w:tcBorders>
            <w:noWrap/>
            <w:vAlign w:val="center"/>
            <w:hideMark/>
          </w:tcPr>
          <w:p w14:paraId="2E8D771C"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714,40</w:t>
            </w:r>
          </w:p>
        </w:tc>
        <w:tc>
          <w:tcPr>
            <w:tcW w:w="755" w:type="dxa"/>
            <w:tcBorders>
              <w:top w:val="nil"/>
              <w:left w:val="nil"/>
              <w:bottom w:val="single" w:sz="4" w:space="0" w:color="auto"/>
              <w:right w:val="single" w:sz="8" w:space="0" w:color="auto"/>
            </w:tcBorders>
            <w:shd w:val="clear" w:color="000000" w:fill="DAE9F8"/>
            <w:noWrap/>
            <w:vAlign w:val="center"/>
            <w:hideMark/>
          </w:tcPr>
          <w:p w14:paraId="041F435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452,75</w:t>
            </w:r>
          </w:p>
        </w:tc>
        <w:tc>
          <w:tcPr>
            <w:tcW w:w="800" w:type="dxa"/>
            <w:tcBorders>
              <w:top w:val="nil"/>
              <w:left w:val="nil"/>
              <w:bottom w:val="single" w:sz="4" w:space="0" w:color="auto"/>
              <w:right w:val="single" w:sz="4" w:space="0" w:color="auto"/>
            </w:tcBorders>
            <w:noWrap/>
            <w:vAlign w:val="center"/>
            <w:hideMark/>
          </w:tcPr>
          <w:p w14:paraId="3E67361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706,35</w:t>
            </w:r>
          </w:p>
        </w:tc>
        <w:tc>
          <w:tcPr>
            <w:tcW w:w="800" w:type="dxa"/>
            <w:tcBorders>
              <w:top w:val="nil"/>
              <w:left w:val="nil"/>
              <w:bottom w:val="single" w:sz="4" w:space="0" w:color="auto"/>
              <w:right w:val="single" w:sz="4" w:space="0" w:color="auto"/>
            </w:tcBorders>
            <w:noWrap/>
            <w:vAlign w:val="center"/>
            <w:hideMark/>
          </w:tcPr>
          <w:p w14:paraId="18934097"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435,77</w:t>
            </w:r>
          </w:p>
        </w:tc>
        <w:tc>
          <w:tcPr>
            <w:tcW w:w="800" w:type="dxa"/>
            <w:tcBorders>
              <w:top w:val="nil"/>
              <w:left w:val="nil"/>
              <w:bottom w:val="single" w:sz="4" w:space="0" w:color="auto"/>
              <w:right w:val="single" w:sz="8" w:space="0" w:color="auto"/>
            </w:tcBorders>
            <w:shd w:val="clear" w:color="000000" w:fill="DAE9F8"/>
            <w:noWrap/>
            <w:vAlign w:val="center"/>
            <w:hideMark/>
          </w:tcPr>
          <w:p w14:paraId="64219CB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269,93</w:t>
            </w:r>
          </w:p>
        </w:tc>
      </w:tr>
      <w:tr w:rsidR="005B5D1D" w:rsidRPr="007B779F" w14:paraId="08E4A8FA"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51EE185E"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UE-France</w:t>
            </w:r>
          </w:p>
        </w:tc>
        <w:tc>
          <w:tcPr>
            <w:tcW w:w="811" w:type="dxa"/>
            <w:tcBorders>
              <w:top w:val="nil"/>
              <w:left w:val="single" w:sz="8" w:space="0" w:color="auto"/>
              <w:bottom w:val="single" w:sz="4" w:space="0" w:color="auto"/>
              <w:right w:val="single" w:sz="4" w:space="0" w:color="auto"/>
            </w:tcBorders>
            <w:noWrap/>
            <w:vAlign w:val="center"/>
            <w:hideMark/>
          </w:tcPr>
          <w:p w14:paraId="3629A00C"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0,45</w:t>
            </w:r>
          </w:p>
        </w:tc>
        <w:tc>
          <w:tcPr>
            <w:tcW w:w="795" w:type="dxa"/>
            <w:tcBorders>
              <w:top w:val="nil"/>
              <w:left w:val="nil"/>
              <w:bottom w:val="single" w:sz="4" w:space="0" w:color="auto"/>
              <w:right w:val="single" w:sz="4" w:space="0" w:color="auto"/>
            </w:tcBorders>
            <w:noWrap/>
            <w:vAlign w:val="center"/>
            <w:hideMark/>
          </w:tcPr>
          <w:p w14:paraId="75EDB44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0,19</w:t>
            </w:r>
          </w:p>
        </w:tc>
        <w:tc>
          <w:tcPr>
            <w:tcW w:w="795" w:type="dxa"/>
            <w:tcBorders>
              <w:top w:val="nil"/>
              <w:left w:val="nil"/>
              <w:bottom w:val="single" w:sz="4" w:space="0" w:color="auto"/>
              <w:right w:val="single" w:sz="8" w:space="0" w:color="auto"/>
            </w:tcBorders>
            <w:shd w:val="clear" w:color="000000" w:fill="DAE9F8"/>
            <w:noWrap/>
            <w:vAlign w:val="center"/>
            <w:hideMark/>
          </w:tcPr>
          <w:p w14:paraId="3B2A631C"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0,04</w:t>
            </w:r>
          </w:p>
        </w:tc>
        <w:tc>
          <w:tcPr>
            <w:tcW w:w="890" w:type="dxa"/>
            <w:tcBorders>
              <w:top w:val="nil"/>
              <w:left w:val="nil"/>
              <w:bottom w:val="single" w:sz="4" w:space="0" w:color="auto"/>
              <w:right w:val="single" w:sz="4" w:space="0" w:color="auto"/>
            </w:tcBorders>
            <w:noWrap/>
            <w:vAlign w:val="center"/>
            <w:hideMark/>
          </w:tcPr>
          <w:p w14:paraId="6428F61F"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0,56</w:t>
            </w:r>
          </w:p>
        </w:tc>
        <w:tc>
          <w:tcPr>
            <w:tcW w:w="755" w:type="dxa"/>
            <w:tcBorders>
              <w:top w:val="nil"/>
              <w:left w:val="nil"/>
              <w:bottom w:val="single" w:sz="4" w:space="0" w:color="auto"/>
              <w:right w:val="single" w:sz="4" w:space="0" w:color="auto"/>
            </w:tcBorders>
            <w:noWrap/>
            <w:vAlign w:val="center"/>
            <w:hideMark/>
          </w:tcPr>
          <w:p w14:paraId="1276F20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0,13</w:t>
            </w:r>
          </w:p>
        </w:tc>
        <w:tc>
          <w:tcPr>
            <w:tcW w:w="755" w:type="dxa"/>
            <w:tcBorders>
              <w:top w:val="nil"/>
              <w:left w:val="nil"/>
              <w:bottom w:val="single" w:sz="4" w:space="0" w:color="auto"/>
              <w:right w:val="single" w:sz="8" w:space="0" w:color="auto"/>
            </w:tcBorders>
            <w:shd w:val="clear" w:color="000000" w:fill="DAE9F8"/>
            <w:noWrap/>
            <w:vAlign w:val="center"/>
            <w:hideMark/>
          </w:tcPr>
          <w:p w14:paraId="782EFC0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0,18</w:t>
            </w:r>
          </w:p>
        </w:tc>
        <w:tc>
          <w:tcPr>
            <w:tcW w:w="800" w:type="dxa"/>
            <w:tcBorders>
              <w:top w:val="nil"/>
              <w:left w:val="nil"/>
              <w:bottom w:val="single" w:sz="4" w:space="0" w:color="auto"/>
              <w:right w:val="single" w:sz="4" w:space="0" w:color="auto"/>
            </w:tcBorders>
            <w:noWrap/>
            <w:vAlign w:val="center"/>
            <w:hideMark/>
          </w:tcPr>
          <w:p w14:paraId="3D87BFC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0,15</w:t>
            </w:r>
          </w:p>
        </w:tc>
        <w:tc>
          <w:tcPr>
            <w:tcW w:w="800" w:type="dxa"/>
            <w:tcBorders>
              <w:top w:val="nil"/>
              <w:left w:val="nil"/>
              <w:bottom w:val="single" w:sz="4" w:space="0" w:color="auto"/>
              <w:right w:val="single" w:sz="4" w:space="0" w:color="auto"/>
            </w:tcBorders>
            <w:noWrap/>
            <w:vAlign w:val="center"/>
            <w:hideMark/>
          </w:tcPr>
          <w:p w14:paraId="1BD545AF"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0,15</w:t>
            </w:r>
          </w:p>
        </w:tc>
        <w:tc>
          <w:tcPr>
            <w:tcW w:w="800" w:type="dxa"/>
            <w:tcBorders>
              <w:top w:val="nil"/>
              <w:left w:val="nil"/>
              <w:bottom w:val="single" w:sz="4" w:space="0" w:color="auto"/>
              <w:right w:val="single" w:sz="8" w:space="0" w:color="auto"/>
            </w:tcBorders>
            <w:shd w:val="clear" w:color="000000" w:fill="DAE9F8"/>
            <w:noWrap/>
            <w:vAlign w:val="center"/>
            <w:hideMark/>
          </w:tcPr>
          <w:p w14:paraId="5FDEFEDF"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r>
      <w:tr w:rsidR="005B5D1D" w:rsidRPr="007B779F" w14:paraId="31A5A467"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47332AE1"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UE-Portugal</w:t>
            </w:r>
          </w:p>
        </w:tc>
        <w:tc>
          <w:tcPr>
            <w:tcW w:w="811" w:type="dxa"/>
            <w:tcBorders>
              <w:top w:val="nil"/>
              <w:left w:val="single" w:sz="8" w:space="0" w:color="auto"/>
              <w:bottom w:val="single" w:sz="4" w:space="0" w:color="auto"/>
              <w:right w:val="single" w:sz="4" w:space="0" w:color="auto"/>
            </w:tcBorders>
            <w:noWrap/>
            <w:vAlign w:val="center"/>
            <w:hideMark/>
          </w:tcPr>
          <w:p w14:paraId="1100CC16"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0,25</w:t>
            </w:r>
          </w:p>
        </w:tc>
        <w:tc>
          <w:tcPr>
            <w:tcW w:w="795" w:type="dxa"/>
            <w:tcBorders>
              <w:top w:val="nil"/>
              <w:left w:val="nil"/>
              <w:bottom w:val="single" w:sz="4" w:space="0" w:color="auto"/>
              <w:right w:val="single" w:sz="4" w:space="0" w:color="auto"/>
            </w:tcBorders>
            <w:noWrap/>
            <w:vAlign w:val="center"/>
            <w:hideMark/>
          </w:tcPr>
          <w:p w14:paraId="66A2335E"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0,86</w:t>
            </w:r>
          </w:p>
        </w:tc>
        <w:tc>
          <w:tcPr>
            <w:tcW w:w="795" w:type="dxa"/>
            <w:tcBorders>
              <w:top w:val="nil"/>
              <w:left w:val="nil"/>
              <w:bottom w:val="single" w:sz="4" w:space="0" w:color="auto"/>
              <w:right w:val="single" w:sz="8" w:space="0" w:color="auto"/>
            </w:tcBorders>
            <w:shd w:val="clear" w:color="000000" w:fill="DAE9F8"/>
            <w:noWrap/>
            <w:vAlign w:val="center"/>
            <w:hideMark/>
          </w:tcPr>
          <w:p w14:paraId="7799930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0,09</w:t>
            </w:r>
          </w:p>
        </w:tc>
        <w:tc>
          <w:tcPr>
            <w:tcW w:w="890" w:type="dxa"/>
            <w:tcBorders>
              <w:top w:val="nil"/>
              <w:left w:val="nil"/>
              <w:bottom w:val="single" w:sz="4" w:space="0" w:color="auto"/>
              <w:right w:val="single" w:sz="4" w:space="0" w:color="auto"/>
            </w:tcBorders>
            <w:noWrap/>
            <w:vAlign w:val="center"/>
            <w:hideMark/>
          </w:tcPr>
          <w:p w14:paraId="59A9A936"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58,58</w:t>
            </w:r>
          </w:p>
        </w:tc>
        <w:tc>
          <w:tcPr>
            <w:tcW w:w="755" w:type="dxa"/>
            <w:tcBorders>
              <w:top w:val="nil"/>
              <w:left w:val="nil"/>
              <w:bottom w:val="single" w:sz="4" w:space="0" w:color="auto"/>
              <w:right w:val="single" w:sz="4" w:space="0" w:color="auto"/>
            </w:tcBorders>
            <w:noWrap/>
            <w:vAlign w:val="center"/>
            <w:hideMark/>
          </w:tcPr>
          <w:p w14:paraId="5CCD75A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47,15</w:t>
            </w:r>
          </w:p>
        </w:tc>
        <w:tc>
          <w:tcPr>
            <w:tcW w:w="755" w:type="dxa"/>
            <w:tcBorders>
              <w:top w:val="nil"/>
              <w:left w:val="nil"/>
              <w:bottom w:val="single" w:sz="4" w:space="0" w:color="auto"/>
              <w:right w:val="single" w:sz="8" w:space="0" w:color="auto"/>
            </w:tcBorders>
            <w:shd w:val="clear" w:color="000000" w:fill="DAE9F8"/>
            <w:noWrap/>
            <w:vAlign w:val="center"/>
            <w:hideMark/>
          </w:tcPr>
          <w:p w14:paraId="5126626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42,91</w:t>
            </w:r>
          </w:p>
        </w:tc>
        <w:tc>
          <w:tcPr>
            <w:tcW w:w="800" w:type="dxa"/>
            <w:tcBorders>
              <w:top w:val="nil"/>
              <w:left w:val="nil"/>
              <w:bottom w:val="single" w:sz="4" w:space="0" w:color="auto"/>
              <w:right w:val="single" w:sz="4" w:space="0" w:color="auto"/>
            </w:tcBorders>
            <w:noWrap/>
            <w:vAlign w:val="center"/>
            <w:hideMark/>
          </w:tcPr>
          <w:p w14:paraId="4898E24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108,93</w:t>
            </w:r>
          </w:p>
        </w:tc>
        <w:tc>
          <w:tcPr>
            <w:tcW w:w="800" w:type="dxa"/>
            <w:tcBorders>
              <w:top w:val="nil"/>
              <w:left w:val="nil"/>
              <w:bottom w:val="single" w:sz="4" w:space="0" w:color="auto"/>
              <w:right w:val="single" w:sz="4" w:space="0" w:color="auto"/>
            </w:tcBorders>
            <w:noWrap/>
            <w:vAlign w:val="center"/>
            <w:hideMark/>
          </w:tcPr>
          <w:p w14:paraId="2C2CA83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87,93</w:t>
            </w:r>
          </w:p>
        </w:tc>
        <w:tc>
          <w:tcPr>
            <w:tcW w:w="800" w:type="dxa"/>
            <w:tcBorders>
              <w:top w:val="nil"/>
              <w:left w:val="nil"/>
              <w:bottom w:val="single" w:sz="4" w:space="0" w:color="auto"/>
              <w:right w:val="single" w:sz="8" w:space="0" w:color="auto"/>
            </w:tcBorders>
            <w:shd w:val="clear" w:color="000000" w:fill="DAE9F8"/>
            <w:noWrap/>
            <w:vAlign w:val="center"/>
            <w:hideMark/>
          </w:tcPr>
          <w:p w14:paraId="483EF0B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77,63</w:t>
            </w:r>
          </w:p>
        </w:tc>
      </w:tr>
      <w:tr w:rsidR="005B5D1D" w:rsidRPr="007B779F" w14:paraId="1A982B93"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3AA0C9ED"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Japon</w:t>
            </w:r>
          </w:p>
        </w:tc>
        <w:tc>
          <w:tcPr>
            <w:tcW w:w="811" w:type="dxa"/>
            <w:tcBorders>
              <w:top w:val="nil"/>
              <w:left w:val="single" w:sz="8" w:space="0" w:color="auto"/>
              <w:bottom w:val="single" w:sz="4" w:space="0" w:color="auto"/>
              <w:right w:val="single" w:sz="4" w:space="0" w:color="auto"/>
            </w:tcBorders>
            <w:noWrap/>
            <w:vAlign w:val="center"/>
            <w:hideMark/>
          </w:tcPr>
          <w:p w14:paraId="456F6004"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95" w:type="dxa"/>
            <w:tcBorders>
              <w:top w:val="nil"/>
              <w:left w:val="nil"/>
              <w:bottom w:val="single" w:sz="4" w:space="0" w:color="auto"/>
              <w:right w:val="single" w:sz="4" w:space="0" w:color="auto"/>
            </w:tcBorders>
            <w:noWrap/>
            <w:vAlign w:val="center"/>
            <w:hideMark/>
          </w:tcPr>
          <w:p w14:paraId="5CC347E7"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95" w:type="dxa"/>
            <w:tcBorders>
              <w:top w:val="nil"/>
              <w:left w:val="nil"/>
              <w:bottom w:val="single" w:sz="4" w:space="0" w:color="auto"/>
              <w:right w:val="single" w:sz="8" w:space="0" w:color="auto"/>
            </w:tcBorders>
            <w:shd w:val="clear" w:color="000000" w:fill="DAE9F8"/>
            <w:noWrap/>
            <w:vAlign w:val="center"/>
            <w:hideMark/>
          </w:tcPr>
          <w:p w14:paraId="4AAA4993"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90" w:type="dxa"/>
            <w:tcBorders>
              <w:top w:val="nil"/>
              <w:left w:val="nil"/>
              <w:bottom w:val="single" w:sz="4" w:space="0" w:color="auto"/>
              <w:right w:val="single" w:sz="4" w:space="0" w:color="auto"/>
            </w:tcBorders>
            <w:noWrap/>
            <w:vAlign w:val="center"/>
            <w:hideMark/>
          </w:tcPr>
          <w:p w14:paraId="01D5726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11,45</w:t>
            </w:r>
          </w:p>
        </w:tc>
        <w:tc>
          <w:tcPr>
            <w:tcW w:w="755" w:type="dxa"/>
            <w:tcBorders>
              <w:top w:val="nil"/>
              <w:left w:val="nil"/>
              <w:bottom w:val="single" w:sz="4" w:space="0" w:color="auto"/>
              <w:right w:val="single" w:sz="4" w:space="0" w:color="auto"/>
            </w:tcBorders>
            <w:noWrap/>
            <w:vAlign w:val="center"/>
            <w:hideMark/>
          </w:tcPr>
          <w:p w14:paraId="7491D53E"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18,11</w:t>
            </w:r>
          </w:p>
        </w:tc>
        <w:tc>
          <w:tcPr>
            <w:tcW w:w="755" w:type="dxa"/>
            <w:tcBorders>
              <w:top w:val="nil"/>
              <w:left w:val="nil"/>
              <w:bottom w:val="single" w:sz="4" w:space="0" w:color="auto"/>
              <w:right w:val="single" w:sz="8" w:space="0" w:color="auto"/>
            </w:tcBorders>
            <w:shd w:val="clear" w:color="000000" w:fill="DAE9F8"/>
            <w:noWrap/>
            <w:vAlign w:val="center"/>
            <w:hideMark/>
          </w:tcPr>
          <w:p w14:paraId="19AE9BD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11,03</w:t>
            </w:r>
          </w:p>
        </w:tc>
        <w:tc>
          <w:tcPr>
            <w:tcW w:w="800" w:type="dxa"/>
            <w:tcBorders>
              <w:top w:val="nil"/>
              <w:left w:val="nil"/>
              <w:bottom w:val="single" w:sz="4" w:space="0" w:color="auto"/>
              <w:right w:val="single" w:sz="4" w:space="0" w:color="auto"/>
            </w:tcBorders>
            <w:noWrap/>
            <w:vAlign w:val="center"/>
            <w:hideMark/>
          </w:tcPr>
          <w:p w14:paraId="5A9D82A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9,00</w:t>
            </w:r>
          </w:p>
        </w:tc>
        <w:tc>
          <w:tcPr>
            <w:tcW w:w="800" w:type="dxa"/>
            <w:tcBorders>
              <w:top w:val="nil"/>
              <w:left w:val="nil"/>
              <w:bottom w:val="single" w:sz="4" w:space="0" w:color="auto"/>
              <w:right w:val="single" w:sz="4" w:space="0" w:color="auto"/>
            </w:tcBorders>
            <w:noWrap/>
            <w:vAlign w:val="center"/>
            <w:hideMark/>
          </w:tcPr>
          <w:p w14:paraId="67AA7B63"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14,23</w:t>
            </w:r>
          </w:p>
        </w:tc>
        <w:tc>
          <w:tcPr>
            <w:tcW w:w="800" w:type="dxa"/>
            <w:tcBorders>
              <w:top w:val="nil"/>
              <w:left w:val="nil"/>
              <w:bottom w:val="single" w:sz="4" w:space="0" w:color="auto"/>
              <w:right w:val="single" w:sz="8" w:space="0" w:color="auto"/>
            </w:tcBorders>
            <w:shd w:val="clear" w:color="000000" w:fill="DAE9F8"/>
            <w:noWrap/>
            <w:vAlign w:val="center"/>
            <w:hideMark/>
          </w:tcPr>
          <w:p w14:paraId="124C77AF"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8,67</w:t>
            </w:r>
          </w:p>
        </w:tc>
      </w:tr>
      <w:tr w:rsidR="005B5D1D" w:rsidRPr="007B779F" w14:paraId="79CCDF37"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5ACC6651"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Corée (Rép.)</w:t>
            </w:r>
          </w:p>
        </w:tc>
        <w:tc>
          <w:tcPr>
            <w:tcW w:w="811" w:type="dxa"/>
            <w:tcBorders>
              <w:top w:val="nil"/>
              <w:left w:val="single" w:sz="8" w:space="0" w:color="auto"/>
              <w:bottom w:val="single" w:sz="4" w:space="0" w:color="auto"/>
              <w:right w:val="single" w:sz="4" w:space="0" w:color="auto"/>
            </w:tcBorders>
            <w:noWrap/>
            <w:vAlign w:val="center"/>
            <w:hideMark/>
          </w:tcPr>
          <w:p w14:paraId="6E7E08F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95" w:type="dxa"/>
            <w:tcBorders>
              <w:top w:val="nil"/>
              <w:left w:val="nil"/>
              <w:bottom w:val="single" w:sz="4" w:space="0" w:color="auto"/>
              <w:right w:val="single" w:sz="4" w:space="0" w:color="auto"/>
            </w:tcBorders>
            <w:noWrap/>
            <w:vAlign w:val="center"/>
            <w:hideMark/>
          </w:tcPr>
          <w:p w14:paraId="7429E56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95" w:type="dxa"/>
            <w:tcBorders>
              <w:top w:val="nil"/>
              <w:left w:val="nil"/>
              <w:bottom w:val="single" w:sz="4" w:space="0" w:color="auto"/>
              <w:right w:val="single" w:sz="8" w:space="0" w:color="auto"/>
            </w:tcBorders>
            <w:shd w:val="clear" w:color="000000" w:fill="DAE9F8"/>
            <w:noWrap/>
            <w:vAlign w:val="center"/>
            <w:hideMark/>
          </w:tcPr>
          <w:p w14:paraId="0651C6BC"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90" w:type="dxa"/>
            <w:tcBorders>
              <w:top w:val="nil"/>
              <w:left w:val="nil"/>
              <w:bottom w:val="single" w:sz="4" w:space="0" w:color="auto"/>
              <w:right w:val="single" w:sz="4" w:space="0" w:color="auto"/>
            </w:tcBorders>
            <w:noWrap/>
            <w:vAlign w:val="center"/>
            <w:hideMark/>
          </w:tcPr>
          <w:p w14:paraId="0A41BD97"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0,10</w:t>
            </w:r>
          </w:p>
        </w:tc>
        <w:tc>
          <w:tcPr>
            <w:tcW w:w="755" w:type="dxa"/>
            <w:tcBorders>
              <w:top w:val="nil"/>
              <w:left w:val="nil"/>
              <w:bottom w:val="single" w:sz="4" w:space="0" w:color="auto"/>
              <w:right w:val="single" w:sz="4" w:space="0" w:color="auto"/>
            </w:tcBorders>
            <w:noWrap/>
            <w:vAlign w:val="center"/>
            <w:hideMark/>
          </w:tcPr>
          <w:p w14:paraId="1713128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55" w:type="dxa"/>
            <w:tcBorders>
              <w:top w:val="nil"/>
              <w:left w:val="nil"/>
              <w:bottom w:val="single" w:sz="4" w:space="0" w:color="auto"/>
              <w:right w:val="single" w:sz="8" w:space="0" w:color="auto"/>
            </w:tcBorders>
            <w:shd w:val="clear" w:color="000000" w:fill="DAE9F8"/>
            <w:noWrap/>
            <w:vAlign w:val="center"/>
            <w:hideMark/>
          </w:tcPr>
          <w:p w14:paraId="51BAF2F3"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00" w:type="dxa"/>
            <w:tcBorders>
              <w:top w:val="nil"/>
              <w:left w:val="nil"/>
              <w:bottom w:val="single" w:sz="4" w:space="0" w:color="auto"/>
              <w:right w:val="single" w:sz="4" w:space="0" w:color="auto"/>
            </w:tcBorders>
            <w:noWrap/>
            <w:vAlign w:val="center"/>
            <w:hideMark/>
          </w:tcPr>
          <w:p w14:paraId="0C0744AC"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00" w:type="dxa"/>
            <w:tcBorders>
              <w:top w:val="nil"/>
              <w:left w:val="nil"/>
              <w:bottom w:val="single" w:sz="4" w:space="0" w:color="auto"/>
              <w:right w:val="single" w:sz="4" w:space="0" w:color="auto"/>
            </w:tcBorders>
            <w:noWrap/>
            <w:vAlign w:val="center"/>
            <w:hideMark/>
          </w:tcPr>
          <w:p w14:paraId="0DE23FA6"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00" w:type="dxa"/>
            <w:tcBorders>
              <w:top w:val="nil"/>
              <w:left w:val="nil"/>
              <w:bottom w:val="single" w:sz="4" w:space="0" w:color="auto"/>
              <w:right w:val="single" w:sz="8" w:space="0" w:color="auto"/>
            </w:tcBorders>
            <w:shd w:val="clear" w:color="000000" w:fill="DAE9F8"/>
            <w:noWrap/>
            <w:vAlign w:val="center"/>
            <w:hideMark/>
          </w:tcPr>
          <w:p w14:paraId="3BB06985"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r>
      <w:tr w:rsidR="005B5D1D" w:rsidRPr="007B779F" w14:paraId="5DB4FD1E"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439C4142"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Maroc</w:t>
            </w:r>
          </w:p>
        </w:tc>
        <w:tc>
          <w:tcPr>
            <w:tcW w:w="811" w:type="dxa"/>
            <w:tcBorders>
              <w:top w:val="nil"/>
              <w:left w:val="single" w:sz="8" w:space="0" w:color="auto"/>
              <w:bottom w:val="single" w:sz="4" w:space="0" w:color="auto"/>
              <w:right w:val="single" w:sz="4" w:space="0" w:color="auto"/>
            </w:tcBorders>
            <w:noWrap/>
            <w:vAlign w:val="center"/>
            <w:hideMark/>
          </w:tcPr>
          <w:p w14:paraId="5C80599E"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95" w:type="dxa"/>
            <w:tcBorders>
              <w:top w:val="nil"/>
              <w:left w:val="nil"/>
              <w:bottom w:val="single" w:sz="4" w:space="0" w:color="auto"/>
              <w:right w:val="single" w:sz="4" w:space="0" w:color="auto"/>
            </w:tcBorders>
            <w:noWrap/>
            <w:vAlign w:val="center"/>
            <w:hideMark/>
          </w:tcPr>
          <w:p w14:paraId="42FAD7AB"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95" w:type="dxa"/>
            <w:tcBorders>
              <w:top w:val="nil"/>
              <w:left w:val="nil"/>
              <w:bottom w:val="single" w:sz="4" w:space="0" w:color="auto"/>
              <w:right w:val="single" w:sz="8" w:space="0" w:color="auto"/>
            </w:tcBorders>
            <w:shd w:val="clear" w:color="000000" w:fill="DAE9F8"/>
            <w:noWrap/>
            <w:vAlign w:val="center"/>
            <w:hideMark/>
          </w:tcPr>
          <w:p w14:paraId="2C3089B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90" w:type="dxa"/>
            <w:tcBorders>
              <w:top w:val="nil"/>
              <w:left w:val="nil"/>
              <w:bottom w:val="single" w:sz="4" w:space="0" w:color="auto"/>
              <w:right w:val="single" w:sz="4" w:space="0" w:color="auto"/>
            </w:tcBorders>
            <w:noWrap/>
            <w:vAlign w:val="center"/>
            <w:hideMark/>
          </w:tcPr>
          <w:p w14:paraId="5D20467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8,81</w:t>
            </w:r>
          </w:p>
        </w:tc>
        <w:tc>
          <w:tcPr>
            <w:tcW w:w="755" w:type="dxa"/>
            <w:tcBorders>
              <w:top w:val="nil"/>
              <w:left w:val="nil"/>
              <w:bottom w:val="single" w:sz="4" w:space="0" w:color="auto"/>
              <w:right w:val="single" w:sz="4" w:space="0" w:color="auto"/>
            </w:tcBorders>
            <w:noWrap/>
            <w:vAlign w:val="center"/>
            <w:hideMark/>
          </w:tcPr>
          <w:p w14:paraId="3A3B146C"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56,15</w:t>
            </w:r>
          </w:p>
        </w:tc>
        <w:tc>
          <w:tcPr>
            <w:tcW w:w="755" w:type="dxa"/>
            <w:tcBorders>
              <w:top w:val="nil"/>
              <w:left w:val="nil"/>
              <w:bottom w:val="single" w:sz="4" w:space="0" w:color="auto"/>
              <w:right w:val="single" w:sz="8" w:space="0" w:color="auto"/>
            </w:tcBorders>
            <w:shd w:val="clear" w:color="000000" w:fill="DAE9F8"/>
            <w:noWrap/>
            <w:vAlign w:val="center"/>
            <w:hideMark/>
          </w:tcPr>
          <w:p w14:paraId="078B55FE"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67,31</w:t>
            </w:r>
          </w:p>
        </w:tc>
        <w:tc>
          <w:tcPr>
            <w:tcW w:w="800" w:type="dxa"/>
            <w:tcBorders>
              <w:top w:val="nil"/>
              <w:left w:val="nil"/>
              <w:bottom w:val="single" w:sz="4" w:space="0" w:color="auto"/>
              <w:right w:val="single" w:sz="4" w:space="0" w:color="auto"/>
            </w:tcBorders>
            <w:noWrap/>
            <w:vAlign w:val="center"/>
            <w:hideMark/>
          </w:tcPr>
          <w:p w14:paraId="076EB43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15,30</w:t>
            </w:r>
          </w:p>
        </w:tc>
        <w:tc>
          <w:tcPr>
            <w:tcW w:w="800" w:type="dxa"/>
            <w:tcBorders>
              <w:top w:val="nil"/>
              <w:left w:val="nil"/>
              <w:bottom w:val="single" w:sz="4" w:space="0" w:color="auto"/>
              <w:right w:val="single" w:sz="4" w:space="0" w:color="auto"/>
            </w:tcBorders>
            <w:noWrap/>
            <w:vAlign w:val="center"/>
            <w:hideMark/>
          </w:tcPr>
          <w:p w14:paraId="3D0350C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181,27</w:t>
            </w:r>
          </w:p>
        </w:tc>
        <w:tc>
          <w:tcPr>
            <w:tcW w:w="800" w:type="dxa"/>
            <w:tcBorders>
              <w:top w:val="nil"/>
              <w:left w:val="nil"/>
              <w:bottom w:val="single" w:sz="4" w:space="0" w:color="auto"/>
              <w:right w:val="single" w:sz="8" w:space="0" w:color="auto"/>
            </w:tcBorders>
            <w:shd w:val="clear" w:color="000000" w:fill="DAE9F8"/>
            <w:noWrap/>
            <w:vAlign w:val="center"/>
            <w:hideMark/>
          </w:tcPr>
          <w:p w14:paraId="433EDD1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27,51</w:t>
            </w:r>
          </w:p>
        </w:tc>
      </w:tr>
      <w:tr w:rsidR="005B5D1D" w:rsidRPr="007B779F" w14:paraId="3BAEB9B5"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035F5D77"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Mexique</w:t>
            </w:r>
          </w:p>
        </w:tc>
        <w:tc>
          <w:tcPr>
            <w:tcW w:w="811" w:type="dxa"/>
            <w:tcBorders>
              <w:top w:val="nil"/>
              <w:left w:val="single" w:sz="8" w:space="0" w:color="auto"/>
              <w:bottom w:val="single" w:sz="4" w:space="0" w:color="auto"/>
              <w:right w:val="single" w:sz="4" w:space="0" w:color="auto"/>
            </w:tcBorders>
            <w:noWrap/>
            <w:vAlign w:val="center"/>
            <w:hideMark/>
          </w:tcPr>
          <w:p w14:paraId="7C91517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2,15</w:t>
            </w:r>
          </w:p>
        </w:tc>
        <w:tc>
          <w:tcPr>
            <w:tcW w:w="795" w:type="dxa"/>
            <w:tcBorders>
              <w:top w:val="nil"/>
              <w:left w:val="nil"/>
              <w:bottom w:val="single" w:sz="4" w:space="0" w:color="auto"/>
              <w:right w:val="single" w:sz="4" w:space="0" w:color="auto"/>
            </w:tcBorders>
            <w:noWrap/>
            <w:vAlign w:val="center"/>
            <w:hideMark/>
          </w:tcPr>
          <w:p w14:paraId="6DEFBED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1,45</w:t>
            </w:r>
          </w:p>
        </w:tc>
        <w:tc>
          <w:tcPr>
            <w:tcW w:w="795" w:type="dxa"/>
            <w:tcBorders>
              <w:top w:val="nil"/>
              <w:left w:val="nil"/>
              <w:bottom w:val="single" w:sz="4" w:space="0" w:color="auto"/>
              <w:right w:val="single" w:sz="8" w:space="0" w:color="auto"/>
            </w:tcBorders>
            <w:shd w:val="clear" w:color="000000" w:fill="DAE9F8"/>
            <w:noWrap/>
            <w:vAlign w:val="center"/>
            <w:hideMark/>
          </w:tcPr>
          <w:p w14:paraId="21781764"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0,71</w:t>
            </w:r>
          </w:p>
        </w:tc>
        <w:tc>
          <w:tcPr>
            <w:tcW w:w="890" w:type="dxa"/>
            <w:tcBorders>
              <w:top w:val="nil"/>
              <w:left w:val="nil"/>
              <w:bottom w:val="single" w:sz="4" w:space="0" w:color="auto"/>
              <w:right w:val="single" w:sz="4" w:space="0" w:color="auto"/>
            </w:tcBorders>
            <w:noWrap/>
            <w:vAlign w:val="center"/>
            <w:hideMark/>
          </w:tcPr>
          <w:p w14:paraId="17262B7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0,07</w:t>
            </w:r>
          </w:p>
        </w:tc>
        <w:tc>
          <w:tcPr>
            <w:tcW w:w="755" w:type="dxa"/>
            <w:tcBorders>
              <w:top w:val="nil"/>
              <w:left w:val="nil"/>
              <w:bottom w:val="single" w:sz="4" w:space="0" w:color="auto"/>
              <w:right w:val="single" w:sz="4" w:space="0" w:color="auto"/>
            </w:tcBorders>
            <w:noWrap/>
            <w:vAlign w:val="center"/>
            <w:hideMark/>
          </w:tcPr>
          <w:p w14:paraId="2E5E9A2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55" w:type="dxa"/>
            <w:tcBorders>
              <w:top w:val="nil"/>
              <w:left w:val="nil"/>
              <w:bottom w:val="single" w:sz="4" w:space="0" w:color="auto"/>
              <w:right w:val="single" w:sz="8" w:space="0" w:color="auto"/>
            </w:tcBorders>
            <w:shd w:val="clear" w:color="000000" w:fill="DAE9F8"/>
            <w:noWrap/>
            <w:vAlign w:val="center"/>
            <w:hideMark/>
          </w:tcPr>
          <w:p w14:paraId="7E4B76F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00" w:type="dxa"/>
            <w:tcBorders>
              <w:top w:val="nil"/>
              <w:left w:val="nil"/>
              <w:bottom w:val="single" w:sz="4" w:space="0" w:color="auto"/>
              <w:right w:val="single" w:sz="4" w:space="0" w:color="auto"/>
            </w:tcBorders>
            <w:noWrap/>
            <w:vAlign w:val="center"/>
            <w:hideMark/>
          </w:tcPr>
          <w:p w14:paraId="301EFA0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0,62</w:t>
            </w:r>
          </w:p>
        </w:tc>
        <w:tc>
          <w:tcPr>
            <w:tcW w:w="800" w:type="dxa"/>
            <w:tcBorders>
              <w:top w:val="nil"/>
              <w:left w:val="nil"/>
              <w:bottom w:val="single" w:sz="4" w:space="0" w:color="auto"/>
              <w:right w:val="single" w:sz="4" w:space="0" w:color="auto"/>
            </w:tcBorders>
            <w:noWrap/>
            <w:vAlign w:val="center"/>
            <w:hideMark/>
          </w:tcPr>
          <w:p w14:paraId="2F6ACFC3"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0,14</w:t>
            </w:r>
          </w:p>
        </w:tc>
        <w:tc>
          <w:tcPr>
            <w:tcW w:w="800" w:type="dxa"/>
            <w:tcBorders>
              <w:top w:val="nil"/>
              <w:left w:val="nil"/>
              <w:bottom w:val="single" w:sz="4" w:space="0" w:color="auto"/>
              <w:right w:val="single" w:sz="8" w:space="0" w:color="auto"/>
            </w:tcBorders>
            <w:shd w:val="clear" w:color="000000" w:fill="DAE9F8"/>
            <w:noWrap/>
            <w:vAlign w:val="center"/>
            <w:hideMark/>
          </w:tcPr>
          <w:p w14:paraId="2FB130E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0,44</w:t>
            </w:r>
          </w:p>
        </w:tc>
      </w:tr>
      <w:tr w:rsidR="005B5D1D" w:rsidRPr="007B779F" w14:paraId="003B0D8C"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391724C7"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Panama</w:t>
            </w:r>
          </w:p>
        </w:tc>
        <w:tc>
          <w:tcPr>
            <w:tcW w:w="811" w:type="dxa"/>
            <w:tcBorders>
              <w:top w:val="nil"/>
              <w:left w:val="single" w:sz="8" w:space="0" w:color="auto"/>
              <w:bottom w:val="single" w:sz="4" w:space="0" w:color="auto"/>
              <w:right w:val="single" w:sz="4" w:space="0" w:color="auto"/>
            </w:tcBorders>
            <w:noWrap/>
            <w:vAlign w:val="center"/>
            <w:hideMark/>
          </w:tcPr>
          <w:p w14:paraId="47EABFD5"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95" w:type="dxa"/>
            <w:tcBorders>
              <w:top w:val="nil"/>
              <w:left w:val="nil"/>
              <w:bottom w:val="single" w:sz="4" w:space="0" w:color="auto"/>
              <w:right w:val="single" w:sz="4" w:space="0" w:color="auto"/>
            </w:tcBorders>
            <w:noWrap/>
            <w:vAlign w:val="center"/>
            <w:hideMark/>
          </w:tcPr>
          <w:p w14:paraId="13CE2A8B"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95" w:type="dxa"/>
            <w:tcBorders>
              <w:top w:val="nil"/>
              <w:left w:val="nil"/>
              <w:bottom w:val="single" w:sz="4" w:space="0" w:color="auto"/>
              <w:right w:val="single" w:sz="8" w:space="0" w:color="auto"/>
            </w:tcBorders>
            <w:shd w:val="clear" w:color="000000" w:fill="DAE9F8"/>
            <w:noWrap/>
            <w:vAlign w:val="center"/>
            <w:hideMark/>
          </w:tcPr>
          <w:p w14:paraId="6742DA0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90" w:type="dxa"/>
            <w:tcBorders>
              <w:top w:val="nil"/>
              <w:left w:val="nil"/>
              <w:bottom w:val="single" w:sz="4" w:space="0" w:color="auto"/>
              <w:right w:val="single" w:sz="4" w:space="0" w:color="auto"/>
            </w:tcBorders>
            <w:noWrap/>
            <w:vAlign w:val="center"/>
            <w:hideMark/>
          </w:tcPr>
          <w:p w14:paraId="0AB24B75"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55" w:type="dxa"/>
            <w:tcBorders>
              <w:top w:val="nil"/>
              <w:left w:val="nil"/>
              <w:bottom w:val="single" w:sz="4" w:space="0" w:color="auto"/>
              <w:right w:val="single" w:sz="4" w:space="0" w:color="auto"/>
            </w:tcBorders>
            <w:noWrap/>
            <w:vAlign w:val="center"/>
            <w:hideMark/>
          </w:tcPr>
          <w:p w14:paraId="75057AF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55" w:type="dxa"/>
            <w:tcBorders>
              <w:top w:val="nil"/>
              <w:left w:val="nil"/>
              <w:bottom w:val="single" w:sz="4" w:space="0" w:color="auto"/>
              <w:right w:val="single" w:sz="8" w:space="0" w:color="auto"/>
            </w:tcBorders>
            <w:shd w:val="clear" w:color="000000" w:fill="DAE9F8"/>
            <w:noWrap/>
            <w:vAlign w:val="center"/>
            <w:hideMark/>
          </w:tcPr>
          <w:p w14:paraId="6E4BC0D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00" w:type="dxa"/>
            <w:tcBorders>
              <w:top w:val="nil"/>
              <w:left w:val="nil"/>
              <w:bottom w:val="single" w:sz="4" w:space="0" w:color="auto"/>
              <w:right w:val="single" w:sz="4" w:space="0" w:color="auto"/>
            </w:tcBorders>
            <w:noWrap/>
            <w:vAlign w:val="center"/>
            <w:hideMark/>
          </w:tcPr>
          <w:p w14:paraId="6B326B1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2,75</w:t>
            </w:r>
          </w:p>
        </w:tc>
        <w:tc>
          <w:tcPr>
            <w:tcW w:w="800" w:type="dxa"/>
            <w:tcBorders>
              <w:top w:val="nil"/>
              <w:left w:val="nil"/>
              <w:bottom w:val="single" w:sz="4" w:space="0" w:color="auto"/>
              <w:right w:val="single" w:sz="4" w:space="0" w:color="auto"/>
            </w:tcBorders>
            <w:noWrap/>
            <w:vAlign w:val="center"/>
            <w:hideMark/>
          </w:tcPr>
          <w:p w14:paraId="08437A53"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00" w:type="dxa"/>
            <w:tcBorders>
              <w:top w:val="nil"/>
              <w:left w:val="nil"/>
              <w:bottom w:val="single" w:sz="4" w:space="0" w:color="auto"/>
              <w:right w:val="single" w:sz="8" w:space="0" w:color="auto"/>
            </w:tcBorders>
            <w:shd w:val="clear" w:color="000000" w:fill="DAE9F8"/>
            <w:noWrap/>
            <w:vAlign w:val="center"/>
            <w:hideMark/>
          </w:tcPr>
          <w:p w14:paraId="1FB8665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r>
      <w:tr w:rsidR="005B5D1D" w:rsidRPr="007B779F" w14:paraId="0DAA5CCE"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74836396"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Fédération de Russie</w:t>
            </w:r>
          </w:p>
        </w:tc>
        <w:tc>
          <w:tcPr>
            <w:tcW w:w="811" w:type="dxa"/>
            <w:tcBorders>
              <w:top w:val="nil"/>
              <w:left w:val="single" w:sz="8" w:space="0" w:color="auto"/>
              <w:bottom w:val="single" w:sz="4" w:space="0" w:color="auto"/>
              <w:right w:val="single" w:sz="4" w:space="0" w:color="auto"/>
            </w:tcBorders>
            <w:noWrap/>
            <w:vAlign w:val="center"/>
            <w:hideMark/>
          </w:tcPr>
          <w:p w14:paraId="6F90666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95" w:type="dxa"/>
            <w:tcBorders>
              <w:top w:val="nil"/>
              <w:left w:val="nil"/>
              <w:bottom w:val="single" w:sz="4" w:space="0" w:color="auto"/>
              <w:right w:val="single" w:sz="4" w:space="0" w:color="auto"/>
            </w:tcBorders>
            <w:noWrap/>
            <w:vAlign w:val="center"/>
            <w:hideMark/>
          </w:tcPr>
          <w:p w14:paraId="11B48D4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95" w:type="dxa"/>
            <w:tcBorders>
              <w:top w:val="nil"/>
              <w:left w:val="nil"/>
              <w:bottom w:val="single" w:sz="4" w:space="0" w:color="auto"/>
              <w:right w:val="single" w:sz="8" w:space="0" w:color="auto"/>
            </w:tcBorders>
            <w:shd w:val="clear" w:color="000000" w:fill="DAE9F8"/>
            <w:noWrap/>
            <w:vAlign w:val="center"/>
            <w:hideMark/>
          </w:tcPr>
          <w:p w14:paraId="569BAD63"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90" w:type="dxa"/>
            <w:tcBorders>
              <w:top w:val="nil"/>
              <w:left w:val="nil"/>
              <w:bottom w:val="single" w:sz="4" w:space="0" w:color="auto"/>
              <w:right w:val="single" w:sz="4" w:space="0" w:color="auto"/>
            </w:tcBorders>
            <w:noWrap/>
            <w:vAlign w:val="center"/>
            <w:hideMark/>
          </w:tcPr>
          <w:p w14:paraId="2D578057"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55" w:type="dxa"/>
            <w:tcBorders>
              <w:top w:val="nil"/>
              <w:left w:val="nil"/>
              <w:bottom w:val="single" w:sz="4" w:space="0" w:color="auto"/>
              <w:right w:val="single" w:sz="4" w:space="0" w:color="auto"/>
            </w:tcBorders>
            <w:noWrap/>
            <w:vAlign w:val="center"/>
            <w:hideMark/>
          </w:tcPr>
          <w:p w14:paraId="10E3472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55" w:type="dxa"/>
            <w:tcBorders>
              <w:top w:val="nil"/>
              <w:left w:val="nil"/>
              <w:bottom w:val="single" w:sz="4" w:space="0" w:color="auto"/>
              <w:right w:val="single" w:sz="8" w:space="0" w:color="auto"/>
            </w:tcBorders>
            <w:shd w:val="clear" w:color="000000" w:fill="DAE9F8"/>
            <w:noWrap/>
            <w:vAlign w:val="center"/>
            <w:hideMark/>
          </w:tcPr>
          <w:p w14:paraId="7A2C4EF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00" w:type="dxa"/>
            <w:tcBorders>
              <w:top w:val="nil"/>
              <w:left w:val="nil"/>
              <w:bottom w:val="single" w:sz="4" w:space="0" w:color="auto"/>
              <w:right w:val="single" w:sz="4" w:space="0" w:color="auto"/>
            </w:tcBorders>
            <w:noWrap/>
            <w:vAlign w:val="center"/>
            <w:hideMark/>
          </w:tcPr>
          <w:p w14:paraId="10DE70B7"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0,25</w:t>
            </w:r>
          </w:p>
        </w:tc>
        <w:tc>
          <w:tcPr>
            <w:tcW w:w="800" w:type="dxa"/>
            <w:tcBorders>
              <w:top w:val="nil"/>
              <w:left w:val="nil"/>
              <w:bottom w:val="single" w:sz="4" w:space="0" w:color="auto"/>
              <w:right w:val="single" w:sz="4" w:space="0" w:color="auto"/>
            </w:tcBorders>
            <w:noWrap/>
            <w:vAlign w:val="center"/>
            <w:hideMark/>
          </w:tcPr>
          <w:p w14:paraId="4096D04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1,13</w:t>
            </w:r>
          </w:p>
        </w:tc>
        <w:tc>
          <w:tcPr>
            <w:tcW w:w="800" w:type="dxa"/>
            <w:tcBorders>
              <w:top w:val="nil"/>
              <w:left w:val="nil"/>
              <w:bottom w:val="single" w:sz="4" w:space="0" w:color="auto"/>
              <w:right w:val="single" w:sz="8" w:space="0" w:color="auto"/>
            </w:tcBorders>
            <w:shd w:val="clear" w:color="000000" w:fill="DAE9F8"/>
            <w:noWrap/>
            <w:vAlign w:val="center"/>
            <w:hideMark/>
          </w:tcPr>
          <w:p w14:paraId="74C03B2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0,05</w:t>
            </w:r>
          </w:p>
        </w:tc>
      </w:tr>
      <w:tr w:rsidR="005B5D1D" w:rsidRPr="007B779F" w14:paraId="5C034307"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5BB6F445"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Trinité-et-Tobago</w:t>
            </w:r>
          </w:p>
        </w:tc>
        <w:tc>
          <w:tcPr>
            <w:tcW w:w="811" w:type="dxa"/>
            <w:tcBorders>
              <w:top w:val="nil"/>
              <w:left w:val="single" w:sz="8" w:space="0" w:color="auto"/>
              <w:bottom w:val="single" w:sz="4" w:space="0" w:color="auto"/>
              <w:right w:val="single" w:sz="4" w:space="0" w:color="auto"/>
            </w:tcBorders>
            <w:noWrap/>
            <w:vAlign w:val="center"/>
            <w:hideMark/>
          </w:tcPr>
          <w:p w14:paraId="14C5E61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0,25</w:t>
            </w:r>
          </w:p>
        </w:tc>
        <w:tc>
          <w:tcPr>
            <w:tcW w:w="795" w:type="dxa"/>
            <w:tcBorders>
              <w:top w:val="nil"/>
              <w:left w:val="nil"/>
              <w:bottom w:val="single" w:sz="4" w:space="0" w:color="auto"/>
              <w:right w:val="single" w:sz="4" w:space="0" w:color="auto"/>
            </w:tcBorders>
            <w:noWrap/>
            <w:vAlign w:val="center"/>
            <w:hideMark/>
          </w:tcPr>
          <w:p w14:paraId="0717DC57"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0,13</w:t>
            </w:r>
          </w:p>
        </w:tc>
        <w:tc>
          <w:tcPr>
            <w:tcW w:w="795" w:type="dxa"/>
            <w:tcBorders>
              <w:top w:val="nil"/>
              <w:left w:val="nil"/>
              <w:bottom w:val="single" w:sz="4" w:space="0" w:color="auto"/>
              <w:right w:val="single" w:sz="8" w:space="0" w:color="auto"/>
            </w:tcBorders>
            <w:shd w:val="clear" w:color="000000" w:fill="DAE9F8"/>
            <w:noWrap/>
            <w:vAlign w:val="center"/>
            <w:hideMark/>
          </w:tcPr>
          <w:p w14:paraId="396CB7FE"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0,08</w:t>
            </w:r>
          </w:p>
        </w:tc>
        <w:tc>
          <w:tcPr>
            <w:tcW w:w="890" w:type="dxa"/>
            <w:tcBorders>
              <w:top w:val="nil"/>
              <w:left w:val="nil"/>
              <w:bottom w:val="single" w:sz="4" w:space="0" w:color="auto"/>
              <w:right w:val="single" w:sz="4" w:space="0" w:color="auto"/>
            </w:tcBorders>
            <w:noWrap/>
            <w:vAlign w:val="center"/>
            <w:hideMark/>
          </w:tcPr>
          <w:p w14:paraId="1ADB629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55" w:type="dxa"/>
            <w:tcBorders>
              <w:top w:val="nil"/>
              <w:left w:val="nil"/>
              <w:bottom w:val="single" w:sz="4" w:space="0" w:color="auto"/>
              <w:right w:val="single" w:sz="4" w:space="0" w:color="auto"/>
            </w:tcBorders>
            <w:noWrap/>
            <w:vAlign w:val="center"/>
            <w:hideMark/>
          </w:tcPr>
          <w:p w14:paraId="6D611F9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55" w:type="dxa"/>
            <w:tcBorders>
              <w:top w:val="nil"/>
              <w:left w:val="nil"/>
              <w:bottom w:val="single" w:sz="4" w:space="0" w:color="auto"/>
              <w:right w:val="single" w:sz="8" w:space="0" w:color="auto"/>
            </w:tcBorders>
            <w:shd w:val="clear" w:color="000000" w:fill="DAE9F8"/>
            <w:noWrap/>
            <w:vAlign w:val="center"/>
            <w:hideMark/>
          </w:tcPr>
          <w:p w14:paraId="4206495C"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00" w:type="dxa"/>
            <w:tcBorders>
              <w:top w:val="nil"/>
              <w:left w:val="nil"/>
              <w:bottom w:val="single" w:sz="4" w:space="0" w:color="auto"/>
              <w:right w:val="single" w:sz="4" w:space="0" w:color="auto"/>
            </w:tcBorders>
            <w:noWrap/>
            <w:vAlign w:val="center"/>
            <w:hideMark/>
          </w:tcPr>
          <w:p w14:paraId="0639365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00" w:type="dxa"/>
            <w:tcBorders>
              <w:top w:val="nil"/>
              <w:left w:val="nil"/>
              <w:bottom w:val="single" w:sz="4" w:space="0" w:color="auto"/>
              <w:right w:val="single" w:sz="4" w:space="0" w:color="auto"/>
            </w:tcBorders>
            <w:noWrap/>
            <w:vAlign w:val="center"/>
            <w:hideMark/>
          </w:tcPr>
          <w:p w14:paraId="5BE6CBB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00" w:type="dxa"/>
            <w:tcBorders>
              <w:top w:val="nil"/>
              <w:left w:val="nil"/>
              <w:bottom w:val="single" w:sz="4" w:space="0" w:color="auto"/>
              <w:right w:val="single" w:sz="8" w:space="0" w:color="auto"/>
            </w:tcBorders>
            <w:shd w:val="clear" w:color="000000" w:fill="DAE9F8"/>
            <w:noWrap/>
            <w:vAlign w:val="center"/>
            <w:hideMark/>
          </w:tcPr>
          <w:p w14:paraId="402163E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r>
      <w:tr w:rsidR="005B5D1D" w:rsidRPr="007B779F" w14:paraId="1A60821F"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042F4BC6"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RU-Bermudes</w:t>
            </w:r>
          </w:p>
        </w:tc>
        <w:tc>
          <w:tcPr>
            <w:tcW w:w="811" w:type="dxa"/>
            <w:tcBorders>
              <w:top w:val="nil"/>
              <w:left w:val="single" w:sz="8" w:space="0" w:color="auto"/>
              <w:bottom w:val="single" w:sz="4" w:space="0" w:color="auto"/>
              <w:right w:val="single" w:sz="4" w:space="0" w:color="auto"/>
            </w:tcBorders>
            <w:noWrap/>
            <w:vAlign w:val="center"/>
            <w:hideMark/>
          </w:tcPr>
          <w:p w14:paraId="257A917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95" w:type="dxa"/>
            <w:tcBorders>
              <w:top w:val="nil"/>
              <w:left w:val="nil"/>
              <w:bottom w:val="single" w:sz="4" w:space="0" w:color="auto"/>
              <w:right w:val="single" w:sz="4" w:space="0" w:color="auto"/>
            </w:tcBorders>
            <w:noWrap/>
            <w:vAlign w:val="center"/>
            <w:hideMark/>
          </w:tcPr>
          <w:p w14:paraId="6A2A83D3"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95" w:type="dxa"/>
            <w:tcBorders>
              <w:top w:val="nil"/>
              <w:left w:val="nil"/>
              <w:bottom w:val="single" w:sz="4" w:space="0" w:color="auto"/>
              <w:right w:val="single" w:sz="8" w:space="0" w:color="auto"/>
            </w:tcBorders>
            <w:shd w:val="clear" w:color="000000" w:fill="DAE9F8"/>
            <w:noWrap/>
            <w:vAlign w:val="center"/>
            <w:hideMark/>
          </w:tcPr>
          <w:p w14:paraId="7C10257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90" w:type="dxa"/>
            <w:tcBorders>
              <w:top w:val="nil"/>
              <w:left w:val="nil"/>
              <w:bottom w:val="single" w:sz="4" w:space="0" w:color="auto"/>
              <w:right w:val="single" w:sz="4" w:space="0" w:color="auto"/>
            </w:tcBorders>
            <w:noWrap/>
            <w:vAlign w:val="center"/>
            <w:hideMark/>
          </w:tcPr>
          <w:p w14:paraId="1279608E"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755" w:type="dxa"/>
            <w:tcBorders>
              <w:top w:val="nil"/>
              <w:left w:val="nil"/>
              <w:bottom w:val="single" w:sz="4" w:space="0" w:color="auto"/>
              <w:right w:val="single" w:sz="4" w:space="0" w:color="auto"/>
            </w:tcBorders>
            <w:noWrap/>
            <w:vAlign w:val="center"/>
            <w:hideMark/>
          </w:tcPr>
          <w:p w14:paraId="5579EED7"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55" w:type="dxa"/>
            <w:tcBorders>
              <w:top w:val="nil"/>
              <w:left w:val="nil"/>
              <w:bottom w:val="single" w:sz="4" w:space="0" w:color="auto"/>
              <w:right w:val="single" w:sz="8" w:space="0" w:color="auto"/>
            </w:tcBorders>
            <w:shd w:val="clear" w:color="000000" w:fill="DAE9F8"/>
            <w:noWrap/>
            <w:vAlign w:val="center"/>
            <w:hideMark/>
          </w:tcPr>
          <w:p w14:paraId="41CCA45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00" w:type="dxa"/>
            <w:tcBorders>
              <w:top w:val="nil"/>
              <w:left w:val="nil"/>
              <w:bottom w:val="single" w:sz="4" w:space="0" w:color="auto"/>
              <w:right w:val="single" w:sz="4" w:space="0" w:color="auto"/>
            </w:tcBorders>
            <w:noWrap/>
            <w:vAlign w:val="center"/>
            <w:hideMark/>
          </w:tcPr>
          <w:p w14:paraId="62C98F9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0,04</w:t>
            </w:r>
          </w:p>
        </w:tc>
        <w:tc>
          <w:tcPr>
            <w:tcW w:w="800" w:type="dxa"/>
            <w:tcBorders>
              <w:top w:val="nil"/>
              <w:left w:val="nil"/>
              <w:bottom w:val="single" w:sz="4" w:space="0" w:color="auto"/>
              <w:right w:val="single" w:sz="4" w:space="0" w:color="auto"/>
            </w:tcBorders>
            <w:noWrap/>
            <w:vAlign w:val="center"/>
            <w:hideMark/>
          </w:tcPr>
          <w:p w14:paraId="6995B87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0,09</w:t>
            </w:r>
          </w:p>
        </w:tc>
        <w:tc>
          <w:tcPr>
            <w:tcW w:w="800" w:type="dxa"/>
            <w:tcBorders>
              <w:top w:val="nil"/>
              <w:left w:val="nil"/>
              <w:bottom w:val="single" w:sz="4" w:space="0" w:color="auto"/>
              <w:right w:val="single" w:sz="8" w:space="0" w:color="auto"/>
            </w:tcBorders>
            <w:shd w:val="clear" w:color="000000" w:fill="DAE9F8"/>
            <w:noWrap/>
            <w:vAlign w:val="center"/>
            <w:hideMark/>
          </w:tcPr>
          <w:p w14:paraId="2FD1B02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0,09</w:t>
            </w:r>
          </w:p>
        </w:tc>
      </w:tr>
      <w:tr w:rsidR="005B5D1D" w:rsidRPr="007B779F" w14:paraId="2B618455" w14:textId="77777777" w:rsidTr="007C17C6">
        <w:trPr>
          <w:trHeight w:val="395"/>
        </w:trPr>
        <w:tc>
          <w:tcPr>
            <w:tcW w:w="2080" w:type="dxa"/>
            <w:tcBorders>
              <w:top w:val="nil"/>
              <w:left w:val="single" w:sz="8" w:space="0" w:color="auto"/>
              <w:bottom w:val="single" w:sz="4" w:space="0" w:color="auto"/>
              <w:right w:val="nil"/>
            </w:tcBorders>
            <w:noWrap/>
            <w:vAlign w:val="center"/>
            <w:hideMark/>
          </w:tcPr>
          <w:p w14:paraId="036C9597"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États-Unis</w:t>
            </w:r>
          </w:p>
        </w:tc>
        <w:tc>
          <w:tcPr>
            <w:tcW w:w="811" w:type="dxa"/>
            <w:tcBorders>
              <w:top w:val="nil"/>
              <w:left w:val="single" w:sz="8" w:space="0" w:color="auto"/>
              <w:bottom w:val="single" w:sz="4" w:space="0" w:color="auto"/>
              <w:right w:val="single" w:sz="4" w:space="0" w:color="auto"/>
            </w:tcBorders>
            <w:noWrap/>
            <w:vAlign w:val="center"/>
            <w:hideMark/>
          </w:tcPr>
          <w:p w14:paraId="77B3696A"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0,29</w:t>
            </w:r>
          </w:p>
        </w:tc>
        <w:tc>
          <w:tcPr>
            <w:tcW w:w="795" w:type="dxa"/>
            <w:tcBorders>
              <w:top w:val="nil"/>
              <w:left w:val="nil"/>
              <w:bottom w:val="single" w:sz="4" w:space="0" w:color="auto"/>
              <w:right w:val="single" w:sz="4" w:space="0" w:color="auto"/>
            </w:tcBorders>
            <w:noWrap/>
            <w:vAlign w:val="center"/>
            <w:hideMark/>
          </w:tcPr>
          <w:p w14:paraId="38E0041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0,98</w:t>
            </w:r>
          </w:p>
        </w:tc>
        <w:tc>
          <w:tcPr>
            <w:tcW w:w="795" w:type="dxa"/>
            <w:tcBorders>
              <w:top w:val="nil"/>
              <w:left w:val="nil"/>
              <w:bottom w:val="single" w:sz="4" w:space="0" w:color="auto"/>
              <w:right w:val="single" w:sz="8" w:space="0" w:color="auto"/>
            </w:tcBorders>
            <w:shd w:val="clear" w:color="000000" w:fill="DAE9F8"/>
            <w:noWrap/>
            <w:vAlign w:val="center"/>
            <w:hideMark/>
          </w:tcPr>
          <w:p w14:paraId="050AA913"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c>
          <w:tcPr>
            <w:tcW w:w="890" w:type="dxa"/>
            <w:tcBorders>
              <w:top w:val="nil"/>
              <w:left w:val="nil"/>
              <w:bottom w:val="single" w:sz="4" w:space="0" w:color="auto"/>
              <w:right w:val="single" w:sz="4" w:space="0" w:color="auto"/>
            </w:tcBorders>
            <w:noWrap/>
            <w:vAlign w:val="center"/>
            <w:hideMark/>
          </w:tcPr>
          <w:p w14:paraId="0504FDE5"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28,62</w:t>
            </w:r>
          </w:p>
        </w:tc>
        <w:tc>
          <w:tcPr>
            <w:tcW w:w="755" w:type="dxa"/>
            <w:tcBorders>
              <w:top w:val="nil"/>
              <w:left w:val="nil"/>
              <w:bottom w:val="single" w:sz="4" w:space="0" w:color="auto"/>
              <w:right w:val="single" w:sz="4" w:space="0" w:color="auto"/>
            </w:tcBorders>
            <w:noWrap/>
            <w:vAlign w:val="center"/>
            <w:hideMark/>
          </w:tcPr>
          <w:p w14:paraId="2B8CF25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9,33</w:t>
            </w:r>
          </w:p>
        </w:tc>
        <w:tc>
          <w:tcPr>
            <w:tcW w:w="755" w:type="dxa"/>
            <w:tcBorders>
              <w:top w:val="nil"/>
              <w:left w:val="nil"/>
              <w:bottom w:val="single" w:sz="4" w:space="0" w:color="auto"/>
              <w:right w:val="single" w:sz="8" w:space="0" w:color="auto"/>
            </w:tcBorders>
            <w:shd w:val="clear" w:color="000000" w:fill="DAE9F8"/>
            <w:noWrap/>
            <w:vAlign w:val="center"/>
            <w:hideMark/>
          </w:tcPr>
          <w:p w14:paraId="5938C2C6"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19,48</w:t>
            </w:r>
          </w:p>
        </w:tc>
        <w:tc>
          <w:tcPr>
            <w:tcW w:w="800" w:type="dxa"/>
            <w:tcBorders>
              <w:top w:val="nil"/>
              <w:left w:val="nil"/>
              <w:bottom w:val="single" w:sz="4" w:space="0" w:color="auto"/>
              <w:right w:val="single" w:sz="4" w:space="0" w:color="auto"/>
            </w:tcBorders>
            <w:noWrap/>
            <w:vAlign w:val="center"/>
            <w:hideMark/>
          </w:tcPr>
          <w:p w14:paraId="71950C5B"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43,75</w:t>
            </w:r>
          </w:p>
        </w:tc>
        <w:tc>
          <w:tcPr>
            <w:tcW w:w="800" w:type="dxa"/>
            <w:tcBorders>
              <w:top w:val="nil"/>
              <w:left w:val="nil"/>
              <w:bottom w:val="single" w:sz="4" w:space="0" w:color="auto"/>
              <w:right w:val="single" w:sz="4" w:space="0" w:color="auto"/>
            </w:tcBorders>
            <w:noWrap/>
            <w:vAlign w:val="center"/>
            <w:hideMark/>
          </w:tcPr>
          <w:p w14:paraId="7E07E48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34,82</w:t>
            </w:r>
          </w:p>
        </w:tc>
        <w:tc>
          <w:tcPr>
            <w:tcW w:w="800" w:type="dxa"/>
            <w:tcBorders>
              <w:top w:val="nil"/>
              <w:left w:val="nil"/>
              <w:bottom w:val="single" w:sz="4" w:space="0" w:color="auto"/>
              <w:right w:val="single" w:sz="8" w:space="0" w:color="auto"/>
            </w:tcBorders>
            <w:shd w:val="clear" w:color="000000" w:fill="DAE9F8"/>
            <w:noWrap/>
            <w:vAlign w:val="center"/>
            <w:hideMark/>
          </w:tcPr>
          <w:p w14:paraId="0FD64D56"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37,53</w:t>
            </w:r>
          </w:p>
        </w:tc>
      </w:tr>
      <w:tr w:rsidR="005B5D1D" w:rsidRPr="007B779F" w14:paraId="1471FE9C" w14:textId="77777777" w:rsidTr="007C17C6">
        <w:trPr>
          <w:trHeight w:val="395"/>
        </w:trPr>
        <w:tc>
          <w:tcPr>
            <w:tcW w:w="2080" w:type="dxa"/>
            <w:tcBorders>
              <w:top w:val="nil"/>
              <w:left w:val="single" w:sz="8" w:space="0" w:color="auto"/>
              <w:bottom w:val="nil"/>
              <w:right w:val="nil"/>
            </w:tcBorders>
            <w:noWrap/>
            <w:vAlign w:val="center"/>
            <w:hideMark/>
          </w:tcPr>
          <w:p w14:paraId="571E6B2C"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Venezuela</w:t>
            </w:r>
          </w:p>
        </w:tc>
        <w:tc>
          <w:tcPr>
            <w:tcW w:w="811" w:type="dxa"/>
            <w:tcBorders>
              <w:top w:val="nil"/>
              <w:left w:val="single" w:sz="8" w:space="0" w:color="auto"/>
              <w:bottom w:val="nil"/>
              <w:right w:val="single" w:sz="4" w:space="0" w:color="auto"/>
            </w:tcBorders>
            <w:noWrap/>
            <w:vAlign w:val="center"/>
            <w:hideMark/>
          </w:tcPr>
          <w:p w14:paraId="45025CF6"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5,76</w:t>
            </w:r>
          </w:p>
        </w:tc>
        <w:tc>
          <w:tcPr>
            <w:tcW w:w="795" w:type="dxa"/>
            <w:tcBorders>
              <w:top w:val="nil"/>
              <w:left w:val="nil"/>
              <w:bottom w:val="nil"/>
              <w:right w:val="single" w:sz="4" w:space="0" w:color="auto"/>
            </w:tcBorders>
            <w:noWrap/>
            <w:vAlign w:val="center"/>
            <w:hideMark/>
          </w:tcPr>
          <w:p w14:paraId="06B52B6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5,07</w:t>
            </w:r>
          </w:p>
        </w:tc>
        <w:tc>
          <w:tcPr>
            <w:tcW w:w="795" w:type="dxa"/>
            <w:tcBorders>
              <w:top w:val="nil"/>
              <w:left w:val="nil"/>
              <w:bottom w:val="nil"/>
              <w:right w:val="single" w:sz="8" w:space="0" w:color="auto"/>
            </w:tcBorders>
            <w:shd w:val="clear" w:color="000000" w:fill="DAE9F8"/>
            <w:noWrap/>
            <w:vAlign w:val="center"/>
            <w:hideMark/>
          </w:tcPr>
          <w:p w14:paraId="6F4DCBD4"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1,36</w:t>
            </w:r>
          </w:p>
        </w:tc>
        <w:tc>
          <w:tcPr>
            <w:tcW w:w="890" w:type="dxa"/>
            <w:tcBorders>
              <w:top w:val="nil"/>
              <w:left w:val="nil"/>
              <w:bottom w:val="nil"/>
              <w:right w:val="single" w:sz="4" w:space="0" w:color="auto"/>
            </w:tcBorders>
            <w:noWrap/>
            <w:vAlign w:val="center"/>
            <w:hideMark/>
          </w:tcPr>
          <w:p w14:paraId="1691689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55" w:type="dxa"/>
            <w:tcBorders>
              <w:top w:val="nil"/>
              <w:left w:val="nil"/>
              <w:bottom w:val="nil"/>
              <w:right w:val="single" w:sz="4" w:space="0" w:color="auto"/>
            </w:tcBorders>
            <w:noWrap/>
            <w:vAlign w:val="center"/>
            <w:hideMark/>
          </w:tcPr>
          <w:p w14:paraId="636579E3"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755" w:type="dxa"/>
            <w:tcBorders>
              <w:top w:val="nil"/>
              <w:left w:val="nil"/>
              <w:bottom w:val="nil"/>
              <w:right w:val="single" w:sz="8" w:space="0" w:color="auto"/>
            </w:tcBorders>
            <w:shd w:val="clear" w:color="000000" w:fill="DAE9F8"/>
            <w:noWrap/>
            <w:vAlign w:val="center"/>
            <w:hideMark/>
          </w:tcPr>
          <w:p w14:paraId="4701D2EE"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00" w:type="dxa"/>
            <w:tcBorders>
              <w:top w:val="nil"/>
              <w:left w:val="nil"/>
              <w:bottom w:val="nil"/>
              <w:right w:val="single" w:sz="4" w:space="0" w:color="auto"/>
            </w:tcBorders>
            <w:noWrap/>
            <w:vAlign w:val="center"/>
            <w:hideMark/>
          </w:tcPr>
          <w:p w14:paraId="2C05C9A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00" w:type="dxa"/>
            <w:tcBorders>
              <w:top w:val="nil"/>
              <w:left w:val="nil"/>
              <w:bottom w:val="nil"/>
              <w:right w:val="single" w:sz="4" w:space="0" w:color="auto"/>
            </w:tcBorders>
            <w:noWrap/>
            <w:vAlign w:val="center"/>
            <w:hideMark/>
          </w:tcPr>
          <w:p w14:paraId="7515F9A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c>
          <w:tcPr>
            <w:tcW w:w="800" w:type="dxa"/>
            <w:tcBorders>
              <w:top w:val="nil"/>
              <w:left w:val="nil"/>
              <w:bottom w:val="nil"/>
              <w:right w:val="single" w:sz="8" w:space="0" w:color="auto"/>
            </w:tcBorders>
            <w:shd w:val="clear" w:color="000000" w:fill="DAE9F8"/>
            <w:noWrap/>
            <w:vAlign w:val="center"/>
            <w:hideMark/>
          </w:tcPr>
          <w:p w14:paraId="6717BB1C"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 </w:t>
            </w:r>
          </w:p>
        </w:tc>
      </w:tr>
      <w:tr w:rsidR="005B5D1D" w:rsidRPr="007B779F" w14:paraId="05E628AF" w14:textId="77777777" w:rsidTr="007C17C6">
        <w:trPr>
          <w:trHeight w:val="395"/>
        </w:trPr>
        <w:tc>
          <w:tcPr>
            <w:tcW w:w="2080"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74416D8D" w14:textId="77777777" w:rsidR="005B5D1D" w:rsidRPr="007B779F" w:rsidRDefault="005B5D1D" w:rsidP="007C17C6">
            <w:pPr>
              <w:rPr>
                <w:rFonts w:ascii="Cambria" w:hAnsi="Cambria"/>
                <w:b/>
                <w:bCs/>
                <w:color w:val="000000"/>
                <w:sz w:val="18"/>
                <w:szCs w:val="18"/>
              </w:rPr>
            </w:pPr>
            <w:r w:rsidRPr="007B779F">
              <w:rPr>
                <w:rFonts w:ascii="Cambria" w:hAnsi="Cambria"/>
                <w:b/>
                <w:color w:val="000000"/>
                <w:sz w:val="18"/>
                <w:szCs w:val="18"/>
              </w:rPr>
              <w:t>TOTAL</w:t>
            </w:r>
          </w:p>
        </w:tc>
        <w:tc>
          <w:tcPr>
            <w:tcW w:w="811" w:type="dxa"/>
            <w:tcBorders>
              <w:top w:val="single" w:sz="8" w:space="0" w:color="auto"/>
              <w:left w:val="nil"/>
              <w:bottom w:val="single" w:sz="8" w:space="0" w:color="auto"/>
              <w:right w:val="single" w:sz="4" w:space="0" w:color="auto"/>
            </w:tcBorders>
            <w:shd w:val="clear" w:color="000000" w:fill="D9D9D9"/>
            <w:noWrap/>
            <w:vAlign w:val="center"/>
            <w:hideMark/>
          </w:tcPr>
          <w:p w14:paraId="0D14B3FC" w14:textId="77777777" w:rsidR="005B5D1D" w:rsidRPr="007B779F" w:rsidRDefault="005B5D1D" w:rsidP="007C17C6">
            <w:pPr>
              <w:jc w:val="center"/>
              <w:rPr>
                <w:rFonts w:ascii="Cambria" w:hAnsi="Cambria"/>
                <w:color w:val="000000"/>
                <w:sz w:val="18"/>
                <w:szCs w:val="18"/>
              </w:rPr>
            </w:pPr>
            <w:r w:rsidRPr="007B779F">
              <w:rPr>
                <w:rFonts w:ascii="Cambria" w:hAnsi="Cambria"/>
                <w:color w:val="000000"/>
                <w:sz w:val="18"/>
                <w:szCs w:val="18"/>
              </w:rPr>
              <w:t>11,85</w:t>
            </w:r>
          </w:p>
        </w:tc>
        <w:tc>
          <w:tcPr>
            <w:tcW w:w="795" w:type="dxa"/>
            <w:tcBorders>
              <w:top w:val="single" w:sz="8" w:space="0" w:color="auto"/>
              <w:left w:val="nil"/>
              <w:bottom w:val="single" w:sz="8" w:space="0" w:color="auto"/>
              <w:right w:val="single" w:sz="4" w:space="0" w:color="auto"/>
            </w:tcBorders>
            <w:shd w:val="clear" w:color="000000" w:fill="D9D9D9"/>
            <w:noWrap/>
            <w:vAlign w:val="center"/>
            <w:hideMark/>
          </w:tcPr>
          <w:p w14:paraId="6E498477" w14:textId="77777777" w:rsidR="005B5D1D" w:rsidRPr="007B779F" w:rsidRDefault="005B5D1D" w:rsidP="007C17C6">
            <w:pPr>
              <w:jc w:val="center"/>
              <w:rPr>
                <w:rFonts w:ascii="Cambria" w:hAnsi="Cambria"/>
                <w:color w:val="000000"/>
                <w:sz w:val="18"/>
                <w:szCs w:val="18"/>
              </w:rPr>
            </w:pPr>
            <w:r w:rsidRPr="007B779F">
              <w:rPr>
                <w:rFonts w:ascii="Cambria" w:hAnsi="Cambria"/>
                <w:color w:val="000000"/>
                <w:sz w:val="18"/>
                <w:szCs w:val="18"/>
              </w:rPr>
              <w:t>9,55</w:t>
            </w:r>
          </w:p>
        </w:tc>
        <w:tc>
          <w:tcPr>
            <w:tcW w:w="795" w:type="dxa"/>
            <w:tcBorders>
              <w:top w:val="single" w:sz="8" w:space="0" w:color="auto"/>
              <w:left w:val="nil"/>
              <w:bottom w:val="single" w:sz="8" w:space="0" w:color="auto"/>
              <w:right w:val="nil"/>
            </w:tcBorders>
            <w:shd w:val="clear" w:color="000000" w:fill="DAE9F8"/>
            <w:noWrap/>
            <w:vAlign w:val="center"/>
            <w:hideMark/>
          </w:tcPr>
          <w:p w14:paraId="156BB2BC" w14:textId="77777777" w:rsidR="005B5D1D" w:rsidRPr="007B779F" w:rsidRDefault="005B5D1D" w:rsidP="007C17C6">
            <w:pPr>
              <w:jc w:val="center"/>
              <w:rPr>
                <w:rFonts w:ascii="Cambria" w:hAnsi="Cambria"/>
                <w:color w:val="000000"/>
                <w:sz w:val="18"/>
                <w:szCs w:val="18"/>
              </w:rPr>
            </w:pPr>
            <w:r w:rsidRPr="007B779F">
              <w:rPr>
                <w:rFonts w:ascii="Cambria" w:hAnsi="Cambria"/>
                <w:color w:val="000000"/>
                <w:sz w:val="18"/>
                <w:szCs w:val="18"/>
              </w:rPr>
              <w:t>2,27</w:t>
            </w:r>
          </w:p>
        </w:tc>
        <w:tc>
          <w:tcPr>
            <w:tcW w:w="890"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5FB4802E" w14:textId="77777777" w:rsidR="005B5D1D" w:rsidRPr="007B779F" w:rsidRDefault="005B5D1D" w:rsidP="007C17C6">
            <w:pPr>
              <w:jc w:val="center"/>
              <w:rPr>
                <w:rFonts w:ascii="Cambria" w:hAnsi="Cambria"/>
                <w:color w:val="000000"/>
                <w:sz w:val="18"/>
                <w:szCs w:val="18"/>
              </w:rPr>
            </w:pPr>
            <w:r w:rsidRPr="007B779F">
              <w:rPr>
                <w:rFonts w:ascii="Cambria" w:hAnsi="Cambria"/>
                <w:color w:val="000000"/>
                <w:sz w:val="18"/>
                <w:szCs w:val="18"/>
              </w:rPr>
              <w:t>1064,84</w:t>
            </w:r>
          </w:p>
        </w:tc>
        <w:tc>
          <w:tcPr>
            <w:tcW w:w="755" w:type="dxa"/>
            <w:tcBorders>
              <w:top w:val="single" w:sz="8" w:space="0" w:color="auto"/>
              <w:left w:val="nil"/>
              <w:bottom w:val="single" w:sz="8" w:space="0" w:color="auto"/>
              <w:right w:val="single" w:sz="4" w:space="0" w:color="auto"/>
            </w:tcBorders>
            <w:shd w:val="clear" w:color="000000" w:fill="D9D9D9"/>
            <w:noWrap/>
            <w:vAlign w:val="center"/>
            <w:hideMark/>
          </w:tcPr>
          <w:p w14:paraId="2AA65328" w14:textId="77777777" w:rsidR="005B5D1D" w:rsidRPr="007B779F" w:rsidRDefault="005B5D1D" w:rsidP="007C17C6">
            <w:pPr>
              <w:jc w:val="center"/>
              <w:rPr>
                <w:rFonts w:ascii="Cambria" w:hAnsi="Cambria"/>
                <w:color w:val="000000"/>
                <w:sz w:val="18"/>
                <w:szCs w:val="18"/>
              </w:rPr>
            </w:pPr>
            <w:r w:rsidRPr="007B779F">
              <w:rPr>
                <w:rFonts w:ascii="Cambria" w:hAnsi="Cambria"/>
                <w:color w:val="000000"/>
                <w:sz w:val="18"/>
                <w:szCs w:val="18"/>
              </w:rPr>
              <w:t>866,71</w:t>
            </w:r>
          </w:p>
        </w:tc>
        <w:tc>
          <w:tcPr>
            <w:tcW w:w="755" w:type="dxa"/>
            <w:tcBorders>
              <w:top w:val="single" w:sz="8" w:space="0" w:color="auto"/>
              <w:left w:val="nil"/>
              <w:bottom w:val="single" w:sz="8" w:space="0" w:color="auto"/>
              <w:right w:val="single" w:sz="8" w:space="0" w:color="auto"/>
            </w:tcBorders>
            <w:shd w:val="clear" w:color="000000" w:fill="DAE9F8"/>
            <w:noWrap/>
            <w:vAlign w:val="center"/>
            <w:hideMark/>
          </w:tcPr>
          <w:p w14:paraId="49D0F554" w14:textId="77777777" w:rsidR="005B5D1D" w:rsidRPr="007B779F" w:rsidRDefault="005B5D1D" w:rsidP="007C17C6">
            <w:pPr>
              <w:jc w:val="center"/>
              <w:rPr>
                <w:rFonts w:ascii="Cambria" w:hAnsi="Cambria"/>
                <w:color w:val="000000"/>
                <w:sz w:val="18"/>
                <w:szCs w:val="18"/>
              </w:rPr>
            </w:pPr>
            <w:r w:rsidRPr="007B779F">
              <w:rPr>
                <w:rFonts w:ascii="Cambria" w:hAnsi="Cambria"/>
                <w:color w:val="000000"/>
                <w:sz w:val="18"/>
                <w:szCs w:val="18"/>
              </w:rPr>
              <w:t>628,30</w:t>
            </w:r>
          </w:p>
        </w:tc>
        <w:tc>
          <w:tcPr>
            <w:tcW w:w="800" w:type="dxa"/>
            <w:tcBorders>
              <w:top w:val="single" w:sz="8" w:space="0" w:color="auto"/>
              <w:left w:val="nil"/>
              <w:bottom w:val="single" w:sz="8" w:space="0" w:color="auto"/>
              <w:right w:val="single" w:sz="4" w:space="0" w:color="auto"/>
            </w:tcBorders>
            <w:shd w:val="clear" w:color="000000" w:fill="D9D9D9"/>
            <w:noWrap/>
            <w:vAlign w:val="center"/>
            <w:hideMark/>
          </w:tcPr>
          <w:p w14:paraId="70608283" w14:textId="77777777" w:rsidR="005B5D1D" w:rsidRPr="007B779F" w:rsidRDefault="005B5D1D" w:rsidP="007C17C6">
            <w:pPr>
              <w:jc w:val="center"/>
              <w:rPr>
                <w:rFonts w:ascii="Cambria" w:hAnsi="Cambria"/>
                <w:color w:val="000000"/>
                <w:sz w:val="18"/>
                <w:szCs w:val="18"/>
              </w:rPr>
            </w:pPr>
            <w:r w:rsidRPr="007B779F">
              <w:rPr>
                <w:rFonts w:ascii="Cambria" w:hAnsi="Cambria"/>
                <w:color w:val="000000"/>
                <w:sz w:val="18"/>
                <w:szCs w:val="18"/>
              </w:rPr>
              <w:t>922,05</w:t>
            </w:r>
          </w:p>
        </w:tc>
        <w:tc>
          <w:tcPr>
            <w:tcW w:w="800" w:type="dxa"/>
            <w:tcBorders>
              <w:top w:val="single" w:sz="8" w:space="0" w:color="auto"/>
              <w:left w:val="nil"/>
              <w:bottom w:val="single" w:sz="8" w:space="0" w:color="auto"/>
              <w:right w:val="single" w:sz="4" w:space="0" w:color="auto"/>
            </w:tcBorders>
            <w:shd w:val="clear" w:color="000000" w:fill="D9D9D9"/>
            <w:noWrap/>
            <w:vAlign w:val="center"/>
            <w:hideMark/>
          </w:tcPr>
          <w:p w14:paraId="417BC41D" w14:textId="77777777" w:rsidR="005B5D1D" w:rsidRPr="007B779F" w:rsidRDefault="005B5D1D" w:rsidP="007C17C6">
            <w:pPr>
              <w:jc w:val="center"/>
              <w:rPr>
                <w:rFonts w:ascii="Cambria" w:hAnsi="Cambria"/>
                <w:color w:val="000000"/>
                <w:sz w:val="18"/>
                <w:szCs w:val="18"/>
              </w:rPr>
            </w:pPr>
            <w:r w:rsidRPr="007B779F">
              <w:rPr>
                <w:rFonts w:ascii="Cambria" w:hAnsi="Cambria"/>
                <w:color w:val="000000"/>
                <w:sz w:val="18"/>
                <w:szCs w:val="18"/>
              </w:rPr>
              <w:t>822,70</w:t>
            </w:r>
          </w:p>
        </w:tc>
        <w:tc>
          <w:tcPr>
            <w:tcW w:w="800" w:type="dxa"/>
            <w:tcBorders>
              <w:top w:val="single" w:sz="8" w:space="0" w:color="auto"/>
              <w:left w:val="nil"/>
              <w:bottom w:val="single" w:sz="8" w:space="0" w:color="auto"/>
              <w:right w:val="single" w:sz="8" w:space="0" w:color="auto"/>
            </w:tcBorders>
            <w:shd w:val="clear" w:color="000000" w:fill="DAE9F8"/>
            <w:noWrap/>
            <w:vAlign w:val="center"/>
            <w:hideMark/>
          </w:tcPr>
          <w:p w14:paraId="441F755C" w14:textId="77777777" w:rsidR="005B5D1D" w:rsidRPr="007B779F" w:rsidRDefault="005B5D1D" w:rsidP="007C17C6">
            <w:pPr>
              <w:jc w:val="center"/>
              <w:rPr>
                <w:rFonts w:ascii="Cambria" w:hAnsi="Cambria"/>
                <w:color w:val="000000"/>
                <w:sz w:val="18"/>
                <w:szCs w:val="18"/>
              </w:rPr>
            </w:pPr>
            <w:r w:rsidRPr="007B779F">
              <w:rPr>
                <w:rFonts w:ascii="Cambria" w:hAnsi="Cambria"/>
                <w:color w:val="000000"/>
                <w:sz w:val="18"/>
                <w:szCs w:val="18"/>
              </w:rPr>
              <w:t>506,02</w:t>
            </w:r>
          </w:p>
        </w:tc>
      </w:tr>
    </w:tbl>
    <w:p w14:paraId="69B38861" w14:textId="77777777" w:rsidR="005B5D1D" w:rsidRPr="007B779F" w:rsidRDefault="005B5D1D" w:rsidP="005B5D1D">
      <w:pPr>
        <w:jc w:val="both"/>
        <w:rPr>
          <w:rFonts w:ascii="Cambria" w:hAnsi="Cambria"/>
          <w:bCs/>
          <w:sz w:val="20"/>
          <w:szCs w:val="20"/>
          <w:lang w:val="en-GB"/>
        </w:rPr>
      </w:pPr>
    </w:p>
    <w:p w14:paraId="09CFC4E0" w14:textId="77777777" w:rsidR="005B5D1D" w:rsidRPr="005B5D1D" w:rsidRDefault="005B5D1D" w:rsidP="005B5D1D">
      <w:pPr>
        <w:jc w:val="both"/>
        <w:rPr>
          <w:rFonts w:ascii="Cambria" w:hAnsi="Cambria"/>
          <w:b/>
          <w:i/>
          <w:iCs/>
          <w:sz w:val="20"/>
          <w:szCs w:val="20"/>
          <w:lang w:val="fr-FR"/>
        </w:rPr>
      </w:pPr>
      <w:r w:rsidRPr="005B5D1D">
        <w:rPr>
          <w:rFonts w:ascii="Cambria" w:hAnsi="Cambria"/>
          <w:b/>
          <w:i/>
          <w:sz w:val="20"/>
          <w:szCs w:val="20"/>
          <w:lang w:val="fr-FR"/>
        </w:rPr>
        <w:t>Tolérance de rétention pour le stock du Nord</w:t>
      </w:r>
    </w:p>
    <w:p w14:paraId="02C0812C" w14:textId="77777777" w:rsidR="005B5D1D" w:rsidRPr="005B5D1D" w:rsidRDefault="005B5D1D" w:rsidP="005B5D1D">
      <w:pPr>
        <w:jc w:val="both"/>
        <w:rPr>
          <w:rFonts w:ascii="Cambria" w:hAnsi="Cambria"/>
          <w:sz w:val="20"/>
          <w:szCs w:val="20"/>
          <w:lang w:val="fr-FR"/>
        </w:rPr>
      </w:pPr>
    </w:p>
    <w:p w14:paraId="2E282683" w14:textId="77777777" w:rsidR="005B5D1D" w:rsidRPr="005B5D1D" w:rsidRDefault="005B5D1D" w:rsidP="005B5D1D">
      <w:pPr>
        <w:jc w:val="both"/>
        <w:rPr>
          <w:rFonts w:ascii="Cambria" w:hAnsi="Cambria"/>
          <w:sz w:val="20"/>
          <w:szCs w:val="20"/>
          <w:lang w:val="fr-FR"/>
        </w:rPr>
      </w:pPr>
      <w:r w:rsidRPr="005B5D1D">
        <w:rPr>
          <w:rFonts w:ascii="Cambria" w:hAnsi="Cambria"/>
          <w:sz w:val="20"/>
          <w:szCs w:val="20"/>
          <w:lang w:val="fr-FR"/>
        </w:rPr>
        <w:t>En prenant en compte de toutes les CPC, les estimations préliminaires du Comité étaient comme suit :</w:t>
      </w:r>
    </w:p>
    <w:p w14:paraId="555A4BE7" w14:textId="77777777" w:rsidR="005B5D1D" w:rsidRPr="005B5D1D" w:rsidRDefault="005B5D1D" w:rsidP="005B5D1D">
      <w:pPr>
        <w:jc w:val="both"/>
        <w:rPr>
          <w:rFonts w:ascii="Cambria" w:hAnsi="Cambria"/>
          <w:bCs/>
          <w:sz w:val="20"/>
          <w:szCs w:val="20"/>
          <w:lang w:val="fr-FR"/>
        </w:rPr>
      </w:pPr>
    </w:p>
    <w:p w14:paraId="041EC55F" w14:textId="77777777" w:rsidR="005B5D1D" w:rsidRPr="007B779F" w:rsidRDefault="005B5D1D" w:rsidP="005B5D1D">
      <w:pPr>
        <w:pStyle w:val="ListParagraph"/>
        <w:widowControl w:val="0"/>
        <w:numPr>
          <w:ilvl w:val="0"/>
          <w:numId w:val="3"/>
        </w:numPr>
        <w:ind w:left="851" w:hanging="425"/>
        <w:jc w:val="both"/>
        <w:rPr>
          <w:rFonts w:ascii="Cambria" w:hAnsi="Cambria"/>
          <w:bCs/>
          <w:sz w:val="20"/>
          <w:szCs w:val="20"/>
        </w:rPr>
      </w:pPr>
      <w:r w:rsidRPr="007B779F">
        <w:rPr>
          <w:rFonts w:ascii="Cambria" w:hAnsi="Cambria"/>
          <w:sz w:val="20"/>
          <w:szCs w:val="20"/>
        </w:rPr>
        <w:t>Prise retenue (débarquements) : 2,27 t</w:t>
      </w:r>
    </w:p>
    <w:p w14:paraId="2B8688EE" w14:textId="77777777" w:rsidR="005B5D1D" w:rsidRPr="007B779F" w:rsidRDefault="005B5D1D" w:rsidP="005B5D1D">
      <w:pPr>
        <w:pStyle w:val="ListParagraph"/>
        <w:widowControl w:val="0"/>
        <w:numPr>
          <w:ilvl w:val="0"/>
          <w:numId w:val="3"/>
        </w:numPr>
        <w:ind w:left="851" w:hanging="425"/>
        <w:jc w:val="both"/>
        <w:rPr>
          <w:rFonts w:ascii="Cambria" w:hAnsi="Cambria"/>
          <w:bCs/>
          <w:sz w:val="20"/>
          <w:szCs w:val="20"/>
        </w:rPr>
      </w:pPr>
      <w:r w:rsidRPr="007B779F">
        <w:rPr>
          <w:rFonts w:ascii="Cambria" w:hAnsi="Cambria"/>
          <w:sz w:val="20"/>
          <w:szCs w:val="20"/>
        </w:rPr>
        <w:t>Rejets morts : 628,30 t</w:t>
      </w:r>
    </w:p>
    <w:p w14:paraId="633FEDDF" w14:textId="77777777" w:rsidR="005B5D1D" w:rsidRPr="005B5D1D" w:rsidRDefault="005B5D1D" w:rsidP="005B5D1D">
      <w:pPr>
        <w:pStyle w:val="ListParagraph"/>
        <w:widowControl w:val="0"/>
        <w:numPr>
          <w:ilvl w:val="0"/>
          <w:numId w:val="3"/>
        </w:numPr>
        <w:ind w:left="851" w:hanging="425"/>
        <w:jc w:val="both"/>
        <w:rPr>
          <w:rFonts w:ascii="Cambria" w:hAnsi="Cambria"/>
          <w:bCs/>
          <w:sz w:val="20"/>
          <w:szCs w:val="20"/>
          <w:lang w:val="fr-FR"/>
        </w:rPr>
      </w:pPr>
      <w:r w:rsidRPr="005B5D1D">
        <w:rPr>
          <w:rFonts w:ascii="Cambria" w:hAnsi="Cambria"/>
          <w:sz w:val="20"/>
          <w:szCs w:val="20"/>
          <w:lang w:val="fr-FR"/>
        </w:rPr>
        <w:t>Remises à l'eau de spécimens vivants : 506,02 t</w:t>
      </w:r>
    </w:p>
    <w:p w14:paraId="269574EE" w14:textId="77777777" w:rsidR="005B5D1D" w:rsidRPr="005B5D1D" w:rsidRDefault="005B5D1D" w:rsidP="005B5D1D">
      <w:pPr>
        <w:jc w:val="both"/>
        <w:rPr>
          <w:rFonts w:ascii="Cambria" w:hAnsi="Cambria"/>
          <w:bCs/>
          <w:sz w:val="20"/>
          <w:szCs w:val="20"/>
          <w:lang w:val="fr-FR"/>
        </w:rPr>
      </w:pPr>
    </w:p>
    <w:p w14:paraId="4EB39E09" w14:textId="77777777" w:rsidR="005B5D1D" w:rsidRPr="005B5D1D" w:rsidRDefault="005B5D1D" w:rsidP="005B5D1D">
      <w:pPr>
        <w:jc w:val="both"/>
        <w:rPr>
          <w:rFonts w:ascii="Cambria" w:hAnsi="Cambria"/>
          <w:bCs/>
          <w:sz w:val="20"/>
          <w:szCs w:val="20"/>
          <w:lang w:val="fr-FR"/>
        </w:rPr>
      </w:pPr>
      <w:r w:rsidRPr="005B5D1D">
        <w:rPr>
          <w:rFonts w:ascii="Cambria" w:hAnsi="Cambria"/>
          <w:sz w:val="20"/>
          <w:szCs w:val="20"/>
          <w:lang w:val="fr-FR"/>
        </w:rPr>
        <w:t xml:space="preserve">En utilisant un taux de mortalité après remise à l’eau de 29,4% (Domingo </w:t>
      </w:r>
      <w:r w:rsidRPr="005B5D1D">
        <w:rPr>
          <w:rFonts w:ascii="Cambria" w:hAnsi="Cambria"/>
          <w:i/>
          <w:sz w:val="20"/>
          <w:szCs w:val="20"/>
          <w:lang w:val="fr-FR"/>
        </w:rPr>
        <w:t>et al.</w:t>
      </w:r>
      <w:r w:rsidRPr="005B5D1D">
        <w:rPr>
          <w:rFonts w:ascii="Cambria" w:hAnsi="Cambria"/>
          <w:sz w:val="20"/>
          <w:szCs w:val="20"/>
          <w:lang w:val="fr-FR"/>
        </w:rPr>
        <w:t xml:space="preserve">, 2025) la « mortalité totale par pêche de toutes les sources » (la valeur nécessaire pour la </w:t>
      </w:r>
      <w:hyperlink r:id="rId63" w:history="1">
        <w:r w:rsidRPr="005B5D1D">
          <w:rPr>
            <w:rStyle w:val="Hyperlink"/>
            <w:rFonts w:ascii="Cambria" w:hAnsi="Cambria"/>
            <w:sz w:val="20"/>
            <w:szCs w:val="20"/>
            <w:u w:val="none"/>
            <w:lang w:val="fr-FR"/>
          </w:rPr>
          <w:t>Rec. 21-09</w:t>
        </w:r>
      </w:hyperlink>
      <w:r w:rsidRPr="005B5D1D">
        <w:rPr>
          <w:rFonts w:ascii="Cambria" w:hAnsi="Cambria"/>
          <w:sz w:val="20"/>
          <w:szCs w:val="20"/>
          <w:lang w:val="fr-FR"/>
        </w:rPr>
        <w:t>, annexe 1, paragraphe 1a) pour 2025 a été estimée à 779,34 t.</w:t>
      </w:r>
    </w:p>
    <w:p w14:paraId="5BC2955C" w14:textId="77777777" w:rsidR="005B5D1D" w:rsidRPr="005B5D1D" w:rsidRDefault="005B5D1D" w:rsidP="005B5D1D">
      <w:pPr>
        <w:jc w:val="both"/>
        <w:rPr>
          <w:rFonts w:ascii="Cambria" w:hAnsi="Cambria"/>
          <w:bCs/>
          <w:sz w:val="20"/>
          <w:szCs w:val="20"/>
          <w:lang w:val="fr-FR"/>
        </w:rPr>
      </w:pPr>
    </w:p>
    <w:p w14:paraId="52E8DF4F" w14:textId="77777777" w:rsidR="005B5D1D" w:rsidRPr="005B5D1D" w:rsidRDefault="005B5D1D" w:rsidP="005B5D1D">
      <w:pPr>
        <w:jc w:val="both"/>
        <w:rPr>
          <w:rFonts w:ascii="Cambria" w:hAnsi="Cambria"/>
          <w:bCs/>
          <w:sz w:val="20"/>
          <w:szCs w:val="20"/>
          <w:lang w:val="fr-FR"/>
        </w:rPr>
      </w:pPr>
      <w:r w:rsidRPr="005B5D1D">
        <w:rPr>
          <w:rFonts w:ascii="Cambria" w:hAnsi="Cambria"/>
          <w:sz w:val="20"/>
          <w:szCs w:val="20"/>
          <w:lang w:val="fr-FR"/>
        </w:rPr>
        <w:t xml:space="preserve">Conformément à l'annexe 1 de la </w:t>
      </w:r>
      <w:hyperlink r:id="rId64" w:history="1">
        <w:r w:rsidRPr="005B5D1D">
          <w:rPr>
            <w:rStyle w:val="Hyperlink"/>
            <w:rFonts w:ascii="Cambria" w:hAnsi="Cambria"/>
            <w:sz w:val="20"/>
            <w:szCs w:val="20"/>
            <w:u w:val="none"/>
            <w:lang w:val="fr-FR"/>
          </w:rPr>
          <w:t>Rec. 21-09</w:t>
        </w:r>
      </w:hyperlink>
      <w:r w:rsidRPr="005B5D1D">
        <w:rPr>
          <w:rFonts w:ascii="Cambria" w:hAnsi="Cambria"/>
          <w:sz w:val="20"/>
          <w:szCs w:val="20"/>
          <w:lang w:val="fr-FR"/>
        </w:rPr>
        <w:t xml:space="preserve">, ces valeurs sont ensuite soustraites de la quantité établie au paragraphe 4a de la </w:t>
      </w:r>
      <w:hyperlink r:id="rId65" w:history="1">
        <w:r w:rsidRPr="005B5D1D">
          <w:rPr>
            <w:rStyle w:val="Hyperlink"/>
            <w:rFonts w:ascii="Cambria" w:hAnsi="Cambria"/>
            <w:sz w:val="20"/>
            <w:szCs w:val="20"/>
            <w:u w:val="none"/>
            <w:lang w:val="fr-FR"/>
          </w:rPr>
          <w:t>Rec. 21-09</w:t>
        </w:r>
      </w:hyperlink>
      <w:r w:rsidRPr="005B5D1D">
        <w:rPr>
          <w:rFonts w:ascii="Cambria" w:hAnsi="Cambria"/>
          <w:sz w:val="20"/>
          <w:szCs w:val="20"/>
          <w:lang w:val="fr-FR"/>
        </w:rPr>
        <w:t xml:space="preserve"> (250 t) afin d'estimer la « tolérance de rétention des prises accessoires mortes » en 2026 (voir l'équation 1 ci-dessous). </w:t>
      </w:r>
    </w:p>
    <w:p w14:paraId="4ACBC153" w14:textId="77777777" w:rsidR="005B5D1D" w:rsidRPr="005B5D1D" w:rsidRDefault="005B5D1D" w:rsidP="005B5D1D">
      <w:pPr>
        <w:jc w:val="both"/>
        <w:rPr>
          <w:rFonts w:ascii="Cambria" w:hAnsi="Cambria"/>
          <w:bCs/>
          <w:sz w:val="20"/>
          <w:szCs w:val="20"/>
          <w:lang w:val="fr-FR"/>
        </w:rPr>
      </w:pPr>
    </w:p>
    <w:p w14:paraId="05C46F03" w14:textId="77777777" w:rsidR="005B5D1D" w:rsidRPr="005B5D1D" w:rsidRDefault="005B5D1D" w:rsidP="005B5D1D">
      <w:pPr>
        <w:ind w:left="426"/>
        <w:jc w:val="center"/>
        <w:rPr>
          <w:rFonts w:ascii="Cambria" w:hAnsi="Cambria"/>
          <w:bCs/>
          <w:sz w:val="20"/>
          <w:szCs w:val="20"/>
          <w:lang w:val="fr-FR"/>
        </w:rPr>
      </w:pPr>
      <w:r w:rsidRPr="005B5D1D">
        <w:rPr>
          <w:rFonts w:ascii="Cambria" w:hAnsi="Cambria"/>
          <w:sz w:val="20"/>
          <w:szCs w:val="20"/>
          <w:lang w:val="fr-FR"/>
        </w:rPr>
        <w:lastRenderedPageBreak/>
        <w:t xml:space="preserve">« limite de la </w:t>
      </w:r>
      <w:hyperlink r:id="rId66" w:history="1">
        <w:r w:rsidRPr="005B5D1D">
          <w:rPr>
            <w:rStyle w:val="Hyperlink"/>
            <w:rFonts w:ascii="Cambria" w:hAnsi="Cambria"/>
            <w:sz w:val="20"/>
            <w:szCs w:val="20"/>
            <w:u w:val="none"/>
            <w:lang w:val="fr-FR"/>
          </w:rPr>
          <w:t>Rec.</w:t>
        </w:r>
      </w:hyperlink>
      <w:hyperlink r:id="rId67" w:history="1">
        <w:r w:rsidRPr="005B5D1D">
          <w:rPr>
            <w:rStyle w:val="Hyperlink"/>
            <w:rFonts w:ascii="Cambria" w:hAnsi="Cambria"/>
            <w:sz w:val="20"/>
            <w:szCs w:val="20"/>
            <w:u w:val="none"/>
            <w:lang w:val="fr-FR"/>
          </w:rPr>
          <w:t xml:space="preserve"> 21-09</w:t>
        </w:r>
      </w:hyperlink>
      <w:r w:rsidRPr="005B5D1D">
        <w:rPr>
          <w:rFonts w:ascii="Cambria" w:hAnsi="Cambria"/>
          <w:sz w:val="20"/>
          <w:szCs w:val="20"/>
          <w:lang w:val="fr-FR"/>
        </w:rPr>
        <w:t> » – « mortalité par pêche de 2025 » = « tolérance de rétention de prises accessoires mortes de 2027 » (1)</w:t>
      </w:r>
    </w:p>
    <w:p w14:paraId="4203329B" w14:textId="77777777" w:rsidR="005B5D1D" w:rsidRPr="005B5D1D" w:rsidRDefault="005B5D1D" w:rsidP="005B5D1D">
      <w:pPr>
        <w:jc w:val="both"/>
        <w:rPr>
          <w:rFonts w:ascii="Cambria" w:hAnsi="Cambria"/>
          <w:bCs/>
          <w:sz w:val="20"/>
          <w:szCs w:val="20"/>
          <w:lang w:val="fr-FR"/>
        </w:rPr>
      </w:pPr>
      <w:r w:rsidRPr="005B5D1D">
        <w:rPr>
          <w:rFonts w:ascii="Cambria" w:hAnsi="Cambria"/>
          <w:sz w:val="20"/>
          <w:szCs w:val="20"/>
          <w:lang w:val="fr-FR"/>
        </w:rPr>
        <w:t xml:space="preserve">Si le montant de la « tolérance de rétention de prises accessoires mortes » est négatif, aucune rétention ne doit être autorisée en 2027. </w:t>
      </w:r>
    </w:p>
    <w:p w14:paraId="0FB93443" w14:textId="77777777" w:rsidR="005B5D1D" w:rsidRPr="005B5D1D" w:rsidRDefault="005B5D1D" w:rsidP="005B5D1D">
      <w:pPr>
        <w:jc w:val="both"/>
        <w:rPr>
          <w:rFonts w:ascii="Cambria" w:hAnsi="Cambria"/>
          <w:bCs/>
          <w:sz w:val="20"/>
          <w:szCs w:val="20"/>
          <w:lang w:val="fr-FR"/>
        </w:rPr>
      </w:pPr>
    </w:p>
    <w:p w14:paraId="4F169A8C" w14:textId="77777777" w:rsidR="005B5D1D" w:rsidRPr="005B5D1D" w:rsidRDefault="005B5D1D" w:rsidP="005B5D1D">
      <w:pPr>
        <w:jc w:val="both"/>
        <w:rPr>
          <w:rFonts w:ascii="Cambria" w:hAnsi="Cambria"/>
          <w:bCs/>
          <w:sz w:val="20"/>
          <w:szCs w:val="20"/>
          <w:lang w:val="fr-FR"/>
        </w:rPr>
      </w:pPr>
      <w:r w:rsidRPr="005B5D1D">
        <w:rPr>
          <w:rFonts w:ascii="Cambria" w:hAnsi="Cambria"/>
          <w:sz w:val="20"/>
          <w:szCs w:val="20"/>
          <w:lang w:val="fr-FR"/>
        </w:rPr>
        <w:t>Selon les calculs, la tolérance de rétention de prises accessoires mortes s’élève à -529,34. Par conséquent, la tolérance de rétention possible pour 2027 (calculée avec l’annexe 1) est de 0 t. Conformément au paragraphe 1c de l’annexe 1, les CPC devront interdire la rétention à bord, le transbordement et le débarquement, en totalité ou en partie, du requin taupe bleue de l'Atlantique Nord capturé en association avec les pêcheries de l'ICCAT au cours de l’année Y+1 (dans ce cas 2027).</w:t>
      </w:r>
    </w:p>
    <w:p w14:paraId="3133CD25" w14:textId="77777777" w:rsidR="005B5D1D" w:rsidRPr="005B5D1D" w:rsidRDefault="005B5D1D" w:rsidP="005B5D1D">
      <w:pPr>
        <w:tabs>
          <w:tab w:val="left" w:pos="0"/>
          <w:tab w:val="left" w:pos="720"/>
          <w:tab w:val="right" w:pos="8505"/>
          <w:tab w:val="right" w:pos="9072"/>
        </w:tabs>
        <w:ind w:right="4"/>
        <w:jc w:val="both"/>
        <w:rPr>
          <w:rFonts w:ascii="Cambria" w:hAnsi="Cambria"/>
          <w:b/>
          <w:color w:val="000000"/>
          <w:sz w:val="20"/>
          <w:lang w:val="fr-FR"/>
        </w:rPr>
      </w:pPr>
    </w:p>
    <w:p w14:paraId="2B51C794" w14:textId="3FFA214C" w:rsidR="005B5D1D" w:rsidRPr="005B5D1D" w:rsidRDefault="005B5D1D" w:rsidP="005B5D1D">
      <w:pPr>
        <w:rPr>
          <w:rFonts w:ascii="Cambria" w:hAnsi="Cambria"/>
          <w:b/>
          <w:bCs/>
          <w:i/>
          <w:iCs/>
          <w:color w:val="000000"/>
          <w:sz w:val="20"/>
          <w:szCs w:val="20"/>
          <w:lang w:val="fr-FR"/>
        </w:rPr>
      </w:pPr>
      <w:r w:rsidRPr="005B5D1D">
        <w:rPr>
          <w:rFonts w:ascii="Cambria" w:hAnsi="Cambria"/>
          <w:b/>
          <w:bCs/>
          <w:i/>
          <w:iCs/>
          <w:color w:val="000000"/>
          <w:sz w:val="20"/>
          <w:szCs w:val="20"/>
          <w:lang w:val="fr-FR"/>
        </w:rPr>
        <w:t xml:space="preserve">19.32 Le SCRS devra calculer le niveau de rétention de requin-taupe bleu de l’Atlantique Sud, </w:t>
      </w:r>
      <w:hyperlink r:id="rId68" w:history="1">
        <w:r w:rsidRPr="005B5D1D">
          <w:rPr>
            <w:rStyle w:val="Hyperlink"/>
            <w:rFonts w:ascii="Cambria" w:hAnsi="Cambria"/>
            <w:b/>
            <w:bCs/>
            <w:i/>
            <w:iCs/>
            <w:sz w:val="20"/>
            <w:szCs w:val="20"/>
            <w:u w:val="none"/>
            <w:lang w:val="fr-FR"/>
          </w:rPr>
          <w:t>Rec.</w:t>
        </w:r>
      </w:hyperlink>
      <w:hyperlink r:id="rId69" w:history="1">
        <w:r w:rsidRPr="005B5D1D">
          <w:rPr>
            <w:rStyle w:val="Hyperlink"/>
            <w:rFonts w:ascii="Cambria" w:hAnsi="Cambria"/>
            <w:b/>
            <w:bCs/>
            <w:i/>
            <w:iCs/>
            <w:sz w:val="20"/>
            <w:szCs w:val="20"/>
            <w:u w:val="none"/>
            <w:lang w:val="fr-FR"/>
          </w:rPr>
          <w:t xml:space="preserve"> 25-08</w:t>
        </w:r>
      </w:hyperlink>
      <w:r w:rsidRPr="005B5D1D">
        <w:rPr>
          <w:rFonts w:ascii="Cambria" w:hAnsi="Cambria"/>
          <w:b/>
          <w:bCs/>
          <w:i/>
          <w:iCs/>
          <w:color w:val="000000"/>
          <w:sz w:val="20"/>
          <w:szCs w:val="20"/>
          <w:lang w:val="fr-FR"/>
        </w:rPr>
        <w:t>, paragraphe 7</w:t>
      </w:r>
    </w:p>
    <w:p w14:paraId="7B624903" w14:textId="77777777" w:rsidR="005B5D1D" w:rsidRPr="005B5D1D" w:rsidRDefault="005B5D1D" w:rsidP="005B5D1D">
      <w:pPr>
        <w:rPr>
          <w:rFonts w:ascii="Cambria" w:hAnsi="Cambria"/>
          <w:b/>
          <w:bCs/>
          <w:i/>
          <w:iCs/>
          <w:color w:val="000000"/>
          <w:sz w:val="8"/>
          <w:szCs w:val="8"/>
          <w:lang w:val="fr-FR"/>
        </w:rPr>
      </w:pPr>
    </w:p>
    <w:p w14:paraId="0497E68A" w14:textId="77777777" w:rsidR="005B5D1D" w:rsidRPr="005B5D1D" w:rsidRDefault="005B5D1D" w:rsidP="005B5D1D">
      <w:pPr>
        <w:jc w:val="both"/>
        <w:rPr>
          <w:rFonts w:ascii="Cambria" w:hAnsi="Cambria"/>
          <w:i/>
          <w:iCs/>
          <w:color w:val="000000"/>
          <w:sz w:val="20"/>
          <w:szCs w:val="20"/>
          <w:lang w:val="fr-FR"/>
        </w:rPr>
      </w:pPr>
      <w:r w:rsidRPr="005B5D1D">
        <w:rPr>
          <w:rFonts w:ascii="Cambria" w:hAnsi="Cambria"/>
          <w:b/>
          <w:bCs/>
          <w:color w:val="000000"/>
          <w:sz w:val="20"/>
          <w:szCs w:val="20"/>
          <w:lang w:val="fr-FR"/>
        </w:rPr>
        <w:t xml:space="preserve">Contexte : </w:t>
      </w:r>
      <w:r w:rsidRPr="005B5D1D">
        <w:rPr>
          <w:rFonts w:ascii="Cambria" w:hAnsi="Cambria"/>
          <w:i/>
          <w:iCs/>
          <w:color w:val="000000"/>
          <w:sz w:val="20"/>
          <w:szCs w:val="20"/>
          <w:lang w:val="fr-FR"/>
        </w:rPr>
        <w:t>Pour les années suivantes, le SCRS utilisera l'annexe 1 pour calculer le niveau de rétention possible, y compris les tolérances de rétention individuelles des CPC éligibles, autorisées pour l'année suivante, et communiquera les résultats à la Commission. Le Secrétariat devra fournir à la Sous-commission 4 un document comprenant les rétentions admissibles des CPC sur la base de l’avis du SCRS et des remboursements potentiels. La Commission devra valider la rétention admissible l'année suivante.</w:t>
      </w:r>
    </w:p>
    <w:p w14:paraId="5273E5B8" w14:textId="77777777" w:rsidR="005B5D1D" w:rsidRPr="005B5D1D" w:rsidRDefault="005B5D1D" w:rsidP="005B5D1D">
      <w:pPr>
        <w:pStyle w:val="ListParagraph"/>
        <w:jc w:val="both"/>
        <w:rPr>
          <w:rFonts w:ascii="Cambria" w:hAnsi="Cambria"/>
          <w:color w:val="000000"/>
          <w:sz w:val="8"/>
          <w:szCs w:val="8"/>
          <w:lang w:val="fr-FR"/>
        </w:rPr>
      </w:pPr>
    </w:p>
    <w:p w14:paraId="4340966A"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Le Comité a examiné toutes les soumissions de données sur le requin-taupe bleu de l’Atlantique Sud pour 2025. Le tableau ci-dessous présente les données déclarées sur les débarquements, les rejets morts et les remises à l’eau de spécimens vivants de requin-taupe bleu du Sud pour 2023-2025.</w:t>
      </w:r>
    </w:p>
    <w:p w14:paraId="1FD740CB" w14:textId="77777777" w:rsidR="005B5D1D" w:rsidRPr="005B5D1D" w:rsidRDefault="005B5D1D" w:rsidP="005B5D1D">
      <w:pPr>
        <w:jc w:val="both"/>
        <w:rPr>
          <w:rFonts w:ascii="Cambria" w:hAnsi="Cambria"/>
          <w:bCs/>
          <w:sz w:val="8"/>
          <w:szCs w:val="8"/>
          <w:lang w:val="fr-FR"/>
        </w:rPr>
      </w:pPr>
    </w:p>
    <w:tbl>
      <w:tblPr>
        <w:tblW w:w="0" w:type="auto"/>
        <w:jc w:val="center"/>
        <w:tblLook w:val="04A0" w:firstRow="1" w:lastRow="0" w:firstColumn="1" w:lastColumn="0" w:noHBand="0" w:noVBand="1"/>
      </w:tblPr>
      <w:tblGrid>
        <w:gridCol w:w="1498"/>
        <w:gridCol w:w="722"/>
        <w:gridCol w:w="722"/>
        <w:gridCol w:w="722"/>
        <w:gridCol w:w="722"/>
        <w:gridCol w:w="722"/>
        <w:gridCol w:w="722"/>
        <w:gridCol w:w="807"/>
        <w:gridCol w:w="807"/>
        <w:gridCol w:w="888"/>
      </w:tblGrid>
      <w:tr w:rsidR="005B5D1D" w:rsidRPr="00A33D23" w14:paraId="7A4ECF6D" w14:textId="77777777" w:rsidTr="007C17C6">
        <w:trPr>
          <w:trHeight w:val="385"/>
          <w:jc w:val="center"/>
        </w:trPr>
        <w:tc>
          <w:tcPr>
            <w:tcW w:w="0" w:type="auto"/>
            <w:tcBorders>
              <w:top w:val="single" w:sz="8" w:space="0" w:color="auto"/>
              <w:left w:val="single" w:sz="8" w:space="0" w:color="auto"/>
              <w:bottom w:val="single" w:sz="4" w:space="0" w:color="auto"/>
              <w:right w:val="single" w:sz="8" w:space="0" w:color="auto"/>
            </w:tcBorders>
            <w:shd w:val="clear" w:color="000000" w:fill="D9D9D9"/>
            <w:noWrap/>
            <w:vAlign w:val="bottom"/>
            <w:hideMark/>
          </w:tcPr>
          <w:p w14:paraId="1FDD6EE2" w14:textId="77777777" w:rsidR="005B5D1D" w:rsidRPr="005B5D1D" w:rsidRDefault="005B5D1D" w:rsidP="007C17C6">
            <w:pPr>
              <w:rPr>
                <w:rFonts w:ascii="Cambria" w:hAnsi="Cambria"/>
                <w:color w:val="000000"/>
                <w:sz w:val="17"/>
                <w:szCs w:val="17"/>
                <w:lang w:val="fr-FR"/>
              </w:rPr>
            </w:pPr>
            <w:r w:rsidRPr="005B5D1D">
              <w:rPr>
                <w:rFonts w:ascii="Cambria" w:hAnsi="Cambria"/>
                <w:color w:val="000000"/>
                <w:sz w:val="17"/>
                <w:szCs w:val="17"/>
                <w:lang w:val="fr-FR"/>
              </w:rPr>
              <w:t> </w:t>
            </w:r>
          </w:p>
        </w:tc>
        <w:tc>
          <w:tcPr>
            <w:tcW w:w="0" w:type="auto"/>
            <w:gridSpan w:val="3"/>
            <w:tcBorders>
              <w:top w:val="single" w:sz="8" w:space="0" w:color="auto"/>
              <w:left w:val="nil"/>
              <w:bottom w:val="single" w:sz="4" w:space="0" w:color="auto"/>
              <w:right w:val="single" w:sz="4" w:space="0" w:color="auto"/>
            </w:tcBorders>
            <w:shd w:val="clear" w:color="000000" w:fill="D9D9D9"/>
            <w:noWrap/>
            <w:vAlign w:val="center"/>
            <w:hideMark/>
          </w:tcPr>
          <w:p w14:paraId="0CF3A45A" w14:textId="77777777" w:rsidR="005B5D1D" w:rsidRPr="007B779F" w:rsidRDefault="005B5D1D" w:rsidP="007C17C6">
            <w:pPr>
              <w:jc w:val="center"/>
              <w:rPr>
                <w:rFonts w:ascii="Cambria" w:hAnsi="Cambria"/>
                <w:b/>
                <w:bCs/>
                <w:color w:val="000000"/>
                <w:sz w:val="17"/>
                <w:szCs w:val="17"/>
              </w:rPr>
            </w:pPr>
            <w:r w:rsidRPr="007B779F">
              <w:rPr>
                <w:rFonts w:ascii="Cambria" w:hAnsi="Cambria"/>
                <w:b/>
                <w:bCs/>
                <w:color w:val="000000"/>
                <w:sz w:val="17"/>
                <w:szCs w:val="17"/>
              </w:rPr>
              <w:t>Débarquements</w:t>
            </w:r>
          </w:p>
        </w:tc>
        <w:tc>
          <w:tcPr>
            <w:tcW w:w="0" w:type="auto"/>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79F4D8C6" w14:textId="77777777" w:rsidR="005B5D1D" w:rsidRPr="007B779F" w:rsidRDefault="005B5D1D" w:rsidP="007C17C6">
            <w:pPr>
              <w:jc w:val="center"/>
              <w:rPr>
                <w:rFonts w:ascii="Cambria" w:hAnsi="Cambria"/>
                <w:b/>
                <w:bCs/>
                <w:color w:val="000000"/>
                <w:sz w:val="17"/>
                <w:szCs w:val="17"/>
              </w:rPr>
            </w:pPr>
            <w:r w:rsidRPr="007B779F">
              <w:rPr>
                <w:rFonts w:ascii="Cambria" w:hAnsi="Cambria"/>
                <w:b/>
                <w:bCs/>
                <w:color w:val="000000"/>
                <w:sz w:val="17"/>
                <w:szCs w:val="17"/>
              </w:rPr>
              <w:t>Rejets morts</w:t>
            </w:r>
          </w:p>
        </w:tc>
        <w:tc>
          <w:tcPr>
            <w:tcW w:w="0" w:type="auto"/>
            <w:gridSpan w:val="3"/>
            <w:tcBorders>
              <w:top w:val="single" w:sz="8" w:space="0" w:color="auto"/>
              <w:left w:val="nil"/>
              <w:bottom w:val="single" w:sz="4" w:space="0" w:color="auto"/>
              <w:right w:val="single" w:sz="8" w:space="0" w:color="000000"/>
            </w:tcBorders>
            <w:shd w:val="clear" w:color="000000" w:fill="D9D9D9"/>
            <w:noWrap/>
            <w:vAlign w:val="center"/>
            <w:hideMark/>
          </w:tcPr>
          <w:p w14:paraId="412D1A18" w14:textId="77777777" w:rsidR="005B5D1D" w:rsidRPr="005B5D1D" w:rsidRDefault="005B5D1D" w:rsidP="007C17C6">
            <w:pPr>
              <w:jc w:val="center"/>
              <w:rPr>
                <w:rFonts w:ascii="Cambria" w:hAnsi="Cambria"/>
                <w:b/>
                <w:bCs/>
                <w:color w:val="000000"/>
                <w:sz w:val="17"/>
                <w:szCs w:val="17"/>
                <w:lang w:val="fr-FR"/>
              </w:rPr>
            </w:pPr>
            <w:r w:rsidRPr="005B5D1D">
              <w:rPr>
                <w:rFonts w:ascii="Cambria" w:hAnsi="Cambria"/>
                <w:b/>
                <w:bCs/>
                <w:color w:val="000000"/>
                <w:sz w:val="17"/>
                <w:szCs w:val="17"/>
                <w:lang w:val="fr-FR"/>
              </w:rPr>
              <w:t>Remises à l’eau à l’état vivant</w:t>
            </w:r>
          </w:p>
        </w:tc>
      </w:tr>
      <w:tr w:rsidR="005B5D1D" w:rsidRPr="007B779F" w14:paraId="4FABA6C3" w14:textId="77777777" w:rsidTr="007C17C6">
        <w:trPr>
          <w:trHeight w:val="385"/>
          <w:jc w:val="center"/>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14:paraId="3C787817" w14:textId="77777777" w:rsidR="005B5D1D" w:rsidRPr="007B779F" w:rsidRDefault="005B5D1D" w:rsidP="007C17C6">
            <w:pPr>
              <w:rPr>
                <w:rFonts w:ascii="Cambria" w:hAnsi="Cambria"/>
                <w:b/>
                <w:bCs/>
                <w:color w:val="000000"/>
                <w:sz w:val="17"/>
                <w:szCs w:val="17"/>
              </w:rPr>
            </w:pPr>
            <w:r w:rsidRPr="007B779F">
              <w:rPr>
                <w:rFonts w:ascii="Cambria" w:hAnsi="Cambria"/>
                <w:b/>
                <w:bCs/>
                <w:color w:val="000000"/>
                <w:sz w:val="17"/>
                <w:szCs w:val="17"/>
              </w:rPr>
              <w:t>Nom du pavillon</w:t>
            </w:r>
          </w:p>
        </w:tc>
        <w:tc>
          <w:tcPr>
            <w:tcW w:w="0" w:type="auto"/>
            <w:tcBorders>
              <w:top w:val="nil"/>
              <w:left w:val="nil"/>
              <w:bottom w:val="single" w:sz="4" w:space="0" w:color="auto"/>
              <w:right w:val="single" w:sz="4" w:space="0" w:color="auto"/>
            </w:tcBorders>
            <w:shd w:val="clear" w:color="000000" w:fill="D9D9D9"/>
            <w:noWrap/>
            <w:vAlign w:val="center"/>
            <w:hideMark/>
          </w:tcPr>
          <w:p w14:paraId="74A3EEFB" w14:textId="77777777" w:rsidR="005B5D1D" w:rsidRPr="007B779F" w:rsidRDefault="005B5D1D" w:rsidP="007C17C6">
            <w:pPr>
              <w:jc w:val="center"/>
              <w:rPr>
                <w:rFonts w:ascii="Cambria" w:hAnsi="Cambria"/>
                <w:b/>
                <w:bCs/>
                <w:color w:val="000000"/>
                <w:sz w:val="17"/>
                <w:szCs w:val="17"/>
              </w:rPr>
            </w:pPr>
            <w:r w:rsidRPr="007B779F">
              <w:rPr>
                <w:rFonts w:ascii="Cambria" w:hAnsi="Cambria"/>
                <w:b/>
                <w:bCs/>
                <w:color w:val="000000"/>
                <w:sz w:val="17"/>
                <w:szCs w:val="17"/>
              </w:rPr>
              <w:t>2023</w:t>
            </w:r>
          </w:p>
        </w:tc>
        <w:tc>
          <w:tcPr>
            <w:tcW w:w="0" w:type="auto"/>
            <w:tcBorders>
              <w:top w:val="nil"/>
              <w:left w:val="nil"/>
              <w:bottom w:val="single" w:sz="4" w:space="0" w:color="auto"/>
              <w:right w:val="single" w:sz="4" w:space="0" w:color="auto"/>
            </w:tcBorders>
            <w:shd w:val="clear" w:color="000000" w:fill="D9D9D9"/>
            <w:noWrap/>
            <w:vAlign w:val="center"/>
            <w:hideMark/>
          </w:tcPr>
          <w:p w14:paraId="50141136" w14:textId="77777777" w:rsidR="005B5D1D" w:rsidRPr="007B779F" w:rsidRDefault="005B5D1D" w:rsidP="007C17C6">
            <w:pPr>
              <w:jc w:val="center"/>
              <w:rPr>
                <w:rFonts w:ascii="Cambria" w:hAnsi="Cambria"/>
                <w:b/>
                <w:bCs/>
                <w:color w:val="000000"/>
                <w:sz w:val="17"/>
                <w:szCs w:val="17"/>
              </w:rPr>
            </w:pPr>
            <w:r w:rsidRPr="007B779F">
              <w:rPr>
                <w:rFonts w:ascii="Cambria" w:hAnsi="Cambria"/>
                <w:b/>
                <w:bCs/>
                <w:color w:val="000000"/>
                <w:sz w:val="17"/>
                <w:szCs w:val="17"/>
              </w:rPr>
              <w:t>2024</w:t>
            </w:r>
          </w:p>
        </w:tc>
        <w:tc>
          <w:tcPr>
            <w:tcW w:w="0" w:type="auto"/>
            <w:tcBorders>
              <w:top w:val="nil"/>
              <w:left w:val="nil"/>
              <w:bottom w:val="single" w:sz="4" w:space="0" w:color="auto"/>
              <w:right w:val="nil"/>
            </w:tcBorders>
            <w:shd w:val="clear" w:color="000000" w:fill="D9D9D9"/>
            <w:noWrap/>
            <w:vAlign w:val="center"/>
            <w:hideMark/>
          </w:tcPr>
          <w:p w14:paraId="2CE5328A" w14:textId="77777777" w:rsidR="005B5D1D" w:rsidRPr="007B779F" w:rsidRDefault="005B5D1D" w:rsidP="007C17C6">
            <w:pPr>
              <w:jc w:val="center"/>
              <w:rPr>
                <w:rFonts w:ascii="Cambria" w:hAnsi="Cambria"/>
                <w:b/>
                <w:bCs/>
                <w:color w:val="000000"/>
                <w:sz w:val="17"/>
                <w:szCs w:val="17"/>
              </w:rPr>
            </w:pPr>
            <w:r w:rsidRPr="007B779F">
              <w:rPr>
                <w:rFonts w:ascii="Cambria" w:hAnsi="Cambria"/>
                <w:b/>
                <w:bCs/>
                <w:color w:val="000000"/>
                <w:sz w:val="17"/>
                <w:szCs w:val="17"/>
              </w:rPr>
              <w:t>2025</w:t>
            </w: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14:paraId="6FD09D84" w14:textId="77777777" w:rsidR="005B5D1D" w:rsidRPr="007B779F" w:rsidRDefault="005B5D1D" w:rsidP="007C17C6">
            <w:pPr>
              <w:jc w:val="center"/>
              <w:rPr>
                <w:rFonts w:ascii="Cambria" w:hAnsi="Cambria"/>
                <w:b/>
                <w:bCs/>
                <w:color w:val="000000"/>
                <w:sz w:val="17"/>
                <w:szCs w:val="17"/>
              </w:rPr>
            </w:pPr>
            <w:r w:rsidRPr="007B779F">
              <w:rPr>
                <w:rFonts w:ascii="Cambria" w:hAnsi="Cambria"/>
                <w:b/>
                <w:bCs/>
                <w:color w:val="000000"/>
                <w:sz w:val="17"/>
                <w:szCs w:val="17"/>
              </w:rPr>
              <w:t>2023</w:t>
            </w:r>
          </w:p>
        </w:tc>
        <w:tc>
          <w:tcPr>
            <w:tcW w:w="0" w:type="auto"/>
            <w:tcBorders>
              <w:top w:val="nil"/>
              <w:left w:val="nil"/>
              <w:bottom w:val="single" w:sz="4" w:space="0" w:color="auto"/>
              <w:right w:val="single" w:sz="4" w:space="0" w:color="auto"/>
            </w:tcBorders>
            <w:shd w:val="clear" w:color="000000" w:fill="D9D9D9"/>
            <w:noWrap/>
            <w:vAlign w:val="center"/>
            <w:hideMark/>
          </w:tcPr>
          <w:p w14:paraId="3137B270" w14:textId="77777777" w:rsidR="005B5D1D" w:rsidRPr="007B779F" w:rsidRDefault="005B5D1D" w:rsidP="007C17C6">
            <w:pPr>
              <w:jc w:val="center"/>
              <w:rPr>
                <w:rFonts w:ascii="Cambria" w:hAnsi="Cambria"/>
                <w:b/>
                <w:bCs/>
                <w:color w:val="000000"/>
                <w:sz w:val="17"/>
                <w:szCs w:val="17"/>
              </w:rPr>
            </w:pPr>
            <w:r w:rsidRPr="007B779F">
              <w:rPr>
                <w:rFonts w:ascii="Cambria" w:hAnsi="Cambria"/>
                <w:b/>
                <w:bCs/>
                <w:color w:val="000000"/>
                <w:sz w:val="17"/>
                <w:szCs w:val="17"/>
              </w:rPr>
              <w:t>2024</w:t>
            </w:r>
          </w:p>
        </w:tc>
        <w:tc>
          <w:tcPr>
            <w:tcW w:w="0" w:type="auto"/>
            <w:tcBorders>
              <w:top w:val="nil"/>
              <w:left w:val="nil"/>
              <w:bottom w:val="single" w:sz="4" w:space="0" w:color="auto"/>
              <w:right w:val="single" w:sz="8" w:space="0" w:color="auto"/>
            </w:tcBorders>
            <w:shd w:val="clear" w:color="000000" w:fill="D9D9D9"/>
            <w:noWrap/>
            <w:vAlign w:val="center"/>
            <w:hideMark/>
          </w:tcPr>
          <w:p w14:paraId="40C5324D" w14:textId="77777777" w:rsidR="005B5D1D" w:rsidRPr="007B779F" w:rsidRDefault="005B5D1D" w:rsidP="007C17C6">
            <w:pPr>
              <w:jc w:val="center"/>
              <w:rPr>
                <w:rFonts w:ascii="Cambria" w:hAnsi="Cambria"/>
                <w:b/>
                <w:bCs/>
                <w:color w:val="000000"/>
                <w:sz w:val="17"/>
                <w:szCs w:val="17"/>
              </w:rPr>
            </w:pPr>
            <w:r w:rsidRPr="007B779F">
              <w:rPr>
                <w:rFonts w:ascii="Cambria" w:hAnsi="Cambria"/>
                <w:b/>
                <w:bCs/>
                <w:color w:val="000000"/>
                <w:sz w:val="17"/>
                <w:szCs w:val="17"/>
              </w:rPr>
              <w:t>2025</w:t>
            </w:r>
          </w:p>
        </w:tc>
        <w:tc>
          <w:tcPr>
            <w:tcW w:w="0" w:type="auto"/>
            <w:tcBorders>
              <w:top w:val="nil"/>
              <w:left w:val="nil"/>
              <w:bottom w:val="single" w:sz="4" w:space="0" w:color="auto"/>
              <w:right w:val="single" w:sz="4" w:space="0" w:color="auto"/>
            </w:tcBorders>
            <w:shd w:val="clear" w:color="000000" w:fill="D9D9D9"/>
            <w:noWrap/>
            <w:vAlign w:val="center"/>
            <w:hideMark/>
          </w:tcPr>
          <w:p w14:paraId="682795FA" w14:textId="77777777" w:rsidR="005B5D1D" w:rsidRPr="007B779F" w:rsidRDefault="005B5D1D" w:rsidP="007C17C6">
            <w:pPr>
              <w:jc w:val="center"/>
              <w:rPr>
                <w:rFonts w:ascii="Cambria" w:hAnsi="Cambria"/>
                <w:b/>
                <w:bCs/>
                <w:color w:val="000000"/>
                <w:sz w:val="17"/>
                <w:szCs w:val="17"/>
              </w:rPr>
            </w:pPr>
            <w:r w:rsidRPr="007B779F">
              <w:rPr>
                <w:rFonts w:ascii="Cambria" w:hAnsi="Cambria"/>
                <w:b/>
                <w:bCs/>
                <w:color w:val="000000"/>
                <w:sz w:val="17"/>
                <w:szCs w:val="17"/>
              </w:rPr>
              <w:t>2023</w:t>
            </w:r>
          </w:p>
        </w:tc>
        <w:tc>
          <w:tcPr>
            <w:tcW w:w="0" w:type="auto"/>
            <w:tcBorders>
              <w:top w:val="nil"/>
              <w:left w:val="nil"/>
              <w:bottom w:val="single" w:sz="4" w:space="0" w:color="auto"/>
              <w:right w:val="single" w:sz="4" w:space="0" w:color="auto"/>
            </w:tcBorders>
            <w:shd w:val="clear" w:color="000000" w:fill="D9D9D9"/>
            <w:noWrap/>
            <w:vAlign w:val="center"/>
            <w:hideMark/>
          </w:tcPr>
          <w:p w14:paraId="51B18823" w14:textId="77777777" w:rsidR="005B5D1D" w:rsidRPr="007B779F" w:rsidRDefault="005B5D1D" w:rsidP="007C17C6">
            <w:pPr>
              <w:jc w:val="center"/>
              <w:rPr>
                <w:rFonts w:ascii="Cambria" w:hAnsi="Cambria"/>
                <w:b/>
                <w:bCs/>
                <w:color w:val="000000"/>
                <w:sz w:val="17"/>
                <w:szCs w:val="17"/>
              </w:rPr>
            </w:pPr>
            <w:r w:rsidRPr="007B779F">
              <w:rPr>
                <w:rFonts w:ascii="Cambria" w:hAnsi="Cambria"/>
                <w:b/>
                <w:bCs/>
                <w:color w:val="000000"/>
                <w:sz w:val="17"/>
                <w:szCs w:val="17"/>
              </w:rPr>
              <w:t>2024</w:t>
            </w:r>
          </w:p>
        </w:tc>
        <w:tc>
          <w:tcPr>
            <w:tcW w:w="0" w:type="auto"/>
            <w:tcBorders>
              <w:top w:val="nil"/>
              <w:left w:val="nil"/>
              <w:bottom w:val="single" w:sz="4" w:space="0" w:color="auto"/>
              <w:right w:val="single" w:sz="8" w:space="0" w:color="auto"/>
            </w:tcBorders>
            <w:shd w:val="clear" w:color="000000" w:fill="D9D9D9"/>
            <w:noWrap/>
            <w:vAlign w:val="center"/>
            <w:hideMark/>
          </w:tcPr>
          <w:p w14:paraId="22C08B45" w14:textId="77777777" w:rsidR="005B5D1D" w:rsidRPr="007B779F" w:rsidRDefault="005B5D1D" w:rsidP="007C17C6">
            <w:pPr>
              <w:jc w:val="center"/>
              <w:rPr>
                <w:rFonts w:ascii="Cambria" w:hAnsi="Cambria"/>
                <w:b/>
                <w:bCs/>
                <w:color w:val="000000"/>
                <w:sz w:val="17"/>
                <w:szCs w:val="17"/>
              </w:rPr>
            </w:pPr>
            <w:r w:rsidRPr="007B779F">
              <w:rPr>
                <w:rFonts w:ascii="Cambria" w:hAnsi="Cambria"/>
                <w:b/>
                <w:bCs/>
                <w:color w:val="000000"/>
                <w:sz w:val="17"/>
                <w:szCs w:val="17"/>
              </w:rPr>
              <w:t>2025</w:t>
            </w:r>
          </w:p>
        </w:tc>
      </w:tr>
      <w:tr w:rsidR="005B5D1D" w:rsidRPr="007B779F" w14:paraId="0413B72E"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072978BC" w14:textId="77777777" w:rsidR="005B5D1D" w:rsidRPr="007B779F" w:rsidRDefault="005B5D1D" w:rsidP="007C17C6">
            <w:pPr>
              <w:rPr>
                <w:rFonts w:ascii="Cambria" w:hAnsi="Cambria"/>
                <w:sz w:val="17"/>
                <w:szCs w:val="17"/>
              </w:rPr>
            </w:pPr>
            <w:r w:rsidRPr="007B779F">
              <w:rPr>
                <w:rFonts w:ascii="Cambria" w:hAnsi="Cambria"/>
                <w:sz w:val="17"/>
                <w:szCs w:val="17"/>
              </w:rPr>
              <w:t>Angola</w:t>
            </w:r>
          </w:p>
        </w:tc>
        <w:tc>
          <w:tcPr>
            <w:tcW w:w="0" w:type="auto"/>
            <w:tcBorders>
              <w:top w:val="nil"/>
              <w:left w:val="nil"/>
              <w:bottom w:val="single" w:sz="4" w:space="0" w:color="auto"/>
              <w:right w:val="single" w:sz="4" w:space="0" w:color="auto"/>
            </w:tcBorders>
            <w:noWrap/>
            <w:vAlign w:val="center"/>
            <w:hideMark/>
          </w:tcPr>
          <w:p w14:paraId="5D097B5E" w14:textId="77777777" w:rsidR="005B5D1D" w:rsidRPr="007B779F" w:rsidRDefault="005B5D1D" w:rsidP="007C17C6">
            <w:pPr>
              <w:jc w:val="center"/>
              <w:rPr>
                <w:rFonts w:ascii="Cambria" w:hAnsi="Cambria"/>
                <w:sz w:val="17"/>
                <w:szCs w:val="17"/>
              </w:rPr>
            </w:pPr>
            <w:r w:rsidRPr="007B779F">
              <w:rPr>
                <w:rFonts w:ascii="Cambria" w:hAnsi="Cambria"/>
                <w:sz w:val="17"/>
                <w:szCs w:val="17"/>
              </w:rPr>
              <w:t>13,79</w:t>
            </w:r>
          </w:p>
        </w:tc>
        <w:tc>
          <w:tcPr>
            <w:tcW w:w="0" w:type="auto"/>
            <w:tcBorders>
              <w:top w:val="nil"/>
              <w:left w:val="nil"/>
              <w:bottom w:val="single" w:sz="4" w:space="0" w:color="auto"/>
              <w:right w:val="single" w:sz="4" w:space="0" w:color="auto"/>
            </w:tcBorders>
            <w:noWrap/>
            <w:vAlign w:val="center"/>
            <w:hideMark/>
          </w:tcPr>
          <w:p w14:paraId="4FCEB265" w14:textId="77777777" w:rsidR="005B5D1D" w:rsidRPr="007B779F" w:rsidRDefault="005B5D1D" w:rsidP="007C17C6">
            <w:pPr>
              <w:jc w:val="center"/>
              <w:rPr>
                <w:rFonts w:ascii="Cambria" w:hAnsi="Cambria"/>
                <w:sz w:val="17"/>
                <w:szCs w:val="17"/>
              </w:rPr>
            </w:pPr>
            <w:r w:rsidRPr="007B779F">
              <w:rPr>
                <w:rFonts w:ascii="Cambria" w:hAnsi="Cambria"/>
                <w:sz w:val="17"/>
                <w:szCs w:val="17"/>
              </w:rPr>
              <w:t>2,15</w:t>
            </w:r>
          </w:p>
        </w:tc>
        <w:tc>
          <w:tcPr>
            <w:tcW w:w="0" w:type="auto"/>
            <w:tcBorders>
              <w:top w:val="nil"/>
              <w:left w:val="nil"/>
              <w:bottom w:val="single" w:sz="4" w:space="0" w:color="auto"/>
              <w:right w:val="nil"/>
            </w:tcBorders>
            <w:shd w:val="clear" w:color="000000" w:fill="C0E6F5"/>
            <w:noWrap/>
            <w:vAlign w:val="center"/>
            <w:hideMark/>
          </w:tcPr>
          <w:p w14:paraId="479EA016" w14:textId="77777777" w:rsidR="005B5D1D" w:rsidRPr="007B779F" w:rsidRDefault="005B5D1D" w:rsidP="007C17C6">
            <w:pPr>
              <w:jc w:val="center"/>
              <w:rPr>
                <w:rFonts w:ascii="Cambria" w:hAnsi="Cambria"/>
                <w:sz w:val="17"/>
                <w:szCs w:val="17"/>
              </w:rPr>
            </w:pPr>
            <w:r w:rsidRPr="007B779F">
              <w:rPr>
                <w:rFonts w:ascii="Cambria" w:hAnsi="Cambria"/>
                <w:sz w:val="17"/>
                <w:szCs w:val="17"/>
              </w:rPr>
              <w:t>13,06</w:t>
            </w:r>
          </w:p>
        </w:tc>
        <w:tc>
          <w:tcPr>
            <w:tcW w:w="0" w:type="auto"/>
            <w:tcBorders>
              <w:top w:val="nil"/>
              <w:left w:val="single" w:sz="8" w:space="0" w:color="auto"/>
              <w:bottom w:val="single" w:sz="4" w:space="0" w:color="auto"/>
              <w:right w:val="single" w:sz="4" w:space="0" w:color="auto"/>
            </w:tcBorders>
            <w:noWrap/>
            <w:vAlign w:val="center"/>
            <w:hideMark/>
          </w:tcPr>
          <w:p w14:paraId="2B704C34"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0E282310"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34D5CAD2"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08D2A200"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139D86F6"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1D4F3E3F"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12A847D8"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03670D59" w14:textId="77777777" w:rsidR="005B5D1D" w:rsidRPr="007B779F" w:rsidRDefault="005B5D1D" w:rsidP="007C17C6">
            <w:pPr>
              <w:rPr>
                <w:rFonts w:ascii="Cambria" w:hAnsi="Cambria"/>
                <w:sz w:val="17"/>
                <w:szCs w:val="17"/>
              </w:rPr>
            </w:pPr>
            <w:r w:rsidRPr="007B779F">
              <w:rPr>
                <w:rFonts w:ascii="Cambria" w:hAnsi="Cambria"/>
                <w:sz w:val="17"/>
                <w:szCs w:val="17"/>
              </w:rPr>
              <w:t>Belize</w:t>
            </w:r>
          </w:p>
        </w:tc>
        <w:tc>
          <w:tcPr>
            <w:tcW w:w="0" w:type="auto"/>
            <w:tcBorders>
              <w:top w:val="nil"/>
              <w:left w:val="nil"/>
              <w:bottom w:val="single" w:sz="4" w:space="0" w:color="auto"/>
              <w:right w:val="single" w:sz="4" w:space="0" w:color="auto"/>
            </w:tcBorders>
            <w:noWrap/>
            <w:vAlign w:val="center"/>
            <w:hideMark/>
          </w:tcPr>
          <w:p w14:paraId="2377B433"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4248CA17"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nil"/>
            </w:tcBorders>
            <w:shd w:val="clear" w:color="000000" w:fill="C0E6F5"/>
            <w:noWrap/>
            <w:vAlign w:val="center"/>
            <w:hideMark/>
          </w:tcPr>
          <w:p w14:paraId="7D7DABB8"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5931AA1A"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615795D0"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781B3BC1"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47D04A3B"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1CBCA1A9"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0B929D46"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450AE8C9"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5CD8F2E6" w14:textId="77777777" w:rsidR="005B5D1D" w:rsidRPr="007B779F" w:rsidRDefault="005B5D1D" w:rsidP="007C17C6">
            <w:pPr>
              <w:rPr>
                <w:rFonts w:ascii="Cambria" w:hAnsi="Cambria"/>
                <w:sz w:val="17"/>
                <w:szCs w:val="17"/>
              </w:rPr>
            </w:pPr>
            <w:r w:rsidRPr="007B779F">
              <w:rPr>
                <w:rFonts w:ascii="Cambria" w:hAnsi="Cambria"/>
                <w:sz w:val="17"/>
                <w:szCs w:val="17"/>
              </w:rPr>
              <w:t>Brésil</w:t>
            </w:r>
          </w:p>
        </w:tc>
        <w:tc>
          <w:tcPr>
            <w:tcW w:w="0" w:type="auto"/>
            <w:tcBorders>
              <w:top w:val="nil"/>
              <w:left w:val="nil"/>
              <w:bottom w:val="single" w:sz="4" w:space="0" w:color="auto"/>
              <w:right w:val="single" w:sz="4" w:space="0" w:color="auto"/>
            </w:tcBorders>
            <w:noWrap/>
            <w:vAlign w:val="center"/>
            <w:hideMark/>
          </w:tcPr>
          <w:p w14:paraId="09EB3BB2" w14:textId="77777777" w:rsidR="005B5D1D" w:rsidRPr="007B779F" w:rsidRDefault="005B5D1D" w:rsidP="007C17C6">
            <w:pPr>
              <w:jc w:val="center"/>
              <w:rPr>
                <w:rFonts w:ascii="Cambria" w:hAnsi="Cambria"/>
                <w:sz w:val="17"/>
                <w:szCs w:val="17"/>
              </w:rPr>
            </w:pPr>
            <w:r w:rsidRPr="007B779F">
              <w:rPr>
                <w:rFonts w:ascii="Cambria" w:hAnsi="Cambria"/>
                <w:sz w:val="17"/>
                <w:szCs w:val="17"/>
              </w:rPr>
              <w:t>121,00</w:t>
            </w:r>
          </w:p>
        </w:tc>
        <w:tc>
          <w:tcPr>
            <w:tcW w:w="0" w:type="auto"/>
            <w:tcBorders>
              <w:top w:val="nil"/>
              <w:left w:val="nil"/>
              <w:bottom w:val="single" w:sz="4" w:space="0" w:color="auto"/>
              <w:right w:val="single" w:sz="4" w:space="0" w:color="auto"/>
            </w:tcBorders>
            <w:noWrap/>
            <w:vAlign w:val="center"/>
            <w:hideMark/>
          </w:tcPr>
          <w:p w14:paraId="205DE2D9" w14:textId="77777777" w:rsidR="005B5D1D" w:rsidRPr="007B779F" w:rsidRDefault="005B5D1D" w:rsidP="007C17C6">
            <w:pPr>
              <w:jc w:val="center"/>
              <w:rPr>
                <w:rFonts w:ascii="Cambria" w:hAnsi="Cambria"/>
                <w:sz w:val="17"/>
                <w:szCs w:val="17"/>
              </w:rPr>
            </w:pPr>
            <w:r w:rsidRPr="007B779F">
              <w:rPr>
                <w:rFonts w:ascii="Cambria" w:hAnsi="Cambria"/>
                <w:sz w:val="17"/>
                <w:szCs w:val="17"/>
              </w:rPr>
              <w:t>30,39</w:t>
            </w:r>
          </w:p>
        </w:tc>
        <w:tc>
          <w:tcPr>
            <w:tcW w:w="0" w:type="auto"/>
            <w:tcBorders>
              <w:top w:val="nil"/>
              <w:left w:val="nil"/>
              <w:bottom w:val="single" w:sz="4" w:space="0" w:color="auto"/>
              <w:right w:val="nil"/>
            </w:tcBorders>
            <w:shd w:val="clear" w:color="000000" w:fill="C0E6F5"/>
            <w:noWrap/>
            <w:vAlign w:val="center"/>
            <w:hideMark/>
          </w:tcPr>
          <w:p w14:paraId="4CD467BD"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single" w:sz="8" w:space="0" w:color="auto"/>
              <w:bottom w:val="single" w:sz="4" w:space="0" w:color="auto"/>
              <w:right w:val="single" w:sz="4" w:space="0" w:color="auto"/>
            </w:tcBorders>
            <w:noWrap/>
            <w:vAlign w:val="center"/>
            <w:hideMark/>
          </w:tcPr>
          <w:p w14:paraId="0B9C8D63"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0FE8CCA2"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70FF2922" w14:textId="77777777" w:rsidR="005B5D1D" w:rsidRPr="007B779F" w:rsidRDefault="005B5D1D" w:rsidP="007C17C6">
            <w:pPr>
              <w:jc w:val="center"/>
              <w:rPr>
                <w:rFonts w:ascii="Cambria" w:hAnsi="Cambria"/>
                <w:sz w:val="17"/>
                <w:szCs w:val="17"/>
              </w:rPr>
            </w:pPr>
            <w:r w:rsidRPr="007B779F">
              <w:rPr>
                <w:rFonts w:ascii="Cambria" w:hAnsi="Cambria"/>
                <w:sz w:val="17"/>
                <w:szCs w:val="17"/>
              </w:rPr>
              <w:t>44,00</w:t>
            </w:r>
          </w:p>
        </w:tc>
        <w:tc>
          <w:tcPr>
            <w:tcW w:w="0" w:type="auto"/>
            <w:tcBorders>
              <w:top w:val="nil"/>
              <w:left w:val="nil"/>
              <w:bottom w:val="single" w:sz="4" w:space="0" w:color="auto"/>
              <w:right w:val="single" w:sz="4" w:space="0" w:color="auto"/>
            </w:tcBorders>
            <w:noWrap/>
            <w:vAlign w:val="center"/>
            <w:hideMark/>
          </w:tcPr>
          <w:p w14:paraId="07D9E5BB"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4D4EEB75"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67ABCE01"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3B12F7EA"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4E913A7D" w14:textId="77777777" w:rsidR="005B5D1D" w:rsidRPr="007B779F" w:rsidRDefault="005B5D1D" w:rsidP="007C17C6">
            <w:pPr>
              <w:rPr>
                <w:rFonts w:ascii="Cambria" w:hAnsi="Cambria"/>
                <w:sz w:val="17"/>
                <w:szCs w:val="17"/>
              </w:rPr>
            </w:pPr>
            <w:r w:rsidRPr="007B779F">
              <w:rPr>
                <w:rFonts w:ascii="Cambria" w:hAnsi="Cambria"/>
                <w:sz w:val="17"/>
                <w:szCs w:val="17"/>
              </w:rPr>
              <w:t>Chine, Rép. pop.</w:t>
            </w:r>
          </w:p>
        </w:tc>
        <w:tc>
          <w:tcPr>
            <w:tcW w:w="0" w:type="auto"/>
            <w:tcBorders>
              <w:top w:val="nil"/>
              <w:left w:val="nil"/>
              <w:bottom w:val="single" w:sz="4" w:space="0" w:color="auto"/>
              <w:right w:val="single" w:sz="4" w:space="0" w:color="auto"/>
            </w:tcBorders>
            <w:noWrap/>
            <w:vAlign w:val="center"/>
            <w:hideMark/>
          </w:tcPr>
          <w:p w14:paraId="347DB496"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5585BCE7"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nil"/>
            </w:tcBorders>
            <w:shd w:val="clear" w:color="000000" w:fill="C0E6F5"/>
            <w:noWrap/>
            <w:vAlign w:val="center"/>
            <w:hideMark/>
          </w:tcPr>
          <w:p w14:paraId="06ACBEAA"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2C1B43F2" w14:textId="77777777" w:rsidR="005B5D1D" w:rsidRPr="007B779F" w:rsidRDefault="005B5D1D" w:rsidP="007C17C6">
            <w:pPr>
              <w:jc w:val="center"/>
              <w:rPr>
                <w:rFonts w:ascii="Cambria" w:hAnsi="Cambria"/>
                <w:sz w:val="17"/>
                <w:szCs w:val="17"/>
              </w:rPr>
            </w:pPr>
            <w:r w:rsidRPr="007B779F">
              <w:rPr>
                <w:rFonts w:ascii="Cambria" w:hAnsi="Cambria"/>
                <w:sz w:val="17"/>
                <w:szCs w:val="17"/>
              </w:rPr>
              <w:t>3,28</w:t>
            </w:r>
          </w:p>
        </w:tc>
        <w:tc>
          <w:tcPr>
            <w:tcW w:w="0" w:type="auto"/>
            <w:tcBorders>
              <w:top w:val="nil"/>
              <w:left w:val="nil"/>
              <w:bottom w:val="single" w:sz="4" w:space="0" w:color="auto"/>
              <w:right w:val="single" w:sz="4" w:space="0" w:color="auto"/>
            </w:tcBorders>
            <w:noWrap/>
            <w:vAlign w:val="center"/>
            <w:hideMark/>
          </w:tcPr>
          <w:p w14:paraId="2D0A59A1" w14:textId="77777777" w:rsidR="005B5D1D" w:rsidRPr="007B779F" w:rsidRDefault="005B5D1D" w:rsidP="007C17C6">
            <w:pPr>
              <w:jc w:val="center"/>
              <w:rPr>
                <w:rFonts w:ascii="Cambria" w:hAnsi="Cambria"/>
                <w:sz w:val="17"/>
                <w:szCs w:val="17"/>
              </w:rPr>
            </w:pPr>
            <w:r w:rsidRPr="007B779F">
              <w:rPr>
                <w:rFonts w:ascii="Cambria" w:hAnsi="Cambria"/>
                <w:sz w:val="17"/>
                <w:szCs w:val="17"/>
              </w:rPr>
              <w:t>0,36</w:t>
            </w:r>
          </w:p>
        </w:tc>
        <w:tc>
          <w:tcPr>
            <w:tcW w:w="0" w:type="auto"/>
            <w:tcBorders>
              <w:top w:val="nil"/>
              <w:left w:val="nil"/>
              <w:bottom w:val="single" w:sz="4" w:space="0" w:color="auto"/>
              <w:right w:val="single" w:sz="8" w:space="0" w:color="auto"/>
            </w:tcBorders>
            <w:shd w:val="clear" w:color="000000" w:fill="C0E6F5"/>
            <w:noWrap/>
            <w:vAlign w:val="center"/>
            <w:hideMark/>
          </w:tcPr>
          <w:p w14:paraId="011D509B"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5CA9F8FD" w14:textId="77777777" w:rsidR="005B5D1D" w:rsidRPr="007B779F" w:rsidRDefault="005B5D1D" w:rsidP="007C17C6">
            <w:pPr>
              <w:jc w:val="center"/>
              <w:rPr>
                <w:rFonts w:ascii="Cambria" w:hAnsi="Cambria"/>
                <w:sz w:val="17"/>
                <w:szCs w:val="17"/>
              </w:rPr>
            </w:pPr>
            <w:r w:rsidRPr="007B779F">
              <w:rPr>
                <w:rFonts w:ascii="Cambria" w:hAnsi="Cambria"/>
                <w:sz w:val="17"/>
                <w:szCs w:val="17"/>
              </w:rPr>
              <w:t>6,07</w:t>
            </w:r>
          </w:p>
        </w:tc>
        <w:tc>
          <w:tcPr>
            <w:tcW w:w="0" w:type="auto"/>
            <w:tcBorders>
              <w:top w:val="nil"/>
              <w:left w:val="nil"/>
              <w:bottom w:val="single" w:sz="4" w:space="0" w:color="auto"/>
              <w:right w:val="single" w:sz="4" w:space="0" w:color="auto"/>
            </w:tcBorders>
            <w:noWrap/>
            <w:vAlign w:val="center"/>
            <w:hideMark/>
          </w:tcPr>
          <w:p w14:paraId="7FC1E1F7" w14:textId="77777777" w:rsidR="005B5D1D" w:rsidRPr="007B779F" w:rsidRDefault="005B5D1D" w:rsidP="007C17C6">
            <w:pPr>
              <w:jc w:val="center"/>
              <w:rPr>
                <w:rFonts w:ascii="Cambria" w:hAnsi="Cambria"/>
                <w:sz w:val="17"/>
                <w:szCs w:val="17"/>
              </w:rPr>
            </w:pPr>
            <w:r w:rsidRPr="007B779F">
              <w:rPr>
                <w:rFonts w:ascii="Cambria" w:hAnsi="Cambria"/>
                <w:sz w:val="17"/>
                <w:szCs w:val="17"/>
              </w:rPr>
              <w:t>1,30</w:t>
            </w:r>
          </w:p>
        </w:tc>
        <w:tc>
          <w:tcPr>
            <w:tcW w:w="0" w:type="auto"/>
            <w:tcBorders>
              <w:top w:val="nil"/>
              <w:left w:val="nil"/>
              <w:bottom w:val="single" w:sz="4" w:space="0" w:color="auto"/>
              <w:right w:val="single" w:sz="8" w:space="0" w:color="auto"/>
            </w:tcBorders>
            <w:shd w:val="clear" w:color="000000" w:fill="C0E6F5"/>
            <w:noWrap/>
            <w:vAlign w:val="center"/>
            <w:hideMark/>
          </w:tcPr>
          <w:p w14:paraId="4C06C727"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3D003AF5"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61BD9031" w14:textId="77777777" w:rsidR="005B5D1D" w:rsidRPr="007B779F" w:rsidRDefault="005B5D1D" w:rsidP="007C17C6">
            <w:pPr>
              <w:rPr>
                <w:rFonts w:ascii="Cambria" w:hAnsi="Cambria"/>
                <w:sz w:val="17"/>
                <w:szCs w:val="17"/>
              </w:rPr>
            </w:pPr>
            <w:r w:rsidRPr="007B779F">
              <w:rPr>
                <w:rFonts w:ascii="Cambria" w:hAnsi="Cambria"/>
                <w:sz w:val="17"/>
                <w:szCs w:val="17"/>
              </w:rPr>
              <w:t>Taipei chinois</w:t>
            </w:r>
          </w:p>
        </w:tc>
        <w:tc>
          <w:tcPr>
            <w:tcW w:w="0" w:type="auto"/>
            <w:tcBorders>
              <w:top w:val="nil"/>
              <w:left w:val="nil"/>
              <w:bottom w:val="single" w:sz="4" w:space="0" w:color="auto"/>
              <w:right w:val="single" w:sz="4" w:space="0" w:color="auto"/>
            </w:tcBorders>
            <w:noWrap/>
            <w:vAlign w:val="center"/>
            <w:hideMark/>
          </w:tcPr>
          <w:p w14:paraId="40518CE1" w14:textId="77777777" w:rsidR="005B5D1D" w:rsidRPr="007B779F" w:rsidRDefault="005B5D1D" w:rsidP="007C17C6">
            <w:pPr>
              <w:jc w:val="center"/>
              <w:rPr>
                <w:rFonts w:ascii="Cambria" w:hAnsi="Cambria"/>
                <w:sz w:val="17"/>
                <w:szCs w:val="17"/>
              </w:rPr>
            </w:pPr>
            <w:r w:rsidRPr="007B779F">
              <w:rPr>
                <w:rFonts w:ascii="Cambria" w:hAnsi="Cambria"/>
                <w:sz w:val="17"/>
                <w:szCs w:val="17"/>
              </w:rPr>
              <w:t>2,00</w:t>
            </w:r>
          </w:p>
        </w:tc>
        <w:tc>
          <w:tcPr>
            <w:tcW w:w="0" w:type="auto"/>
            <w:tcBorders>
              <w:top w:val="nil"/>
              <w:left w:val="nil"/>
              <w:bottom w:val="single" w:sz="4" w:space="0" w:color="auto"/>
              <w:right w:val="single" w:sz="4" w:space="0" w:color="auto"/>
            </w:tcBorders>
            <w:noWrap/>
            <w:vAlign w:val="center"/>
            <w:hideMark/>
          </w:tcPr>
          <w:p w14:paraId="13966EDB" w14:textId="77777777" w:rsidR="005B5D1D" w:rsidRPr="007B779F" w:rsidRDefault="005B5D1D" w:rsidP="007C17C6">
            <w:pPr>
              <w:jc w:val="center"/>
              <w:rPr>
                <w:rFonts w:ascii="Cambria" w:hAnsi="Cambria"/>
                <w:sz w:val="17"/>
                <w:szCs w:val="17"/>
              </w:rPr>
            </w:pPr>
            <w:r w:rsidRPr="007B779F">
              <w:rPr>
                <w:rFonts w:ascii="Cambria" w:hAnsi="Cambria"/>
                <w:sz w:val="17"/>
                <w:szCs w:val="17"/>
              </w:rPr>
              <w:t>4,84</w:t>
            </w:r>
          </w:p>
        </w:tc>
        <w:tc>
          <w:tcPr>
            <w:tcW w:w="0" w:type="auto"/>
            <w:tcBorders>
              <w:top w:val="nil"/>
              <w:left w:val="nil"/>
              <w:bottom w:val="single" w:sz="4" w:space="0" w:color="auto"/>
              <w:right w:val="nil"/>
            </w:tcBorders>
            <w:shd w:val="clear" w:color="000000" w:fill="C0E6F5"/>
            <w:noWrap/>
            <w:vAlign w:val="center"/>
            <w:hideMark/>
          </w:tcPr>
          <w:p w14:paraId="0D27763E" w14:textId="77777777" w:rsidR="005B5D1D" w:rsidRPr="007B779F" w:rsidRDefault="005B5D1D" w:rsidP="007C17C6">
            <w:pPr>
              <w:jc w:val="center"/>
              <w:rPr>
                <w:rFonts w:ascii="Cambria" w:hAnsi="Cambria"/>
                <w:sz w:val="17"/>
                <w:szCs w:val="17"/>
              </w:rPr>
            </w:pPr>
            <w:r w:rsidRPr="007B779F">
              <w:rPr>
                <w:rFonts w:ascii="Cambria" w:hAnsi="Cambria"/>
                <w:sz w:val="17"/>
                <w:szCs w:val="17"/>
              </w:rPr>
              <w:t>1,00</w:t>
            </w:r>
          </w:p>
        </w:tc>
        <w:tc>
          <w:tcPr>
            <w:tcW w:w="0" w:type="auto"/>
            <w:tcBorders>
              <w:top w:val="nil"/>
              <w:left w:val="single" w:sz="8" w:space="0" w:color="auto"/>
              <w:bottom w:val="single" w:sz="4" w:space="0" w:color="auto"/>
              <w:right w:val="single" w:sz="4" w:space="0" w:color="auto"/>
            </w:tcBorders>
            <w:noWrap/>
            <w:vAlign w:val="center"/>
            <w:hideMark/>
          </w:tcPr>
          <w:p w14:paraId="3DEFE238" w14:textId="77777777" w:rsidR="005B5D1D" w:rsidRPr="007B779F" w:rsidRDefault="005B5D1D" w:rsidP="007C17C6">
            <w:pPr>
              <w:jc w:val="center"/>
              <w:rPr>
                <w:rFonts w:ascii="Cambria" w:hAnsi="Cambria"/>
                <w:sz w:val="17"/>
                <w:szCs w:val="17"/>
              </w:rPr>
            </w:pPr>
            <w:r w:rsidRPr="007B779F">
              <w:rPr>
                <w:rFonts w:ascii="Cambria" w:hAnsi="Cambria"/>
                <w:sz w:val="17"/>
                <w:szCs w:val="17"/>
              </w:rPr>
              <w:t>6,56</w:t>
            </w:r>
          </w:p>
        </w:tc>
        <w:tc>
          <w:tcPr>
            <w:tcW w:w="0" w:type="auto"/>
            <w:tcBorders>
              <w:top w:val="nil"/>
              <w:left w:val="nil"/>
              <w:bottom w:val="single" w:sz="4" w:space="0" w:color="auto"/>
              <w:right w:val="single" w:sz="4" w:space="0" w:color="auto"/>
            </w:tcBorders>
            <w:noWrap/>
            <w:vAlign w:val="center"/>
            <w:hideMark/>
          </w:tcPr>
          <w:p w14:paraId="36C652F0" w14:textId="77777777" w:rsidR="005B5D1D" w:rsidRPr="007B779F" w:rsidRDefault="005B5D1D" w:rsidP="007C17C6">
            <w:pPr>
              <w:jc w:val="center"/>
              <w:rPr>
                <w:rFonts w:ascii="Cambria" w:hAnsi="Cambria"/>
                <w:sz w:val="17"/>
                <w:szCs w:val="17"/>
              </w:rPr>
            </w:pPr>
            <w:r w:rsidRPr="007B779F">
              <w:rPr>
                <w:rFonts w:ascii="Cambria" w:hAnsi="Cambria"/>
                <w:sz w:val="17"/>
                <w:szCs w:val="17"/>
              </w:rPr>
              <w:t>13,73</w:t>
            </w:r>
          </w:p>
        </w:tc>
        <w:tc>
          <w:tcPr>
            <w:tcW w:w="0" w:type="auto"/>
            <w:tcBorders>
              <w:top w:val="nil"/>
              <w:left w:val="nil"/>
              <w:bottom w:val="single" w:sz="4" w:space="0" w:color="auto"/>
              <w:right w:val="single" w:sz="8" w:space="0" w:color="auto"/>
            </w:tcBorders>
            <w:shd w:val="clear" w:color="000000" w:fill="C0E6F5"/>
            <w:noWrap/>
            <w:vAlign w:val="center"/>
            <w:hideMark/>
          </w:tcPr>
          <w:p w14:paraId="71689DCC" w14:textId="77777777" w:rsidR="005B5D1D" w:rsidRPr="007B779F" w:rsidRDefault="005B5D1D" w:rsidP="007C17C6">
            <w:pPr>
              <w:jc w:val="center"/>
              <w:rPr>
                <w:rFonts w:ascii="Cambria" w:hAnsi="Cambria"/>
                <w:sz w:val="17"/>
                <w:szCs w:val="17"/>
              </w:rPr>
            </w:pPr>
            <w:r w:rsidRPr="007B779F">
              <w:rPr>
                <w:rFonts w:ascii="Cambria" w:hAnsi="Cambria"/>
                <w:sz w:val="17"/>
                <w:szCs w:val="17"/>
              </w:rPr>
              <w:t>16,33</w:t>
            </w:r>
          </w:p>
        </w:tc>
        <w:tc>
          <w:tcPr>
            <w:tcW w:w="0" w:type="auto"/>
            <w:tcBorders>
              <w:top w:val="nil"/>
              <w:left w:val="nil"/>
              <w:bottom w:val="single" w:sz="4" w:space="0" w:color="auto"/>
              <w:right w:val="single" w:sz="4" w:space="0" w:color="auto"/>
            </w:tcBorders>
            <w:noWrap/>
            <w:vAlign w:val="center"/>
            <w:hideMark/>
          </w:tcPr>
          <w:p w14:paraId="557A886E" w14:textId="77777777" w:rsidR="005B5D1D" w:rsidRPr="007B779F" w:rsidRDefault="005B5D1D" w:rsidP="007C17C6">
            <w:pPr>
              <w:jc w:val="center"/>
              <w:rPr>
                <w:rFonts w:ascii="Cambria" w:hAnsi="Cambria"/>
                <w:sz w:val="17"/>
                <w:szCs w:val="17"/>
              </w:rPr>
            </w:pPr>
            <w:r w:rsidRPr="007B779F">
              <w:rPr>
                <w:rFonts w:ascii="Cambria" w:hAnsi="Cambria"/>
                <w:sz w:val="17"/>
                <w:szCs w:val="17"/>
              </w:rPr>
              <w:t>3,00</w:t>
            </w:r>
          </w:p>
        </w:tc>
        <w:tc>
          <w:tcPr>
            <w:tcW w:w="0" w:type="auto"/>
            <w:tcBorders>
              <w:top w:val="nil"/>
              <w:left w:val="nil"/>
              <w:bottom w:val="single" w:sz="4" w:space="0" w:color="auto"/>
              <w:right w:val="single" w:sz="4" w:space="0" w:color="auto"/>
            </w:tcBorders>
            <w:noWrap/>
            <w:vAlign w:val="center"/>
            <w:hideMark/>
          </w:tcPr>
          <w:p w14:paraId="58D0BE66" w14:textId="77777777" w:rsidR="005B5D1D" w:rsidRPr="007B779F" w:rsidRDefault="005B5D1D" w:rsidP="007C17C6">
            <w:pPr>
              <w:jc w:val="center"/>
              <w:rPr>
                <w:rFonts w:ascii="Cambria" w:hAnsi="Cambria"/>
                <w:sz w:val="17"/>
                <w:szCs w:val="17"/>
              </w:rPr>
            </w:pPr>
            <w:r w:rsidRPr="007B779F">
              <w:rPr>
                <w:rFonts w:ascii="Cambria" w:hAnsi="Cambria"/>
                <w:sz w:val="17"/>
                <w:szCs w:val="17"/>
              </w:rPr>
              <w:t>6,00</w:t>
            </w:r>
          </w:p>
        </w:tc>
        <w:tc>
          <w:tcPr>
            <w:tcW w:w="0" w:type="auto"/>
            <w:tcBorders>
              <w:top w:val="nil"/>
              <w:left w:val="nil"/>
              <w:bottom w:val="single" w:sz="4" w:space="0" w:color="auto"/>
              <w:right w:val="single" w:sz="8" w:space="0" w:color="auto"/>
            </w:tcBorders>
            <w:shd w:val="clear" w:color="000000" w:fill="C0E6F5"/>
            <w:noWrap/>
            <w:vAlign w:val="center"/>
            <w:hideMark/>
          </w:tcPr>
          <w:p w14:paraId="5B25321C" w14:textId="77777777" w:rsidR="005B5D1D" w:rsidRPr="007B779F" w:rsidRDefault="005B5D1D" w:rsidP="007C17C6">
            <w:pPr>
              <w:jc w:val="center"/>
              <w:rPr>
                <w:rFonts w:ascii="Cambria" w:hAnsi="Cambria"/>
                <w:sz w:val="17"/>
                <w:szCs w:val="17"/>
              </w:rPr>
            </w:pPr>
            <w:r w:rsidRPr="007B779F">
              <w:rPr>
                <w:rFonts w:ascii="Cambria" w:hAnsi="Cambria"/>
                <w:sz w:val="17"/>
                <w:szCs w:val="17"/>
              </w:rPr>
              <w:t>7,00</w:t>
            </w:r>
          </w:p>
        </w:tc>
      </w:tr>
      <w:tr w:rsidR="005B5D1D" w:rsidRPr="007B779F" w14:paraId="08F2C222"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4CE29A3A" w14:textId="77777777" w:rsidR="005B5D1D" w:rsidRPr="007B779F" w:rsidRDefault="005B5D1D" w:rsidP="007C17C6">
            <w:pPr>
              <w:rPr>
                <w:rFonts w:ascii="Cambria" w:hAnsi="Cambria"/>
                <w:sz w:val="17"/>
                <w:szCs w:val="17"/>
              </w:rPr>
            </w:pPr>
            <w:r w:rsidRPr="007B779F">
              <w:rPr>
                <w:rFonts w:ascii="Cambria" w:hAnsi="Cambria"/>
                <w:sz w:val="17"/>
                <w:szCs w:val="17"/>
              </w:rPr>
              <w:t>Côte d'Ivoire</w:t>
            </w:r>
          </w:p>
        </w:tc>
        <w:tc>
          <w:tcPr>
            <w:tcW w:w="0" w:type="auto"/>
            <w:tcBorders>
              <w:top w:val="nil"/>
              <w:left w:val="nil"/>
              <w:bottom w:val="single" w:sz="4" w:space="0" w:color="auto"/>
              <w:right w:val="single" w:sz="4" w:space="0" w:color="auto"/>
            </w:tcBorders>
            <w:noWrap/>
            <w:vAlign w:val="center"/>
            <w:hideMark/>
          </w:tcPr>
          <w:p w14:paraId="2C437904"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33864F0B"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nil"/>
            </w:tcBorders>
            <w:shd w:val="clear" w:color="000000" w:fill="C0E6F5"/>
            <w:noWrap/>
            <w:vAlign w:val="center"/>
            <w:hideMark/>
          </w:tcPr>
          <w:p w14:paraId="42932280"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219F699C"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7BA348BB"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422A1D94"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64BD831E"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555BF342"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43901141"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7D183E42" w14:textId="77777777" w:rsidTr="007C17C6">
        <w:trPr>
          <w:trHeight w:val="235"/>
          <w:jc w:val="center"/>
        </w:trPr>
        <w:tc>
          <w:tcPr>
            <w:tcW w:w="0" w:type="auto"/>
            <w:tcBorders>
              <w:top w:val="nil"/>
              <w:left w:val="single" w:sz="8" w:space="0" w:color="auto"/>
              <w:bottom w:val="single" w:sz="4" w:space="0" w:color="auto"/>
              <w:right w:val="single" w:sz="8" w:space="0" w:color="auto"/>
            </w:tcBorders>
            <w:noWrap/>
            <w:vAlign w:val="center"/>
            <w:hideMark/>
          </w:tcPr>
          <w:p w14:paraId="640E4BD2" w14:textId="77777777" w:rsidR="005B5D1D" w:rsidRPr="007B779F" w:rsidRDefault="005B5D1D" w:rsidP="007C17C6">
            <w:pPr>
              <w:rPr>
                <w:rFonts w:ascii="Cambria" w:hAnsi="Cambria"/>
                <w:sz w:val="17"/>
                <w:szCs w:val="17"/>
              </w:rPr>
            </w:pPr>
            <w:r w:rsidRPr="007B779F">
              <w:rPr>
                <w:rFonts w:ascii="Cambria" w:hAnsi="Cambria"/>
                <w:sz w:val="17"/>
                <w:szCs w:val="17"/>
              </w:rPr>
              <w:t>Curaçao</w:t>
            </w:r>
          </w:p>
        </w:tc>
        <w:tc>
          <w:tcPr>
            <w:tcW w:w="0" w:type="auto"/>
            <w:tcBorders>
              <w:top w:val="nil"/>
              <w:left w:val="nil"/>
              <w:bottom w:val="single" w:sz="4" w:space="0" w:color="auto"/>
              <w:right w:val="single" w:sz="4" w:space="0" w:color="auto"/>
            </w:tcBorders>
            <w:noWrap/>
            <w:vAlign w:val="center"/>
            <w:hideMark/>
          </w:tcPr>
          <w:p w14:paraId="137F9D58"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21C3FB95"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nil"/>
            </w:tcBorders>
            <w:shd w:val="clear" w:color="000000" w:fill="C0E6F5"/>
            <w:noWrap/>
            <w:vAlign w:val="center"/>
            <w:hideMark/>
          </w:tcPr>
          <w:p w14:paraId="769748F6"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24D6EA4C"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63E732DC"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3797062D"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37D4C789"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78F7AEC7"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50F90A98"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0786F62B" w14:textId="77777777" w:rsidTr="007C17C6">
        <w:trPr>
          <w:trHeight w:val="269"/>
          <w:jc w:val="center"/>
        </w:trPr>
        <w:tc>
          <w:tcPr>
            <w:tcW w:w="0" w:type="auto"/>
            <w:tcBorders>
              <w:top w:val="nil"/>
              <w:left w:val="single" w:sz="8" w:space="0" w:color="auto"/>
              <w:bottom w:val="single" w:sz="4" w:space="0" w:color="auto"/>
              <w:right w:val="single" w:sz="8" w:space="0" w:color="auto"/>
            </w:tcBorders>
            <w:noWrap/>
            <w:vAlign w:val="center"/>
            <w:hideMark/>
          </w:tcPr>
          <w:p w14:paraId="26197066" w14:textId="77777777" w:rsidR="005B5D1D" w:rsidRPr="007B779F" w:rsidRDefault="005B5D1D" w:rsidP="007C17C6">
            <w:pPr>
              <w:rPr>
                <w:rFonts w:ascii="Cambria" w:hAnsi="Cambria"/>
                <w:sz w:val="17"/>
                <w:szCs w:val="17"/>
              </w:rPr>
            </w:pPr>
            <w:r w:rsidRPr="007B779F">
              <w:rPr>
                <w:rFonts w:ascii="Cambria" w:hAnsi="Cambria"/>
                <w:sz w:val="17"/>
                <w:szCs w:val="17"/>
              </w:rPr>
              <w:t>El Salvador</w:t>
            </w:r>
          </w:p>
        </w:tc>
        <w:tc>
          <w:tcPr>
            <w:tcW w:w="0" w:type="auto"/>
            <w:tcBorders>
              <w:top w:val="nil"/>
              <w:left w:val="nil"/>
              <w:bottom w:val="single" w:sz="4" w:space="0" w:color="auto"/>
              <w:right w:val="single" w:sz="4" w:space="0" w:color="auto"/>
            </w:tcBorders>
            <w:noWrap/>
            <w:vAlign w:val="center"/>
            <w:hideMark/>
          </w:tcPr>
          <w:p w14:paraId="38F9CDCD"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6258F5A8"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nil"/>
            </w:tcBorders>
            <w:shd w:val="clear" w:color="000000" w:fill="C0E6F5"/>
            <w:noWrap/>
            <w:vAlign w:val="center"/>
            <w:hideMark/>
          </w:tcPr>
          <w:p w14:paraId="09D5131D"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4E4AF449"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2C8A6991"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5500995F"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1308A61C"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4DD9366B"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21099432"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58F71925" w14:textId="77777777" w:rsidTr="007C17C6">
        <w:trPr>
          <w:trHeight w:val="303"/>
          <w:jc w:val="center"/>
        </w:trPr>
        <w:tc>
          <w:tcPr>
            <w:tcW w:w="0" w:type="auto"/>
            <w:tcBorders>
              <w:top w:val="nil"/>
              <w:left w:val="single" w:sz="8" w:space="0" w:color="auto"/>
              <w:bottom w:val="single" w:sz="4" w:space="0" w:color="auto"/>
              <w:right w:val="single" w:sz="8" w:space="0" w:color="auto"/>
            </w:tcBorders>
            <w:noWrap/>
            <w:vAlign w:val="center"/>
            <w:hideMark/>
          </w:tcPr>
          <w:p w14:paraId="5F9E8558" w14:textId="77777777" w:rsidR="005B5D1D" w:rsidRPr="007B779F" w:rsidRDefault="005B5D1D" w:rsidP="007C17C6">
            <w:pPr>
              <w:rPr>
                <w:rFonts w:ascii="Cambria" w:hAnsi="Cambria"/>
                <w:sz w:val="17"/>
                <w:szCs w:val="17"/>
              </w:rPr>
            </w:pPr>
            <w:r w:rsidRPr="007B779F">
              <w:rPr>
                <w:rFonts w:ascii="Cambria" w:hAnsi="Cambria"/>
                <w:sz w:val="17"/>
                <w:szCs w:val="17"/>
              </w:rPr>
              <w:t>UE-Espagne</w:t>
            </w:r>
          </w:p>
        </w:tc>
        <w:tc>
          <w:tcPr>
            <w:tcW w:w="0" w:type="auto"/>
            <w:tcBorders>
              <w:top w:val="nil"/>
              <w:left w:val="nil"/>
              <w:bottom w:val="single" w:sz="4" w:space="0" w:color="auto"/>
              <w:right w:val="single" w:sz="4" w:space="0" w:color="auto"/>
            </w:tcBorders>
            <w:noWrap/>
            <w:vAlign w:val="center"/>
            <w:hideMark/>
          </w:tcPr>
          <w:p w14:paraId="5F6E63DF"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4" w:space="0" w:color="auto"/>
            </w:tcBorders>
            <w:noWrap/>
            <w:vAlign w:val="center"/>
            <w:hideMark/>
          </w:tcPr>
          <w:p w14:paraId="28FA5939"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nil"/>
            </w:tcBorders>
            <w:shd w:val="clear" w:color="000000" w:fill="C0E6F5"/>
            <w:noWrap/>
            <w:vAlign w:val="center"/>
            <w:hideMark/>
          </w:tcPr>
          <w:p w14:paraId="273DB92C"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single" w:sz="8" w:space="0" w:color="auto"/>
              <w:bottom w:val="single" w:sz="4" w:space="0" w:color="auto"/>
              <w:right w:val="single" w:sz="4" w:space="0" w:color="auto"/>
            </w:tcBorders>
            <w:noWrap/>
            <w:vAlign w:val="center"/>
            <w:hideMark/>
          </w:tcPr>
          <w:p w14:paraId="05F5A22F" w14:textId="77777777" w:rsidR="005B5D1D" w:rsidRPr="007B779F" w:rsidRDefault="005B5D1D" w:rsidP="007C17C6">
            <w:pPr>
              <w:jc w:val="center"/>
              <w:rPr>
                <w:rFonts w:ascii="Cambria" w:hAnsi="Cambria"/>
                <w:sz w:val="17"/>
                <w:szCs w:val="17"/>
              </w:rPr>
            </w:pPr>
            <w:r w:rsidRPr="007B779F">
              <w:rPr>
                <w:rFonts w:ascii="Cambria" w:hAnsi="Cambria"/>
                <w:sz w:val="17"/>
                <w:szCs w:val="17"/>
              </w:rPr>
              <w:t>187,40</w:t>
            </w:r>
          </w:p>
        </w:tc>
        <w:tc>
          <w:tcPr>
            <w:tcW w:w="0" w:type="auto"/>
            <w:tcBorders>
              <w:top w:val="nil"/>
              <w:left w:val="nil"/>
              <w:bottom w:val="single" w:sz="4" w:space="0" w:color="auto"/>
              <w:right w:val="single" w:sz="4" w:space="0" w:color="auto"/>
            </w:tcBorders>
            <w:noWrap/>
            <w:vAlign w:val="center"/>
            <w:hideMark/>
          </w:tcPr>
          <w:p w14:paraId="3B5B8658" w14:textId="77777777" w:rsidR="005B5D1D" w:rsidRPr="007B779F" w:rsidRDefault="005B5D1D" w:rsidP="007C17C6">
            <w:pPr>
              <w:jc w:val="center"/>
              <w:rPr>
                <w:rFonts w:ascii="Cambria" w:hAnsi="Cambria"/>
                <w:sz w:val="17"/>
                <w:szCs w:val="17"/>
              </w:rPr>
            </w:pPr>
            <w:r w:rsidRPr="007B779F">
              <w:rPr>
                <w:rFonts w:ascii="Cambria" w:hAnsi="Cambria"/>
                <w:sz w:val="17"/>
                <w:szCs w:val="17"/>
              </w:rPr>
              <w:t>270,96</w:t>
            </w:r>
          </w:p>
        </w:tc>
        <w:tc>
          <w:tcPr>
            <w:tcW w:w="0" w:type="auto"/>
            <w:tcBorders>
              <w:top w:val="nil"/>
              <w:left w:val="nil"/>
              <w:bottom w:val="single" w:sz="4" w:space="0" w:color="auto"/>
              <w:right w:val="single" w:sz="8" w:space="0" w:color="auto"/>
            </w:tcBorders>
            <w:shd w:val="clear" w:color="000000" w:fill="C0E6F5"/>
            <w:noWrap/>
            <w:vAlign w:val="center"/>
            <w:hideMark/>
          </w:tcPr>
          <w:p w14:paraId="413DAA52" w14:textId="77777777" w:rsidR="005B5D1D" w:rsidRPr="007B779F" w:rsidRDefault="005B5D1D" w:rsidP="007C17C6">
            <w:pPr>
              <w:jc w:val="center"/>
              <w:rPr>
                <w:rFonts w:ascii="Cambria" w:hAnsi="Cambria"/>
                <w:sz w:val="17"/>
                <w:szCs w:val="17"/>
              </w:rPr>
            </w:pPr>
            <w:r w:rsidRPr="007B779F">
              <w:rPr>
                <w:rFonts w:ascii="Cambria" w:hAnsi="Cambria"/>
                <w:sz w:val="17"/>
                <w:szCs w:val="17"/>
              </w:rPr>
              <w:t>215,00</w:t>
            </w:r>
          </w:p>
        </w:tc>
        <w:tc>
          <w:tcPr>
            <w:tcW w:w="0" w:type="auto"/>
            <w:tcBorders>
              <w:top w:val="nil"/>
              <w:left w:val="nil"/>
              <w:bottom w:val="single" w:sz="4" w:space="0" w:color="auto"/>
              <w:right w:val="single" w:sz="4" w:space="0" w:color="auto"/>
            </w:tcBorders>
            <w:noWrap/>
            <w:vAlign w:val="center"/>
            <w:hideMark/>
          </w:tcPr>
          <w:p w14:paraId="75BBE926" w14:textId="77777777" w:rsidR="005B5D1D" w:rsidRPr="007B779F" w:rsidRDefault="005B5D1D" w:rsidP="007C17C6">
            <w:pPr>
              <w:jc w:val="center"/>
              <w:rPr>
                <w:rFonts w:ascii="Cambria" w:hAnsi="Cambria"/>
                <w:sz w:val="17"/>
                <w:szCs w:val="17"/>
              </w:rPr>
            </w:pPr>
            <w:r w:rsidRPr="007B779F">
              <w:rPr>
                <w:rFonts w:ascii="Cambria" w:hAnsi="Cambria"/>
                <w:sz w:val="17"/>
                <w:szCs w:val="17"/>
              </w:rPr>
              <w:t>120,30</w:t>
            </w:r>
          </w:p>
        </w:tc>
        <w:tc>
          <w:tcPr>
            <w:tcW w:w="0" w:type="auto"/>
            <w:tcBorders>
              <w:top w:val="nil"/>
              <w:left w:val="nil"/>
              <w:bottom w:val="single" w:sz="4" w:space="0" w:color="auto"/>
              <w:right w:val="single" w:sz="4" w:space="0" w:color="auto"/>
            </w:tcBorders>
            <w:noWrap/>
            <w:vAlign w:val="center"/>
            <w:hideMark/>
          </w:tcPr>
          <w:p w14:paraId="44EC3D15" w14:textId="77777777" w:rsidR="005B5D1D" w:rsidRPr="007B779F" w:rsidRDefault="005B5D1D" w:rsidP="007C17C6">
            <w:pPr>
              <w:jc w:val="center"/>
              <w:rPr>
                <w:rFonts w:ascii="Cambria" w:hAnsi="Cambria"/>
                <w:sz w:val="17"/>
                <w:szCs w:val="17"/>
              </w:rPr>
            </w:pPr>
            <w:r w:rsidRPr="007B779F">
              <w:rPr>
                <w:rFonts w:ascii="Cambria" w:hAnsi="Cambria"/>
                <w:sz w:val="17"/>
                <w:szCs w:val="17"/>
              </w:rPr>
              <w:t>150,35</w:t>
            </w:r>
          </w:p>
        </w:tc>
        <w:tc>
          <w:tcPr>
            <w:tcW w:w="0" w:type="auto"/>
            <w:tcBorders>
              <w:top w:val="nil"/>
              <w:left w:val="nil"/>
              <w:bottom w:val="single" w:sz="4" w:space="0" w:color="auto"/>
              <w:right w:val="single" w:sz="8" w:space="0" w:color="auto"/>
            </w:tcBorders>
            <w:shd w:val="clear" w:color="000000" w:fill="C0E6F5"/>
            <w:noWrap/>
            <w:vAlign w:val="center"/>
            <w:hideMark/>
          </w:tcPr>
          <w:p w14:paraId="35F02639" w14:textId="77777777" w:rsidR="005B5D1D" w:rsidRPr="007B779F" w:rsidRDefault="005B5D1D" w:rsidP="007C17C6">
            <w:pPr>
              <w:jc w:val="center"/>
              <w:rPr>
                <w:rFonts w:ascii="Cambria" w:hAnsi="Cambria"/>
                <w:sz w:val="17"/>
                <w:szCs w:val="17"/>
              </w:rPr>
            </w:pPr>
            <w:r w:rsidRPr="007B779F">
              <w:rPr>
                <w:rFonts w:ascii="Cambria" w:hAnsi="Cambria"/>
                <w:sz w:val="17"/>
                <w:szCs w:val="17"/>
              </w:rPr>
              <w:t>88,00</w:t>
            </w:r>
          </w:p>
        </w:tc>
      </w:tr>
      <w:tr w:rsidR="005B5D1D" w:rsidRPr="007B779F" w14:paraId="34BD5708" w14:textId="77777777" w:rsidTr="007C17C6">
        <w:trPr>
          <w:trHeight w:val="279"/>
          <w:jc w:val="center"/>
        </w:trPr>
        <w:tc>
          <w:tcPr>
            <w:tcW w:w="0" w:type="auto"/>
            <w:tcBorders>
              <w:top w:val="nil"/>
              <w:left w:val="single" w:sz="8" w:space="0" w:color="auto"/>
              <w:bottom w:val="single" w:sz="4" w:space="0" w:color="auto"/>
              <w:right w:val="single" w:sz="8" w:space="0" w:color="auto"/>
            </w:tcBorders>
            <w:noWrap/>
            <w:vAlign w:val="center"/>
            <w:hideMark/>
          </w:tcPr>
          <w:p w14:paraId="1A8C8260" w14:textId="77777777" w:rsidR="005B5D1D" w:rsidRPr="007B779F" w:rsidRDefault="005B5D1D" w:rsidP="007C17C6">
            <w:pPr>
              <w:rPr>
                <w:rFonts w:ascii="Cambria" w:hAnsi="Cambria"/>
                <w:sz w:val="17"/>
                <w:szCs w:val="17"/>
              </w:rPr>
            </w:pPr>
            <w:r w:rsidRPr="007B779F">
              <w:rPr>
                <w:rFonts w:ascii="Cambria" w:hAnsi="Cambria"/>
                <w:sz w:val="17"/>
                <w:szCs w:val="17"/>
              </w:rPr>
              <w:t>UE-France</w:t>
            </w:r>
          </w:p>
        </w:tc>
        <w:tc>
          <w:tcPr>
            <w:tcW w:w="0" w:type="auto"/>
            <w:tcBorders>
              <w:top w:val="nil"/>
              <w:left w:val="nil"/>
              <w:bottom w:val="single" w:sz="4" w:space="0" w:color="auto"/>
              <w:right w:val="single" w:sz="4" w:space="0" w:color="auto"/>
            </w:tcBorders>
            <w:noWrap/>
            <w:vAlign w:val="center"/>
            <w:hideMark/>
          </w:tcPr>
          <w:p w14:paraId="1B725FDD"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4" w:space="0" w:color="auto"/>
            </w:tcBorders>
            <w:noWrap/>
            <w:vAlign w:val="center"/>
            <w:hideMark/>
          </w:tcPr>
          <w:p w14:paraId="0DD4639A"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nil"/>
            </w:tcBorders>
            <w:shd w:val="clear" w:color="000000" w:fill="C0E6F5"/>
            <w:noWrap/>
            <w:vAlign w:val="center"/>
            <w:hideMark/>
          </w:tcPr>
          <w:p w14:paraId="27FDB4E8"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single" w:sz="8" w:space="0" w:color="auto"/>
              <w:bottom w:val="single" w:sz="4" w:space="0" w:color="auto"/>
              <w:right w:val="single" w:sz="4" w:space="0" w:color="auto"/>
            </w:tcBorders>
            <w:noWrap/>
            <w:vAlign w:val="center"/>
            <w:hideMark/>
          </w:tcPr>
          <w:p w14:paraId="4B11F755" w14:textId="77777777" w:rsidR="005B5D1D" w:rsidRPr="007B779F" w:rsidRDefault="005B5D1D" w:rsidP="007C17C6">
            <w:pPr>
              <w:jc w:val="center"/>
              <w:rPr>
                <w:rFonts w:ascii="Cambria" w:hAnsi="Cambria"/>
                <w:sz w:val="17"/>
                <w:szCs w:val="17"/>
              </w:rPr>
            </w:pPr>
            <w:r w:rsidRPr="007B779F">
              <w:rPr>
                <w:rFonts w:ascii="Cambria" w:hAnsi="Cambria"/>
                <w:sz w:val="17"/>
                <w:szCs w:val="17"/>
              </w:rPr>
              <w:t>0,07</w:t>
            </w:r>
          </w:p>
        </w:tc>
        <w:tc>
          <w:tcPr>
            <w:tcW w:w="0" w:type="auto"/>
            <w:tcBorders>
              <w:top w:val="nil"/>
              <w:left w:val="nil"/>
              <w:bottom w:val="single" w:sz="4" w:space="0" w:color="auto"/>
              <w:right w:val="single" w:sz="4" w:space="0" w:color="auto"/>
            </w:tcBorders>
            <w:noWrap/>
            <w:vAlign w:val="center"/>
            <w:hideMark/>
          </w:tcPr>
          <w:p w14:paraId="0B4A438F" w14:textId="77777777" w:rsidR="005B5D1D" w:rsidRPr="007B779F" w:rsidRDefault="005B5D1D" w:rsidP="007C17C6">
            <w:pPr>
              <w:jc w:val="center"/>
              <w:rPr>
                <w:rFonts w:ascii="Cambria" w:hAnsi="Cambria"/>
                <w:sz w:val="17"/>
                <w:szCs w:val="17"/>
              </w:rPr>
            </w:pPr>
            <w:r w:rsidRPr="007B779F">
              <w:rPr>
                <w:rFonts w:ascii="Cambria" w:hAnsi="Cambria"/>
                <w:sz w:val="17"/>
                <w:szCs w:val="17"/>
              </w:rPr>
              <w:t>0,02</w:t>
            </w:r>
          </w:p>
        </w:tc>
        <w:tc>
          <w:tcPr>
            <w:tcW w:w="0" w:type="auto"/>
            <w:tcBorders>
              <w:top w:val="nil"/>
              <w:left w:val="nil"/>
              <w:bottom w:val="single" w:sz="4" w:space="0" w:color="auto"/>
              <w:right w:val="single" w:sz="8" w:space="0" w:color="auto"/>
            </w:tcBorders>
            <w:shd w:val="clear" w:color="000000" w:fill="C0E6F5"/>
            <w:noWrap/>
            <w:vAlign w:val="center"/>
            <w:hideMark/>
          </w:tcPr>
          <w:p w14:paraId="3B0E89F5"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4" w:space="0" w:color="auto"/>
            </w:tcBorders>
            <w:noWrap/>
            <w:vAlign w:val="center"/>
            <w:hideMark/>
          </w:tcPr>
          <w:p w14:paraId="37CF6102" w14:textId="77777777" w:rsidR="005B5D1D" w:rsidRPr="007B779F" w:rsidRDefault="005B5D1D" w:rsidP="007C17C6">
            <w:pPr>
              <w:jc w:val="center"/>
              <w:rPr>
                <w:rFonts w:ascii="Cambria" w:hAnsi="Cambria"/>
                <w:sz w:val="17"/>
                <w:szCs w:val="17"/>
              </w:rPr>
            </w:pPr>
            <w:r w:rsidRPr="007B779F">
              <w:rPr>
                <w:rFonts w:ascii="Cambria" w:hAnsi="Cambria"/>
                <w:sz w:val="17"/>
                <w:szCs w:val="17"/>
              </w:rPr>
              <w:t>0,59</w:t>
            </w:r>
          </w:p>
        </w:tc>
        <w:tc>
          <w:tcPr>
            <w:tcW w:w="0" w:type="auto"/>
            <w:tcBorders>
              <w:top w:val="nil"/>
              <w:left w:val="nil"/>
              <w:bottom w:val="single" w:sz="4" w:space="0" w:color="auto"/>
              <w:right w:val="single" w:sz="4" w:space="0" w:color="auto"/>
            </w:tcBorders>
            <w:noWrap/>
            <w:vAlign w:val="center"/>
            <w:hideMark/>
          </w:tcPr>
          <w:p w14:paraId="29C95DDF"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8" w:space="0" w:color="auto"/>
            </w:tcBorders>
            <w:shd w:val="clear" w:color="000000" w:fill="C0E6F5"/>
            <w:noWrap/>
            <w:vAlign w:val="center"/>
            <w:hideMark/>
          </w:tcPr>
          <w:p w14:paraId="2D230D2E"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r>
      <w:tr w:rsidR="005B5D1D" w:rsidRPr="007B779F" w14:paraId="30C22631"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5EC0A605" w14:textId="77777777" w:rsidR="005B5D1D" w:rsidRPr="007B779F" w:rsidRDefault="005B5D1D" w:rsidP="007C17C6">
            <w:pPr>
              <w:rPr>
                <w:rFonts w:ascii="Cambria" w:hAnsi="Cambria"/>
                <w:sz w:val="17"/>
                <w:szCs w:val="17"/>
              </w:rPr>
            </w:pPr>
            <w:r w:rsidRPr="007B779F">
              <w:rPr>
                <w:rFonts w:ascii="Cambria" w:hAnsi="Cambria"/>
                <w:sz w:val="17"/>
                <w:szCs w:val="17"/>
              </w:rPr>
              <w:t>UE-Portugal</w:t>
            </w:r>
          </w:p>
        </w:tc>
        <w:tc>
          <w:tcPr>
            <w:tcW w:w="0" w:type="auto"/>
            <w:tcBorders>
              <w:top w:val="nil"/>
              <w:left w:val="nil"/>
              <w:bottom w:val="single" w:sz="4" w:space="0" w:color="auto"/>
              <w:right w:val="single" w:sz="4" w:space="0" w:color="auto"/>
            </w:tcBorders>
            <w:noWrap/>
            <w:vAlign w:val="center"/>
            <w:hideMark/>
          </w:tcPr>
          <w:p w14:paraId="1FADFF09"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711DC15A"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nil"/>
            </w:tcBorders>
            <w:shd w:val="clear" w:color="000000" w:fill="C0E6F5"/>
            <w:noWrap/>
            <w:vAlign w:val="center"/>
            <w:hideMark/>
          </w:tcPr>
          <w:p w14:paraId="1D8F85AB"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2607C139" w14:textId="77777777" w:rsidR="005B5D1D" w:rsidRPr="007B779F" w:rsidRDefault="005B5D1D" w:rsidP="007C17C6">
            <w:pPr>
              <w:jc w:val="center"/>
              <w:rPr>
                <w:rFonts w:ascii="Cambria" w:hAnsi="Cambria"/>
                <w:sz w:val="17"/>
                <w:szCs w:val="17"/>
              </w:rPr>
            </w:pPr>
            <w:r w:rsidRPr="007B779F">
              <w:rPr>
                <w:rFonts w:ascii="Cambria" w:hAnsi="Cambria"/>
                <w:sz w:val="17"/>
                <w:szCs w:val="17"/>
              </w:rPr>
              <w:t>24,23</w:t>
            </w:r>
          </w:p>
        </w:tc>
        <w:tc>
          <w:tcPr>
            <w:tcW w:w="0" w:type="auto"/>
            <w:tcBorders>
              <w:top w:val="nil"/>
              <w:left w:val="nil"/>
              <w:bottom w:val="single" w:sz="4" w:space="0" w:color="auto"/>
              <w:right w:val="single" w:sz="4" w:space="0" w:color="auto"/>
            </w:tcBorders>
            <w:noWrap/>
            <w:vAlign w:val="center"/>
            <w:hideMark/>
          </w:tcPr>
          <w:p w14:paraId="128C61DB" w14:textId="77777777" w:rsidR="005B5D1D" w:rsidRPr="007B779F" w:rsidRDefault="005B5D1D" w:rsidP="007C17C6">
            <w:pPr>
              <w:jc w:val="center"/>
              <w:rPr>
                <w:rFonts w:ascii="Cambria" w:hAnsi="Cambria"/>
                <w:sz w:val="17"/>
                <w:szCs w:val="17"/>
              </w:rPr>
            </w:pPr>
            <w:r w:rsidRPr="007B779F">
              <w:rPr>
                <w:rFonts w:ascii="Cambria" w:hAnsi="Cambria"/>
                <w:sz w:val="17"/>
                <w:szCs w:val="17"/>
              </w:rPr>
              <w:t>21,60</w:t>
            </w:r>
          </w:p>
        </w:tc>
        <w:tc>
          <w:tcPr>
            <w:tcW w:w="0" w:type="auto"/>
            <w:tcBorders>
              <w:top w:val="nil"/>
              <w:left w:val="nil"/>
              <w:bottom w:val="single" w:sz="4" w:space="0" w:color="auto"/>
              <w:right w:val="single" w:sz="8" w:space="0" w:color="auto"/>
            </w:tcBorders>
            <w:shd w:val="clear" w:color="000000" w:fill="C0E6F5"/>
            <w:noWrap/>
            <w:vAlign w:val="center"/>
            <w:hideMark/>
          </w:tcPr>
          <w:p w14:paraId="2E92C03D" w14:textId="77777777" w:rsidR="005B5D1D" w:rsidRPr="007B779F" w:rsidRDefault="005B5D1D" w:rsidP="007C17C6">
            <w:pPr>
              <w:jc w:val="center"/>
              <w:rPr>
                <w:rFonts w:ascii="Cambria" w:hAnsi="Cambria"/>
                <w:sz w:val="17"/>
                <w:szCs w:val="17"/>
              </w:rPr>
            </w:pPr>
            <w:r w:rsidRPr="007B779F">
              <w:rPr>
                <w:rFonts w:ascii="Cambria" w:hAnsi="Cambria"/>
                <w:sz w:val="17"/>
                <w:szCs w:val="17"/>
              </w:rPr>
              <w:t>22,52</w:t>
            </w:r>
          </w:p>
        </w:tc>
        <w:tc>
          <w:tcPr>
            <w:tcW w:w="0" w:type="auto"/>
            <w:tcBorders>
              <w:top w:val="nil"/>
              <w:left w:val="nil"/>
              <w:bottom w:val="single" w:sz="4" w:space="0" w:color="auto"/>
              <w:right w:val="single" w:sz="4" w:space="0" w:color="auto"/>
            </w:tcBorders>
            <w:noWrap/>
            <w:vAlign w:val="center"/>
            <w:hideMark/>
          </w:tcPr>
          <w:p w14:paraId="4EE5A80B" w14:textId="77777777" w:rsidR="005B5D1D" w:rsidRPr="007B779F" w:rsidRDefault="005B5D1D" w:rsidP="007C17C6">
            <w:pPr>
              <w:jc w:val="center"/>
              <w:rPr>
                <w:rFonts w:ascii="Cambria" w:hAnsi="Cambria"/>
                <w:sz w:val="17"/>
                <w:szCs w:val="17"/>
              </w:rPr>
            </w:pPr>
            <w:r w:rsidRPr="007B779F">
              <w:rPr>
                <w:rFonts w:ascii="Cambria" w:hAnsi="Cambria"/>
                <w:sz w:val="17"/>
                <w:szCs w:val="17"/>
              </w:rPr>
              <w:t>43,84</w:t>
            </w:r>
          </w:p>
        </w:tc>
        <w:tc>
          <w:tcPr>
            <w:tcW w:w="0" w:type="auto"/>
            <w:tcBorders>
              <w:top w:val="nil"/>
              <w:left w:val="nil"/>
              <w:bottom w:val="single" w:sz="4" w:space="0" w:color="auto"/>
              <w:right w:val="single" w:sz="4" w:space="0" w:color="auto"/>
            </w:tcBorders>
            <w:noWrap/>
            <w:vAlign w:val="center"/>
            <w:hideMark/>
          </w:tcPr>
          <w:p w14:paraId="5B6C9D90" w14:textId="77777777" w:rsidR="005B5D1D" w:rsidRPr="007B779F" w:rsidRDefault="005B5D1D" w:rsidP="007C17C6">
            <w:pPr>
              <w:jc w:val="center"/>
              <w:rPr>
                <w:rFonts w:ascii="Cambria" w:hAnsi="Cambria"/>
                <w:sz w:val="17"/>
                <w:szCs w:val="17"/>
              </w:rPr>
            </w:pPr>
            <w:r w:rsidRPr="007B779F">
              <w:rPr>
                <w:rFonts w:ascii="Cambria" w:hAnsi="Cambria"/>
                <w:sz w:val="17"/>
                <w:szCs w:val="17"/>
              </w:rPr>
              <w:t>39,07</w:t>
            </w:r>
          </w:p>
        </w:tc>
        <w:tc>
          <w:tcPr>
            <w:tcW w:w="0" w:type="auto"/>
            <w:tcBorders>
              <w:top w:val="nil"/>
              <w:left w:val="nil"/>
              <w:bottom w:val="single" w:sz="4" w:space="0" w:color="auto"/>
              <w:right w:val="single" w:sz="8" w:space="0" w:color="auto"/>
            </w:tcBorders>
            <w:shd w:val="clear" w:color="000000" w:fill="C0E6F5"/>
            <w:noWrap/>
            <w:vAlign w:val="center"/>
            <w:hideMark/>
          </w:tcPr>
          <w:p w14:paraId="70E588E8" w14:textId="77777777" w:rsidR="005B5D1D" w:rsidRPr="007B779F" w:rsidRDefault="005B5D1D" w:rsidP="007C17C6">
            <w:pPr>
              <w:jc w:val="center"/>
              <w:rPr>
                <w:rFonts w:ascii="Cambria" w:hAnsi="Cambria"/>
                <w:sz w:val="17"/>
                <w:szCs w:val="17"/>
              </w:rPr>
            </w:pPr>
            <w:r w:rsidRPr="007B779F">
              <w:rPr>
                <w:rFonts w:ascii="Cambria" w:hAnsi="Cambria"/>
                <w:sz w:val="17"/>
                <w:szCs w:val="17"/>
              </w:rPr>
              <w:t>40,74</w:t>
            </w:r>
          </w:p>
        </w:tc>
      </w:tr>
      <w:tr w:rsidR="005B5D1D" w:rsidRPr="007B779F" w14:paraId="56C85FC7"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233FEDA9" w14:textId="77777777" w:rsidR="005B5D1D" w:rsidRPr="007B779F" w:rsidRDefault="005B5D1D" w:rsidP="007C17C6">
            <w:pPr>
              <w:rPr>
                <w:rFonts w:ascii="Cambria" w:hAnsi="Cambria"/>
                <w:sz w:val="17"/>
                <w:szCs w:val="17"/>
              </w:rPr>
            </w:pPr>
            <w:r w:rsidRPr="007B779F">
              <w:rPr>
                <w:rFonts w:ascii="Cambria" w:hAnsi="Cambria"/>
                <w:sz w:val="17"/>
                <w:szCs w:val="17"/>
              </w:rPr>
              <w:t>Ghana</w:t>
            </w:r>
          </w:p>
        </w:tc>
        <w:tc>
          <w:tcPr>
            <w:tcW w:w="0" w:type="auto"/>
            <w:tcBorders>
              <w:top w:val="nil"/>
              <w:left w:val="nil"/>
              <w:bottom w:val="single" w:sz="4" w:space="0" w:color="auto"/>
              <w:right w:val="single" w:sz="4" w:space="0" w:color="auto"/>
            </w:tcBorders>
            <w:noWrap/>
            <w:vAlign w:val="center"/>
            <w:hideMark/>
          </w:tcPr>
          <w:p w14:paraId="668D2749"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502912E1"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nil"/>
            </w:tcBorders>
            <w:shd w:val="clear" w:color="000000" w:fill="C0E6F5"/>
            <w:noWrap/>
            <w:vAlign w:val="center"/>
            <w:hideMark/>
          </w:tcPr>
          <w:p w14:paraId="52C62923"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17251708"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04F1564A"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39881A31"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3561A451"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7DE97B15"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0123D5A9"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379E39ED"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600F35A6" w14:textId="77777777" w:rsidR="005B5D1D" w:rsidRPr="007B779F" w:rsidRDefault="005B5D1D" w:rsidP="007C17C6">
            <w:pPr>
              <w:rPr>
                <w:rFonts w:ascii="Cambria" w:hAnsi="Cambria"/>
                <w:sz w:val="17"/>
                <w:szCs w:val="17"/>
              </w:rPr>
            </w:pPr>
            <w:r w:rsidRPr="007B779F">
              <w:rPr>
                <w:rFonts w:ascii="Cambria" w:hAnsi="Cambria"/>
                <w:sz w:val="17"/>
                <w:szCs w:val="17"/>
              </w:rPr>
              <w:t>Guatemala</w:t>
            </w:r>
          </w:p>
        </w:tc>
        <w:tc>
          <w:tcPr>
            <w:tcW w:w="0" w:type="auto"/>
            <w:tcBorders>
              <w:top w:val="nil"/>
              <w:left w:val="nil"/>
              <w:bottom w:val="single" w:sz="4" w:space="0" w:color="auto"/>
              <w:right w:val="single" w:sz="4" w:space="0" w:color="auto"/>
            </w:tcBorders>
            <w:noWrap/>
            <w:vAlign w:val="center"/>
            <w:hideMark/>
          </w:tcPr>
          <w:p w14:paraId="428A1D3C"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47907145"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nil"/>
            </w:tcBorders>
            <w:shd w:val="clear" w:color="000000" w:fill="C0E6F5"/>
            <w:noWrap/>
            <w:vAlign w:val="center"/>
            <w:hideMark/>
          </w:tcPr>
          <w:p w14:paraId="0B56422E"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07359796"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2E0503CD"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116F8CB1"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7F752522"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4C1E8A74"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4AB25CC8"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2E248C23"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4C2107B2" w14:textId="77777777" w:rsidR="005B5D1D" w:rsidRPr="007B779F" w:rsidRDefault="005B5D1D" w:rsidP="007C17C6">
            <w:pPr>
              <w:rPr>
                <w:rFonts w:ascii="Cambria" w:hAnsi="Cambria"/>
                <w:sz w:val="17"/>
                <w:szCs w:val="17"/>
              </w:rPr>
            </w:pPr>
            <w:r w:rsidRPr="007B779F">
              <w:rPr>
                <w:rFonts w:ascii="Cambria" w:hAnsi="Cambria"/>
                <w:sz w:val="17"/>
                <w:szCs w:val="17"/>
              </w:rPr>
              <w:t>Japon</w:t>
            </w:r>
          </w:p>
        </w:tc>
        <w:tc>
          <w:tcPr>
            <w:tcW w:w="0" w:type="auto"/>
            <w:tcBorders>
              <w:top w:val="nil"/>
              <w:left w:val="nil"/>
              <w:bottom w:val="single" w:sz="4" w:space="0" w:color="auto"/>
              <w:right w:val="single" w:sz="4" w:space="0" w:color="auto"/>
            </w:tcBorders>
            <w:noWrap/>
            <w:vAlign w:val="center"/>
            <w:hideMark/>
          </w:tcPr>
          <w:p w14:paraId="2A312643"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4" w:space="0" w:color="auto"/>
            </w:tcBorders>
            <w:noWrap/>
            <w:vAlign w:val="center"/>
            <w:hideMark/>
          </w:tcPr>
          <w:p w14:paraId="3A958FB6"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nil"/>
            </w:tcBorders>
            <w:shd w:val="clear" w:color="000000" w:fill="C0E6F5"/>
            <w:noWrap/>
            <w:vAlign w:val="center"/>
            <w:hideMark/>
          </w:tcPr>
          <w:p w14:paraId="16B71BE0"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single" w:sz="8" w:space="0" w:color="auto"/>
              <w:bottom w:val="single" w:sz="4" w:space="0" w:color="auto"/>
              <w:right w:val="single" w:sz="4" w:space="0" w:color="auto"/>
            </w:tcBorders>
            <w:noWrap/>
            <w:vAlign w:val="center"/>
            <w:hideMark/>
          </w:tcPr>
          <w:p w14:paraId="09B5234A" w14:textId="77777777" w:rsidR="005B5D1D" w:rsidRPr="007B779F" w:rsidRDefault="005B5D1D" w:rsidP="007C17C6">
            <w:pPr>
              <w:jc w:val="center"/>
              <w:rPr>
                <w:rFonts w:ascii="Cambria" w:hAnsi="Cambria"/>
                <w:sz w:val="17"/>
                <w:szCs w:val="17"/>
              </w:rPr>
            </w:pPr>
            <w:r w:rsidRPr="007B779F">
              <w:rPr>
                <w:rFonts w:ascii="Cambria" w:hAnsi="Cambria"/>
                <w:sz w:val="17"/>
                <w:szCs w:val="17"/>
              </w:rPr>
              <w:t>0,63</w:t>
            </w:r>
          </w:p>
        </w:tc>
        <w:tc>
          <w:tcPr>
            <w:tcW w:w="0" w:type="auto"/>
            <w:tcBorders>
              <w:top w:val="nil"/>
              <w:left w:val="nil"/>
              <w:bottom w:val="single" w:sz="4" w:space="0" w:color="auto"/>
              <w:right w:val="single" w:sz="4" w:space="0" w:color="auto"/>
            </w:tcBorders>
            <w:noWrap/>
            <w:vAlign w:val="center"/>
            <w:hideMark/>
          </w:tcPr>
          <w:p w14:paraId="0517893B" w14:textId="77777777" w:rsidR="005B5D1D" w:rsidRPr="007B779F" w:rsidRDefault="005B5D1D" w:rsidP="007C17C6">
            <w:pPr>
              <w:jc w:val="center"/>
              <w:rPr>
                <w:rFonts w:ascii="Cambria" w:hAnsi="Cambria"/>
                <w:sz w:val="17"/>
                <w:szCs w:val="17"/>
              </w:rPr>
            </w:pPr>
            <w:r w:rsidRPr="007B779F">
              <w:rPr>
                <w:rFonts w:ascii="Cambria" w:hAnsi="Cambria"/>
                <w:sz w:val="17"/>
                <w:szCs w:val="17"/>
              </w:rPr>
              <w:t>1,89</w:t>
            </w:r>
          </w:p>
        </w:tc>
        <w:tc>
          <w:tcPr>
            <w:tcW w:w="0" w:type="auto"/>
            <w:tcBorders>
              <w:top w:val="nil"/>
              <w:left w:val="nil"/>
              <w:bottom w:val="single" w:sz="4" w:space="0" w:color="auto"/>
              <w:right w:val="single" w:sz="8" w:space="0" w:color="auto"/>
            </w:tcBorders>
            <w:shd w:val="clear" w:color="000000" w:fill="C0E6F5"/>
            <w:noWrap/>
            <w:vAlign w:val="center"/>
            <w:hideMark/>
          </w:tcPr>
          <w:p w14:paraId="72F84A83" w14:textId="77777777" w:rsidR="005B5D1D" w:rsidRPr="007B779F" w:rsidRDefault="005B5D1D" w:rsidP="007C17C6">
            <w:pPr>
              <w:jc w:val="center"/>
              <w:rPr>
                <w:rFonts w:ascii="Cambria" w:hAnsi="Cambria"/>
                <w:sz w:val="17"/>
                <w:szCs w:val="17"/>
              </w:rPr>
            </w:pPr>
            <w:r w:rsidRPr="007B779F">
              <w:rPr>
                <w:rFonts w:ascii="Cambria" w:hAnsi="Cambria"/>
                <w:sz w:val="17"/>
                <w:szCs w:val="17"/>
              </w:rPr>
              <w:t>4,85</w:t>
            </w:r>
          </w:p>
        </w:tc>
        <w:tc>
          <w:tcPr>
            <w:tcW w:w="0" w:type="auto"/>
            <w:tcBorders>
              <w:top w:val="nil"/>
              <w:left w:val="nil"/>
              <w:bottom w:val="single" w:sz="4" w:space="0" w:color="auto"/>
              <w:right w:val="single" w:sz="4" w:space="0" w:color="auto"/>
            </w:tcBorders>
            <w:noWrap/>
            <w:vAlign w:val="center"/>
            <w:hideMark/>
          </w:tcPr>
          <w:p w14:paraId="3A4F78A1" w14:textId="77777777" w:rsidR="005B5D1D" w:rsidRPr="007B779F" w:rsidRDefault="005B5D1D" w:rsidP="007C17C6">
            <w:pPr>
              <w:jc w:val="center"/>
              <w:rPr>
                <w:rFonts w:ascii="Cambria" w:hAnsi="Cambria"/>
                <w:sz w:val="17"/>
                <w:szCs w:val="17"/>
              </w:rPr>
            </w:pPr>
            <w:r w:rsidRPr="007B779F">
              <w:rPr>
                <w:rFonts w:ascii="Cambria" w:hAnsi="Cambria"/>
                <w:sz w:val="17"/>
                <w:szCs w:val="17"/>
              </w:rPr>
              <w:t>1,23</w:t>
            </w:r>
          </w:p>
        </w:tc>
        <w:tc>
          <w:tcPr>
            <w:tcW w:w="0" w:type="auto"/>
            <w:tcBorders>
              <w:top w:val="nil"/>
              <w:left w:val="nil"/>
              <w:bottom w:val="single" w:sz="4" w:space="0" w:color="auto"/>
              <w:right w:val="single" w:sz="4" w:space="0" w:color="auto"/>
            </w:tcBorders>
            <w:noWrap/>
            <w:vAlign w:val="center"/>
            <w:hideMark/>
          </w:tcPr>
          <w:p w14:paraId="15D387D7" w14:textId="77777777" w:rsidR="005B5D1D" w:rsidRPr="007B779F" w:rsidRDefault="005B5D1D" w:rsidP="007C17C6">
            <w:pPr>
              <w:jc w:val="center"/>
              <w:rPr>
                <w:rFonts w:ascii="Cambria" w:hAnsi="Cambria"/>
                <w:sz w:val="17"/>
                <w:szCs w:val="17"/>
              </w:rPr>
            </w:pPr>
            <w:r w:rsidRPr="007B779F">
              <w:rPr>
                <w:rFonts w:ascii="Cambria" w:hAnsi="Cambria"/>
                <w:sz w:val="17"/>
                <w:szCs w:val="17"/>
              </w:rPr>
              <w:t>3,66</w:t>
            </w:r>
          </w:p>
        </w:tc>
        <w:tc>
          <w:tcPr>
            <w:tcW w:w="0" w:type="auto"/>
            <w:tcBorders>
              <w:top w:val="nil"/>
              <w:left w:val="nil"/>
              <w:bottom w:val="single" w:sz="4" w:space="0" w:color="auto"/>
              <w:right w:val="single" w:sz="8" w:space="0" w:color="auto"/>
            </w:tcBorders>
            <w:shd w:val="clear" w:color="000000" w:fill="C0E6F5"/>
            <w:noWrap/>
            <w:vAlign w:val="center"/>
            <w:hideMark/>
          </w:tcPr>
          <w:p w14:paraId="6F0F044A" w14:textId="77777777" w:rsidR="005B5D1D" w:rsidRPr="007B779F" w:rsidRDefault="005B5D1D" w:rsidP="007C17C6">
            <w:pPr>
              <w:jc w:val="center"/>
              <w:rPr>
                <w:rFonts w:ascii="Cambria" w:hAnsi="Cambria"/>
                <w:sz w:val="17"/>
                <w:szCs w:val="17"/>
              </w:rPr>
            </w:pPr>
            <w:r w:rsidRPr="007B779F">
              <w:rPr>
                <w:rFonts w:ascii="Cambria" w:hAnsi="Cambria"/>
                <w:sz w:val="17"/>
                <w:szCs w:val="17"/>
              </w:rPr>
              <w:t>6,70</w:t>
            </w:r>
          </w:p>
        </w:tc>
      </w:tr>
      <w:tr w:rsidR="005B5D1D" w:rsidRPr="007B779F" w14:paraId="4D045AD9"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4B20DAEE" w14:textId="77777777" w:rsidR="005B5D1D" w:rsidRPr="007B779F" w:rsidRDefault="005B5D1D" w:rsidP="007C17C6">
            <w:pPr>
              <w:rPr>
                <w:rFonts w:ascii="Cambria" w:hAnsi="Cambria"/>
                <w:sz w:val="17"/>
                <w:szCs w:val="17"/>
              </w:rPr>
            </w:pPr>
            <w:r w:rsidRPr="007B779F">
              <w:rPr>
                <w:rFonts w:ascii="Cambria" w:hAnsi="Cambria"/>
                <w:sz w:val="17"/>
                <w:szCs w:val="17"/>
              </w:rPr>
              <w:t>Corée (Rép.)</w:t>
            </w:r>
          </w:p>
        </w:tc>
        <w:tc>
          <w:tcPr>
            <w:tcW w:w="0" w:type="auto"/>
            <w:tcBorders>
              <w:top w:val="nil"/>
              <w:left w:val="nil"/>
              <w:bottom w:val="single" w:sz="4" w:space="0" w:color="auto"/>
              <w:right w:val="single" w:sz="4" w:space="0" w:color="auto"/>
            </w:tcBorders>
            <w:noWrap/>
            <w:vAlign w:val="center"/>
            <w:hideMark/>
          </w:tcPr>
          <w:p w14:paraId="467BA97D"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4" w:space="0" w:color="auto"/>
            </w:tcBorders>
            <w:noWrap/>
            <w:vAlign w:val="center"/>
            <w:hideMark/>
          </w:tcPr>
          <w:p w14:paraId="1121EFC3"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nil"/>
            </w:tcBorders>
            <w:shd w:val="clear" w:color="000000" w:fill="C0E6F5"/>
            <w:noWrap/>
            <w:vAlign w:val="center"/>
            <w:hideMark/>
          </w:tcPr>
          <w:p w14:paraId="5DF7CD07"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0681606F" w14:textId="77777777" w:rsidR="005B5D1D" w:rsidRPr="007B779F" w:rsidRDefault="005B5D1D" w:rsidP="007C17C6">
            <w:pPr>
              <w:jc w:val="center"/>
              <w:rPr>
                <w:rFonts w:ascii="Cambria" w:hAnsi="Cambria"/>
                <w:sz w:val="17"/>
                <w:szCs w:val="17"/>
              </w:rPr>
            </w:pPr>
            <w:r w:rsidRPr="007B779F">
              <w:rPr>
                <w:rFonts w:ascii="Cambria" w:hAnsi="Cambria"/>
                <w:sz w:val="17"/>
                <w:szCs w:val="17"/>
              </w:rPr>
              <w:t>0,18</w:t>
            </w:r>
          </w:p>
        </w:tc>
        <w:tc>
          <w:tcPr>
            <w:tcW w:w="0" w:type="auto"/>
            <w:tcBorders>
              <w:top w:val="nil"/>
              <w:left w:val="nil"/>
              <w:bottom w:val="single" w:sz="4" w:space="0" w:color="auto"/>
              <w:right w:val="single" w:sz="4" w:space="0" w:color="auto"/>
            </w:tcBorders>
            <w:noWrap/>
            <w:vAlign w:val="center"/>
            <w:hideMark/>
          </w:tcPr>
          <w:p w14:paraId="2C5D4277"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8" w:space="0" w:color="auto"/>
            </w:tcBorders>
            <w:shd w:val="clear" w:color="000000" w:fill="C0E6F5"/>
            <w:noWrap/>
            <w:vAlign w:val="center"/>
            <w:hideMark/>
          </w:tcPr>
          <w:p w14:paraId="10CB954B"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6D2B0B5A"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4" w:space="0" w:color="auto"/>
            </w:tcBorders>
            <w:noWrap/>
            <w:vAlign w:val="center"/>
            <w:hideMark/>
          </w:tcPr>
          <w:p w14:paraId="275F62E0"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1160E380"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02041153"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3B1E1D42" w14:textId="77777777" w:rsidR="005B5D1D" w:rsidRPr="007B779F" w:rsidRDefault="005B5D1D" w:rsidP="007C17C6">
            <w:pPr>
              <w:rPr>
                <w:rFonts w:ascii="Cambria" w:hAnsi="Cambria"/>
                <w:sz w:val="17"/>
                <w:szCs w:val="17"/>
              </w:rPr>
            </w:pPr>
            <w:r w:rsidRPr="007B779F">
              <w:rPr>
                <w:rFonts w:ascii="Cambria" w:hAnsi="Cambria"/>
                <w:sz w:val="17"/>
                <w:szCs w:val="17"/>
              </w:rPr>
              <w:t>Namibie</w:t>
            </w:r>
          </w:p>
        </w:tc>
        <w:tc>
          <w:tcPr>
            <w:tcW w:w="0" w:type="auto"/>
            <w:tcBorders>
              <w:top w:val="nil"/>
              <w:left w:val="nil"/>
              <w:bottom w:val="single" w:sz="4" w:space="0" w:color="auto"/>
              <w:right w:val="single" w:sz="4" w:space="0" w:color="auto"/>
            </w:tcBorders>
            <w:noWrap/>
            <w:vAlign w:val="center"/>
            <w:hideMark/>
          </w:tcPr>
          <w:p w14:paraId="0D55526F" w14:textId="77777777" w:rsidR="005B5D1D" w:rsidRPr="007B779F" w:rsidRDefault="005B5D1D" w:rsidP="007C17C6">
            <w:pPr>
              <w:jc w:val="center"/>
              <w:rPr>
                <w:rFonts w:ascii="Cambria" w:hAnsi="Cambria"/>
                <w:sz w:val="17"/>
                <w:szCs w:val="17"/>
              </w:rPr>
            </w:pPr>
            <w:r w:rsidRPr="007B779F">
              <w:rPr>
                <w:rFonts w:ascii="Cambria" w:hAnsi="Cambria"/>
                <w:sz w:val="17"/>
                <w:szCs w:val="17"/>
              </w:rPr>
              <w:t>545,29</w:t>
            </w:r>
          </w:p>
        </w:tc>
        <w:tc>
          <w:tcPr>
            <w:tcW w:w="0" w:type="auto"/>
            <w:tcBorders>
              <w:top w:val="nil"/>
              <w:left w:val="nil"/>
              <w:bottom w:val="single" w:sz="4" w:space="0" w:color="auto"/>
              <w:right w:val="single" w:sz="4" w:space="0" w:color="auto"/>
            </w:tcBorders>
            <w:noWrap/>
            <w:vAlign w:val="center"/>
            <w:hideMark/>
          </w:tcPr>
          <w:p w14:paraId="1D481D8E" w14:textId="77777777" w:rsidR="005B5D1D" w:rsidRPr="007B779F" w:rsidRDefault="005B5D1D" w:rsidP="007C17C6">
            <w:pPr>
              <w:jc w:val="center"/>
              <w:rPr>
                <w:rFonts w:ascii="Cambria" w:hAnsi="Cambria"/>
                <w:sz w:val="17"/>
                <w:szCs w:val="17"/>
              </w:rPr>
            </w:pPr>
            <w:r w:rsidRPr="007B779F">
              <w:rPr>
                <w:rFonts w:ascii="Cambria" w:hAnsi="Cambria"/>
                <w:sz w:val="17"/>
                <w:szCs w:val="17"/>
              </w:rPr>
              <w:t>253,63</w:t>
            </w:r>
          </w:p>
        </w:tc>
        <w:tc>
          <w:tcPr>
            <w:tcW w:w="0" w:type="auto"/>
            <w:tcBorders>
              <w:top w:val="nil"/>
              <w:left w:val="nil"/>
              <w:bottom w:val="single" w:sz="4" w:space="0" w:color="auto"/>
              <w:right w:val="nil"/>
            </w:tcBorders>
            <w:shd w:val="clear" w:color="000000" w:fill="C0E6F5"/>
            <w:noWrap/>
            <w:vAlign w:val="center"/>
            <w:hideMark/>
          </w:tcPr>
          <w:p w14:paraId="72A29106" w14:textId="77777777" w:rsidR="005B5D1D" w:rsidRPr="007B779F" w:rsidRDefault="005B5D1D" w:rsidP="007C17C6">
            <w:pPr>
              <w:jc w:val="center"/>
              <w:rPr>
                <w:rFonts w:ascii="Cambria" w:hAnsi="Cambria"/>
                <w:sz w:val="17"/>
                <w:szCs w:val="17"/>
              </w:rPr>
            </w:pPr>
            <w:r w:rsidRPr="007B779F">
              <w:rPr>
                <w:rFonts w:ascii="Cambria" w:hAnsi="Cambria"/>
                <w:sz w:val="17"/>
                <w:szCs w:val="17"/>
              </w:rPr>
              <w:t>260,62</w:t>
            </w:r>
          </w:p>
        </w:tc>
        <w:tc>
          <w:tcPr>
            <w:tcW w:w="0" w:type="auto"/>
            <w:tcBorders>
              <w:top w:val="nil"/>
              <w:left w:val="single" w:sz="8" w:space="0" w:color="auto"/>
              <w:bottom w:val="single" w:sz="4" w:space="0" w:color="auto"/>
              <w:right w:val="single" w:sz="4" w:space="0" w:color="auto"/>
            </w:tcBorders>
            <w:noWrap/>
            <w:vAlign w:val="center"/>
            <w:hideMark/>
          </w:tcPr>
          <w:p w14:paraId="61A2751C"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30739C99"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5E4B62DC" w14:textId="77777777" w:rsidR="005B5D1D" w:rsidRPr="007B779F" w:rsidRDefault="005B5D1D" w:rsidP="007C17C6">
            <w:pPr>
              <w:jc w:val="center"/>
              <w:rPr>
                <w:rFonts w:ascii="Cambria" w:hAnsi="Cambria"/>
                <w:sz w:val="17"/>
                <w:szCs w:val="17"/>
              </w:rPr>
            </w:pPr>
            <w:r w:rsidRPr="007B779F">
              <w:rPr>
                <w:rFonts w:ascii="Cambria" w:hAnsi="Cambria"/>
                <w:sz w:val="17"/>
                <w:szCs w:val="17"/>
              </w:rPr>
              <w:t>0,0</w:t>
            </w:r>
          </w:p>
        </w:tc>
        <w:tc>
          <w:tcPr>
            <w:tcW w:w="0" w:type="auto"/>
            <w:tcBorders>
              <w:top w:val="nil"/>
              <w:left w:val="nil"/>
              <w:bottom w:val="single" w:sz="4" w:space="0" w:color="auto"/>
              <w:right w:val="single" w:sz="4" w:space="0" w:color="auto"/>
            </w:tcBorders>
            <w:noWrap/>
            <w:vAlign w:val="center"/>
            <w:hideMark/>
          </w:tcPr>
          <w:p w14:paraId="0D1C847E"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1A137ED6"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78F59FE5" w14:textId="77777777" w:rsidR="005B5D1D" w:rsidRPr="007B779F" w:rsidRDefault="005B5D1D" w:rsidP="007C17C6">
            <w:pPr>
              <w:jc w:val="center"/>
              <w:rPr>
                <w:rFonts w:ascii="Cambria" w:hAnsi="Cambria"/>
                <w:sz w:val="17"/>
                <w:szCs w:val="17"/>
              </w:rPr>
            </w:pPr>
            <w:r w:rsidRPr="007B779F">
              <w:rPr>
                <w:rFonts w:ascii="Cambria" w:hAnsi="Cambria"/>
                <w:sz w:val="17"/>
                <w:szCs w:val="17"/>
              </w:rPr>
              <w:t>224,65*</w:t>
            </w:r>
          </w:p>
        </w:tc>
      </w:tr>
      <w:tr w:rsidR="005B5D1D" w:rsidRPr="007B779F" w14:paraId="4ACEC00F"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71195DD0" w14:textId="77777777" w:rsidR="005B5D1D" w:rsidRPr="007B779F" w:rsidRDefault="005B5D1D" w:rsidP="007C17C6">
            <w:pPr>
              <w:rPr>
                <w:rFonts w:ascii="Cambria" w:hAnsi="Cambria"/>
                <w:sz w:val="17"/>
                <w:szCs w:val="17"/>
              </w:rPr>
            </w:pPr>
            <w:r w:rsidRPr="007B779F">
              <w:rPr>
                <w:rFonts w:ascii="Cambria" w:hAnsi="Cambria"/>
                <w:sz w:val="17"/>
                <w:szCs w:val="17"/>
              </w:rPr>
              <w:t>Panama</w:t>
            </w:r>
          </w:p>
        </w:tc>
        <w:tc>
          <w:tcPr>
            <w:tcW w:w="0" w:type="auto"/>
            <w:tcBorders>
              <w:top w:val="nil"/>
              <w:left w:val="nil"/>
              <w:bottom w:val="single" w:sz="4" w:space="0" w:color="auto"/>
              <w:right w:val="single" w:sz="4" w:space="0" w:color="auto"/>
            </w:tcBorders>
            <w:noWrap/>
            <w:vAlign w:val="center"/>
            <w:hideMark/>
          </w:tcPr>
          <w:p w14:paraId="7530EB66"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70C39C1E"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nil"/>
            </w:tcBorders>
            <w:shd w:val="clear" w:color="000000" w:fill="C0E6F5"/>
            <w:noWrap/>
            <w:vAlign w:val="center"/>
            <w:hideMark/>
          </w:tcPr>
          <w:p w14:paraId="1B4912AD"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5D5E405A"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03D79DCE"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01CDAAE7"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4A2202D6" w14:textId="77777777" w:rsidR="005B5D1D" w:rsidRPr="007B779F" w:rsidRDefault="005B5D1D" w:rsidP="007C17C6">
            <w:pPr>
              <w:jc w:val="center"/>
              <w:rPr>
                <w:rFonts w:ascii="Cambria" w:hAnsi="Cambria"/>
                <w:sz w:val="17"/>
                <w:szCs w:val="17"/>
              </w:rPr>
            </w:pPr>
            <w:r w:rsidRPr="007B779F">
              <w:rPr>
                <w:rFonts w:ascii="Cambria" w:hAnsi="Cambria"/>
                <w:sz w:val="17"/>
                <w:szCs w:val="17"/>
              </w:rPr>
              <w:t>0,09</w:t>
            </w:r>
          </w:p>
        </w:tc>
        <w:tc>
          <w:tcPr>
            <w:tcW w:w="0" w:type="auto"/>
            <w:tcBorders>
              <w:top w:val="nil"/>
              <w:left w:val="nil"/>
              <w:bottom w:val="single" w:sz="4" w:space="0" w:color="auto"/>
              <w:right w:val="single" w:sz="4" w:space="0" w:color="auto"/>
            </w:tcBorders>
            <w:noWrap/>
            <w:vAlign w:val="center"/>
            <w:hideMark/>
          </w:tcPr>
          <w:p w14:paraId="15D397F3"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71790557"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5803B79C"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78AAD730" w14:textId="77777777" w:rsidR="005B5D1D" w:rsidRPr="007B779F" w:rsidRDefault="005B5D1D" w:rsidP="007C17C6">
            <w:pPr>
              <w:rPr>
                <w:rFonts w:ascii="Cambria" w:hAnsi="Cambria"/>
                <w:sz w:val="17"/>
                <w:szCs w:val="17"/>
              </w:rPr>
            </w:pPr>
            <w:r w:rsidRPr="007B779F">
              <w:rPr>
                <w:rFonts w:ascii="Cambria" w:hAnsi="Cambria"/>
                <w:sz w:val="17"/>
                <w:szCs w:val="17"/>
              </w:rPr>
              <w:t>Philippines</w:t>
            </w:r>
          </w:p>
        </w:tc>
        <w:tc>
          <w:tcPr>
            <w:tcW w:w="0" w:type="auto"/>
            <w:tcBorders>
              <w:top w:val="nil"/>
              <w:left w:val="nil"/>
              <w:bottom w:val="single" w:sz="4" w:space="0" w:color="auto"/>
              <w:right w:val="single" w:sz="4" w:space="0" w:color="auto"/>
            </w:tcBorders>
            <w:noWrap/>
            <w:vAlign w:val="center"/>
            <w:hideMark/>
          </w:tcPr>
          <w:p w14:paraId="4D0E412D"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36E73530"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nil"/>
            </w:tcBorders>
            <w:shd w:val="clear" w:color="000000" w:fill="C0E6F5"/>
            <w:noWrap/>
            <w:vAlign w:val="center"/>
            <w:hideMark/>
          </w:tcPr>
          <w:p w14:paraId="5EF0441C"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4271BF90"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20CEC58A"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377D0AE3"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53177271"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458E39EF"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7C515A57"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3723A33F"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21A7CD31" w14:textId="77777777" w:rsidR="005B5D1D" w:rsidRPr="007B779F" w:rsidRDefault="005B5D1D" w:rsidP="007C17C6">
            <w:pPr>
              <w:rPr>
                <w:rFonts w:ascii="Cambria" w:hAnsi="Cambria"/>
                <w:sz w:val="17"/>
                <w:szCs w:val="17"/>
              </w:rPr>
            </w:pPr>
            <w:r w:rsidRPr="007B779F">
              <w:rPr>
                <w:rFonts w:ascii="Cambria" w:hAnsi="Cambria"/>
                <w:sz w:val="17"/>
                <w:szCs w:val="17"/>
              </w:rPr>
              <w:t>Sénégal</w:t>
            </w:r>
          </w:p>
        </w:tc>
        <w:tc>
          <w:tcPr>
            <w:tcW w:w="0" w:type="auto"/>
            <w:tcBorders>
              <w:top w:val="nil"/>
              <w:left w:val="nil"/>
              <w:bottom w:val="single" w:sz="4" w:space="0" w:color="auto"/>
              <w:right w:val="single" w:sz="4" w:space="0" w:color="auto"/>
            </w:tcBorders>
            <w:noWrap/>
            <w:vAlign w:val="center"/>
            <w:hideMark/>
          </w:tcPr>
          <w:p w14:paraId="3D778B65"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2E2B7D2E"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nil"/>
            </w:tcBorders>
            <w:shd w:val="clear" w:color="000000" w:fill="C0E6F5"/>
            <w:noWrap/>
            <w:vAlign w:val="center"/>
            <w:hideMark/>
          </w:tcPr>
          <w:p w14:paraId="556E1F3B"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single" w:sz="8" w:space="0" w:color="auto"/>
              <w:bottom w:val="single" w:sz="4" w:space="0" w:color="auto"/>
              <w:right w:val="single" w:sz="4" w:space="0" w:color="auto"/>
            </w:tcBorders>
            <w:noWrap/>
            <w:vAlign w:val="center"/>
            <w:hideMark/>
          </w:tcPr>
          <w:p w14:paraId="7CB10C3F"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2F2FC9B8"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575A62FF"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4194B198"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006DEFB6"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1491C447"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3242883A"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6D3A89DA" w14:textId="77777777" w:rsidR="005B5D1D" w:rsidRPr="007B779F" w:rsidRDefault="005B5D1D" w:rsidP="007C17C6">
            <w:pPr>
              <w:rPr>
                <w:rFonts w:ascii="Cambria" w:hAnsi="Cambria"/>
                <w:sz w:val="17"/>
                <w:szCs w:val="17"/>
              </w:rPr>
            </w:pPr>
            <w:r w:rsidRPr="007B779F">
              <w:rPr>
                <w:rFonts w:ascii="Cambria" w:hAnsi="Cambria"/>
                <w:sz w:val="17"/>
                <w:szCs w:val="17"/>
              </w:rPr>
              <w:t>Afrique du Sud</w:t>
            </w:r>
          </w:p>
        </w:tc>
        <w:tc>
          <w:tcPr>
            <w:tcW w:w="0" w:type="auto"/>
            <w:tcBorders>
              <w:top w:val="nil"/>
              <w:left w:val="nil"/>
              <w:bottom w:val="single" w:sz="4" w:space="0" w:color="auto"/>
              <w:right w:val="single" w:sz="4" w:space="0" w:color="auto"/>
            </w:tcBorders>
            <w:noWrap/>
            <w:vAlign w:val="center"/>
            <w:hideMark/>
          </w:tcPr>
          <w:p w14:paraId="79C7702B" w14:textId="77777777" w:rsidR="005B5D1D" w:rsidRPr="007B779F" w:rsidRDefault="005B5D1D" w:rsidP="007C17C6">
            <w:pPr>
              <w:jc w:val="center"/>
              <w:rPr>
                <w:rFonts w:ascii="Cambria" w:hAnsi="Cambria"/>
                <w:sz w:val="17"/>
                <w:szCs w:val="17"/>
              </w:rPr>
            </w:pPr>
            <w:r w:rsidRPr="007B779F">
              <w:rPr>
                <w:rFonts w:ascii="Cambria" w:hAnsi="Cambria"/>
                <w:sz w:val="17"/>
                <w:szCs w:val="17"/>
              </w:rPr>
              <w:t>96,00</w:t>
            </w:r>
          </w:p>
        </w:tc>
        <w:tc>
          <w:tcPr>
            <w:tcW w:w="0" w:type="auto"/>
            <w:tcBorders>
              <w:top w:val="nil"/>
              <w:left w:val="nil"/>
              <w:bottom w:val="single" w:sz="4" w:space="0" w:color="auto"/>
              <w:right w:val="single" w:sz="4" w:space="0" w:color="auto"/>
            </w:tcBorders>
            <w:noWrap/>
            <w:vAlign w:val="center"/>
            <w:hideMark/>
          </w:tcPr>
          <w:p w14:paraId="73272B1D" w14:textId="77777777" w:rsidR="005B5D1D" w:rsidRPr="007B779F" w:rsidRDefault="005B5D1D" w:rsidP="007C17C6">
            <w:pPr>
              <w:jc w:val="center"/>
              <w:rPr>
                <w:rFonts w:ascii="Cambria" w:hAnsi="Cambria"/>
                <w:sz w:val="17"/>
                <w:szCs w:val="17"/>
              </w:rPr>
            </w:pPr>
            <w:r w:rsidRPr="007B779F">
              <w:rPr>
                <w:rFonts w:ascii="Cambria" w:hAnsi="Cambria"/>
                <w:sz w:val="17"/>
                <w:szCs w:val="17"/>
              </w:rPr>
              <w:t>139,60</w:t>
            </w:r>
          </w:p>
        </w:tc>
        <w:tc>
          <w:tcPr>
            <w:tcW w:w="0" w:type="auto"/>
            <w:tcBorders>
              <w:top w:val="nil"/>
              <w:left w:val="nil"/>
              <w:bottom w:val="single" w:sz="4" w:space="0" w:color="auto"/>
              <w:right w:val="nil"/>
            </w:tcBorders>
            <w:shd w:val="clear" w:color="000000" w:fill="C0E6F5"/>
            <w:noWrap/>
            <w:vAlign w:val="center"/>
            <w:hideMark/>
          </w:tcPr>
          <w:p w14:paraId="40ADDD5D" w14:textId="77777777" w:rsidR="005B5D1D" w:rsidRPr="007B779F" w:rsidRDefault="005B5D1D" w:rsidP="007C17C6">
            <w:pPr>
              <w:jc w:val="center"/>
              <w:rPr>
                <w:rFonts w:ascii="Cambria" w:hAnsi="Cambria"/>
                <w:sz w:val="17"/>
                <w:szCs w:val="17"/>
              </w:rPr>
            </w:pPr>
            <w:r w:rsidRPr="007B779F">
              <w:rPr>
                <w:rFonts w:ascii="Cambria" w:hAnsi="Cambria"/>
                <w:sz w:val="17"/>
                <w:szCs w:val="17"/>
              </w:rPr>
              <w:t>90,22</w:t>
            </w:r>
          </w:p>
        </w:tc>
        <w:tc>
          <w:tcPr>
            <w:tcW w:w="0" w:type="auto"/>
            <w:tcBorders>
              <w:top w:val="nil"/>
              <w:left w:val="single" w:sz="8" w:space="0" w:color="auto"/>
              <w:bottom w:val="single" w:sz="4" w:space="0" w:color="auto"/>
              <w:right w:val="single" w:sz="4" w:space="0" w:color="auto"/>
            </w:tcBorders>
            <w:noWrap/>
            <w:vAlign w:val="center"/>
            <w:hideMark/>
          </w:tcPr>
          <w:p w14:paraId="69120CED"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4" w:space="0" w:color="auto"/>
            </w:tcBorders>
            <w:noWrap/>
            <w:vAlign w:val="center"/>
            <w:hideMark/>
          </w:tcPr>
          <w:p w14:paraId="7486DF9F"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8" w:space="0" w:color="auto"/>
            </w:tcBorders>
            <w:shd w:val="clear" w:color="000000" w:fill="C0E6F5"/>
            <w:noWrap/>
            <w:vAlign w:val="center"/>
            <w:hideMark/>
          </w:tcPr>
          <w:p w14:paraId="753DDCCE" w14:textId="77777777" w:rsidR="005B5D1D" w:rsidRPr="007B779F" w:rsidRDefault="005B5D1D" w:rsidP="007C17C6">
            <w:pPr>
              <w:jc w:val="center"/>
              <w:rPr>
                <w:rFonts w:ascii="Cambria" w:hAnsi="Cambria"/>
                <w:sz w:val="17"/>
                <w:szCs w:val="17"/>
              </w:rPr>
            </w:pPr>
            <w:r w:rsidRPr="007B779F">
              <w:rPr>
                <w:rFonts w:ascii="Cambria" w:hAnsi="Cambria"/>
                <w:sz w:val="17"/>
                <w:szCs w:val="17"/>
              </w:rPr>
              <w:t>17,00</w:t>
            </w:r>
          </w:p>
        </w:tc>
        <w:tc>
          <w:tcPr>
            <w:tcW w:w="0" w:type="auto"/>
            <w:tcBorders>
              <w:top w:val="nil"/>
              <w:left w:val="nil"/>
              <w:bottom w:val="single" w:sz="4" w:space="0" w:color="auto"/>
              <w:right w:val="single" w:sz="4" w:space="0" w:color="auto"/>
            </w:tcBorders>
            <w:noWrap/>
            <w:vAlign w:val="center"/>
            <w:hideMark/>
          </w:tcPr>
          <w:p w14:paraId="614CC963" w14:textId="77777777" w:rsidR="005B5D1D" w:rsidRPr="007B779F" w:rsidRDefault="005B5D1D" w:rsidP="007C17C6">
            <w:pPr>
              <w:jc w:val="center"/>
              <w:rPr>
                <w:rFonts w:ascii="Cambria" w:hAnsi="Cambria"/>
                <w:sz w:val="17"/>
                <w:szCs w:val="17"/>
              </w:rPr>
            </w:pPr>
            <w:r w:rsidRPr="007B779F">
              <w:rPr>
                <w:rFonts w:ascii="Cambria" w:hAnsi="Cambria"/>
                <w:sz w:val="17"/>
                <w:szCs w:val="17"/>
              </w:rPr>
              <w:t>0,07</w:t>
            </w:r>
          </w:p>
        </w:tc>
        <w:tc>
          <w:tcPr>
            <w:tcW w:w="0" w:type="auto"/>
            <w:tcBorders>
              <w:top w:val="nil"/>
              <w:left w:val="nil"/>
              <w:bottom w:val="single" w:sz="4" w:space="0" w:color="auto"/>
              <w:right w:val="single" w:sz="4" w:space="0" w:color="auto"/>
            </w:tcBorders>
            <w:noWrap/>
            <w:vAlign w:val="center"/>
            <w:hideMark/>
          </w:tcPr>
          <w:p w14:paraId="59D6D339" w14:textId="77777777" w:rsidR="005B5D1D" w:rsidRPr="007B779F" w:rsidRDefault="005B5D1D" w:rsidP="007C17C6">
            <w:pPr>
              <w:jc w:val="center"/>
              <w:rPr>
                <w:rFonts w:ascii="Cambria" w:hAnsi="Cambria"/>
                <w:sz w:val="17"/>
                <w:szCs w:val="17"/>
              </w:rPr>
            </w:pPr>
            <w:r w:rsidRPr="007B779F">
              <w:rPr>
                <w:rFonts w:ascii="Cambria" w:hAnsi="Cambria"/>
                <w:sz w:val="17"/>
                <w:szCs w:val="17"/>
              </w:rPr>
              <w:t>4,32</w:t>
            </w:r>
          </w:p>
        </w:tc>
        <w:tc>
          <w:tcPr>
            <w:tcW w:w="0" w:type="auto"/>
            <w:tcBorders>
              <w:top w:val="nil"/>
              <w:left w:val="nil"/>
              <w:bottom w:val="single" w:sz="4" w:space="0" w:color="auto"/>
              <w:right w:val="single" w:sz="8" w:space="0" w:color="auto"/>
            </w:tcBorders>
            <w:shd w:val="clear" w:color="000000" w:fill="C0E6F5"/>
            <w:noWrap/>
            <w:vAlign w:val="center"/>
            <w:hideMark/>
          </w:tcPr>
          <w:p w14:paraId="21722001" w14:textId="77777777" w:rsidR="005B5D1D" w:rsidRPr="007B779F" w:rsidRDefault="005B5D1D" w:rsidP="007C17C6">
            <w:pPr>
              <w:jc w:val="center"/>
              <w:rPr>
                <w:rFonts w:ascii="Cambria" w:hAnsi="Cambria"/>
                <w:sz w:val="17"/>
                <w:szCs w:val="17"/>
              </w:rPr>
            </w:pPr>
            <w:r w:rsidRPr="007B779F">
              <w:rPr>
                <w:rFonts w:ascii="Cambria" w:hAnsi="Cambria"/>
                <w:sz w:val="17"/>
                <w:szCs w:val="17"/>
              </w:rPr>
              <w:t>1,00</w:t>
            </w:r>
          </w:p>
        </w:tc>
      </w:tr>
      <w:tr w:rsidR="005B5D1D" w:rsidRPr="007B779F" w14:paraId="122EF158"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3D70E5F2" w14:textId="77777777" w:rsidR="005B5D1D" w:rsidRPr="007B779F" w:rsidRDefault="005B5D1D" w:rsidP="007C17C6">
            <w:pPr>
              <w:rPr>
                <w:rFonts w:ascii="Cambria" w:hAnsi="Cambria"/>
                <w:sz w:val="17"/>
                <w:szCs w:val="17"/>
              </w:rPr>
            </w:pPr>
            <w:r w:rsidRPr="007B779F">
              <w:rPr>
                <w:rFonts w:ascii="Cambria" w:hAnsi="Cambria"/>
                <w:sz w:val="17"/>
                <w:szCs w:val="17"/>
              </w:rPr>
              <w:t>RU-Sainte Hélène</w:t>
            </w:r>
          </w:p>
        </w:tc>
        <w:tc>
          <w:tcPr>
            <w:tcW w:w="0" w:type="auto"/>
            <w:tcBorders>
              <w:top w:val="nil"/>
              <w:left w:val="nil"/>
              <w:bottom w:val="single" w:sz="4" w:space="0" w:color="auto"/>
              <w:right w:val="single" w:sz="4" w:space="0" w:color="auto"/>
            </w:tcBorders>
            <w:noWrap/>
            <w:vAlign w:val="center"/>
            <w:hideMark/>
          </w:tcPr>
          <w:p w14:paraId="2F325CB1"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4" w:space="0" w:color="auto"/>
            </w:tcBorders>
            <w:noWrap/>
            <w:vAlign w:val="center"/>
            <w:hideMark/>
          </w:tcPr>
          <w:p w14:paraId="3A1ABBBB"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nil"/>
            </w:tcBorders>
            <w:shd w:val="clear" w:color="000000" w:fill="C0E6F5"/>
            <w:noWrap/>
            <w:vAlign w:val="center"/>
            <w:hideMark/>
          </w:tcPr>
          <w:p w14:paraId="2EA0CF13"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single" w:sz="8" w:space="0" w:color="auto"/>
              <w:bottom w:val="single" w:sz="4" w:space="0" w:color="auto"/>
              <w:right w:val="single" w:sz="4" w:space="0" w:color="auto"/>
            </w:tcBorders>
            <w:noWrap/>
            <w:vAlign w:val="center"/>
            <w:hideMark/>
          </w:tcPr>
          <w:p w14:paraId="6A34D315"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0792BBE7"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233F3648"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4B1225D2"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4" w:space="0" w:color="auto"/>
            </w:tcBorders>
            <w:noWrap/>
            <w:vAlign w:val="center"/>
            <w:hideMark/>
          </w:tcPr>
          <w:p w14:paraId="1241D5F0" w14:textId="77777777" w:rsidR="005B5D1D" w:rsidRPr="007B779F" w:rsidRDefault="005B5D1D" w:rsidP="007C17C6">
            <w:pPr>
              <w:jc w:val="center"/>
              <w:rPr>
                <w:rFonts w:ascii="Cambria" w:hAnsi="Cambria"/>
                <w:sz w:val="17"/>
                <w:szCs w:val="17"/>
              </w:rPr>
            </w:pPr>
            <w:r w:rsidRPr="007B779F">
              <w:rPr>
                <w:rFonts w:ascii="Cambria" w:hAnsi="Cambria"/>
                <w:sz w:val="17"/>
                <w:szCs w:val="17"/>
              </w:rPr>
              <w:t>0,02</w:t>
            </w:r>
          </w:p>
        </w:tc>
        <w:tc>
          <w:tcPr>
            <w:tcW w:w="0" w:type="auto"/>
            <w:tcBorders>
              <w:top w:val="nil"/>
              <w:left w:val="nil"/>
              <w:bottom w:val="single" w:sz="4" w:space="0" w:color="auto"/>
              <w:right w:val="single" w:sz="8" w:space="0" w:color="auto"/>
            </w:tcBorders>
            <w:shd w:val="clear" w:color="000000" w:fill="C0E6F5"/>
            <w:noWrap/>
            <w:vAlign w:val="center"/>
            <w:hideMark/>
          </w:tcPr>
          <w:p w14:paraId="02B91A34"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0B13C7D4" w14:textId="77777777" w:rsidTr="007C17C6">
        <w:trPr>
          <w:trHeight w:val="385"/>
          <w:jc w:val="center"/>
        </w:trPr>
        <w:tc>
          <w:tcPr>
            <w:tcW w:w="0" w:type="auto"/>
            <w:tcBorders>
              <w:top w:val="nil"/>
              <w:left w:val="single" w:sz="8" w:space="0" w:color="auto"/>
              <w:bottom w:val="single" w:sz="4" w:space="0" w:color="auto"/>
              <w:right w:val="single" w:sz="8" w:space="0" w:color="auto"/>
            </w:tcBorders>
            <w:noWrap/>
            <w:vAlign w:val="center"/>
            <w:hideMark/>
          </w:tcPr>
          <w:p w14:paraId="2DED7625" w14:textId="77777777" w:rsidR="005B5D1D" w:rsidRPr="007B779F" w:rsidRDefault="005B5D1D" w:rsidP="007C17C6">
            <w:pPr>
              <w:rPr>
                <w:rFonts w:ascii="Cambria" w:hAnsi="Cambria"/>
                <w:sz w:val="17"/>
                <w:szCs w:val="17"/>
              </w:rPr>
            </w:pPr>
            <w:r w:rsidRPr="007B779F">
              <w:rPr>
                <w:rFonts w:ascii="Cambria" w:hAnsi="Cambria"/>
                <w:sz w:val="17"/>
                <w:szCs w:val="17"/>
              </w:rPr>
              <w:lastRenderedPageBreak/>
              <w:t>Uruguay</w:t>
            </w:r>
          </w:p>
        </w:tc>
        <w:tc>
          <w:tcPr>
            <w:tcW w:w="0" w:type="auto"/>
            <w:tcBorders>
              <w:top w:val="nil"/>
              <w:left w:val="nil"/>
              <w:bottom w:val="single" w:sz="4" w:space="0" w:color="auto"/>
              <w:right w:val="single" w:sz="4" w:space="0" w:color="auto"/>
            </w:tcBorders>
            <w:noWrap/>
            <w:vAlign w:val="center"/>
            <w:hideMark/>
          </w:tcPr>
          <w:p w14:paraId="09DA2444"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single" w:sz="4" w:space="0" w:color="auto"/>
            </w:tcBorders>
            <w:noWrap/>
            <w:vAlign w:val="center"/>
            <w:hideMark/>
          </w:tcPr>
          <w:p w14:paraId="10ADE85F"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nil"/>
              <w:bottom w:val="single" w:sz="4" w:space="0" w:color="auto"/>
              <w:right w:val="nil"/>
            </w:tcBorders>
            <w:shd w:val="clear" w:color="000000" w:fill="C0E6F5"/>
            <w:noWrap/>
            <w:vAlign w:val="center"/>
            <w:hideMark/>
          </w:tcPr>
          <w:p w14:paraId="7AB849AB" w14:textId="77777777" w:rsidR="005B5D1D" w:rsidRPr="007B779F" w:rsidRDefault="005B5D1D" w:rsidP="007C17C6">
            <w:pPr>
              <w:jc w:val="center"/>
              <w:rPr>
                <w:rFonts w:ascii="Cambria" w:hAnsi="Cambria"/>
                <w:sz w:val="17"/>
                <w:szCs w:val="17"/>
              </w:rPr>
            </w:pPr>
            <w:r w:rsidRPr="007B779F">
              <w:rPr>
                <w:rFonts w:ascii="Cambria" w:hAnsi="Cambria"/>
                <w:sz w:val="17"/>
                <w:szCs w:val="17"/>
              </w:rPr>
              <w:t>0,00</w:t>
            </w:r>
          </w:p>
        </w:tc>
        <w:tc>
          <w:tcPr>
            <w:tcW w:w="0" w:type="auto"/>
            <w:tcBorders>
              <w:top w:val="nil"/>
              <w:left w:val="single" w:sz="8" w:space="0" w:color="auto"/>
              <w:bottom w:val="single" w:sz="4" w:space="0" w:color="auto"/>
              <w:right w:val="single" w:sz="4" w:space="0" w:color="auto"/>
            </w:tcBorders>
            <w:noWrap/>
            <w:vAlign w:val="center"/>
            <w:hideMark/>
          </w:tcPr>
          <w:p w14:paraId="0AEF1811"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117AE9DE"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336AAB23"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1E342E1E"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4" w:space="0" w:color="auto"/>
            </w:tcBorders>
            <w:noWrap/>
            <w:vAlign w:val="center"/>
            <w:hideMark/>
          </w:tcPr>
          <w:p w14:paraId="52D9E48D"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c>
          <w:tcPr>
            <w:tcW w:w="0" w:type="auto"/>
            <w:tcBorders>
              <w:top w:val="nil"/>
              <w:left w:val="nil"/>
              <w:bottom w:val="single" w:sz="4" w:space="0" w:color="auto"/>
              <w:right w:val="single" w:sz="8" w:space="0" w:color="auto"/>
            </w:tcBorders>
            <w:shd w:val="clear" w:color="000000" w:fill="C0E6F5"/>
            <w:noWrap/>
            <w:vAlign w:val="center"/>
            <w:hideMark/>
          </w:tcPr>
          <w:p w14:paraId="0C21E325" w14:textId="77777777" w:rsidR="005B5D1D" w:rsidRPr="007B779F" w:rsidRDefault="005B5D1D" w:rsidP="007C17C6">
            <w:pPr>
              <w:jc w:val="center"/>
              <w:rPr>
                <w:rFonts w:ascii="Cambria" w:hAnsi="Cambria"/>
                <w:sz w:val="17"/>
                <w:szCs w:val="17"/>
              </w:rPr>
            </w:pPr>
            <w:r w:rsidRPr="007B779F">
              <w:rPr>
                <w:rFonts w:ascii="Cambria" w:hAnsi="Cambria"/>
                <w:sz w:val="17"/>
                <w:szCs w:val="17"/>
              </w:rPr>
              <w:t> </w:t>
            </w:r>
          </w:p>
        </w:tc>
      </w:tr>
      <w:tr w:rsidR="005B5D1D" w:rsidRPr="007B779F" w14:paraId="19688197" w14:textId="77777777" w:rsidTr="007C17C6">
        <w:trPr>
          <w:trHeight w:val="385"/>
          <w:jc w:val="center"/>
        </w:trPr>
        <w:tc>
          <w:tcPr>
            <w:tcW w:w="0" w:type="auto"/>
            <w:tcBorders>
              <w:top w:val="nil"/>
              <w:left w:val="single" w:sz="8" w:space="0" w:color="auto"/>
              <w:bottom w:val="single" w:sz="8" w:space="0" w:color="auto"/>
              <w:right w:val="single" w:sz="8" w:space="0" w:color="auto"/>
            </w:tcBorders>
            <w:shd w:val="clear" w:color="000000" w:fill="D9D9D9"/>
            <w:noWrap/>
            <w:vAlign w:val="center"/>
            <w:hideMark/>
          </w:tcPr>
          <w:p w14:paraId="10E5CB23" w14:textId="77777777" w:rsidR="005B5D1D" w:rsidRPr="007B779F" w:rsidRDefault="005B5D1D" w:rsidP="007C17C6">
            <w:pPr>
              <w:jc w:val="center"/>
              <w:rPr>
                <w:rFonts w:ascii="Cambria" w:hAnsi="Cambria"/>
                <w:b/>
                <w:bCs/>
                <w:sz w:val="17"/>
                <w:szCs w:val="17"/>
              </w:rPr>
            </w:pPr>
            <w:r w:rsidRPr="007B779F">
              <w:rPr>
                <w:rFonts w:ascii="Cambria" w:hAnsi="Cambria"/>
                <w:b/>
                <w:bCs/>
                <w:sz w:val="17"/>
                <w:szCs w:val="17"/>
              </w:rPr>
              <w:t>TOTAL</w:t>
            </w:r>
          </w:p>
        </w:tc>
        <w:tc>
          <w:tcPr>
            <w:tcW w:w="0" w:type="auto"/>
            <w:tcBorders>
              <w:top w:val="nil"/>
              <w:left w:val="nil"/>
              <w:bottom w:val="single" w:sz="8" w:space="0" w:color="auto"/>
              <w:right w:val="single" w:sz="4" w:space="0" w:color="auto"/>
            </w:tcBorders>
            <w:shd w:val="clear" w:color="000000" w:fill="D9D9D9"/>
            <w:noWrap/>
            <w:vAlign w:val="center"/>
            <w:hideMark/>
          </w:tcPr>
          <w:p w14:paraId="5AAEBD41" w14:textId="77777777" w:rsidR="005B5D1D" w:rsidRPr="007B779F" w:rsidRDefault="005B5D1D" w:rsidP="007C17C6">
            <w:pPr>
              <w:jc w:val="center"/>
              <w:rPr>
                <w:rFonts w:ascii="Cambria" w:hAnsi="Cambria"/>
                <w:sz w:val="17"/>
                <w:szCs w:val="17"/>
              </w:rPr>
            </w:pPr>
            <w:r w:rsidRPr="007B779F">
              <w:rPr>
                <w:rFonts w:ascii="Cambria" w:hAnsi="Cambria"/>
                <w:sz w:val="17"/>
                <w:szCs w:val="17"/>
              </w:rPr>
              <w:t>778,08</w:t>
            </w:r>
          </w:p>
        </w:tc>
        <w:tc>
          <w:tcPr>
            <w:tcW w:w="0" w:type="auto"/>
            <w:tcBorders>
              <w:top w:val="nil"/>
              <w:left w:val="nil"/>
              <w:bottom w:val="single" w:sz="8" w:space="0" w:color="auto"/>
              <w:right w:val="single" w:sz="4" w:space="0" w:color="auto"/>
            </w:tcBorders>
            <w:shd w:val="clear" w:color="000000" w:fill="D9D9D9"/>
            <w:noWrap/>
            <w:vAlign w:val="center"/>
            <w:hideMark/>
          </w:tcPr>
          <w:p w14:paraId="7C9F41A6" w14:textId="77777777" w:rsidR="005B5D1D" w:rsidRPr="007B779F" w:rsidRDefault="005B5D1D" w:rsidP="007C17C6">
            <w:pPr>
              <w:jc w:val="center"/>
              <w:rPr>
                <w:rFonts w:ascii="Cambria" w:hAnsi="Cambria"/>
                <w:sz w:val="17"/>
                <w:szCs w:val="17"/>
              </w:rPr>
            </w:pPr>
            <w:r w:rsidRPr="007B779F">
              <w:rPr>
                <w:rFonts w:ascii="Cambria" w:hAnsi="Cambria"/>
                <w:sz w:val="17"/>
                <w:szCs w:val="17"/>
              </w:rPr>
              <w:t>430,61</w:t>
            </w:r>
          </w:p>
        </w:tc>
        <w:tc>
          <w:tcPr>
            <w:tcW w:w="0" w:type="auto"/>
            <w:tcBorders>
              <w:top w:val="nil"/>
              <w:left w:val="nil"/>
              <w:bottom w:val="single" w:sz="8" w:space="0" w:color="auto"/>
              <w:right w:val="nil"/>
            </w:tcBorders>
            <w:shd w:val="clear" w:color="000000" w:fill="C0E6F5"/>
            <w:noWrap/>
            <w:vAlign w:val="center"/>
            <w:hideMark/>
          </w:tcPr>
          <w:p w14:paraId="04A671BF" w14:textId="77777777" w:rsidR="005B5D1D" w:rsidRPr="007B779F" w:rsidRDefault="005B5D1D" w:rsidP="007C17C6">
            <w:pPr>
              <w:jc w:val="center"/>
              <w:rPr>
                <w:rFonts w:ascii="Cambria" w:hAnsi="Cambria"/>
                <w:sz w:val="17"/>
                <w:szCs w:val="17"/>
              </w:rPr>
            </w:pPr>
            <w:r w:rsidRPr="007B779F">
              <w:rPr>
                <w:rFonts w:ascii="Cambria" w:hAnsi="Cambria"/>
                <w:sz w:val="17"/>
                <w:szCs w:val="17"/>
              </w:rPr>
              <w:t>364,90</w:t>
            </w:r>
          </w:p>
        </w:tc>
        <w:tc>
          <w:tcPr>
            <w:tcW w:w="0" w:type="auto"/>
            <w:tcBorders>
              <w:top w:val="nil"/>
              <w:left w:val="single" w:sz="8" w:space="0" w:color="auto"/>
              <w:bottom w:val="single" w:sz="8" w:space="0" w:color="auto"/>
              <w:right w:val="single" w:sz="4" w:space="0" w:color="auto"/>
            </w:tcBorders>
            <w:shd w:val="clear" w:color="000000" w:fill="D9D9D9"/>
            <w:noWrap/>
            <w:vAlign w:val="center"/>
            <w:hideMark/>
          </w:tcPr>
          <w:p w14:paraId="00666A5B" w14:textId="77777777" w:rsidR="005B5D1D" w:rsidRPr="007B779F" w:rsidRDefault="005B5D1D" w:rsidP="007C17C6">
            <w:pPr>
              <w:jc w:val="center"/>
              <w:rPr>
                <w:rFonts w:ascii="Cambria" w:hAnsi="Cambria"/>
                <w:sz w:val="17"/>
                <w:szCs w:val="17"/>
              </w:rPr>
            </w:pPr>
            <w:r w:rsidRPr="007B779F">
              <w:rPr>
                <w:rFonts w:ascii="Cambria" w:hAnsi="Cambria"/>
                <w:sz w:val="17"/>
                <w:szCs w:val="17"/>
              </w:rPr>
              <w:t>222,36</w:t>
            </w:r>
          </w:p>
        </w:tc>
        <w:tc>
          <w:tcPr>
            <w:tcW w:w="0" w:type="auto"/>
            <w:tcBorders>
              <w:top w:val="nil"/>
              <w:left w:val="nil"/>
              <w:bottom w:val="single" w:sz="8" w:space="0" w:color="auto"/>
              <w:right w:val="single" w:sz="4" w:space="0" w:color="auto"/>
            </w:tcBorders>
            <w:shd w:val="clear" w:color="000000" w:fill="D9D9D9"/>
            <w:noWrap/>
            <w:vAlign w:val="center"/>
            <w:hideMark/>
          </w:tcPr>
          <w:p w14:paraId="740AE0D9" w14:textId="77777777" w:rsidR="005B5D1D" w:rsidRPr="007B779F" w:rsidRDefault="005B5D1D" w:rsidP="007C17C6">
            <w:pPr>
              <w:jc w:val="center"/>
              <w:rPr>
                <w:rFonts w:ascii="Cambria" w:hAnsi="Cambria"/>
                <w:sz w:val="17"/>
                <w:szCs w:val="17"/>
              </w:rPr>
            </w:pPr>
            <w:r w:rsidRPr="007B779F">
              <w:rPr>
                <w:rFonts w:ascii="Cambria" w:hAnsi="Cambria"/>
                <w:sz w:val="17"/>
                <w:szCs w:val="17"/>
              </w:rPr>
              <w:t>308,54</w:t>
            </w:r>
          </w:p>
        </w:tc>
        <w:tc>
          <w:tcPr>
            <w:tcW w:w="0" w:type="auto"/>
            <w:tcBorders>
              <w:top w:val="nil"/>
              <w:left w:val="nil"/>
              <w:bottom w:val="single" w:sz="8" w:space="0" w:color="auto"/>
              <w:right w:val="single" w:sz="8" w:space="0" w:color="auto"/>
            </w:tcBorders>
            <w:shd w:val="clear" w:color="000000" w:fill="C0E6F5"/>
            <w:noWrap/>
            <w:vAlign w:val="center"/>
            <w:hideMark/>
          </w:tcPr>
          <w:p w14:paraId="6060E316" w14:textId="77777777" w:rsidR="005B5D1D" w:rsidRPr="007B779F" w:rsidRDefault="005B5D1D" w:rsidP="007C17C6">
            <w:pPr>
              <w:jc w:val="center"/>
              <w:rPr>
                <w:rFonts w:ascii="Cambria" w:hAnsi="Cambria"/>
                <w:sz w:val="17"/>
                <w:szCs w:val="17"/>
              </w:rPr>
            </w:pPr>
            <w:r w:rsidRPr="007B779F">
              <w:rPr>
                <w:rFonts w:ascii="Cambria" w:hAnsi="Cambria"/>
                <w:sz w:val="17"/>
                <w:szCs w:val="17"/>
              </w:rPr>
              <w:t>319,70</w:t>
            </w:r>
          </w:p>
        </w:tc>
        <w:tc>
          <w:tcPr>
            <w:tcW w:w="0" w:type="auto"/>
            <w:tcBorders>
              <w:top w:val="nil"/>
              <w:left w:val="nil"/>
              <w:bottom w:val="single" w:sz="8" w:space="0" w:color="auto"/>
              <w:right w:val="single" w:sz="4" w:space="0" w:color="auto"/>
            </w:tcBorders>
            <w:shd w:val="clear" w:color="000000" w:fill="D9D9D9"/>
            <w:noWrap/>
            <w:vAlign w:val="center"/>
            <w:hideMark/>
          </w:tcPr>
          <w:p w14:paraId="7FF4ADC3" w14:textId="77777777" w:rsidR="005B5D1D" w:rsidRPr="007B779F" w:rsidRDefault="005B5D1D" w:rsidP="007C17C6">
            <w:pPr>
              <w:jc w:val="center"/>
              <w:rPr>
                <w:rFonts w:ascii="Cambria" w:hAnsi="Cambria"/>
                <w:sz w:val="17"/>
                <w:szCs w:val="17"/>
              </w:rPr>
            </w:pPr>
            <w:r w:rsidRPr="007B779F">
              <w:rPr>
                <w:rFonts w:ascii="Cambria" w:hAnsi="Cambria"/>
                <w:sz w:val="17"/>
                <w:szCs w:val="17"/>
              </w:rPr>
              <w:t>175,19</w:t>
            </w:r>
          </w:p>
        </w:tc>
        <w:tc>
          <w:tcPr>
            <w:tcW w:w="0" w:type="auto"/>
            <w:tcBorders>
              <w:top w:val="nil"/>
              <w:left w:val="nil"/>
              <w:bottom w:val="single" w:sz="8" w:space="0" w:color="auto"/>
              <w:right w:val="single" w:sz="4" w:space="0" w:color="auto"/>
            </w:tcBorders>
            <w:shd w:val="clear" w:color="000000" w:fill="D9D9D9"/>
            <w:noWrap/>
            <w:vAlign w:val="center"/>
            <w:hideMark/>
          </w:tcPr>
          <w:p w14:paraId="68BB0BD2" w14:textId="77777777" w:rsidR="005B5D1D" w:rsidRPr="007B779F" w:rsidRDefault="005B5D1D" w:rsidP="007C17C6">
            <w:pPr>
              <w:jc w:val="center"/>
              <w:rPr>
                <w:rFonts w:ascii="Cambria" w:hAnsi="Cambria"/>
                <w:sz w:val="17"/>
                <w:szCs w:val="17"/>
              </w:rPr>
            </w:pPr>
            <w:r w:rsidRPr="007B779F">
              <w:rPr>
                <w:rFonts w:ascii="Cambria" w:hAnsi="Cambria"/>
                <w:sz w:val="17"/>
                <w:szCs w:val="17"/>
              </w:rPr>
              <w:t>204,72</w:t>
            </w:r>
          </w:p>
        </w:tc>
        <w:tc>
          <w:tcPr>
            <w:tcW w:w="0" w:type="auto"/>
            <w:tcBorders>
              <w:top w:val="nil"/>
              <w:left w:val="nil"/>
              <w:bottom w:val="single" w:sz="8" w:space="0" w:color="auto"/>
              <w:right w:val="single" w:sz="8" w:space="0" w:color="auto"/>
            </w:tcBorders>
            <w:shd w:val="clear" w:color="000000" w:fill="C0E6F5"/>
            <w:noWrap/>
            <w:vAlign w:val="center"/>
            <w:hideMark/>
          </w:tcPr>
          <w:p w14:paraId="6AC16C66" w14:textId="77777777" w:rsidR="005B5D1D" w:rsidRPr="007B779F" w:rsidRDefault="005B5D1D" w:rsidP="007C17C6">
            <w:pPr>
              <w:jc w:val="center"/>
              <w:rPr>
                <w:rFonts w:ascii="Cambria" w:hAnsi="Cambria"/>
                <w:sz w:val="17"/>
                <w:szCs w:val="17"/>
              </w:rPr>
            </w:pPr>
            <w:r w:rsidRPr="007B779F">
              <w:rPr>
                <w:rFonts w:ascii="Cambria" w:hAnsi="Cambria"/>
                <w:sz w:val="17"/>
                <w:szCs w:val="17"/>
              </w:rPr>
              <w:t>368,09</w:t>
            </w:r>
          </w:p>
        </w:tc>
      </w:tr>
    </w:tbl>
    <w:p w14:paraId="59402CFC" w14:textId="77777777" w:rsidR="005B5D1D" w:rsidRPr="005B5D1D" w:rsidRDefault="005B5D1D" w:rsidP="005B5D1D">
      <w:pPr>
        <w:jc w:val="both"/>
        <w:rPr>
          <w:rFonts w:ascii="Cambria" w:hAnsi="Cambria"/>
          <w:bCs/>
          <w:sz w:val="16"/>
          <w:szCs w:val="16"/>
          <w:lang w:val="fr-FR"/>
        </w:rPr>
      </w:pPr>
      <w:r w:rsidRPr="005B5D1D">
        <w:rPr>
          <w:rFonts w:ascii="Cambria" w:hAnsi="Cambria"/>
          <w:bCs/>
          <w:sz w:val="16"/>
          <w:szCs w:val="16"/>
          <w:lang w:val="fr-FR"/>
        </w:rPr>
        <w:t>* Le volume des remises à l’eau de poissons vivants de la Namibie a été déclaré après la date limite de transmission des données, mais dont l'utilisation dans la présente réponse à la Commission a été confirmée lors de la séance plénière du SCRS. Il convient de noter que les rejets de la Namibie ne figurent dans aucun autre tableau relatif aux pêcheries du présent rapport.</w:t>
      </w:r>
    </w:p>
    <w:p w14:paraId="0E0AA30E" w14:textId="77777777" w:rsidR="005B5D1D" w:rsidRPr="005B5D1D" w:rsidRDefault="005B5D1D" w:rsidP="005B5D1D">
      <w:pPr>
        <w:jc w:val="both"/>
        <w:rPr>
          <w:rFonts w:ascii="Cambria" w:hAnsi="Cambria"/>
          <w:bCs/>
          <w:sz w:val="20"/>
          <w:szCs w:val="20"/>
          <w:lang w:val="fr-FR"/>
        </w:rPr>
      </w:pPr>
    </w:p>
    <w:p w14:paraId="491E0BF4" w14:textId="77777777" w:rsidR="005B5D1D" w:rsidRPr="005B5D1D" w:rsidRDefault="005B5D1D" w:rsidP="005B5D1D">
      <w:pPr>
        <w:jc w:val="both"/>
        <w:rPr>
          <w:rFonts w:ascii="Cambria" w:hAnsi="Cambria"/>
          <w:b/>
          <w:i/>
          <w:iCs/>
          <w:sz w:val="20"/>
          <w:szCs w:val="20"/>
          <w:lang w:val="fr-FR"/>
        </w:rPr>
      </w:pPr>
      <w:r w:rsidRPr="005B5D1D">
        <w:rPr>
          <w:rFonts w:ascii="Cambria" w:hAnsi="Cambria"/>
          <w:b/>
          <w:i/>
          <w:iCs/>
          <w:sz w:val="20"/>
          <w:szCs w:val="20"/>
          <w:lang w:val="fr-FR"/>
        </w:rPr>
        <w:t>Tolérance de rétention</w:t>
      </w:r>
    </w:p>
    <w:p w14:paraId="20BD6E81" w14:textId="77777777" w:rsidR="005B5D1D" w:rsidRPr="005B5D1D" w:rsidRDefault="005B5D1D" w:rsidP="005B5D1D">
      <w:pPr>
        <w:jc w:val="both"/>
        <w:rPr>
          <w:rFonts w:ascii="Cambria" w:hAnsi="Cambria"/>
          <w:b/>
          <w:i/>
          <w:iCs/>
          <w:sz w:val="20"/>
          <w:szCs w:val="20"/>
          <w:lang w:val="fr-FR"/>
        </w:rPr>
      </w:pPr>
    </w:p>
    <w:p w14:paraId="1E44FCB1"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En prenant en compte toutes les CPC, les estimations préliminaires du Comité étaient comme suit :</w:t>
      </w:r>
    </w:p>
    <w:p w14:paraId="579EE41F" w14:textId="77777777" w:rsidR="005B5D1D" w:rsidRPr="007B779F" w:rsidRDefault="005B5D1D" w:rsidP="005B5D1D">
      <w:pPr>
        <w:pStyle w:val="ListParagraph"/>
        <w:widowControl w:val="0"/>
        <w:numPr>
          <w:ilvl w:val="0"/>
          <w:numId w:val="3"/>
        </w:numPr>
        <w:ind w:left="851" w:hanging="425"/>
        <w:jc w:val="both"/>
        <w:rPr>
          <w:rFonts w:ascii="Cambria" w:hAnsi="Cambria"/>
          <w:bCs/>
          <w:sz w:val="20"/>
          <w:szCs w:val="20"/>
        </w:rPr>
      </w:pPr>
      <w:r w:rsidRPr="007B779F">
        <w:rPr>
          <w:rFonts w:ascii="Cambria" w:hAnsi="Cambria"/>
          <w:bCs/>
          <w:sz w:val="20"/>
          <w:szCs w:val="20"/>
        </w:rPr>
        <w:t>Capture retenue (débarquements) : 364,90 t</w:t>
      </w:r>
    </w:p>
    <w:p w14:paraId="05A26097" w14:textId="77777777" w:rsidR="005B5D1D" w:rsidRPr="007B779F" w:rsidRDefault="005B5D1D" w:rsidP="005B5D1D">
      <w:pPr>
        <w:pStyle w:val="ListParagraph"/>
        <w:widowControl w:val="0"/>
        <w:numPr>
          <w:ilvl w:val="0"/>
          <w:numId w:val="3"/>
        </w:numPr>
        <w:ind w:left="851" w:hanging="425"/>
        <w:jc w:val="both"/>
        <w:rPr>
          <w:rFonts w:ascii="Cambria" w:hAnsi="Cambria"/>
          <w:bCs/>
          <w:sz w:val="20"/>
          <w:szCs w:val="20"/>
        </w:rPr>
      </w:pPr>
      <w:r w:rsidRPr="007B779F">
        <w:rPr>
          <w:rFonts w:ascii="Cambria" w:hAnsi="Cambria"/>
          <w:bCs/>
          <w:sz w:val="20"/>
          <w:szCs w:val="20"/>
        </w:rPr>
        <w:t>Rejets morts : 319,70 t</w:t>
      </w:r>
    </w:p>
    <w:p w14:paraId="416046D7" w14:textId="77777777" w:rsidR="005B5D1D" w:rsidRPr="005B5D1D" w:rsidRDefault="005B5D1D" w:rsidP="005B5D1D">
      <w:pPr>
        <w:pStyle w:val="ListParagraph"/>
        <w:widowControl w:val="0"/>
        <w:numPr>
          <w:ilvl w:val="0"/>
          <w:numId w:val="3"/>
        </w:numPr>
        <w:ind w:left="851" w:hanging="425"/>
        <w:jc w:val="both"/>
        <w:rPr>
          <w:rFonts w:ascii="Cambria" w:hAnsi="Cambria"/>
          <w:bCs/>
          <w:sz w:val="20"/>
          <w:szCs w:val="20"/>
          <w:lang w:val="fr-FR"/>
        </w:rPr>
      </w:pPr>
      <w:r w:rsidRPr="005B5D1D">
        <w:rPr>
          <w:rFonts w:ascii="Cambria" w:hAnsi="Cambria"/>
          <w:bCs/>
          <w:sz w:val="20"/>
          <w:szCs w:val="20"/>
          <w:lang w:val="fr-FR"/>
        </w:rPr>
        <w:t>Remises à l'eau de spécimens vivants : 368,09 t</w:t>
      </w:r>
    </w:p>
    <w:p w14:paraId="258A729C" w14:textId="77777777" w:rsidR="005B5D1D" w:rsidRPr="005B5D1D" w:rsidRDefault="005B5D1D" w:rsidP="005B5D1D">
      <w:pPr>
        <w:jc w:val="both"/>
        <w:rPr>
          <w:rFonts w:ascii="Cambria" w:hAnsi="Cambria"/>
          <w:bCs/>
          <w:sz w:val="20"/>
          <w:szCs w:val="20"/>
          <w:lang w:val="fr-FR"/>
        </w:rPr>
      </w:pPr>
    </w:p>
    <w:p w14:paraId="4B5B8F9B" w14:textId="77777777" w:rsidR="005B5D1D" w:rsidRPr="007B779F" w:rsidRDefault="005B5D1D" w:rsidP="005B5D1D">
      <w:pPr>
        <w:jc w:val="both"/>
        <w:rPr>
          <w:rFonts w:ascii="Cambria" w:hAnsi="Cambria"/>
          <w:bCs/>
          <w:sz w:val="20"/>
          <w:szCs w:val="20"/>
        </w:rPr>
      </w:pPr>
      <w:r w:rsidRPr="005B5D1D">
        <w:rPr>
          <w:rFonts w:ascii="Cambria" w:hAnsi="Cambria"/>
          <w:bCs/>
          <w:sz w:val="20"/>
          <w:szCs w:val="20"/>
          <w:lang w:val="fr-FR"/>
        </w:rPr>
        <w:t xml:space="preserve">En utilisant un taux de mortalité après remise à l’eau de 29,4% (Domingo </w:t>
      </w:r>
      <w:r w:rsidRPr="005B5D1D">
        <w:rPr>
          <w:rFonts w:ascii="Cambria" w:hAnsi="Cambria"/>
          <w:bCs/>
          <w:i/>
          <w:iCs/>
          <w:sz w:val="20"/>
          <w:szCs w:val="20"/>
          <w:lang w:val="fr-FR"/>
        </w:rPr>
        <w:t>et al.</w:t>
      </w:r>
      <w:r w:rsidRPr="005B5D1D">
        <w:rPr>
          <w:rFonts w:ascii="Cambria" w:hAnsi="Cambria"/>
          <w:bCs/>
          <w:sz w:val="20"/>
          <w:szCs w:val="20"/>
          <w:lang w:val="fr-FR"/>
        </w:rPr>
        <w:t xml:space="preserve">, 2025) la « mortalité totale par pêche de toutes les sources » (la valeur nécessaire pour la </w:t>
      </w:r>
      <w:hyperlink r:id="rId70" w:history="1">
        <w:r w:rsidRPr="005B5D1D">
          <w:rPr>
            <w:rStyle w:val="Hyperlink"/>
            <w:rFonts w:ascii="Cambria" w:hAnsi="Cambria"/>
            <w:bCs/>
            <w:sz w:val="20"/>
            <w:szCs w:val="20"/>
            <w:u w:val="none"/>
            <w:lang w:val="fr-FR"/>
          </w:rPr>
          <w:t>Rec.</w:t>
        </w:r>
      </w:hyperlink>
      <w:hyperlink r:id="rId71" w:history="1">
        <w:r w:rsidRPr="005B5D1D">
          <w:rPr>
            <w:rStyle w:val="Hyperlink"/>
            <w:rFonts w:ascii="Cambria" w:hAnsi="Cambria"/>
            <w:bCs/>
            <w:sz w:val="20"/>
            <w:szCs w:val="20"/>
            <w:u w:val="none"/>
            <w:lang w:val="fr-FR"/>
          </w:rPr>
          <w:t xml:space="preserve"> </w:t>
        </w:r>
        <w:r w:rsidRPr="007B779F">
          <w:rPr>
            <w:rStyle w:val="Hyperlink"/>
            <w:rFonts w:ascii="Cambria" w:hAnsi="Cambria"/>
            <w:bCs/>
            <w:sz w:val="20"/>
            <w:szCs w:val="20"/>
            <w:u w:val="none"/>
          </w:rPr>
          <w:t>22-11</w:t>
        </w:r>
      </w:hyperlink>
      <w:r w:rsidRPr="007B779F">
        <w:rPr>
          <w:rFonts w:ascii="Cambria" w:hAnsi="Cambria"/>
          <w:bCs/>
          <w:sz w:val="20"/>
          <w:szCs w:val="20"/>
        </w:rPr>
        <w:t>, annexe 1, paragraphe 1a) pour 2025 a été estimée à 792,82 t.</w:t>
      </w:r>
    </w:p>
    <w:p w14:paraId="12A10B59" w14:textId="77777777" w:rsidR="005B5D1D" w:rsidRPr="007B779F" w:rsidRDefault="005B5D1D" w:rsidP="005B5D1D">
      <w:pPr>
        <w:jc w:val="both"/>
        <w:rPr>
          <w:rFonts w:ascii="Cambria" w:hAnsi="Cambria"/>
          <w:bCs/>
          <w:sz w:val="20"/>
          <w:szCs w:val="20"/>
        </w:rPr>
      </w:pPr>
    </w:p>
    <w:p w14:paraId="473D073C" w14:textId="77777777" w:rsidR="005B5D1D" w:rsidRPr="005B5D1D" w:rsidRDefault="005B5D1D" w:rsidP="005B5D1D">
      <w:pPr>
        <w:jc w:val="both"/>
        <w:rPr>
          <w:rFonts w:ascii="Cambria" w:hAnsi="Cambria"/>
          <w:bCs/>
          <w:sz w:val="20"/>
          <w:szCs w:val="20"/>
          <w:lang w:val="fr-FR"/>
        </w:rPr>
      </w:pPr>
      <w:r w:rsidRPr="005B5D1D">
        <w:rPr>
          <w:rFonts w:ascii="Cambria" w:hAnsi="Cambria"/>
          <w:sz w:val="20"/>
          <w:szCs w:val="20"/>
          <w:lang w:val="fr-FR"/>
        </w:rPr>
        <w:t xml:space="preserve">Conformément à l’Annexe </w:t>
      </w:r>
      <w:r w:rsidRPr="005B5D1D">
        <w:rPr>
          <w:rFonts w:ascii="Cambria" w:hAnsi="Cambria"/>
          <w:bCs/>
          <w:sz w:val="20"/>
          <w:szCs w:val="20"/>
          <w:lang w:val="fr-FR"/>
        </w:rPr>
        <w:t xml:space="preserve">1 de la </w:t>
      </w:r>
      <w:hyperlink r:id="rId72" w:history="1">
        <w:r w:rsidRPr="005B5D1D">
          <w:rPr>
            <w:rStyle w:val="Hyperlink"/>
            <w:rFonts w:ascii="Cambria" w:hAnsi="Cambria"/>
            <w:bCs/>
            <w:sz w:val="20"/>
            <w:szCs w:val="20"/>
            <w:u w:val="none"/>
            <w:lang w:val="fr-FR"/>
          </w:rPr>
          <w:t>Rec.</w:t>
        </w:r>
      </w:hyperlink>
      <w:hyperlink r:id="rId73" w:history="1">
        <w:r w:rsidRPr="005B5D1D">
          <w:rPr>
            <w:rStyle w:val="Hyperlink"/>
            <w:rFonts w:ascii="Cambria" w:hAnsi="Cambria"/>
            <w:bCs/>
            <w:sz w:val="20"/>
            <w:szCs w:val="20"/>
            <w:u w:val="none"/>
            <w:lang w:val="fr-FR"/>
          </w:rPr>
          <w:t xml:space="preserve"> 25-08</w:t>
        </w:r>
      </w:hyperlink>
      <w:r w:rsidRPr="005B5D1D">
        <w:rPr>
          <w:rFonts w:ascii="Cambria" w:hAnsi="Cambria"/>
          <w:bCs/>
          <w:sz w:val="20"/>
          <w:szCs w:val="20"/>
          <w:lang w:val="fr-FR"/>
        </w:rPr>
        <w:t>, si la mortalité par pêche totale estimée pour l'année précédente (Y-1) est inférieure à la limite de mortalité établie au paragraphe 3 (à savoir 1.000 tonnes), la rétention de Y+1 devra être autorisée.</w:t>
      </w:r>
    </w:p>
    <w:p w14:paraId="0B4B6197" w14:textId="77777777" w:rsidR="005B5D1D" w:rsidRPr="005B5D1D" w:rsidRDefault="005B5D1D" w:rsidP="005B5D1D">
      <w:pPr>
        <w:jc w:val="both"/>
        <w:rPr>
          <w:rFonts w:ascii="Cambria" w:hAnsi="Cambria"/>
          <w:bCs/>
          <w:sz w:val="20"/>
          <w:szCs w:val="20"/>
          <w:lang w:val="fr-FR"/>
        </w:rPr>
      </w:pPr>
    </w:p>
    <w:p w14:paraId="65EB9AB2"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 xml:space="preserve">Mortalité par pêche totale en 2025 : 792,82 t. La tolérance de rétention des prises accessoires mortes (ci-après dénommées « tolérance de rétention ») pour 2027 est dès lors de 1.000 t. </w:t>
      </w:r>
    </w:p>
    <w:p w14:paraId="1A9A8B63" w14:textId="77777777" w:rsidR="005B5D1D" w:rsidRPr="005B5D1D" w:rsidRDefault="005B5D1D" w:rsidP="005B5D1D">
      <w:pPr>
        <w:jc w:val="both"/>
        <w:rPr>
          <w:rFonts w:ascii="Cambria" w:hAnsi="Cambria"/>
          <w:bCs/>
          <w:sz w:val="20"/>
          <w:szCs w:val="20"/>
          <w:lang w:val="fr-FR"/>
        </w:rPr>
      </w:pPr>
    </w:p>
    <w:p w14:paraId="35E21DF2"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Afin d'estimer la tolérance de rétention à répartir entre les CPC pour l'année 2027, la mortalité par pêche de l'année 2025 (rejets morts et spécimens remis à l'eau vivants avec une valeur de mortalité suivant la remise à l'eau, à l'exclusion des débarquements) devra être soustraite de la mortalité totale convenue dans cette mesure (soit 1.000 tonnes). Le volume qui en résulte devra être dénommé « tolérance de rétention de prises accessoires mortes » (ci-après « tolérance de rétention ») pour l’année 2027.</w:t>
      </w:r>
    </w:p>
    <w:p w14:paraId="3EA3A39B" w14:textId="77777777" w:rsidR="005B5D1D" w:rsidRPr="005B5D1D" w:rsidRDefault="005B5D1D" w:rsidP="005B5D1D">
      <w:pPr>
        <w:jc w:val="both"/>
        <w:rPr>
          <w:rFonts w:ascii="Cambria" w:hAnsi="Cambria"/>
          <w:bCs/>
          <w:sz w:val="20"/>
          <w:szCs w:val="20"/>
          <w:lang w:val="fr-FR"/>
        </w:rPr>
      </w:pPr>
    </w:p>
    <w:p w14:paraId="26C85138"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Mortalité par pêche 2025 = Rejets morts + (spécimens remis à l'eau vivants * PRM)</w:t>
      </w:r>
    </w:p>
    <w:p w14:paraId="6DE09800"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Mortalité par pêche 2025 = 319,70 + (368,09 * PRM)</w:t>
      </w:r>
    </w:p>
    <w:p w14:paraId="5C341CDA"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Mortalité par pêche 2025 = 319,70 + (108,22)</w:t>
      </w:r>
    </w:p>
    <w:p w14:paraId="5643C3EA"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Mortalité par pêche 2025 = (427,92)</w:t>
      </w:r>
    </w:p>
    <w:p w14:paraId="00BFD75B" w14:textId="77777777" w:rsidR="005B5D1D" w:rsidRPr="005B5D1D" w:rsidRDefault="005B5D1D" w:rsidP="005B5D1D">
      <w:pPr>
        <w:jc w:val="both"/>
        <w:rPr>
          <w:rFonts w:ascii="Cambria" w:hAnsi="Cambria"/>
          <w:bCs/>
          <w:sz w:val="20"/>
          <w:szCs w:val="20"/>
          <w:lang w:val="fr-FR"/>
        </w:rPr>
      </w:pPr>
    </w:p>
    <w:p w14:paraId="5AB56E63"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Tolérance de rétention 2027 = 1.000 – Mortalité par pêche 2025</w:t>
      </w:r>
    </w:p>
    <w:p w14:paraId="7D58ABDF"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Tolérance de rétention 2027 = 1.000 –427,92 t</w:t>
      </w:r>
    </w:p>
    <w:p w14:paraId="4DC6827F"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Tolérance de rétention 2027 = 572,08 t</w:t>
      </w:r>
    </w:p>
    <w:p w14:paraId="53891EF9" w14:textId="77777777" w:rsidR="005B5D1D" w:rsidRPr="005B5D1D" w:rsidRDefault="005B5D1D" w:rsidP="005B5D1D">
      <w:pPr>
        <w:jc w:val="both"/>
        <w:rPr>
          <w:rFonts w:ascii="Cambria" w:hAnsi="Cambria"/>
          <w:bCs/>
          <w:sz w:val="20"/>
          <w:szCs w:val="20"/>
          <w:lang w:val="fr-FR"/>
        </w:rPr>
      </w:pPr>
    </w:p>
    <w:p w14:paraId="4E761252"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Si la rétention est autorisée, la tolérance de rétention pour chaque CPC sera calculée selon la formule suivante :</w:t>
      </w:r>
    </w:p>
    <w:p w14:paraId="22A9A1CB" w14:textId="77777777" w:rsidR="005B5D1D" w:rsidRPr="005B5D1D" w:rsidRDefault="005B5D1D" w:rsidP="005B5D1D">
      <w:pPr>
        <w:jc w:val="both"/>
        <w:rPr>
          <w:rFonts w:ascii="Cambria" w:hAnsi="Cambria"/>
          <w:bCs/>
          <w:sz w:val="20"/>
          <w:szCs w:val="20"/>
          <w:lang w:val="fr-FR"/>
        </w:rPr>
      </w:pPr>
    </w:p>
    <w:p w14:paraId="60B09F98" w14:textId="77777777" w:rsidR="005B5D1D" w:rsidRPr="005B5D1D" w:rsidRDefault="005B5D1D" w:rsidP="005B5D1D">
      <w:pPr>
        <w:jc w:val="both"/>
        <w:rPr>
          <w:rFonts w:ascii="Cambria" w:hAnsi="Cambria"/>
          <w:bCs/>
          <w:sz w:val="20"/>
          <w:szCs w:val="20"/>
          <w:lang w:val="fr-FR"/>
        </w:rPr>
      </w:pPr>
    </w:p>
    <w:p w14:paraId="72E7628E" w14:textId="77777777" w:rsidR="005B5D1D" w:rsidRPr="007B779F" w:rsidRDefault="005B5D1D" w:rsidP="005B5D1D">
      <w:pPr>
        <w:jc w:val="both"/>
        <w:rPr>
          <w:rFonts w:ascii="Cambria" w:hAnsi="Cambria"/>
          <w:bCs/>
          <w:sz w:val="20"/>
          <w:szCs w:val="20"/>
        </w:rPr>
      </w:pPr>
      <m:oMathPara>
        <m:oMath>
          <m:r>
            <w:rPr>
              <w:rFonts w:ascii="Cambria Math" w:hAnsi="Cambria Math" w:cs="Cambria Math"/>
              <w:sz w:val="20"/>
              <w:szCs w:val="20"/>
            </w:rPr>
            <m:t>Tolérance de rétention des CPC individuelles  (t)</m:t>
          </m:r>
          <m:r>
            <m:rPr>
              <m:sty m:val="p"/>
            </m:rPr>
            <w:rPr>
              <w:rFonts w:ascii="Cambria Math" w:hAnsi="Cambria Math" w:cs="Cambria Math"/>
              <w:sz w:val="20"/>
              <w:szCs w:val="20"/>
            </w:rPr>
            <m:t>=</m:t>
          </m:r>
          <m:f>
            <m:fPr>
              <m:ctrlPr>
                <w:rPr>
                  <w:rFonts w:ascii="Cambria Math" w:hAnsi="Cambria Math"/>
                  <w:bCs/>
                  <w:sz w:val="20"/>
                  <w:szCs w:val="20"/>
                </w:rPr>
              </m:ctrlPr>
            </m:fPr>
            <m:num>
              <m:d>
                <m:dPr>
                  <m:ctrlPr>
                    <w:rPr>
                      <w:rFonts w:ascii="Cambria Math" w:hAnsi="Cambria Math" w:cs="Cambria Math"/>
                      <w:bCs/>
                      <w:sz w:val="20"/>
                      <w:szCs w:val="20"/>
                    </w:rPr>
                  </m:ctrlPr>
                </m:dPr>
                <m:e>
                  <m:r>
                    <m:rPr>
                      <m:sty m:val="p"/>
                    </m:rPr>
                    <w:rPr>
                      <w:rFonts w:ascii="Cambria Math" w:hAnsi="Cambria Math" w:cs="Cambria Math"/>
                      <w:sz w:val="20"/>
                      <w:szCs w:val="20"/>
                    </w:rPr>
                    <m:t>captures annuelles moyennes des CPC de 2013 à 2016</m:t>
                  </m:r>
                </m:e>
              </m:d>
              <m:r>
                <m:rPr>
                  <m:sty m:val="p"/>
                </m:rPr>
                <w:rPr>
                  <w:rFonts w:ascii="Cambria Math" w:hAnsi="Cambria Math" w:cs="Cambria Math"/>
                  <w:sz w:val="20"/>
                  <w:szCs w:val="20"/>
                </w:rPr>
                <m:t xml:space="preserve"> x (tolérance de rétention )</m:t>
              </m:r>
            </m:num>
            <m:den>
              <m:r>
                <m:rPr>
                  <m:sty m:val="p"/>
                </m:rPr>
                <w:rPr>
                  <w:rFonts w:ascii="Cambria Math" w:hAnsi="Cambria Math" w:cs="Cambria Math"/>
                  <w:sz w:val="20"/>
                  <w:szCs w:val="20"/>
                </w:rPr>
                <m:t>Captures totales moyennes de l’ICCAT de 2013-2016</m:t>
              </m:r>
            </m:den>
          </m:f>
        </m:oMath>
      </m:oMathPara>
    </w:p>
    <w:p w14:paraId="31BCE7B5" w14:textId="77777777" w:rsidR="005B5D1D" w:rsidRPr="007B779F" w:rsidRDefault="005B5D1D" w:rsidP="005B5D1D">
      <w:pPr>
        <w:jc w:val="both"/>
        <w:rPr>
          <w:rFonts w:ascii="Cambria" w:hAnsi="Cambria"/>
          <w:bCs/>
          <w:sz w:val="20"/>
          <w:szCs w:val="20"/>
        </w:rPr>
      </w:pPr>
    </w:p>
    <w:p w14:paraId="3711E9FD" w14:textId="77777777" w:rsidR="005B5D1D" w:rsidRPr="007B779F" w:rsidRDefault="005B5D1D" w:rsidP="005B5D1D">
      <w:pPr>
        <w:jc w:val="both"/>
        <w:rPr>
          <w:rFonts w:ascii="Cambria" w:hAnsi="Cambria"/>
          <w:bCs/>
          <w:sz w:val="20"/>
          <w:szCs w:val="20"/>
        </w:rPr>
      </w:pPr>
    </w:p>
    <w:p w14:paraId="454A6394" w14:textId="77777777" w:rsidR="005B5D1D" w:rsidRPr="005B5D1D" w:rsidRDefault="005B5D1D" w:rsidP="005B5D1D">
      <w:pPr>
        <w:jc w:val="both"/>
        <w:rPr>
          <w:rFonts w:ascii="Cambria" w:hAnsi="Cambria"/>
          <w:bCs/>
          <w:sz w:val="20"/>
          <w:szCs w:val="20"/>
          <w:lang w:val="fr-FR"/>
        </w:rPr>
      </w:pPr>
      <w:r w:rsidRPr="005B5D1D">
        <w:rPr>
          <w:rFonts w:ascii="Cambria" w:hAnsi="Cambria"/>
          <w:bCs/>
          <w:sz w:val="20"/>
          <w:szCs w:val="20"/>
          <w:lang w:val="fr-FR"/>
        </w:rPr>
        <w:t>La tolérance de rétention des CPC individuelles pour 2027 serait comme suit :</w:t>
      </w:r>
    </w:p>
    <w:p w14:paraId="51DB0858" w14:textId="77777777" w:rsidR="005B5D1D" w:rsidRPr="005B5D1D" w:rsidRDefault="005B5D1D" w:rsidP="005B5D1D">
      <w:pPr>
        <w:jc w:val="both"/>
        <w:rPr>
          <w:rFonts w:ascii="Cambria" w:hAnsi="Cambria"/>
          <w:bCs/>
          <w:sz w:val="20"/>
          <w:szCs w:val="20"/>
          <w:lang w:val="fr-FR"/>
        </w:rPr>
      </w:pPr>
    </w:p>
    <w:tbl>
      <w:tblPr>
        <w:tblW w:w="4420" w:type="dxa"/>
        <w:tblInd w:w="2258" w:type="dxa"/>
        <w:tblLook w:val="04A0" w:firstRow="1" w:lastRow="0" w:firstColumn="1" w:lastColumn="0" w:noHBand="0" w:noVBand="1"/>
      </w:tblPr>
      <w:tblGrid>
        <w:gridCol w:w="1860"/>
        <w:gridCol w:w="2560"/>
      </w:tblGrid>
      <w:tr w:rsidR="005B5D1D" w:rsidRPr="005B5D1D" w14:paraId="50DF06FD" w14:textId="77777777" w:rsidTr="007C17C6">
        <w:trPr>
          <w:trHeight w:val="828"/>
          <w:tblHeader/>
        </w:trPr>
        <w:tc>
          <w:tcPr>
            <w:tcW w:w="1860" w:type="dxa"/>
            <w:tcBorders>
              <w:top w:val="single" w:sz="8" w:space="0" w:color="auto"/>
              <w:left w:val="single" w:sz="8" w:space="0" w:color="auto"/>
              <w:bottom w:val="single" w:sz="8" w:space="0" w:color="auto"/>
              <w:right w:val="nil"/>
            </w:tcBorders>
            <w:shd w:val="clear" w:color="000000" w:fill="D9D9D9"/>
            <w:noWrap/>
            <w:vAlign w:val="center"/>
            <w:hideMark/>
          </w:tcPr>
          <w:p w14:paraId="5ADC012B" w14:textId="77777777" w:rsidR="005B5D1D" w:rsidRPr="007B779F" w:rsidRDefault="005B5D1D" w:rsidP="007C17C6">
            <w:pPr>
              <w:jc w:val="center"/>
              <w:rPr>
                <w:rFonts w:ascii="Cambria" w:hAnsi="Cambria"/>
                <w:b/>
                <w:bCs/>
                <w:color w:val="000000"/>
                <w:sz w:val="20"/>
                <w:szCs w:val="20"/>
              </w:rPr>
            </w:pPr>
            <w:r w:rsidRPr="007B779F">
              <w:rPr>
                <w:rFonts w:ascii="Cambria" w:hAnsi="Cambria"/>
                <w:b/>
                <w:bCs/>
                <w:color w:val="000000"/>
                <w:sz w:val="20"/>
                <w:szCs w:val="20"/>
              </w:rPr>
              <w:t>CPC</w:t>
            </w:r>
          </w:p>
        </w:tc>
        <w:tc>
          <w:tcPr>
            <w:tcW w:w="256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4525A95C" w14:textId="77777777" w:rsidR="005B5D1D" w:rsidRPr="005B5D1D" w:rsidRDefault="005B5D1D" w:rsidP="007C17C6">
            <w:pPr>
              <w:jc w:val="center"/>
              <w:rPr>
                <w:rFonts w:ascii="Cambria" w:hAnsi="Cambria"/>
                <w:b/>
                <w:bCs/>
                <w:color w:val="000000"/>
                <w:sz w:val="20"/>
                <w:szCs w:val="20"/>
                <w:lang w:val="fr-FR"/>
              </w:rPr>
            </w:pPr>
            <w:r w:rsidRPr="005B5D1D">
              <w:rPr>
                <w:rFonts w:ascii="Cambria" w:hAnsi="Cambria"/>
                <w:b/>
                <w:bCs/>
                <w:color w:val="000000"/>
                <w:sz w:val="20"/>
                <w:szCs w:val="20"/>
                <w:lang w:val="fr-FR"/>
              </w:rPr>
              <w:t>Tolérance de rétention individuelle en 2027</w:t>
            </w:r>
          </w:p>
        </w:tc>
      </w:tr>
      <w:tr w:rsidR="005B5D1D" w:rsidRPr="007B779F" w14:paraId="64246976"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171BE637"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Angola</w:t>
            </w:r>
          </w:p>
        </w:tc>
        <w:tc>
          <w:tcPr>
            <w:tcW w:w="2560" w:type="dxa"/>
            <w:tcBorders>
              <w:top w:val="nil"/>
              <w:left w:val="single" w:sz="8" w:space="0" w:color="auto"/>
              <w:bottom w:val="single" w:sz="4" w:space="0" w:color="auto"/>
              <w:right w:val="single" w:sz="8" w:space="0" w:color="auto"/>
            </w:tcBorders>
            <w:noWrap/>
            <w:vAlign w:val="center"/>
            <w:hideMark/>
          </w:tcPr>
          <w:p w14:paraId="245B7857"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r>
      <w:tr w:rsidR="005B5D1D" w:rsidRPr="007B779F" w14:paraId="4ABF842A"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63EEB51F"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Belize</w:t>
            </w:r>
          </w:p>
        </w:tc>
        <w:tc>
          <w:tcPr>
            <w:tcW w:w="2560" w:type="dxa"/>
            <w:tcBorders>
              <w:top w:val="nil"/>
              <w:left w:val="single" w:sz="8" w:space="0" w:color="auto"/>
              <w:bottom w:val="single" w:sz="4" w:space="0" w:color="auto"/>
              <w:right w:val="single" w:sz="8" w:space="0" w:color="auto"/>
            </w:tcBorders>
            <w:noWrap/>
            <w:vAlign w:val="center"/>
            <w:hideMark/>
          </w:tcPr>
          <w:p w14:paraId="57A75D9F"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5,82</w:t>
            </w:r>
          </w:p>
        </w:tc>
      </w:tr>
      <w:tr w:rsidR="005B5D1D" w:rsidRPr="007B779F" w14:paraId="2E75914F"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303E0C36"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lastRenderedPageBreak/>
              <w:t>Brésil</w:t>
            </w:r>
          </w:p>
        </w:tc>
        <w:tc>
          <w:tcPr>
            <w:tcW w:w="2560" w:type="dxa"/>
            <w:tcBorders>
              <w:top w:val="nil"/>
              <w:left w:val="single" w:sz="8" w:space="0" w:color="auto"/>
              <w:bottom w:val="single" w:sz="4" w:space="0" w:color="auto"/>
              <w:right w:val="single" w:sz="8" w:space="0" w:color="auto"/>
            </w:tcBorders>
            <w:noWrap/>
            <w:vAlign w:val="center"/>
            <w:hideMark/>
          </w:tcPr>
          <w:p w14:paraId="57673BFF"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41,19</w:t>
            </w:r>
          </w:p>
        </w:tc>
      </w:tr>
      <w:tr w:rsidR="005B5D1D" w:rsidRPr="007B779F" w14:paraId="64909950"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6F545E36"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Chine, Rép. pop.</w:t>
            </w:r>
          </w:p>
        </w:tc>
        <w:tc>
          <w:tcPr>
            <w:tcW w:w="2560" w:type="dxa"/>
            <w:tcBorders>
              <w:top w:val="nil"/>
              <w:left w:val="single" w:sz="8" w:space="0" w:color="auto"/>
              <w:bottom w:val="single" w:sz="4" w:space="0" w:color="auto"/>
              <w:right w:val="single" w:sz="8" w:space="0" w:color="auto"/>
            </w:tcBorders>
            <w:noWrap/>
            <w:vAlign w:val="center"/>
            <w:hideMark/>
          </w:tcPr>
          <w:p w14:paraId="12AF27A5"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1,28</w:t>
            </w:r>
          </w:p>
        </w:tc>
      </w:tr>
      <w:tr w:rsidR="005B5D1D" w:rsidRPr="007B779F" w14:paraId="0FD89020"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1A5690FE"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Taipei chinois</w:t>
            </w:r>
          </w:p>
        </w:tc>
        <w:tc>
          <w:tcPr>
            <w:tcW w:w="2560" w:type="dxa"/>
            <w:tcBorders>
              <w:top w:val="nil"/>
              <w:left w:val="single" w:sz="8" w:space="0" w:color="auto"/>
              <w:bottom w:val="single" w:sz="4" w:space="0" w:color="auto"/>
              <w:right w:val="single" w:sz="8" w:space="0" w:color="auto"/>
            </w:tcBorders>
            <w:noWrap/>
            <w:vAlign w:val="center"/>
            <w:hideMark/>
          </w:tcPr>
          <w:p w14:paraId="06052E94"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27,78</w:t>
            </w:r>
          </w:p>
        </w:tc>
      </w:tr>
      <w:tr w:rsidR="005B5D1D" w:rsidRPr="007B779F" w14:paraId="3258DC8D"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021DE37C"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Côte d'Ivoire</w:t>
            </w:r>
          </w:p>
        </w:tc>
        <w:tc>
          <w:tcPr>
            <w:tcW w:w="2560" w:type="dxa"/>
            <w:tcBorders>
              <w:top w:val="nil"/>
              <w:left w:val="single" w:sz="8" w:space="0" w:color="auto"/>
              <w:bottom w:val="single" w:sz="4" w:space="0" w:color="auto"/>
              <w:right w:val="single" w:sz="8" w:space="0" w:color="auto"/>
            </w:tcBorders>
            <w:noWrap/>
            <w:vAlign w:val="center"/>
            <w:hideMark/>
          </w:tcPr>
          <w:p w14:paraId="4FACC6F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3,75</w:t>
            </w:r>
          </w:p>
        </w:tc>
      </w:tr>
      <w:tr w:rsidR="005B5D1D" w:rsidRPr="007B779F" w14:paraId="3FCFDB10"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1611E544"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Curaçao</w:t>
            </w:r>
          </w:p>
        </w:tc>
        <w:tc>
          <w:tcPr>
            <w:tcW w:w="2560" w:type="dxa"/>
            <w:tcBorders>
              <w:top w:val="nil"/>
              <w:left w:val="single" w:sz="8" w:space="0" w:color="auto"/>
              <w:bottom w:val="single" w:sz="4" w:space="0" w:color="auto"/>
              <w:right w:val="single" w:sz="8" w:space="0" w:color="auto"/>
            </w:tcBorders>
            <w:noWrap/>
            <w:vAlign w:val="center"/>
            <w:hideMark/>
          </w:tcPr>
          <w:p w14:paraId="47952597"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r>
      <w:tr w:rsidR="005B5D1D" w:rsidRPr="007B779F" w14:paraId="44E85910"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2413BA0C"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El Salvador</w:t>
            </w:r>
          </w:p>
        </w:tc>
        <w:tc>
          <w:tcPr>
            <w:tcW w:w="2560" w:type="dxa"/>
            <w:tcBorders>
              <w:top w:val="nil"/>
              <w:left w:val="single" w:sz="8" w:space="0" w:color="auto"/>
              <w:bottom w:val="single" w:sz="4" w:space="0" w:color="auto"/>
              <w:right w:val="single" w:sz="8" w:space="0" w:color="auto"/>
            </w:tcBorders>
            <w:noWrap/>
            <w:vAlign w:val="center"/>
            <w:hideMark/>
          </w:tcPr>
          <w:p w14:paraId="23D531E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r>
      <w:tr w:rsidR="005B5D1D" w:rsidRPr="007B779F" w14:paraId="661D0A56"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20AD951A"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Union européenne</w:t>
            </w:r>
          </w:p>
        </w:tc>
        <w:tc>
          <w:tcPr>
            <w:tcW w:w="2560" w:type="dxa"/>
            <w:tcBorders>
              <w:top w:val="nil"/>
              <w:left w:val="single" w:sz="8" w:space="0" w:color="auto"/>
              <w:bottom w:val="single" w:sz="4" w:space="0" w:color="auto"/>
              <w:right w:val="single" w:sz="8" w:space="0" w:color="auto"/>
            </w:tcBorders>
            <w:noWrap/>
            <w:vAlign w:val="center"/>
            <w:hideMark/>
          </w:tcPr>
          <w:p w14:paraId="3E3DDB9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231,01</w:t>
            </w:r>
          </w:p>
        </w:tc>
      </w:tr>
      <w:tr w:rsidR="005B5D1D" w:rsidRPr="007B779F" w14:paraId="3A20C90D"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03227C15"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Ghana</w:t>
            </w:r>
          </w:p>
        </w:tc>
        <w:tc>
          <w:tcPr>
            <w:tcW w:w="2560" w:type="dxa"/>
            <w:tcBorders>
              <w:top w:val="nil"/>
              <w:left w:val="single" w:sz="8" w:space="0" w:color="auto"/>
              <w:bottom w:val="single" w:sz="4" w:space="0" w:color="auto"/>
              <w:right w:val="single" w:sz="8" w:space="0" w:color="auto"/>
            </w:tcBorders>
            <w:noWrap/>
            <w:vAlign w:val="center"/>
            <w:hideMark/>
          </w:tcPr>
          <w:p w14:paraId="5CFEE84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r>
      <w:tr w:rsidR="005B5D1D" w:rsidRPr="007B779F" w14:paraId="284F88AD"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16CDD47D"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Guatemala</w:t>
            </w:r>
          </w:p>
        </w:tc>
        <w:tc>
          <w:tcPr>
            <w:tcW w:w="2560" w:type="dxa"/>
            <w:tcBorders>
              <w:top w:val="nil"/>
              <w:left w:val="single" w:sz="8" w:space="0" w:color="auto"/>
              <w:bottom w:val="single" w:sz="4" w:space="0" w:color="auto"/>
              <w:right w:val="single" w:sz="8" w:space="0" w:color="auto"/>
            </w:tcBorders>
            <w:noWrap/>
            <w:vAlign w:val="center"/>
            <w:hideMark/>
          </w:tcPr>
          <w:p w14:paraId="715D6DF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r>
      <w:tr w:rsidR="005B5D1D" w:rsidRPr="007B779F" w14:paraId="2740E8AC"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0E3B0B53"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Japon</w:t>
            </w:r>
          </w:p>
        </w:tc>
        <w:tc>
          <w:tcPr>
            <w:tcW w:w="2560" w:type="dxa"/>
            <w:tcBorders>
              <w:top w:val="nil"/>
              <w:left w:val="single" w:sz="8" w:space="0" w:color="auto"/>
              <w:bottom w:val="single" w:sz="4" w:space="0" w:color="auto"/>
              <w:right w:val="single" w:sz="8" w:space="0" w:color="auto"/>
            </w:tcBorders>
            <w:noWrap/>
            <w:vAlign w:val="center"/>
            <w:hideMark/>
          </w:tcPr>
          <w:p w14:paraId="0A2E24A8"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23,64</w:t>
            </w:r>
          </w:p>
        </w:tc>
      </w:tr>
      <w:tr w:rsidR="005B5D1D" w:rsidRPr="007B779F" w14:paraId="6F84121A"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002AC556"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Corée (Rép.)</w:t>
            </w:r>
          </w:p>
        </w:tc>
        <w:tc>
          <w:tcPr>
            <w:tcW w:w="2560" w:type="dxa"/>
            <w:tcBorders>
              <w:top w:val="nil"/>
              <w:left w:val="single" w:sz="8" w:space="0" w:color="auto"/>
              <w:bottom w:val="single" w:sz="4" w:space="0" w:color="auto"/>
              <w:right w:val="single" w:sz="8" w:space="0" w:color="auto"/>
            </w:tcBorders>
            <w:noWrap/>
            <w:vAlign w:val="center"/>
            <w:hideMark/>
          </w:tcPr>
          <w:p w14:paraId="03E12639"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1,62</w:t>
            </w:r>
          </w:p>
        </w:tc>
      </w:tr>
      <w:tr w:rsidR="005B5D1D" w:rsidRPr="007B779F" w14:paraId="10B369A3"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38B75CE7"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Namibie</w:t>
            </w:r>
          </w:p>
        </w:tc>
        <w:tc>
          <w:tcPr>
            <w:tcW w:w="2560" w:type="dxa"/>
            <w:tcBorders>
              <w:top w:val="nil"/>
              <w:left w:val="single" w:sz="8" w:space="0" w:color="auto"/>
              <w:bottom w:val="single" w:sz="4" w:space="0" w:color="auto"/>
              <w:right w:val="single" w:sz="8" w:space="0" w:color="auto"/>
            </w:tcBorders>
            <w:noWrap/>
            <w:vAlign w:val="center"/>
            <w:hideMark/>
          </w:tcPr>
          <w:p w14:paraId="6D73DB5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149,95</w:t>
            </w:r>
          </w:p>
        </w:tc>
      </w:tr>
      <w:tr w:rsidR="005B5D1D" w:rsidRPr="007B779F" w14:paraId="1C02E889"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4DE84697"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Panama</w:t>
            </w:r>
          </w:p>
        </w:tc>
        <w:tc>
          <w:tcPr>
            <w:tcW w:w="2560" w:type="dxa"/>
            <w:tcBorders>
              <w:top w:val="nil"/>
              <w:left w:val="single" w:sz="8" w:space="0" w:color="auto"/>
              <w:bottom w:val="single" w:sz="4" w:space="0" w:color="auto"/>
              <w:right w:val="single" w:sz="8" w:space="0" w:color="auto"/>
            </w:tcBorders>
            <w:noWrap/>
            <w:vAlign w:val="center"/>
            <w:hideMark/>
          </w:tcPr>
          <w:p w14:paraId="62E8E76B"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0.00</w:t>
            </w:r>
          </w:p>
        </w:tc>
      </w:tr>
      <w:tr w:rsidR="005B5D1D" w:rsidRPr="007B779F" w14:paraId="44AB98BF"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369FA27E"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Philippines</w:t>
            </w:r>
          </w:p>
        </w:tc>
        <w:tc>
          <w:tcPr>
            <w:tcW w:w="2560" w:type="dxa"/>
            <w:tcBorders>
              <w:top w:val="nil"/>
              <w:left w:val="single" w:sz="8" w:space="0" w:color="auto"/>
              <w:bottom w:val="single" w:sz="4" w:space="0" w:color="auto"/>
              <w:right w:val="single" w:sz="8" w:space="0" w:color="auto"/>
            </w:tcBorders>
            <w:noWrap/>
            <w:vAlign w:val="center"/>
            <w:hideMark/>
          </w:tcPr>
          <w:p w14:paraId="252983A2"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1,79</w:t>
            </w:r>
          </w:p>
        </w:tc>
      </w:tr>
      <w:tr w:rsidR="005B5D1D" w:rsidRPr="007B779F" w14:paraId="35CFB651"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060FA863"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Sénégal</w:t>
            </w:r>
          </w:p>
        </w:tc>
        <w:tc>
          <w:tcPr>
            <w:tcW w:w="2560" w:type="dxa"/>
            <w:tcBorders>
              <w:top w:val="nil"/>
              <w:left w:val="single" w:sz="8" w:space="0" w:color="auto"/>
              <w:bottom w:val="single" w:sz="4" w:space="0" w:color="auto"/>
              <w:right w:val="single" w:sz="8" w:space="0" w:color="auto"/>
            </w:tcBorders>
            <w:noWrap/>
            <w:vAlign w:val="center"/>
            <w:hideMark/>
          </w:tcPr>
          <w:p w14:paraId="21BB9F01"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1,94</w:t>
            </w:r>
          </w:p>
        </w:tc>
      </w:tr>
      <w:tr w:rsidR="005B5D1D" w:rsidRPr="007B779F" w14:paraId="5052C8D0"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7C9209CE"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Afrique du Sud</w:t>
            </w:r>
          </w:p>
        </w:tc>
        <w:tc>
          <w:tcPr>
            <w:tcW w:w="2560" w:type="dxa"/>
            <w:tcBorders>
              <w:top w:val="nil"/>
              <w:left w:val="single" w:sz="8" w:space="0" w:color="auto"/>
              <w:bottom w:val="single" w:sz="4" w:space="0" w:color="auto"/>
              <w:right w:val="single" w:sz="8" w:space="0" w:color="auto"/>
            </w:tcBorders>
            <w:noWrap/>
            <w:vAlign w:val="center"/>
            <w:hideMark/>
          </w:tcPr>
          <w:p w14:paraId="098F0F83"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82,21</w:t>
            </w:r>
          </w:p>
        </w:tc>
      </w:tr>
      <w:tr w:rsidR="005B5D1D" w:rsidRPr="007B779F" w14:paraId="67168DF5" w14:textId="77777777" w:rsidTr="007C17C6">
        <w:trPr>
          <w:trHeight w:val="420"/>
        </w:trPr>
        <w:tc>
          <w:tcPr>
            <w:tcW w:w="1860" w:type="dxa"/>
            <w:tcBorders>
              <w:top w:val="nil"/>
              <w:left w:val="single" w:sz="8" w:space="0" w:color="auto"/>
              <w:bottom w:val="single" w:sz="4" w:space="0" w:color="auto"/>
              <w:right w:val="nil"/>
            </w:tcBorders>
            <w:noWrap/>
            <w:vAlign w:val="center"/>
            <w:hideMark/>
          </w:tcPr>
          <w:p w14:paraId="12EEC48F"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RU-Sainte Hélène</w:t>
            </w:r>
          </w:p>
        </w:tc>
        <w:tc>
          <w:tcPr>
            <w:tcW w:w="2560" w:type="dxa"/>
            <w:tcBorders>
              <w:top w:val="nil"/>
              <w:left w:val="single" w:sz="8" w:space="0" w:color="auto"/>
              <w:bottom w:val="single" w:sz="4" w:space="0" w:color="auto"/>
              <w:right w:val="single" w:sz="8" w:space="0" w:color="auto"/>
            </w:tcBorders>
            <w:noWrap/>
            <w:vAlign w:val="center"/>
            <w:hideMark/>
          </w:tcPr>
          <w:p w14:paraId="6CF75220"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0,04</w:t>
            </w:r>
          </w:p>
        </w:tc>
      </w:tr>
      <w:tr w:rsidR="005B5D1D" w:rsidRPr="007B779F" w14:paraId="6EA7B73B" w14:textId="77777777" w:rsidTr="007C17C6">
        <w:trPr>
          <w:trHeight w:val="420"/>
        </w:trPr>
        <w:tc>
          <w:tcPr>
            <w:tcW w:w="1860" w:type="dxa"/>
            <w:tcBorders>
              <w:top w:val="nil"/>
              <w:left w:val="single" w:sz="8" w:space="0" w:color="auto"/>
              <w:bottom w:val="nil"/>
              <w:right w:val="nil"/>
            </w:tcBorders>
            <w:noWrap/>
            <w:vAlign w:val="center"/>
            <w:hideMark/>
          </w:tcPr>
          <w:p w14:paraId="6750E56A" w14:textId="77777777" w:rsidR="005B5D1D" w:rsidRPr="007B779F" w:rsidRDefault="005B5D1D" w:rsidP="007C17C6">
            <w:pPr>
              <w:rPr>
                <w:rFonts w:ascii="Cambria" w:hAnsi="Cambria"/>
                <w:color w:val="000000"/>
                <w:sz w:val="20"/>
                <w:szCs w:val="20"/>
              </w:rPr>
            </w:pPr>
            <w:r w:rsidRPr="007B779F">
              <w:rPr>
                <w:rFonts w:ascii="Cambria" w:hAnsi="Cambria"/>
                <w:color w:val="000000"/>
                <w:sz w:val="20"/>
                <w:szCs w:val="20"/>
              </w:rPr>
              <w:t>Uruguay</w:t>
            </w:r>
          </w:p>
        </w:tc>
        <w:tc>
          <w:tcPr>
            <w:tcW w:w="2560" w:type="dxa"/>
            <w:tcBorders>
              <w:top w:val="nil"/>
              <w:left w:val="single" w:sz="8" w:space="0" w:color="auto"/>
              <w:bottom w:val="nil"/>
              <w:right w:val="single" w:sz="8" w:space="0" w:color="auto"/>
            </w:tcBorders>
            <w:noWrap/>
            <w:vAlign w:val="center"/>
            <w:hideMark/>
          </w:tcPr>
          <w:p w14:paraId="257E058D"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0,07</w:t>
            </w:r>
          </w:p>
        </w:tc>
      </w:tr>
      <w:tr w:rsidR="005B5D1D" w:rsidRPr="007B779F" w14:paraId="73319F8A" w14:textId="77777777" w:rsidTr="007C17C6">
        <w:trPr>
          <w:trHeight w:val="251"/>
        </w:trPr>
        <w:tc>
          <w:tcPr>
            <w:tcW w:w="1860" w:type="dxa"/>
            <w:tcBorders>
              <w:top w:val="single" w:sz="8" w:space="0" w:color="auto"/>
              <w:left w:val="single" w:sz="8" w:space="0" w:color="auto"/>
              <w:bottom w:val="single" w:sz="8" w:space="0" w:color="auto"/>
              <w:right w:val="nil"/>
            </w:tcBorders>
            <w:shd w:val="clear" w:color="000000" w:fill="D9D9D9"/>
            <w:noWrap/>
            <w:vAlign w:val="center"/>
            <w:hideMark/>
          </w:tcPr>
          <w:p w14:paraId="332D3770" w14:textId="77777777" w:rsidR="005B5D1D" w:rsidRPr="007B779F" w:rsidRDefault="005B5D1D" w:rsidP="007C17C6">
            <w:pPr>
              <w:jc w:val="center"/>
              <w:rPr>
                <w:rFonts w:ascii="Cambria" w:hAnsi="Cambria"/>
                <w:b/>
                <w:bCs/>
                <w:color w:val="000000"/>
                <w:sz w:val="20"/>
                <w:szCs w:val="20"/>
              </w:rPr>
            </w:pPr>
            <w:r w:rsidRPr="007B779F">
              <w:rPr>
                <w:rFonts w:ascii="Cambria" w:hAnsi="Cambria"/>
                <w:b/>
                <w:bCs/>
                <w:color w:val="000000"/>
                <w:sz w:val="20"/>
                <w:szCs w:val="20"/>
              </w:rPr>
              <w:t>TOTAL</w:t>
            </w:r>
          </w:p>
        </w:tc>
        <w:tc>
          <w:tcPr>
            <w:tcW w:w="256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8B497D4" w14:textId="77777777" w:rsidR="005B5D1D" w:rsidRPr="007B779F" w:rsidRDefault="005B5D1D" w:rsidP="007C17C6">
            <w:pPr>
              <w:jc w:val="center"/>
              <w:rPr>
                <w:rFonts w:ascii="Cambria" w:hAnsi="Cambria"/>
                <w:color w:val="000000"/>
                <w:sz w:val="20"/>
                <w:szCs w:val="20"/>
              </w:rPr>
            </w:pPr>
            <w:r w:rsidRPr="007B779F">
              <w:rPr>
                <w:rFonts w:ascii="Cambria" w:hAnsi="Cambria"/>
                <w:color w:val="000000"/>
                <w:sz w:val="20"/>
                <w:szCs w:val="20"/>
              </w:rPr>
              <w:t>572,08</w:t>
            </w:r>
          </w:p>
        </w:tc>
      </w:tr>
    </w:tbl>
    <w:p w14:paraId="51C2772E" w14:textId="77777777" w:rsidR="005B5D1D" w:rsidRDefault="005B5D1D" w:rsidP="005B5D1D">
      <w:pPr>
        <w:pStyle w:val="Default"/>
        <w:jc w:val="both"/>
        <w:rPr>
          <w:b/>
          <w:i/>
          <w:sz w:val="20"/>
          <w:szCs w:val="20"/>
        </w:rPr>
      </w:pPr>
    </w:p>
    <w:p w14:paraId="2C62F7E7" w14:textId="77777777" w:rsidR="005B5D1D" w:rsidRPr="005B5D1D" w:rsidRDefault="005B5D1D" w:rsidP="005B5D1D">
      <w:pPr>
        <w:pStyle w:val="Default"/>
        <w:jc w:val="both"/>
        <w:rPr>
          <w:b/>
          <w:bCs/>
          <w:i/>
          <w:iCs/>
          <w:sz w:val="20"/>
          <w:szCs w:val="20"/>
          <w:lang w:val="fr-FR"/>
        </w:rPr>
      </w:pPr>
      <w:r w:rsidRPr="005B5D1D">
        <w:rPr>
          <w:b/>
          <w:i/>
          <w:sz w:val="20"/>
          <w:szCs w:val="20"/>
          <w:lang w:val="fr-FR"/>
        </w:rPr>
        <w:t>19.33 Évaluation de l’exhaustivité des données sur les requins,</w:t>
      </w:r>
      <w:r w:rsidRPr="005B5D1D">
        <w:rPr>
          <w:b/>
          <w:i/>
          <w:strike/>
          <w:sz w:val="20"/>
          <w:szCs w:val="20"/>
          <w:lang w:val="fr-FR"/>
        </w:rPr>
        <w:t xml:space="preserve"> </w:t>
      </w:r>
      <w:hyperlink r:id="rId74" w:history="1">
        <w:r w:rsidRPr="005B5D1D">
          <w:rPr>
            <w:rStyle w:val="Hyperlink"/>
            <w:b/>
            <w:i/>
            <w:sz w:val="20"/>
            <w:szCs w:val="20"/>
            <w:u w:val="none"/>
            <w:lang w:val="fr-FR"/>
          </w:rPr>
          <w:t>Rec. 21-09</w:t>
        </w:r>
      </w:hyperlink>
      <w:r w:rsidRPr="005B5D1D">
        <w:rPr>
          <w:b/>
          <w:i/>
          <w:sz w:val="20"/>
          <w:szCs w:val="20"/>
          <w:lang w:val="fr-FR"/>
        </w:rPr>
        <w:t xml:space="preserve">, paragraphe 15 et </w:t>
      </w:r>
      <w:hyperlink r:id="rId75" w:history="1">
        <w:r w:rsidRPr="005B5D1D">
          <w:rPr>
            <w:rStyle w:val="Hyperlink"/>
            <w:b/>
            <w:i/>
            <w:sz w:val="20"/>
            <w:szCs w:val="20"/>
            <w:u w:val="none"/>
            <w:lang w:val="fr-FR"/>
          </w:rPr>
          <w:t>Rec. 25-08</w:t>
        </w:r>
      </w:hyperlink>
      <w:r w:rsidRPr="005B5D1D">
        <w:rPr>
          <w:lang w:val="fr-FR"/>
        </w:rPr>
        <w:t>,</w:t>
      </w:r>
      <w:r w:rsidRPr="005B5D1D">
        <w:rPr>
          <w:b/>
          <w:i/>
          <w:sz w:val="20"/>
          <w:szCs w:val="20"/>
          <w:lang w:val="fr-FR"/>
        </w:rPr>
        <w:t xml:space="preserve"> paragraphe 16</w:t>
      </w:r>
      <w:r w:rsidRPr="005B5D1D">
        <w:rPr>
          <w:rStyle w:val="Hyperlink"/>
          <w:i/>
          <w:iCs/>
          <w:u w:val="none"/>
          <w:lang w:val="fr-FR"/>
        </w:rPr>
        <w:t xml:space="preserve"> </w:t>
      </w:r>
    </w:p>
    <w:p w14:paraId="6BCD2ABD" w14:textId="77777777" w:rsidR="005B5D1D" w:rsidRPr="005B5D1D" w:rsidRDefault="005B5D1D" w:rsidP="005B5D1D">
      <w:pPr>
        <w:pStyle w:val="Default"/>
        <w:jc w:val="both"/>
        <w:rPr>
          <w:lang w:val="fr-FR"/>
        </w:rPr>
      </w:pPr>
    </w:p>
    <w:p w14:paraId="38ED7BFD" w14:textId="77777777" w:rsidR="005B5D1D" w:rsidRPr="005B5D1D" w:rsidRDefault="005B5D1D" w:rsidP="005B5D1D">
      <w:pPr>
        <w:pStyle w:val="Default"/>
        <w:jc w:val="both"/>
        <w:rPr>
          <w:i/>
          <w:sz w:val="20"/>
          <w:lang w:val="fr-FR"/>
        </w:rPr>
      </w:pPr>
      <w:r w:rsidRPr="005B5D1D">
        <w:rPr>
          <w:b/>
          <w:i/>
          <w:sz w:val="20"/>
          <w:lang w:val="fr-FR"/>
        </w:rPr>
        <w:t>Contexte :</w:t>
      </w:r>
      <w:r w:rsidRPr="005B5D1D">
        <w:rPr>
          <w:i/>
          <w:sz w:val="20"/>
          <w:lang w:val="fr-FR"/>
        </w:rPr>
        <w:t xml:space="preserve"> </w:t>
      </w:r>
    </w:p>
    <w:p w14:paraId="09BA5EF9" w14:textId="77777777" w:rsidR="005B5D1D" w:rsidRPr="005B5D1D" w:rsidRDefault="005B5D1D" w:rsidP="005B5D1D">
      <w:pPr>
        <w:pStyle w:val="Default"/>
        <w:jc w:val="both"/>
        <w:rPr>
          <w:i/>
          <w:sz w:val="20"/>
          <w:lang w:val="fr-FR"/>
        </w:rPr>
      </w:pPr>
    </w:p>
    <w:p w14:paraId="4DDA2390" w14:textId="77777777" w:rsidR="005B5D1D" w:rsidRPr="005B5D1D" w:rsidRDefault="005B5D1D" w:rsidP="005B5D1D">
      <w:pPr>
        <w:pStyle w:val="Default"/>
        <w:jc w:val="both"/>
        <w:rPr>
          <w:i/>
          <w:iCs/>
          <w:sz w:val="20"/>
          <w:szCs w:val="20"/>
          <w:lang w:val="fr-FR"/>
        </w:rPr>
      </w:pPr>
      <w:r w:rsidRPr="005B5D1D">
        <w:rPr>
          <w:i/>
          <w:sz w:val="20"/>
          <w:lang w:val="fr-FR"/>
        </w:rPr>
        <w:t>(</w:t>
      </w:r>
      <w:hyperlink r:id="rId76" w:history="1">
        <w:r w:rsidRPr="005B5D1D">
          <w:rPr>
            <w:rStyle w:val="Hyperlink"/>
            <w:i/>
            <w:sz w:val="20"/>
            <w:u w:val="none"/>
            <w:lang w:val="fr-FR"/>
          </w:rPr>
          <w:t>Rec. 21-09</w:t>
        </w:r>
      </w:hyperlink>
      <w:r w:rsidRPr="005B5D1D">
        <w:rPr>
          <w:lang w:val="fr-FR"/>
        </w:rPr>
        <w:t xml:space="preserve">, </w:t>
      </w:r>
      <w:r w:rsidRPr="005B5D1D">
        <w:rPr>
          <w:i/>
          <w:sz w:val="20"/>
          <w:lang w:val="fr-FR"/>
        </w:rPr>
        <w:t xml:space="preserve">paragraphe 15) </w:t>
      </w:r>
      <w:r w:rsidRPr="005B5D1D">
        <w:rPr>
          <w:i/>
          <w:iCs/>
          <w:color w:val="000000" w:themeColor="text1"/>
          <w:sz w:val="20"/>
          <w:lang w:val="fr-FR"/>
        </w:rPr>
        <w:t xml:space="preserve">Le SCRS devra évaluer l'exhaustivité des soumissions des données des tâches 1 et 2, y compris les estimations du total des rejets morts et des remises à l’eau des spécimens vivants. Si, après avoir réalisé cette évaluation, le SCRS détermine qu'il </w:t>
      </w:r>
      <w:r w:rsidRPr="005B5D1D">
        <w:rPr>
          <w:i/>
          <w:iCs/>
          <w:sz w:val="20"/>
          <w:szCs w:val="20"/>
          <w:lang w:val="fr-FR"/>
        </w:rPr>
        <w:t>existe</w:t>
      </w:r>
      <w:r w:rsidRPr="005B5D1D">
        <w:rPr>
          <w:i/>
          <w:iCs/>
          <w:color w:val="000000" w:themeColor="text1"/>
          <w:sz w:val="20"/>
          <w:lang w:val="fr-FR"/>
        </w:rPr>
        <w:t xml:space="preserve"> des lacunes importantes dans la déclaration des données </w:t>
      </w:r>
      <w:r w:rsidRPr="005B5D1D">
        <w:rPr>
          <w:i/>
          <w:iCs/>
          <w:sz w:val="20"/>
          <w:szCs w:val="20"/>
          <w:lang w:val="fr-FR"/>
        </w:rPr>
        <w:t>ou, à la suite de l'examen prévu au paragraphe 13, que la méthodologie utilisée par une ou plusieurs CPC pour estimer les rejets de poissons morts et les remises à l’eau de spécimens vivants n'est pas scientifiquement valable</w:t>
      </w:r>
      <w:r w:rsidRPr="005B5D1D">
        <w:rPr>
          <w:i/>
          <w:iCs/>
          <w:color w:val="000000" w:themeColor="text1"/>
          <w:sz w:val="20"/>
          <w:lang w:val="fr-FR"/>
        </w:rPr>
        <w:t xml:space="preserve">, </w:t>
      </w:r>
      <w:r w:rsidRPr="005B5D1D">
        <w:rPr>
          <w:i/>
          <w:iCs/>
          <w:sz w:val="20"/>
          <w:lang w:val="fr-FR"/>
        </w:rPr>
        <w:t xml:space="preserve">le SCRS devra informer la Commission que les données de ces CPC sont considérées comme inappropriées pour être incluses dans le calcul de la tolérance de rétention. Dans ce cas, le SCRS devra estimer les rejets morts et les remises à l’eau de spécimens vivants pour ces CPC afin de les utiliser dans le calcul de la tolérance de </w:t>
      </w:r>
      <w:r w:rsidRPr="005B5D1D">
        <w:rPr>
          <w:i/>
          <w:iCs/>
          <w:sz w:val="20"/>
          <w:szCs w:val="20"/>
          <w:lang w:val="fr-FR"/>
        </w:rPr>
        <w:t>rétention.</w:t>
      </w:r>
    </w:p>
    <w:p w14:paraId="4493327D" w14:textId="77777777" w:rsidR="005B5D1D" w:rsidRPr="005B5D1D" w:rsidRDefault="005B5D1D" w:rsidP="005B5D1D">
      <w:pPr>
        <w:tabs>
          <w:tab w:val="left" w:pos="0"/>
          <w:tab w:val="left" w:pos="720"/>
          <w:tab w:val="right" w:pos="8505"/>
          <w:tab w:val="right" w:pos="9072"/>
        </w:tabs>
        <w:ind w:right="4"/>
        <w:jc w:val="both"/>
        <w:rPr>
          <w:rFonts w:ascii="Cambria" w:hAnsi="Cambria"/>
          <w:bCs/>
          <w:sz w:val="20"/>
          <w:szCs w:val="20"/>
          <w:lang w:val="fr-FR"/>
        </w:rPr>
      </w:pPr>
    </w:p>
    <w:p w14:paraId="5E04C3D1" w14:textId="77777777" w:rsidR="005B5D1D" w:rsidRPr="005B5D1D" w:rsidRDefault="005B5D1D" w:rsidP="005B5D1D">
      <w:pPr>
        <w:pStyle w:val="Default"/>
        <w:jc w:val="both"/>
        <w:rPr>
          <w:i/>
          <w:iCs/>
          <w:sz w:val="20"/>
          <w:szCs w:val="20"/>
          <w:lang w:val="fr-FR"/>
        </w:rPr>
      </w:pPr>
      <w:r w:rsidRPr="005B5D1D">
        <w:rPr>
          <w:i/>
          <w:sz w:val="20"/>
          <w:lang w:val="fr-FR"/>
        </w:rPr>
        <w:t>(</w:t>
      </w:r>
      <w:hyperlink r:id="rId77" w:history="1">
        <w:r w:rsidRPr="005B5D1D">
          <w:rPr>
            <w:rStyle w:val="Hyperlink"/>
            <w:i/>
            <w:sz w:val="20"/>
            <w:u w:val="none"/>
            <w:lang w:val="fr-FR"/>
          </w:rPr>
          <w:t>Rec. 25-08</w:t>
        </w:r>
      </w:hyperlink>
      <w:r w:rsidRPr="005B5D1D">
        <w:rPr>
          <w:i/>
          <w:sz w:val="20"/>
          <w:lang w:val="fr-FR"/>
        </w:rPr>
        <w:t xml:space="preserve">, paragraphe 16) </w:t>
      </w:r>
      <w:r w:rsidRPr="005B5D1D">
        <w:rPr>
          <w:i/>
          <w:iCs/>
          <w:color w:val="000000" w:themeColor="text1"/>
          <w:sz w:val="20"/>
          <w:szCs w:val="20"/>
          <w:lang w:val="fr-FR"/>
        </w:rPr>
        <w:t xml:space="preserve">Afin de </w:t>
      </w:r>
      <w:r w:rsidRPr="005B5D1D">
        <w:rPr>
          <w:i/>
          <w:iCs/>
          <w:sz w:val="20"/>
          <w:szCs w:val="20"/>
          <w:lang w:val="fr-FR"/>
        </w:rPr>
        <w:t>permettre</w:t>
      </w:r>
      <w:r w:rsidRPr="005B5D1D">
        <w:rPr>
          <w:i/>
          <w:iCs/>
          <w:color w:val="000000" w:themeColor="text1"/>
          <w:sz w:val="20"/>
          <w:szCs w:val="20"/>
          <w:lang w:val="fr-FR"/>
        </w:rPr>
        <w:t xml:space="preserve"> de futures évaluations du stock, le SCRS devra évaluer l'exhaustivité des soumissions des données des tâches 1 et 2, y compris les estimations du total des rejets morts et des remises à l’eau des spécimens vivants. </w:t>
      </w:r>
      <w:r w:rsidRPr="005B5D1D">
        <w:rPr>
          <w:i/>
          <w:iCs/>
          <w:sz w:val="20"/>
          <w:szCs w:val="20"/>
          <w:lang w:val="fr-FR"/>
        </w:rPr>
        <w:t xml:space="preserve">Si, après avoir réalisé cette évaluation, le SCRS détermine qu'il existe des lacunes importantes dans la déclaration des données ou, à la suite de l'examen prévu au paragraphe 14, que la méthodologie utilisée par une ou plusieurs CPC pour estimer les rejets de poissons morts </w:t>
      </w:r>
      <w:r w:rsidRPr="005B5D1D">
        <w:rPr>
          <w:i/>
          <w:iCs/>
          <w:sz w:val="20"/>
          <w:szCs w:val="20"/>
          <w:lang w:val="fr-FR"/>
        </w:rPr>
        <w:lastRenderedPageBreak/>
        <w:t>et les remises à l’eau de spécimens vivants n'est pas scientifiquement valable, le SCRS devra informer la Commission que les données de ces CPC sont considérées comme inappropriées pour être incluses dans le calcul de la tolérance de rétention. Dans ce cas, le SCRS devra estimer les rejets morts et les remises à l’eau de spécimens vivants pour ces CPC afin d’utiliser ces estimations dans le calcul de la tolérance de rétention.</w:t>
      </w:r>
    </w:p>
    <w:p w14:paraId="77D92408" w14:textId="77777777" w:rsidR="005B5D1D" w:rsidRPr="005B5D1D" w:rsidRDefault="005B5D1D" w:rsidP="005B5D1D">
      <w:pPr>
        <w:tabs>
          <w:tab w:val="left" w:pos="0"/>
          <w:tab w:val="left" w:pos="720"/>
          <w:tab w:val="right" w:pos="8505"/>
          <w:tab w:val="right" w:pos="9072"/>
        </w:tabs>
        <w:ind w:right="4"/>
        <w:jc w:val="both"/>
        <w:rPr>
          <w:rFonts w:ascii="Cambria" w:hAnsi="Cambria"/>
          <w:bCs/>
          <w:sz w:val="20"/>
          <w:szCs w:val="20"/>
          <w:lang w:val="fr-FR"/>
        </w:rPr>
      </w:pPr>
    </w:p>
    <w:p w14:paraId="60483174" w14:textId="77777777" w:rsidR="005B5D1D" w:rsidRPr="005B5D1D" w:rsidRDefault="005B5D1D" w:rsidP="005B5D1D">
      <w:pPr>
        <w:tabs>
          <w:tab w:val="left" w:pos="0"/>
          <w:tab w:val="left" w:pos="720"/>
          <w:tab w:val="right" w:pos="8505"/>
          <w:tab w:val="right" w:pos="9072"/>
        </w:tabs>
        <w:ind w:right="4"/>
        <w:jc w:val="both"/>
        <w:rPr>
          <w:rFonts w:ascii="Cambria" w:hAnsi="Cambria"/>
          <w:bCs/>
          <w:sz w:val="20"/>
          <w:szCs w:val="20"/>
          <w:lang w:val="fr-FR"/>
        </w:rPr>
      </w:pPr>
      <w:r w:rsidRPr="005B5D1D">
        <w:rPr>
          <w:rFonts w:ascii="Cambria" w:hAnsi="Cambria"/>
          <w:sz w:val="20"/>
          <w:szCs w:val="20"/>
          <w:lang w:val="fr-FR"/>
        </w:rPr>
        <w:t>La vérification de l'exhaustivité des données des tâches 1 et 2 a été effectuée et des questions ont été formulées qui ont permis d’éclaircir toute incohérence concernant le calcul de la tolérance de rétention. Pour plus de détails sur cette vérification, veuillez vous reporter aux points 19.31 et 19.32 du présent rapport.</w:t>
      </w:r>
    </w:p>
    <w:p w14:paraId="4C9E145E" w14:textId="77777777" w:rsidR="005B5D1D" w:rsidRPr="005B5D1D" w:rsidRDefault="005B5D1D" w:rsidP="005B5D1D">
      <w:pPr>
        <w:tabs>
          <w:tab w:val="left" w:pos="0"/>
          <w:tab w:val="left" w:pos="720"/>
          <w:tab w:val="right" w:pos="8505"/>
          <w:tab w:val="right" w:pos="9072"/>
        </w:tabs>
        <w:ind w:right="4"/>
        <w:jc w:val="both"/>
        <w:rPr>
          <w:rFonts w:ascii="Cambria" w:hAnsi="Cambria"/>
          <w:bCs/>
          <w:sz w:val="20"/>
          <w:szCs w:val="20"/>
          <w:lang w:val="fr-FR"/>
        </w:rPr>
      </w:pPr>
    </w:p>
    <w:p w14:paraId="67804332" w14:textId="77777777" w:rsidR="005B5D1D" w:rsidRPr="005B5D1D" w:rsidRDefault="005B5D1D" w:rsidP="005B5D1D">
      <w:pPr>
        <w:tabs>
          <w:tab w:val="left" w:pos="0"/>
          <w:tab w:val="left" w:pos="720"/>
          <w:tab w:val="right" w:pos="8505"/>
          <w:tab w:val="right" w:pos="9072"/>
        </w:tabs>
        <w:ind w:right="4"/>
        <w:jc w:val="both"/>
        <w:rPr>
          <w:rFonts w:ascii="Cambria" w:hAnsi="Cambria"/>
          <w:bCs/>
          <w:sz w:val="20"/>
          <w:szCs w:val="20"/>
          <w:lang w:val="fr-FR"/>
        </w:rPr>
      </w:pPr>
      <w:r w:rsidRPr="005B5D1D">
        <w:rPr>
          <w:rFonts w:ascii="Cambria" w:hAnsi="Cambria"/>
          <w:sz w:val="20"/>
          <w:szCs w:val="20"/>
          <w:lang w:val="fr-FR"/>
        </w:rPr>
        <w:t>Comme évoqué précédemment, le Comité a fait part de sa préoccupation concernant la tâche que la Commission lui avait confiée, qui consiste à identifier et à signaler les données inappropriées déclarées par les CPC. Le Comité a décidé de travailler avec les données les plus récentes disponibles dans la base de données de l'ICCAT, celles-ci étant considérées comme les meilleures informations disponibles.</w:t>
      </w:r>
    </w:p>
    <w:p w14:paraId="3E9EC854" w14:textId="77777777" w:rsidR="005B5D1D" w:rsidRPr="005B5D1D" w:rsidRDefault="005B5D1D" w:rsidP="005B5D1D">
      <w:pPr>
        <w:tabs>
          <w:tab w:val="left" w:pos="0"/>
          <w:tab w:val="left" w:pos="720"/>
          <w:tab w:val="right" w:pos="8505"/>
          <w:tab w:val="right" w:pos="9072"/>
        </w:tabs>
        <w:ind w:right="4"/>
        <w:jc w:val="both"/>
        <w:rPr>
          <w:rFonts w:ascii="Cambria" w:eastAsia="Cambria" w:hAnsi="Cambria" w:cs="Cambria"/>
          <w:b/>
          <w:iCs/>
          <w:color w:val="000000"/>
          <w:sz w:val="20"/>
          <w:szCs w:val="20"/>
          <w:lang w:val="fr-FR"/>
        </w:rPr>
      </w:pPr>
    </w:p>
    <w:p w14:paraId="6C781F52" w14:textId="77777777" w:rsidR="005B5D1D" w:rsidRPr="005B5D1D" w:rsidRDefault="005B5D1D" w:rsidP="005B5D1D">
      <w:pPr>
        <w:tabs>
          <w:tab w:val="left" w:pos="0"/>
          <w:tab w:val="left" w:pos="720"/>
          <w:tab w:val="right" w:pos="8505"/>
          <w:tab w:val="right" w:pos="9072"/>
        </w:tabs>
        <w:ind w:right="4"/>
        <w:jc w:val="both"/>
        <w:rPr>
          <w:rFonts w:ascii="Cambria" w:hAnsi="Cambria"/>
          <w:b/>
          <w:i/>
          <w:color w:val="000000"/>
          <w:sz w:val="20"/>
          <w:szCs w:val="20"/>
          <w:lang w:val="fr-FR"/>
        </w:rPr>
      </w:pPr>
    </w:p>
    <w:p w14:paraId="2A788B6B" w14:textId="77777777" w:rsidR="00766485" w:rsidRPr="005B5D1D" w:rsidRDefault="00766485" w:rsidP="00766485">
      <w:pPr>
        <w:tabs>
          <w:tab w:val="left" w:pos="0"/>
          <w:tab w:val="left" w:pos="720"/>
          <w:tab w:val="right" w:pos="8505"/>
          <w:tab w:val="right" w:pos="9072"/>
        </w:tabs>
        <w:ind w:right="4"/>
        <w:jc w:val="both"/>
        <w:rPr>
          <w:rFonts w:ascii="Cambria" w:hAnsi="Cambria"/>
          <w:bCs/>
          <w:iCs/>
          <w:color w:val="000000"/>
          <w:sz w:val="20"/>
          <w:lang w:val="fr-FR"/>
        </w:rPr>
      </w:pPr>
    </w:p>
    <w:p w14:paraId="4A2E5397" w14:textId="24058BB8" w:rsidR="007B39C6" w:rsidRPr="00E41357" w:rsidRDefault="005A6FE2" w:rsidP="007B39C6">
      <w:pPr>
        <w:jc w:val="both"/>
        <w:rPr>
          <w:rFonts w:ascii="Cambria" w:hAnsi="Cambria"/>
          <w:sz w:val="20"/>
          <w:szCs w:val="20"/>
          <w:lang w:val="en-US"/>
        </w:rPr>
      </w:pPr>
      <w:r>
        <w:rPr>
          <w:rFonts w:ascii="Cambria" w:hAnsi="Cambria"/>
          <w:b/>
          <w:bCs/>
          <w:sz w:val="20"/>
          <w:szCs w:val="20"/>
          <w:lang w:val="fr-FR"/>
        </w:rPr>
        <w:t>R</w:t>
      </w:r>
      <w:r w:rsidRPr="009353F0">
        <w:rPr>
          <w:rFonts w:ascii="Cambria" w:hAnsi="Cambria"/>
          <w:b/>
          <w:bCs/>
          <w:sz w:val="20"/>
          <w:szCs w:val="20"/>
          <w:lang w:val="fr-FR"/>
        </w:rPr>
        <w:t>ecommandations</w:t>
      </w:r>
    </w:p>
    <w:p w14:paraId="3FDCC29C" w14:textId="77777777" w:rsidR="005A6FE2" w:rsidRPr="007B779F" w:rsidRDefault="005A6FE2" w:rsidP="005A6FE2">
      <w:pPr>
        <w:rPr>
          <w:rFonts w:ascii="Cambria" w:hAnsi="Cambria"/>
          <w:i/>
          <w:iCs/>
          <w:sz w:val="20"/>
          <w:szCs w:val="20"/>
        </w:rPr>
      </w:pPr>
    </w:p>
    <w:p w14:paraId="1322A561" w14:textId="4BC6644D" w:rsidR="005A6FE2" w:rsidRPr="007B779F" w:rsidRDefault="005A6FE2" w:rsidP="005A6FE2">
      <w:pPr>
        <w:rPr>
          <w:rFonts w:ascii="Cambria" w:hAnsi="Cambria"/>
          <w:i/>
          <w:sz w:val="20"/>
          <w:szCs w:val="20"/>
          <w:lang w:val="en-US"/>
        </w:rPr>
      </w:pPr>
      <w:r w:rsidRPr="007B779F">
        <w:rPr>
          <w:rFonts w:ascii="Cambria" w:hAnsi="Cambria"/>
          <w:i/>
          <w:iCs/>
          <w:sz w:val="20"/>
          <w:szCs w:val="20"/>
          <w:lang w:val="en-US"/>
        </w:rPr>
        <w:t xml:space="preserve">Istiophoridés </w:t>
      </w:r>
    </w:p>
    <w:p w14:paraId="332F3163" w14:textId="77777777" w:rsidR="005A6FE2" w:rsidRPr="007B779F" w:rsidRDefault="005A6FE2" w:rsidP="005A6FE2">
      <w:pPr>
        <w:rPr>
          <w:rFonts w:ascii="Cambria" w:hAnsi="Cambria"/>
          <w:i/>
          <w:sz w:val="20"/>
          <w:szCs w:val="20"/>
          <w:lang w:val="en-US"/>
        </w:rPr>
      </w:pPr>
    </w:p>
    <w:p w14:paraId="348670D1" w14:textId="77777777" w:rsidR="005A6FE2" w:rsidRPr="005A6FE2" w:rsidRDefault="005A6FE2" w:rsidP="005A6FE2">
      <w:pPr>
        <w:widowControl w:val="0"/>
        <w:numPr>
          <w:ilvl w:val="0"/>
          <w:numId w:val="2"/>
        </w:numPr>
        <w:ind w:left="426" w:hanging="426"/>
        <w:jc w:val="both"/>
        <w:rPr>
          <w:rFonts w:ascii="Cambria" w:eastAsia="Calibri" w:hAnsi="Cambria"/>
          <w:iCs/>
          <w:sz w:val="20"/>
          <w:szCs w:val="20"/>
          <w:lang w:val="fr-FR"/>
        </w:rPr>
      </w:pPr>
      <w:r w:rsidRPr="005A6FE2">
        <w:rPr>
          <w:rFonts w:ascii="Cambria" w:hAnsi="Cambria"/>
          <w:sz w:val="20"/>
          <w:lang w:val="fr-FR"/>
        </w:rPr>
        <w:t>Le Comité recommande d'améliorer les estimations de la mortalité naturelle (M) et d'envisager le développement d'un vecteur de mortalité naturelle M par âge pour toutes les espèces d'istiophoridés.</w:t>
      </w:r>
    </w:p>
    <w:p w14:paraId="24A2D134" w14:textId="77777777" w:rsidR="005A6FE2" w:rsidRPr="005A6FE2" w:rsidRDefault="005A6FE2" w:rsidP="005A6FE2">
      <w:pPr>
        <w:ind w:left="567"/>
        <w:contextualSpacing/>
        <w:jc w:val="both"/>
        <w:rPr>
          <w:rFonts w:ascii="Cambria" w:eastAsia="Calibri" w:hAnsi="Cambria"/>
          <w:iCs/>
          <w:sz w:val="20"/>
          <w:szCs w:val="20"/>
          <w:lang w:val="fr-FR"/>
        </w:rPr>
      </w:pPr>
    </w:p>
    <w:p w14:paraId="1540721D" w14:textId="77777777" w:rsidR="005A6FE2" w:rsidRPr="005A6FE2" w:rsidRDefault="005A6FE2" w:rsidP="005A6FE2">
      <w:pPr>
        <w:widowControl w:val="0"/>
        <w:numPr>
          <w:ilvl w:val="0"/>
          <w:numId w:val="2"/>
        </w:numPr>
        <w:ind w:left="426" w:hanging="426"/>
        <w:jc w:val="both"/>
        <w:rPr>
          <w:rFonts w:ascii="Cambria" w:eastAsia="Calibri" w:hAnsi="Cambria"/>
          <w:iCs/>
          <w:sz w:val="20"/>
          <w:szCs w:val="20"/>
          <w:lang w:val="fr-FR"/>
        </w:rPr>
      </w:pPr>
      <w:r w:rsidRPr="005A6FE2">
        <w:rPr>
          <w:rFonts w:ascii="Cambria" w:hAnsi="Cambria"/>
          <w:sz w:val="20"/>
          <w:lang w:val="fr-FR"/>
        </w:rPr>
        <w:t>Le Comité recommande un examen approfondi des indices d'abondance du makaire bleu, du makaire blanc et du voilier, y compris une définition claire de la prise utilisée (débarquée uniquement, débarquée et rejetée), de la définition de l'effort de pêche, de la source des données (carnet de pêche, programmes d'observateurs, autres), et si la prise inclut des makaires blancs strictement identifiés par opposition au makaire épée. Cela devrait également inclure les facteurs potentiels susceptibles d'affecter la capturabilité dans les pêcheries ciblées et les pêcheries de prises accessoires. Le Comité recommande également d'explorer la possibilité d'estimer une CPUE palangrière multi-flottilles, comme cela a déjà été fait pour d'autres espèces de l’ICCAT, afin de résoudre les tendances conflictuelles des CPUE auxquelles le Comité a été confronté lors des évaluations des stocks d'istiophoridés.</w:t>
      </w:r>
    </w:p>
    <w:p w14:paraId="6C3AE44C" w14:textId="77777777" w:rsidR="003F5041" w:rsidRPr="005A6FE2" w:rsidRDefault="003F5041" w:rsidP="003F5041">
      <w:pPr>
        <w:jc w:val="both"/>
        <w:rPr>
          <w:rFonts w:ascii="Cambria" w:hAnsi="Cambria"/>
          <w:bCs/>
          <w:i/>
          <w:sz w:val="20"/>
          <w:szCs w:val="20"/>
          <w:lang w:val="fr-FR"/>
        </w:rPr>
      </w:pPr>
    </w:p>
    <w:p w14:paraId="26734218" w14:textId="402E502B" w:rsidR="005A6FE2" w:rsidRPr="007B779F" w:rsidRDefault="005A6FE2" w:rsidP="005A6FE2">
      <w:pPr>
        <w:rPr>
          <w:rFonts w:ascii="Cambria" w:hAnsi="Cambria"/>
          <w:i/>
          <w:sz w:val="20"/>
          <w:szCs w:val="20"/>
          <w:lang w:val="en-US"/>
        </w:rPr>
      </w:pPr>
      <w:r w:rsidRPr="007B779F">
        <w:rPr>
          <w:rFonts w:ascii="Cambria" w:hAnsi="Cambria"/>
          <w:i/>
          <w:iCs/>
          <w:sz w:val="20"/>
          <w:szCs w:val="20"/>
          <w:lang w:val="en-US"/>
        </w:rPr>
        <w:t xml:space="preserve">Requins </w:t>
      </w:r>
    </w:p>
    <w:p w14:paraId="2EBB5016" w14:textId="77777777" w:rsidR="005A6FE2" w:rsidRPr="007B779F" w:rsidRDefault="005A6FE2" w:rsidP="005A6FE2">
      <w:pPr>
        <w:rPr>
          <w:rFonts w:ascii="Cambria" w:hAnsi="Cambria"/>
          <w:i/>
          <w:sz w:val="20"/>
          <w:szCs w:val="20"/>
          <w:lang w:val="en-US"/>
        </w:rPr>
      </w:pPr>
    </w:p>
    <w:p w14:paraId="62FC2CC3" w14:textId="77777777" w:rsidR="005A6FE2" w:rsidRPr="005A6FE2" w:rsidRDefault="005A6FE2" w:rsidP="00075A2E">
      <w:pPr>
        <w:numPr>
          <w:ilvl w:val="0"/>
          <w:numId w:val="4"/>
        </w:numPr>
        <w:ind w:left="426" w:hanging="426"/>
        <w:jc w:val="both"/>
        <w:rPr>
          <w:rFonts w:ascii="Cambria" w:hAnsi="Cambria"/>
          <w:iCs/>
          <w:sz w:val="20"/>
          <w:szCs w:val="20"/>
          <w:lang w:val="fr-FR"/>
        </w:rPr>
      </w:pPr>
      <w:r w:rsidRPr="005A6FE2">
        <w:rPr>
          <w:rFonts w:ascii="Cambria" w:hAnsi="Cambria"/>
          <w:sz w:val="20"/>
          <w:szCs w:val="20"/>
          <w:lang w:val="fr-FR"/>
        </w:rPr>
        <w:t xml:space="preserve">Le Comité a l’intention de continuer à travailler sur les deux MSE pour le requin peau bleue (stocks de l'Atlantique Nord et de l'Atlantique Sud) pour la période 2027-2029. Plus précisément, pour 2027, l'équipe technique travaillera sur le conditionnement des modèles opérationnels (OM) à l'aide de séries temporelles actualisées (en utilisant la même structure de flottille que lors de la dernière évaluation), dans le but d'élaborer le jeu définitif d’OM pour la MSE. </w:t>
      </w:r>
      <w:r w:rsidRPr="005A6FE2">
        <w:rPr>
          <w:rFonts w:ascii="Cambria" w:hAnsi="Cambria"/>
          <w:iCs/>
          <w:sz w:val="20"/>
          <w:szCs w:val="20"/>
          <w:lang w:val="fr-FR"/>
        </w:rPr>
        <w:t>Afin de faire avancer ces travaux, le Comité recommande à la Commission de définir des objectifs de gestion pour les stocks de requins peau bleue de l'Atlantique Nord et de l'Atlantique Sud, notamment en précisant clairement au Comité l'intérêt de traiter les interactions entre les espèces cibles et les espèces capturées accidentellement dans la MSE, tout en conservant un cadre fondé sur un stock unique.</w:t>
      </w:r>
    </w:p>
    <w:p w14:paraId="7F4E2DB2" w14:textId="77777777" w:rsidR="005A6FE2" w:rsidRPr="005A6FE2" w:rsidRDefault="005A6FE2" w:rsidP="005A6FE2">
      <w:pPr>
        <w:jc w:val="both"/>
        <w:rPr>
          <w:rFonts w:ascii="Cambria" w:hAnsi="Cambria"/>
          <w:iCs/>
          <w:sz w:val="20"/>
          <w:szCs w:val="20"/>
          <w:lang w:val="fr-FR"/>
        </w:rPr>
      </w:pPr>
    </w:p>
    <w:p w14:paraId="753C0557" w14:textId="77777777" w:rsidR="005A6FE2" w:rsidRPr="005A6FE2" w:rsidRDefault="005A6FE2" w:rsidP="00075A2E">
      <w:pPr>
        <w:numPr>
          <w:ilvl w:val="0"/>
          <w:numId w:val="4"/>
        </w:numPr>
        <w:ind w:left="426" w:hanging="426"/>
        <w:jc w:val="both"/>
        <w:rPr>
          <w:rFonts w:ascii="Cambria" w:hAnsi="Cambria"/>
          <w:iCs/>
          <w:sz w:val="20"/>
          <w:szCs w:val="20"/>
          <w:lang w:val="fr-FR"/>
        </w:rPr>
      </w:pPr>
      <w:r w:rsidRPr="005A6FE2">
        <w:rPr>
          <w:rFonts w:ascii="Cambria" w:hAnsi="Cambria"/>
          <w:sz w:val="20"/>
          <w:szCs w:val="20"/>
          <w:lang w:val="fr-FR"/>
        </w:rPr>
        <w:t>Le Comité a souligné l'importance d'améliorer les statistiques et les évaluations des requins en Méditerranée et a recommandé d'en faire une priorité. Pour 2027, le Comité recommande de se concentrer en priorité sur le requin peau bleue, mais aussi de commencer à collecter des données sur les autres espèces. Les projets concrets pour 2027 consistent à mener une évaluation des stocks de requin peau bleue de la Méditerranée, ce qui comprend l'organisation d'une réunion de préparation des données visant à évaluer les données et les modèles pouvant être utilisés, ainsi qu'une réunion d'évaluation des stocks.</w:t>
      </w:r>
    </w:p>
    <w:p w14:paraId="1AA5C83A" w14:textId="77777777" w:rsidR="005A6FE2" w:rsidRPr="005A6FE2" w:rsidRDefault="005A6FE2" w:rsidP="005A6FE2">
      <w:pPr>
        <w:rPr>
          <w:rFonts w:ascii="Cambria" w:hAnsi="Cambria"/>
          <w:i/>
          <w:iCs/>
          <w:sz w:val="20"/>
          <w:szCs w:val="20"/>
          <w:lang w:val="fr-FR"/>
        </w:rPr>
      </w:pPr>
    </w:p>
    <w:p w14:paraId="64FF2904" w14:textId="5631664C" w:rsidR="005A6FE2" w:rsidRPr="007B779F" w:rsidRDefault="005A6FE2" w:rsidP="005A6FE2">
      <w:pPr>
        <w:rPr>
          <w:rFonts w:ascii="Cambria" w:hAnsi="Cambria"/>
          <w:i/>
          <w:iCs/>
          <w:sz w:val="20"/>
          <w:szCs w:val="20"/>
        </w:rPr>
      </w:pPr>
      <w:r w:rsidRPr="007B779F">
        <w:rPr>
          <w:rFonts w:ascii="Cambria" w:hAnsi="Cambria"/>
          <w:i/>
          <w:iCs/>
          <w:sz w:val="20"/>
          <w:szCs w:val="20"/>
        </w:rPr>
        <w:t xml:space="preserve">Thonidés mineurs </w:t>
      </w:r>
    </w:p>
    <w:p w14:paraId="2BD57764" w14:textId="77777777" w:rsidR="005A6FE2" w:rsidRPr="007B779F" w:rsidRDefault="005A6FE2" w:rsidP="005A6FE2">
      <w:pPr>
        <w:rPr>
          <w:rFonts w:ascii="Cambria" w:hAnsi="Cambria"/>
          <w:i/>
          <w:iCs/>
          <w:sz w:val="20"/>
          <w:szCs w:val="20"/>
        </w:rPr>
      </w:pPr>
    </w:p>
    <w:p w14:paraId="3751F140" w14:textId="77777777" w:rsidR="005A6FE2" w:rsidRPr="005A6FE2" w:rsidRDefault="005A6FE2" w:rsidP="00075A2E">
      <w:pPr>
        <w:widowControl w:val="0"/>
        <w:numPr>
          <w:ilvl w:val="0"/>
          <w:numId w:val="4"/>
        </w:numPr>
        <w:tabs>
          <w:tab w:val="left" w:pos="851"/>
        </w:tabs>
        <w:suppressAutoHyphens/>
        <w:ind w:left="426" w:hanging="426"/>
        <w:jc w:val="both"/>
        <w:rPr>
          <w:rFonts w:ascii="Cambria" w:eastAsia="Cambria" w:hAnsi="Cambria" w:cs="Cambria"/>
          <w:sz w:val="20"/>
          <w:szCs w:val="20"/>
          <w:lang w:val="fr-FR"/>
        </w:rPr>
      </w:pPr>
      <w:r w:rsidRPr="005A6FE2">
        <w:rPr>
          <w:rFonts w:ascii="Cambria" w:hAnsi="Cambria"/>
          <w:sz w:val="20"/>
          <w:lang w:val="fr-FR"/>
        </w:rPr>
        <w:t>Le prélèvement d’échantillons constitue la base des travaux ; à cette fin,</w:t>
      </w:r>
      <w:r w:rsidRPr="005A6FE2">
        <w:rPr>
          <w:lang w:val="fr-FR"/>
        </w:rPr>
        <w:t xml:space="preserve"> </w:t>
      </w:r>
      <w:r w:rsidRPr="005A6FE2">
        <w:rPr>
          <w:rFonts w:ascii="Cambria" w:hAnsi="Cambria"/>
          <w:sz w:val="20"/>
          <w:lang w:val="fr-FR"/>
        </w:rPr>
        <w:t xml:space="preserve">constatant que le prélèvement et l’analyse des échantillons constituent la base des travaux biologiques du Groupe d’espèces sur les </w:t>
      </w:r>
      <w:r w:rsidRPr="005A6FE2">
        <w:rPr>
          <w:rFonts w:ascii="Cambria" w:hAnsi="Cambria"/>
          <w:sz w:val="20"/>
          <w:lang w:val="fr-FR"/>
        </w:rPr>
        <w:lastRenderedPageBreak/>
        <w:t xml:space="preserve">thonidés et que certains des principaux pêcheurs de thonidés mineurs ne fournissent pas d’échantillons à l’ICCAT, le Comité recommande que la Commission prenne note de ces défis et charge le Secrétariat d’adresser une demande officielle aux CPC concernées afin qu’elles mettent des échantillons de thonidés mineurs à la disposition des coordinateurs du Programme annuel sur les thonidés mineurs (SMTYP). </w:t>
      </w:r>
    </w:p>
    <w:p w14:paraId="5DA0E762" w14:textId="77777777" w:rsidR="005A6FE2" w:rsidRPr="005A6FE2" w:rsidRDefault="005A6FE2" w:rsidP="005A6FE2">
      <w:pPr>
        <w:ind w:left="360"/>
        <w:jc w:val="both"/>
        <w:rPr>
          <w:rFonts w:ascii="Cambria" w:eastAsia="Aptos" w:hAnsi="Cambria"/>
          <w:sz w:val="20"/>
          <w:szCs w:val="20"/>
          <w:lang w:val="fr-FR"/>
        </w:rPr>
      </w:pPr>
    </w:p>
    <w:p w14:paraId="00D99138" w14:textId="77777777" w:rsidR="005A6FE2" w:rsidRPr="007B779F" w:rsidRDefault="005A6FE2" w:rsidP="00075A2E">
      <w:pPr>
        <w:numPr>
          <w:ilvl w:val="0"/>
          <w:numId w:val="7"/>
        </w:numPr>
        <w:jc w:val="both"/>
        <w:rPr>
          <w:rFonts w:ascii="Cambria" w:hAnsi="Cambria"/>
          <w:sz w:val="20"/>
          <w:szCs w:val="20"/>
        </w:rPr>
      </w:pPr>
      <w:r w:rsidRPr="005A6FE2">
        <w:rPr>
          <w:rFonts w:ascii="Cambria" w:hAnsi="Cambria"/>
          <w:sz w:val="20"/>
          <w:szCs w:val="20"/>
          <w:lang w:val="fr-FR"/>
        </w:rPr>
        <w:t xml:space="preserve">Le Comité a réitéré ses vives préoccupations concernant les lacunes persistantes dans la base de données statistiques de l'ICCAT sur la pêche, ainsi que la disponibilité des échantillons biologiques nécessaires à la réalisation des études requises pour une évaluation adéquate des stocks des thonidés mineurs. En particulier, le Comité s'est inquiété du fait que les captures de thonidés mineurs, bien qu'ayant une très grande importance sociale en tant que source de protéines pour les communautés côtières, sont systématiquement sous-déclarées à l’ICCAT et que les connaissances sur leur écologie et leur biologie sont limitées. Ce fait est dû à de nombreuses raisons qui rendent leur surveillance très difficile, notamment : la nature artisanale de nombreuses pêcheries ; la grande dispersion géographique et l'éloignement des sites de débarquement ; la couverture limitée ou l'absence complète de programmes de surveillance nationaux, qui donnent souvent la priorité aux espèces à plus forte valeur commerciale ; le manque d'expertise technique en matière d'identification des espèces et de protocoles d'échantillonnage ; et l'insuffisance des fonds de l’ICCAT disponibles pour aider les pays en développement à renforcer leurs systèmes de surveillance. </w:t>
      </w:r>
      <w:r w:rsidRPr="007B779F">
        <w:rPr>
          <w:rFonts w:ascii="Cambria" w:hAnsi="Cambria"/>
          <w:sz w:val="20"/>
          <w:szCs w:val="20"/>
        </w:rPr>
        <w:t>Compte tenu de ces difficultés, le Comité a recommandé :</w:t>
      </w:r>
    </w:p>
    <w:p w14:paraId="35A4B310" w14:textId="77777777" w:rsidR="005A6FE2" w:rsidRPr="007B779F" w:rsidRDefault="005A6FE2" w:rsidP="005A6FE2">
      <w:pPr>
        <w:jc w:val="both"/>
        <w:rPr>
          <w:rFonts w:ascii="Cambria" w:hAnsi="Cambria"/>
          <w:sz w:val="20"/>
          <w:szCs w:val="20"/>
        </w:rPr>
      </w:pPr>
    </w:p>
    <w:p w14:paraId="0A763C9E" w14:textId="77777777" w:rsidR="005A6FE2" w:rsidRPr="005A6FE2" w:rsidRDefault="005A6FE2" w:rsidP="00075A2E">
      <w:pPr>
        <w:numPr>
          <w:ilvl w:val="0"/>
          <w:numId w:val="8"/>
        </w:numPr>
        <w:ind w:left="709"/>
        <w:jc w:val="both"/>
        <w:rPr>
          <w:rFonts w:ascii="Cambria" w:hAnsi="Cambria"/>
          <w:sz w:val="20"/>
          <w:szCs w:val="20"/>
          <w:lang w:val="fr-FR"/>
        </w:rPr>
      </w:pPr>
      <w:r w:rsidRPr="005A6FE2">
        <w:rPr>
          <w:rFonts w:ascii="Cambria" w:hAnsi="Cambria"/>
          <w:sz w:val="20"/>
          <w:szCs w:val="20"/>
          <w:lang w:val="fr-FR"/>
        </w:rPr>
        <w:t>de programmer une discussion spécifique afin d'explorer les stratégies pour aborder cette question, dans le but de développer un plan à long terme pour améliorer la collecte de données sur les pêcheries de thonidés mineurs en Méditerranée, en particulier le long de la côte nord-africaine, dans l’Atlantique Est et le golfe du Mexique ;</w:t>
      </w:r>
    </w:p>
    <w:p w14:paraId="75002321" w14:textId="77777777" w:rsidR="005A6FE2" w:rsidRPr="005A6FE2" w:rsidRDefault="005A6FE2" w:rsidP="005A6FE2">
      <w:pPr>
        <w:ind w:left="709"/>
        <w:jc w:val="both"/>
        <w:rPr>
          <w:rFonts w:ascii="Cambria" w:hAnsi="Cambria"/>
          <w:sz w:val="20"/>
          <w:szCs w:val="20"/>
          <w:lang w:val="fr-FR"/>
        </w:rPr>
      </w:pPr>
    </w:p>
    <w:p w14:paraId="2150AFDD" w14:textId="77777777" w:rsidR="005A6FE2" w:rsidRPr="005A6FE2" w:rsidRDefault="005A6FE2" w:rsidP="00075A2E">
      <w:pPr>
        <w:numPr>
          <w:ilvl w:val="0"/>
          <w:numId w:val="8"/>
        </w:numPr>
        <w:ind w:left="709"/>
        <w:jc w:val="both"/>
        <w:rPr>
          <w:rFonts w:ascii="Cambria" w:hAnsi="Cambria"/>
          <w:sz w:val="20"/>
          <w:szCs w:val="20"/>
          <w:lang w:val="fr-FR"/>
        </w:rPr>
      </w:pPr>
      <w:r w:rsidRPr="005A6FE2">
        <w:rPr>
          <w:rFonts w:ascii="Cambria" w:hAnsi="Cambria"/>
          <w:sz w:val="20"/>
          <w:szCs w:val="20"/>
          <w:lang w:val="fr-FR"/>
        </w:rPr>
        <w:t>que les scientifiques du SCRS poursuivent les activités de récupération et de collecte de données historiques et présentent les résultats sous forme de documents SCRS au Groupe d'espèces sur les thonidés mineurs et au Sous-comité des statistiques, dans le but d'améliorer les activités planifiées liées aux prochaines évaluations des stocks ; et</w:t>
      </w:r>
    </w:p>
    <w:p w14:paraId="2F7762F7" w14:textId="77777777" w:rsidR="005A6FE2" w:rsidRPr="005A6FE2" w:rsidRDefault="005A6FE2" w:rsidP="005A6FE2">
      <w:pPr>
        <w:ind w:left="709"/>
        <w:jc w:val="both"/>
        <w:rPr>
          <w:rFonts w:ascii="Cambria" w:hAnsi="Cambria"/>
          <w:sz w:val="20"/>
          <w:szCs w:val="20"/>
          <w:lang w:val="fr-FR"/>
        </w:rPr>
      </w:pPr>
    </w:p>
    <w:p w14:paraId="6BCC068A" w14:textId="77777777" w:rsidR="005A6FE2" w:rsidRPr="005A6FE2" w:rsidRDefault="005A6FE2" w:rsidP="00075A2E">
      <w:pPr>
        <w:numPr>
          <w:ilvl w:val="0"/>
          <w:numId w:val="4"/>
        </w:numPr>
        <w:jc w:val="both"/>
        <w:rPr>
          <w:rFonts w:ascii="Cambria" w:eastAsia="Aptos" w:hAnsi="Cambria"/>
          <w:sz w:val="20"/>
          <w:szCs w:val="20"/>
          <w:lang w:val="fr-FR"/>
        </w:rPr>
      </w:pPr>
      <w:r w:rsidRPr="005A6FE2">
        <w:rPr>
          <w:rFonts w:ascii="Cambria" w:hAnsi="Cambria"/>
          <w:sz w:val="20"/>
          <w:szCs w:val="20"/>
          <w:lang w:val="fr-FR"/>
        </w:rPr>
        <w:t>Des études génétiques récentes ont permis d'identifier deux groupes de BON : le groupe 1 (Côte d'Ivoire, Sénégal, Maroc) et le groupe 2 (UE-Portugal et UE-Espagne, ainsi que la Tunisie), la position de UE-Malte par rapport à ces groupes restant encore incertaine. Une distinction au niveau de l'espèce a également été confirmée entre le LTA du Nord (UE-Portugal, Tunisie) et le LTA du Sud ; une analyse plus approfondie a révélé une hétérogénéité entre le Sénégal et la Côte d'Ivoire, ainsi que des différences mineures entre l'UE-Malte et le groupe comprenant l'UE-Portugal et l'UE-Espagne. L'intégration de ces conclusions dans le Manuel de l’ICCAT devrait être assurée par un petit groupe d'experts, en coordination avec le Secrétariat, en 2027.</w:t>
      </w:r>
    </w:p>
    <w:p w14:paraId="0D23D60B" w14:textId="77777777" w:rsidR="005A6FE2" w:rsidRPr="005A6FE2" w:rsidRDefault="005A6FE2" w:rsidP="005A6FE2">
      <w:pPr>
        <w:jc w:val="both"/>
        <w:rPr>
          <w:rFonts w:ascii="Cambria" w:eastAsia="Aptos" w:hAnsi="Cambria"/>
          <w:sz w:val="20"/>
          <w:szCs w:val="20"/>
          <w:lang w:val="fr-FR"/>
        </w:rPr>
      </w:pPr>
    </w:p>
    <w:p w14:paraId="32D72BDA" w14:textId="293E4D8A" w:rsidR="005A6FE2" w:rsidRPr="005A6FE2" w:rsidRDefault="005A6FE2" w:rsidP="005A6FE2">
      <w:pPr>
        <w:jc w:val="both"/>
        <w:rPr>
          <w:rFonts w:ascii="Cambria" w:eastAsia="Aptos" w:hAnsi="Cambria"/>
          <w:i/>
          <w:iCs/>
          <w:kern w:val="2"/>
          <w:sz w:val="20"/>
          <w:szCs w:val="20"/>
          <w:lang w:val="fr-FR"/>
          <w14:ligatures w14:val="standardContextual"/>
        </w:rPr>
      </w:pPr>
      <w:r w:rsidRPr="005A6FE2">
        <w:rPr>
          <w:rFonts w:ascii="Cambria" w:hAnsi="Cambria"/>
          <w:i/>
          <w:sz w:val="20"/>
          <w:szCs w:val="20"/>
          <w:lang w:val="fr-FR"/>
        </w:rPr>
        <w:t>Espadon</w:t>
      </w:r>
      <w:r w:rsidRPr="005A6FE2">
        <w:rPr>
          <w:rFonts w:ascii="Cambria" w:eastAsia="Aptos" w:hAnsi="Cambria"/>
          <w:i/>
          <w:iCs/>
          <w:kern w:val="2"/>
          <w:sz w:val="20"/>
          <w:szCs w:val="20"/>
          <w:lang w:val="fr-FR"/>
          <w14:ligatures w14:val="standardContextual"/>
        </w:rPr>
        <w:t xml:space="preserve"> </w:t>
      </w:r>
    </w:p>
    <w:p w14:paraId="03BA2B75" w14:textId="77777777" w:rsidR="005A6FE2" w:rsidRPr="005A6FE2" w:rsidRDefault="005A6FE2" w:rsidP="005A6FE2">
      <w:pPr>
        <w:jc w:val="both"/>
        <w:rPr>
          <w:rFonts w:ascii="Cambria" w:eastAsia="MS Mincho" w:hAnsi="Cambria"/>
          <w:sz w:val="20"/>
          <w:szCs w:val="20"/>
          <w:lang w:val="fr-FR"/>
        </w:rPr>
      </w:pPr>
    </w:p>
    <w:p w14:paraId="1821D224" w14:textId="77777777" w:rsidR="005A6FE2" w:rsidRPr="005A6FE2" w:rsidRDefault="005A6FE2" w:rsidP="005A6FE2">
      <w:pPr>
        <w:jc w:val="both"/>
        <w:rPr>
          <w:rFonts w:ascii="Cambria" w:eastAsia="Aptos" w:hAnsi="Cambria"/>
          <w:sz w:val="20"/>
          <w:szCs w:val="20"/>
          <w:lang w:val="fr-FR"/>
        </w:rPr>
      </w:pPr>
      <w:r w:rsidRPr="005A6FE2">
        <w:rPr>
          <w:rFonts w:ascii="Cambria" w:hAnsi="Cambria"/>
          <w:sz w:val="20"/>
          <w:szCs w:val="20"/>
          <w:lang w:val="fr-FR"/>
        </w:rPr>
        <w:t>Le Comité a reconnu l'utilisation croissante de la ligne de piégeage dans les pêcheries palangrières d'espadon et a recommandé les actions suivantes pour aborder cette question :</w:t>
      </w:r>
    </w:p>
    <w:p w14:paraId="6487701D" w14:textId="77777777" w:rsidR="005A6FE2" w:rsidRPr="005A6FE2" w:rsidRDefault="005A6FE2" w:rsidP="005A6FE2">
      <w:pPr>
        <w:jc w:val="both"/>
        <w:rPr>
          <w:rFonts w:ascii="Cambria" w:eastAsia="Aptos" w:hAnsi="Cambria"/>
          <w:sz w:val="20"/>
          <w:szCs w:val="20"/>
          <w:lang w:val="fr-FR"/>
        </w:rPr>
      </w:pPr>
    </w:p>
    <w:p w14:paraId="3AE4FBDA" w14:textId="77777777" w:rsidR="005A6FE2" w:rsidRPr="005A6FE2" w:rsidRDefault="005A6FE2" w:rsidP="00075A2E">
      <w:pPr>
        <w:numPr>
          <w:ilvl w:val="0"/>
          <w:numId w:val="9"/>
        </w:numPr>
        <w:suppressAutoHyphens/>
        <w:ind w:left="567" w:hanging="283"/>
        <w:jc w:val="both"/>
        <w:rPr>
          <w:rFonts w:ascii="Cambria" w:eastAsia="Aptos" w:hAnsi="Cambria"/>
          <w:sz w:val="20"/>
          <w:szCs w:val="20"/>
          <w:lang w:val="fr-FR"/>
        </w:rPr>
      </w:pPr>
      <w:r w:rsidRPr="005A6FE2">
        <w:rPr>
          <w:rFonts w:ascii="Cambria" w:hAnsi="Cambria"/>
          <w:sz w:val="20"/>
          <w:szCs w:val="20"/>
          <w:lang w:val="fr-FR"/>
        </w:rPr>
        <w:t>Les CPC devraient mettre en œuvre des mesures permettant d'enregistrer l'utilisation de ce nouvel engin dans leurs carnets de pêche et leurs bases de données des pêcheries.</w:t>
      </w:r>
    </w:p>
    <w:p w14:paraId="7D9EA293" w14:textId="77777777" w:rsidR="005A6FE2" w:rsidRPr="005A6FE2" w:rsidRDefault="005A6FE2" w:rsidP="005A6FE2">
      <w:pPr>
        <w:ind w:left="567" w:hanging="283"/>
        <w:contextualSpacing/>
        <w:jc w:val="both"/>
        <w:rPr>
          <w:rFonts w:ascii="Cambria" w:eastAsia="Aptos" w:hAnsi="Cambria"/>
          <w:sz w:val="20"/>
          <w:szCs w:val="20"/>
          <w:lang w:val="fr-FR"/>
        </w:rPr>
      </w:pPr>
    </w:p>
    <w:p w14:paraId="49CFCD13" w14:textId="77777777" w:rsidR="005A6FE2" w:rsidRPr="005A6FE2" w:rsidRDefault="005A6FE2" w:rsidP="00075A2E">
      <w:pPr>
        <w:numPr>
          <w:ilvl w:val="0"/>
          <w:numId w:val="9"/>
        </w:numPr>
        <w:suppressAutoHyphens/>
        <w:ind w:left="567" w:hanging="283"/>
        <w:jc w:val="both"/>
        <w:rPr>
          <w:rFonts w:ascii="Cambria" w:eastAsia="Aptos" w:hAnsi="Cambria"/>
          <w:sz w:val="20"/>
          <w:szCs w:val="20"/>
          <w:lang w:val="fr-FR"/>
        </w:rPr>
      </w:pPr>
      <w:r w:rsidRPr="005A6FE2">
        <w:rPr>
          <w:rFonts w:ascii="Cambria" w:hAnsi="Cambria"/>
          <w:sz w:val="20"/>
          <w:szCs w:val="20"/>
          <w:lang w:val="fr-FR"/>
        </w:rPr>
        <w:t xml:space="preserve">Les CPC et le SCRS devraient mener des travaux pour comprendre dans quelle mesure cet engin est actuellement utilisé, et plus précisément, la première année où cet engin est entré dans la pêcherie et les captures historiques associées ; la zone (Atlantique, Méditerranée ou les deux) ; les flottilles qui utilisent cet engin ; le nombre de navires qui l’utilisent ; s’il est utilisé tout seul ou conjointement avec la palangre et, dans ce cas, dans quelle proportion. </w:t>
      </w:r>
    </w:p>
    <w:p w14:paraId="43FB2C7E" w14:textId="77777777" w:rsidR="005A6FE2" w:rsidRPr="005A6FE2" w:rsidRDefault="005A6FE2" w:rsidP="005A6FE2">
      <w:pPr>
        <w:ind w:left="567" w:hanging="283"/>
        <w:contextualSpacing/>
        <w:jc w:val="both"/>
        <w:rPr>
          <w:rFonts w:ascii="Cambria" w:eastAsia="Aptos" w:hAnsi="Cambria"/>
          <w:sz w:val="20"/>
          <w:szCs w:val="20"/>
          <w:lang w:val="fr-FR"/>
        </w:rPr>
      </w:pPr>
    </w:p>
    <w:p w14:paraId="15E6A868" w14:textId="77777777" w:rsidR="005A6FE2" w:rsidRPr="005A6FE2" w:rsidRDefault="005A6FE2" w:rsidP="00075A2E">
      <w:pPr>
        <w:numPr>
          <w:ilvl w:val="0"/>
          <w:numId w:val="9"/>
        </w:numPr>
        <w:suppressAutoHyphens/>
        <w:ind w:left="567" w:hanging="283"/>
        <w:jc w:val="both"/>
        <w:rPr>
          <w:rFonts w:ascii="Cambria" w:eastAsia="Aptos" w:hAnsi="Cambria"/>
          <w:sz w:val="20"/>
          <w:szCs w:val="20"/>
          <w:lang w:val="fr-FR"/>
        </w:rPr>
      </w:pPr>
      <w:r w:rsidRPr="005A6FE2">
        <w:rPr>
          <w:rFonts w:ascii="Cambria" w:hAnsi="Cambria"/>
          <w:sz w:val="20"/>
          <w:szCs w:val="20"/>
          <w:lang w:val="fr-FR"/>
        </w:rPr>
        <w:t>Les CPC et le SCRS devraient mener des travaux d’analyse des CPUE spécifiques à cet engin tant pour les espèces cibles que pour les espèces non ciblées.</w:t>
      </w:r>
    </w:p>
    <w:p w14:paraId="4CD74DF6" w14:textId="77777777" w:rsidR="005A6FE2" w:rsidRPr="005A6FE2" w:rsidRDefault="005A6FE2" w:rsidP="005A6FE2">
      <w:pPr>
        <w:jc w:val="both"/>
        <w:rPr>
          <w:rFonts w:ascii="Cambria" w:eastAsia="MS Mincho" w:hAnsi="Cambria"/>
          <w:sz w:val="20"/>
          <w:szCs w:val="20"/>
          <w:lang w:val="fr-FR"/>
        </w:rPr>
      </w:pPr>
    </w:p>
    <w:p w14:paraId="7AD6A856" w14:textId="77777777" w:rsidR="005A6FE2" w:rsidRPr="005A6FE2" w:rsidRDefault="005A6FE2" w:rsidP="005A6FE2">
      <w:pPr>
        <w:tabs>
          <w:tab w:val="left" w:pos="113"/>
          <w:tab w:val="left" w:pos="360"/>
        </w:tabs>
        <w:jc w:val="both"/>
        <w:rPr>
          <w:rFonts w:ascii="Cambria" w:hAnsi="Cambria"/>
          <w:sz w:val="20"/>
          <w:szCs w:val="20"/>
          <w:lang w:val="fr-FR"/>
        </w:rPr>
      </w:pPr>
      <w:r w:rsidRPr="005A6FE2">
        <w:rPr>
          <w:rFonts w:ascii="Cambria" w:hAnsi="Cambria"/>
          <w:sz w:val="20"/>
          <w:szCs w:val="20"/>
          <w:lang w:val="fr-FR"/>
        </w:rPr>
        <w:t xml:space="preserve">Le Comité a rappelé qu’il était important que le Comité comprenne quelles sont les données et la méthodologie utilisées par les CPC pour estimer les rejets morts et vivants. Le Comité a rappelé aux CPC qui </w:t>
      </w:r>
      <w:r w:rsidRPr="005A6FE2">
        <w:rPr>
          <w:rFonts w:ascii="Cambria" w:hAnsi="Cambria"/>
          <w:sz w:val="20"/>
          <w:szCs w:val="20"/>
          <w:lang w:val="fr-FR"/>
        </w:rPr>
        <w:lastRenderedPageBreak/>
        <w:t>n'ont pas encore présenté de documentation ou qui n'ont pas fourni d'informations suffisantes à cet effet qu’elles sont tenues de le faire. Les auteurs de la procédure d'estimation sont invités à consulter la procédure d'examen et la liste de contrôle figurant à l'annexe 1 du Rapport de la deuxième réunion intersessions du Sous-comité des statistiques qui sera publié dans le Recueil de documents scientifiques de l’ICCAT 83 (9).</w:t>
      </w:r>
    </w:p>
    <w:p w14:paraId="3E977207" w14:textId="1831EDD5" w:rsidR="00857C38" w:rsidRPr="005A6FE2" w:rsidRDefault="00857C38" w:rsidP="00857C38">
      <w:pPr>
        <w:jc w:val="center"/>
        <w:rPr>
          <w:rFonts w:ascii="Cambria" w:hAnsi="Cambria"/>
          <w:b/>
          <w:bCs/>
          <w:sz w:val="20"/>
          <w:szCs w:val="20"/>
          <w:lang w:val="fr-FR"/>
        </w:rPr>
      </w:pPr>
    </w:p>
    <w:sectPr w:rsidR="00857C38" w:rsidRPr="005A6FE2" w:rsidSect="009B2781">
      <w:headerReference w:type="default" r:id="rId78"/>
      <w:footerReference w:type="default" r:id="rId79"/>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642AE" w14:textId="77777777" w:rsidR="002D17BB" w:rsidRDefault="002D17BB" w:rsidP="00DD4C39">
      <w:r>
        <w:separator/>
      </w:r>
    </w:p>
  </w:endnote>
  <w:endnote w:type="continuationSeparator" w:id="0">
    <w:p w14:paraId="2C48795F" w14:textId="77777777" w:rsidR="002D17BB" w:rsidRDefault="002D17BB"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1"/>
    <w:family w:val="swiss"/>
    <w:pitch w:val="variable"/>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Droid Sans Fallback">
    <w:altName w:val="Times New Roman"/>
    <w:panose1 w:val="00000000000000000000"/>
    <w:charset w:val="00"/>
    <w:family w:val="roman"/>
    <w:notTrueType/>
    <w:pitch w:val="default"/>
  </w:font>
  <w:font w:name="Lohit Hindi">
    <w:altName w:val="MS Gothic"/>
    <w:charset w:val="00"/>
    <w:family w:val="auto"/>
    <w:pitch w:val="default"/>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2D17BB"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E9A84" w14:textId="77777777" w:rsidR="002D17BB" w:rsidRDefault="002D17BB" w:rsidP="00DD4C39">
      <w:r>
        <w:separator/>
      </w:r>
    </w:p>
  </w:footnote>
  <w:footnote w:type="continuationSeparator" w:id="0">
    <w:p w14:paraId="1E27DB50" w14:textId="77777777" w:rsidR="002D17BB" w:rsidRDefault="002D17BB"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72CF0C3C" w:rsidR="004F39B9" w:rsidRPr="00793F38" w:rsidRDefault="00857C38"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PA</w:t>
    </w:r>
    <w:r w:rsidR="00BE3023">
      <w:rPr>
        <w:rFonts w:ascii="Cambria" w:eastAsia="Calibri" w:hAnsi="Cambria"/>
        <w:b/>
        <w:bCs/>
        <w:sz w:val="20"/>
        <w:szCs w:val="20"/>
        <w:lang w:val="en-US"/>
      </w:rPr>
      <w:t>4</w:t>
    </w:r>
    <w:r w:rsidR="004F39B9" w:rsidRPr="00793F38">
      <w:rPr>
        <w:rFonts w:ascii="Cambria" w:eastAsia="Calibri" w:hAnsi="Cambria"/>
        <w:b/>
        <w:bCs/>
        <w:sz w:val="20"/>
        <w:szCs w:val="20"/>
        <w:lang w:val="en-US"/>
      </w:rPr>
      <w:t>_</w:t>
    </w:r>
    <w:r w:rsidR="00BE3023">
      <w:rPr>
        <w:rFonts w:ascii="Cambria" w:eastAsia="Calibri" w:hAnsi="Cambria"/>
        <w:b/>
        <w:bCs/>
        <w:sz w:val="20"/>
        <w:szCs w:val="20"/>
        <w:lang w:val="en-US"/>
      </w:rPr>
      <w:t>804</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6A896845"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A33D23">
      <w:rPr>
        <w:rFonts w:ascii="Cambria" w:hAnsi="Cambria"/>
        <w:b/>
        <w:bCs/>
        <w:noProof/>
        <w:sz w:val="16"/>
        <w:szCs w:val="16"/>
        <w:lang w:val="es-ES_tradnl"/>
      </w:rPr>
      <w:t>14/10/2026 10:01</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6C4D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E091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D3203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7EF7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ECC1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48F7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2F2B6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6C9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D4AB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64E55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7159FF"/>
    <w:multiLevelType w:val="hybridMultilevel"/>
    <w:tmpl w:val="682AAF8A"/>
    <w:lvl w:ilvl="0" w:tplc="EF9828C4">
      <w:start w:val="1"/>
      <w:numFmt w:val="bullet"/>
      <w:lvlText w:val="•"/>
      <w:lvlJc w:val="left"/>
      <w:pPr>
        <w:tabs>
          <w:tab w:val="num" w:pos="720"/>
        </w:tabs>
        <w:ind w:left="720" w:hanging="360"/>
      </w:pPr>
      <w:rPr>
        <w:rFonts w:ascii="Arial" w:hAnsi="Arial" w:hint="default"/>
      </w:rPr>
    </w:lvl>
    <w:lvl w:ilvl="1" w:tplc="AEC2E7EA">
      <w:start w:val="1"/>
      <w:numFmt w:val="bullet"/>
      <w:lvlText w:val="-"/>
      <w:lvlJc w:val="left"/>
      <w:pPr>
        <w:ind w:left="720" w:hanging="360"/>
      </w:pPr>
      <w:rPr>
        <w:rFonts w:ascii="Cambria" w:hAnsi="Cambria" w:hint="default"/>
      </w:rPr>
    </w:lvl>
    <w:lvl w:ilvl="2" w:tplc="E93052B6" w:tentative="1">
      <w:start w:val="1"/>
      <w:numFmt w:val="bullet"/>
      <w:lvlText w:val="•"/>
      <w:lvlJc w:val="left"/>
      <w:pPr>
        <w:tabs>
          <w:tab w:val="num" w:pos="2160"/>
        </w:tabs>
        <w:ind w:left="2160" w:hanging="360"/>
      </w:pPr>
      <w:rPr>
        <w:rFonts w:ascii="Arial" w:hAnsi="Arial" w:hint="default"/>
      </w:rPr>
    </w:lvl>
    <w:lvl w:ilvl="3" w:tplc="AA88C3DC" w:tentative="1">
      <w:start w:val="1"/>
      <w:numFmt w:val="bullet"/>
      <w:lvlText w:val="•"/>
      <w:lvlJc w:val="left"/>
      <w:pPr>
        <w:tabs>
          <w:tab w:val="num" w:pos="2880"/>
        </w:tabs>
        <w:ind w:left="2880" w:hanging="360"/>
      </w:pPr>
      <w:rPr>
        <w:rFonts w:ascii="Arial" w:hAnsi="Arial" w:hint="default"/>
      </w:rPr>
    </w:lvl>
    <w:lvl w:ilvl="4" w:tplc="605ADC5E" w:tentative="1">
      <w:start w:val="1"/>
      <w:numFmt w:val="bullet"/>
      <w:lvlText w:val="•"/>
      <w:lvlJc w:val="left"/>
      <w:pPr>
        <w:tabs>
          <w:tab w:val="num" w:pos="3600"/>
        </w:tabs>
        <w:ind w:left="3600" w:hanging="360"/>
      </w:pPr>
      <w:rPr>
        <w:rFonts w:ascii="Arial" w:hAnsi="Arial" w:hint="default"/>
      </w:rPr>
    </w:lvl>
    <w:lvl w:ilvl="5" w:tplc="B0E269F2" w:tentative="1">
      <w:start w:val="1"/>
      <w:numFmt w:val="bullet"/>
      <w:lvlText w:val="•"/>
      <w:lvlJc w:val="left"/>
      <w:pPr>
        <w:tabs>
          <w:tab w:val="num" w:pos="4320"/>
        </w:tabs>
        <w:ind w:left="4320" w:hanging="360"/>
      </w:pPr>
      <w:rPr>
        <w:rFonts w:ascii="Arial" w:hAnsi="Arial" w:hint="default"/>
      </w:rPr>
    </w:lvl>
    <w:lvl w:ilvl="6" w:tplc="C3E47CB0" w:tentative="1">
      <w:start w:val="1"/>
      <w:numFmt w:val="bullet"/>
      <w:lvlText w:val="•"/>
      <w:lvlJc w:val="left"/>
      <w:pPr>
        <w:tabs>
          <w:tab w:val="num" w:pos="5040"/>
        </w:tabs>
        <w:ind w:left="5040" w:hanging="360"/>
      </w:pPr>
      <w:rPr>
        <w:rFonts w:ascii="Arial" w:hAnsi="Arial" w:hint="default"/>
      </w:rPr>
    </w:lvl>
    <w:lvl w:ilvl="7" w:tplc="DB0CF8AE" w:tentative="1">
      <w:start w:val="1"/>
      <w:numFmt w:val="bullet"/>
      <w:lvlText w:val="•"/>
      <w:lvlJc w:val="left"/>
      <w:pPr>
        <w:tabs>
          <w:tab w:val="num" w:pos="5760"/>
        </w:tabs>
        <w:ind w:left="5760" w:hanging="360"/>
      </w:pPr>
      <w:rPr>
        <w:rFonts w:ascii="Arial" w:hAnsi="Arial" w:hint="default"/>
      </w:rPr>
    </w:lvl>
    <w:lvl w:ilvl="8" w:tplc="ED8A8BC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D9B34F8"/>
    <w:multiLevelType w:val="hybridMultilevel"/>
    <w:tmpl w:val="D0C6D7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A01CC5"/>
    <w:multiLevelType w:val="hybridMultilevel"/>
    <w:tmpl w:val="B9545746"/>
    <w:lvl w:ilvl="0" w:tplc="076065E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E74170"/>
    <w:multiLevelType w:val="hybridMultilevel"/>
    <w:tmpl w:val="2EC0C1F0"/>
    <w:lvl w:ilvl="0" w:tplc="D6C4D9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7204CB"/>
    <w:multiLevelType w:val="multilevel"/>
    <w:tmpl w:val="42DC62E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54034C25"/>
    <w:multiLevelType w:val="hybridMultilevel"/>
    <w:tmpl w:val="6A38762E"/>
    <w:lvl w:ilvl="0" w:tplc="B2107DC4">
      <w:start w:val="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6939C8"/>
    <w:multiLevelType w:val="multilevel"/>
    <w:tmpl w:val="E00234C0"/>
    <w:lvl w:ilvl="0">
      <w:start w:val="1"/>
      <w:numFmt w:val="bullet"/>
      <w:lvlText w:val="-"/>
      <w:lvlJc w:val="left"/>
      <w:pPr>
        <w:tabs>
          <w:tab w:val="num" w:pos="0"/>
        </w:tabs>
        <w:ind w:left="36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7" w15:restartNumberingAfterBreak="0">
    <w:nsid w:val="6FB66F73"/>
    <w:multiLevelType w:val="multilevel"/>
    <w:tmpl w:val="FE20BEEC"/>
    <w:lvl w:ilvl="0">
      <w:start w:val="1"/>
      <w:numFmt w:val="bullet"/>
      <w:lvlText w:val="-"/>
      <w:lvlJc w:val="left"/>
      <w:pPr>
        <w:ind w:left="36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2130999"/>
    <w:multiLevelType w:val="hybridMultilevel"/>
    <w:tmpl w:val="E9D04DB0"/>
    <w:lvl w:ilvl="0" w:tplc="FA7869D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561529"/>
    <w:multiLevelType w:val="multilevel"/>
    <w:tmpl w:val="EE8C1FE4"/>
    <w:lvl w:ilvl="0">
      <w:start w:val="1"/>
      <w:numFmt w:val="bullet"/>
      <w:lvlText w:val="-"/>
      <w:lvlJc w:val="left"/>
      <w:pPr>
        <w:tabs>
          <w:tab w:val="num" w:pos="0"/>
        </w:tabs>
        <w:ind w:left="36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19924349">
    <w:abstractNumId w:val="10"/>
  </w:num>
  <w:num w:numId="2" w16cid:durableId="1794251756">
    <w:abstractNumId w:val="18"/>
  </w:num>
  <w:num w:numId="3" w16cid:durableId="383137676">
    <w:abstractNumId w:val="13"/>
  </w:num>
  <w:num w:numId="4" w16cid:durableId="1386217913">
    <w:abstractNumId w:val="17"/>
  </w:num>
  <w:num w:numId="5" w16cid:durableId="82455429">
    <w:abstractNumId w:val="15"/>
  </w:num>
  <w:num w:numId="6" w16cid:durableId="1405757119">
    <w:abstractNumId w:val="12"/>
  </w:num>
  <w:num w:numId="7" w16cid:durableId="1187407909">
    <w:abstractNumId w:val="16"/>
  </w:num>
  <w:num w:numId="8" w16cid:durableId="427847956">
    <w:abstractNumId w:val="14"/>
  </w:num>
  <w:num w:numId="9" w16cid:durableId="283269291">
    <w:abstractNumId w:val="19"/>
  </w:num>
  <w:num w:numId="10" w16cid:durableId="295644826">
    <w:abstractNumId w:val="9"/>
  </w:num>
  <w:num w:numId="11" w16cid:durableId="1584100960">
    <w:abstractNumId w:val="7"/>
  </w:num>
  <w:num w:numId="12" w16cid:durableId="837498767">
    <w:abstractNumId w:val="6"/>
  </w:num>
  <w:num w:numId="13" w16cid:durableId="1597862514">
    <w:abstractNumId w:val="5"/>
  </w:num>
  <w:num w:numId="14" w16cid:durableId="1132020048">
    <w:abstractNumId w:val="4"/>
  </w:num>
  <w:num w:numId="15" w16cid:durableId="320428356">
    <w:abstractNumId w:val="8"/>
  </w:num>
  <w:num w:numId="16" w16cid:durableId="1819152748">
    <w:abstractNumId w:val="3"/>
  </w:num>
  <w:num w:numId="17" w16cid:durableId="246622776">
    <w:abstractNumId w:val="2"/>
  </w:num>
  <w:num w:numId="18" w16cid:durableId="736783058">
    <w:abstractNumId w:val="1"/>
  </w:num>
  <w:num w:numId="19" w16cid:durableId="1444302519">
    <w:abstractNumId w:val="0"/>
  </w:num>
  <w:num w:numId="20" w16cid:durableId="349188555">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5A2E"/>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598E"/>
    <w:rsid w:val="000C6AE8"/>
    <w:rsid w:val="000C7D41"/>
    <w:rsid w:val="000D11D4"/>
    <w:rsid w:val="000D3D1D"/>
    <w:rsid w:val="000D5959"/>
    <w:rsid w:val="000D673E"/>
    <w:rsid w:val="000E6023"/>
    <w:rsid w:val="000F10E9"/>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17BB"/>
    <w:rsid w:val="002D2C3D"/>
    <w:rsid w:val="002D3D37"/>
    <w:rsid w:val="002D7AD8"/>
    <w:rsid w:val="002D7D0D"/>
    <w:rsid w:val="002D7E3A"/>
    <w:rsid w:val="002E24FF"/>
    <w:rsid w:val="002E25F5"/>
    <w:rsid w:val="002E37A8"/>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041"/>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47DE"/>
    <w:rsid w:val="00585A74"/>
    <w:rsid w:val="00586D4A"/>
    <w:rsid w:val="00587082"/>
    <w:rsid w:val="005903D9"/>
    <w:rsid w:val="005915D1"/>
    <w:rsid w:val="00593A75"/>
    <w:rsid w:val="00594D79"/>
    <w:rsid w:val="00595988"/>
    <w:rsid w:val="00597C04"/>
    <w:rsid w:val="005A64A9"/>
    <w:rsid w:val="005A6FE2"/>
    <w:rsid w:val="005A782F"/>
    <w:rsid w:val="005B0AB8"/>
    <w:rsid w:val="005B0B6E"/>
    <w:rsid w:val="005B0C1A"/>
    <w:rsid w:val="005B152F"/>
    <w:rsid w:val="005B164B"/>
    <w:rsid w:val="005B1C74"/>
    <w:rsid w:val="005B255C"/>
    <w:rsid w:val="005B593C"/>
    <w:rsid w:val="005B5D1D"/>
    <w:rsid w:val="005B7B50"/>
    <w:rsid w:val="005C03B4"/>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5DE5"/>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B20"/>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485"/>
    <w:rsid w:val="007665AC"/>
    <w:rsid w:val="007678A5"/>
    <w:rsid w:val="00767E55"/>
    <w:rsid w:val="00774632"/>
    <w:rsid w:val="00775899"/>
    <w:rsid w:val="00780453"/>
    <w:rsid w:val="0079089F"/>
    <w:rsid w:val="0079380E"/>
    <w:rsid w:val="007A4722"/>
    <w:rsid w:val="007B10F9"/>
    <w:rsid w:val="007B1F7D"/>
    <w:rsid w:val="007B2DE7"/>
    <w:rsid w:val="007B39C6"/>
    <w:rsid w:val="007B4D4C"/>
    <w:rsid w:val="007C21CB"/>
    <w:rsid w:val="007C4A02"/>
    <w:rsid w:val="007C4E4F"/>
    <w:rsid w:val="007D08A0"/>
    <w:rsid w:val="007D1671"/>
    <w:rsid w:val="007D413A"/>
    <w:rsid w:val="007D5CA9"/>
    <w:rsid w:val="007E4C2D"/>
    <w:rsid w:val="007E654F"/>
    <w:rsid w:val="007E69D1"/>
    <w:rsid w:val="007F4EF3"/>
    <w:rsid w:val="0080033F"/>
    <w:rsid w:val="008042B6"/>
    <w:rsid w:val="00805EFF"/>
    <w:rsid w:val="00807AF8"/>
    <w:rsid w:val="00811FA1"/>
    <w:rsid w:val="008121F9"/>
    <w:rsid w:val="00816217"/>
    <w:rsid w:val="0081636C"/>
    <w:rsid w:val="00817E09"/>
    <w:rsid w:val="008207DE"/>
    <w:rsid w:val="00821CFF"/>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620"/>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73B"/>
    <w:rsid w:val="009373EA"/>
    <w:rsid w:val="00946422"/>
    <w:rsid w:val="009466F7"/>
    <w:rsid w:val="00947D0F"/>
    <w:rsid w:val="00952C5B"/>
    <w:rsid w:val="0095464C"/>
    <w:rsid w:val="0095499C"/>
    <w:rsid w:val="00955E79"/>
    <w:rsid w:val="00957027"/>
    <w:rsid w:val="0095716F"/>
    <w:rsid w:val="00961741"/>
    <w:rsid w:val="0096664A"/>
    <w:rsid w:val="00972DB9"/>
    <w:rsid w:val="00975089"/>
    <w:rsid w:val="0097663E"/>
    <w:rsid w:val="00983C8D"/>
    <w:rsid w:val="009854B5"/>
    <w:rsid w:val="00991363"/>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CE5"/>
    <w:rsid w:val="009E1DF7"/>
    <w:rsid w:val="009E4284"/>
    <w:rsid w:val="009E49C7"/>
    <w:rsid w:val="009E5C9A"/>
    <w:rsid w:val="009E5F15"/>
    <w:rsid w:val="009E64E1"/>
    <w:rsid w:val="009E7363"/>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3D23"/>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377B"/>
    <w:rsid w:val="00A552BF"/>
    <w:rsid w:val="00A5555F"/>
    <w:rsid w:val="00A555D1"/>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3904"/>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023"/>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39FB"/>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2FE7"/>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1B63"/>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4FD8"/>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77B14"/>
    <w:rsid w:val="00F800F1"/>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6648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76648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BodyText"/>
    <w:link w:val="Heading3Char"/>
    <w:uiPriority w:val="9"/>
    <w:unhideWhenUsed/>
    <w:qFormat/>
    <w:rsid w:val="00766485"/>
    <w:pPr>
      <w:keepNext/>
      <w:keepLines/>
      <w:spacing w:before="200"/>
      <w:outlineLvl w:val="2"/>
    </w:pPr>
    <w:rPr>
      <w:rFonts w:asciiTheme="majorHAnsi" w:eastAsiaTheme="majorEastAsia" w:hAnsiTheme="majorHAnsi" w:cstheme="majorBidi"/>
      <w:b/>
      <w:bCs/>
      <w:color w:val="4472C4" w:themeColor="accent1"/>
      <w:sz w:val="28"/>
      <w:szCs w:val="28"/>
      <w:lang w:val="en-US"/>
    </w:rPr>
  </w:style>
  <w:style w:type="paragraph" w:styleId="Heading4">
    <w:name w:val="heading 4"/>
    <w:basedOn w:val="Normal"/>
    <w:next w:val="BodyText"/>
    <w:link w:val="Heading4Char"/>
    <w:uiPriority w:val="9"/>
    <w:unhideWhenUsed/>
    <w:qFormat/>
    <w:rsid w:val="00766485"/>
    <w:pPr>
      <w:keepNext/>
      <w:keepLines/>
      <w:spacing w:before="200"/>
      <w:outlineLvl w:val="3"/>
    </w:pPr>
    <w:rPr>
      <w:rFonts w:asciiTheme="majorHAnsi" w:eastAsiaTheme="majorEastAsia" w:hAnsiTheme="majorHAnsi" w:cstheme="majorBidi"/>
      <w:b/>
      <w:bCs/>
      <w:color w:val="4472C4" w:themeColor="accent1"/>
      <w:lang w:val="en-US"/>
    </w:rPr>
  </w:style>
  <w:style w:type="paragraph" w:styleId="Heading5">
    <w:name w:val="heading 5"/>
    <w:basedOn w:val="Normal"/>
    <w:next w:val="BodyText"/>
    <w:link w:val="Heading5Char"/>
    <w:uiPriority w:val="9"/>
    <w:unhideWhenUsed/>
    <w:qFormat/>
    <w:rsid w:val="00766485"/>
    <w:pPr>
      <w:keepNext/>
      <w:keepLines/>
      <w:spacing w:before="200"/>
      <w:outlineLvl w:val="4"/>
    </w:pPr>
    <w:rPr>
      <w:rFonts w:asciiTheme="majorHAnsi" w:eastAsiaTheme="majorEastAsia" w:hAnsiTheme="majorHAnsi" w:cstheme="majorBidi"/>
      <w:i/>
      <w:iCs/>
      <w:color w:val="4472C4" w:themeColor="accent1"/>
      <w:lang w:val="en-US"/>
    </w:rPr>
  </w:style>
  <w:style w:type="paragraph" w:styleId="Heading6">
    <w:name w:val="heading 6"/>
    <w:basedOn w:val="Normal"/>
    <w:next w:val="BodyText"/>
    <w:link w:val="Heading6Char"/>
    <w:uiPriority w:val="9"/>
    <w:unhideWhenUsed/>
    <w:qFormat/>
    <w:rsid w:val="00766485"/>
    <w:pPr>
      <w:keepNext/>
      <w:keepLines/>
      <w:spacing w:before="200"/>
      <w:outlineLvl w:val="5"/>
    </w:pPr>
    <w:rPr>
      <w:rFonts w:asciiTheme="majorHAnsi" w:eastAsiaTheme="majorEastAsia" w:hAnsiTheme="majorHAnsi" w:cstheme="majorBidi"/>
      <w:color w:val="4472C4" w:themeColor="accent1"/>
      <w:lang w:val="en-US"/>
    </w:rPr>
  </w:style>
  <w:style w:type="paragraph" w:styleId="Heading7">
    <w:name w:val="heading 7"/>
    <w:basedOn w:val="Normal"/>
    <w:next w:val="BodyText"/>
    <w:link w:val="Heading7Char"/>
    <w:uiPriority w:val="9"/>
    <w:unhideWhenUsed/>
    <w:qFormat/>
    <w:rsid w:val="00766485"/>
    <w:pPr>
      <w:keepNext/>
      <w:keepLines/>
      <w:spacing w:before="200"/>
      <w:outlineLvl w:val="6"/>
    </w:pPr>
    <w:rPr>
      <w:rFonts w:asciiTheme="majorHAnsi" w:eastAsiaTheme="majorEastAsia" w:hAnsiTheme="majorHAnsi" w:cstheme="majorBidi"/>
      <w:color w:val="4472C4" w:themeColor="accent1"/>
      <w:lang w:val="en-US"/>
    </w:rPr>
  </w:style>
  <w:style w:type="paragraph" w:styleId="Heading8">
    <w:name w:val="heading 8"/>
    <w:basedOn w:val="Normal"/>
    <w:next w:val="BodyText"/>
    <w:link w:val="Heading8Char"/>
    <w:uiPriority w:val="9"/>
    <w:unhideWhenUsed/>
    <w:qFormat/>
    <w:rsid w:val="00766485"/>
    <w:pPr>
      <w:keepNext/>
      <w:keepLines/>
      <w:spacing w:before="200"/>
      <w:outlineLvl w:val="7"/>
    </w:pPr>
    <w:rPr>
      <w:rFonts w:asciiTheme="majorHAnsi" w:eastAsiaTheme="majorEastAsia" w:hAnsiTheme="majorHAnsi" w:cstheme="majorBidi"/>
      <w:color w:val="4472C4" w:themeColor="accent1"/>
      <w:lang w:val="en-US"/>
    </w:rPr>
  </w:style>
  <w:style w:type="paragraph" w:styleId="Heading9">
    <w:name w:val="heading 9"/>
    <w:basedOn w:val="Normal"/>
    <w:next w:val="BodyText"/>
    <w:link w:val="Heading9Char"/>
    <w:uiPriority w:val="9"/>
    <w:unhideWhenUsed/>
    <w:qFormat/>
    <w:rsid w:val="00766485"/>
    <w:pPr>
      <w:keepNext/>
      <w:keepLines/>
      <w:spacing w:before="200"/>
      <w:outlineLvl w:val="8"/>
    </w:pPr>
    <w:rPr>
      <w:rFonts w:asciiTheme="majorHAnsi" w:eastAsiaTheme="majorEastAsia" w:hAnsiTheme="majorHAnsi" w:cstheme="majorBidi"/>
      <w:color w:val="4472C4"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uiPriority w:val="99"/>
    <w:qFormat/>
    <w:rsid w:val="00DD4C39"/>
    <w:pPr>
      <w:jc w:val="center"/>
    </w:pPr>
    <w:rPr>
      <w:b/>
      <w:bCs/>
      <w:lang w:eastAsia="es-ES"/>
    </w:rPr>
  </w:style>
  <w:style w:type="character" w:customStyle="1" w:styleId="BodyTextChar">
    <w:name w:val="Body Text Char"/>
    <w:basedOn w:val="DefaultParagraphFont"/>
    <w:link w:val="BodyText"/>
    <w:uiPriority w:val="99"/>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uiPriority w:val="99"/>
    <w:unhideWhenUsed/>
    <w:qFormat/>
    <w:rsid w:val="00DD4C39"/>
    <w:rPr>
      <w:sz w:val="20"/>
      <w:szCs w:val="20"/>
    </w:rPr>
  </w:style>
  <w:style w:type="character" w:customStyle="1" w:styleId="FootnoteTextChar">
    <w:name w:val="Footnote Text Char"/>
    <w:basedOn w:val="DefaultParagraphFont"/>
    <w:link w:val="FootnoteText"/>
    <w:uiPriority w:val="99"/>
    <w:qFormat/>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nhideWhenUsed/>
    <w:rsid w:val="00FC1C55"/>
    <w:rPr>
      <w:b/>
      <w:bCs/>
    </w:rPr>
  </w:style>
  <w:style w:type="character" w:customStyle="1" w:styleId="CommentSubjectChar">
    <w:name w:val="Comment Subject Char"/>
    <w:basedOn w:val="CommentTextChar"/>
    <w:link w:val="CommentSubject"/>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qFormat/>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Heading1Char">
    <w:name w:val="Heading 1 Char"/>
    <w:basedOn w:val="DefaultParagraphFont"/>
    <w:link w:val="Heading1"/>
    <w:uiPriority w:val="9"/>
    <w:rsid w:val="00766485"/>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76648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66485"/>
    <w:rPr>
      <w:rFonts w:asciiTheme="majorHAnsi" w:eastAsiaTheme="majorEastAsia" w:hAnsiTheme="majorHAnsi" w:cstheme="majorBidi"/>
      <w:b/>
      <w:bCs/>
      <w:color w:val="4472C4" w:themeColor="accent1"/>
      <w:sz w:val="28"/>
      <w:szCs w:val="28"/>
      <w:lang w:val="en-US"/>
    </w:rPr>
  </w:style>
  <w:style w:type="character" w:customStyle="1" w:styleId="Heading4Char">
    <w:name w:val="Heading 4 Char"/>
    <w:basedOn w:val="DefaultParagraphFont"/>
    <w:link w:val="Heading4"/>
    <w:uiPriority w:val="9"/>
    <w:rsid w:val="00766485"/>
    <w:rPr>
      <w:rFonts w:asciiTheme="majorHAnsi" w:eastAsiaTheme="majorEastAsia" w:hAnsiTheme="majorHAnsi" w:cstheme="majorBidi"/>
      <w:b/>
      <w:bCs/>
      <w:color w:val="4472C4" w:themeColor="accent1"/>
      <w:sz w:val="24"/>
      <w:szCs w:val="24"/>
      <w:lang w:val="en-US"/>
    </w:rPr>
  </w:style>
  <w:style w:type="character" w:customStyle="1" w:styleId="Heading5Char">
    <w:name w:val="Heading 5 Char"/>
    <w:basedOn w:val="DefaultParagraphFont"/>
    <w:link w:val="Heading5"/>
    <w:uiPriority w:val="9"/>
    <w:rsid w:val="00766485"/>
    <w:rPr>
      <w:rFonts w:asciiTheme="majorHAnsi" w:eastAsiaTheme="majorEastAsia" w:hAnsiTheme="majorHAnsi" w:cstheme="majorBidi"/>
      <w:i/>
      <w:iCs/>
      <w:color w:val="4472C4" w:themeColor="accent1"/>
      <w:sz w:val="24"/>
      <w:szCs w:val="24"/>
      <w:lang w:val="en-US"/>
    </w:rPr>
  </w:style>
  <w:style w:type="character" w:customStyle="1" w:styleId="Heading6Char">
    <w:name w:val="Heading 6 Char"/>
    <w:basedOn w:val="DefaultParagraphFont"/>
    <w:link w:val="Heading6"/>
    <w:uiPriority w:val="9"/>
    <w:rsid w:val="00766485"/>
    <w:rPr>
      <w:rFonts w:asciiTheme="majorHAnsi" w:eastAsiaTheme="majorEastAsia" w:hAnsiTheme="majorHAnsi" w:cstheme="majorBidi"/>
      <w:color w:val="4472C4" w:themeColor="accent1"/>
      <w:sz w:val="24"/>
      <w:szCs w:val="24"/>
      <w:lang w:val="en-US"/>
    </w:rPr>
  </w:style>
  <w:style w:type="character" w:customStyle="1" w:styleId="Heading7Char">
    <w:name w:val="Heading 7 Char"/>
    <w:basedOn w:val="DefaultParagraphFont"/>
    <w:link w:val="Heading7"/>
    <w:uiPriority w:val="9"/>
    <w:rsid w:val="00766485"/>
    <w:rPr>
      <w:rFonts w:asciiTheme="majorHAnsi" w:eastAsiaTheme="majorEastAsia" w:hAnsiTheme="majorHAnsi" w:cstheme="majorBidi"/>
      <w:color w:val="4472C4" w:themeColor="accent1"/>
      <w:sz w:val="24"/>
      <w:szCs w:val="24"/>
      <w:lang w:val="en-US"/>
    </w:rPr>
  </w:style>
  <w:style w:type="character" w:customStyle="1" w:styleId="Heading8Char">
    <w:name w:val="Heading 8 Char"/>
    <w:basedOn w:val="DefaultParagraphFont"/>
    <w:link w:val="Heading8"/>
    <w:uiPriority w:val="9"/>
    <w:rsid w:val="00766485"/>
    <w:rPr>
      <w:rFonts w:asciiTheme="majorHAnsi" w:eastAsiaTheme="majorEastAsia" w:hAnsiTheme="majorHAnsi" w:cstheme="majorBidi"/>
      <w:color w:val="4472C4" w:themeColor="accent1"/>
      <w:sz w:val="24"/>
      <w:szCs w:val="24"/>
      <w:lang w:val="en-US"/>
    </w:rPr>
  </w:style>
  <w:style w:type="character" w:customStyle="1" w:styleId="Heading9Char">
    <w:name w:val="Heading 9 Char"/>
    <w:basedOn w:val="DefaultParagraphFont"/>
    <w:link w:val="Heading9"/>
    <w:uiPriority w:val="9"/>
    <w:rsid w:val="00766485"/>
    <w:rPr>
      <w:rFonts w:asciiTheme="majorHAnsi" w:eastAsiaTheme="majorEastAsia" w:hAnsiTheme="majorHAnsi" w:cstheme="majorBidi"/>
      <w:color w:val="4472C4" w:themeColor="accent1"/>
      <w:sz w:val="24"/>
      <w:szCs w:val="24"/>
      <w:lang w:val="en-US"/>
    </w:rPr>
  </w:style>
  <w:style w:type="paragraph" w:customStyle="1" w:styleId="1Paragraph">
    <w:name w:val="1Paragraph"/>
    <w:qFormat/>
    <w:rsid w:val="00766485"/>
    <w:pPr>
      <w:tabs>
        <w:tab w:val="left" w:pos="720"/>
      </w:tabs>
      <w:autoSpaceDE w:val="0"/>
      <w:autoSpaceDN w:val="0"/>
      <w:adjustRightInd w:val="0"/>
      <w:spacing w:after="0" w:line="240" w:lineRule="auto"/>
      <w:ind w:left="720" w:hanging="720"/>
    </w:pPr>
    <w:rPr>
      <w:rFonts w:ascii="Courier 10cpi" w:eastAsia="Times New Roman" w:hAnsi="Courier 10cpi" w:cs="Times New Roman"/>
      <w:sz w:val="20"/>
      <w:szCs w:val="24"/>
    </w:rPr>
  </w:style>
  <w:style w:type="paragraph" w:styleId="BodyTextIndent">
    <w:name w:val="Body Text Indent"/>
    <w:basedOn w:val="Normal"/>
    <w:link w:val="BodyTextIndentChar"/>
    <w:rsid w:val="00766485"/>
    <w:pPr>
      <w:tabs>
        <w:tab w:val="left" w:pos="-720"/>
        <w:tab w:val="left" w:pos="180"/>
        <w:tab w:val="left" w:pos="720"/>
        <w:tab w:val="left" w:pos="817"/>
        <w:tab w:val="left" w:pos="1152"/>
      </w:tabs>
      <w:spacing w:line="287" w:lineRule="atLeast"/>
      <w:ind w:left="180"/>
    </w:pPr>
    <w:rPr>
      <w:sz w:val="22"/>
      <w:szCs w:val="22"/>
    </w:rPr>
  </w:style>
  <w:style w:type="character" w:customStyle="1" w:styleId="BodyTextIndentChar">
    <w:name w:val="Body Text Indent Char"/>
    <w:basedOn w:val="DefaultParagraphFont"/>
    <w:link w:val="BodyTextIndent"/>
    <w:rsid w:val="00766485"/>
    <w:rPr>
      <w:rFonts w:ascii="Times New Roman" w:eastAsia="Times New Roman" w:hAnsi="Times New Roman" w:cs="Times New Roman"/>
    </w:rPr>
  </w:style>
  <w:style w:type="character" w:styleId="PageNumber">
    <w:name w:val="page number"/>
    <w:basedOn w:val="DefaultParagraphFont"/>
    <w:rsid w:val="00766485"/>
  </w:style>
  <w:style w:type="paragraph" w:styleId="BalloonText">
    <w:name w:val="Balloon Text"/>
    <w:basedOn w:val="Normal"/>
    <w:link w:val="BalloonTextChar"/>
    <w:uiPriority w:val="99"/>
    <w:semiHidden/>
    <w:rsid w:val="00766485"/>
    <w:rPr>
      <w:rFonts w:ascii="Tahoma" w:hAnsi="Tahoma" w:cs="Tahoma"/>
      <w:sz w:val="16"/>
      <w:szCs w:val="16"/>
    </w:rPr>
  </w:style>
  <w:style w:type="character" w:customStyle="1" w:styleId="BalloonTextChar">
    <w:name w:val="Balloon Text Char"/>
    <w:basedOn w:val="DefaultParagraphFont"/>
    <w:link w:val="BalloonText"/>
    <w:uiPriority w:val="99"/>
    <w:semiHidden/>
    <w:rsid w:val="00766485"/>
    <w:rPr>
      <w:rFonts w:ascii="Tahoma" w:eastAsia="Times New Roman" w:hAnsi="Tahoma" w:cs="Tahoma"/>
      <w:sz w:val="16"/>
      <w:szCs w:val="16"/>
    </w:rPr>
  </w:style>
  <w:style w:type="paragraph" w:styleId="EndnoteText">
    <w:name w:val="endnote text"/>
    <w:basedOn w:val="Normal"/>
    <w:link w:val="EndnoteTextChar"/>
    <w:rsid w:val="00766485"/>
    <w:rPr>
      <w:sz w:val="20"/>
      <w:szCs w:val="20"/>
    </w:rPr>
  </w:style>
  <w:style w:type="character" w:customStyle="1" w:styleId="EndnoteTextChar">
    <w:name w:val="Endnote Text Char"/>
    <w:basedOn w:val="DefaultParagraphFont"/>
    <w:link w:val="EndnoteText"/>
    <w:rsid w:val="00766485"/>
    <w:rPr>
      <w:rFonts w:ascii="Times New Roman" w:eastAsia="Times New Roman" w:hAnsi="Times New Roman" w:cs="Times New Roman"/>
      <w:sz w:val="20"/>
      <w:szCs w:val="20"/>
    </w:rPr>
  </w:style>
  <w:style w:type="character" w:styleId="EndnoteReference">
    <w:name w:val="endnote reference"/>
    <w:rsid w:val="00766485"/>
    <w:rPr>
      <w:vertAlign w:val="superscript"/>
    </w:rPr>
  </w:style>
  <w:style w:type="paragraph" w:customStyle="1" w:styleId="Paragraphedeliste">
    <w:name w:val="Paragraphe de liste"/>
    <w:basedOn w:val="Normal"/>
    <w:qFormat/>
    <w:rsid w:val="00766485"/>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qFormat/>
    <w:rsid w:val="00766485"/>
    <w:pPr>
      <w:spacing w:before="100" w:beforeAutospacing="1" w:after="100" w:afterAutospacing="1"/>
    </w:pPr>
    <w:rPr>
      <w:lang w:eastAsia="pt-BR"/>
    </w:rPr>
  </w:style>
  <w:style w:type="paragraph" w:customStyle="1" w:styleId="TableParagraph">
    <w:name w:val="Table Paragraph"/>
    <w:basedOn w:val="Normal"/>
    <w:uiPriority w:val="1"/>
    <w:qFormat/>
    <w:rsid w:val="00766485"/>
    <w:pPr>
      <w:widowControl w:val="0"/>
    </w:pPr>
    <w:rPr>
      <w:rFonts w:ascii="Calibri" w:eastAsia="Calibri" w:hAnsi="Calibri"/>
      <w:sz w:val="22"/>
      <w:szCs w:val="22"/>
    </w:rPr>
  </w:style>
  <w:style w:type="character" w:customStyle="1" w:styleId="BodyTextChar1">
    <w:name w:val="Body Text Char1"/>
    <w:basedOn w:val="DefaultParagraphFont"/>
    <w:uiPriority w:val="1"/>
    <w:rsid w:val="00766485"/>
    <w:rPr>
      <w:rFonts w:ascii="Times New Roman" w:eastAsia="Times New Roman" w:hAnsi="Times New Roman" w:cs="Times New Roman"/>
      <w:sz w:val="24"/>
      <w:szCs w:val="24"/>
      <w:lang w:val="en-US"/>
    </w:rPr>
  </w:style>
  <w:style w:type="table" w:customStyle="1" w:styleId="TableGrid4">
    <w:name w:val="Table Grid4"/>
    <w:basedOn w:val="TableNormal"/>
    <w:uiPriority w:val="59"/>
    <w:rsid w:val="00766485"/>
    <w:pPr>
      <w:spacing w:after="0" w:line="240" w:lineRule="auto"/>
    </w:pPr>
    <w:rPr>
      <w:rFonts w:ascii="Calibri" w:eastAsia="Calibri" w:hAnsi="Calibri"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766485"/>
    <w:pPr>
      <w:spacing w:after="0" w:line="240" w:lineRule="auto"/>
    </w:pPr>
    <w:rPr>
      <w:rFonts w:ascii="Calibri" w:eastAsia="Calibri" w:hAnsi="Calibri"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66485"/>
    <w:pPr>
      <w:spacing w:after="0" w:line="240" w:lineRule="auto"/>
    </w:pPr>
    <w:rPr>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66485"/>
    <w:rPr>
      <w:color w:val="605E5C"/>
      <w:shd w:val="clear" w:color="auto" w:fill="E1DFDD"/>
    </w:rPr>
  </w:style>
  <w:style w:type="paragraph" w:customStyle="1" w:styleId="FirstParagraph">
    <w:name w:val="First Paragraph"/>
    <w:basedOn w:val="BodyText"/>
    <w:next w:val="BodyText"/>
    <w:qFormat/>
    <w:rsid w:val="00766485"/>
    <w:pPr>
      <w:suppressAutoHyphens/>
      <w:autoSpaceDN w:val="0"/>
      <w:spacing w:before="180" w:after="180"/>
      <w:jc w:val="left"/>
      <w:textAlignment w:val="baseline"/>
    </w:pPr>
    <w:rPr>
      <w:rFonts w:ascii="Calibri" w:eastAsia="Calibri" w:hAnsi="Calibri"/>
      <w:b w:val="0"/>
      <w:bCs w:val="0"/>
      <w:lang w:val="en-US" w:eastAsia="en-US"/>
    </w:rPr>
  </w:style>
  <w:style w:type="paragraph" w:customStyle="1" w:styleId="2AutoList25">
    <w:name w:val="2AutoList25"/>
    <w:rsid w:val="00766485"/>
    <w:pPr>
      <w:tabs>
        <w:tab w:val="left" w:pos="720"/>
        <w:tab w:val="left" w:pos="1440"/>
      </w:tabs>
      <w:autoSpaceDE w:val="0"/>
      <w:autoSpaceDN w:val="0"/>
      <w:adjustRightInd w:val="0"/>
      <w:spacing w:after="0" w:line="240" w:lineRule="auto"/>
      <w:ind w:left="1440" w:hanging="720"/>
    </w:pPr>
    <w:rPr>
      <w:rFonts w:ascii="Times New Roman" w:eastAsia="Times New Roman" w:hAnsi="Times New Roman" w:cs="Times New Roman"/>
      <w:sz w:val="20"/>
      <w:szCs w:val="24"/>
      <w:lang w:val="en-US"/>
    </w:rPr>
  </w:style>
  <w:style w:type="character" w:customStyle="1" w:styleId="tlid-translation">
    <w:name w:val="tlid-translation"/>
    <w:basedOn w:val="DefaultParagraphFont"/>
    <w:rsid w:val="00766485"/>
  </w:style>
  <w:style w:type="paragraph" w:customStyle="1" w:styleId="Standard">
    <w:name w:val="Standard"/>
    <w:qFormat/>
    <w:rsid w:val="00766485"/>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paragraph" w:customStyle="1" w:styleId="Compact">
    <w:name w:val="Compact"/>
    <w:basedOn w:val="BodyText"/>
    <w:qFormat/>
    <w:rsid w:val="00766485"/>
    <w:pPr>
      <w:spacing w:before="36" w:after="36"/>
      <w:jc w:val="left"/>
    </w:pPr>
    <w:rPr>
      <w:rFonts w:asciiTheme="minorHAnsi" w:eastAsiaTheme="minorHAnsi" w:hAnsiTheme="minorHAnsi" w:cstheme="minorBidi"/>
      <w:b w:val="0"/>
      <w:bCs w:val="0"/>
      <w:lang w:val="en-US" w:eastAsia="en-US"/>
    </w:rPr>
  </w:style>
  <w:style w:type="paragraph" w:styleId="Title">
    <w:name w:val="Title"/>
    <w:basedOn w:val="Normal"/>
    <w:next w:val="BodyText"/>
    <w:link w:val="TitleChar"/>
    <w:qFormat/>
    <w:rsid w:val="00766485"/>
    <w:pPr>
      <w:keepNext/>
      <w:keepLines/>
      <w:spacing w:before="480" w:after="240"/>
      <w:jc w:val="center"/>
    </w:pPr>
    <w:rPr>
      <w:rFonts w:asciiTheme="majorHAnsi" w:eastAsiaTheme="majorEastAsia" w:hAnsiTheme="majorHAnsi" w:cstheme="majorBidi"/>
      <w:b/>
      <w:bCs/>
      <w:color w:val="2D4F8E" w:themeColor="accent1" w:themeShade="B5"/>
      <w:sz w:val="36"/>
      <w:szCs w:val="36"/>
      <w:lang w:val="en-US"/>
    </w:rPr>
  </w:style>
  <w:style w:type="character" w:customStyle="1" w:styleId="TitleChar">
    <w:name w:val="Title Char"/>
    <w:basedOn w:val="DefaultParagraphFont"/>
    <w:link w:val="Title"/>
    <w:rsid w:val="00766485"/>
    <w:rPr>
      <w:rFonts w:asciiTheme="majorHAnsi" w:eastAsiaTheme="majorEastAsia" w:hAnsiTheme="majorHAnsi" w:cstheme="majorBidi"/>
      <w:b/>
      <w:bCs/>
      <w:color w:val="2D4F8E" w:themeColor="accent1" w:themeShade="B5"/>
      <w:sz w:val="36"/>
      <w:szCs w:val="36"/>
      <w:lang w:val="en-US"/>
    </w:rPr>
  </w:style>
  <w:style w:type="paragraph" w:styleId="Subtitle">
    <w:name w:val="Subtitle"/>
    <w:basedOn w:val="Title"/>
    <w:next w:val="BodyText"/>
    <w:link w:val="SubtitleChar"/>
    <w:qFormat/>
    <w:rsid w:val="00766485"/>
    <w:pPr>
      <w:spacing w:before="240"/>
    </w:pPr>
    <w:rPr>
      <w:sz w:val="30"/>
      <w:szCs w:val="30"/>
    </w:rPr>
  </w:style>
  <w:style w:type="character" w:customStyle="1" w:styleId="SubtitleChar">
    <w:name w:val="Subtitle Char"/>
    <w:basedOn w:val="DefaultParagraphFont"/>
    <w:link w:val="Subtitle"/>
    <w:rsid w:val="00766485"/>
    <w:rPr>
      <w:rFonts w:asciiTheme="majorHAnsi" w:eastAsiaTheme="majorEastAsia" w:hAnsiTheme="majorHAnsi" w:cstheme="majorBidi"/>
      <w:b/>
      <w:bCs/>
      <w:color w:val="2D4F8E" w:themeColor="accent1" w:themeShade="B5"/>
      <w:sz w:val="30"/>
      <w:szCs w:val="30"/>
      <w:lang w:val="en-US"/>
    </w:rPr>
  </w:style>
  <w:style w:type="paragraph" w:customStyle="1" w:styleId="Author">
    <w:name w:val="Author"/>
    <w:next w:val="BodyText"/>
    <w:qFormat/>
    <w:rsid w:val="00766485"/>
    <w:pPr>
      <w:keepNext/>
      <w:keepLines/>
      <w:spacing w:after="200" w:line="240" w:lineRule="auto"/>
      <w:jc w:val="center"/>
    </w:pPr>
    <w:rPr>
      <w:sz w:val="24"/>
      <w:szCs w:val="24"/>
      <w:lang w:val="en-US"/>
    </w:rPr>
  </w:style>
  <w:style w:type="paragraph" w:styleId="Date">
    <w:name w:val="Date"/>
    <w:next w:val="BodyText"/>
    <w:link w:val="DateChar"/>
    <w:qFormat/>
    <w:rsid w:val="00766485"/>
    <w:pPr>
      <w:keepNext/>
      <w:keepLines/>
      <w:spacing w:after="200" w:line="240" w:lineRule="auto"/>
      <w:jc w:val="center"/>
    </w:pPr>
    <w:rPr>
      <w:sz w:val="24"/>
      <w:szCs w:val="24"/>
      <w:lang w:val="en-US"/>
    </w:rPr>
  </w:style>
  <w:style w:type="character" w:customStyle="1" w:styleId="DateChar">
    <w:name w:val="Date Char"/>
    <w:basedOn w:val="DefaultParagraphFont"/>
    <w:link w:val="Date"/>
    <w:rsid w:val="00766485"/>
    <w:rPr>
      <w:sz w:val="24"/>
      <w:szCs w:val="24"/>
      <w:lang w:val="en-US"/>
    </w:rPr>
  </w:style>
  <w:style w:type="paragraph" w:customStyle="1" w:styleId="Abstract">
    <w:name w:val="Abstract"/>
    <w:basedOn w:val="Normal"/>
    <w:next w:val="BodyText"/>
    <w:qFormat/>
    <w:rsid w:val="00766485"/>
    <w:pPr>
      <w:keepNext/>
      <w:keepLines/>
      <w:spacing w:before="300" w:after="300"/>
    </w:pPr>
    <w:rPr>
      <w:rFonts w:asciiTheme="minorHAnsi" w:eastAsiaTheme="minorHAnsi" w:hAnsiTheme="minorHAnsi" w:cstheme="minorBidi"/>
      <w:sz w:val="20"/>
      <w:szCs w:val="20"/>
      <w:lang w:val="en-US"/>
    </w:rPr>
  </w:style>
  <w:style w:type="paragraph" w:styleId="Bibliography">
    <w:name w:val="Bibliography"/>
    <w:basedOn w:val="Normal"/>
    <w:qFormat/>
    <w:rsid w:val="00766485"/>
    <w:pPr>
      <w:spacing w:after="200"/>
    </w:pPr>
    <w:rPr>
      <w:rFonts w:asciiTheme="minorHAnsi" w:eastAsiaTheme="minorHAnsi" w:hAnsiTheme="minorHAnsi" w:cstheme="minorBidi"/>
      <w:lang w:val="en-US"/>
    </w:rPr>
  </w:style>
  <w:style w:type="paragraph" w:styleId="BlockText">
    <w:name w:val="Block Text"/>
    <w:basedOn w:val="BodyText"/>
    <w:next w:val="BodyText"/>
    <w:uiPriority w:val="9"/>
    <w:unhideWhenUsed/>
    <w:qFormat/>
    <w:rsid w:val="00766485"/>
    <w:pPr>
      <w:spacing w:before="100" w:after="100"/>
      <w:jc w:val="left"/>
    </w:pPr>
    <w:rPr>
      <w:rFonts w:asciiTheme="majorHAnsi" w:eastAsiaTheme="majorEastAsia" w:hAnsiTheme="majorHAnsi" w:cstheme="majorBidi"/>
      <w:b w:val="0"/>
      <w:sz w:val="20"/>
      <w:szCs w:val="20"/>
      <w:lang w:val="en-US" w:eastAsia="en-US"/>
    </w:rPr>
  </w:style>
  <w:style w:type="table" w:customStyle="1" w:styleId="Table">
    <w:name w:val="Table"/>
    <w:semiHidden/>
    <w:unhideWhenUsed/>
    <w:qFormat/>
    <w:rsid w:val="00766485"/>
    <w:pPr>
      <w:spacing w:after="200" w:line="240" w:lineRule="auto"/>
    </w:pPr>
    <w:rPr>
      <w:sz w:val="24"/>
      <w:szCs w:val="24"/>
      <w:lang w:val="en-US"/>
    </w:rPr>
    <w:tblPr>
      <w:tblInd w:w="0" w:type="dxa"/>
      <w:tblCellMar>
        <w:top w:w="0" w:type="dxa"/>
        <w:left w:w="108" w:type="dxa"/>
        <w:bottom w:w="0" w:type="dxa"/>
        <w:right w:w="108" w:type="dxa"/>
      </w:tblCellMar>
    </w:tblPr>
  </w:style>
  <w:style w:type="paragraph" w:customStyle="1" w:styleId="DefinitionTerm">
    <w:name w:val="Definition Term"/>
    <w:basedOn w:val="Normal"/>
    <w:next w:val="Definition"/>
    <w:rsid w:val="00766485"/>
    <w:pPr>
      <w:keepNext/>
      <w:keepLines/>
    </w:pPr>
    <w:rPr>
      <w:rFonts w:asciiTheme="minorHAnsi" w:eastAsiaTheme="minorHAnsi" w:hAnsiTheme="minorHAnsi" w:cstheme="minorBidi"/>
      <w:b/>
      <w:lang w:val="en-US"/>
    </w:rPr>
  </w:style>
  <w:style w:type="paragraph" w:customStyle="1" w:styleId="Definition">
    <w:name w:val="Definition"/>
    <w:basedOn w:val="Normal"/>
    <w:rsid w:val="00766485"/>
    <w:pPr>
      <w:spacing w:after="200"/>
    </w:pPr>
    <w:rPr>
      <w:rFonts w:asciiTheme="minorHAnsi" w:eastAsiaTheme="minorHAnsi" w:hAnsiTheme="minorHAnsi" w:cstheme="minorBidi"/>
      <w:lang w:val="en-US"/>
    </w:rPr>
  </w:style>
  <w:style w:type="paragraph" w:styleId="Caption">
    <w:name w:val="caption"/>
    <w:basedOn w:val="Normal"/>
    <w:link w:val="CaptionChar"/>
    <w:qFormat/>
    <w:rsid w:val="00766485"/>
    <w:pPr>
      <w:spacing w:after="120"/>
    </w:pPr>
    <w:rPr>
      <w:rFonts w:asciiTheme="minorHAnsi" w:eastAsiaTheme="minorHAnsi" w:hAnsiTheme="minorHAnsi" w:cstheme="minorBidi"/>
      <w:i/>
      <w:lang w:val="en-US"/>
    </w:rPr>
  </w:style>
  <w:style w:type="paragraph" w:customStyle="1" w:styleId="TableCaption">
    <w:name w:val="Table Caption"/>
    <w:basedOn w:val="Caption"/>
    <w:rsid w:val="00766485"/>
    <w:pPr>
      <w:keepNext/>
    </w:pPr>
  </w:style>
  <w:style w:type="paragraph" w:customStyle="1" w:styleId="ImageCaption">
    <w:name w:val="Image Caption"/>
    <w:basedOn w:val="Caption"/>
    <w:rsid w:val="00766485"/>
  </w:style>
  <w:style w:type="paragraph" w:customStyle="1" w:styleId="Figure">
    <w:name w:val="Figure"/>
    <w:basedOn w:val="Normal"/>
    <w:rsid w:val="00766485"/>
    <w:pPr>
      <w:spacing w:after="200"/>
    </w:pPr>
    <w:rPr>
      <w:rFonts w:asciiTheme="minorHAnsi" w:eastAsiaTheme="minorHAnsi" w:hAnsiTheme="minorHAnsi" w:cstheme="minorBidi"/>
      <w:lang w:val="en-US"/>
    </w:rPr>
  </w:style>
  <w:style w:type="paragraph" w:customStyle="1" w:styleId="CaptionedFigure">
    <w:name w:val="Captioned Figure"/>
    <w:basedOn w:val="Figure"/>
    <w:rsid w:val="00766485"/>
    <w:pPr>
      <w:keepNext/>
    </w:pPr>
  </w:style>
  <w:style w:type="character" w:customStyle="1" w:styleId="CaptionChar">
    <w:name w:val="Caption Char"/>
    <w:basedOn w:val="DefaultParagraphFont"/>
    <w:link w:val="Caption"/>
    <w:rsid w:val="00766485"/>
    <w:rPr>
      <w:i/>
      <w:sz w:val="24"/>
      <w:szCs w:val="24"/>
      <w:lang w:val="en-US"/>
    </w:rPr>
  </w:style>
  <w:style w:type="character" w:customStyle="1" w:styleId="VerbatimChar">
    <w:name w:val="Verbatim Char"/>
    <w:basedOn w:val="CaptionChar"/>
    <w:link w:val="SourceCode"/>
    <w:rsid w:val="00766485"/>
    <w:rPr>
      <w:rFonts w:ascii="Consolas" w:hAnsi="Consolas"/>
      <w:i/>
      <w:sz w:val="24"/>
      <w:szCs w:val="24"/>
      <w:shd w:val="clear" w:color="auto" w:fill="F8F8F8"/>
      <w:lang w:val="en-US"/>
    </w:rPr>
  </w:style>
  <w:style w:type="paragraph" w:styleId="TOCHeading">
    <w:name w:val="TOC Heading"/>
    <w:basedOn w:val="Heading1"/>
    <w:next w:val="BodyText"/>
    <w:uiPriority w:val="39"/>
    <w:unhideWhenUsed/>
    <w:qFormat/>
    <w:rsid w:val="00766485"/>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customStyle="1" w:styleId="SourceCode">
    <w:name w:val="Source Code"/>
    <w:basedOn w:val="Normal"/>
    <w:link w:val="VerbatimChar"/>
    <w:rsid w:val="00766485"/>
    <w:pPr>
      <w:shd w:val="clear" w:color="auto" w:fill="F8F8F8"/>
      <w:wordWrap w:val="0"/>
      <w:spacing w:after="200"/>
    </w:pPr>
    <w:rPr>
      <w:rFonts w:ascii="Consolas" w:eastAsiaTheme="minorHAnsi" w:hAnsi="Consolas" w:cstheme="minorBidi"/>
      <w:i/>
      <w:lang w:val="en-US"/>
    </w:rPr>
  </w:style>
  <w:style w:type="character" w:customStyle="1" w:styleId="KeywordTok">
    <w:name w:val="KeywordTok"/>
    <w:basedOn w:val="VerbatimChar"/>
    <w:rsid w:val="00766485"/>
    <w:rPr>
      <w:rFonts w:ascii="Consolas" w:hAnsi="Consolas"/>
      <w:b/>
      <w:i/>
      <w:color w:val="204A87"/>
      <w:sz w:val="24"/>
      <w:szCs w:val="24"/>
      <w:shd w:val="clear" w:color="auto" w:fill="F8F8F8"/>
      <w:lang w:val="en-US"/>
    </w:rPr>
  </w:style>
  <w:style w:type="character" w:customStyle="1" w:styleId="DataTypeTok">
    <w:name w:val="DataTypeTok"/>
    <w:basedOn w:val="VerbatimChar"/>
    <w:rsid w:val="00766485"/>
    <w:rPr>
      <w:rFonts w:ascii="Consolas" w:hAnsi="Consolas"/>
      <w:i/>
      <w:color w:val="204A87"/>
      <w:sz w:val="24"/>
      <w:szCs w:val="24"/>
      <w:shd w:val="clear" w:color="auto" w:fill="F8F8F8"/>
      <w:lang w:val="en-US"/>
    </w:rPr>
  </w:style>
  <w:style w:type="character" w:customStyle="1" w:styleId="DecValTok">
    <w:name w:val="DecValTok"/>
    <w:basedOn w:val="VerbatimChar"/>
    <w:rsid w:val="00766485"/>
    <w:rPr>
      <w:rFonts w:ascii="Consolas" w:hAnsi="Consolas"/>
      <w:i/>
      <w:color w:val="0000CF"/>
      <w:sz w:val="24"/>
      <w:szCs w:val="24"/>
      <w:shd w:val="clear" w:color="auto" w:fill="F8F8F8"/>
      <w:lang w:val="en-US"/>
    </w:rPr>
  </w:style>
  <w:style w:type="character" w:customStyle="1" w:styleId="BaseNTok">
    <w:name w:val="BaseNTok"/>
    <w:basedOn w:val="VerbatimChar"/>
    <w:rsid w:val="00766485"/>
    <w:rPr>
      <w:rFonts w:ascii="Consolas" w:hAnsi="Consolas"/>
      <w:i/>
      <w:color w:val="0000CF"/>
      <w:sz w:val="24"/>
      <w:szCs w:val="24"/>
      <w:shd w:val="clear" w:color="auto" w:fill="F8F8F8"/>
      <w:lang w:val="en-US"/>
    </w:rPr>
  </w:style>
  <w:style w:type="character" w:customStyle="1" w:styleId="FloatTok">
    <w:name w:val="FloatTok"/>
    <w:basedOn w:val="VerbatimChar"/>
    <w:rsid w:val="00766485"/>
    <w:rPr>
      <w:rFonts w:ascii="Consolas" w:hAnsi="Consolas"/>
      <w:i/>
      <w:color w:val="0000CF"/>
      <w:sz w:val="24"/>
      <w:szCs w:val="24"/>
      <w:shd w:val="clear" w:color="auto" w:fill="F8F8F8"/>
      <w:lang w:val="en-US"/>
    </w:rPr>
  </w:style>
  <w:style w:type="character" w:customStyle="1" w:styleId="ConstantTok">
    <w:name w:val="ConstantTok"/>
    <w:basedOn w:val="VerbatimChar"/>
    <w:rsid w:val="00766485"/>
    <w:rPr>
      <w:rFonts w:ascii="Consolas" w:hAnsi="Consolas"/>
      <w:i/>
      <w:color w:val="000000"/>
      <w:sz w:val="24"/>
      <w:szCs w:val="24"/>
      <w:shd w:val="clear" w:color="auto" w:fill="F8F8F8"/>
      <w:lang w:val="en-US"/>
    </w:rPr>
  </w:style>
  <w:style w:type="character" w:customStyle="1" w:styleId="CharTok">
    <w:name w:val="CharTok"/>
    <w:basedOn w:val="VerbatimChar"/>
    <w:rsid w:val="00766485"/>
    <w:rPr>
      <w:rFonts w:ascii="Consolas" w:hAnsi="Consolas"/>
      <w:i/>
      <w:color w:val="4E9A06"/>
      <w:sz w:val="24"/>
      <w:szCs w:val="24"/>
      <w:shd w:val="clear" w:color="auto" w:fill="F8F8F8"/>
      <w:lang w:val="en-US"/>
    </w:rPr>
  </w:style>
  <w:style w:type="character" w:customStyle="1" w:styleId="SpecialCharTok">
    <w:name w:val="SpecialCharTok"/>
    <w:basedOn w:val="VerbatimChar"/>
    <w:rsid w:val="00766485"/>
    <w:rPr>
      <w:rFonts w:ascii="Consolas" w:hAnsi="Consolas"/>
      <w:i/>
      <w:color w:val="000000"/>
      <w:sz w:val="24"/>
      <w:szCs w:val="24"/>
      <w:shd w:val="clear" w:color="auto" w:fill="F8F8F8"/>
      <w:lang w:val="en-US"/>
    </w:rPr>
  </w:style>
  <w:style w:type="character" w:customStyle="1" w:styleId="StringTok">
    <w:name w:val="StringTok"/>
    <w:basedOn w:val="VerbatimChar"/>
    <w:rsid w:val="00766485"/>
    <w:rPr>
      <w:rFonts w:ascii="Consolas" w:hAnsi="Consolas"/>
      <w:i/>
      <w:color w:val="4E9A06"/>
      <w:sz w:val="24"/>
      <w:szCs w:val="24"/>
      <w:shd w:val="clear" w:color="auto" w:fill="F8F8F8"/>
      <w:lang w:val="en-US"/>
    </w:rPr>
  </w:style>
  <w:style w:type="character" w:customStyle="1" w:styleId="VerbatimStringTok">
    <w:name w:val="VerbatimStringTok"/>
    <w:basedOn w:val="VerbatimChar"/>
    <w:rsid w:val="00766485"/>
    <w:rPr>
      <w:rFonts w:ascii="Consolas" w:hAnsi="Consolas"/>
      <w:i/>
      <w:color w:val="4E9A06"/>
      <w:sz w:val="24"/>
      <w:szCs w:val="24"/>
      <w:shd w:val="clear" w:color="auto" w:fill="F8F8F8"/>
      <w:lang w:val="en-US"/>
    </w:rPr>
  </w:style>
  <w:style w:type="character" w:customStyle="1" w:styleId="SpecialStringTok">
    <w:name w:val="SpecialStringTok"/>
    <w:basedOn w:val="VerbatimChar"/>
    <w:rsid w:val="00766485"/>
    <w:rPr>
      <w:rFonts w:ascii="Consolas" w:hAnsi="Consolas"/>
      <w:i/>
      <w:color w:val="4E9A06"/>
      <w:sz w:val="24"/>
      <w:szCs w:val="24"/>
      <w:shd w:val="clear" w:color="auto" w:fill="F8F8F8"/>
      <w:lang w:val="en-US"/>
    </w:rPr>
  </w:style>
  <w:style w:type="character" w:customStyle="1" w:styleId="ImportTok">
    <w:name w:val="ImportTok"/>
    <w:basedOn w:val="VerbatimChar"/>
    <w:rsid w:val="00766485"/>
    <w:rPr>
      <w:rFonts w:ascii="Consolas" w:hAnsi="Consolas"/>
      <w:i/>
      <w:sz w:val="24"/>
      <w:szCs w:val="24"/>
      <w:shd w:val="clear" w:color="auto" w:fill="F8F8F8"/>
      <w:lang w:val="en-US"/>
    </w:rPr>
  </w:style>
  <w:style w:type="character" w:customStyle="1" w:styleId="CommentTok">
    <w:name w:val="CommentTok"/>
    <w:basedOn w:val="VerbatimChar"/>
    <w:rsid w:val="00766485"/>
    <w:rPr>
      <w:rFonts w:ascii="Consolas" w:hAnsi="Consolas"/>
      <w:i w:val="0"/>
      <w:color w:val="8F5902"/>
      <w:sz w:val="24"/>
      <w:szCs w:val="24"/>
      <w:shd w:val="clear" w:color="auto" w:fill="F8F8F8"/>
      <w:lang w:val="en-US"/>
    </w:rPr>
  </w:style>
  <w:style w:type="character" w:customStyle="1" w:styleId="DocumentationTok">
    <w:name w:val="DocumentationTok"/>
    <w:basedOn w:val="VerbatimChar"/>
    <w:rsid w:val="00766485"/>
    <w:rPr>
      <w:rFonts w:ascii="Consolas" w:hAnsi="Consolas"/>
      <w:b/>
      <w:i w:val="0"/>
      <w:color w:val="8F5902"/>
      <w:sz w:val="24"/>
      <w:szCs w:val="24"/>
      <w:shd w:val="clear" w:color="auto" w:fill="F8F8F8"/>
      <w:lang w:val="en-US"/>
    </w:rPr>
  </w:style>
  <w:style w:type="character" w:customStyle="1" w:styleId="AnnotationTok">
    <w:name w:val="AnnotationTok"/>
    <w:basedOn w:val="VerbatimChar"/>
    <w:rsid w:val="00766485"/>
    <w:rPr>
      <w:rFonts w:ascii="Consolas" w:hAnsi="Consolas"/>
      <w:b/>
      <w:i w:val="0"/>
      <w:color w:val="8F5902"/>
      <w:sz w:val="24"/>
      <w:szCs w:val="24"/>
      <w:shd w:val="clear" w:color="auto" w:fill="F8F8F8"/>
      <w:lang w:val="en-US"/>
    </w:rPr>
  </w:style>
  <w:style w:type="character" w:customStyle="1" w:styleId="CommentVarTok">
    <w:name w:val="CommentVarTok"/>
    <w:basedOn w:val="VerbatimChar"/>
    <w:rsid w:val="00766485"/>
    <w:rPr>
      <w:rFonts w:ascii="Consolas" w:hAnsi="Consolas"/>
      <w:b/>
      <w:i w:val="0"/>
      <w:color w:val="8F5902"/>
      <w:sz w:val="24"/>
      <w:szCs w:val="24"/>
      <w:shd w:val="clear" w:color="auto" w:fill="F8F8F8"/>
      <w:lang w:val="en-US"/>
    </w:rPr>
  </w:style>
  <w:style w:type="character" w:customStyle="1" w:styleId="OtherTok">
    <w:name w:val="OtherTok"/>
    <w:basedOn w:val="VerbatimChar"/>
    <w:rsid w:val="00766485"/>
    <w:rPr>
      <w:rFonts w:ascii="Consolas" w:hAnsi="Consolas"/>
      <w:i/>
      <w:color w:val="8F5902"/>
      <w:sz w:val="24"/>
      <w:szCs w:val="24"/>
      <w:shd w:val="clear" w:color="auto" w:fill="F8F8F8"/>
      <w:lang w:val="en-US"/>
    </w:rPr>
  </w:style>
  <w:style w:type="character" w:customStyle="1" w:styleId="FunctionTok">
    <w:name w:val="FunctionTok"/>
    <w:basedOn w:val="VerbatimChar"/>
    <w:rsid w:val="00766485"/>
    <w:rPr>
      <w:rFonts w:ascii="Consolas" w:hAnsi="Consolas"/>
      <w:i/>
      <w:color w:val="000000"/>
      <w:sz w:val="24"/>
      <w:szCs w:val="24"/>
      <w:shd w:val="clear" w:color="auto" w:fill="F8F8F8"/>
      <w:lang w:val="en-US"/>
    </w:rPr>
  </w:style>
  <w:style w:type="character" w:customStyle="1" w:styleId="VariableTok">
    <w:name w:val="VariableTok"/>
    <w:basedOn w:val="VerbatimChar"/>
    <w:rsid w:val="00766485"/>
    <w:rPr>
      <w:rFonts w:ascii="Consolas" w:hAnsi="Consolas"/>
      <w:i/>
      <w:color w:val="000000"/>
      <w:sz w:val="24"/>
      <w:szCs w:val="24"/>
      <w:shd w:val="clear" w:color="auto" w:fill="F8F8F8"/>
      <w:lang w:val="en-US"/>
    </w:rPr>
  </w:style>
  <w:style w:type="character" w:customStyle="1" w:styleId="ControlFlowTok">
    <w:name w:val="ControlFlowTok"/>
    <w:basedOn w:val="VerbatimChar"/>
    <w:rsid w:val="00766485"/>
    <w:rPr>
      <w:rFonts w:ascii="Consolas" w:hAnsi="Consolas"/>
      <w:b/>
      <w:i/>
      <w:color w:val="204A87"/>
      <w:sz w:val="24"/>
      <w:szCs w:val="24"/>
      <w:shd w:val="clear" w:color="auto" w:fill="F8F8F8"/>
      <w:lang w:val="en-US"/>
    </w:rPr>
  </w:style>
  <w:style w:type="character" w:customStyle="1" w:styleId="OperatorTok">
    <w:name w:val="OperatorTok"/>
    <w:basedOn w:val="VerbatimChar"/>
    <w:rsid w:val="00766485"/>
    <w:rPr>
      <w:rFonts w:ascii="Consolas" w:hAnsi="Consolas"/>
      <w:b/>
      <w:i/>
      <w:color w:val="CE5C00"/>
      <w:sz w:val="24"/>
      <w:szCs w:val="24"/>
      <w:shd w:val="clear" w:color="auto" w:fill="F8F8F8"/>
      <w:lang w:val="en-US"/>
    </w:rPr>
  </w:style>
  <w:style w:type="character" w:customStyle="1" w:styleId="BuiltInTok">
    <w:name w:val="BuiltInTok"/>
    <w:basedOn w:val="VerbatimChar"/>
    <w:rsid w:val="00766485"/>
    <w:rPr>
      <w:rFonts w:ascii="Consolas" w:hAnsi="Consolas"/>
      <w:i/>
      <w:sz w:val="24"/>
      <w:szCs w:val="24"/>
      <w:shd w:val="clear" w:color="auto" w:fill="F8F8F8"/>
      <w:lang w:val="en-US"/>
    </w:rPr>
  </w:style>
  <w:style w:type="character" w:customStyle="1" w:styleId="ExtensionTok">
    <w:name w:val="ExtensionTok"/>
    <w:basedOn w:val="VerbatimChar"/>
    <w:rsid w:val="00766485"/>
    <w:rPr>
      <w:rFonts w:ascii="Consolas" w:hAnsi="Consolas"/>
      <w:i/>
      <w:sz w:val="24"/>
      <w:szCs w:val="24"/>
      <w:shd w:val="clear" w:color="auto" w:fill="F8F8F8"/>
      <w:lang w:val="en-US"/>
    </w:rPr>
  </w:style>
  <w:style w:type="character" w:customStyle="1" w:styleId="PreprocessorTok">
    <w:name w:val="PreprocessorTok"/>
    <w:basedOn w:val="VerbatimChar"/>
    <w:rsid w:val="00766485"/>
    <w:rPr>
      <w:rFonts w:ascii="Consolas" w:hAnsi="Consolas"/>
      <w:i w:val="0"/>
      <w:color w:val="8F5902"/>
      <w:sz w:val="24"/>
      <w:szCs w:val="24"/>
      <w:shd w:val="clear" w:color="auto" w:fill="F8F8F8"/>
      <w:lang w:val="en-US"/>
    </w:rPr>
  </w:style>
  <w:style w:type="character" w:customStyle="1" w:styleId="AttributeTok">
    <w:name w:val="AttributeTok"/>
    <w:basedOn w:val="VerbatimChar"/>
    <w:rsid w:val="00766485"/>
    <w:rPr>
      <w:rFonts w:ascii="Consolas" w:hAnsi="Consolas"/>
      <w:i/>
      <w:color w:val="C4A000"/>
      <w:sz w:val="24"/>
      <w:szCs w:val="24"/>
      <w:shd w:val="clear" w:color="auto" w:fill="F8F8F8"/>
      <w:lang w:val="en-US"/>
    </w:rPr>
  </w:style>
  <w:style w:type="character" w:customStyle="1" w:styleId="RegionMarkerTok">
    <w:name w:val="RegionMarkerTok"/>
    <w:basedOn w:val="VerbatimChar"/>
    <w:rsid w:val="00766485"/>
    <w:rPr>
      <w:rFonts w:ascii="Consolas" w:hAnsi="Consolas"/>
      <w:i/>
      <w:sz w:val="24"/>
      <w:szCs w:val="24"/>
      <w:shd w:val="clear" w:color="auto" w:fill="F8F8F8"/>
      <w:lang w:val="en-US"/>
    </w:rPr>
  </w:style>
  <w:style w:type="character" w:customStyle="1" w:styleId="InformationTok">
    <w:name w:val="InformationTok"/>
    <w:basedOn w:val="VerbatimChar"/>
    <w:rsid w:val="00766485"/>
    <w:rPr>
      <w:rFonts w:ascii="Consolas" w:hAnsi="Consolas"/>
      <w:b/>
      <w:i w:val="0"/>
      <w:color w:val="8F5902"/>
      <w:sz w:val="24"/>
      <w:szCs w:val="24"/>
      <w:shd w:val="clear" w:color="auto" w:fill="F8F8F8"/>
      <w:lang w:val="en-US"/>
    </w:rPr>
  </w:style>
  <w:style w:type="character" w:customStyle="1" w:styleId="WarningTok">
    <w:name w:val="WarningTok"/>
    <w:basedOn w:val="VerbatimChar"/>
    <w:rsid w:val="00766485"/>
    <w:rPr>
      <w:rFonts w:ascii="Consolas" w:hAnsi="Consolas"/>
      <w:b/>
      <w:i w:val="0"/>
      <w:color w:val="8F5902"/>
      <w:sz w:val="24"/>
      <w:szCs w:val="24"/>
      <w:shd w:val="clear" w:color="auto" w:fill="F8F8F8"/>
      <w:lang w:val="en-US"/>
    </w:rPr>
  </w:style>
  <w:style w:type="character" w:customStyle="1" w:styleId="AlertTok">
    <w:name w:val="AlertTok"/>
    <w:basedOn w:val="VerbatimChar"/>
    <w:rsid w:val="00766485"/>
    <w:rPr>
      <w:rFonts w:ascii="Consolas" w:hAnsi="Consolas"/>
      <w:i/>
      <w:color w:val="EF2929"/>
      <w:sz w:val="24"/>
      <w:szCs w:val="24"/>
      <w:shd w:val="clear" w:color="auto" w:fill="F8F8F8"/>
      <w:lang w:val="en-US"/>
    </w:rPr>
  </w:style>
  <w:style w:type="character" w:customStyle="1" w:styleId="ErrorTok">
    <w:name w:val="ErrorTok"/>
    <w:basedOn w:val="VerbatimChar"/>
    <w:rsid w:val="00766485"/>
    <w:rPr>
      <w:rFonts w:ascii="Consolas" w:hAnsi="Consolas"/>
      <w:b/>
      <w:i/>
      <w:color w:val="A40000"/>
      <w:sz w:val="24"/>
      <w:szCs w:val="24"/>
      <w:shd w:val="clear" w:color="auto" w:fill="F8F8F8"/>
      <w:lang w:val="en-US"/>
    </w:rPr>
  </w:style>
  <w:style w:type="character" w:customStyle="1" w:styleId="NormalTok">
    <w:name w:val="NormalTok"/>
    <w:basedOn w:val="VerbatimChar"/>
    <w:rsid w:val="00766485"/>
    <w:rPr>
      <w:rFonts w:ascii="Consolas" w:hAnsi="Consolas"/>
      <w:i/>
      <w:sz w:val="24"/>
      <w:szCs w:val="24"/>
      <w:shd w:val="clear" w:color="auto" w:fill="F8F8F8"/>
      <w:lang w:val="en-US"/>
    </w:rPr>
  </w:style>
  <w:style w:type="character" w:customStyle="1" w:styleId="UnresolvedMention11">
    <w:name w:val="Unresolved Mention11"/>
    <w:basedOn w:val="DefaultParagraphFont"/>
    <w:uiPriority w:val="99"/>
    <w:semiHidden/>
    <w:unhideWhenUsed/>
    <w:rsid w:val="00766485"/>
    <w:rPr>
      <w:color w:val="605E5C"/>
      <w:shd w:val="clear" w:color="auto" w:fill="E1DFDD"/>
    </w:rPr>
  </w:style>
  <w:style w:type="paragraph" w:styleId="NoSpacing">
    <w:name w:val="No Spacing"/>
    <w:link w:val="NoSpacingChar"/>
    <w:uiPriority w:val="1"/>
    <w:qFormat/>
    <w:rsid w:val="00766485"/>
    <w:pPr>
      <w:spacing w:line="256" w:lineRule="auto"/>
    </w:pPr>
    <w:rPr>
      <w:rFonts w:ascii="Times New Roman" w:eastAsiaTheme="minorEastAsia" w:hAnsi="Times New Roman"/>
      <w:sz w:val="24"/>
      <w:lang w:val="en-CA"/>
    </w:rPr>
  </w:style>
  <w:style w:type="character" w:customStyle="1" w:styleId="NoSpacingChar">
    <w:name w:val="No Spacing Char"/>
    <w:basedOn w:val="DefaultParagraphFont"/>
    <w:link w:val="NoSpacing"/>
    <w:uiPriority w:val="1"/>
    <w:rsid w:val="00766485"/>
    <w:rPr>
      <w:rFonts w:ascii="Times New Roman" w:eastAsiaTheme="minorEastAsia" w:hAnsi="Times New Roman"/>
      <w:sz w:val="24"/>
      <w:lang w:val="en-CA"/>
    </w:rPr>
  </w:style>
  <w:style w:type="table" w:customStyle="1" w:styleId="TableGrid1">
    <w:name w:val="Table Grid1"/>
    <w:basedOn w:val="TableNormal"/>
    <w:next w:val="TableGrid"/>
    <w:uiPriority w:val="59"/>
    <w:rsid w:val="00766485"/>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cp">
    <w:name w:val="Caption_cp"/>
    <w:basedOn w:val="Standard"/>
    <w:autoRedefine/>
    <w:qFormat/>
    <w:rsid w:val="00766485"/>
    <w:pPr>
      <w:autoSpaceDN/>
      <w:jc w:val="both"/>
    </w:pPr>
    <w:rPr>
      <w:rFonts w:eastAsia="Droid Sans Fallback" w:cs="Lohit Hindi"/>
      <w:b/>
      <w:bCs/>
      <w:kern w:val="2"/>
      <w:sz w:val="16"/>
      <w:szCs w:val="16"/>
      <w:lang w:bidi="hi-IN"/>
    </w:rPr>
  </w:style>
  <w:style w:type="character" w:styleId="Strong">
    <w:name w:val="Strong"/>
    <w:basedOn w:val="DefaultParagraphFont"/>
    <w:uiPriority w:val="22"/>
    <w:qFormat/>
    <w:rsid w:val="00766485"/>
    <w:rPr>
      <w:b/>
      <w:bCs/>
    </w:rPr>
  </w:style>
  <w:style w:type="character" w:customStyle="1" w:styleId="CommentReference1">
    <w:name w:val="Comment Reference1"/>
    <w:basedOn w:val="DefaultParagraphFont"/>
    <w:uiPriority w:val="99"/>
    <w:semiHidden/>
    <w:unhideWhenUsed/>
    <w:rsid w:val="00766485"/>
    <w:rPr>
      <w:sz w:val="16"/>
      <w:szCs w:val="16"/>
    </w:rPr>
  </w:style>
  <w:style w:type="character" w:customStyle="1" w:styleId="InternetLink">
    <w:name w:val="Internet Link"/>
    <w:basedOn w:val="DefaultParagraphFont"/>
    <w:uiPriority w:val="99"/>
    <w:unhideWhenUsed/>
    <w:rsid w:val="00766485"/>
    <w:rPr>
      <w:color w:val="0563C1" w:themeColor="hyperlink"/>
      <w:u w:val="single"/>
    </w:rPr>
  </w:style>
  <w:style w:type="character" w:styleId="LineNumber">
    <w:name w:val="line number"/>
    <w:basedOn w:val="DefaultParagraphFont"/>
    <w:uiPriority w:val="99"/>
    <w:semiHidden/>
    <w:unhideWhenUsed/>
    <w:rsid w:val="00766485"/>
  </w:style>
  <w:style w:type="table" w:customStyle="1" w:styleId="TableGrid2">
    <w:name w:val="Table Grid2"/>
    <w:basedOn w:val="TableNormal"/>
    <w:next w:val="TableGrid"/>
    <w:uiPriority w:val="39"/>
    <w:rsid w:val="00EF4FD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F4FD8"/>
  </w:style>
  <w:style w:type="paragraph" w:styleId="Quote">
    <w:name w:val="Quote"/>
    <w:basedOn w:val="Normal"/>
    <w:next w:val="Normal"/>
    <w:link w:val="QuoteChar"/>
    <w:uiPriority w:val="29"/>
    <w:qFormat/>
    <w:rsid w:val="00EF4FD8"/>
    <w:pPr>
      <w:spacing w:before="160" w:after="160" w:line="278" w:lineRule="auto"/>
      <w:jc w:val="center"/>
    </w:pPr>
    <w:rPr>
      <w:rFonts w:asciiTheme="minorHAnsi" w:eastAsiaTheme="minorHAnsi" w:hAnsiTheme="minorHAnsi" w:cstheme="minorBidi"/>
      <w:i/>
      <w:iCs/>
      <w:color w:val="404040" w:themeColor="text1" w:themeTint="BF"/>
      <w:kern w:val="2"/>
      <w:lang w:val="es-UY"/>
      <w14:ligatures w14:val="standardContextual"/>
    </w:rPr>
  </w:style>
  <w:style w:type="character" w:customStyle="1" w:styleId="QuoteChar">
    <w:name w:val="Quote Char"/>
    <w:basedOn w:val="DefaultParagraphFont"/>
    <w:link w:val="Quote"/>
    <w:uiPriority w:val="29"/>
    <w:rsid w:val="00EF4FD8"/>
    <w:rPr>
      <w:i/>
      <w:iCs/>
      <w:color w:val="404040" w:themeColor="text1" w:themeTint="BF"/>
      <w:kern w:val="2"/>
      <w:sz w:val="24"/>
      <w:szCs w:val="24"/>
      <w:lang w:val="es-UY"/>
      <w14:ligatures w14:val="standardContextual"/>
    </w:rPr>
  </w:style>
  <w:style w:type="character" w:styleId="IntenseEmphasis">
    <w:name w:val="Intense Emphasis"/>
    <w:basedOn w:val="DefaultParagraphFont"/>
    <w:uiPriority w:val="21"/>
    <w:qFormat/>
    <w:rsid w:val="00EF4FD8"/>
    <w:rPr>
      <w:i/>
      <w:iCs/>
      <w:color w:val="2F5496" w:themeColor="accent1" w:themeShade="BF"/>
    </w:rPr>
  </w:style>
  <w:style w:type="paragraph" w:styleId="IntenseQuote">
    <w:name w:val="Intense Quote"/>
    <w:basedOn w:val="Normal"/>
    <w:next w:val="Normal"/>
    <w:link w:val="IntenseQuoteChar"/>
    <w:uiPriority w:val="30"/>
    <w:qFormat/>
    <w:rsid w:val="00EF4FD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s-UY"/>
      <w14:ligatures w14:val="standardContextual"/>
    </w:rPr>
  </w:style>
  <w:style w:type="character" w:customStyle="1" w:styleId="IntenseQuoteChar">
    <w:name w:val="Intense Quote Char"/>
    <w:basedOn w:val="DefaultParagraphFont"/>
    <w:link w:val="IntenseQuote"/>
    <w:uiPriority w:val="30"/>
    <w:rsid w:val="00EF4FD8"/>
    <w:rPr>
      <w:i/>
      <w:iCs/>
      <w:color w:val="2F5496" w:themeColor="accent1" w:themeShade="BF"/>
      <w:kern w:val="2"/>
      <w:sz w:val="24"/>
      <w:szCs w:val="24"/>
      <w:lang w:val="es-UY"/>
      <w14:ligatures w14:val="standardContextual"/>
    </w:rPr>
  </w:style>
  <w:style w:type="character" w:styleId="IntenseReference">
    <w:name w:val="Intense Reference"/>
    <w:basedOn w:val="DefaultParagraphFont"/>
    <w:uiPriority w:val="32"/>
    <w:qFormat/>
    <w:rsid w:val="00EF4FD8"/>
    <w:rPr>
      <w:b/>
      <w:bCs/>
      <w:smallCaps/>
      <w:color w:val="2F5496" w:themeColor="accent1" w:themeShade="BF"/>
      <w:spacing w:val="5"/>
    </w:rPr>
  </w:style>
  <w:style w:type="table" w:customStyle="1" w:styleId="TableGrid3">
    <w:name w:val="Table Grid3"/>
    <w:basedOn w:val="TableNormal"/>
    <w:next w:val="TableGrid"/>
    <w:uiPriority w:val="39"/>
    <w:rsid w:val="00EF4FD8"/>
    <w:pPr>
      <w:spacing w:after="0" w:line="240" w:lineRule="auto"/>
    </w:pPr>
    <w:rPr>
      <w:kern w:val="2"/>
      <w:sz w:val="24"/>
      <w:szCs w:val="24"/>
      <w:lang w:val="es-UY"/>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4F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6">
    <w:name w:val="Table Grid6"/>
    <w:basedOn w:val="TableNormal"/>
    <w:next w:val="TableGrid"/>
    <w:uiPriority w:val="39"/>
    <w:rsid w:val="00EF4FD8"/>
    <w:pPr>
      <w:suppressAutoHyphens/>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basedOn w:val="DefaultParagraphFont"/>
    <w:uiPriority w:val="99"/>
    <w:semiHidden/>
    <w:unhideWhenUsed/>
    <w:qFormat/>
    <w:rsid w:val="00EF4FD8"/>
    <w:rPr>
      <w:vertAlign w:val="superscript"/>
    </w:rPr>
  </w:style>
  <w:style w:type="table" w:customStyle="1" w:styleId="TableGrid7">
    <w:name w:val="Table Grid7"/>
    <w:basedOn w:val="TableNormal"/>
    <w:next w:val="TableGrid"/>
    <w:uiPriority w:val="39"/>
    <w:rsid w:val="00EF4FD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F4FD8"/>
    <w:pPr>
      <w:spacing w:after="0" w:line="240" w:lineRule="auto"/>
      <w:jc w:val="center"/>
    </w:pPr>
    <w:rPr>
      <w:rFonts w:eastAsia="Yu Gothic"/>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F4FD8"/>
    <w:pPr>
      <w:spacing w:after="0" w:line="240" w:lineRule="auto"/>
      <w:jc w:val="center"/>
    </w:pPr>
    <w:rPr>
      <w:rFonts w:eastAsia="Yu Gothic"/>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F4FD8"/>
    <w:pPr>
      <w:spacing w:after="0" w:line="240" w:lineRule="auto"/>
      <w:jc w:val="center"/>
    </w:pPr>
    <w:rPr>
      <w:rFonts w:eastAsia="Yu Gothic"/>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1">
    <w:name w:val="Paragraphe de liste1"/>
    <w:basedOn w:val="Normal"/>
    <w:qFormat/>
    <w:rsid w:val="005B5D1D"/>
    <w:pPr>
      <w:spacing w:after="200" w:line="276" w:lineRule="auto"/>
      <w:ind w:left="720"/>
      <w:contextualSpacing/>
    </w:pPr>
    <w:rPr>
      <w:rFonts w:ascii="Calibri" w:eastAsia="Calibri" w:hAnsi="Calibri"/>
      <w:sz w:val="22"/>
      <w:szCs w:val="22"/>
      <w:lang w:val="fr-FR"/>
    </w:rPr>
  </w:style>
  <w:style w:type="paragraph" w:customStyle="1" w:styleId="Contedodatabelauser">
    <w:name w:val="Conteúdo da tabela (user)"/>
    <w:basedOn w:val="Normal"/>
    <w:qFormat/>
    <w:rsid w:val="005B5D1D"/>
    <w:pPr>
      <w:widowControl w:val="0"/>
      <w:suppressLineNumbers/>
      <w:suppressAutoHyphens/>
      <w:spacing w:after="160" w:line="278" w:lineRule="auto"/>
    </w:pPr>
    <w:rPr>
      <w:rFonts w:asciiTheme="minorHAnsi" w:eastAsiaTheme="minorHAnsi" w:hAnsiTheme="minorHAnsi" w:cstheme="minorBidi"/>
      <w:kern w:val="2"/>
      <w:lang w:val="fr-FR"/>
      <w14:ligatures w14:val="standardContextual"/>
    </w:rPr>
  </w:style>
  <w:style w:type="character" w:customStyle="1" w:styleId="LinkdaInternet">
    <w:name w:val="Link da Internet"/>
    <w:rsid w:val="005B5D1D"/>
    <w:rPr>
      <w:color w:val="0000FF"/>
      <w:u w:val="single"/>
    </w:rPr>
  </w:style>
  <w:style w:type="paragraph" w:styleId="BodyText2">
    <w:name w:val="Body Text 2"/>
    <w:basedOn w:val="Normal"/>
    <w:link w:val="BodyText2Char"/>
    <w:uiPriority w:val="99"/>
    <w:semiHidden/>
    <w:unhideWhenUsed/>
    <w:rsid w:val="005B5D1D"/>
    <w:pPr>
      <w:spacing w:after="120" w:line="480" w:lineRule="auto"/>
    </w:pPr>
    <w:rPr>
      <w:lang w:val="fr-FR"/>
    </w:rPr>
  </w:style>
  <w:style w:type="character" w:customStyle="1" w:styleId="BodyText2Char">
    <w:name w:val="Body Text 2 Char"/>
    <w:basedOn w:val="DefaultParagraphFont"/>
    <w:link w:val="BodyText2"/>
    <w:uiPriority w:val="99"/>
    <w:semiHidden/>
    <w:rsid w:val="005B5D1D"/>
    <w:rPr>
      <w:rFonts w:ascii="Times New Roman" w:eastAsia="Times New Roman" w:hAnsi="Times New Roman" w:cs="Times New Roman"/>
      <w:sz w:val="24"/>
      <w:szCs w:val="24"/>
      <w:lang w:val="fr-FR"/>
    </w:rPr>
  </w:style>
  <w:style w:type="paragraph" w:styleId="BodyText3">
    <w:name w:val="Body Text 3"/>
    <w:basedOn w:val="Normal"/>
    <w:link w:val="BodyText3Char"/>
    <w:uiPriority w:val="99"/>
    <w:semiHidden/>
    <w:unhideWhenUsed/>
    <w:rsid w:val="005B5D1D"/>
    <w:pPr>
      <w:spacing w:after="120"/>
    </w:pPr>
    <w:rPr>
      <w:sz w:val="16"/>
      <w:szCs w:val="16"/>
      <w:lang w:val="fr-FR"/>
    </w:rPr>
  </w:style>
  <w:style w:type="character" w:customStyle="1" w:styleId="BodyText3Char">
    <w:name w:val="Body Text 3 Char"/>
    <w:basedOn w:val="DefaultParagraphFont"/>
    <w:link w:val="BodyText3"/>
    <w:uiPriority w:val="99"/>
    <w:semiHidden/>
    <w:rsid w:val="005B5D1D"/>
    <w:rPr>
      <w:rFonts w:ascii="Times New Roman" w:eastAsia="Times New Roman" w:hAnsi="Times New Roman" w:cs="Times New Roman"/>
      <w:sz w:val="16"/>
      <w:szCs w:val="16"/>
      <w:lang w:val="fr-FR"/>
    </w:rPr>
  </w:style>
  <w:style w:type="paragraph" w:styleId="BodyTextFirstIndent">
    <w:name w:val="Body Text First Indent"/>
    <w:basedOn w:val="BodyText"/>
    <w:link w:val="BodyTextFirstIndentChar"/>
    <w:uiPriority w:val="99"/>
    <w:semiHidden/>
    <w:unhideWhenUsed/>
    <w:rsid w:val="005B5D1D"/>
    <w:pPr>
      <w:ind w:firstLine="360"/>
      <w:jc w:val="left"/>
    </w:pPr>
    <w:rPr>
      <w:b w:val="0"/>
      <w:bCs w:val="0"/>
      <w:lang w:val="fr-FR" w:eastAsia="en-US"/>
    </w:rPr>
  </w:style>
  <w:style w:type="character" w:customStyle="1" w:styleId="BodyTextFirstIndentChar">
    <w:name w:val="Body Text First Indent Char"/>
    <w:basedOn w:val="BodyTextChar"/>
    <w:link w:val="BodyTextFirstIndent"/>
    <w:uiPriority w:val="99"/>
    <w:semiHidden/>
    <w:rsid w:val="005B5D1D"/>
    <w:rPr>
      <w:rFonts w:ascii="Times New Roman" w:eastAsia="Times New Roman" w:hAnsi="Times New Roman" w:cs="Times New Roman"/>
      <w:b w:val="0"/>
      <w:bCs w:val="0"/>
      <w:sz w:val="24"/>
      <w:szCs w:val="24"/>
      <w:lang w:val="fr-FR" w:eastAsia="es-ES"/>
    </w:rPr>
  </w:style>
  <w:style w:type="paragraph" w:styleId="BodyTextFirstIndent2">
    <w:name w:val="Body Text First Indent 2"/>
    <w:basedOn w:val="BodyTextIndent"/>
    <w:link w:val="BodyTextFirstIndent2Char"/>
    <w:uiPriority w:val="99"/>
    <w:semiHidden/>
    <w:unhideWhenUsed/>
    <w:rsid w:val="005B5D1D"/>
    <w:pPr>
      <w:tabs>
        <w:tab w:val="clear" w:pos="-720"/>
        <w:tab w:val="clear" w:pos="180"/>
        <w:tab w:val="clear" w:pos="720"/>
        <w:tab w:val="clear" w:pos="817"/>
        <w:tab w:val="clear" w:pos="1152"/>
      </w:tabs>
      <w:spacing w:line="240" w:lineRule="auto"/>
      <w:ind w:left="360" w:firstLine="360"/>
    </w:pPr>
    <w:rPr>
      <w:sz w:val="24"/>
      <w:szCs w:val="24"/>
      <w:lang w:val="fr-FR"/>
    </w:rPr>
  </w:style>
  <w:style w:type="character" w:customStyle="1" w:styleId="BodyTextFirstIndent2Char">
    <w:name w:val="Body Text First Indent 2 Char"/>
    <w:basedOn w:val="BodyTextIndentChar"/>
    <w:link w:val="BodyTextFirstIndent2"/>
    <w:uiPriority w:val="99"/>
    <w:semiHidden/>
    <w:rsid w:val="005B5D1D"/>
    <w:rPr>
      <w:rFonts w:ascii="Times New Roman" w:eastAsia="Times New Roman" w:hAnsi="Times New Roman" w:cs="Times New Roman"/>
      <w:sz w:val="24"/>
      <w:szCs w:val="24"/>
      <w:lang w:val="fr-FR"/>
    </w:rPr>
  </w:style>
  <w:style w:type="paragraph" w:styleId="BodyTextIndent2">
    <w:name w:val="Body Text Indent 2"/>
    <w:basedOn w:val="Normal"/>
    <w:link w:val="BodyTextIndent2Char"/>
    <w:uiPriority w:val="99"/>
    <w:semiHidden/>
    <w:unhideWhenUsed/>
    <w:rsid w:val="005B5D1D"/>
    <w:pPr>
      <w:spacing w:after="120" w:line="480" w:lineRule="auto"/>
      <w:ind w:left="283"/>
    </w:pPr>
    <w:rPr>
      <w:lang w:val="fr-FR"/>
    </w:rPr>
  </w:style>
  <w:style w:type="character" w:customStyle="1" w:styleId="BodyTextIndent2Char">
    <w:name w:val="Body Text Indent 2 Char"/>
    <w:basedOn w:val="DefaultParagraphFont"/>
    <w:link w:val="BodyTextIndent2"/>
    <w:uiPriority w:val="99"/>
    <w:semiHidden/>
    <w:rsid w:val="005B5D1D"/>
    <w:rPr>
      <w:rFonts w:ascii="Times New Roman" w:eastAsia="Times New Roman" w:hAnsi="Times New Roman" w:cs="Times New Roman"/>
      <w:sz w:val="24"/>
      <w:szCs w:val="24"/>
      <w:lang w:val="fr-FR"/>
    </w:rPr>
  </w:style>
  <w:style w:type="paragraph" w:styleId="BodyTextIndent3">
    <w:name w:val="Body Text Indent 3"/>
    <w:basedOn w:val="Normal"/>
    <w:link w:val="BodyTextIndent3Char"/>
    <w:uiPriority w:val="99"/>
    <w:semiHidden/>
    <w:unhideWhenUsed/>
    <w:rsid w:val="005B5D1D"/>
    <w:pPr>
      <w:spacing w:after="120"/>
      <w:ind w:left="283"/>
    </w:pPr>
    <w:rPr>
      <w:sz w:val="16"/>
      <w:szCs w:val="16"/>
      <w:lang w:val="fr-FR"/>
    </w:rPr>
  </w:style>
  <w:style w:type="character" w:customStyle="1" w:styleId="BodyTextIndent3Char">
    <w:name w:val="Body Text Indent 3 Char"/>
    <w:basedOn w:val="DefaultParagraphFont"/>
    <w:link w:val="BodyTextIndent3"/>
    <w:uiPriority w:val="99"/>
    <w:semiHidden/>
    <w:rsid w:val="005B5D1D"/>
    <w:rPr>
      <w:rFonts w:ascii="Times New Roman" w:eastAsia="Times New Roman" w:hAnsi="Times New Roman" w:cs="Times New Roman"/>
      <w:sz w:val="16"/>
      <w:szCs w:val="16"/>
      <w:lang w:val="fr-FR"/>
    </w:rPr>
  </w:style>
  <w:style w:type="paragraph" w:styleId="Closing">
    <w:name w:val="Closing"/>
    <w:basedOn w:val="Normal"/>
    <w:link w:val="ClosingChar"/>
    <w:uiPriority w:val="99"/>
    <w:semiHidden/>
    <w:unhideWhenUsed/>
    <w:rsid w:val="005B5D1D"/>
    <w:pPr>
      <w:ind w:left="4252"/>
    </w:pPr>
    <w:rPr>
      <w:lang w:val="fr-FR"/>
    </w:rPr>
  </w:style>
  <w:style w:type="character" w:customStyle="1" w:styleId="ClosingChar">
    <w:name w:val="Closing Char"/>
    <w:basedOn w:val="DefaultParagraphFont"/>
    <w:link w:val="Closing"/>
    <w:uiPriority w:val="99"/>
    <w:semiHidden/>
    <w:rsid w:val="005B5D1D"/>
    <w:rPr>
      <w:rFonts w:ascii="Times New Roman" w:eastAsia="Times New Roman" w:hAnsi="Times New Roman" w:cs="Times New Roman"/>
      <w:sz w:val="24"/>
      <w:szCs w:val="24"/>
      <w:lang w:val="fr-FR"/>
    </w:rPr>
  </w:style>
  <w:style w:type="paragraph" w:styleId="DocumentMap">
    <w:name w:val="Document Map"/>
    <w:basedOn w:val="Normal"/>
    <w:link w:val="DocumentMapChar"/>
    <w:uiPriority w:val="99"/>
    <w:semiHidden/>
    <w:unhideWhenUsed/>
    <w:rsid w:val="005B5D1D"/>
    <w:rPr>
      <w:rFonts w:ascii="Segoe UI" w:hAnsi="Segoe UI" w:cs="Segoe UI"/>
      <w:sz w:val="16"/>
      <w:szCs w:val="16"/>
      <w:lang w:val="fr-FR"/>
    </w:rPr>
  </w:style>
  <w:style w:type="character" w:customStyle="1" w:styleId="DocumentMapChar">
    <w:name w:val="Document Map Char"/>
    <w:basedOn w:val="DefaultParagraphFont"/>
    <w:link w:val="DocumentMap"/>
    <w:uiPriority w:val="99"/>
    <w:semiHidden/>
    <w:rsid w:val="005B5D1D"/>
    <w:rPr>
      <w:rFonts w:ascii="Segoe UI" w:eastAsia="Times New Roman" w:hAnsi="Segoe UI" w:cs="Segoe UI"/>
      <w:sz w:val="16"/>
      <w:szCs w:val="16"/>
      <w:lang w:val="fr-FR"/>
    </w:rPr>
  </w:style>
  <w:style w:type="paragraph" w:styleId="E-mailSignature">
    <w:name w:val="E-mail Signature"/>
    <w:basedOn w:val="Normal"/>
    <w:link w:val="E-mailSignatureChar"/>
    <w:uiPriority w:val="99"/>
    <w:semiHidden/>
    <w:unhideWhenUsed/>
    <w:rsid w:val="005B5D1D"/>
    <w:rPr>
      <w:lang w:val="fr-FR"/>
    </w:rPr>
  </w:style>
  <w:style w:type="character" w:customStyle="1" w:styleId="E-mailSignatureChar">
    <w:name w:val="E-mail Signature Char"/>
    <w:basedOn w:val="DefaultParagraphFont"/>
    <w:link w:val="E-mailSignature"/>
    <w:uiPriority w:val="99"/>
    <w:semiHidden/>
    <w:rsid w:val="005B5D1D"/>
    <w:rPr>
      <w:rFonts w:ascii="Times New Roman" w:eastAsia="Times New Roman" w:hAnsi="Times New Roman" w:cs="Times New Roman"/>
      <w:sz w:val="24"/>
      <w:szCs w:val="24"/>
      <w:lang w:val="fr-FR"/>
    </w:rPr>
  </w:style>
  <w:style w:type="paragraph" w:styleId="EnvelopeAddress">
    <w:name w:val="envelope address"/>
    <w:basedOn w:val="Normal"/>
    <w:uiPriority w:val="99"/>
    <w:semiHidden/>
    <w:unhideWhenUsed/>
    <w:rsid w:val="005B5D1D"/>
    <w:pPr>
      <w:framePr w:w="7920" w:h="1980" w:hRule="exact" w:hSpace="180" w:wrap="auto" w:hAnchor="page" w:xAlign="center" w:yAlign="bottom"/>
      <w:ind w:left="2880"/>
    </w:pPr>
    <w:rPr>
      <w:rFonts w:asciiTheme="majorHAnsi" w:eastAsiaTheme="majorEastAsia" w:hAnsiTheme="majorHAnsi" w:cstheme="majorBidi"/>
      <w:lang w:val="fr-FR"/>
    </w:rPr>
  </w:style>
  <w:style w:type="paragraph" w:styleId="EnvelopeReturn">
    <w:name w:val="envelope return"/>
    <w:basedOn w:val="Normal"/>
    <w:uiPriority w:val="99"/>
    <w:semiHidden/>
    <w:unhideWhenUsed/>
    <w:rsid w:val="005B5D1D"/>
    <w:rPr>
      <w:rFonts w:asciiTheme="majorHAnsi" w:eastAsiaTheme="majorEastAsia" w:hAnsiTheme="majorHAnsi" w:cstheme="majorBidi"/>
      <w:sz w:val="20"/>
      <w:szCs w:val="20"/>
      <w:lang w:val="fr-FR"/>
    </w:rPr>
  </w:style>
  <w:style w:type="paragraph" w:styleId="HTMLAddress">
    <w:name w:val="HTML Address"/>
    <w:basedOn w:val="Normal"/>
    <w:link w:val="HTMLAddressChar"/>
    <w:uiPriority w:val="99"/>
    <w:semiHidden/>
    <w:unhideWhenUsed/>
    <w:rsid w:val="005B5D1D"/>
    <w:rPr>
      <w:i/>
      <w:iCs/>
      <w:lang w:val="fr-FR"/>
    </w:rPr>
  </w:style>
  <w:style w:type="character" w:customStyle="1" w:styleId="HTMLAddressChar">
    <w:name w:val="HTML Address Char"/>
    <w:basedOn w:val="DefaultParagraphFont"/>
    <w:link w:val="HTMLAddress"/>
    <w:uiPriority w:val="99"/>
    <w:semiHidden/>
    <w:rsid w:val="005B5D1D"/>
    <w:rPr>
      <w:rFonts w:ascii="Times New Roman" w:eastAsia="Times New Roman" w:hAnsi="Times New Roman" w:cs="Times New Roman"/>
      <w:i/>
      <w:iCs/>
      <w:sz w:val="24"/>
      <w:szCs w:val="24"/>
      <w:lang w:val="fr-FR"/>
    </w:rPr>
  </w:style>
  <w:style w:type="paragraph" w:styleId="HTMLPreformatted">
    <w:name w:val="HTML Preformatted"/>
    <w:basedOn w:val="Normal"/>
    <w:link w:val="HTMLPreformattedChar"/>
    <w:uiPriority w:val="99"/>
    <w:semiHidden/>
    <w:unhideWhenUsed/>
    <w:rsid w:val="005B5D1D"/>
    <w:rPr>
      <w:rFonts w:ascii="Consolas" w:hAnsi="Consolas"/>
      <w:sz w:val="20"/>
      <w:szCs w:val="20"/>
      <w:lang w:val="fr-FR"/>
    </w:rPr>
  </w:style>
  <w:style w:type="character" w:customStyle="1" w:styleId="HTMLPreformattedChar">
    <w:name w:val="HTML Preformatted Char"/>
    <w:basedOn w:val="DefaultParagraphFont"/>
    <w:link w:val="HTMLPreformatted"/>
    <w:uiPriority w:val="99"/>
    <w:semiHidden/>
    <w:rsid w:val="005B5D1D"/>
    <w:rPr>
      <w:rFonts w:ascii="Consolas" w:eastAsia="Times New Roman" w:hAnsi="Consolas" w:cs="Times New Roman"/>
      <w:sz w:val="20"/>
      <w:szCs w:val="20"/>
      <w:lang w:val="fr-FR"/>
    </w:rPr>
  </w:style>
  <w:style w:type="paragraph" w:styleId="Index1">
    <w:name w:val="index 1"/>
    <w:basedOn w:val="Normal"/>
    <w:next w:val="Normal"/>
    <w:autoRedefine/>
    <w:uiPriority w:val="99"/>
    <w:semiHidden/>
    <w:unhideWhenUsed/>
    <w:rsid w:val="005B5D1D"/>
    <w:pPr>
      <w:ind w:left="240" w:hanging="240"/>
    </w:pPr>
    <w:rPr>
      <w:lang w:val="fr-FR"/>
    </w:rPr>
  </w:style>
  <w:style w:type="paragraph" w:styleId="Index2">
    <w:name w:val="index 2"/>
    <w:basedOn w:val="Normal"/>
    <w:next w:val="Normal"/>
    <w:autoRedefine/>
    <w:uiPriority w:val="99"/>
    <w:semiHidden/>
    <w:unhideWhenUsed/>
    <w:rsid w:val="005B5D1D"/>
    <w:pPr>
      <w:ind w:left="480" w:hanging="240"/>
    </w:pPr>
    <w:rPr>
      <w:lang w:val="fr-FR"/>
    </w:rPr>
  </w:style>
  <w:style w:type="paragraph" w:styleId="Index3">
    <w:name w:val="index 3"/>
    <w:basedOn w:val="Normal"/>
    <w:next w:val="Normal"/>
    <w:autoRedefine/>
    <w:uiPriority w:val="99"/>
    <w:semiHidden/>
    <w:unhideWhenUsed/>
    <w:rsid w:val="005B5D1D"/>
    <w:pPr>
      <w:ind w:left="720" w:hanging="240"/>
    </w:pPr>
    <w:rPr>
      <w:lang w:val="fr-FR"/>
    </w:rPr>
  </w:style>
  <w:style w:type="paragraph" w:styleId="Index4">
    <w:name w:val="index 4"/>
    <w:basedOn w:val="Normal"/>
    <w:next w:val="Normal"/>
    <w:autoRedefine/>
    <w:uiPriority w:val="99"/>
    <w:semiHidden/>
    <w:unhideWhenUsed/>
    <w:rsid w:val="005B5D1D"/>
    <w:pPr>
      <w:ind w:left="960" w:hanging="240"/>
    </w:pPr>
    <w:rPr>
      <w:lang w:val="fr-FR"/>
    </w:rPr>
  </w:style>
  <w:style w:type="paragraph" w:styleId="Index5">
    <w:name w:val="index 5"/>
    <w:basedOn w:val="Normal"/>
    <w:next w:val="Normal"/>
    <w:autoRedefine/>
    <w:uiPriority w:val="99"/>
    <w:semiHidden/>
    <w:unhideWhenUsed/>
    <w:rsid w:val="005B5D1D"/>
    <w:pPr>
      <w:ind w:left="1200" w:hanging="240"/>
    </w:pPr>
    <w:rPr>
      <w:lang w:val="fr-FR"/>
    </w:rPr>
  </w:style>
  <w:style w:type="paragraph" w:styleId="Index6">
    <w:name w:val="index 6"/>
    <w:basedOn w:val="Normal"/>
    <w:next w:val="Normal"/>
    <w:autoRedefine/>
    <w:uiPriority w:val="99"/>
    <w:semiHidden/>
    <w:unhideWhenUsed/>
    <w:rsid w:val="005B5D1D"/>
    <w:pPr>
      <w:ind w:left="1440" w:hanging="240"/>
    </w:pPr>
    <w:rPr>
      <w:lang w:val="fr-FR"/>
    </w:rPr>
  </w:style>
  <w:style w:type="paragraph" w:styleId="Index7">
    <w:name w:val="index 7"/>
    <w:basedOn w:val="Normal"/>
    <w:next w:val="Normal"/>
    <w:autoRedefine/>
    <w:uiPriority w:val="99"/>
    <w:semiHidden/>
    <w:unhideWhenUsed/>
    <w:rsid w:val="005B5D1D"/>
    <w:pPr>
      <w:ind w:left="1680" w:hanging="240"/>
    </w:pPr>
    <w:rPr>
      <w:lang w:val="fr-FR"/>
    </w:rPr>
  </w:style>
  <w:style w:type="paragraph" w:styleId="Index8">
    <w:name w:val="index 8"/>
    <w:basedOn w:val="Normal"/>
    <w:next w:val="Normal"/>
    <w:autoRedefine/>
    <w:uiPriority w:val="99"/>
    <w:semiHidden/>
    <w:unhideWhenUsed/>
    <w:rsid w:val="005B5D1D"/>
    <w:pPr>
      <w:ind w:left="1920" w:hanging="240"/>
    </w:pPr>
    <w:rPr>
      <w:lang w:val="fr-FR"/>
    </w:rPr>
  </w:style>
  <w:style w:type="paragraph" w:styleId="Index9">
    <w:name w:val="index 9"/>
    <w:basedOn w:val="Normal"/>
    <w:next w:val="Normal"/>
    <w:autoRedefine/>
    <w:uiPriority w:val="99"/>
    <w:semiHidden/>
    <w:unhideWhenUsed/>
    <w:rsid w:val="005B5D1D"/>
    <w:pPr>
      <w:ind w:left="2160" w:hanging="240"/>
    </w:pPr>
    <w:rPr>
      <w:lang w:val="fr-FR"/>
    </w:rPr>
  </w:style>
  <w:style w:type="paragraph" w:styleId="IndexHeading">
    <w:name w:val="index heading"/>
    <w:basedOn w:val="Normal"/>
    <w:next w:val="Index1"/>
    <w:uiPriority w:val="99"/>
    <w:semiHidden/>
    <w:unhideWhenUsed/>
    <w:rsid w:val="005B5D1D"/>
    <w:rPr>
      <w:rFonts w:asciiTheme="majorHAnsi" w:eastAsiaTheme="majorEastAsia" w:hAnsiTheme="majorHAnsi" w:cstheme="majorBidi"/>
      <w:b/>
      <w:bCs/>
      <w:lang w:val="fr-FR"/>
    </w:rPr>
  </w:style>
  <w:style w:type="paragraph" w:styleId="List">
    <w:name w:val="List"/>
    <w:basedOn w:val="Normal"/>
    <w:uiPriority w:val="99"/>
    <w:semiHidden/>
    <w:unhideWhenUsed/>
    <w:rsid w:val="005B5D1D"/>
    <w:pPr>
      <w:ind w:left="283" w:hanging="283"/>
      <w:contextualSpacing/>
    </w:pPr>
    <w:rPr>
      <w:lang w:val="fr-FR"/>
    </w:rPr>
  </w:style>
  <w:style w:type="paragraph" w:styleId="List2">
    <w:name w:val="List 2"/>
    <w:basedOn w:val="Normal"/>
    <w:uiPriority w:val="99"/>
    <w:semiHidden/>
    <w:unhideWhenUsed/>
    <w:rsid w:val="005B5D1D"/>
    <w:pPr>
      <w:ind w:left="566" w:hanging="283"/>
      <w:contextualSpacing/>
    </w:pPr>
    <w:rPr>
      <w:lang w:val="fr-FR"/>
    </w:rPr>
  </w:style>
  <w:style w:type="paragraph" w:styleId="List3">
    <w:name w:val="List 3"/>
    <w:basedOn w:val="Normal"/>
    <w:uiPriority w:val="99"/>
    <w:semiHidden/>
    <w:unhideWhenUsed/>
    <w:rsid w:val="005B5D1D"/>
    <w:pPr>
      <w:ind w:left="849" w:hanging="283"/>
      <w:contextualSpacing/>
    </w:pPr>
    <w:rPr>
      <w:lang w:val="fr-FR"/>
    </w:rPr>
  </w:style>
  <w:style w:type="paragraph" w:styleId="List4">
    <w:name w:val="List 4"/>
    <w:basedOn w:val="Normal"/>
    <w:uiPriority w:val="99"/>
    <w:semiHidden/>
    <w:unhideWhenUsed/>
    <w:rsid w:val="005B5D1D"/>
    <w:pPr>
      <w:ind w:left="1132" w:hanging="283"/>
      <w:contextualSpacing/>
    </w:pPr>
    <w:rPr>
      <w:lang w:val="fr-FR"/>
    </w:rPr>
  </w:style>
  <w:style w:type="paragraph" w:styleId="List5">
    <w:name w:val="List 5"/>
    <w:basedOn w:val="Normal"/>
    <w:uiPriority w:val="99"/>
    <w:semiHidden/>
    <w:unhideWhenUsed/>
    <w:rsid w:val="005B5D1D"/>
    <w:pPr>
      <w:ind w:left="1415" w:hanging="283"/>
      <w:contextualSpacing/>
    </w:pPr>
    <w:rPr>
      <w:lang w:val="fr-FR"/>
    </w:rPr>
  </w:style>
  <w:style w:type="paragraph" w:styleId="ListBullet">
    <w:name w:val="List Bullet"/>
    <w:basedOn w:val="Normal"/>
    <w:uiPriority w:val="99"/>
    <w:semiHidden/>
    <w:unhideWhenUsed/>
    <w:rsid w:val="005B5D1D"/>
    <w:pPr>
      <w:numPr>
        <w:numId w:val="10"/>
      </w:numPr>
      <w:tabs>
        <w:tab w:val="clear" w:pos="360"/>
      </w:tabs>
      <w:ind w:left="0" w:firstLine="0"/>
      <w:contextualSpacing/>
    </w:pPr>
    <w:rPr>
      <w:lang w:val="fr-FR"/>
    </w:rPr>
  </w:style>
  <w:style w:type="paragraph" w:styleId="ListBullet2">
    <w:name w:val="List Bullet 2"/>
    <w:basedOn w:val="Normal"/>
    <w:uiPriority w:val="99"/>
    <w:semiHidden/>
    <w:unhideWhenUsed/>
    <w:rsid w:val="005B5D1D"/>
    <w:pPr>
      <w:numPr>
        <w:numId w:val="11"/>
      </w:numPr>
      <w:tabs>
        <w:tab w:val="clear" w:pos="643"/>
      </w:tabs>
      <w:ind w:left="0" w:firstLine="0"/>
      <w:contextualSpacing/>
    </w:pPr>
    <w:rPr>
      <w:lang w:val="fr-FR"/>
    </w:rPr>
  </w:style>
  <w:style w:type="paragraph" w:styleId="ListBullet3">
    <w:name w:val="List Bullet 3"/>
    <w:basedOn w:val="Normal"/>
    <w:uiPriority w:val="99"/>
    <w:semiHidden/>
    <w:unhideWhenUsed/>
    <w:rsid w:val="005B5D1D"/>
    <w:pPr>
      <w:numPr>
        <w:numId w:val="12"/>
      </w:numPr>
      <w:tabs>
        <w:tab w:val="clear" w:pos="926"/>
      </w:tabs>
      <w:ind w:left="0" w:firstLine="0"/>
      <w:contextualSpacing/>
    </w:pPr>
    <w:rPr>
      <w:lang w:val="fr-FR"/>
    </w:rPr>
  </w:style>
  <w:style w:type="paragraph" w:styleId="ListBullet4">
    <w:name w:val="List Bullet 4"/>
    <w:basedOn w:val="Normal"/>
    <w:uiPriority w:val="99"/>
    <w:semiHidden/>
    <w:unhideWhenUsed/>
    <w:rsid w:val="005B5D1D"/>
    <w:pPr>
      <w:numPr>
        <w:numId w:val="13"/>
      </w:numPr>
      <w:tabs>
        <w:tab w:val="clear" w:pos="1209"/>
      </w:tabs>
      <w:ind w:left="0" w:firstLine="0"/>
      <w:contextualSpacing/>
    </w:pPr>
    <w:rPr>
      <w:lang w:val="fr-FR"/>
    </w:rPr>
  </w:style>
  <w:style w:type="paragraph" w:styleId="ListBullet5">
    <w:name w:val="List Bullet 5"/>
    <w:basedOn w:val="Normal"/>
    <w:uiPriority w:val="99"/>
    <w:semiHidden/>
    <w:unhideWhenUsed/>
    <w:rsid w:val="005B5D1D"/>
    <w:pPr>
      <w:numPr>
        <w:numId w:val="14"/>
      </w:numPr>
      <w:tabs>
        <w:tab w:val="clear" w:pos="1492"/>
      </w:tabs>
      <w:ind w:left="0" w:firstLine="0"/>
      <w:contextualSpacing/>
    </w:pPr>
    <w:rPr>
      <w:lang w:val="fr-FR"/>
    </w:rPr>
  </w:style>
  <w:style w:type="paragraph" w:styleId="ListContinue">
    <w:name w:val="List Continue"/>
    <w:basedOn w:val="Normal"/>
    <w:uiPriority w:val="99"/>
    <w:semiHidden/>
    <w:unhideWhenUsed/>
    <w:rsid w:val="005B5D1D"/>
    <w:pPr>
      <w:spacing w:after="120"/>
      <w:ind w:left="283"/>
      <w:contextualSpacing/>
    </w:pPr>
    <w:rPr>
      <w:lang w:val="fr-FR"/>
    </w:rPr>
  </w:style>
  <w:style w:type="paragraph" w:styleId="ListContinue2">
    <w:name w:val="List Continue 2"/>
    <w:basedOn w:val="Normal"/>
    <w:uiPriority w:val="99"/>
    <w:semiHidden/>
    <w:unhideWhenUsed/>
    <w:rsid w:val="005B5D1D"/>
    <w:pPr>
      <w:spacing w:after="120"/>
      <w:ind w:left="566"/>
      <w:contextualSpacing/>
    </w:pPr>
    <w:rPr>
      <w:lang w:val="fr-FR"/>
    </w:rPr>
  </w:style>
  <w:style w:type="paragraph" w:styleId="ListContinue3">
    <w:name w:val="List Continue 3"/>
    <w:basedOn w:val="Normal"/>
    <w:uiPriority w:val="99"/>
    <w:semiHidden/>
    <w:unhideWhenUsed/>
    <w:rsid w:val="005B5D1D"/>
    <w:pPr>
      <w:spacing w:after="120"/>
      <w:ind w:left="849"/>
      <w:contextualSpacing/>
    </w:pPr>
    <w:rPr>
      <w:lang w:val="fr-FR"/>
    </w:rPr>
  </w:style>
  <w:style w:type="paragraph" w:styleId="ListContinue4">
    <w:name w:val="List Continue 4"/>
    <w:basedOn w:val="Normal"/>
    <w:uiPriority w:val="99"/>
    <w:semiHidden/>
    <w:unhideWhenUsed/>
    <w:rsid w:val="005B5D1D"/>
    <w:pPr>
      <w:spacing w:after="120"/>
      <w:ind w:left="1132"/>
      <w:contextualSpacing/>
    </w:pPr>
    <w:rPr>
      <w:lang w:val="fr-FR"/>
    </w:rPr>
  </w:style>
  <w:style w:type="paragraph" w:styleId="ListContinue5">
    <w:name w:val="List Continue 5"/>
    <w:basedOn w:val="Normal"/>
    <w:uiPriority w:val="99"/>
    <w:semiHidden/>
    <w:unhideWhenUsed/>
    <w:rsid w:val="005B5D1D"/>
    <w:pPr>
      <w:spacing w:after="120"/>
      <w:ind w:left="1415"/>
      <w:contextualSpacing/>
    </w:pPr>
    <w:rPr>
      <w:lang w:val="fr-FR"/>
    </w:rPr>
  </w:style>
  <w:style w:type="paragraph" w:styleId="ListNumber">
    <w:name w:val="List Number"/>
    <w:basedOn w:val="Normal"/>
    <w:uiPriority w:val="99"/>
    <w:semiHidden/>
    <w:unhideWhenUsed/>
    <w:rsid w:val="005B5D1D"/>
    <w:pPr>
      <w:numPr>
        <w:numId w:val="15"/>
      </w:numPr>
      <w:tabs>
        <w:tab w:val="clear" w:pos="360"/>
      </w:tabs>
      <w:ind w:left="0" w:firstLine="0"/>
      <w:contextualSpacing/>
    </w:pPr>
    <w:rPr>
      <w:lang w:val="fr-FR"/>
    </w:rPr>
  </w:style>
  <w:style w:type="paragraph" w:styleId="ListNumber2">
    <w:name w:val="List Number 2"/>
    <w:basedOn w:val="Normal"/>
    <w:uiPriority w:val="99"/>
    <w:semiHidden/>
    <w:unhideWhenUsed/>
    <w:rsid w:val="005B5D1D"/>
    <w:pPr>
      <w:numPr>
        <w:numId w:val="16"/>
      </w:numPr>
      <w:tabs>
        <w:tab w:val="clear" w:pos="643"/>
      </w:tabs>
      <w:ind w:left="0" w:firstLine="0"/>
      <w:contextualSpacing/>
    </w:pPr>
    <w:rPr>
      <w:lang w:val="fr-FR"/>
    </w:rPr>
  </w:style>
  <w:style w:type="paragraph" w:styleId="ListNumber3">
    <w:name w:val="List Number 3"/>
    <w:basedOn w:val="Normal"/>
    <w:uiPriority w:val="99"/>
    <w:semiHidden/>
    <w:unhideWhenUsed/>
    <w:rsid w:val="005B5D1D"/>
    <w:pPr>
      <w:numPr>
        <w:numId w:val="17"/>
      </w:numPr>
      <w:tabs>
        <w:tab w:val="clear" w:pos="926"/>
      </w:tabs>
      <w:ind w:left="0" w:firstLine="0"/>
      <w:contextualSpacing/>
    </w:pPr>
    <w:rPr>
      <w:lang w:val="fr-FR"/>
    </w:rPr>
  </w:style>
  <w:style w:type="paragraph" w:styleId="ListNumber4">
    <w:name w:val="List Number 4"/>
    <w:basedOn w:val="Normal"/>
    <w:uiPriority w:val="99"/>
    <w:semiHidden/>
    <w:unhideWhenUsed/>
    <w:rsid w:val="005B5D1D"/>
    <w:pPr>
      <w:numPr>
        <w:numId w:val="18"/>
      </w:numPr>
      <w:tabs>
        <w:tab w:val="clear" w:pos="1209"/>
      </w:tabs>
      <w:ind w:left="0" w:firstLine="0"/>
      <w:contextualSpacing/>
    </w:pPr>
    <w:rPr>
      <w:lang w:val="fr-FR"/>
    </w:rPr>
  </w:style>
  <w:style w:type="paragraph" w:styleId="ListNumber5">
    <w:name w:val="List Number 5"/>
    <w:basedOn w:val="Normal"/>
    <w:uiPriority w:val="99"/>
    <w:semiHidden/>
    <w:unhideWhenUsed/>
    <w:rsid w:val="005B5D1D"/>
    <w:pPr>
      <w:numPr>
        <w:numId w:val="19"/>
      </w:numPr>
      <w:tabs>
        <w:tab w:val="clear" w:pos="1492"/>
      </w:tabs>
      <w:ind w:left="0" w:firstLine="0"/>
      <w:contextualSpacing/>
    </w:pPr>
    <w:rPr>
      <w:lang w:val="fr-FR"/>
    </w:rPr>
  </w:style>
  <w:style w:type="paragraph" w:styleId="MacroText">
    <w:name w:val="macro"/>
    <w:link w:val="MacroTextChar"/>
    <w:uiPriority w:val="99"/>
    <w:semiHidden/>
    <w:unhideWhenUsed/>
    <w:rsid w:val="005B5D1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val="fr-FR"/>
    </w:rPr>
  </w:style>
  <w:style w:type="character" w:customStyle="1" w:styleId="MacroTextChar">
    <w:name w:val="Macro Text Char"/>
    <w:basedOn w:val="DefaultParagraphFont"/>
    <w:link w:val="MacroText"/>
    <w:uiPriority w:val="99"/>
    <w:semiHidden/>
    <w:rsid w:val="005B5D1D"/>
    <w:rPr>
      <w:rFonts w:ascii="Consolas" w:eastAsia="Times New Roman" w:hAnsi="Consolas" w:cs="Times New Roman"/>
      <w:sz w:val="20"/>
      <w:szCs w:val="20"/>
      <w:lang w:val="fr-FR"/>
    </w:rPr>
  </w:style>
  <w:style w:type="paragraph" w:styleId="MessageHeader">
    <w:name w:val="Message Header"/>
    <w:basedOn w:val="Normal"/>
    <w:link w:val="MessageHeaderChar"/>
    <w:uiPriority w:val="99"/>
    <w:semiHidden/>
    <w:unhideWhenUsed/>
    <w:rsid w:val="005B5D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lang w:val="fr-FR"/>
    </w:rPr>
  </w:style>
  <w:style w:type="character" w:customStyle="1" w:styleId="MessageHeaderChar">
    <w:name w:val="Message Header Char"/>
    <w:basedOn w:val="DefaultParagraphFont"/>
    <w:link w:val="MessageHeader"/>
    <w:uiPriority w:val="99"/>
    <w:semiHidden/>
    <w:rsid w:val="005B5D1D"/>
    <w:rPr>
      <w:rFonts w:asciiTheme="majorHAnsi" w:eastAsiaTheme="majorEastAsia" w:hAnsiTheme="majorHAnsi" w:cstheme="majorBidi"/>
      <w:sz w:val="24"/>
      <w:szCs w:val="24"/>
      <w:shd w:val="pct20" w:color="auto" w:fill="auto"/>
      <w:lang w:val="fr-FR"/>
    </w:rPr>
  </w:style>
  <w:style w:type="paragraph" w:styleId="NormalIndent">
    <w:name w:val="Normal Indent"/>
    <w:basedOn w:val="Normal"/>
    <w:uiPriority w:val="99"/>
    <w:semiHidden/>
    <w:unhideWhenUsed/>
    <w:rsid w:val="005B5D1D"/>
    <w:pPr>
      <w:ind w:left="720"/>
    </w:pPr>
    <w:rPr>
      <w:lang w:val="fr-FR"/>
    </w:rPr>
  </w:style>
  <w:style w:type="paragraph" w:styleId="NoteHeading">
    <w:name w:val="Note Heading"/>
    <w:basedOn w:val="Normal"/>
    <w:next w:val="Normal"/>
    <w:link w:val="NoteHeadingChar"/>
    <w:uiPriority w:val="99"/>
    <w:semiHidden/>
    <w:unhideWhenUsed/>
    <w:rsid w:val="005B5D1D"/>
    <w:rPr>
      <w:lang w:val="fr-FR"/>
    </w:rPr>
  </w:style>
  <w:style w:type="character" w:customStyle="1" w:styleId="NoteHeadingChar">
    <w:name w:val="Note Heading Char"/>
    <w:basedOn w:val="DefaultParagraphFont"/>
    <w:link w:val="NoteHeading"/>
    <w:uiPriority w:val="99"/>
    <w:semiHidden/>
    <w:rsid w:val="005B5D1D"/>
    <w:rPr>
      <w:rFonts w:ascii="Times New Roman" w:eastAsia="Times New Roman" w:hAnsi="Times New Roman" w:cs="Times New Roman"/>
      <w:sz w:val="24"/>
      <w:szCs w:val="24"/>
      <w:lang w:val="fr-FR"/>
    </w:rPr>
  </w:style>
  <w:style w:type="paragraph" w:styleId="PlainText">
    <w:name w:val="Plain Text"/>
    <w:basedOn w:val="Normal"/>
    <w:link w:val="PlainTextChar"/>
    <w:uiPriority w:val="99"/>
    <w:semiHidden/>
    <w:unhideWhenUsed/>
    <w:rsid w:val="005B5D1D"/>
    <w:rPr>
      <w:rFonts w:ascii="Consolas" w:hAnsi="Consolas"/>
      <w:sz w:val="21"/>
      <w:szCs w:val="21"/>
      <w:lang w:val="fr-FR"/>
    </w:rPr>
  </w:style>
  <w:style w:type="character" w:customStyle="1" w:styleId="PlainTextChar">
    <w:name w:val="Plain Text Char"/>
    <w:basedOn w:val="DefaultParagraphFont"/>
    <w:link w:val="PlainText"/>
    <w:uiPriority w:val="99"/>
    <w:semiHidden/>
    <w:rsid w:val="005B5D1D"/>
    <w:rPr>
      <w:rFonts w:ascii="Consolas" w:eastAsia="Times New Roman" w:hAnsi="Consolas" w:cs="Times New Roman"/>
      <w:sz w:val="21"/>
      <w:szCs w:val="21"/>
      <w:lang w:val="fr-FR"/>
    </w:rPr>
  </w:style>
  <w:style w:type="paragraph" w:styleId="Salutation">
    <w:name w:val="Salutation"/>
    <w:basedOn w:val="Normal"/>
    <w:next w:val="Normal"/>
    <w:link w:val="SalutationChar"/>
    <w:uiPriority w:val="99"/>
    <w:semiHidden/>
    <w:unhideWhenUsed/>
    <w:rsid w:val="005B5D1D"/>
    <w:rPr>
      <w:lang w:val="fr-FR"/>
    </w:rPr>
  </w:style>
  <w:style w:type="character" w:customStyle="1" w:styleId="SalutationChar">
    <w:name w:val="Salutation Char"/>
    <w:basedOn w:val="DefaultParagraphFont"/>
    <w:link w:val="Salutation"/>
    <w:uiPriority w:val="99"/>
    <w:semiHidden/>
    <w:rsid w:val="005B5D1D"/>
    <w:rPr>
      <w:rFonts w:ascii="Times New Roman" w:eastAsia="Times New Roman" w:hAnsi="Times New Roman" w:cs="Times New Roman"/>
      <w:sz w:val="24"/>
      <w:szCs w:val="24"/>
      <w:lang w:val="fr-FR"/>
    </w:rPr>
  </w:style>
  <w:style w:type="paragraph" w:styleId="Signature">
    <w:name w:val="Signature"/>
    <w:basedOn w:val="Normal"/>
    <w:link w:val="SignatureChar"/>
    <w:uiPriority w:val="99"/>
    <w:semiHidden/>
    <w:unhideWhenUsed/>
    <w:rsid w:val="005B5D1D"/>
    <w:pPr>
      <w:ind w:left="4252"/>
    </w:pPr>
    <w:rPr>
      <w:lang w:val="fr-FR"/>
    </w:rPr>
  </w:style>
  <w:style w:type="character" w:customStyle="1" w:styleId="SignatureChar">
    <w:name w:val="Signature Char"/>
    <w:basedOn w:val="DefaultParagraphFont"/>
    <w:link w:val="Signature"/>
    <w:uiPriority w:val="99"/>
    <w:semiHidden/>
    <w:rsid w:val="005B5D1D"/>
    <w:rPr>
      <w:rFonts w:ascii="Times New Roman" w:eastAsia="Times New Roman" w:hAnsi="Times New Roman" w:cs="Times New Roman"/>
      <w:sz w:val="24"/>
      <w:szCs w:val="24"/>
      <w:lang w:val="fr-FR"/>
    </w:rPr>
  </w:style>
  <w:style w:type="paragraph" w:styleId="TableofAuthorities">
    <w:name w:val="table of authorities"/>
    <w:basedOn w:val="Normal"/>
    <w:next w:val="Normal"/>
    <w:uiPriority w:val="99"/>
    <w:semiHidden/>
    <w:unhideWhenUsed/>
    <w:rsid w:val="005B5D1D"/>
    <w:pPr>
      <w:ind w:left="240" w:hanging="240"/>
    </w:pPr>
    <w:rPr>
      <w:lang w:val="fr-FR"/>
    </w:rPr>
  </w:style>
  <w:style w:type="paragraph" w:styleId="TableofFigures">
    <w:name w:val="table of figures"/>
    <w:basedOn w:val="Normal"/>
    <w:next w:val="Normal"/>
    <w:uiPriority w:val="99"/>
    <w:semiHidden/>
    <w:unhideWhenUsed/>
    <w:rsid w:val="005B5D1D"/>
    <w:rPr>
      <w:lang w:val="fr-FR"/>
    </w:rPr>
  </w:style>
  <w:style w:type="paragraph" w:styleId="TOAHeading">
    <w:name w:val="toa heading"/>
    <w:basedOn w:val="Normal"/>
    <w:next w:val="Normal"/>
    <w:uiPriority w:val="99"/>
    <w:semiHidden/>
    <w:unhideWhenUsed/>
    <w:rsid w:val="005B5D1D"/>
    <w:pPr>
      <w:spacing w:before="120"/>
    </w:pPr>
    <w:rPr>
      <w:rFonts w:asciiTheme="majorHAnsi" w:eastAsiaTheme="majorEastAsia" w:hAnsiTheme="majorHAnsi" w:cstheme="majorBidi"/>
      <w:b/>
      <w:bCs/>
      <w:lang w:val="fr-FR"/>
    </w:rPr>
  </w:style>
  <w:style w:type="paragraph" w:styleId="TOC1">
    <w:name w:val="toc 1"/>
    <w:basedOn w:val="Normal"/>
    <w:next w:val="Normal"/>
    <w:autoRedefine/>
    <w:uiPriority w:val="39"/>
    <w:semiHidden/>
    <w:unhideWhenUsed/>
    <w:rsid w:val="005B5D1D"/>
    <w:pPr>
      <w:spacing w:after="100"/>
    </w:pPr>
    <w:rPr>
      <w:lang w:val="fr-FR"/>
    </w:rPr>
  </w:style>
  <w:style w:type="paragraph" w:styleId="TOC2">
    <w:name w:val="toc 2"/>
    <w:basedOn w:val="Normal"/>
    <w:next w:val="Normal"/>
    <w:autoRedefine/>
    <w:uiPriority w:val="39"/>
    <w:semiHidden/>
    <w:unhideWhenUsed/>
    <w:rsid w:val="005B5D1D"/>
    <w:pPr>
      <w:spacing w:after="100"/>
      <w:ind w:left="240"/>
    </w:pPr>
    <w:rPr>
      <w:lang w:val="fr-FR"/>
    </w:rPr>
  </w:style>
  <w:style w:type="paragraph" w:styleId="TOC3">
    <w:name w:val="toc 3"/>
    <w:basedOn w:val="Normal"/>
    <w:next w:val="Normal"/>
    <w:autoRedefine/>
    <w:uiPriority w:val="39"/>
    <w:semiHidden/>
    <w:unhideWhenUsed/>
    <w:rsid w:val="005B5D1D"/>
    <w:pPr>
      <w:spacing w:after="100"/>
      <w:ind w:left="480"/>
    </w:pPr>
    <w:rPr>
      <w:lang w:val="fr-FR"/>
    </w:rPr>
  </w:style>
  <w:style w:type="paragraph" w:styleId="TOC4">
    <w:name w:val="toc 4"/>
    <w:basedOn w:val="Normal"/>
    <w:next w:val="Normal"/>
    <w:autoRedefine/>
    <w:uiPriority w:val="39"/>
    <w:semiHidden/>
    <w:unhideWhenUsed/>
    <w:rsid w:val="005B5D1D"/>
    <w:pPr>
      <w:spacing w:after="100"/>
      <w:ind w:left="720"/>
    </w:pPr>
    <w:rPr>
      <w:lang w:val="fr-FR"/>
    </w:rPr>
  </w:style>
  <w:style w:type="paragraph" w:styleId="TOC5">
    <w:name w:val="toc 5"/>
    <w:basedOn w:val="Normal"/>
    <w:next w:val="Normal"/>
    <w:autoRedefine/>
    <w:uiPriority w:val="39"/>
    <w:semiHidden/>
    <w:unhideWhenUsed/>
    <w:rsid w:val="005B5D1D"/>
    <w:pPr>
      <w:spacing w:after="100"/>
      <w:ind w:left="960"/>
    </w:pPr>
    <w:rPr>
      <w:lang w:val="fr-FR"/>
    </w:rPr>
  </w:style>
  <w:style w:type="paragraph" w:styleId="TOC6">
    <w:name w:val="toc 6"/>
    <w:basedOn w:val="Normal"/>
    <w:next w:val="Normal"/>
    <w:autoRedefine/>
    <w:uiPriority w:val="39"/>
    <w:semiHidden/>
    <w:unhideWhenUsed/>
    <w:rsid w:val="005B5D1D"/>
    <w:pPr>
      <w:spacing w:after="100"/>
      <w:ind w:left="1200"/>
    </w:pPr>
    <w:rPr>
      <w:lang w:val="fr-FR"/>
    </w:rPr>
  </w:style>
  <w:style w:type="paragraph" w:styleId="TOC7">
    <w:name w:val="toc 7"/>
    <w:basedOn w:val="Normal"/>
    <w:next w:val="Normal"/>
    <w:autoRedefine/>
    <w:uiPriority w:val="39"/>
    <w:semiHidden/>
    <w:unhideWhenUsed/>
    <w:rsid w:val="005B5D1D"/>
    <w:pPr>
      <w:spacing w:after="100"/>
      <w:ind w:left="1440"/>
    </w:pPr>
    <w:rPr>
      <w:lang w:val="fr-FR"/>
    </w:rPr>
  </w:style>
  <w:style w:type="paragraph" w:styleId="TOC8">
    <w:name w:val="toc 8"/>
    <w:basedOn w:val="Normal"/>
    <w:next w:val="Normal"/>
    <w:autoRedefine/>
    <w:uiPriority w:val="39"/>
    <w:semiHidden/>
    <w:unhideWhenUsed/>
    <w:rsid w:val="005B5D1D"/>
    <w:pPr>
      <w:spacing w:after="100"/>
      <w:ind w:left="1680"/>
    </w:pPr>
    <w:rPr>
      <w:lang w:val="fr-FR"/>
    </w:rPr>
  </w:style>
  <w:style w:type="paragraph" w:styleId="TOC9">
    <w:name w:val="toc 9"/>
    <w:basedOn w:val="Normal"/>
    <w:next w:val="Normal"/>
    <w:autoRedefine/>
    <w:uiPriority w:val="39"/>
    <w:semiHidden/>
    <w:unhideWhenUsed/>
    <w:rsid w:val="005B5D1D"/>
    <w:pPr>
      <w:spacing w:after="100"/>
      <w:ind w:left="1920"/>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ccat.int/Documents/Recs/compendiopdf-f/2025-09-f.pdf" TargetMode="External"/><Relationship Id="rId21" Type="http://schemas.openxmlformats.org/officeDocument/2006/relationships/hyperlink" Target="https://www.iccat.int/Documents/Recs/compendiopdf-f/2025-09-f.pdf" TargetMode="External"/><Relationship Id="rId42" Type="http://schemas.openxmlformats.org/officeDocument/2006/relationships/hyperlink" Target="https://www.iccat.int/Documents/Recs/compendiopdf-f/2023-14-f.pdf" TargetMode="External"/><Relationship Id="rId47" Type="http://schemas.openxmlformats.org/officeDocument/2006/relationships/hyperlink" Target="https://www.iccat.int/Documents/Recs/compendiopdf-f/2025-08-f.pdf" TargetMode="External"/><Relationship Id="rId63" Type="http://schemas.openxmlformats.org/officeDocument/2006/relationships/hyperlink" Target="https://www.iccat.int/Documents/Recs/compendiopdf-f/2021-09-f.pdf" TargetMode="External"/><Relationship Id="rId68" Type="http://schemas.openxmlformats.org/officeDocument/2006/relationships/hyperlink" Target="https://www.iccat.int/Documents/Recs/compendiopdf-f/2025-08-f.pdf" TargetMode="External"/><Relationship Id="rId16" Type="http://schemas.openxmlformats.org/officeDocument/2006/relationships/hyperlink" Target="https://www.iccat.int/Documents/BienRep/REP_FR_24-25-II-2.pdf" TargetMode="External"/><Relationship Id="rId11" Type="http://schemas.openxmlformats.org/officeDocument/2006/relationships/hyperlink" Target="https://www.iccat.int/Documents/Recs/compendiopdf-f/2019-05-f.pdf" TargetMode="External"/><Relationship Id="rId32" Type="http://schemas.openxmlformats.org/officeDocument/2006/relationships/image" Target="media/image2.emf"/><Relationship Id="rId37" Type="http://schemas.openxmlformats.org/officeDocument/2006/relationships/hyperlink" Target="https://www.iccat.int/Documents/BienRep/REP_FR_24-25-I-2.pdf" TargetMode="External"/><Relationship Id="rId53" Type="http://schemas.openxmlformats.org/officeDocument/2006/relationships/hyperlink" Target="https://www.iccat.int/Documents/Recs/compendiopdf-f/2025-08-f.pdf" TargetMode="External"/><Relationship Id="rId58" Type="http://schemas.openxmlformats.org/officeDocument/2006/relationships/hyperlink" Target="https://www.iccat.int/Documents/Recs/compendiopdf-f/2025-08-f.pdf" TargetMode="External"/><Relationship Id="rId74" Type="http://schemas.openxmlformats.org/officeDocument/2006/relationships/hyperlink" Target="https://www.iccat.int/Documents/Recs/compendiopdf-f/2021-09-f.pdf"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www.iccat.int/Documents/Recs/compendiopdf-f/2025-08-f.pdf" TargetMode="External"/><Relationship Id="rId19" Type="http://schemas.openxmlformats.org/officeDocument/2006/relationships/hyperlink" Target="https://www.iccat.int/Documents/Recs/compendiopdf-f/2025-09-f.pdf" TargetMode="External"/><Relationship Id="rId14" Type="http://schemas.openxmlformats.org/officeDocument/2006/relationships/hyperlink" Target="https://www.iccat.int/Documents/Recs/compendiopdf-f/2019-05-f.pdf" TargetMode="External"/><Relationship Id="rId22" Type="http://schemas.openxmlformats.org/officeDocument/2006/relationships/hyperlink" Target="https://www.iccat.int/Documents/Recs/compendiopdf-f/2025-09-f.pdf" TargetMode="External"/><Relationship Id="rId27" Type="http://schemas.openxmlformats.org/officeDocument/2006/relationships/hyperlink" Target="https://www.iccat.int/Documents/Recs/compendiopdf-f/2025-09-f.pdf" TargetMode="External"/><Relationship Id="rId30" Type="http://schemas.openxmlformats.org/officeDocument/2006/relationships/hyperlink" Target="https://www.iccat.int/Documents/Recs/compendiopdf-f/2025-10-f.pdf" TargetMode="External"/><Relationship Id="rId35" Type="http://schemas.openxmlformats.org/officeDocument/2006/relationships/hyperlink" Target="https://www.iccat.int/Documents/Recs/compendiopdf-f/2025-10-f.pdf" TargetMode="External"/><Relationship Id="rId43" Type="http://schemas.openxmlformats.org/officeDocument/2006/relationships/hyperlink" Target="https://www.iccat.int/Documents/Recs/compendiopdf-f/2023-14-f.pdf" TargetMode="External"/><Relationship Id="rId48" Type="http://schemas.openxmlformats.org/officeDocument/2006/relationships/hyperlink" Target="https://www.iccat.int/Documents/Recs/compendiopdf-f/2021-09-f.pdf" TargetMode="External"/><Relationship Id="rId56" Type="http://schemas.openxmlformats.org/officeDocument/2006/relationships/hyperlink" Target="https://www.iccat.int/Documents/Recs/compendiopdf-f/2021-09-f.pdf" TargetMode="External"/><Relationship Id="rId64" Type="http://schemas.openxmlformats.org/officeDocument/2006/relationships/hyperlink" Target="https://www.iccat.int/Documents/Recs/compendiopdf-f/2021-09-f.pdf" TargetMode="External"/><Relationship Id="rId69" Type="http://schemas.openxmlformats.org/officeDocument/2006/relationships/hyperlink" Target="https://www.iccat.int/Documents/Recs/compendiopdf-f/2025-08-f.pdf" TargetMode="External"/><Relationship Id="rId77" Type="http://schemas.openxmlformats.org/officeDocument/2006/relationships/hyperlink" Target="https://www.iccat.int/Documents/Recs/compendiopdf-f/2022-11-f.pdf" TargetMode="External"/><Relationship Id="rId8" Type="http://schemas.openxmlformats.org/officeDocument/2006/relationships/hyperlink" Target="https://www.iccat.int/Documents/Recs/compendiopdf-f/2019-05-f.pdf" TargetMode="External"/><Relationship Id="rId51" Type="http://schemas.openxmlformats.org/officeDocument/2006/relationships/hyperlink" Target="https://www.iccat.int/Documents/Recs/compendiopdf-f/2025-08-f.pdf" TargetMode="External"/><Relationship Id="rId72" Type="http://schemas.openxmlformats.org/officeDocument/2006/relationships/hyperlink" Target="https://www.iccat.int/Documents/Recs/compendiopdf-f/2021-09-f.pdf"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app.powerbi.com/view?r=eyJrIjoiYzMzNzhhNjItMTcyNC00Y2EzLWJkZGMtZGUzNzIxZTg4YjVjIiwidCI6IjQzYWUxY2NmLTA0NGYtNDAxMy1hNzUwLWZjNWQ2NjAwMTlmYSIsImMiOjl9" TargetMode="External"/><Relationship Id="rId17" Type="http://schemas.openxmlformats.org/officeDocument/2006/relationships/hyperlink" Target="https://www.iccat.int/Documents/Recs/compendiopdf-f/2024-11-f.pdf" TargetMode="External"/><Relationship Id="rId25" Type="http://schemas.openxmlformats.org/officeDocument/2006/relationships/hyperlink" Target="https://www.iccat.int/Documents/Recs/compendiopdf-f/2025-09-f.pdf" TargetMode="External"/><Relationship Id="rId33" Type="http://schemas.openxmlformats.org/officeDocument/2006/relationships/hyperlink" Target="https://www.iccat.int/Documents/Recs/compendiopdf-f/2025-10-f.pdf" TargetMode="External"/><Relationship Id="rId38" Type="http://schemas.openxmlformats.org/officeDocument/2006/relationships/hyperlink" Target="https://www.iccat.int/Documents/Recs/compendiopdf-f/2023-14-f.pdf" TargetMode="External"/><Relationship Id="rId46" Type="http://schemas.openxmlformats.org/officeDocument/2006/relationships/hyperlink" Target="https://www.iccat.int/Documents/Recs/compendiopdf-f/2025-07-f.pdf" TargetMode="External"/><Relationship Id="rId59" Type="http://schemas.openxmlformats.org/officeDocument/2006/relationships/hyperlink" Target="https://www.iccat.int/Documents/Recs/compendiopdf-f/2025-08-f.pdf" TargetMode="External"/><Relationship Id="rId67" Type="http://schemas.openxmlformats.org/officeDocument/2006/relationships/hyperlink" Target="https://www.iccat.int/Documents/Recs/compendiopdf-f/2021-09-f.pdf" TargetMode="External"/><Relationship Id="rId20" Type="http://schemas.openxmlformats.org/officeDocument/2006/relationships/hyperlink" Target="https://www.iccat.int/Documents/Recs/compendiopdf-f/2025-09-f.pdf" TargetMode="External"/><Relationship Id="rId41" Type="http://schemas.openxmlformats.org/officeDocument/2006/relationships/hyperlink" Target="https://www.iccat.int/Documents/Recs/compendiopdf-f/2024-12-f.pdf" TargetMode="External"/><Relationship Id="rId54" Type="http://schemas.openxmlformats.org/officeDocument/2006/relationships/hyperlink" Target="https://www.iccat.int/Documents/Recs/compendiopdf-f/2025-08-f.pdf" TargetMode="External"/><Relationship Id="rId62" Type="http://schemas.openxmlformats.org/officeDocument/2006/relationships/hyperlink" Target="https://www.iccat.int/Documents/Recs/compendiopdf-f/2021-09-f.pdf" TargetMode="External"/><Relationship Id="rId70" Type="http://schemas.openxmlformats.org/officeDocument/2006/relationships/hyperlink" Target="https://www.iccat.int/Documents/Recs/compendiopdf-f/2021-09-f.pdf" TargetMode="External"/><Relationship Id="rId75" Type="http://schemas.openxmlformats.org/officeDocument/2006/relationships/hyperlink" Target="https://www.iccat.int/Documents/Recs/compendiopdf-f/2022-11-f.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ccat.int/Documents/Recs/compendiopdf-f/2019-05-f.pdf" TargetMode="External"/><Relationship Id="rId23" Type="http://schemas.openxmlformats.org/officeDocument/2006/relationships/hyperlink" Target="https://www.iccat.int/Documents/Recs/compendiopdf-f/2025-09-f.pdf" TargetMode="External"/><Relationship Id="rId28" Type="http://schemas.openxmlformats.org/officeDocument/2006/relationships/hyperlink" Target="https://www.iccat.int/Documents/Recs/compendiopdf-f/2025-09-f.pdf" TargetMode="External"/><Relationship Id="rId36" Type="http://schemas.openxmlformats.org/officeDocument/2006/relationships/hyperlink" Target="https://www.iccat.int/Documents/Recs/compendiopdf-f/2024-12-f.pdf" TargetMode="External"/><Relationship Id="rId49" Type="http://schemas.openxmlformats.org/officeDocument/2006/relationships/hyperlink" Target="https://www.iccat.int/Documents/Recs/compendiopdf-f/2021-09-f.pdf" TargetMode="External"/><Relationship Id="rId57" Type="http://schemas.openxmlformats.org/officeDocument/2006/relationships/hyperlink" Target="https://www.iccat.int/Documents/Recs/compendiopdf-f/2021-09-f.pdf" TargetMode="External"/><Relationship Id="rId10" Type="http://schemas.openxmlformats.org/officeDocument/2006/relationships/hyperlink" Target="https://ebabcock.github.io/BycatchEstimator/" TargetMode="External"/><Relationship Id="rId31" Type="http://schemas.openxmlformats.org/officeDocument/2006/relationships/hyperlink" Target="https://www.iccat.int/Documents/Recs/compendiopdf-f/2025-10-f.pdf" TargetMode="External"/><Relationship Id="rId44" Type="http://schemas.openxmlformats.org/officeDocument/2006/relationships/hyperlink" Target="https://www.iccat.int/Documents/Recs/compendiopdf-f/2025-07-f.pdf" TargetMode="External"/><Relationship Id="rId52" Type="http://schemas.openxmlformats.org/officeDocument/2006/relationships/hyperlink" Target="https://www.iccat.int/Documents/Recs/compendiopdf-f/2025-08-f.pdf" TargetMode="External"/><Relationship Id="rId60" Type="http://schemas.openxmlformats.org/officeDocument/2006/relationships/hyperlink" Target="https://www.iccat.int/Documents/Recs/compendiopdf-f/2025-08-f.pdf" TargetMode="External"/><Relationship Id="rId65" Type="http://schemas.openxmlformats.org/officeDocument/2006/relationships/hyperlink" Target="https://www.iccat.int/Documents/Recs/compendiopdf-f/2021-09-f.pdf" TargetMode="External"/><Relationship Id="rId73" Type="http://schemas.openxmlformats.org/officeDocument/2006/relationships/hyperlink" Target="https://www.iccat.int/Documents/Recs/compendiopdf-f/2025-08-f.pdf"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ccat.int/Documents/Meetings/Docs/2026/reports/2026_WGSAM_fra.pdf" TargetMode="External"/><Relationship Id="rId13" Type="http://schemas.openxmlformats.org/officeDocument/2006/relationships/hyperlink" Target="https://app.powerbi.com/view?r=eyJrIjoiMjE4YTg0ZmEtNjNlMS00YzFlLTk3YTUtYWYzNmEwMzViMThkIiwidCI6IjQzYWUxY2NmLTA0NGYtNDAxMy1hNzUwLWZjNWQ2NjAwMTlmYSIsImMiOjl9" TargetMode="External"/><Relationship Id="rId18" Type="http://schemas.openxmlformats.org/officeDocument/2006/relationships/image" Target="media/image1.png"/><Relationship Id="rId39" Type="http://schemas.openxmlformats.org/officeDocument/2006/relationships/hyperlink" Target="https://www.iccat.int/Documents/Recs/compendiopdf-f/2023-14-f.pdf" TargetMode="External"/><Relationship Id="rId34" Type="http://schemas.openxmlformats.org/officeDocument/2006/relationships/hyperlink" Target="https://www.iccat.int/Documents/Recs/compendiopdf-f/2025-10-f.pdf" TargetMode="External"/><Relationship Id="rId50" Type="http://schemas.openxmlformats.org/officeDocument/2006/relationships/hyperlink" Target="https://www.iccat.int/Documents/Recs/compendiopdf-f/2025-08-f.pdf" TargetMode="External"/><Relationship Id="rId55" Type="http://schemas.openxmlformats.org/officeDocument/2006/relationships/hyperlink" Target="https://www.iccat.int/Documents/Recs/compendiopdf-f/2025-08-f.pdf" TargetMode="External"/><Relationship Id="rId76" Type="http://schemas.openxmlformats.org/officeDocument/2006/relationships/hyperlink" Target="https://www.iccat.int/Documents/Recs/compendiopdf-f/2021-09-f.pdf" TargetMode="External"/><Relationship Id="rId7" Type="http://schemas.openxmlformats.org/officeDocument/2006/relationships/endnotes" Target="endnotes.xml"/><Relationship Id="rId71" Type="http://schemas.openxmlformats.org/officeDocument/2006/relationships/hyperlink" Target="https://www.iccat.int/Documents/Recs/compendiopdf-f/2022-11-f.pdf" TargetMode="External"/><Relationship Id="rId2" Type="http://schemas.openxmlformats.org/officeDocument/2006/relationships/numbering" Target="numbering.xml"/><Relationship Id="rId29" Type="http://schemas.openxmlformats.org/officeDocument/2006/relationships/hyperlink" Target="https://www.iccat.int/Documents/Recs/compendiopdf-f/2025-10-f.pdf" TargetMode="External"/><Relationship Id="rId24" Type="http://schemas.openxmlformats.org/officeDocument/2006/relationships/hyperlink" Target="https://www.iccat.int/Documents/Recs/compendiopdf-f/2025-09-f.pdf" TargetMode="External"/><Relationship Id="rId40" Type="http://schemas.openxmlformats.org/officeDocument/2006/relationships/hyperlink" Target="https://www.iccat.int/Documents/Recs/compendiopdf-f/2024-12-f.pdf" TargetMode="External"/><Relationship Id="rId45" Type="http://schemas.openxmlformats.org/officeDocument/2006/relationships/hyperlink" Target="https://www.iccat.int/Documents/Recs/compendiopdf-f/2025-07-f.pdf" TargetMode="External"/><Relationship Id="rId66" Type="http://schemas.openxmlformats.org/officeDocument/2006/relationships/hyperlink" Target="https://www.iccat.int/Documents/Recs/compendiopdf-f/2021-09-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9850</Words>
  <Characters>53783</Characters>
  <Application>Microsoft Office Word</Application>
  <DocSecurity>0</DocSecurity>
  <Lines>1734</Lines>
  <Paragraphs>795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62838</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2026-10-14T06:49:00Z</dcterms:created>
  <dcterms:modified xsi:type="dcterms:W3CDTF">2026-10-14T08:01:00Z</dcterms:modified>
</cp:coreProperties>
</file>