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33837" w14:textId="14E9425A" w:rsidR="00746080" w:rsidRPr="00455BC3" w:rsidRDefault="00746080" w:rsidP="00746080">
      <w:pPr>
        <w:spacing w:after="0" w:line="240" w:lineRule="atLeast"/>
        <w:jc w:val="right"/>
        <w:rPr>
          <w:rFonts w:ascii="Cambria" w:hAnsi="Cambria" w:cs="Times New Roman"/>
          <w:bCs/>
          <w:sz w:val="20"/>
          <w:szCs w:val="20"/>
        </w:rPr>
      </w:pPr>
      <w:r w:rsidRPr="00455BC3">
        <w:rPr>
          <w:rFonts w:ascii="Cambria" w:hAnsi="Cambria"/>
          <w:b/>
          <w:bCs/>
          <w:sz w:val="20"/>
          <w:szCs w:val="20"/>
        </w:rPr>
        <w:t>Original</w:t>
      </w:r>
      <w:r w:rsidR="00793350" w:rsidRPr="00455BC3">
        <w:rPr>
          <w:rFonts w:ascii="Cambria" w:hAnsi="Cambria"/>
          <w:b/>
          <w:bCs/>
          <w:sz w:val="20"/>
          <w:szCs w:val="20"/>
        </w:rPr>
        <w:t xml:space="preserve"> </w:t>
      </w:r>
      <w:r w:rsidRPr="00455BC3">
        <w:rPr>
          <w:rFonts w:ascii="Cambria" w:hAnsi="Cambria"/>
          <w:b/>
          <w:bCs/>
          <w:sz w:val="20"/>
          <w:szCs w:val="20"/>
        </w:rPr>
        <w:t xml:space="preserve">: </w:t>
      </w:r>
      <w:r w:rsidRPr="00455BC3">
        <w:rPr>
          <w:rFonts w:ascii="Cambria" w:hAnsi="Cambria"/>
          <w:bCs/>
          <w:sz w:val="20"/>
          <w:szCs w:val="20"/>
        </w:rPr>
        <w:t>anglais/espagnol/français</w:t>
      </w:r>
    </w:p>
    <w:p w14:paraId="2B4057B2" w14:textId="5255F42F" w:rsidR="00746080" w:rsidRPr="00455BC3" w:rsidRDefault="00746080" w:rsidP="00746080">
      <w:pPr>
        <w:spacing w:after="0" w:line="240" w:lineRule="atLeast"/>
        <w:jc w:val="right"/>
        <w:rPr>
          <w:rFonts w:ascii="Cambria" w:hAnsi="Cambria" w:cs="Times New Roman"/>
          <w:b/>
          <w:bCs/>
          <w:sz w:val="20"/>
          <w:szCs w:val="20"/>
        </w:rPr>
      </w:pPr>
    </w:p>
    <w:p w14:paraId="46858B29" w14:textId="77777777" w:rsidR="005D4BD1" w:rsidRPr="00455BC3" w:rsidRDefault="005D4BD1" w:rsidP="00746080">
      <w:pPr>
        <w:spacing w:after="0" w:line="240" w:lineRule="atLeast"/>
        <w:jc w:val="right"/>
        <w:rPr>
          <w:rFonts w:ascii="Cambria" w:hAnsi="Cambria" w:cs="Times New Roman"/>
          <w:b/>
          <w:bCs/>
          <w:sz w:val="20"/>
          <w:szCs w:val="20"/>
        </w:rPr>
      </w:pPr>
    </w:p>
    <w:p w14:paraId="5E71069A" w14:textId="26D9810A" w:rsidR="00746080" w:rsidRPr="00455BC3" w:rsidRDefault="00554468" w:rsidP="00746080">
      <w:pPr>
        <w:autoSpaceDE w:val="0"/>
        <w:autoSpaceDN w:val="0"/>
        <w:adjustRightInd w:val="0"/>
        <w:spacing w:after="0" w:line="240" w:lineRule="atLeast"/>
        <w:jc w:val="center"/>
        <w:rPr>
          <w:rFonts w:ascii="Cambria" w:hAnsi="Cambria" w:cs="Times New Roman"/>
          <w:b/>
          <w:bCs/>
          <w:sz w:val="20"/>
          <w:szCs w:val="20"/>
        </w:rPr>
      </w:pPr>
      <w:bookmarkStart w:id="0" w:name="_Hlk119173661"/>
      <w:r w:rsidRPr="00455BC3">
        <w:rPr>
          <w:rFonts w:ascii="Cambria" w:hAnsi="Cambria"/>
          <w:b/>
          <w:bCs/>
          <w:sz w:val="20"/>
          <w:szCs w:val="20"/>
        </w:rPr>
        <w:t>P</w:t>
      </w:r>
      <w:r w:rsidR="00300BEB" w:rsidRPr="00455BC3">
        <w:rPr>
          <w:rFonts w:ascii="Cambria" w:hAnsi="Cambria"/>
          <w:b/>
          <w:bCs/>
          <w:sz w:val="20"/>
          <w:szCs w:val="20"/>
        </w:rPr>
        <w:t xml:space="preserve">lan de développement, de pêche ou de gestion de l'espadon de l'Atlantique </w:t>
      </w:r>
      <w:r w:rsidR="00252E0B" w:rsidRPr="00455BC3">
        <w:rPr>
          <w:rFonts w:ascii="Cambria" w:hAnsi="Cambria"/>
          <w:b/>
          <w:bCs/>
          <w:sz w:val="20"/>
          <w:szCs w:val="20"/>
        </w:rPr>
        <w:t>Nord</w:t>
      </w:r>
    </w:p>
    <w:bookmarkEnd w:id="0"/>
    <w:p w14:paraId="311731F7" w14:textId="77777777" w:rsidR="00746080" w:rsidRPr="00455BC3" w:rsidRDefault="00746080" w:rsidP="00746080">
      <w:pPr>
        <w:autoSpaceDE w:val="0"/>
        <w:autoSpaceDN w:val="0"/>
        <w:adjustRightInd w:val="0"/>
        <w:spacing w:after="0" w:line="240" w:lineRule="atLeast"/>
        <w:jc w:val="center"/>
        <w:rPr>
          <w:rFonts w:ascii="Cambria" w:hAnsi="Cambria" w:cs="Times New Roman"/>
          <w:i/>
          <w:iCs/>
          <w:sz w:val="20"/>
          <w:szCs w:val="20"/>
        </w:rPr>
      </w:pPr>
    </w:p>
    <w:p w14:paraId="61E49969" w14:textId="29944270" w:rsidR="00746080" w:rsidRPr="00455BC3" w:rsidRDefault="00B05901" w:rsidP="00746080">
      <w:pPr>
        <w:autoSpaceDE w:val="0"/>
        <w:autoSpaceDN w:val="0"/>
        <w:adjustRightInd w:val="0"/>
        <w:spacing w:after="0" w:line="240" w:lineRule="atLeast"/>
        <w:jc w:val="center"/>
        <w:rPr>
          <w:rFonts w:ascii="Cambria" w:hAnsi="Cambria" w:cs="Times New Roman"/>
          <w:i/>
          <w:iCs/>
          <w:sz w:val="20"/>
          <w:szCs w:val="20"/>
        </w:rPr>
      </w:pPr>
      <w:r w:rsidRPr="00455BC3">
        <w:rPr>
          <w:rFonts w:ascii="Cambria" w:hAnsi="Cambria"/>
          <w:i/>
          <w:iCs/>
          <w:sz w:val="20"/>
          <w:szCs w:val="20"/>
        </w:rPr>
        <w:t>(</w:t>
      </w:r>
      <w:r w:rsidR="00746080" w:rsidRPr="00455BC3">
        <w:rPr>
          <w:rFonts w:ascii="Cambria" w:hAnsi="Cambria"/>
          <w:i/>
          <w:iCs/>
          <w:sz w:val="20"/>
          <w:szCs w:val="20"/>
        </w:rPr>
        <w:t>Secrétariat de l’ICCAT</w:t>
      </w:r>
      <w:r w:rsidRPr="00455BC3">
        <w:rPr>
          <w:rFonts w:ascii="Cambria" w:hAnsi="Cambria"/>
          <w:i/>
          <w:iCs/>
          <w:sz w:val="20"/>
          <w:szCs w:val="20"/>
        </w:rPr>
        <w:t>)</w:t>
      </w:r>
    </w:p>
    <w:p w14:paraId="19DE3254" w14:textId="77777777" w:rsidR="00746080" w:rsidRPr="00455BC3" w:rsidRDefault="00746080" w:rsidP="00746080">
      <w:pPr>
        <w:autoSpaceDE w:val="0"/>
        <w:autoSpaceDN w:val="0"/>
        <w:adjustRightInd w:val="0"/>
        <w:spacing w:after="0" w:line="240" w:lineRule="atLeast"/>
        <w:jc w:val="center"/>
        <w:rPr>
          <w:rFonts w:ascii="Cambria" w:hAnsi="Cambria" w:cs="Times New Roman"/>
          <w:i/>
          <w:iCs/>
          <w:sz w:val="20"/>
          <w:szCs w:val="20"/>
        </w:rPr>
      </w:pPr>
    </w:p>
    <w:p w14:paraId="6A03A677" w14:textId="77777777" w:rsidR="00746080" w:rsidRPr="00455BC3" w:rsidRDefault="00746080" w:rsidP="00746080">
      <w:pPr>
        <w:autoSpaceDE w:val="0"/>
        <w:autoSpaceDN w:val="0"/>
        <w:adjustRightInd w:val="0"/>
        <w:spacing w:after="0" w:line="240" w:lineRule="atLeast"/>
        <w:jc w:val="both"/>
        <w:rPr>
          <w:rFonts w:ascii="Cambria" w:hAnsi="Cambria" w:cs="Times New Roman"/>
          <w:sz w:val="20"/>
          <w:szCs w:val="20"/>
        </w:rPr>
      </w:pPr>
    </w:p>
    <w:p w14:paraId="29161C77" w14:textId="64143A39" w:rsidR="00746080" w:rsidRPr="00455BC3" w:rsidRDefault="00746080" w:rsidP="00CF14C3">
      <w:pPr>
        <w:spacing w:after="0" w:line="240" w:lineRule="atLeast"/>
        <w:jc w:val="both"/>
        <w:rPr>
          <w:rFonts w:ascii="Cambria" w:hAnsi="Cambria" w:cs="Times New Roman"/>
          <w:sz w:val="20"/>
          <w:szCs w:val="20"/>
        </w:rPr>
      </w:pPr>
      <w:r w:rsidRPr="00455BC3">
        <w:rPr>
          <w:rFonts w:ascii="Cambria" w:hAnsi="Cambria"/>
          <w:sz w:val="20"/>
          <w:szCs w:val="20"/>
        </w:rPr>
        <w:t xml:space="preserve">La Rec. 25-10 stipule ce qui suit : </w:t>
      </w:r>
      <w:bookmarkStart w:id="1" w:name="_Hlk51245685"/>
      <w:r w:rsidRPr="00252E0B">
        <w:rPr>
          <w:rFonts w:ascii="Cambria" w:hAnsi="Cambria"/>
          <w:sz w:val="20"/>
          <w:szCs w:val="20"/>
        </w:rPr>
        <w:t>« </w:t>
      </w:r>
      <w:bookmarkEnd w:id="1"/>
      <w:r w:rsidRPr="00252E0B">
        <w:rPr>
          <w:rFonts w:ascii="Cambria" w:hAnsi="Cambria"/>
          <w:sz w:val="20"/>
          <w:szCs w:val="20"/>
        </w:rPr>
        <w:t xml:space="preserve">En cas de modification de son plan de pêche/de gestion, chaque CPC devra soumettre une version révisée de son plan de pêche/de gestion à la Commission. » </w:t>
      </w:r>
      <w:r w:rsidRPr="00455BC3">
        <w:rPr>
          <w:rFonts w:ascii="Cambria" w:hAnsi="Cambria"/>
          <w:sz w:val="20"/>
          <w:szCs w:val="20"/>
        </w:rPr>
        <w:t>La Commission a convenu que la nouvelle soumission de ces rapports ne serait requise qu’en cas de modifications. Les plans reçus les années précédentes sont disponibles sur les pages web des documents de réunions. En 2026, le Secrétariat a reçu des plans actualisés dans les délais impartis de la part : du Canada, du Costa Rica, du Japon, de la Corée</w:t>
      </w:r>
      <w:r w:rsidR="00AC1BF5" w:rsidRPr="00455BC3">
        <w:rPr>
          <w:rFonts w:ascii="Cambria" w:hAnsi="Cambria"/>
          <w:sz w:val="20"/>
          <w:szCs w:val="20"/>
        </w:rPr>
        <w:t xml:space="preserve"> (</w:t>
      </w:r>
      <w:proofErr w:type="spellStart"/>
      <w:r w:rsidR="00AC1BF5" w:rsidRPr="00455BC3">
        <w:rPr>
          <w:rFonts w:ascii="Cambria" w:hAnsi="Cambria"/>
          <w:sz w:val="20"/>
          <w:szCs w:val="20"/>
        </w:rPr>
        <w:t>Rép</w:t>
      </w:r>
      <w:proofErr w:type="spellEnd"/>
      <w:r w:rsidR="00AC1BF5" w:rsidRPr="00455BC3">
        <w:rPr>
          <w:rFonts w:ascii="Cambria" w:hAnsi="Cambria"/>
          <w:sz w:val="20"/>
          <w:szCs w:val="20"/>
        </w:rPr>
        <w:t>.)</w:t>
      </w:r>
      <w:r w:rsidRPr="00455BC3">
        <w:rPr>
          <w:rFonts w:ascii="Cambria" w:hAnsi="Cambria"/>
          <w:sz w:val="20"/>
          <w:szCs w:val="20"/>
        </w:rPr>
        <w:t>, du Mexique, du Maroc, du Sénégal, des États-Unis et du Venezuela.</w:t>
      </w:r>
    </w:p>
    <w:p w14:paraId="504ED706" w14:textId="77777777" w:rsidR="00746080" w:rsidRPr="00455BC3" w:rsidRDefault="00746080" w:rsidP="00746080">
      <w:pPr>
        <w:spacing w:after="0" w:line="240" w:lineRule="atLeast"/>
        <w:jc w:val="both"/>
        <w:rPr>
          <w:rFonts w:ascii="Cambria" w:hAnsi="Cambria" w:cs="Times New Roman"/>
          <w:sz w:val="20"/>
          <w:szCs w:val="20"/>
        </w:rPr>
      </w:pPr>
    </w:p>
    <w:p w14:paraId="7B9BDA31" w14:textId="6075E667" w:rsidR="00746080" w:rsidRPr="00455BC3" w:rsidRDefault="006677AB" w:rsidP="00746080">
      <w:pPr>
        <w:spacing w:after="0" w:line="240" w:lineRule="auto"/>
        <w:jc w:val="both"/>
        <w:rPr>
          <w:rFonts w:ascii="Cambria" w:hAnsi="Cambria" w:cs="Times New Roman"/>
          <w:sz w:val="20"/>
          <w:szCs w:val="20"/>
        </w:rPr>
      </w:pPr>
      <w:r w:rsidRPr="00455BC3">
        <w:rPr>
          <w:rFonts w:ascii="Cambria" w:hAnsi="Cambria"/>
          <w:sz w:val="20"/>
          <w:szCs w:val="20"/>
        </w:rPr>
        <w:t>Les plans de gestion révisés sont joints ci-dessous, ainsi que le résumé exécutif du plan complet soumis par le Canada, qui est disponible dans la langue originale à l'</w:t>
      </w:r>
      <w:r w:rsidRPr="00455BC3">
        <w:rPr>
          <w:rFonts w:ascii="Cambria" w:hAnsi="Cambria"/>
          <w:b/>
          <w:sz w:val="20"/>
          <w:szCs w:val="20"/>
        </w:rPr>
        <w:t>annexe 1</w:t>
      </w:r>
      <w:r w:rsidRPr="00455BC3">
        <w:rPr>
          <w:rFonts w:ascii="Cambria" w:hAnsi="Cambria"/>
          <w:sz w:val="20"/>
          <w:szCs w:val="20"/>
        </w:rPr>
        <w:t xml:space="preserve"> du présent document. </w:t>
      </w:r>
    </w:p>
    <w:p w14:paraId="250E81EA" w14:textId="0CA981F4" w:rsidR="00746080" w:rsidRPr="00455BC3" w:rsidRDefault="00746080" w:rsidP="00746080">
      <w:pPr>
        <w:spacing w:after="0" w:line="240" w:lineRule="atLeast"/>
        <w:jc w:val="both"/>
        <w:rPr>
          <w:rFonts w:ascii="Cambria" w:hAnsi="Cambria" w:cs="Times New Roman"/>
          <w:sz w:val="20"/>
          <w:szCs w:val="20"/>
        </w:rPr>
      </w:pPr>
    </w:p>
    <w:p w14:paraId="0624A266" w14:textId="4676CA04" w:rsidR="00746080" w:rsidRPr="00455BC3" w:rsidRDefault="00746080" w:rsidP="00746080">
      <w:pPr>
        <w:spacing w:after="0" w:line="240" w:lineRule="atLeast"/>
        <w:jc w:val="both"/>
        <w:rPr>
          <w:rFonts w:ascii="Cambria" w:hAnsi="Cambria" w:cs="Times New Roman"/>
          <w:sz w:val="20"/>
          <w:szCs w:val="20"/>
        </w:rPr>
      </w:pPr>
    </w:p>
    <w:p w14:paraId="56B6CE2B" w14:textId="77777777" w:rsidR="004D5A8D" w:rsidRPr="00455BC3" w:rsidRDefault="004D5A8D" w:rsidP="00746080">
      <w:pPr>
        <w:spacing w:after="0" w:line="240" w:lineRule="atLeast"/>
        <w:jc w:val="both"/>
        <w:rPr>
          <w:rFonts w:ascii="Cambria" w:hAnsi="Cambria" w:cs="Times New Roman"/>
          <w:sz w:val="20"/>
          <w:szCs w:val="20"/>
        </w:rPr>
        <w:sectPr w:rsidR="004D5A8D" w:rsidRPr="00455BC3" w:rsidSect="00BC2E67">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418" w:header="851" w:footer="1134" w:gutter="0"/>
          <w:cols w:space="720"/>
          <w:docGrid w:linePitch="360"/>
        </w:sectPr>
      </w:pPr>
    </w:p>
    <w:tbl>
      <w:tblPr>
        <w:tblW w:w="1441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992"/>
        <w:gridCol w:w="992"/>
        <w:gridCol w:w="973"/>
        <w:gridCol w:w="870"/>
        <w:gridCol w:w="992"/>
        <w:gridCol w:w="992"/>
        <w:gridCol w:w="851"/>
        <w:gridCol w:w="992"/>
        <w:gridCol w:w="3119"/>
        <w:gridCol w:w="2268"/>
        <w:gridCol w:w="236"/>
      </w:tblGrid>
      <w:tr w:rsidR="00746080" w:rsidRPr="00455BC3" w14:paraId="7FC7AC8F" w14:textId="77777777" w:rsidTr="00CF742D">
        <w:trPr>
          <w:gridAfter w:val="1"/>
          <w:wAfter w:w="236" w:type="dxa"/>
          <w:tblHeader/>
        </w:trPr>
        <w:tc>
          <w:tcPr>
            <w:tcW w:w="1135" w:type="dxa"/>
            <w:vAlign w:val="center"/>
            <w:hideMark/>
          </w:tcPr>
          <w:p w14:paraId="2B0700AE" w14:textId="77777777" w:rsidR="00746080" w:rsidRPr="00455BC3" w:rsidRDefault="00746080" w:rsidP="001A06EC">
            <w:pPr>
              <w:spacing w:after="0" w:line="240" w:lineRule="auto"/>
              <w:jc w:val="center"/>
              <w:rPr>
                <w:rFonts w:ascii="Cambria" w:eastAsia="Times New Roman" w:hAnsi="Cambria" w:cs="Calibri"/>
                <w:b/>
                <w:bCs/>
                <w:i/>
                <w:iCs/>
                <w:color w:val="000000"/>
                <w:sz w:val="18"/>
                <w:szCs w:val="18"/>
              </w:rPr>
            </w:pPr>
            <w:r w:rsidRPr="00455BC3">
              <w:rPr>
                <w:rFonts w:ascii="Cambria" w:hAnsi="Cambria"/>
                <w:b/>
                <w:bCs/>
                <w:i/>
                <w:iCs/>
                <w:color w:val="000000"/>
                <w:sz w:val="18"/>
                <w:szCs w:val="18"/>
              </w:rPr>
              <w:lastRenderedPageBreak/>
              <w:t>CPC</w:t>
            </w:r>
          </w:p>
        </w:tc>
        <w:tc>
          <w:tcPr>
            <w:tcW w:w="992" w:type="dxa"/>
            <w:vAlign w:val="center"/>
            <w:hideMark/>
          </w:tcPr>
          <w:p w14:paraId="46B1E555" w14:textId="77777777" w:rsidR="00746080" w:rsidRPr="00455BC3" w:rsidRDefault="00746080" w:rsidP="00305950">
            <w:pPr>
              <w:spacing w:after="0" w:line="240" w:lineRule="auto"/>
              <w:jc w:val="center"/>
              <w:rPr>
                <w:rFonts w:ascii="Cambria" w:eastAsia="Times New Roman" w:hAnsi="Cambria" w:cs="Calibri"/>
                <w:b/>
                <w:bCs/>
                <w:i/>
                <w:iCs/>
                <w:color w:val="000000"/>
                <w:sz w:val="18"/>
                <w:szCs w:val="18"/>
              </w:rPr>
            </w:pPr>
            <w:r w:rsidRPr="00455BC3">
              <w:rPr>
                <w:rFonts w:ascii="Cambria" w:hAnsi="Cambria"/>
                <w:b/>
                <w:bCs/>
                <w:i/>
                <w:iCs/>
                <w:color w:val="000000"/>
                <w:sz w:val="18"/>
                <w:szCs w:val="18"/>
              </w:rPr>
              <w:t>Pêcherie actuelle</w:t>
            </w:r>
          </w:p>
        </w:tc>
        <w:tc>
          <w:tcPr>
            <w:tcW w:w="992" w:type="dxa"/>
            <w:vAlign w:val="center"/>
            <w:hideMark/>
          </w:tcPr>
          <w:p w14:paraId="31B7CAB7" w14:textId="77777777" w:rsidR="00746080" w:rsidRPr="00455BC3" w:rsidRDefault="00746080" w:rsidP="00305950">
            <w:pPr>
              <w:spacing w:after="0" w:line="240" w:lineRule="auto"/>
              <w:jc w:val="center"/>
              <w:rPr>
                <w:rFonts w:ascii="Cambria" w:eastAsia="Times New Roman" w:hAnsi="Cambria" w:cs="Calibri"/>
                <w:b/>
                <w:bCs/>
                <w:i/>
                <w:iCs/>
                <w:color w:val="000000"/>
                <w:sz w:val="18"/>
                <w:szCs w:val="18"/>
              </w:rPr>
            </w:pPr>
            <w:r w:rsidRPr="00455BC3">
              <w:rPr>
                <w:rFonts w:ascii="Cambria" w:hAnsi="Cambria"/>
                <w:b/>
                <w:bCs/>
                <w:i/>
                <w:iCs/>
                <w:color w:val="000000"/>
                <w:sz w:val="18"/>
                <w:szCs w:val="18"/>
              </w:rPr>
              <w:t>Quota actuel (t)</w:t>
            </w:r>
          </w:p>
        </w:tc>
        <w:tc>
          <w:tcPr>
            <w:tcW w:w="973" w:type="dxa"/>
            <w:vAlign w:val="center"/>
            <w:hideMark/>
          </w:tcPr>
          <w:p w14:paraId="72E8AA57" w14:textId="77777777" w:rsidR="00746080" w:rsidRPr="00455BC3" w:rsidRDefault="00746080" w:rsidP="00305950">
            <w:pPr>
              <w:spacing w:after="0" w:line="240" w:lineRule="auto"/>
              <w:jc w:val="center"/>
              <w:rPr>
                <w:rFonts w:ascii="Cambria" w:eastAsia="Times New Roman" w:hAnsi="Cambria" w:cs="Calibri"/>
                <w:b/>
                <w:bCs/>
                <w:i/>
                <w:iCs/>
                <w:color w:val="000000"/>
                <w:sz w:val="18"/>
                <w:szCs w:val="18"/>
              </w:rPr>
            </w:pPr>
            <w:r w:rsidRPr="00455BC3">
              <w:rPr>
                <w:rFonts w:ascii="Cambria" w:hAnsi="Cambria"/>
                <w:b/>
                <w:bCs/>
                <w:i/>
                <w:iCs/>
                <w:color w:val="000000"/>
                <w:sz w:val="18"/>
                <w:szCs w:val="18"/>
              </w:rPr>
              <w:t>Nbre de navires</w:t>
            </w:r>
          </w:p>
        </w:tc>
        <w:tc>
          <w:tcPr>
            <w:tcW w:w="870" w:type="dxa"/>
            <w:vAlign w:val="center"/>
            <w:hideMark/>
          </w:tcPr>
          <w:p w14:paraId="62DBBFF8" w14:textId="77777777" w:rsidR="00746080" w:rsidRPr="00455BC3" w:rsidRDefault="00746080" w:rsidP="00305950">
            <w:pPr>
              <w:spacing w:after="0" w:line="240" w:lineRule="auto"/>
              <w:jc w:val="center"/>
              <w:rPr>
                <w:rFonts w:ascii="Cambria" w:eastAsia="Times New Roman" w:hAnsi="Cambria" w:cs="Calibri"/>
                <w:b/>
                <w:bCs/>
                <w:i/>
                <w:iCs/>
                <w:color w:val="000000"/>
                <w:sz w:val="18"/>
                <w:szCs w:val="18"/>
              </w:rPr>
            </w:pPr>
            <w:r w:rsidRPr="00455BC3">
              <w:rPr>
                <w:rFonts w:ascii="Cambria" w:hAnsi="Cambria"/>
                <w:b/>
                <w:bCs/>
                <w:i/>
                <w:iCs/>
                <w:color w:val="000000"/>
                <w:sz w:val="18"/>
                <w:szCs w:val="18"/>
              </w:rPr>
              <w:t>Engin</w:t>
            </w:r>
          </w:p>
        </w:tc>
        <w:tc>
          <w:tcPr>
            <w:tcW w:w="992" w:type="dxa"/>
            <w:vAlign w:val="center"/>
            <w:hideMark/>
          </w:tcPr>
          <w:p w14:paraId="23606A62" w14:textId="2ECD1A77" w:rsidR="00746080" w:rsidRPr="00455BC3" w:rsidRDefault="00746080" w:rsidP="00305950">
            <w:pPr>
              <w:spacing w:after="0" w:line="240" w:lineRule="auto"/>
              <w:jc w:val="center"/>
              <w:rPr>
                <w:rFonts w:ascii="Cambria" w:eastAsia="Times New Roman" w:hAnsi="Cambria" w:cs="Calibri"/>
                <w:b/>
                <w:bCs/>
                <w:i/>
                <w:iCs/>
                <w:color w:val="000000"/>
                <w:sz w:val="18"/>
                <w:szCs w:val="18"/>
              </w:rPr>
            </w:pPr>
            <w:r w:rsidRPr="00455BC3">
              <w:rPr>
                <w:rFonts w:ascii="Cambria" w:hAnsi="Cambria"/>
                <w:b/>
                <w:bCs/>
                <w:i/>
                <w:iCs/>
                <w:color w:val="000000"/>
                <w:sz w:val="18"/>
                <w:szCs w:val="18"/>
              </w:rPr>
              <w:t>Capacité actuelle (t)</w:t>
            </w:r>
          </w:p>
        </w:tc>
        <w:tc>
          <w:tcPr>
            <w:tcW w:w="992" w:type="dxa"/>
            <w:vAlign w:val="center"/>
            <w:hideMark/>
          </w:tcPr>
          <w:p w14:paraId="44DDEA8C" w14:textId="77777777" w:rsidR="00746080" w:rsidRPr="00455BC3" w:rsidRDefault="00746080" w:rsidP="00305950">
            <w:pPr>
              <w:spacing w:after="0" w:line="240" w:lineRule="auto"/>
              <w:jc w:val="center"/>
              <w:rPr>
                <w:rFonts w:ascii="Cambria" w:eastAsia="Times New Roman" w:hAnsi="Cambria" w:cs="Calibri"/>
                <w:b/>
                <w:bCs/>
                <w:i/>
                <w:iCs/>
                <w:color w:val="000000"/>
                <w:sz w:val="18"/>
                <w:szCs w:val="18"/>
              </w:rPr>
            </w:pPr>
            <w:r w:rsidRPr="00455BC3">
              <w:rPr>
                <w:rFonts w:ascii="Cambria" w:hAnsi="Cambria"/>
                <w:b/>
                <w:bCs/>
                <w:i/>
                <w:iCs/>
                <w:color w:val="000000"/>
                <w:sz w:val="18"/>
                <w:szCs w:val="18"/>
              </w:rPr>
              <w:t>Nbre de navires prévu</w:t>
            </w:r>
          </w:p>
        </w:tc>
        <w:tc>
          <w:tcPr>
            <w:tcW w:w="851" w:type="dxa"/>
            <w:vAlign w:val="center"/>
            <w:hideMark/>
          </w:tcPr>
          <w:p w14:paraId="107BD880" w14:textId="77777777" w:rsidR="00746080" w:rsidRPr="00455BC3" w:rsidRDefault="00746080" w:rsidP="00305950">
            <w:pPr>
              <w:spacing w:after="0" w:line="240" w:lineRule="auto"/>
              <w:jc w:val="center"/>
              <w:rPr>
                <w:rFonts w:ascii="Cambria" w:eastAsia="Times New Roman" w:hAnsi="Cambria" w:cs="Calibri"/>
                <w:b/>
                <w:bCs/>
                <w:i/>
                <w:iCs/>
                <w:color w:val="000000"/>
                <w:sz w:val="18"/>
                <w:szCs w:val="18"/>
              </w:rPr>
            </w:pPr>
            <w:r w:rsidRPr="00455BC3">
              <w:rPr>
                <w:rFonts w:ascii="Cambria" w:hAnsi="Cambria"/>
                <w:b/>
                <w:bCs/>
                <w:i/>
                <w:iCs/>
                <w:color w:val="000000"/>
                <w:sz w:val="18"/>
                <w:szCs w:val="18"/>
              </w:rPr>
              <w:t>Engin</w:t>
            </w:r>
          </w:p>
        </w:tc>
        <w:tc>
          <w:tcPr>
            <w:tcW w:w="992" w:type="dxa"/>
            <w:vAlign w:val="center"/>
            <w:hideMark/>
          </w:tcPr>
          <w:p w14:paraId="7A2D5F98" w14:textId="46A98EDE" w:rsidR="00746080" w:rsidRPr="00455BC3" w:rsidRDefault="00746080" w:rsidP="00305950">
            <w:pPr>
              <w:spacing w:after="0" w:line="240" w:lineRule="auto"/>
              <w:jc w:val="center"/>
              <w:rPr>
                <w:rFonts w:ascii="Cambria" w:eastAsia="Times New Roman" w:hAnsi="Cambria" w:cs="Calibri"/>
                <w:b/>
                <w:bCs/>
                <w:i/>
                <w:iCs/>
                <w:color w:val="000000"/>
                <w:sz w:val="18"/>
                <w:szCs w:val="18"/>
              </w:rPr>
            </w:pPr>
            <w:r w:rsidRPr="00455BC3">
              <w:rPr>
                <w:rFonts w:ascii="Cambria" w:hAnsi="Cambria"/>
                <w:b/>
                <w:bCs/>
                <w:i/>
                <w:iCs/>
                <w:color w:val="000000"/>
                <w:sz w:val="18"/>
                <w:szCs w:val="18"/>
              </w:rPr>
              <w:t>Capacité prévue (t)</w:t>
            </w:r>
          </w:p>
        </w:tc>
        <w:tc>
          <w:tcPr>
            <w:tcW w:w="3119" w:type="dxa"/>
            <w:vAlign w:val="center"/>
            <w:hideMark/>
          </w:tcPr>
          <w:p w14:paraId="39B933CB" w14:textId="77777777" w:rsidR="00746080" w:rsidRPr="00455BC3" w:rsidRDefault="00746080" w:rsidP="00305950">
            <w:pPr>
              <w:spacing w:after="0" w:line="240" w:lineRule="auto"/>
              <w:jc w:val="center"/>
              <w:rPr>
                <w:rFonts w:ascii="Cambria" w:eastAsia="Times New Roman" w:hAnsi="Cambria" w:cs="Calibri"/>
                <w:b/>
                <w:bCs/>
                <w:i/>
                <w:iCs/>
                <w:color w:val="000000"/>
                <w:sz w:val="18"/>
                <w:szCs w:val="18"/>
              </w:rPr>
            </w:pPr>
            <w:r w:rsidRPr="00455BC3">
              <w:rPr>
                <w:rFonts w:ascii="Cambria" w:hAnsi="Cambria"/>
                <w:b/>
                <w:bCs/>
                <w:i/>
                <w:iCs/>
                <w:color w:val="000000"/>
                <w:sz w:val="18"/>
                <w:szCs w:val="18"/>
              </w:rPr>
              <w:t>Mesures de gestion actuelles</w:t>
            </w:r>
          </w:p>
        </w:tc>
        <w:tc>
          <w:tcPr>
            <w:tcW w:w="2268" w:type="dxa"/>
            <w:vAlign w:val="center"/>
            <w:hideMark/>
          </w:tcPr>
          <w:p w14:paraId="1104CA0A" w14:textId="77777777" w:rsidR="00746080" w:rsidRPr="00455BC3" w:rsidRDefault="00746080" w:rsidP="00305950">
            <w:pPr>
              <w:spacing w:after="0" w:line="240" w:lineRule="auto"/>
              <w:jc w:val="center"/>
              <w:rPr>
                <w:rFonts w:ascii="Cambria" w:eastAsia="Times New Roman" w:hAnsi="Cambria" w:cs="Calibri"/>
                <w:b/>
                <w:bCs/>
                <w:i/>
                <w:iCs/>
                <w:color w:val="000000"/>
                <w:sz w:val="18"/>
                <w:szCs w:val="18"/>
              </w:rPr>
            </w:pPr>
            <w:r w:rsidRPr="00455BC3">
              <w:rPr>
                <w:rFonts w:ascii="Cambria" w:hAnsi="Cambria"/>
                <w:b/>
                <w:bCs/>
                <w:i/>
                <w:iCs/>
                <w:color w:val="000000"/>
                <w:sz w:val="18"/>
                <w:szCs w:val="18"/>
              </w:rPr>
              <w:t>Futures mesures prévues</w:t>
            </w:r>
          </w:p>
        </w:tc>
      </w:tr>
      <w:tr w:rsidR="00746080" w:rsidRPr="00455BC3" w14:paraId="477353F2" w14:textId="77777777" w:rsidTr="00CF742D">
        <w:trPr>
          <w:gridAfter w:val="1"/>
          <w:wAfter w:w="236" w:type="dxa"/>
        </w:trPr>
        <w:tc>
          <w:tcPr>
            <w:tcW w:w="1135" w:type="dxa"/>
            <w:vAlign w:val="center"/>
            <w:hideMark/>
          </w:tcPr>
          <w:p w14:paraId="2A33DC5E" w14:textId="77777777" w:rsidR="00746080" w:rsidRPr="00455BC3" w:rsidRDefault="00746080" w:rsidP="00305950">
            <w:pPr>
              <w:spacing w:after="0" w:line="240" w:lineRule="auto"/>
              <w:jc w:val="center"/>
              <w:rPr>
                <w:rFonts w:ascii="Cambria" w:eastAsia="Times New Roman" w:hAnsi="Cambria" w:cs="Calibri"/>
                <w:b/>
                <w:bCs/>
                <w:color w:val="000000"/>
                <w:sz w:val="18"/>
                <w:szCs w:val="18"/>
              </w:rPr>
            </w:pPr>
            <w:r w:rsidRPr="00455BC3">
              <w:rPr>
                <w:rFonts w:ascii="Cambria" w:hAnsi="Cambria"/>
                <w:b/>
                <w:bCs/>
                <w:color w:val="000000"/>
                <w:sz w:val="18"/>
                <w:szCs w:val="18"/>
              </w:rPr>
              <w:t>Canada</w:t>
            </w:r>
          </w:p>
        </w:tc>
        <w:tc>
          <w:tcPr>
            <w:tcW w:w="992" w:type="dxa"/>
            <w:vAlign w:val="center"/>
            <w:hideMark/>
          </w:tcPr>
          <w:p w14:paraId="2299C3B6" w14:textId="77777777" w:rsidR="00746080" w:rsidRPr="00455BC3" w:rsidRDefault="0074608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Oui</w:t>
            </w:r>
          </w:p>
        </w:tc>
        <w:tc>
          <w:tcPr>
            <w:tcW w:w="992" w:type="dxa"/>
            <w:vAlign w:val="center"/>
            <w:hideMark/>
          </w:tcPr>
          <w:p w14:paraId="7FF5F47B" w14:textId="2947CF51" w:rsidR="00746080" w:rsidRPr="00455BC3" w:rsidRDefault="0074608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1.880</w:t>
            </w:r>
          </w:p>
        </w:tc>
        <w:tc>
          <w:tcPr>
            <w:tcW w:w="973" w:type="dxa"/>
            <w:vAlign w:val="center"/>
            <w:hideMark/>
          </w:tcPr>
          <w:p w14:paraId="45DD76CA" w14:textId="77777777" w:rsidR="00746080" w:rsidRPr="00455BC3" w:rsidRDefault="0074608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77</w:t>
            </w:r>
          </w:p>
          <w:p w14:paraId="19B10AF2" w14:textId="7DCB5B63" w:rsidR="00D4105A" w:rsidRPr="00455BC3" w:rsidRDefault="00D4105A"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1200</w:t>
            </w:r>
          </w:p>
        </w:tc>
        <w:tc>
          <w:tcPr>
            <w:tcW w:w="870" w:type="dxa"/>
            <w:vAlign w:val="center"/>
            <w:hideMark/>
          </w:tcPr>
          <w:p w14:paraId="5ECB1707" w14:textId="77777777" w:rsidR="00746080" w:rsidRPr="00455BC3" w:rsidRDefault="0074608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LL</w:t>
            </w:r>
          </w:p>
          <w:p w14:paraId="37FDADEC" w14:textId="6C4DCE75" w:rsidR="00D4105A" w:rsidRPr="00455BC3" w:rsidRDefault="00D4105A"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HARP</w:t>
            </w:r>
          </w:p>
        </w:tc>
        <w:tc>
          <w:tcPr>
            <w:tcW w:w="992" w:type="dxa"/>
            <w:vAlign w:val="center"/>
            <w:hideMark/>
          </w:tcPr>
          <w:p w14:paraId="1A05FF91" w14:textId="2FBB5364" w:rsidR="00746080" w:rsidRPr="00455BC3" w:rsidRDefault="00746080" w:rsidP="00305950">
            <w:pPr>
              <w:spacing w:after="0" w:line="240" w:lineRule="auto"/>
              <w:jc w:val="center"/>
              <w:rPr>
                <w:rFonts w:ascii="Cambria" w:eastAsia="Times New Roman" w:hAnsi="Cambria" w:cs="Calibri"/>
                <w:color w:val="000000"/>
                <w:sz w:val="18"/>
                <w:szCs w:val="18"/>
              </w:rPr>
            </w:pPr>
          </w:p>
        </w:tc>
        <w:tc>
          <w:tcPr>
            <w:tcW w:w="992" w:type="dxa"/>
            <w:vAlign w:val="center"/>
            <w:hideMark/>
          </w:tcPr>
          <w:p w14:paraId="1F20CA58" w14:textId="77777777" w:rsidR="00746080" w:rsidRPr="00455BC3" w:rsidRDefault="0074608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77</w:t>
            </w:r>
          </w:p>
          <w:p w14:paraId="732A266E" w14:textId="47FF4E36" w:rsidR="00D4105A" w:rsidRPr="00455BC3" w:rsidRDefault="00D4105A"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1200</w:t>
            </w:r>
          </w:p>
        </w:tc>
        <w:tc>
          <w:tcPr>
            <w:tcW w:w="851" w:type="dxa"/>
            <w:vAlign w:val="center"/>
            <w:hideMark/>
          </w:tcPr>
          <w:p w14:paraId="7EA71A01" w14:textId="77777777" w:rsidR="00746080" w:rsidRPr="00455BC3" w:rsidRDefault="0074608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LL</w:t>
            </w:r>
          </w:p>
          <w:p w14:paraId="3311321D" w14:textId="6B9D9258" w:rsidR="00D4105A" w:rsidRPr="00455BC3" w:rsidRDefault="00D4105A"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HARP</w:t>
            </w:r>
          </w:p>
        </w:tc>
        <w:tc>
          <w:tcPr>
            <w:tcW w:w="992" w:type="dxa"/>
            <w:vAlign w:val="center"/>
            <w:hideMark/>
          </w:tcPr>
          <w:p w14:paraId="35BC4898" w14:textId="32382A4B" w:rsidR="00746080" w:rsidRPr="00455BC3" w:rsidRDefault="00746080" w:rsidP="001A06EC">
            <w:pPr>
              <w:spacing w:after="0" w:line="240" w:lineRule="auto"/>
              <w:jc w:val="center"/>
              <w:rPr>
                <w:rFonts w:ascii="Cambria" w:eastAsia="Times New Roman" w:hAnsi="Cambria" w:cs="Calibri"/>
                <w:b/>
                <w:bCs/>
                <w:color w:val="000000"/>
                <w:sz w:val="18"/>
                <w:szCs w:val="18"/>
              </w:rPr>
            </w:pPr>
          </w:p>
        </w:tc>
        <w:tc>
          <w:tcPr>
            <w:tcW w:w="3119" w:type="dxa"/>
            <w:noWrap/>
            <w:hideMark/>
          </w:tcPr>
          <w:p w14:paraId="38666658" w14:textId="22A0DBD9" w:rsidR="002457D2" w:rsidRPr="00455BC3" w:rsidRDefault="002457D2" w:rsidP="002457D2">
            <w:p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Limitations du nombre de licences</w:t>
            </w:r>
            <w:r w:rsidR="00656274" w:rsidRPr="00455BC3">
              <w:rPr>
                <w:rFonts w:ascii="Cambria" w:hAnsi="Cambria"/>
                <w:color w:val="000000"/>
                <w:sz w:val="18"/>
                <w:szCs w:val="18"/>
              </w:rPr>
              <w:t>.</w:t>
            </w:r>
          </w:p>
          <w:p w14:paraId="4B711C9A" w14:textId="77777777" w:rsidR="002457D2" w:rsidRPr="00455BC3" w:rsidRDefault="002457D2" w:rsidP="002457D2">
            <w:p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Depuis 1992, l’accès à la pêcherie d’espadon, quel que soit le secteur de la flottille, est limité aux licences actuelles. Les licences ont été fixées à ce nombre mais peuvent être transférées, sous réserve de certaines restrictions de politique, d’un pêcheur à un autre.</w:t>
            </w:r>
          </w:p>
          <w:p w14:paraId="4D632998" w14:textId="77777777" w:rsidR="002457D2" w:rsidRPr="00455BC3" w:rsidRDefault="002457D2" w:rsidP="002457D2">
            <w:pPr>
              <w:spacing w:after="0" w:line="240" w:lineRule="auto"/>
              <w:jc w:val="both"/>
              <w:rPr>
                <w:rFonts w:ascii="Cambria" w:eastAsia="Times New Roman" w:hAnsi="Cambria" w:cs="Calibri"/>
                <w:color w:val="000000"/>
                <w:sz w:val="18"/>
                <w:szCs w:val="18"/>
              </w:rPr>
            </w:pPr>
          </w:p>
          <w:p w14:paraId="703F8A67" w14:textId="101ED493" w:rsidR="002457D2" w:rsidRPr="00455BC3" w:rsidRDefault="002457D2" w:rsidP="002457D2">
            <w:p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Suivi, contrôle et surveillance rigoureux de la pêcherie</w:t>
            </w:r>
            <w:r w:rsidR="00656274" w:rsidRPr="00455BC3">
              <w:rPr>
                <w:rFonts w:ascii="Cambria" w:hAnsi="Cambria"/>
                <w:color w:val="000000"/>
                <w:sz w:val="18"/>
                <w:szCs w:val="18"/>
              </w:rPr>
              <w:t>.</w:t>
            </w:r>
          </w:p>
          <w:p w14:paraId="50AD779F" w14:textId="26583F50" w:rsidR="002457D2" w:rsidRPr="00455BC3" w:rsidRDefault="002457D2" w:rsidP="002457D2">
            <w:p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 xml:space="preserve">Le Canada adopte une approche exhaustive de </w:t>
            </w:r>
            <w:r w:rsidR="00CA317F" w:rsidRPr="00455BC3">
              <w:rPr>
                <w:rFonts w:ascii="Cambria" w:hAnsi="Cambria"/>
                <w:color w:val="000000"/>
                <w:sz w:val="18"/>
                <w:szCs w:val="18"/>
              </w:rPr>
              <w:t>l’application de la législation</w:t>
            </w:r>
            <w:r w:rsidRPr="00455BC3">
              <w:rPr>
                <w:rFonts w:ascii="Cambria" w:hAnsi="Cambria"/>
                <w:color w:val="000000"/>
                <w:sz w:val="18"/>
                <w:szCs w:val="18"/>
              </w:rPr>
              <w:t xml:space="preserve"> incluant des systèmes de surveillance des navires sophistiqués à bord de tous les palangriers, la surveillance aérienne, le suivi à quai et les observateurs en mer.</w:t>
            </w:r>
          </w:p>
          <w:p w14:paraId="29D2DF50" w14:textId="77777777" w:rsidR="002457D2" w:rsidRPr="00455BC3" w:rsidRDefault="002457D2" w:rsidP="002457D2">
            <w:pPr>
              <w:spacing w:after="0" w:line="240" w:lineRule="auto"/>
              <w:jc w:val="both"/>
              <w:rPr>
                <w:rFonts w:ascii="Cambria" w:eastAsia="Times New Roman" w:hAnsi="Cambria" w:cs="Calibri"/>
                <w:color w:val="000000"/>
                <w:sz w:val="18"/>
                <w:szCs w:val="18"/>
              </w:rPr>
            </w:pPr>
          </w:p>
          <w:p w14:paraId="19CDBDA8" w14:textId="09CDBC7C" w:rsidR="002457D2" w:rsidRPr="00455BC3" w:rsidRDefault="002457D2" w:rsidP="002457D2">
            <w:p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Cadre législatif et réglementaire robuste</w:t>
            </w:r>
            <w:r w:rsidR="00656274" w:rsidRPr="00455BC3">
              <w:rPr>
                <w:rFonts w:ascii="Cambria" w:hAnsi="Cambria"/>
                <w:color w:val="000000"/>
                <w:sz w:val="18"/>
                <w:szCs w:val="18"/>
              </w:rPr>
              <w:t>.</w:t>
            </w:r>
          </w:p>
          <w:p w14:paraId="04F19559" w14:textId="3D7D66E4" w:rsidR="002457D2" w:rsidRPr="00455BC3" w:rsidRDefault="002457D2" w:rsidP="002457D2">
            <w:p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En plus de l’exigence pour les flottilles de soumettre tous les ans un Plan de pêche axé sur la conservation pour certain</w:t>
            </w:r>
            <w:r w:rsidR="00073F43" w:rsidRPr="00455BC3">
              <w:rPr>
                <w:rFonts w:ascii="Cambria" w:hAnsi="Cambria"/>
                <w:color w:val="000000"/>
                <w:sz w:val="18"/>
                <w:szCs w:val="18"/>
              </w:rPr>
              <w:t>e</w:t>
            </w:r>
            <w:r w:rsidRPr="00455BC3">
              <w:rPr>
                <w:rFonts w:ascii="Cambria" w:hAnsi="Cambria"/>
                <w:color w:val="000000"/>
                <w:sz w:val="18"/>
                <w:szCs w:val="18"/>
              </w:rPr>
              <w:t>s flottilles ciblant l’espadon et d’autres thonidés et l’intégralité du Plan de gestion intégrée des pêches, la pêcherie canadienne d’espadon est régie par un ensemble de législations, de politiques et de règlements.</w:t>
            </w:r>
          </w:p>
          <w:p w14:paraId="42FB3D77" w14:textId="77777777" w:rsidR="002457D2" w:rsidRPr="00455BC3" w:rsidRDefault="002457D2" w:rsidP="002457D2">
            <w:pPr>
              <w:spacing w:after="0" w:line="240" w:lineRule="auto"/>
              <w:jc w:val="both"/>
              <w:rPr>
                <w:rFonts w:ascii="Cambria" w:eastAsia="Times New Roman" w:hAnsi="Cambria" w:cs="Calibri"/>
                <w:color w:val="000000"/>
                <w:sz w:val="18"/>
                <w:szCs w:val="18"/>
              </w:rPr>
            </w:pPr>
          </w:p>
          <w:p w14:paraId="3B71D8AB" w14:textId="63D8374B"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Commission internationale pour la conservation des thonidés de l’Atlantique (ICCAT).</w:t>
            </w:r>
          </w:p>
          <w:p w14:paraId="1991FB2E" w14:textId="78CE250A"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Loi sur les pêches de 1985</w:t>
            </w:r>
          </w:p>
          <w:p w14:paraId="105DCC23" w14:textId="176FE6F3"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Règlement de pêche de l’Atlantique (AFR) de 1985</w:t>
            </w:r>
          </w:p>
          <w:p w14:paraId="796D0592" w14:textId="3AFBA490"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Règlement de pêche (dispositions générales) de 1993</w:t>
            </w:r>
          </w:p>
          <w:p w14:paraId="667BAE58" w14:textId="62E4E933"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lastRenderedPageBreak/>
              <w:t>Loi sur les océans de 1996</w:t>
            </w:r>
          </w:p>
          <w:p w14:paraId="31DC4CFF" w14:textId="02D32EE9"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Loi sur les espèces en péril de 2002</w:t>
            </w:r>
          </w:p>
          <w:p w14:paraId="6B82A31B" w14:textId="7ABB4AE7"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Plan d’action international (IPOA) et Plan d'action national (NPOA) du Canada visant à réduire les captures accidentelles d'oiseaux de mer par les palangriers</w:t>
            </w:r>
          </w:p>
          <w:p w14:paraId="0DB84629" w14:textId="7E356AD7"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IPOA relatif à la conservation des requins</w:t>
            </w:r>
          </w:p>
          <w:p w14:paraId="71685667" w14:textId="6250B2AA"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Loi sur la protection des pêches côtières de 1985</w:t>
            </w:r>
          </w:p>
          <w:p w14:paraId="4AC7A082" w14:textId="4CE307A3"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Loi sur le ministère des Pêches et des Océans de 1985</w:t>
            </w:r>
          </w:p>
          <w:p w14:paraId="67657510" w14:textId="1D635CC7"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 xml:space="preserve">Loi sur la restructuration du secteur des pêches de </w:t>
            </w:r>
            <w:r w:rsidR="00073F43" w:rsidRPr="00455BC3">
              <w:rPr>
                <w:rFonts w:ascii="Cambria" w:hAnsi="Cambria"/>
                <w:color w:val="000000"/>
                <w:sz w:val="18"/>
                <w:szCs w:val="18"/>
              </w:rPr>
              <w:t>l’</w:t>
            </w:r>
            <w:r w:rsidRPr="00455BC3">
              <w:rPr>
                <w:rFonts w:ascii="Cambria" w:hAnsi="Cambria"/>
                <w:color w:val="000000"/>
                <w:sz w:val="18"/>
                <w:szCs w:val="18"/>
              </w:rPr>
              <w:t>Atlantique de 1985</w:t>
            </w:r>
          </w:p>
          <w:p w14:paraId="3A48DED9" w14:textId="344A0C5A"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Règlement sur les permis de pêche communautaires des autochtones de 1993</w:t>
            </w:r>
          </w:p>
          <w:p w14:paraId="189A0439" w14:textId="17C8B2C3" w:rsidR="002457D2"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Politique d'émission des permis pour la pêche commerciale dans l'Est du Canada de 1996</w:t>
            </w:r>
          </w:p>
          <w:p w14:paraId="1339C2B1" w14:textId="164653B0" w:rsidR="00746080" w:rsidRPr="00455BC3" w:rsidRDefault="002457D2" w:rsidP="002457D2">
            <w:pPr>
              <w:pStyle w:val="ListParagraph"/>
              <w:numPr>
                <w:ilvl w:val="0"/>
                <w:numId w:val="7"/>
              </w:num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Un cadre pour la pêche durable : Éléments pour la conservation et l’exploitation durable - (1) Politique d’approche de précaution, (2) Politique sur les espèces fourragères, (3) Politique sur les zones benthiques vulnérables et (4) Politique sur les prises accessoires</w:t>
            </w:r>
            <w:r w:rsidR="00A272B0" w:rsidRPr="00455BC3">
              <w:rPr>
                <w:rFonts w:ascii="Cambria" w:hAnsi="Cambria"/>
                <w:color w:val="000000"/>
                <w:sz w:val="18"/>
                <w:szCs w:val="18"/>
              </w:rPr>
              <w:t>.</w:t>
            </w:r>
          </w:p>
        </w:tc>
        <w:tc>
          <w:tcPr>
            <w:tcW w:w="2268" w:type="dxa"/>
            <w:hideMark/>
          </w:tcPr>
          <w:p w14:paraId="29EEC11E" w14:textId="35F100B5" w:rsidR="004D5A8D" w:rsidRPr="00455BC3" w:rsidRDefault="00757FB4" w:rsidP="001A06EC">
            <w:pPr>
              <w:spacing w:after="240" w:line="240" w:lineRule="auto"/>
              <w:jc w:val="center"/>
              <w:rPr>
                <w:rFonts w:ascii="Cambria" w:eastAsia="Times New Roman" w:hAnsi="Cambria" w:cs="Calibri"/>
                <w:color w:val="000000"/>
                <w:sz w:val="18"/>
                <w:szCs w:val="18"/>
              </w:rPr>
            </w:pPr>
            <w:r w:rsidRPr="00455BC3">
              <w:rPr>
                <w:rFonts w:ascii="Cambria" w:hAnsi="Cambria"/>
                <w:color w:val="000000"/>
                <w:sz w:val="18"/>
                <w:szCs w:val="18"/>
              </w:rPr>
              <w:lastRenderedPageBreak/>
              <w:t>N/A</w:t>
            </w:r>
          </w:p>
        </w:tc>
      </w:tr>
      <w:tr w:rsidR="000D1E4A" w:rsidRPr="00455BC3" w14:paraId="543BA4D3" w14:textId="77777777" w:rsidTr="00CF742D">
        <w:trPr>
          <w:gridAfter w:val="1"/>
          <w:wAfter w:w="236" w:type="dxa"/>
        </w:trPr>
        <w:tc>
          <w:tcPr>
            <w:tcW w:w="1135" w:type="dxa"/>
            <w:tcBorders>
              <w:bottom w:val="single" w:sz="4" w:space="0" w:color="auto"/>
            </w:tcBorders>
            <w:noWrap/>
            <w:vAlign w:val="center"/>
          </w:tcPr>
          <w:p w14:paraId="7518F3C4" w14:textId="137EDF7C" w:rsidR="000D1E4A" w:rsidRPr="00455BC3" w:rsidRDefault="000D1E4A" w:rsidP="001A06EC">
            <w:pPr>
              <w:spacing w:after="0" w:line="240" w:lineRule="auto"/>
              <w:jc w:val="center"/>
              <w:rPr>
                <w:rFonts w:ascii="Cambria" w:eastAsia="Times New Roman" w:hAnsi="Cambria" w:cs="Calibri"/>
                <w:b/>
                <w:bCs/>
                <w:color w:val="000000"/>
                <w:sz w:val="18"/>
                <w:szCs w:val="18"/>
              </w:rPr>
            </w:pPr>
            <w:r w:rsidRPr="00455BC3">
              <w:rPr>
                <w:rFonts w:ascii="Cambria" w:hAnsi="Cambria"/>
                <w:b/>
                <w:bCs/>
                <w:color w:val="000000"/>
                <w:sz w:val="18"/>
                <w:szCs w:val="18"/>
              </w:rPr>
              <w:t>Costa Rica</w:t>
            </w:r>
          </w:p>
        </w:tc>
        <w:tc>
          <w:tcPr>
            <w:tcW w:w="992" w:type="dxa"/>
            <w:tcBorders>
              <w:bottom w:val="single" w:sz="4" w:space="0" w:color="auto"/>
            </w:tcBorders>
            <w:noWrap/>
            <w:vAlign w:val="center"/>
          </w:tcPr>
          <w:p w14:paraId="594C9BC4" w14:textId="055043E2" w:rsidR="000D1E4A" w:rsidRPr="00455BC3" w:rsidRDefault="000D1E4A" w:rsidP="00305950">
            <w:pPr>
              <w:spacing w:after="0" w:line="240" w:lineRule="auto"/>
              <w:jc w:val="center"/>
              <w:rPr>
                <w:rFonts w:ascii="Cambria" w:eastAsia="Times New Roman" w:hAnsi="Cambria" w:cs="Calibri"/>
                <w:sz w:val="18"/>
                <w:szCs w:val="18"/>
              </w:rPr>
            </w:pPr>
            <w:r w:rsidRPr="00455BC3">
              <w:rPr>
                <w:rFonts w:ascii="Cambria" w:hAnsi="Cambria"/>
                <w:color w:val="000000"/>
                <w:sz w:val="18"/>
                <w:szCs w:val="18"/>
              </w:rPr>
              <w:t>Oui</w:t>
            </w:r>
          </w:p>
        </w:tc>
        <w:tc>
          <w:tcPr>
            <w:tcW w:w="992" w:type="dxa"/>
            <w:tcBorders>
              <w:bottom w:val="single" w:sz="4" w:space="0" w:color="auto"/>
            </w:tcBorders>
            <w:noWrap/>
            <w:vAlign w:val="center"/>
          </w:tcPr>
          <w:p w14:paraId="6B0087E4" w14:textId="270D0E00" w:rsidR="000D1E4A" w:rsidRPr="00455BC3" w:rsidRDefault="00102E90" w:rsidP="00305950">
            <w:pPr>
              <w:spacing w:after="0" w:line="240" w:lineRule="auto"/>
              <w:jc w:val="center"/>
              <w:rPr>
                <w:rFonts w:ascii="Cambria" w:eastAsia="Times New Roman" w:hAnsi="Cambria" w:cs="Calibri"/>
                <w:sz w:val="18"/>
                <w:szCs w:val="18"/>
              </w:rPr>
            </w:pPr>
            <w:r w:rsidRPr="00455BC3">
              <w:rPr>
                <w:rFonts w:ascii="Cambria" w:hAnsi="Cambria"/>
                <w:color w:val="000000"/>
                <w:sz w:val="18"/>
                <w:szCs w:val="18"/>
              </w:rPr>
              <w:t>75</w:t>
            </w:r>
          </w:p>
        </w:tc>
        <w:tc>
          <w:tcPr>
            <w:tcW w:w="973" w:type="dxa"/>
            <w:tcBorders>
              <w:bottom w:val="single" w:sz="4" w:space="0" w:color="auto"/>
            </w:tcBorders>
            <w:noWrap/>
            <w:vAlign w:val="center"/>
          </w:tcPr>
          <w:p w14:paraId="0E6A1FEE" w14:textId="508D963D" w:rsidR="000D1E4A" w:rsidRPr="00455BC3" w:rsidRDefault="000D1E4A" w:rsidP="00305950">
            <w:pPr>
              <w:spacing w:after="0" w:line="240" w:lineRule="auto"/>
              <w:jc w:val="center"/>
              <w:rPr>
                <w:rFonts w:ascii="Cambria" w:hAnsi="Cambria"/>
                <w:sz w:val="18"/>
                <w:szCs w:val="18"/>
              </w:rPr>
            </w:pPr>
            <w:r w:rsidRPr="00455BC3">
              <w:rPr>
                <w:rFonts w:ascii="Cambria" w:hAnsi="Cambria"/>
                <w:color w:val="000000"/>
                <w:sz w:val="18"/>
                <w:szCs w:val="18"/>
              </w:rPr>
              <w:t>12</w:t>
            </w:r>
          </w:p>
        </w:tc>
        <w:tc>
          <w:tcPr>
            <w:tcW w:w="870" w:type="dxa"/>
            <w:tcBorders>
              <w:bottom w:val="single" w:sz="4" w:space="0" w:color="auto"/>
            </w:tcBorders>
            <w:noWrap/>
            <w:vAlign w:val="center"/>
          </w:tcPr>
          <w:p w14:paraId="1857A8BB" w14:textId="62C9709C" w:rsidR="000D1E4A" w:rsidRPr="00455BC3" w:rsidRDefault="000D1E4A" w:rsidP="00305950">
            <w:pPr>
              <w:spacing w:after="0" w:line="240" w:lineRule="auto"/>
              <w:jc w:val="center"/>
              <w:rPr>
                <w:rFonts w:ascii="Cambria" w:hAnsi="Cambria"/>
                <w:sz w:val="18"/>
                <w:szCs w:val="18"/>
              </w:rPr>
            </w:pPr>
            <w:r w:rsidRPr="00455BC3">
              <w:rPr>
                <w:rFonts w:ascii="Cambria" w:hAnsi="Cambria"/>
                <w:color w:val="000000"/>
                <w:sz w:val="18"/>
                <w:szCs w:val="18"/>
              </w:rPr>
              <w:t>LL</w:t>
            </w:r>
          </w:p>
        </w:tc>
        <w:tc>
          <w:tcPr>
            <w:tcW w:w="992" w:type="dxa"/>
            <w:tcBorders>
              <w:bottom w:val="single" w:sz="4" w:space="0" w:color="auto"/>
            </w:tcBorders>
            <w:noWrap/>
            <w:vAlign w:val="center"/>
          </w:tcPr>
          <w:p w14:paraId="75F0DB68" w14:textId="698D22F3" w:rsidR="000D1E4A" w:rsidRPr="00455BC3" w:rsidRDefault="000D1E4A" w:rsidP="00305950">
            <w:pPr>
              <w:spacing w:after="0" w:line="240" w:lineRule="auto"/>
              <w:jc w:val="center"/>
              <w:rPr>
                <w:rFonts w:ascii="Cambria" w:hAnsi="Cambria"/>
                <w:sz w:val="18"/>
                <w:szCs w:val="18"/>
              </w:rPr>
            </w:pPr>
            <w:r w:rsidRPr="00455BC3">
              <w:rPr>
                <w:rFonts w:ascii="Cambria" w:hAnsi="Cambria"/>
                <w:color w:val="000000"/>
                <w:sz w:val="18"/>
                <w:szCs w:val="18"/>
              </w:rPr>
              <w:t>302,15</w:t>
            </w:r>
          </w:p>
        </w:tc>
        <w:tc>
          <w:tcPr>
            <w:tcW w:w="992" w:type="dxa"/>
            <w:tcBorders>
              <w:bottom w:val="single" w:sz="4" w:space="0" w:color="auto"/>
            </w:tcBorders>
            <w:noWrap/>
            <w:vAlign w:val="center"/>
          </w:tcPr>
          <w:p w14:paraId="341E1DF1" w14:textId="30C4097F" w:rsidR="000D1E4A" w:rsidRPr="00455BC3" w:rsidRDefault="000D1E4A" w:rsidP="00305950">
            <w:pPr>
              <w:spacing w:after="0" w:line="240" w:lineRule="auto"/>
              <w:jc w:val="center"/>
              <w:rPr>
                <w:rFonts w:ascii="Cambria" w:hAnsi="Cambria"/>
                <w:sz w:val="18"/>
                <w:szCs w:val="18"/>
              </w:rPr>
            </w:pPr>
            <w:r w:rsidRPr="00455BC3">
              <w:rPr>
                <w:rFonts w:ascii="Cambria" w:hAnsi="Cambria"/>
                <w:color w:val="000000"/>
                <w:sz w:val="18"/>
                <w:szCs w:val="18"/>
              </w:rPr>
              <w:t>12</w:t>
            </w:r>
          </w:p>
        </w:tc>
        <w:tc>
          <w:tcPr>
            <w:tcW w:w="851" w:type="dxa"/>
            <w:tcBorders>
              <w:bottom w:val="single" w:sz="4" w:space="0" w:color="auto"/>
            </w:tcBorders>
            <w:noWrap/>
            <w:vAlign w:val="center"/>
          </w:tcPr>
          <w:p w14:paraId="026F7574" w14:textId="6BAD08C7" w:rsidR="000D1E4A" w:rsidRPr="00455BC3" w:rsidRDefault="000D1E4A" w:rsidP="00305950">
            <w:pPr>
              <w:spacing w:after="0" w:line="240" w:lineRule="auto"/>
              <w:jc w:val="center"/>
              <w:rPr>
                <w:rFonts w:ascii="Cambria" w:hAnsi="Cambria"/>
                <w:sz w:val="18"/>
                <w:szCs w:val="18"/>
              </w:rPr>
            </w:pPr>
            <w:r w:rsidRPr="00455BC3">
              <w:rPr>
                <w:rFonts w:ascii="Cambria" w:hAnsi="Cambria"/>
                <w:color w:val="000000"/>
                <w:sz w:val="18"/>
                <w:szCs w:val="18"/>
              </w:rPr>
              <w:t>LL</w:t>
            </w:r>
          </w:p>
        </w:tc>
        <w:tc>
          <w:tcPr>
            <w:tcW w:w="992" w:type="dxa"/>
            <w:tcBorders>
              <w:bottom w:val="single" w:sz="4" w:space="0" w:color="auto"/>
            </w:tcBorders>
            <w:noWrap/>
            <w:vAlign w:val="center"/>
          </w:tcPr>
          <w:p w14:paraId="08F9A0E3" w14:textId="502A3CE1" w:rsidR="000D1E4A" w:rsidRPr="00455BC3" w:rsidRDefault="00102E90" w:rsidP="00305950">
            <w:pPr>
              <w:spacing w:after="0" w:line="240" w:lineRule="auto"/>
              <w:jc w:val="center"/>
              <w:rPr>
                <w:rFonts w:ascii="Cambria" w:eastAsia="Times New Roman" w:hAnsi="Cambria" w:cs="Calibri"/>
                <w:sz w:val="18"/>
                <w:szCs w:val="18"/>
              </w:rPr>
            </w:pPr>
            <w:r w:rsidRPr="00455BC3">
              <w:rPr>
                <w:rFonts w:ascii="Cambria" w:hAnsi="Cambria"/>
                <w:color w:val="000000"/>
                <w:sz w:val="18"/>
                <w:szCs w:val="18"/>
              </w:rPr>
              <w:t>100,32*</w:t>
            </w:r>
          </w:p>
        </w:tc>
        <w:tc>
          <w:tcPr>
            <w:tcW w:w="3119" w:type="dxa"/>
            <w:tcBorders>
              <w:bottom w:val="single" w:sz="4" w:space="0" w:color="auto"/>
            </w:tcBorders>
          </w:tcPr>
          <w:p w14:paraId="1B944F5F" w14:textId="6A887863" w:rsidR="00590AB6" w:rsidRPr="00455BC3" w:rsidRDefault="00590AB6" w:rsidP="00590AB6">
            <w:pPr>
              <w:pStyle w:val="ListParagraph"/>
              <w:numPr>
                <w:ilvl w:val="0"/>
                <w:numId w:val="3"/>
              </w:numPr>
              <w:spacing w:after="0" w:line="240" w:lineRule="exact"/>
              <w:jc w:val="both"/>
              <w:rPr>
                <w:rFonts w:ascii="Cambria" w:hAnsi="Cambria"/>
                <w:sz w:val="18"/>
                <w:szCs w:val="18"/>
              </w:rPr>
            </w:pPr>
            <w:r w:rsidRPr="00455BC3">
              <w:rPr>
                <w:rFonts w:ascii="Cambria" w:hAnsi="Cambria"/>
                <w:sz w:val="18"/>
                <w:szCs w:val="18"/>
              </w:rPr>
              <w:t>La capture de grands pélagiques et d’espèces démersales est autorisée.</w:t>
            </w:r>
          </w:p>
          <w:p w14:paraId="23B5A0AB" w14:textId="464DE391" w:rsidR="00590AB6" w:rsidRPr="00455BC3" w:rsidRDefault="00590AB6" w:rsidP="00590AB6">
            <w:pPr>
              <w:pStyle w:val="ListParagraph"/>
              <w:numPr>
                <w:ilvl w:val="0"/>
                <w:numId w:val="3"/>
              </w:numPr>
              <w:spacing w:after="0" w:line="240" w:lineRule="exact"/>
              <w:jc w:val="both"/>
              <w:rPr>
                <w:rFonts w:ascii="Cambria" w:hAnsi="Cambria"/>
                <w:sz w:val="18"/>
                <w:szCs w:val="18"/>
              </w:rPr>
            </w:pPr>
            <w:r w:rsidRPr="00455BC3">
              <w:rPr>
                <w:rFonts w:ascii="Cambria" w:hAnsi="Cambria"/>
                <w:sz w:val="18"/>
                <w:szCs w:val="18"/>
              </w:rPr>
              <w:t xml:space="preserve">Les activités de pêche sont autorisées à moins de trois milles </w:t>
            </w:r>
            <w:r w:rsidRPr="00455BC3">
              <w:rPr>
                <w:rFonts w:ascii="Cambria" w:hAnsi="Cambria"/>
                <w:sz w:val="18"/>
                <w:szCs w:val="18"/>
              </w:rPr>
              <w:lastRenderedPageBreak/>
              <w:t>nautiques de la côte pour les navires commerciaux de petite taille</w:t>
            </w:r>
            <w:r w:rsidR="001E18FA" w:rsidRPr="00455BC3">
              <w:rPr>
                <w:rFonts w:ascii="Cambria" w:hAnsi="Cambria"/>
                <w:sz w:val="18"/>
                <w:szCs w:val="18"/>
              </w:rPr>
              <w:t> </w:t>
            </w:r>
            <w:r w:rsidRPr="00455BC3">
              <w:rPr>
                <w:rFonts w:ascii="Cambria" w:hAnsi="Cambria"/>
                <w:sz w:val="18"/>
                <w:szCs w:val="18"/>
              </w:rPr>
              <w:t>; jusqu’à 40 pour les navires commerciaux de taille moyenne et à plus de 40 pour ceux de taille supérieure.</w:t>
            </w:r>
          </w:p>
          <w:p w14:paraId="6D1A1646" w14:textId="77777777" w:rsidR="00BF6446" w:rsidRPr="00455BC3" w:rsidRDefault="00590AB6" w:rsidP="00590AB6">
            <w:pPr>
              <w:pStyle w:val="ListParagraph"/>
              <w:numPr>
                <w:ilvl w:val="0"/>
                <w:numId w:val="3"/>
              </w:numPr>
              <w:spacing w:after="0" w:line="240" w:lineRule="exact"/>
              <w:jc w:val="both"/>
              <w:rPr>
                <w:rFonts w:ascii="Cambria" w:hAnsi="Cambria"/>
                <w:sz w:val="18"/>
                <w:szCs w:val="18"/>
              </w:rPr>
            </w:pPr>
            <w:r w:rsidRPr="00455BC3">
              <w:rPr>
                <w:rFonts w:ascii="Cambria" w:hAnsi="Cambria"/>
                <w:sz w:val="18"/>
                <w:szCs w:val="18"/>
              </w:rPr>
              <w:t>La pêche est interdite dans les aires et zones fermées. Les plans de gestion des zones marines pour une pêche responsable doivent être respectés.</w:t>
            </w:r>
          </w:p>
          <w:p w14:paraId="09E17998" w14:textId="0500A991" w:rsidR="00590AB6" w:rsidRPr="00455BC3" w:rsidRDefault="00590AB6" w:rsidP="00590AB6">
            <w:pPr>
              <w:pStyle w:val="ListParagraph"/>
              <w:numPr>
                <w:ilvl w:val="0"/>
                <w:numId w:val="3"/>
              </w:numPr>
              <w:spacing w:after="0" w:line="240" w:lineRule="exact"/>
              <w:jc w:val="both"/>
              <w:rPr>
                <w:rFonts w:ascii="Cambria" w:hAnsi="Cambria"/>
                <w:sz w:val="18"/>
                <w:szCs w:val="18"/>
              </w:rPr>
            </w:pPr>
            <w:r w:rsidRPr="00455BC3">
              <w:rPr>
                <w:rFonts w:ascii="Cambria" w:hAnsi="Cambria"/>
                <w:sz w:val="18"/>
                <w:szCs w:val="18"/>
              </w:rPr>
              <w:t>Collecte de données sur les captures lors des sorties de pêche.</w:t>
            </w:r>
          </w:p>
          <w:p w14:paraId="2A027BE9" w14:textId="77777777" w:rsidR="00590AB6" w:rsidRPr="00455BC3" w:rsidRDefault="00590AB6" w:rsidP="00590AB6">
            <w:pPr>
              <w:pStyle w:val="ListParagraph"/>
              <w:numPr>
                <w:ilvl w:val="0"/>
                <w:numId w:val="3"/>
              </w:numPr>
              <w:spacing w:after="0" w:line="240" w:lineRule="exact"/>
              <w:jc w:val="both"/>
              <w:rPr>
                <w:rFonts w:ascii="Cambria" w:hAnsi="Cambria"/>
                <w:sz w:val="18"/>
                <w:szCs w:val="18"/>
              </w:rPr>
            </w:pPr>
            <w:r w:rsidRPr="00455BC3">
              <w:rPr>
                <w:rFonts w:ascii="Cambria" w:hAnsi="Cambria"/>
                <w:sz w:val="18"/>
                <w:szCs w:val="18"/>
              </w:rPr>
              <w:t>Programme de suivi au port pour vérifier les carnets de pêche.</w:t>
            </w:r>
          </w:p>
          <w:p w14:paraId="3C585C42" w14:textId="77777777" w:rsidR="00590AB6" w:rsidRPr="00455BC3" w:rsidRDefault="00590AB6" w:rsidP="00590AB6">
            <w:pPr>
              <w:pStyle w:val="ListParagraph"/>
              <w:numPr>
                <w:ilvl w:val="0"/>
                <w:numId w:val="3"/>
              </w:numPr>
              <w:spacing w:after="0" w:line="240" w:lineRule="exact"/>
              <w:jc w:val="both"/>
              <w:rPr>
                <w:rFonts w:ascii="Cambria" w:hAnsi="Cambria"/>
                <w:sz w:val="18"/>
                <w:szCs w:val="18"/>
              </w:rPr>
            </w:pPr>
            <w:r w:rsidRPr="00455BC3">
              <w:rPr>
                <w:rFonts w:ascii="Cambria" w:hAnsi="Cambria"/>
                <w:sz w:val="18"/>
                <w:szCs w:val="18"/>
              </w:rPr>
              <w:t xml:space="preserve">Les fonctionnaires de l'INCOPESCA inspectent 100 % des débarquements de la flottille commerciale de taille moyenne et supérieure et consignent les informations dans le formulaire d'inspection des débarquements de ressources </w:t>
            </w:r>
            <w:proofErr w:type="spellStart"/>
            <w:r w:rsidRPr="00455BC3">
              <w:rPr>
                <w:rFonts w:ascii="Cambria" w:hAnsi="Cambria"/>
                <w:sz w:val="18"/>
                <w:szCs w:val="18"/>
              </w:rPr>
              <w:t>hydrobiologiques</w:t>
            </w:r>
            <w:proofErr w:type="spellEnd"/>
            <w:r w:rsidRPr="00455BC3">
              <w:rPr>
                <w:rFonts w:ascii="Cambria" w:hAnsi="Cambria"/>
                <w:sz w:val="18"/>
                <w:szCs w:val="18"/>
              </w:rPr>
              <w:t xml:space="preserve"> (FID).                                       </w:t>
            </w:r>
          </w:p>
          <w:p w14:paraId="24D815D0" w14:textId="77777777" w:rsidR="00590AB6" w:rsidRPr="00455BC3" w:rsidRDefault="00590AB6" w:rsidP="00590AB6">
            <w:pPr>
              <w:pStyle w:val="ListParagraph"/>
              <w:numPr>
                <w:ilvl w:val="0"/>
                <w:numId w:val="3"/>
              </w:numPr>
              <w:spacing w:after="0" w:line="240" w:lineRule="exact"/>
              <w:jc w:val="both"/>
              <w:rPr>
                <w:rFonts w:ascii="Cambria" w:hAnsi="Cambria"/>
                <w:sz w:val="18"/>
                <w:szCs w:val="18"/>
              </w:rPr>
            </w:pPr>
            <w:r w:rsidRPr="00455BC3">
              <w:rPr>
                <w:rFonts w:ascii="Cambria" w:hAnsi="Cambria"/>
                <w:sz w:val="18"/>
                <w:szCs w:val="18"/>
              </w:rPr>
              <w:t>Système de surveillance des navires par satellite (VMS).</w:t>
            </w:r>
          </w:p>
          <w:p w14:paraId="4514ABAD" w14:textId="77777777" w:rsidR="00590AB6" w:rsidRPr="00455BC3" w:rsidRDefault="00590AB6" w:rsidP="00590AB6">
            <w:pPr>
              <w:pStyle w:val="ListParagraph"/>
              <w:numPr>
                <w:ilvl w:val="0"/>
                <w:numId w:val="3"/>
              </w:numPr>
              <w:spacing w:after="0" w:line="240" w:lineRule="exact"/>
              <w:jc w:val="both"/>
              <w:rPr>
                <w:rFonts w:ascii="Cambria" w:hAnsi="Cambria"/>
                <w:sz w:val="18"/>
                <w:szCs w:val="18"/>
              </w:rPr>
            </w:pPr>
            <w:r w:rsidRPr="00455BC3">
              <w:rPr>
                <w:rFonts w:ascii="Cambria" w:hAnsi="Cambria"/>
                <w:sz w:val="18"/>
                <w:szCs w:val="18"/>
              </w:rPr>
              <w:t xml:space="preserve">Suivi de l'activité de pêche : surveillance aérienne, inspections en mer et au port (des inspections sont effectuées sur les sites de transformation et d'achat de produits de la pêche).                                                                                                                   </w:t>
            </w:r>
          </w:p>
          <w:p w14:paraId="4C937432" w14:textId="77777777" w:rsidR="00590AB6" w:rsidRPr="00455BC3" w:rsidRDefault="00590AB6" w:rsidP="00590AB6">
            <w:pPr>
              <w:pStyle w:val="ListParagraph"/>
              <w:numPr>
                <w:ilvl w:val="0"/>
                <w:numId w:val="3"/>
              </w:numPr>
              <w:spacing w:after="0" w:line="240" w:lineRule="exact"/>
              <w:jc w:val="both"/>
              <w:rPr>
                <w:rFonts w:ascii="Cambria" w:hAnsi="Cambria"/>
                <w:sz w:val="18"/>
                <w:szCs w:val="18"/>
              </w:rPr>
            </w:pPr>
            <w:r w:rsidRPr="00455BC3">
              <w:rPr>
                <w:rFonts w:ascii="Cambria" w:hAnsi="Cambria"/>
                <w:sz w:val="18"/>
                <w:szCs w:val="18"/>
              </w:rPr>
              <w:t xml:space="preserve">Enregistrement des informations biologiques des pêches lors des débarquements.                                                                                                                </w:t>
            </w:r>
          </w:p>
          <w:p w14:paraId="6B9DCB5A" w14:textId="450ADB7F" w:rsidR="00140AA1" w:rsidRPr="00455BC3" w:rsidRDefault="00590AB6" w:rsidP="00590AB6">
            <w:pPr>
              <w:pStyle w:val="ListParagraph"/>
              <w:numPr>
                <w:ilvl w:val="0"/>
                <w:numId w:val="3"/>
              </w:numPr>
              <w:spacing w:after="0" w:line="240" w:lineRule="exact"/>
              <w:jc w:val="both"/>
              <w:rPr>
                <w:rFonts w:ascii="Cambria" w:hAnsi="Cambria"/>
                <w:sz w:val="18"/>
                <w:szCs w:val="18"/>
              </w:rPr>
            </w:pPr>
            <w:r w:rsidRPr="00455BC3">
              <w:rPr>
                <w:rFonts w:ascii="Cambria" w:hAnsi="Cambria"/>
                <w:sz w:val="18"/>
                <w:szCs w:val="18"/>
              </w:rPr>
              <w:lastRenderedPageBreak/>
              <w:t>L’Accord AJDIP/037-2026 du comité directeur d’INCOPESCA a fixé une taille minimale de capture pour l’espadon de l’Atlantique nord de 25 kg avec une marge de tolérance de 15 % et une limite de capture annuelle de 75 t, conformément à la Recommandation 24-10.</w:t>
            </w:r>
          </w:p>
        </w:tc>
        <w:tc>
          <w:tcPr>
            <w:tcW w:w="2268" w:type="dxa"/>
            <w:tcBorders>
              <w:bottom w:val="single" w:sz="4" w:space="0" w:color="auto"/>
            </w:tcBorders>
          </w:tcPr>
          <w:p w14:paraId="1F8F36F2" w14:textId="6F6E65D4" w:rsidR="000D1E4A" w:rsidRPr="00455BC3" w:rsidRDefault="00590AB6" w:rsidP="001A06EC">
            <w:pPr>
              <w:spacing w:after="0" w:line="240" w:lineRule="auto"/>
              <w:jc w:val="both"/>
              <w:rPr>
                <w:rFonts w:ascii="Cambria" w:hAnsi="Cambria"/>
                <w:sz w:val="18"/>
                <w:szCs w:val="18"/>
              </w:rPr>
            </w:pPr>
            <w:r w:rsidRPr="00455BC3">
              <w:rPr>
                <w:rFonts w:ascii="Cambria" w:hAnsi="Cambria"/>
                <w:sz w:val="18"/>
                <w:szCs w:val="18"/>
              </w:rPr>
              <w:lastRenderedPageBreak/>
              <w:t>La limite de capture allouée au Costa Rica en 2026 est de 75 t (Rec. 24-10) + solde de 25,32 t.</w:t>
            </w:r>
          </w:p>
        </w:tc>
      </w:tr>
      <w:tr w:rsidR="00CC5095" w:rsidRPr="00455BC3" w14:paraId="32BFD5FB" w14:textId="77777777" w:rsidTr="00050B22">
        <w:trPr>
          <w:gridAfter w:val="1"/>
          <w:wAfter w:w="236" w:type="dxa"/>
        </w:trPr>
        <w:tc>
          <w:tcPr>
            <w:tcW w:w="14176" w:type="dxa"/>
            <w:gridSpan w:val="11"/>
            <w:tcBorders>
              <w:bottom w:val="single" w:sz="4" w:space="0" w:color="auto"/>
            </w:tcBorders>
            <w:noWrap/>
          </w:tcPr>
          <w:p w14:paraId="26CD72F5" w14:textId="0791B68E" w:rsidR="00CC5095" w:rsidRPr="00455BC3" w:rsidRDefault="00590AB6" w:rsidP="00140AA1">
            <w:pPr>
              <w:spacing w:after="0" w:line="240" w:lineRule="exact"/>
              <w:rPr>
                <w:rFonts w:ascii="Cambria" w:hAnsi="Cambria"/>
                <w:i/>
                <w:iCs/>
                <w:sz w:val="18"/>
                <w:szCs w:val="18"/>
              </w:rPr>
            </w:pPr>
            <w:r w:rsidRPr="00455BC3">
              <w:rPr>
                <w:rFonts w:ascii="Cambria" w:hAnsi="Cambria"/>
                <w:i/>
                <w:iCs/>
                <w:sz w:val="18"/>
                <w:szCs w:val="18"/>
              </w:rPr>
              <w:lastRenderedPageBreak/>
              <w:t>*La limite de capture allouée au Costa Rica en 2026 est de 75 t (Rec. 24-10) + solde de 25,32 t.</w:t>
            </w:r>
          </w:p>
        </w:tc>
      </w:tr>
      <w:tr w:rsidR="00D4105A" w:rsidRPr="00455BC3" w14:paraId="0972F477" w14:textId="77777777" w:rsidTr="00CF742D">
        <w:trPr>
          <w:gridAfter w:val="1"/>
          <w:wAfter w:w="236" w:type="dxa"/>
        </w:trPr>
        <w:tc>
          <w:tcPr>
            <w:tcW w:w="1135" w:type="dxa"/>
            <w:tcBorders>
              <w:bottom w:val="single" w:sz="4" w:space="0" w:color="auto"/>
            </w:tcBorders>
            <w:noWrap/>
            <w:vAlign w:val="center"/>
            <w:hideMark/>
          </w:tcPr>
          <w:p w14:paraId="2CEDCF61" w14:textId="77777777" w:rsidR="00D4105A" w:rsidRPr="00455BC3" w:rsidRDefault="00D4105A" w:rsidP="001A06EC">
            <w:pPr>
              <w:spacing w:after="0" w:line="240" w:lineRule="auto"/>
              <w:jc w:val="center"/>
              <w:rPr>
                <w:rFonts w:ascii="Cambria" w:eastAsia="Times New Roman" w:hAnsi="Cambria" w:cs="Calibri"/>
                <w:b/>
                <w:bCs/>
                <w:color w:val="000000"/>
                <w:sz w:val="18"/>
                <w:szCs w:val="18"/>
              </w:rPr>
            </w:pPr>
            <w:r w:rsidRPr="00455BC3">
              <w:rPr>
                <w:rFonts w:ascii="Cambria" w:hAnsi="Cambria"/>
                <w:b/>
                <w:bCs/>
                <w:color w:val="000000"/>
                <w:sz w:val="18"/>
                <w:szCs w:val="18"/>
              </w:rPr>
              <w:t>Japon</w:t>
            </w:r>
          </w:p>
        </w:tc>
        <w:tc>
          <w:tcPr>
            <w:tcW w:w="992" w:type="dxa"/>
            <w:tcBorders>
              <w:bottom w:val="single" w:sz="4" w:space="0" w:color="auto"/>
            </w:tcBorders>
            <w:noWrap/>
            <w:vAlign w:val="center"/>
            <w:hideMark/>
          </w:tcPr>
          <w:p w14:paraId="3A3983F2" w14:textId="77777777" w:rsidR="00D4105A" w:rsidRPr="00455BC3" w:rsidRDefault="00D4105A" w:rsidP="00305950">
            <w:pPr>
              <w:spacing w:after="0" w:line="240" w:lineRule="auto"/>
              <w:jc w:val="center"/>
              <w:rPr>
                <w:rFonts w:ascii="Cambria" w:eastAsia="Times New Roman" w:hAnsi="Cambria" w:cs="Calibri"/>
                <w:sz w:val="18"/>
                <w:szCs w:val="18"/>
              </w:rPr>
            </w:pPr>
            <w:r w:rsidRPr="00455BC3">
              <w:rPr>
                <w:rFonts w:ascii="Cambria" w:hAnsi="Cambria"/>
                <w:sz w:val="18"/>
                <w:szCs w:val="18"/>
              </w:rPr>
              <w:t>Oui</w:t>
            </w:r>
          </w:p>
        </w:tc>
        <w:tc>
          <w:tcPr>
            <w:tcW w:w="992" w:type="dxa"/>
            <w:tcBorders>
              <w:bottom w:val="single" w:sz="4" w:space="0" w:color="auto"/>
            </w:tcBorders>
            <w:noWrap/>
            <w:vAlign w:val="center"/>
            <w:hideMark/>
          </w:tcPr>
          <w:p w14:paraId="4B87AE3C" w14:textId="5755A282" w:rsidR="00D4105A" w:rsidRPr="00455BC3" w:rsidRDefault="00D4105A" w:rsidP="00305950">
            <w:pPr>
              <w:spacing w:after="0" w:line="240" w:lineRule="auto"/>
              <w:jc w:val="center"/>
              <w:rPr>
                <w:rFonts w:ascii="Cambria" w:eastAsia="Times New Roman" w:hAnsi="Cambria" w:cs="Calibri"/>
                <w:sz w:val="18"/>
                <w:szCs w:val="18"/>
              </w:rPr>
            </w:pPr>
            <w:r w:rsidRPr="00455BC3">
              <w:rPr>
                <w:rFonts w:ascii="Cambria" w:hAnsi="Cambria"/>
                <w:sz w:val="18"/>
                <w:szCs w:val="18"/>
              </w:rPr>
              <w:t>842</w:t>
            </w:r>
          </w:p>
        </w:tc>
        <w:tc>
          <w:tcPr>
            <w:tcW w:w="973" w:type="dxa"/>
            <w:tcBorders>
              <w:bottom w:val="single" w:sz="4" w:space="0" w:color="auto"/>
            </w:tcBorders>
            <w:noWrap/>
            <w:vAlign w:val="center"/>
            <w:hideMark/>
          </w:tcPr>
          <w:p w14:paraId="2F340D0A" w14:textId="5066ACDF" w:rsidR="00D4105A" w:rsidRPr="00455BC3" w:rsidRDefault="00EE5AAA" w:rsidP="00305950">
            <w:pPr>
              <w:spacing w:after="0" w:line="240" w:lineRule="auto"/>
              <w:jc w:val="center"/>
              <w:rPr>
                <w:rFonts w:ascii="Cambria" w:eastAsia="Times New Roman" w:hAnsi="Cambria" w:cs="Calibri"/>
                <w:sz w:val="18"/>
                <w:szCs w:val="18"/>
              </w:rPr>
            </w:pPr>
            <w:r w:rsidRPr="00455BC3">
              <w:rPr>
                <w:rFonts w:ascii="Cambria" w:hAnsi="Cambria"/>
                <w:sz w:val="18"/>
                <w:szCs w:val="18"/>
              </w:rPr>
              <w:t>43</w:t>
            </w:r>
          </w:p>
        </w:tc>
        <w:tc>
          <w:tcPr>
            <w:tcW w:w="870" w:type="dxa"/>
            <w:tcBorders>
              <w:bottom w:val="single" w:sz="4" w:space="0" w:color="auto"/>
            </w:tcBorders>
            <w:noWrap/>
            <w:vAlign w:val="center"/>
            <w:hideMark/>
          </w:tcPr>
          <w:p w14:paraId="7AE4F8EB" w14:textId="76FA041A" w:rsidR="00D4105A" w:rsidRPr="00455BC3" w:rsidRDefault="00D4105A" w:rsidP="00305950">
            <w:pPr>
              <w:spacing w:after="0" w:line="240" w:lineRule="auto"/>
              <w:jc w:val="center"/>
              <w:rPr>
                <w:rFonts w:ascii="Cambria" w:eastAsia="Times New Roman" w:hAnsi="Cambria" w:cs="Calibri"/>
                <w:sz w:val="18"/>
                <w:szCs w:val="18"/>
              </w:rPr>
            </w:pPr>
            <w:r w:rsidRPr="00455BC3">
              <w:rPr>
                <w:rFonts w:ascii="Cambria" w:hAnsi="Cambria"/>
                <w:sz w:val="18"/>
                <w:szCs w:val="18"/>
              </w:rPr>
              <w:t>LL</w:t>
            </w:r>
          </w:p>
        </w:tc>
        <w:tc>
          <w:tcPr>
            <w:tcW w:w="992" w:type="dxa"/>
            <w:tcBorders>
              <w:bottom w:val="single" w:sz="4" w:space="0" w:color="auto"/>
            </w:tcBorders>
            <w:noWrap/>
            <w:vAlign w:val="center"/>
            <w:hideMark/>
          </w:tcPr>
          <w:p w14:paraId="3D2E49BB" w14:textId="433744D2" w:rsidR="00D4105A" w:rsidRPr="00455BC3" w:rsidRDefault="00102E90" w:rsidP="00102E90">
            <w:pPr>
              <w:spacing w:after="0" w:line="240" w:lineRule="auto"/>
              <w:jc w:val="center"/>
              <w:rPr>
                <w:rFonts w:ascii="Cambria" w:eastAsia="Times New Roman" w:hAnsi="Cambria" w:cs="Calibri"/>
                <w:sz w:val="18"/>
                <w:szCs w:val="18"/>
              </w:rPr>
            </w:pPr>
            <w:r w:rsidRPr="00455BC3">
              <w:rPr>
                <w:rFonts w:ascii="Cambria" w:hAnsi="Cambria"/>
                <w:sz w:val="18"/>
                <w:szCs w:val="18"/>
              </w:rPr>
              <w:t>19 852</w:t>
            </w:r>
          </w:p>
        </w:tc>
        <w:tc>
          <w:tcPr>
            <w:tcW w:w="992" w:type="dxa"/>
            <w:tcBorders>
              <w:bottom w:val="single" w:sz="4" w:space="0" w:color="auto"/>
            </w:tcBorders>
            <w:noWrap/>
            <w:vAlign w:val="center"/>
            <w:hideMark/>
          </w:tcPr>
          <w:p w14:paraId="33CF563D" w14:textId="23F46924" w:rsidR="00D4105A" w:rsidRPr="00455BC3" w:rsidRDefault="00D4105A" w:rsidP="00305950">
            <w:pPr>
              <w:spacing w:after="0" w:line="240" w:lineRule="auto"/>
              <w:jc w:val="center"/>
              <w:rPr>
                <w:rFonts w:ascii="Cambria" w:eastAsia="Times New Roman" w:hAnsi="Cambria" w:cs="Calibri"/>
                <w:sz w:val="18"/>
                <w:szCs w:val="18"/>
              </w:rPr>
            </w:pPr>
            <w:r w:rsidRPr="00455BC3">
              <w:rPr>
                <w:rFonts w:ascii="Cambria" w:hAnsi="Cambria"/>
                <w:sz w:val="18"/>
                <w:szCs w:val="18"/>
              </w:rPr>
              <w:t>119*</w:t>
            </w:r>
          </w:p>
        </w:tc>
        <w:tc>
          <w:tcPr>
            <w:tcW w:w="851" w:type="dxa"/>
            <w:tcBorders>
              <w:bottom w:val="single" w:sz="4" w:space="0" w:color="auto"/>
            </w:tcBorders>
            <w:noWrap/>
            <w:vAlign w:val="center"/>
            <w:hideMark/>
          </w:tcPr>
          <w:p w14:paraId="342C2AB1" w14:textId="6C4B372E" w:rsidR="00D4105A" w:rsidRPr="00455BC3" w:rsidRDefault="00D4105A" w:rsidP="00305950">
            <w:pPr>
              <w:spacing w:after="0" w:line="240" w:lineRule="auto"/>
              <w:jc w:val="center"/>
              <w:rPr>
                <w:rFonts w:ascii="Cambria" w:eastAsia="Times New Roman" w:hAnsi="Cambria" w:cs="Calibri"/>
                <w:sz w:val="18"/>
                <w:szCs w:val="18"/>
              </w:rPr>
            </w:pPr>
            <w:r w:rsidRPr="00455BC3">
              <w:rPr>
                <w:rFonts w:ascii="Cambria" w:hAnsi="Cambria"/>
                <w:sz w:val="18"/>
                <w:szCs w:val="18"/>
              </w:rPr>
              <w:t>LL</w:t>
            </w:r>
          </w:p>
        </w:tc>
        <w:tc>
          <w:tcPr>
            <w:tcW w:w="992" w:type="dxa"/>
            <w:tcBorders>
              <w:bottom w:val="single" w:sz="4" w:space="0" w:color="auto"/>
            </w:tcBorders>
            <w:noWrap/>
            <w:vAlign w:val="center"/>
            <w:hideMark/>
          </w:tcPr>
          <w:p w14:paraId="1D6E9B8C" w14:textId="5AD1BA8C" w:rsidR="00D4105A" w:rsidRPr="00455BC3" w:rsidRDefault="00102E90" w:rsidP="00305950">
            <w:pPr>
              <w:spacing w:after="0" w:line="240" w:lineRule="auto"/>
              <w:jc w:val="center"/>
              <w:rPr>
                <w:rFonts w:ascii="Cambria" w:eastAsia="Times New Roman" w:hAnsi="Cambria" w:cs="Calibri"/>
                <w:sz w:val="18"/>
                <w:szCs w:val="18"/>
              </w:rPr>
            </w:pPr>
            <w:r w:rsidRPr="00455BC3">
              <w:rPr>
                <w:rFonts w:ascii="Cambria" w:hAnsi="Cambria"/>
                <w:sz w:val="18"/>
                <w:szCs w:val="18"/>
              </w:rPr>
              <w:t>50 278</w:t>
            </w:r>
          </w:p>
        </w:tc>
        <w:tc>
          <w:tcPr>
            <w:tcW w:w="3119" w:type="dxa"/>
            <w:tcBorders>
              <w:bottom w:val="single" w:sz="4" w:space="0" w:color="auto"/>
            </w:tcBorders>
            <w:hideMark/>
          </w:tcPr>
          <w:p w14:paraId="22AAE75C" w14:textId="57250E0D" w:rsidR="00102E90" w:rsidRPr="00455BC3" w:rsidRDefault="00102E90" w:rsidP="00102E90">
            <w:pPr>
              <w:spacing w:after="0" w:line="240" w:lineRule="exact"/>
              <w:jc w:val="both"/>
              <w:rPr>
                <w:rFonts w:ascii="Cambria" w:hAnsi="Cambria"/>
                <w:sz w:val="18"/>
                <w:szCs w:val="18"/>
              </w:rPr>
            </w:pPr>
            <w:r w:rsidRPr="00455BC3">
              <w:rPr>
                <w:rFonts w:ascii="Cambria" w:hAnsi="Cambria"/>
                <w:sz w:val="18"/>
                <w:szCs w:val="18"/>
              </w:rPr>
              <w:t xml:space="preserve">ID1. La loi sur les pêches interdit aux navires de pêche japonais de pêcher des thonidés en haute mer sans être titulaires de licences de pêche délivrées par la FAJ. La loi impose également au Gouvernement de décider du nombre maximum de licences à délivrer et d’autres conditions de pêche. La FAJ veille à ce que les capacités de pêche soient proportionnelles aux opportunités de pêche, tel que cela est déterminé par les ORGP thonières comme l’ICCAT. </w:t>
            </w:r>
          </w:p>
          <w:p w14:paraId="708B44AF" w14:textId="77777777" w:rsidR="00102E90" w:rsidRPr="00455BC3" w:rsidRDefault="00102E90" w:rsidP="00102E90">
            <w:pPr>
              <w:spacing w:after="0" w:line="240" w:lineRule="exact"/>
              <w:jc w:val="both"/>
              <w:rPr>
                <w:rFonts w:ascii="Cambria" w:hAnsi="Cambria"/>
                <w:sz w:val="18"/>
                <w:szCs w:val="18"/>
              </w:rPr>
            </w:pPr>
          </w:p>
          <w:p w14:paraId="117A8AD1" w14:textId="3E2BC78A" w:rsidR="00102E90" w:rsidRPr="00455BC3" w:rsidRDefault="00102E90" w:rsidP="00102E90">
            <w:pPr>
              <w:spacing w:after="0" w:line="240" w:lineRule="exact"/>
              <w:jc w:val="both"/>
              <w:rPr>
                <w:rFonts w:ascii="Cambria" w:hAnsi="Cambria"/>
                <w:sz w:val="18"/>
                <w:szCs w:val="18"/>
              </w:rPr>
            </w:pPr>
            <w:r w:rsidRPr="00455BC3">
              <w:rPr>
                <w:rFonts w:ascii="Cambria" w:hAnsi="Cambria"/>
                <w:sz w:val="18"/>
                <w:szCs w:val="18"/>
              </w:rPr>
              <w:t xml:space="preserve">ID2. L’espadon est capturé par le Japon en tant que prises accessoires, qui fluctuent d’une année sur l’autre essentiellement en raison du déplacement du lieu de pêche de thon obèse.  Le Japon qui n’a pas l’intention d’augmenter la capture d’espadon de l’Atlantique Nord en tant qu’espèce cible, nécessite de la flexibilité pour traiter cette question. À cette fin, les arrangements spéciaux qui ont été conclus pour le Japon, notamment un </w:t>
            </w:r>
            <w:r w:rsidRPr="00455BC3">
              <w:rPr>
                <w:rFonts w:ascii="Cambria" w:hAnsi="Cambria"/>
                <w:sz w:val="18"/>
                <w:szCs w:val="18"/>
              </w:rPr>
              <w:lastRenderedPageBreak/>
              <w:t>quota global pluriannuel, tel que prévu au paragraphe 12 de la Recommandation 25-10, se sont poursuivis en 2026.</w:t>
            </w:r>
          </w:p>
          <w:p w14:paraId="0D4F79A4" w14:textId="77777777" w:rsidR="00102E90" w:rsidRPr="00455BC3" w:rsidRDefault="00102E90" w:rsidP="00102E90">
            <w:pPr>
              <w:spacing w:after="0" w:line="240" w:lineRule="exact"/>
              <w:jc w:val="both"/>
              <w:rPr>
                <w:rFonts w:ascii="Cambria" w:hAnsi="Cambria"/>
                <w:sz w:val="18"/>
                <w:szCs w:val="18"/>
              </w:rPr>
            </w:pPr>
          </w:p>
          <w:p w14:paraId="428D08C0" w14:textId="77777777" w:rsidR="00102E90" w:rsidRPr="00455BC3" w:rsidRDefault="00102E90" w:rsidP="00102E90">
            <w:pPr>
              <w:spacing w:after="0" w:line="240" w:lineRule="exact"/>
              <w:jc w:val="both"/>
              <w:rPr>
                <w:rFonts w:ascii="Cambria" w:hAnsi="Cambria"/>
                <w:sz w:val="18"/>
                <w:szCs w:val="18"/>
              </w:rPr>
            </w:pPr>
            <w:r w:rsidRPr="00455BC3">
              <w:rPr>
                <w:rFonts w:ascii="Cambria" w:hAnsi="Cambria"/>
                <w:sz w:val="18"/>
                <w:szCs w:val="18"/>
              </w:rPr>
              <w:t>ID3. La FAJ a dûment déclaré les données sur l’espadon, qui ont été utilisées dans l’évaluation du stock d’espadon de l’Atlantique Nord.</w:t>
            </w:r>
          </w:p>
          <w:p w14:paraId="252C37F6" w14:textId="5D8E6515" w:rsidR="00102E90" w:rsidRPr="00455BC3" w:rsidRDefault="00102E90" w:rsidP="00102E90">
            <w:pPr>
              <w:spacing w:after="0" w:line="240" w:lineRule="exact"/>
              <w:jc w:val="both"/>
              <w:rPr>
                <w:rFonts w:ascii="Cambria" w:hAnsi="Cambria"/>
                <w:sz w:val="18"/>
                <w:szCs w:val="18"/>
              </w:rPr>
            </w:pPr>
          </w:p>
          <w:p w14:paraId="37521C22" w14:textId="3239129D" w:rsidR="00140AA1" w:rsidRPr="00455BC3" w:rsidRDefault="00102E90" w:rsidP="00102E90">
            <w:pPr>
              <w:tabs>
                <w:tab w:val="left" w:pos="310"/>
              </w:tabs>
              <w:spacing w:after="0" w:line="240" w:lineRule="auto"/>
              <w:jc w:val="both"/>
              <w:rPr>
                <w:rFonts w:ascii="Cambria" w:hAnsi="Cambria"/>
                <w:sz w:val="18"/>
                <w:szCs w:val="18"/>
              </w:rPr>
            </w:pPr>
            <w:r w:rsidRPr="00455BC3">
              <w:rPr>
                <w:rFonts w:ascii="Cambria" w:hAnsi="Cambria"/>
                <w:sz w:val="18"/>
                <w:szCs w:val="18"/>
              </w:rPr>
              <w:t xml:space="preserve">ID4. La FAJ surveille et contrôle tous les palangriers </w:t>
            </w:r>
            <w:r w:rsidR="00137B95" w:rsidRPr="00455BC3">
              <w:rPr>
                <w:rFonts w:ascii="Cambria" w:hAnsi="Cambria"/>
                <w:sz w:val="18"/>
                <w:szCs w:val="18"/>
              </w:rPr>
              <w:t xml:space="preserve">thoniers </w:t>
            </w:r>
            <w:r w:rsidRPr="00455BC3">
              <w:rPr>
                <w:rFonts w:ascii="Cambria" w:hAnsi="Cambria"/>
                <w:sz w:val="18"/>
                <w:szCs w:val="18"/>
              </w:rPr>
              <w:t xml:space="preserve">japonais opérant dans la zone de la Convention de l’ICCAT par des mesures de MCS, dont le VMS et les inspections au port. </w:t>
            </w:r>
          </w:p>
        </w:tc>
        <w:tc>
          <w:tcPr>
            <w:tcW w:w="2268" w:type="dxa"/>
            <w:tcBorders>
              <w:bottom w:val="single" w:sz="4" w:space="0" w:color="auto"/>
            </w:tcBorders>
            <w:hideMark/>
          </w:tcPr>
          <w:p w14:paraId="11325940" w14:textId="27DA23DF" w:rsidR="00102E90" w:rsidRPr="00455BC3" w:rsidRDefault="00102E90" w:rsidP="00102E90">
            <w:pPr>
              <w:spacing w:after="0" w:line="240" w:lineRule="auto"/>
              <w:jc w:val="both"/>
              <w:rPr>
                <w:rFonts w:ascii="Cambria" w:hAnsi="Cambria"/>
                <w:sz w:val="18"/>
                <w:szCs w:val="18"/>
              </w:rPr>
            </w:pPr>
            <w:r w:rsidRPr="00455BC3">
              <w:rPr>
                <w:rFonts w:ascii="Cambria" w:hAnsi="Cambria"/>
                <w:sz w:val="18"/>
                <w:szCs w:val="18"/>
              </w:rPr>
              <w:lastRenderedPageBreak/>
              <w:t>ID1. La FAJ maintiendra les restrictions relatives à la délivrance de licences pour les palangriers.</w:t>
            </w:r>
            <w:r w:rsidRPr="00455BC3">
              <w:rPr>
                <w:rFonts w:ascii="Cambria" w:hAnsi="Cambria"/>
                <w:sz w:val="18"/>
                <w:szCs w:val="18"/>
              </w:rPr>
              <w:tab/>
            </w:r>
            <w:r w:rsidRPr="00455BC3">
              <w:rPr>
                <w:rFonts w:ascii="Cambria" w:hAnsi="Cambria"/>
                <w:sz w:val="18"/>
                <w:szCs w:val="18"/>
              </w:rPr>
              <w:tab/>
            </w:r>
            <w:r w:rsidRPr="00455BC3">
              <w:rPr>
                <w:rFonts w:ascii="Cambria" w:hAnsi="Cambria"/>
                <w:sz w:val="18"/>
                <w:szCs w:val="18"/>
              </w:rPr>
              <w:tab/>
            </w:r>
            <w:r w:rsidRPr="00455BC3">
              <w:rPr>
                <w:rFonts w:ascii="Cambria" w:hAnsi="Cambria"/>
                <w:sz w:val="18"/>
                <w:szCs w:val="18"/>
              </w:rPr>
              <w:tab/>
            </w:r>
          </w:p>
          <w:p w14:paraId="5396ADBD" w14:textId="0A0E94AD" w:rsidR="00102E90" w:rsidRPr="00455BC3" w:rsidRDefault="00102E90" w:rsidP="00102E90">
            <w:pPr>
              <w:spacing w:after="0" w:line="240" w:lineRule="auto"/>
              <w:jc w:val="both"/>
              <w:rPr>
                <w:rFonts w:ascii="Cambria" w:hAnsi="Cambria"/>
                <w:sz w:val="18"/>
                <w:szCs w:val="18"/>
              </w:rPr>
            </w:pPr>
            <w:r w:rsidRPr="00455BC3">
              <w:rPr>
                <w:rFonts w:ascii="Cambria" w:hAnsi="Cambria"/>
                <w:sz w:val="18"/>
                <w:szCs w:val="18"/>
              </w:rPr>
              <w:t xml:space="preserve">ID2. La FAJ continuera à fixer un quota global, </w:t>
            </w:r>
            <w:r w:rsidR="006B5794" w:rsidRPr="00455BC3">
              <w:rPr>
                <w:rFonts w:ascii="Cambria" w:hAnsi="Cambria"/>
                <w:sz w:val="18"/>
                <w:szCs w:val="18"/>
              </w:rPr>
              <w:t xml:space="preserve">en vertu du </w:t>
            </w:r>
            <w:r w:rsidRPr="00455BC3">
              <w:rPr>
                <w:rFonts w:ascii="Cambria" w:hAnsi="Cambria"/>
                <w:sz w:val="18"/>
                <w:szCs w:val="18"/>
              </w:rPr>
              <w:t>paragraphe 12 de la Recommandation 25-10.</w:t>
            </w:r>
            <w:r w:rsidRPr="00455BC3">
              <w:rPr>
                <w:rFonts w:ascii="Cambria" w:hAnsi="Cambria"/>
                <w:sz w:val="18"/>
                <w:szCs w:val="18"/>
              </w:rPr>
              <w:tab/>
            </w:r>
            <w:r w:rsidRPr="00455BC3">
              <w:rPr>
                <w:rFonts w:ascii="Cambria" w:hAnsi="Cambria"/>
                <w:sz w:val="18"/>
                <w:szCs w:val="18"/>
              </w:rPr>
              <w:tab/>
            </w:r>
            <w:r w:rsidRPr="00455BC3">
              <w:rPr>
                <w:rFonts w:ascii="Cambria" w:hAnsi="Cambria"/>
                <w:sz w:val="18"/>
                <w:szCs w:val="18"/>
              </w:rPr>
              <w:tab/>
            </w:r>
            <w:r w:rsidRPr="00455BC3">
              <w:rPr>
                <w:rFonts w:ascii="Cambria" w:hAnsi="Cambria"/>
                <w:sz w:val="18"/>
                <w:szCs w:val="18"/>
              </w:rPr>
              <w:tab/>
            </w:r>
          </w:p>
          <w:p w14:paraId="73E1C59E" w14:textId="77777777" w:rsidR="00102E90" w:rsidRPr="00455BC3" w:rsidRDefault="00102E90" w:rsidP="00102E90">
            <w:pPr>
              <w:spacing w:after="0" w:line="240" w:lineRule="auto"/>
              <w:jc w:val="both"/>
              <w:rPr>
                <w:rFonts w:ascii="Cambria" w:hAnsi="Cambria"/>
                <w:sz w:val="18"/>
                <w:szCs w:val="18"/>
              </w:rPr>
            </w:pPr>
            <w:r w:rsidRPr="00455BC3">
              <w:rPr>
                <w:rFonts w:ascii="Cambria" w:hAnsi="Cambria"/>
                <w:sz w:val="18"/>
                <w:szCs w:val="18"/>
              </w:rPr>
              <w:t>ID3. La FAJ continuera à demander aux pêcheurs japonais de soumettre les données en temps opportun.</w:t>
            </w:r>
          </w:p>
          <w:p w14:paraId="5693FC0F" w14:textId="334B895F" w:rsidR="00102E90" w:rsidRPr="00455BC3" w:rsidRDefault="00102E90" w:rsidP="00102E90">
            <w:pPr>
              <w:spacing w:after="0" w:line="240" w:lineRule="auto"/>
              <w:jc w:val="both"/>
              <w:rPr>
                <w:rFonts w:ascii="Cambria" w:hAnsi="Cambria"/>
                <w:sz w:val="18"/>
                <w:szCs w:val="18"/>
              </w:rPr>
            </w:pPr>
            <w:r w:rsidRPr="00455BC3">
              <w:rPr>
                <w:rFonts w:ascii="Cambria" w:hAnsi="Cambria"/>
                <w:sz w:val="18"/>
                <w:szCs w:val="18"/>
              </w:rPr>
              <w:tab/>
            </w:r>
            <w:r w:rsidRPr="00455BC3">
              <w:rPr>
                <w:rFonts w:ascii="Cambria" w:hAnsi="Cambria"/>
                <w:sz w:val="18"/>
                <w:szCs w:val="18"/>
              </w:rPr>
              <w:tab/>
            </w:r>
            <w:r w:rsidRPr="00455BC3">
              <w:rPr>
                <w:rFonts w:ascii="Cambria" w:hAnsi="Cambria"/>
                <w:sz w:val="18"/>
                <w:szCs w:val="18"/>
              </w:rPr>
              <w:tab/>
            </w:r>
          </w:p>
          <w:p w14:paraId="640E08C2" w14:textId="035287F4" w:rsidR="00D4105A" w:rsidRPr="00455BC3" w:rsidRDefault="00102E90" w:rsidP="00102E90">
            <w:pPr>
              <w:spacing w:after="0" w:line="240" w:lineRule="auto"/>
              <w:jc w:val="both"/>
              <w:rPr>
                <w:rFonts w:ascii="Cambria" w:eastAsia="Times New Roman" w:hAnsi="Cambria" w:cs="Calibri"/>
                <w:color w:val="000000"/>
                <w:sz w:val="18"/>
                <w:szCs w:val="18"/>
              </w:rPr>
            </w:pPr>
            <w:r w:rsidRPr="00455BC3">
              <w:rPr>
                <w:rFonts w:ascii="Cambria" w:hAnsi="Cambria"/>
                <w:sz w:val="18"/>
                <w:szCs w:val="18"/>
              </w:rPr>
              <w:t xml:space="preserve">ID4. La FAJ continuera à surveiller et à contrôler tous les palangriers </w:t>
            </w:r>
            <w:r w:rsidR="00230D69" w:rsidRPr="00455BC3">
              <w:rPr>
                <w:rFonts w:ascii="Cambria" w:hAnsi="Cambria"/>
                <w:sz w:val="18"/>
                <w:szCs w:val="18"/>
              </w:rPr>
              <w:t xml:space="preserve">thoniers </w:t>
            </w:r>
            <w:r w:rsidRPr="00455BC3">
              <w:rPr>
                <w:rFonts w:ascii="Cambria" w:hAnsi="Cambria"/>
                <w:sz w:val="18"/>
                <w:szCs w:val="18"/>
              </w:rPr>
              <w:t xml:space="preserve">japonais opérant dans la zone de la Convention de l'ICCAT, à l’aide des mesures susmentionnées afin de garantir le respect des </w:t>
            </w:r>
            <w:r w:rsidRPr="00455BC3">
              <w:rPr>
                <w:rFonts w:ascii="Cambria" w:hAnsi="Cambria"/>
                <w:sz w:val="18"/>
                <w:szCs w:val="18"/>
              </w:rPr>
              <w:lastRenderedPageBreak/>
              <w:t>réglementations de l’ICCAT.</w:t>
            </w:r>
          </w:p>
        </w:tc>
      </w:tr>
      <w:tr w:rsidR="00140AA1" w:rsidRPr="00455BC3" w14:paraId="1A711A6B" w14:textId="77777777" w:rsidTr="00050B22">
        <w:trPr>
          <w:gridAfter w:val="1"/>
          <w:wAfter w:w="236" w:type="dxa"/>
          <w:trHeight w:val="450"/>
        </w:trPr>
        <w:tc>
          <w:tcPr>
            <w:tcW w:w="14176" w:type="dxa"/>
            <w:gridSpan w:val="11"/>
            <w:noWrap/>
            <w:vAlign w:val="center"/>
          </w:tcPr>
          <w:p w14:paraId="59793848" w14:textId="43DB5297" w:rsidR="00140AA1" w:rsidRPr="00455BC3" w:rsidRDefault="00140AA1" w:rsidP="00124CC2">
            <w:pPr>
              <w:spacing w:after="0" w:line="240" w:lineRule="auto"/>
              <w:jc w:val="both"/>
              <w:rPr>
                <w:rFonts w:ascii="Cambria" w:eastAsia="Times New Roman" w:hAnsi="Cambria" w:cs="Calibri"/>
                <w:i/>
                <w:iCs/>
                <w:color w:val="000000"/>
                <w:sz w:val="18"/>
                <w:szCs w:val="18"/>
              </w:rPr>
            </w:pPr>
            <w:r w:rsidRPr="00455BC3">
              <w:rPr>
                <w:rFonts w:ascii="Cambria" w:hAnsi="Cambria"/>
                <w:i/>
                <w:iCs/>
                <w:color w:val="000000"/>
                <w:sz w:val="18"/>
                <w:szCs w:val="18"/>
              </w:rPr>
              <w:lastRenderedPageBreak/>
              <w:t>* Au 25 août 2026, 119 navires japonais, au total, sont enregistrés auprès de l’ICCAT. Étant donné qu'il est possible que tous ces navires opèrent dans la zone relevant de l’ICCAT et capturent de l'espadon en tant que prise accessoire dans les limites du TAC, le nombre de 119 et leur capacité totale sont indiqués comme montants possibles maximum.</w:t>
            </w:r>
          </w:p>
        </w:tc>
      </w:tr>
      <w:tr w:rsidR="00D4105A" w:rsidRPr="00455BC3" w14:paraId="636ECBE1" w14:textId="77777777" w:rsidTr="00CF742D">
        <w:trPr>
          <w:gridAfter w:val="1"/>
          <w:wAfter w:w="236" w:type="dxa"/>
          <w:trHeight w:val="450"/>
        </w:trPr>
        <w:tc>
          <w:tcPr>
            <w:tcW w:w="1135" w:type="dxa"/>
            <w:vMerge w:val="restart"/>
            <w:noWrap/>
            <w:vAlign w:val="center"/>
            <w:hideMark/>
          </w:tcPr>
          <w:p w14:paraId="285EA51F" w14:textId="049F3955" w:rsidR="00D4105A" w:rsidRPr="00455BC3" w:rsidRDefault="00D4105A" w:rsidP="00305950">
            <w:pPr>
              <w:spacing w:after="0" w:line="240" w:lineRule="auto"/>
              <w:jc w:val="center"/>
              <w:rPr>
                <w:rFonts w:ascii="Cambria" w:eastAsia="Times New Roman" w:hAnsi="Cambria" w:cs="Calibri"/>
                <w:b/>
                <w:bCs/>
                <w:color w:val="000000"/>
                <w:sz w:val="18"/>
                <w:szCs w:val="18"/>
              </w:rPr>
            </w:pPr>
            <w:r w:rsidRPr="00455BC3">
              <w:rPr>
                <w:rFonts w:ascii="Cambria" w:hAnsi="Cambria"/>
                <w:b/>
                <w:bCs/>
                <w:color w:val="000000"/>
                <w:sz w:val="18"/>
                <w:szCs w:val="18"/>
              </w:rPr>
              <w:t>Corée</w:t>
            </w:r>
            <w:r w:rsidR="00716FF6" w:rsidRPr="00455BC3">
              <w:rPr>
                <w:rFonts w:ascii="Cambria" w:hAnsi="Cambria"/>
                <w:b/>
                <w:bCs/>
                <w:color w:val="000000"/>
                <w:sz w:val="18"/>
                <w:szCs w:val="18"/>
              </w:rPr>
              <w:t xml:space="preserve"> (</w:t>
            </w:r>
            <w:proofErr w:type="spellStart"/>
            <w:r w:rsidR="00716FF6" w:rsidRPr="00455BC3">
              <w:rPr>
                <w:rFonts w:ascii="Cambria" w:hAnsi="Cambria"/>
                <w:b/>
                <w:bCs/>
                <w:color w:val="000000"/>
                <w:sz w:val="18"/>
                <w:szCs w:val="18"/>
              </w:rPr>
              <w:t>Rép</w:t>
            </w:r>
            <w:proofErr w:type="spellEnd"/>
            <w:r w:rsidR="00716FF6" w:rsidRPr="00455BC3">
              <w:rPr>
                <w:rFonts w:ascii="Cambria" w:hAnsi="Cambria"/>
                <w:b/>
                <w:bCs/>
                <w:color w:val="000000"/>
                <w:sz w:val="18"/>
                <w:szCs w:val="18"/>
              </w:rPr>
              <w:t>.)</w:t>
            </w:r>
          </w:p>
        </w:tc>
        <w:tc>
          <w:tcPr>
            <w:tcW w:w="992" w:type="dxa"/>
            <w:vMerge w:val="restart"/>
            <w:noWrap/>
            <w:vAlign w:val="center"/>
            <w:hideMark/>
          </w:tcPr>
          <w:p w14:paraId="51F160B4" w14:textId="77777777" w:rsidR="00D4105A" w:rsidRPr="00455BC3" w:rsidRDefault="00D4105A"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Non</w:t>
            </w:r>
          </w:p>
        </w:tc>
        <w:tc>
          <w:tcPr>
            <w:tcW w:w="992" w:type="dxa"/>
            <w:vMerge w:val="restart"/>
            <w:noWrap/>
            <w:vAlign w:val="center"/>
            <w:hideMark/>
          </w:tcPr>
          <w:p w14:paraId="3417B1B2" w14:textId="77777777" w:rsidR="00D4105A" w:rsidRPr="00455BC3" w:rsidRDefault="00D4105A"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70</w:t>
            </w:r>
          </w:p>
        </w:tc>
        <w:tc>
          <w:tcPr>
            <w:tcW w:w="973" w:type="dxa"/>
            <w:vMerge w:val="restart"/>
            <w:noWrap/>
            <w:vAlign w:val="center"/>
            <w:hideMark/>
          </w:tcPr>
          <w:p w14:paraId="0C08C2CC" w14:textId="6EA54DAA" w:rsidR="00D4105A" w:rsidRPr="00455BC3" w:rsidRDefault="00124CC2"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9</w:t>
            </w:r>
          </w:p>
        </w:tc>
        <w:tc>
          <w:tcPr>
            <w:tcW w:w="870" w:type="dxa"/>
            <w:vMerge w:val="restart"/>
            <w:noWrap/>
            <w:vAlign w:val="center"/>
            <w:hideMark/>
          </w:tcPr>
          <w:p w14:paraId="4725CA60" w14:textId="77777777" w:rsidR="00D4105A" w:rsidRPr="00455BC3" w:rsidRDefault="00D4105A"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LL</w:t>
            </w:r>
          </w:p>
        </w:tc>
        <w:tc>
          <w:tcPr>
            <w:tcW w:w="992" w:type="dxa"/>
            <w:vMerge w:val="restart"/>
            <w:noWrap/>
            <w:vAlign w:val="center"/>
            <w:hideMark/>
          </w:tcPr>
          <w:p w14:paraId="0FD19C8B" w14:textId="30F1DF0E" w:rsidR="00D4105A" w:rsidRPr="00455BC3" w:rsidRDefault="00D4105A"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70</w:t>
            </w:r>
          </w:p>
        </w:tc>
        <w:tc>
          <w:tcPr>
            <w:tcW w:w="992" w:type="dxa"/>
            <w:vMerge w:val="restart"/>
            <w:noWrap/>
            <w:vAlign w:val="center"/>
            <w:hideMark/>
          </w:tcPr>
          <w:p w14:paraId="776F47E6" w14:textId="56A17355" w:rsidR="00D4105A" w:rsidRPr="00455BC3" w:rsidRDefault="00124CC2"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9</w:t>
            </w:r>
          </w:p>
        </w:tc>
        <w:tc>
          <w:tcPr>
            <w:tcW w:w="851" w:type="dxa"/>
            <w:vMerge w:val="restart"/>
            <w:noWrap/>
            <w:vAlign w:val="center"/>
            <w:hideMark/>
          </w:tcPr>
          <w:p w14:paraId="032646BB" w14:textId="77777777" w:rsidR="00D4105A" w:rsidRPr="00455BC3" w:rsidRDefault="00D4105A"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LL</w:t>
            </w:r>
          </w:p>
        </w:tc>
        <w:tc>
          <w:tcPr>
            <w:tcW w:w="992" w:type="dxa"/>
            <w:vMerge w:val="restart"/>
            <w:noWrap/>
            <w:vAlign w:val="center"/>
            <w:hideMark/>
          </w:tcPr>
          <w:p w14:paraId="6E74374B" w14:textId="4A06EF2E" w:rsidR="00D4105A" w:rsidRPr="00455BC3" w:rsidRDefault="00D4105A"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70</w:t>
            </w:r>
          </w:p>
        </w:tc>
        <w:tc>
          <w:tcPr>
            <w:tcW w:w="3119" w:type="dxa"/>
            <w:vMerge w:val="restart"/>
            <w:hideMark/>
          </w:tcPr>
          <w:p w14:paraId="74062B67" w14:textId="77777777" w:rsidR="00093B92" w:rsidRPr="00455BC3" w:rsidRDefault="00093B92" w:rsidP="001A06EC">
            <w:p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Neuf palangriers coréens sont autorisés à cibler le thon obèse et capturent parfois de l’espadon du Nord en tant que prises accessoires. Conformément au paragraphe 1, de l’article 13 de la Loi sur le développement des pêches en eaux lointaines de la Corée, les opérateurs et navires de pêche en eaux lointaines coréens sont tenus de respecter toutes les obligations pertinentes découlant des mesures de conservation et de gestion des organisations régionales de gestion des pêches. Si l’une des dispositions des mesures de conservation et de gestion n’est pas respectée, cela est considéré comme une « grave infraction » et est passible d’une peine d’emprisonnement de 5 ans maximum ou d’une amende de 500 millions KRW au moins.</w:t>
            </w:r>
          </w:p>
          <w:p w14:paraId="673C4A82" w14:textId="77777777" w:rsidR="00093B92" w:rsidRPr="00455BC3" w:rsidRDefault="00093B92" w:rsidP="001A06EC">
            <w:pPr>
              <w:spacing w:after="0" w:line="240" w:lineRule="auto"/>
              <w:jc w:val="both"/>
              <w:rPr>
                <w:rFonts w:ascii="Cambria" w:eastAsia="Times New Roman" w:hAnsi="Cambria" w:cs="Calibri"/>
                <w:color w:val="000000"/>
                <w:sz w:val="18"/>
                <w:szCs w:val="18"/>
              </w:rPr>
            </w:pPr>
          </w:p>
          <w:p w14:paraId="0D04CF14" w14:textId="77777777" w:rsidR="00093B92" w:rsidRPr="00455BC3" w:rsidRDefault="00093B92" w:rsidP="001A06EC">
            <w:p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Conformément à la Recommandation 23-04, la Corée prend des mesures pour veiller au plein respect de sa limite de capture allouée de 50 tonnes ou de sa limite de capture annuelle ajustée, selon qu’il convient. En cas de surconsommation de la limite de capture annuelle, le volume de la surconsommation sera déduit de la limite de capture l’année suivante. Conformément au paragraphe 5 de la Recommandation 01-22, les données de captures des navires battant le pavillon coréen sont déclarées au Secrétariat deux fois par an (le 1er avril et le 15 septembre).</w:t>
            </w:r>
          </w:p>
          <w:p w14:paraId="0CABD6C4" w14:textId="77777777" w:rsidR="00093B92" w:rsidRPr="00455BC3" w:rsidRDefault="00093B92" w:rsidP="001A06EC">
            <w:pPr>
              <w:spacing w:after="0" w:line="240" w:lineRule="auto"/>
              <w:jc w:val="both"/>
              <w:rPr>
                <w:rFonts w:ascii="Cambria" w:eastAsia="Times New Roman" w:hAnsi="Cambria" w:cs="Calibri"/>
                <w:color w:val="000000"/>
                <w:sz w:val="18"/>
                <w:szCs w:val="18"/>
              </w:rPr>
            </w:pPr>
          </w:p>
          <w:p w14:paraId="7B7A1D66" w14:textId="2CEEEA6E" w:rsidR="00D4105A" w:rsidRPr="00455BC3" w:rsidRDefault="00093B92" w:rsidP="001A06EC">
            <w:p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t>Afin de protéger les petits espadons, les navires coréens sont tenus de remettre à l’eau tout espadon pesant moins de 25 kg en poids vif ou de 125 cm LJF. La Corée transmet les données scientifiques relatives à l’espadon de l’Atlantique Nord au SCRS conformément aux paragraphes 15 et 16 de la Recommandation 24-10, respectivement.</w:t>
            </w:r>
          </w:p>
        </w:tc>
        <w:tc>
          <w:tcPr>
            <w:tcW w:w="2268" w:type="dxa"/>
            <w:vMerge w:val="restart"/>
            <w:hideMark/>
          </w:tcPr>
          <w:p w14:paraId="3143E101" w14:textId="4DB90273" w:rsidR="00D4105A" w:rsidRPr="00455BC3" w:rsidRDefault="00CB147B" w:rsidP="00124CC2">
            <w:pPr>
              <w:spacing w:after="0" w:line="240" w:lineRule="auto"/>
              <w:jc w:val="both"/>
              <w:rPr>
                <w:rFonts w:ascii="Cambria" w:eastAsia="Times New Roman" w:hAnsi="Cambria" w:cs="Calibri"/>
                <w:color w:val="000000"/>
                <w:sz w:val="18"/>
                <w:szCs w:val="18"/>
              </w:rPr>
            </w:pPr>
            <w:r w:rsidRPr="00455BC3">
              <w:rPr>
                <w:rFonts w:ascii="Cambria" w:hAnsi="Cambria"/>
                <w:color w:val="000000"/>
                <w:sz w:val="18"/>
                <w:szCs w:val="18"/>
              </w:rPr>
              <w:lastRenderedPageBreak/>
              <w:t>La Corée n'envisage actuellement pas de développer la pêcherie d'espadon du Nord.</w:t>
            </w:r>
            <w:r w:rsidRPr="00455BC3">
              <w:rPr>
                <w:rFonts w:ascii="Cambria" w:hAnsi="Cambria"/>
                <w:color w:val="000000"/>
                <w:sz w:val="18"/>
                <w:szCs w:val="18"/>
              </w:rPr>
              <w:tab/>
            </w:r>
            <w:r w:rsidRPr="00455BC3">
              <w:rPr>
                <w:rFonts w:ascii="Cambria" w:hAnsi="Cambria"/>
                <w:color w:val="000000"/>
                <w:sz w:val="18"/>
                <w:szCs w:val="18"/>
              </w:rPr>
              <w:tab/>
            </w:r>
            <w:r w:rsidRPr="00455BC3">
              <w:rPr>
                <w:rFonts w:ascii="Cambria" w:hAnsi="Cambria"/>
                <w:color w:val="000000"/>
                <w:sz w:val="18"/>
                <w:szCs w:val="18"/>
              </w:rPr>
              <w:tab/>
            </w:r>
            <w:r w:rsidRPr="00455BC3">
              <w:rPr>
                <w:rFonts w:ascii="Cambria" w:hAnsi="Cambria"/>
                <w:color w:val="000000"/>
                <w:sz w:val="18"/>
                <w:szCs w:val="18"/>
              </w:rPr>
              <w:tab/>
            </w:r>
            <w:r w:rsidRPr="00455BC3">
              <w:rPr>
                <w:rFonts w:ascii="Cambria" w:hAnsi="Cambria"/>
                <w:color w:val="000000"/>
                <w:sz w:val="18"/>
                <w:szCs w:val="18"/>
              </w:rPr>
              <w:tab/>
            </w:r>
          </w:p>
          <w:p w14:paraId="16C6CB37" w14:textId="1BEA1E15" w:rsidR="00D4105A" w:rsidRPr="00455BC3" w:rsidRDefault="00D4105A" w:rsidP="00124CC2">
            <w:pPr>
              <w:spacing w:after="0" w:line="240" w:lineRule="auto"/>
              <w:jc w:val="both"/>
              <w:rPr>
                <w:rFonts w:ascii="Cambria" w:eastAsia="Times New Roman" w:hAnsi="Cambria" w:cs="Calibri"/>
                <w:color w:val="000000"/>
                <w:sz w:val="18"/>
                <w:szCs w:val="18"/>
              </w:rPr>
            </w:pPr>
          </w:p>
        </w:tc>
      </w:tr>
      <w:tr w:rsidR="00D4105A" w:rsidRPr="00455BC3" w14:paraId="238017D7" w14:textId="77777777" w:rsidTr="00CF742D">
        <w:tc>
          <w:tcPr>
            <w:tcW w:w="1135" w:type="dxa"/>
            <w:vMerge/>
            <w:vAlign w:val="center"/>
            <w:hideMark/>
          </w:tcPr>
          <w:p w14:paraId="2C905AD8" w14:textId="77777777" w:rsidR="00D4105A" w:rsidRPr="00455BC3" w:rsidRDefault="00D4105A" w:rsidP="001A06EC">
            <w:pPr>
              <w:spacing w:after="0" w:line="240" w:lineRule="auto"/>
              <w:jc w:val="center"/>
              <w:rPr>
                <w:rFonts w:ascii="Cambria" w:eastAsia="Times New Roman" w:hAnsi="Cambria" w:cs="Calibri"/>
                <w:b/>
                <w:bCs/>
                <w:color w:val="000000"/>
                <w:sz w:val="18"/>
                <w:szCs w:val="18"/>
              </w:rPr>
            </w:pPr>
          </w:p>
        </w:tc>
        <w:tc>
          <w:tcPr>
            <w:tcW w:w="992" w:type="dxa"/>
            <w:vMerge/>
            <w:vAlign w:val="center"/>
            <w:hideMark/>
          </w:tcPr>
          <w:p w14:paraId="38F9DDB8" w14:textId="77777777" w:rsidR="00D4105A" w:rsidRPr="00455BC3" w:rsidRDefault="00D4105A" w:rsidP="001A06EC">
            <w:pPr>
              <w:spacing w:after="0" w:line="240" w:lineRule="auto"/>
              <w:jc w:val="center"/>
              <w:rPr>
                <w:rFonts w:ascii="Cambria" w:eastAsia="Times New Roman" w:hAnsi="Cambria" w:cs="Calibri"/>
                <w:color w:val="000000"/>
                <w:sz w:val="18"/>
                <w:szCs w:val="18"/>
              </w:rPr>
            </w:pPr>
          </w:p>
        </w:tc>
        <w:tc>
          <w:tcPr>
            <w:tcW w:w="992" w:type="dxa"/>
            <w:vMerge/>
            <w:vAlign w:val="center"/>
            <w:hideMark/>
          </w:tcPr>
          <w:p w14:paraId="64BBC019" w14:textId="77777777" w:rsidR="00D4105A" w:rsidRPr="00455BC3" w:rsidRDefault="00D4105A" w:rsidP="001A06EC">
            <w:pPr>
              <w:spacing w:after="0" w:line="240" w:lineRule="auto"/>
              <w:jc w:val="center"/>
              <w:rPr>
                <w:rFonts w:ascii="Cambria" w:eastAsia="Times New Roman" w:hAnsi="Cambria" w:cs="Calibri"/>
                <w:color w:val="000000"/>
                <w:sz w:val="18"/>
                <w:szCs w:val="18"/>
              </w:rPr>
            </w:pPr>
          </w:p>
        </w:tc>
        <w:tc>
          <w:tcPr>
            <w:tcW w:w="973" w:type="dxa"/>
            <w:vMerge/>
            <w:vAlign w:val="center"/>
            <w:hideMark/>
          </w:tcPr>
          <w:p w14:paraId="11C55A46" w14:textId="77777777" w:rsidR="00D4105A" w:rsidRPr="00455BC3" w:rsidRDefault="00D4105A" w:rsidP="001A06EC">
            <w:pPr>
              <w:spacing w:after="0" w:line="240" w:lineRule="auto"/>
              <w:jc w:val="center"/>
              <w:rPr>
                <w:rFonts w:ascii="Cambria" w:eastAsia="Times New Roman" w:hAnsi="Cambria" w:cs="Calibri"/>
                <w:color w:val="000000"/>
                <w:sz w:val="18"/>
                <w:szCs w:val="18"/>
              </w:rPr>
            </w:pPr>
          </w:p>
        </w:tc>
        <w:tc>
          <w:tcPr>
            <w:tcW w:w="870" w:type="dxa"/>
            <w:vMerge/>
            <w:vAlign w:val="center"/>
            <w:hideMark/>
          </w:tcPr>
          <w:p w14:paraId="5B24E514" w14:textId="77777777" w:rsidR="00D4105A" w:rsidRPr="00455BC3" w:rsidRDefault="00D4105A" w:rsidP="001A06EC">
            <w:pPr>
              <w:spacing w:after="0" w:line="240" w:lineRule="auto"/>
              <w:jc w:val="center"/>
              <w:rPr>
                <w:rFonts w:ascii="Cambria" w:eastAsia="Times New Roman" w:hAnsi="Cambria" w:cs="Calibri"/>
                <w:color w:val="000000"/>
                <w:sz w:val="18"/>
                <w:szCs w:val="18"/>
              </w:rPr>
            </w:pPr>
          </w:p>
        </w:tc>
        <w:tc>
          <w:tcPr>
            <w:tcW w:w="992" w:type="dxa"/>
            <w:vMerge/>
            <w:vAlign w:val="center"/>
            <w:hideMark/>
          </w:tcPr>
          <w:p w14:paraId="31750C34" w14:textId="77777777" w:rsidR="00D4105A" w:rsidRPr="00455BC3" w:rsidRDefault="00D4105A" w:rsidP="001A06EC">
            <w:pPr>
              <w:spacing w:after="0" w:line="240" w:lineRule="auto"/>
              <w:jc w:val="center"/>
              <w:rPr>
                <w:rFonts w:ascii="Cambria" w:eastAsia="Times New Roman" w:hAnsi="Cambria" w:cs="Calibri"/>
                <w:color w:val="000000"/>
                <w:sz w:val="18"/>
                <w:szCs w:val="18"/>
              </w:rPr>
            </w:pPr>
          </w:p>
        </w:tc>
        <w:tc>
          <w:tcPr>
            <w:tcW w:w="992" w:type="dxa"/>
            <w:vMerge/>
            <w:vAlign w:val="center"/>
            <w:hideMark/>
          </w:tcPr>
          <w:p w14:paraId="7261FBDB" w14:textId="77777777" w:rsidR="00D4105A" w:rsidRPr="00455BC3" w:rsidRDefault="00D4105A" w:rsidP="001A06EC">
            <w:pPr>
              <w:spacing w:after="0" w:line="240" w:lineRule="auto"/>
              <w:jc w:val="center"/>
              <w:rPr>
                <w:rFonts w:ascii="Cambria" w:eastAsia="Times New Roman" w:hAnsi="Cambria" w:cs="Calibri"/>
                <w:color w:val="000000"/>
                <w:sz w:val="18"/>
                <w:szCs w:val="18"/>
              </w:rPr>
            </w:pPr>
          </w:p>
        </w:tc>
        <w:tc>
          <w:tcPr>
            <w:tcW w:w="851" w:type="dxa"/>
            <w:vMerge/>
            <w:vAlign w:val="center"/>
            <w:hideMark/>
          </w:tcPr>
          <w:p w14:paraId="34080003" w14:textId="77777777" w:rsidR="00D4105A" w:rsidRPr="00455BC3" w:rsidRDefault="00D4105A" w:rsidP="001A06EC">
            <w:pPr>
              <w:spacing w:after="0" w:line="240" w:lineRule="auto"/>
              <w:jc w:val="center"/>
              <w:rPr>
                <w:rFonts w:ascii="Cambria" w:eastAsia="Times New Roman" w:hAnsi="Cambria" w:cs="Calibri"/>
                <w:color w:val="000000"/>
                <w:sz w:val="18"/>
                <w:szCs w:val="18"/>
              </w:rPr>
            </w:pPr>
          </w:p>
        </w:tc>
        <w:tc>
          <w:tcPr>
            <w:tcW w:w="992" w:type="dxa"/>
            <w:vMerge/>
            <w:vAlign w:val="center"/>
            <w:hideMark/>
          </w:tcPr>
          <w:p w14:paraId="31F54BE2" w14:textId="77777777" w:rsidR="00D4105A" w:rsidRPr="00455BC3" w:rsidRDefault="00D4105A" w:rsidP="001A06EC">
            <w:pPr>
              <w:spacing w:after="0" w:line="240" w:lineRule="auto"/>
              <w:jc w:val="center"/>
              <w:rPr>
                <w:rFonts w:ascii="Cambria" w:eastAsia="Times New Roman" w:hAnsi="Cambria" w:cs="Calibri"/>
                <w:color w:val="000000"/>
                <w:sz w:val="18"/>
                <w:szCs w:val="18"/>
              </w:rPr>
            </w:pPr>
          </w:p>
        </w:tc>
        <w:tc>
          <w:tcPr>
            <w:tcW w:w="3119" w:type="dxa"/>
            <w:vMerge/>
            <w:hideMark/>
          </w:tcPr>
          <w:p w14:paraId="2A6CD9F2" w14:textId="77777777" w:rsidR="00D4105A" w:rsidRPr="00455BC3" w:rsidRDefault="00D4105A" w:rsidP="001A06EC">
            <w:pPr>
              <w:spacing w:after="0" w:line="240" w:lineRule="auto"/>
              <w:jc w:val="both"/>
              <w:rPr>
                <w:rFonts w:ascii="Cambria" w:eastAsia="Times New Roman" w:hAnsi="Cambria" w:cs="Calibri"/>
                <w:color w:val="000000"/>
                <w:sz w:val="18"/>
                <w:szCs w:val="18"/>
              </w:rPr>
            </w:pPr>
          </w:p>
        </w:tc>
        <w:tc>
          <w:tcPr>
            <w:tcW w:w="2268" w:type="dxa"/>
            <w:vMerge/>
            <w:tcBorders>
              <w:bottom w:val="single" w:sz="4" w:space="0" w:color="auto"/>
              <w:right w:val="single" w:sz="4" w:space="0" w:color="auto"/>
            </w:tcBorders>
            <w:hideMark/>
          </w:tcPr>
          <w:p w14:paraId="2CF1DF46" w14:textId="77777777" w:rsidR="00D4105A" w:rsidRPr="00455BC3" w:rsidRDefault="00D4105A" w:rsidP="001A06EC">
            <w:pPr>
              <w:spacing w:after="0" w:line="240" w:lineRule="auto"/>
              <w:jc w:val="both"/>
              <w:rPr>
                <w:rFonts w:ascii="Cambria" w:eastAsia="Times New Roman" w:hAnsi="Cambria" w:cs="Calibri"/>
                <w:color w:val="000000"/>
                <w:sz w:val="18"/>
                <w:szCs w:val="18"/>
              </w:rPr>
            </w:pPr>
          </w:p>
        </w:tc>
        <w:tc>
          <w:tcPr>
            <w:tcW w:w="236" w:type="dxa"/>
            <w:tcBorders>
              <w:top w:val="nil"/>
              <w:left w:val="single" w:sz="4" w:space="0" w:color="auto"/>
              <w:bottom w:val="nil"/>
              <w:right w:val="nil"/>
            </w:tcBorders>
            <w:noWrap/>
            <w:vAlign w:val="bottom"/>
            <w:hideMark/>
          </w:tcPr>
          <w:p w14:paraId="560F4969" w14:textId="77777777" w:rsidR="00D4105A" w:rsidRPr="00455BC3" w:rsidRDefault="00D4105A" w:rsidP="00D4105A">
            <w:pPr>
              <w:spacing w:after="0" w:line="240" w:lineRule="auto"/>
              <w:jc w:val="both"/>
              <w:rPr>
                <w:rFonts w:ascii="Cambria" w:eastAsia="Times New Roman" w:hAnsi="Cambria" w:cs="Calibri"/>
                <w:color w:val="000000"/>
                <w:sz w:val="18"/>
                <w:szCs w:val="18"/>
              </w:rPr>
            </w:pPr>
          </w:p>
        </w:tc>
      </w:tr>
      <w:tr w:rsidR="00F8000D" w:rsidRPr="00455BC3" w14:paraId="1E5106EC" w14:textId="77777777" w:rsidTr="00CF742D">
        <w:tc>
          <w:tcPr>
            <w:tcW w:w="1135" w:type="dxa"/>
            <w:noWrap/>
            <w:vAlign w:val="center"/>
            <w:hideMark/>
          </w:tcPr>
          <w:p w14:paraId="041F4CA8" w14:textId="77777777" w:rsidR="00F8000D" w:rsidRPr="00455BC3" w:rsidRDefault="00F8000D" w:rsidP="001A06EC">
            <w:pPr>
              <w:spacing w:after="0" w:line="240" w:lineRule="auto"/>
              <w:jc w:val="center"/>
              <w:rPr>
                <w:rFonts w:ascii="Cambria" w:eastAsia="Times New Roman" w:hAnsi="Cambria" w:cs="Calibri"/>
                <w:b/>
                <w:bCs/>
                <w:color w:val="000000"/>
                <w:sz w:val="18"/>
                <w:szCs w:val="18"/>
              </w:rPr>
            </w:pPr>
            <w:r w:rsidRPr="00455BC3">
              <w:rPr>
                <w:rFonts w:ascii="Cambria" w:hAnsi="Cambria"/>
                <w:b/>
                <w:bCs/>
                <w:color w:val="000000"/>
                <w:sz w:val="18"/>
                <w:szCs w:val="18"/>
              </w:rPr>
              <w:t>Mexique</w:t>
            </w:r>
          </w:p>
        </w:tc>
        <w:tc>
          <w:tcPr>
            <w:tcW w:w="992" w:type="dxa"/>
            <w:noWrap/>
            <w:vAlign w:val="center"/>
            <w:hideMark/>
          </w:tcPr>
          <w:p w14:paraId="3FCC6953" w14:textId="74ED6CD7" w:rsidR="00F8000D" w:rsidRPr="00455BC3" w:rsidRDefault="00F8000D"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Oui</w:t>
            </w:r>
          </w:p>
        </w:tc>
        <w:tc>
          <w:tcPr>
            <w:tcW w:w="992" w:type="dxa"/>
            <w:noWrap/>
            <w:vAlign w:val="center"/>
            <w:hideMark/>
          </w:tcPr>
          <w:p w14:paraId="1FF17A02" w14:textId="77777777" w:rsidR="00F8000D" w:rsidRPr="00455BC3" w:rsidRDefault="00F8000D"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200</w:t>
            </w:r>
          </w:p>
        </w:tc>
        <w:tc>
          <w:tcPr>
            <w:tcW w:w="973" w:type="dxa"/>
            <w:noWrap/>
            <w:vAlign w:val="center"/>
            <w:hideMark/>
          </w:tcPr>
          <w:p w14:paraId="0DE264F0" w14:textId="77777777" w:rsidR="00F8000D" w:rsidRPr="00455BC3" w:rsidRDefault="00F8000D"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4</w:t>
            </w:r>
          </w:p>
        </w:tc>
        <w:tc>
          <w:tcPr>
            <w:tcW w:w="870" w:type="dxa"/>
            <w:noWrap/>
            <w:vAlign w:val="center"/>
            <w:hideMark/>
          </w:tcPr>
          <w:p w14:paraId="4147063B" w14:textId="0B849686" w:rsidR="00F8000D" w:rsidRPr="00455BC3" w:rsidRDefault="00F8000D"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LL</w:t>
            </w:r>
          </w:p>
        </w:tc>
        <w:tc>
          <w:tcPr>
            <w:tcW w:w="992" w:type="dxa"/>
            <w:noWrap/>
            <w:vAlign w:val="center"/>
            <w:hideMark/>
          </w:tcPr>
          <w:p w14:paraId="5CC6E45E" w14:textId="0712A26A" w:rsidR="00F8000D" w:rsidRPr="00455BC3" w:rsidRDefault="00F8000D"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26</w:t>
            </w:r>
          </w:p>
        </w:tc>
        <w:tc>
          <w:tcPr>
            <w:tcW w:w="992" w:type="dxa"/>
            <w:noWrap/>
            <w:vAlign w:val="center"/>
            <w:hideMark/>
          </w:tcPr>
          <w:p w14:paraId="5533C94E" w14:textId="438E1FFA" w:rsidR="00F8000D" w:rsidRPr="00455BC3" w:rsidRDefault="00F8000D"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0</w:t>
            </w:r>
          </w:p>
        </w:tc>
        <w:tc>
          <w:tcPr>
            <w:tcW w:w="851" w:type="dxa"/>
            <w:noWrap/>
            <w:vAlign w:val="center"/>
            <w:hideMark/>
          </w:tcPr>
          <w:p w14:paraId="3EBEA966" w14:textId="70ED62CB" w:rsidR="00F8000D" w:rsidRPr="00455BC3" w:rsidRDefault="00F8000D" w:rsidP="00305950">
            <w:pPr>
              <w:spacing w:after="0" w:line="240" w:lineRule="auto"/>
              <w:jc w:val="center"/>
              <w:rPr>
                <w:rFonts w:ascii="Cambria" w:eastAsia="Times New Roman" w:hAnsi="Cambria" w:cs="Calibri"/>
                <w:color w:val="000000"/>
                <w:sz w:val="18"/>
                <w:szCs w:val="18"/>
              </w:rPr>
            </w:pPr>
          </w:p>
        </w:tc>
        <w:tc>
          <w:tcPr>
            <w:tcW w:w="992" w:type="dxa"/>
            <w:noWrap/>
            <w:vAlign w:val="center"/>
            <w:hideMark/>
          </w:tcPr>
          <w:p w14:paraId="337595C2" w14:textId="3281CF97" w:rsidR="00F8000D" w:rsidRPr="00455BC3" w:rsidRDefault="00F8000D"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0</w:t>
            </w:r>
          </w:p>
        </w:tc>
        <w:tc>
          <w:tcPr>
            <w:tcW w:w="3119" w:type="dxa"/>
            <w:hideMark/>
          </w:tcPr>
          <w:p w14:paraId="603BA4A7" w14:textId="3EB1F79D" w:rsidR="00EC7C26" w:rsidRPr="00455BC3" w:rsidRDefault="00EC7C26" w:rsidP="00EC7C26">
            <w:pPr>
              <w:spacing w:after="0" w:line="240" w:lineRule="auto"/>
              <w:jc w:val="both"/>
              <w:rPr>
                <w:rFonts w:ascii="Cambria" w:hAnsi="Cambria"/>
                <w:sz w:val="18"/>
                <w:szCs w:val="18"/>
              </w:rPr>
            </w:pPr>
            <w:r w:rsidRPr="00455BC3">
              <w:rPr>
                <w:rFonts w:ascii="Cambria" w:hAnsi="Cambria"/>
                <w:sz w:val="18"/>
                <w:szCs w:val="18"/>
              </w:rPr>
              <w:t>ACCORD établissant la taille minimale de capture commerciale d’espadon (</w:t>
            </w:r>
            <w:r w:rsidRPr="00455BC3">
              <w:rPr>
                <w:rFonts w:ascii="Cambria" w:hAnsi="Cambria"/>
                <w:i/>
                <w:sz w:val="18"/>
                <w:szCs w:val="18"/>
              </w:rPr>
              <w:t xml:space="preserve">Xiphias </w:t>
            </w:r>
            <w:proofErr w:type="spellStart"/>
            <w:r w:rsidRPr="00455BC3">
              <w:rPr>
                <w:rFonts w:ascii="Cambria" w:hAnsi="Cambria"/>
                <w:i/>
                <w:sz w:val="18"/>
                <w:szCs w:val="18"/>
              </w:rPr>
              <w:t>gladius</w:t>
            </w:r>
            <w:proofErr w:type="spellEnd"/>
            <w:r w:rsidRPr="00455BC3">
              <w:rPr>
                <w:rFonts w:ascii="Cambria" w:hAnsi="Cambria"/>
                <w:sz w:val="18"/>
                <w:szCs w:val="18"/>
              </w:rPr>
              <w:t>) dans les eaux mari</w:t>
            </w:r>
            <w:r w:rsidR="00230D69" w:rsidRPr="00455BC3">
              <w:rPr>
                <w:rFonts w:ascii="Cambria" w:hAnsi="Cambria"/>
                <w:sz w:val="18"/>
                <w:szCs w:val="18"/>
              </w:rPr>
              <w:t>tim</w:t>
            </w:r>
            <w:r w:rsidRPr="00455BC3">
              <w:rPr>
                <w:rFonts w:ascii="Cambria" w:hAnsi="Cambria"/>
                <w:sz w:val="18"/>
                <w:szCs w:val="18"/>
              </w:rPr>
              <w:t>es relevant de la juridiction fédérale dans le golfe du Mexique et la mer des Caraïbes. Publié au Journal officiel de la Fédération (DOF) le 23 mai 2019.</w:t>
            </w:r>
          </w:p>
          <w:p w14:paraId="661D3194" w14:textId="77777777" w:rsidR="00EC7C26" w:rsidRPr="00455BC3" w:rsidRDefault="00EC7C26" w:rsidP="00EC7C26">
            <w:pPr>
              <w:spacing w:after="0" w:line="240" w:lineRule="auto"/>
              <w:jc w:val="both"/>
              <w:rPr>
                <w:rFonts w:ascii="Cambria" w:hAnsi="Cambria"/>
                <w:sz w:val="18"/>
                <w:szCs w:val="18"/>
              </w:rPr>
            </w:pPr>
          </w:p>
          <w:p w14:paraId="6B2885AA" w14:textId="77777777" w:rsidR="00EC7C26" w:rsidRPr="00455BC3" w:rsidRDefault="00EC7C26" w:rsidP="00EC7C26">
            <w:pPr>
              <w:spacing w:after="0" w:line="240" w:lineRule="auto"/>
              <w:jc w:val="both"/>
              <w:rPr>
                <w:rFonts w:ascii="Cambria" w:hAnsi="Cambria"/>
                <w:sz w:val="18"/>
                <w:szCs w:val="18"/>
              </w:rPr>
            </w:pPr>
            <w:r w:rsidRPr="00455BC3">
              <w:rPr>
                <w:rFonts w:ascii="Cambria" w:hAnsi="Cambria"/>
                <w:sz w:val="18"/>
                <w:szCs w:val="18"/>
              </w:rPr>
              <w:t xml:space="preserve">Norme officielle mexicaine NOM-023-SAG/PESC-2014 réglementant l'exploitation des espèces de thonidés par les palangriers dans les eaux </w:t>
            </w:r>
            <w:r w:rsidRPr="00455BC3">
              <w:rPr>
                <w:rFonts w:ascii="Cambria" w:hAnsi="Cambria"/>
                <w:sz w:val="18"/>
                <w:szCs w:val="18"/>
              </w:rPr>
              <w:lastRenderedPageBreak/>
              <w:t>relevant de la juridiction fédérale du golfe du Mexique et la mer des Caraïbes. Publié au Journal officiel de la Fédération (DOF) le 16 avril 2014.</w:t>
            </w:r>
          </w:p>
          <w:p w14:paraId="7821B4E0" w14:textId="77777777" w:rsidR="00EC7C26" w:rsidRPr="00455BC3" w:rsidRDefault="00EC7C26" w:rsidP="00EC7C26">
            <w:pPr>
              <w:spacing w:after="0" w:line="240" w:lineRule="auto"/>
              <w:jc w:val="both"/>
              <w:rPr>
                <w:rFonts w:ascii="Cambria" w:hAnsi="Cambria"/>
                <w:sz w:val="18"/>
                <w:szCs w:val="18"/>
              </w:rPr>
            </w:pPr>
          </w:p>
          <w:p w14:paraId="40FEF5F0" w14:textId="69E331F5" w:rsidR="00F8000D" w:rsidRPr="00455BC3" w:rsidRDefault="00EC7C26" w:rsidP="00EC7C26">
            <w:pPr>
              <w:spacing w:after="0" w:line="240" w:lineRule="auto"/>
              <w:jc w:val="both"/>
              <w:rPr>
                <w:rFonts w:ascii="Cambria" w:eastAsia="Times New Roman" w:hAnsi="Cambria" w:cs="Calibri"/>
                <w:color w:val="000000"/>
                <w:sz w:val="18"/>
                <w:szCs w:val="18"/>
              </w:rPr>
            </w:pPr>
            <w:r w:rsidRPr="00455BC3">
              <w:rPr>
                <w:rFonts w:ascii="Cambria" w:hAnsi="Cambria"/>
                <w:sz w:val="18"/>
                <w:szCs w:val="18"/>
              </w:rPr>
              <w:t>Norme officielle mexicaine NOM-017-PESC-1994 réglementant les activités de pêche sportive et récréative dans les eaux relevant de la juridiction fédérale des États-Unis mexicains.</w:t>
            </w:r>
          </w:p>
        </w:tc>
        <w:tc>
          <w:tcPr>
            <w:tcW w:w="2268" w:type="dxa"/>
            <w:tcBorders>
              <w:bottom w:val="single" w:sz="4" w:space="0" w:color="auto"/>
              <w:right w:val="single" w:sz="4" w:space="0" w:color="auto"/>
            </w:tcBorders>
            <w:noWrap/>
            <w:hideMark/>
          </w:tcPr>
          <w:p w14:paraId="102DD673" w14:textId="17987A07" w:rsidR="00F8000D" w:rsidRPr="00455BC3" w:rsidRDefault="00F8000D" w:rsidP="001A06EC">
            <w:pPr>
              <w:spacing w:after="0" w:line="240" w:lineRule="auto"/>
              <w:jc w:val="both"/>
              <w:rPr>
                <w:rFonts w:ascii="Cambria" w:eastAsia="Times New Roman" w:hAnsi="Cambria" w:cs="Calibri"/>
                <w:color w:val="000000"/>
                <w:sz w:val="18"/>
                <w:szCs w:val="18"/>
              </w:rPr>
            </w:pPr>
          </w:p>
        </w:tc>
        <w:tc>
          <w:tcPr>
            <w:tcW w:w="236" w:type="dxa"/>
            <w:tcBorders>
              <w:top w:val="nil"/>
              <w:left w:val="single" w:sz="4" w:space="0" w:color="auto"/>
              <w:bottom w:val="nil"/>
              <w:right w:val="nil"/>
            </w:tcBorders>
            <w:vAlign w:val="center"/>
            <w:hideMark/>
          </w:tcPr>
          <w:p w14:paraId="4988C096" w14:textId="77777777" w:rsidR="00F8000D" w:rsidRPr="00455BC3" w:rsidRDefault="00F8000D" w:rsidP="00F8000D">
            <w:pPr>
              <w:spacing w:after="0" w:line="240" w:lineRule="auto"/>
              <w:rPr>
                <w:rFonts w:ascii="Cambria" w:eastAsia="Times New Roman" w:hAnsi="Cambria" w:cs="Times New Roman"/>
                <w:sz w:val="18"/>
                <w:szCs w:val="18"/>
              </w:rPr>
            </w:pPr>
          </w:p>
        </w:tc>
      </w:tr>
      <w:tr w:rsidR="00F8000D" w:rsidRPr="00455BC3" w14:paraId="0E29AE82" w14:textId="77777777" w:rsidTr="00CF742D">
        <w:tc>
          <w:tcPr>
            <w:tcW w:w="1135" w:type="dxa"/>
            <w:tcBorders>
              <w:bottom w:val="single" w:sz="4" w:space="0" w:color="auto"/>
            </w:tcBorders>
            <w:noWrap/>
            <w:vAlign w:val="center"/>
          </w:tcPr>
          <w:p w14:paraId="43BA9204" w14:textId="578F9DEE" w:rsidR="00F8000D" w:rsidRPr="00455BC3" w:rsidRDefault="00F8000D" w:rsidP="001A06EC">
            <w:pPr>
              <w:spacing w:after="0" w:line="240" w:lineRule="auto"/>
              <w:jc w:val="center"/>
              <w:rPr>
                <w:rFonts w:ascii="Cambria" w:eastAsia="Times New Roman" w:hAnsi="Cambria" w:cs="Calibri"/>
                <w:b/>
                <w:bCs/>
                <w:color w:val="000000"/>
                <w:sz w:val="18"/>
                <w:szCs w:val="18"/>
              </w:rPr>
            </w:pPr>
            <w:r w:rsidRPr="00455BC3">
              <w:rPr>
                <w:rFonts w:ascii="Cambria" w:hAnsi="Cambria"/>
                <w:b/>
                <w:bCs/>
                <w:color w:val="000000"/>
                <w:sz w:val="18"/>
                <w:szCs w:val="18"/>
              </w:rPr>
              <w:t>Maroc</w:t>
            </w:r>
          </w:p>
        </w:tc>
        <w:tc>
          <w:tcPr>
            <w:tcW w:w="992" w:type="dxa"/>
            <w:tcBorders>
              <w:bottom w:val="single" w:sz="4" w:space="0" w:color="auto"/>
            </w:tcBorders>
            <w:noWrap/>
            <w:vAlign w:val="center"/>
          </w:tcPr>
          <w:p w14:paraId="67807FFD" w14:textId="3BAAA20E" w:rsidR="00F8000D" w:rsidRPr="00455BC3" w:rsidRDefault="00F8000D"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Oui</w:t>
            </w:r>
          </w:p>
        </w:tc>
        <w:tc>
          <w:tcPr>
            <w:tcW w:w="992" w:type="dxa"/>
            <w:tcBorders>
              <w:bottom w:val="single" w:sz="4" w:space="0" w:color="auto"/>
            </w:tcBorders>
            <w:vAlign w:val="center"/>
          </w:tcPr>
          <w:p w14:paraId="47BAF343" w14:textId="665B95A9" w:rsidR="00F8000D" w:rsidRPr="00455BC3" w:rsidRDefault="00690694"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1.186 (1.488,5* ajustées)</w:t>
            </w:r>
          </w:p>
        </w:tc>
        <w:tc>
          <w:tcPr>
            <w:tcW w:w="973" w:type="dxa"/>
            <w:tcBorders>
              <w:bottom w:val="single" w:sz="4" w:space="0" w:color="auto"/>
            </w:tcBorders>
            <w:noWrap/>
            <w:vAlign w:val="center"/>
          </w:tcPr>
          <w:p w14:paraId="6E4DE9C7" w14:textId="1981AB77" w:rsidR="00F8000D" w:rsidRPr="00455BC3" w:rsidRDefault="00F8000D"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862</w:t>
            </w:r>
          </w:p>
          <w:p w14:paraId="6A132FD2" w14:textId="73D05C80" w:rsidR="00F8000D" w:rsidRPr="00455BC3" w:rsidRDefault="00F8000D"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530</w:t>
            </w:r>
          </w:p>
        </w:tc>
        <w:tc>
          <w:tcPr>
            <w:tcW w:w="870" w:type="dxa"/>
            <w:tcBorders>
              <w:bottom w:val="single" w:sz="4" w:space="0" w:color="auto"/>
            </w:tcBorders>
            <w:noWrap/>
            <w:vAlign w:val="center"/>
          </w:tcPr>
          <w:p w14:paraId="222E08C7" w14:textId="77777777" w:rsidR="00F8000D" w:rsidRPr="00455BC3" w:rsidRDefault="00F8000D"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LL</w:t>
            </w:r>
          </w:p>
          <w:p w14:paraId="7D1E8D5C" w14:textId="183818C3" w:rsidR="00F8000D" w:rsidRPr="00455BC3" w:rsidRDefault="00F8000D"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HL</w:t>
            </w:r>
          </w:p>
        </w:tc>
        <w:tc>
          <w:tcPr>
            <w:tcW w:w="992" w:type="dxa"/>
            <w:tcBorders>
              <w:bottom w:val="single" w:sz="4" w:space="0" w:color="auto"/>
            </w:tcBorders>
            <w:noWrap/>
            <w:vAlign w:val="center"/>
          </w:tcPr>
          <w:p w14:paraId="0791AF70" w14:textId="40274EC3" w:rsidR="00F8000D" w:rsidRPr="00455BC3" w:rsidRDefault="00093B92"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908,5</w:t>
            </w:r>
          </w:p>
          <w:p w14:paraId="18220F37" w14:textId="0153AC67" w:rsidR="00F8000D" w:rsidRPr="00455BC3" w:rsidRDefault="00093B92"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580</w:t>
            </w:r>
          </w:p>
        </w:tc>
        <w:tc>
          <w:tcPr>
            <w:tcW w:w="992" w:type="dxa"/>
            <w:tcBorders>
              <w:bottom w:val="single" w:sz="4" w:space="0" w:color="auto"/>
            </w:tcBorders>
            <w:noWrap/>
            <w:vAlign w:val="center"/>
          </w:tcPr>
          <w:p w14:paraId="653356CE" w14:textId="77777777" w:rsidR="00F8000D" w:rsidRPr="00455BC3" w:rsidRDefault="00F8000D"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880</w:t>
            </w:r>
          </w:p>
          <w:p w14:paraId="6DAE7024" w14:textId="73850119" w:rsidR="00F8000D" w:rsidRPr="00455BC3" w:rsidRDefault="00690694"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1000</w:t>
            </w:r>
          </w:p>
        </w:tc>
        <w:tc>
          <w:tcPr>
            <w:tcW w:w="851" w:type="dxa"/>
            <w:tcBorders>
              <w:bottom w:val="single" w:sz="4" w:space="0" w:color="auto"/>
            </w:tcBorders>
            <w:noWrap/>
            <w:vAlign w:val="center"/>
          </w:tcPr>
          <w:p w14:paraId="0107565D" w14:textId="77777777" w:rsidR="00F8000D" w:rsidRPr="00455BC3" w:rsidRDefault="00F8000D"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LL</w:t>
            </w:r>
          </w:p>
          <w:p w14:paraId="58111A00" w14:textId="4BC372AD" w:rsidR="00F8000D" w:rsidRPr="00455BC3" w:rsidRDefault="00F8000D"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HL</w:t>
            </w:r>
          </w:p>
        </w:tc>
        <w:tc>
          <w:tcPr>
            <w:tcW w:w="992" w:type="dxa"/>
            <w:tcBorders>
              <w:bottom w:val="single" w:sz="4" w:space="0" w:color="auto"/>
            </w:tcBorders>
            <w:noWrap/>
            <w:vAlign w:val="center"/>
          </w:tcPr>
          <w:p w14:paraId="0F638FF5" w14:textId="508819F6" w:rsidR="00F8000D" w:rsidRPr="00455BC3" w:rsidRDefault="00690694"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600</w:t>
            </w:r>
          </w:p>
          <w:p w14:paraId="231F54D5" w14:textId="4BCA3A8C" w:rsidR="00F8000D" w:rsidRPr="00455BC3" w:rsidRDefault="00F8000D"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700</w:t>
            </w:r>
          </w:p>
        </w:tc>
        <w:tc>
          <w:tcPr>
            <w:tcW w:w="3119" w:type="dxa"/>
            <w:tcBorders>
              <w:bottom w:val="single" w:sz="4" w:space="0" w:color="auto"/>
            </w:tcBorders>
          </w:tcPr>
          <w:p w14:paraId="76613647" w14:textId="08E60858" w:rsidR="00093B92" w:rsidRPr="00455BC3" w:rsidRDefault="00093B92" w:rsidP="00093B92">
            <w:pPr>
              <w:spacing w:after="0" w:line="240" w:lineRule="exact"/>
              <w:jc w:val="both"/>
              <w:rPr>
                <w:rFonts w:ascii="Cambria" w:hAnsi="Cambria"/>
                <w:sz w:val="18"/>
                <w:szCs w:val="18"/>
              </w:rPr>
            </w:pPr>
            <w:r w:rsidRPr="00455BC3">
              <w:rPr>
                <w:rFonts w:ascii="Cambria" w:hAnsi="Cambria"/>
                <w:sz w:val="18"/>
                <w:szCs w:val="18"/>
              </w:rPr>
              <w:t>1- Arrêté Ministériel n° 1112-22 du 14 avril 2022 relatif au plan d’aménagement et de gestion de la pêcherie de l’espadon (</w:t>
            </w:r>
            <w:r w:rsidRPr="00455BC3">
              <w:rPr>
                <w:rFonts w:ascii="Cambria" w:hAnsi="Cambria"/>
                <w:i/>
                <w:iCs/>
                <w:sz w:val="18"/>
                <w:szCs w:val="18"/>
              </w:rPr>
              <w:t xml:space="preserve">Xiphias </w:t>
            </w:r>
            <w:proofErr w:type="spellStart"/>
            <w:r w:rsidRPr="00455BC3">
              <w:rPr>
                <w:rFonts w:ascii="Cambria" w:hAnsi="Cambria"/>
                <w:i/>
                <w:iCs/>
                <w:sz w:val="18"/>
                <w:szCs w:val="18"/>
              </w:rPr>
              <w:t>gladius</w:t>
            </w:r>
            <w:proofErr w:type="spellEnd"/>
            <w:r w:rsidRPr="00455BC3">
              <w:rPr>
                <w:rFonts w:ascii="Cambria" w:hAnsi="Cambria"/>
                <w:sz w:val="18"/>
                <w:szCs w:val="18"/>
              </w:rPr>
              <w:t>).</w:t>
            </w:r>
          </w:p>
          <w:p w14:paraId="11C1BCDA" w14:textId="77777777" w:rsidR="00606E03" w:rsidRPr="00455BC3" w:rsidRDefault="00606E03" w:rsidP="00093B92">
            <w:pPr>
              <w:spacing w:after="0" w:line="240" w:lineRule="exact"/>
              <w:jc w:val="both"/>
              <w:rPr>
                <w:rFonts w:ascii="Cambria" w:hAnsi="Cambria"/>
                <w:sz w:val="18"/>
                <w:szCs w:val="18"/>
              </w:rPr>
            </w:pPr>
          </w:p>
          <w:p w14:paraId="0A6C3928" w14:textId="7CBF2174" w:rsidR="00093B92" w:rsidRPr="00455BC3" w:rsidRDefault="000F60ED" w:rsidP="00093B92">
            <w:pPr>
              <w:spacing w:after="0" w:line="240" w:lineRule="exact"/>
              <w:jc w:val="both"/>
              <w:rPr>
                <w:rFonts w:ascii="Cambria" w:hAnsi="Cambria"/>
                <w:sz w:val="18"/>
                <w:szCs w:val="18"/>
              </w:rPr>
            </w:pPr>
            <w:r w:rsidRPr="00455BC3">
              <w:rPr>
                <w:rFonts w:ascii="Cambria" w:hAnsi="Cambria"/>
                <w:sz w:val="18"/>
                <w:szCs w:val="18"/>
              </w:rPr>
              <w:t>2</w:t>
            </w:r>
            <w:r w:rsidR="00093B92" w:rsidRPr="00455BC3">
              <w:rPr>
                <w:rFonts w:ascii="Cambria" w:hAnsi="Cambria"/>
                <w:sz w:val="18"/>
                <w:szCs w:val="18"/>
              </w:rPr>
              <w:t>- Suivi et gestion de la consommation du quota alloué au Maroc par l’CCAT au niveau central via les Délégations des Pêches Maritimes chargées du contrôle et de la certification des captures et l’Office National des pêches chargé de la commercialisation.</w:t>
            </w:r>
          </w:p>
          <w:p w14:paraId="23292FC9" w14:textId="77777777" w:rsidR="00335F3D" w:rsidRPr="00455BC3" w:rsidRDefault="00335F3D" w:rsidP="00093B92">
            <w:pPr>
              <w:spacing w:after="0" w:line="240" w:lineRule="exact"/>
              <w:jc w:val="both"/>
              <w:rPr>
                <w:rFonts w:ascii="Cambria" w:hAnsi="Cambria"/>
                <w:sz w:val="18"/>
                <w:szCs w:val="18"/>
              </w:rPr>
            </w:pPr>
          </w:p>
          <w:p w14:paraId="74D974A4" w14:textId="1A50311D" w:rsidR="00093B92" w:rsidRPr="00455BC3" w:rsidRDefault="00335F3D" w:rsidP="00093B92">
            <w:pPr>
              <w:spacing w:after="0" w:line="240" w:lineRule="exact"/>
              <w:jc w:val="both"/>
              <w:rPr>
                <w:rFonts w:ascii="Cambria" w:hAnsi="Cambria"/>
                <w:sz w:val="18"/>
                <w:szCs w:val="18"/>
              </w:rPr>
            </w:pPr>
            <w:r w:rsidRPr="00455BC3">
              <w:rPr>
                <w:rFonts w:ascii="Cambria" w:hAnsi="Cambria"/>
                <w:sz w:val="18"/>
                <w:szCs w:val="18"/>
              </w:rPr>
              <w:t>3</w:t>
            </w:r>
            <w:r w:rsidR="00093B92" w:rsidRPr="00455BC3">
              <w:rPr>
                <w:rFonts w:ascii="Cambria" w:hAnsi="Cambria"/>
                <w:sz w:val="18"/>
                <w:szCs w:val="18"/>
              </w:rPr>
              <w:t>- Suivi de l'application des dispositions de l'ICCAT transposées dans l'Arrêté Ministériel n° 1112-22 du 14 avril 2022 régissant la pêche de l’espadon d’Atlantique Nord et de la Méditerranée Marocaine.</w:t>
            </w:r>
          </w:p>
          <w:p w14:paraId="555CB1DC" w14:textId="7EA5B736" w:rsidR="00093B92" w:rsidRPr="00455BC3" w:rsidRDefault="003E0B6E" w:rsidP="00093B92">
            <w:pPr>
              <w:spacing w:after="0" w:line="240" w:lineRule="exact"/>
              <w:jc w:val="both"/>
              <w:rPr>
                <w:rFonts w:ascii="Cambria" w:hAnsi="Cambria"/>
                <w:sz w:val="18"/>
                <w:szCs w:val="18"/>
              </w:rPr>
            </w:pPr>
            <w:r w:rsidRPr="00455BC3">
              <w:rPr>
                <w:rFonts w:ascii="Cambria" w:hAnsi="Cambria"/>
                <w:sz w:val="18"/>
                <w:szCs w:val="18"/>
              </w:rPr>
              <w:t>4</w:t>
            </w:r>
            <w:r w:rsidR="00093B92" w:rsidRPr="00455BC3">
              <w:rPr>
                <w:rFonts w:ascii="Cambria" w:hAnsi="Cambria"/>
                <w:sz w:val="18"/>
                <w:szCs w:val="18"/>
              </w:rPr>
              <w:t>- Enregistrement sur le registre ICCAT des navires plus de 20m susceptibles de capturer l’espadon de l’atlantique Nord.</w:t>
            </w:r>
          </w:p>
          <w:p w14:paraId="6606E222" w14:textId="77777777" w:rsidR="000F0A69" w:rsidRPr="00455BC3" w:rsidRDefault="000F0A69" w:rsidP="00093B92">
            <w:pPr>
              <w:spacing w:after="0" w:line="240" w:lineRule="exact"/>
              <w:jc w:val="both"/>
              <w:rPr>
                <w:rFonts w:ascii="Cambria" w:hAnsi="Cambria"/>
                <w:sz w:val="18"/>
                <w:szCs w:val="18"/>
              </w:rPr>
            </w:pPr>
          </w:p>
          <w:p w14:paraId="60202F8B" w14:textId="74B80904" w:rsidR="00093B92" w:rsidRPr="00455BC3" w:rsidRDefault="003E0B6E" w:rsidP="00093B92">
            <w:pPr>
              <w:spacing w:after="0" w:line="240" w:lineRule="exact"/>
              <w:jc w:val="both"/>
              <w:rPr>
                <w:rFonts w:ascii="Cambria" w:hAnsi="Cambria"/>
                <w:sz w:val="18"/>
                <w:szCs w:val="18"/>
              </w:rPr>
            </w:pPr>
            <w:r w:rsidRPr="00455BC3">
              <w:rPr>
                <w:rFonts w:ascii="Cambria" w:hAnsi="Cambria"/>
                <w:sz w:val="18"/>
                <w:szCs w:val="18"/>
              </w:rPr>
              <w:lastRenderedPageBreak/>
              <w:t>5</w:t>
            </w:r>
            <w:r w:rsidR="00093B92" w:rsidRPr="00455BC3">
              <w:rPr>
                <w:rFonts w:ascii="Cambria" w:hAnsi="Cambria"/>
                <w:sz w:val="18"/>
                <w:szCs w:val="18"/>
              </w:rPr>
              <w:t xml:space="preserve">- Dahir portant loi n° 1-73-255 du 27 </w:t>
            </w:r>
            <w:proofErr w:type="spellStart"/>
            <w:r w:rsidR="00093B92" w:rsidRPr="00455BC3">
              <w:rPr>
                <w:rFonts w:ascii="Cambria" w:hAnsi="Cambria"/>
                <w:sz w:val="18"/>
                <w:szCs w:val="18"/>
              </w:rPr>
              <w:t>chaoual</w:t>
            </w:r>
            <w:proofErr w:type="spellEnd"/>
            <w:r w:rsidR="00093B92" w:rsidRPr="00455BC3">
              <w:rPr>
                <w:rFonts w:ascii="Cambria" w:hAnsi="Cambria"/>
                <w:sz w:val="18"/>
                <w:szCs w:val="18"/>
              </w:rPr>
              <w:t xml:space="preserve"> 1393 (23 novembre 1973) formant règlement sur la pêche maritime tel que modifié et complété.</w:t>
            </w:r>
          </w:p>
          <w:p w14:paraId="2CDCB132" w14:textId="77777777" w:rsidR="00241CE4" w:rsidRPr="00455BC3" w:rsidRDefault="00241CE4" w:rsidP="00093B92">
            <w:pPr>
              <w:spacing w:after="0" w:line="240" w:lineRule="exact"/>
              <w:jc w:val="both"/>
              <w:rPr>
                <w:rFonts w:ascii="Cambria" w:hAnsi="Cambria"/>
                <w:sz w:val="18"/>
                <w:szCs w:val="18"/>
              </w:rPr>
            </w:pPr>
          </w:p>
          <w:p w14:paraId="4DCCD38B" w14:textId="788B36E2" w:rsidR="00093B92" w:rsidRPr="00455BC3" w:rsidRDefault="00241CE4" w:rsidP="00093B92">
            <w:pPr>
              <w:spacing w:after="0" w:line="240" w:lineRule="exact"/>
              <w:jc w:val="both"/>
              <w:rPr>
                <w:rFonts w:ascii="Cambria" w:hAnsi="Cambria"/>
                <w:sz w:val="18"/>
                <w:szCs w:val="18"/>
              </w:rPr>
            </w:pPr>
            <w:r w:rsidRPr="00455BC3">
              <w:rPr>
                <w:rFonts w:ascii="Cambria" w:hAnsi="Cambria"/>
                <w:sz w:val="18"/>
                <w:szCs w:val="18"/>
              </w:rPr>
              <w:t>6</w:t>
            </w:r>
            <w:r w:rsidR="00093B92" w:rsidRPr="00455BC3">
              <w:rPr>
                <w:rFonts w:ascii="Cambria" w:hAnsi="Cambria"/>
                <w:sz w:val="18"/>
                <w:szCs w:val="18"/>
              </w:rPr>
              <w:t>- Dahir n° 1-14-95 du 12 mai 2014 portant promulgation de la loi n° 15-12 relative à la prévention et la lutte contre la pêche illicite, non déclarée et non réglementée et modifiant et complétant le dahir n° 1-73-255 du 23 novembre 1973 formant règlement sur la pêche maritime.</w:t>
            </w:r>
          </w:p>
          <w:p w14:paraId="260230E0" w14:textId="77777777" w:rsidR="00241CE4" w:rsidRPr="00455BC3" w:rsidRDefault="00241CE4" w:rsidP="00093B92">
            <w:pPr>
              <w:spacing w:after="0" w:line="240" w:lineRule="exact"/>
              <w:jc w:val="both"/>
              <w:rPr>
                <w:rFonts w:ascii="Cambria" w:hAnsi="Cambria"/>
                <w:sz w:val="18"/>
                <w:szCs w:val="18"/>
              </w:rPr>
            </w:pPr>
          </w:p>
          <w:p w14:paraId="45DC527D" w14:textId="21B9D8A6" w:rsidR="00093B92" w:rsidRDefault="00241CE4" w:rsidP="00093B92">
            <w:pPr>
              <w:spacing w:after="0" w:line="240" w:lineRule="exact"/>
              <w:jc w:val="both"/>
              <w:rPr>
                <w:rFonts w:ascii="Cambria" w:hAnsi="Cambria"/>
                <w:sz w:val="18"/>
                <w:szCs w:val="18"/>
              </w:rPr>
            </w:pPr>
            <w:r w:rsidRPr="00455BC3">
              <w:rPr>
                <w:rFonts w:ascii="Cambria" w:hAnsi="Cambria"/>
                <w:sz w:val="18"/>
                <w:szCs w:val="18"/>
              </w:rPr>
              <w:t>7</w:t>
            </w:r>
            <w:r w:rsidR="00093B92" w:rsidRPr="00455BC3">
              <w:rPr>
                <w:rFonts w:ascii="Cambria" w:hAnsi="Cambria"/>
                <w:sz w:val="18"/>
                <w:szCs w:val="18"/>
              </w:rPr>
              <w:t>- Décret n° 2.18.104 du 10 décembre 2018 modifiant et complétant le décret n° 2-09-674 du 17 mars 2010 fixant les conditions et les modalités d'installation et d'utilisation à bord des navires de pêche d'un système de positionnement et de localisation continue utilisant les communications par satellite pour la transmission des données.</w:t>
            </w:r>
          </w:p>
          <w:p w14:paraId="76110CBB" w14:textId="77777777" w:rsidR="00B72CB2" w:rsidRPr="00455BC3" w:rsidRDefault="00B72CB2" w:rsidP="00093B92">
            <w:pPr>
              <w:spacing w:after="0" w:line="240" w:lineRule="exact"/>
              <w:jc w:val="both"/>
              <w:rPr>
                <w:rFonts w:ascii="Cambria" w:hAnsi="Cambria"/>
                <w:sz w:val="18"/>
                <w:szCs w:val="18"/>
              </w:rPr>
            </w:pPr>
          </w:p>
          <w:p w14:paraId="30555AD4" w14:textId="0962A29A" w:rsidR="00093B92" w:rsidRPr="00455BC3" w:rsidRDefault="00241CE4" w:rsidP="00093B92">
            <w:pPr>
              <w:spacing w:after="0" w:line="240" w:lineRule="exact"/>
              <w:jc w:val="both"/>
              <w:rPr>
                <w:rFonts w:ascii="Cambria" w:hAnsi="Cambria"/>
                <w:sz w:val="18"/>
                <w:szCs w:val="18"/>
              </w:rPr>
            </w:pPr>
            <w:r w:rsidRPr="00455BC3">
              <w:rPr>
                <w:rFonts w:ascii="Cambria" w:hAnsi="Cambria"/>
                <w:sz w:val="18"/>
                <w:szCs w:val="18"/>
              </w:rPr>
              <w:t>8</w:t>
            </w:r>
            <w:r w:rsidR="00093B92" w:rsidRPr="00455BC3">
              <w:rPr>
                <w:rFonts w:ascii="Cambria" w:hAnsi="Cambria"/>
                <w:sz w:val="18"/>
                <w:szCs w:val="18"/>
              </w:rPr>
              <w:t xml:space="preserve">- Décret n° 2-17-455 du 26 avril 2018 pris pour l'application de certaines dispositions du Titre I de la loi n° 15-12 relative à la prévention et à la lutte contre la pêche illicite, non déclarée et non réglementée et modifiant et complétant le dahir portant loi n° 1-73-255 du 23 novembre 1973 formant </w:t>
            </w:r>
            <w:r w:rsidR="00625CFF" w:rsidRPr="00455BC3">
              <w:rPr>
                <w:rFonts w:ascii="Cambria" w:hAnsi="Cambria"/>
                <w:sz w:val="18"/>
                <w:szCs w:val="18"/>
              </w:rPr>
              <w:t>règlement</w:t>
            </w:r>
            <w:r w:rsidR="00093B92" w:rsidRPr="00455BC3">
              <w:rPr>
                <w:rFonts w:ascii="Cambria" w:hAnsi="Cambria"/>
                <w:sz w:val="18"/>
                <w:szCs w:val="18"/>
              </w:rPr>
              <w:t xml:space="preserve"> sur la pêche maritime.</w:t>
            </w:r>
          </w:p>
          <w:p w14:paraId="5632AC93" w14:textId="77777777" w:rsidR="00241CE4" w:rsidRPr="00455BC3" w:rsidRDefault="00241CE4" w:rsidP="00093B92">
            <w:pPr>
              <w:spacing w:after="0" w:line="240" w:lineRule="exact"/>
              <w:jc w:val="both"/>
              <w:rPr>
                <w:rFonts w:ascii="Cambria" w:hAnsi="Cambria"/>
                <w:sz w:val="18"/>
                <w:szCs w:val="18"/>
              </w:rPr>
            </w:pPr>
          </w:p>
          <w:p w14:paraId="558A538D" w14:textId="24BF4778" w:rsidR="00093B92" w:rsidRPr="00455BC3" w:rsidRDefault="00241CE4" w:rsidP="00093B92">
            <w:pPr>
              <w:spacing w:after="0" w:line="240" w:lineRule="exact"/>
              <w:jc w:val="both"/>
              <w:rPr>
                <w:rFonts w:ascii="Cambria" w:hAnsi="Cambria"/>
                <w:sz w:val="18"/>
                <w:szCs w:val="18"/>
              </w:rPr>
            </w:pPr>
            <w:r w:rsidRPr="00455BC3">
              <w:rPr>
                <w:rFonts w:ascii="Cambria" w:hAnsi="Cambria"/>
                <w:sz w:val="18"/>
                <w:szCs w:val="18"/>
              </w:rPr>
              <w:lastRenderedPageBreak/>
              <w:t>9</w:t>
            </w:r>
            <w:r w:rsidR="00093B92" w:rsidRPr="00455BC3">
              <w:rPr>
                <w:rFonts w:ascii="Cambria" w:hAnsi="Cambria"/>
                <w:sz w:val="18"/>
                <w:szCs w:val="18"/>
              </w:rPr>
              <w:t>- Décret n° 2-17-456 du 15 mars 2018 pris pour l’application de certaines dispositions du dahir portant n° 1-73-255 du 23 novembre 1973 formant règlement sur la pêche maritime.</w:t>
            </w:r>
          </w:p>
          <w:p w14:paraId="0DF3F446" w14:textId="77777777" w:rsidR="00241CE4" w:rsidRPr="00455BC3" w:rsidRDefault="00241CE4" w:rsidP="00093B92">
            <w:pPr>
              <w:spacing w:after="0" w:line="240" w:lineRule="exact"/>
              <w:jc w:val="both"/>
              <w:rPr>
                <w:rFonts w:ascii="Cambria" w:hAnsi="Cambria"/>
                <w:sz w:val="18"/>
                <w:szCs w:val="18"/>
              </w:rPr>
            </w:pPr>
          </w:p>
          <w:p w14:paraId="04063943" w14:textId="019560FF" w:rsidR="00140AA1" w:rsidRPr="00455BC3" w:rsidRDefault="00093B92" w:rsidP="00093B92">
            <w:pPr>
              <w:spacing w:after="0" w:line="240" w:lineRule="exact"/>
              <w:jc w:val="both"/>
              <w:rPr>
                <w:rFonts w:ascii="Cambria" w:hAnsi="Cambria"/>
                <w:sz w:val="18"/>
                <w:szCs w:val="18"/>
              </w:rPr>
            </w:pPr>
            <w:r w:rsidRPr="00455BC3">
              <w:rPr>
                <w:rFonts w:ascii="Cambria" w:hAnsi="Cambria"/>
                <w:sz w:val="18"/>
                <w:szCs w:val="18"/>
              </w:rPr>
              <w:t>1</w:t>
            </w:r>
            <w:r w:rsidR="00241CE4" w:rsidRPr="00455BC3">
              <w:rPr>
                <w:rFonts w:ascii="Cambria" w:hAnsi="Cambria"/>
                <w:sz w:val="18"/>
                <w:szCs w:val="18"/>
              </w:rPr>
              <w:t>0</w:t>
            </w:r>
            <w:r w:rsidRPr="00455BC3">
              <w:rPr>
                <w:rFonts w:ascii="Cambria" w:hAnsi="Cambria"/>
                <w:sz w:val="18"/>
                <w:szCs w:val="18"/>
              </w:rPr>
              <w:t xml:space="preserve">- L’arrêté n°574-19 du 29 </w:t>
            </w:r>
            <w:proofErr w:type="spellStart"/>
            <w:r w:rsidRPr="00455BC3">
              <w:rPr>
                <w:rFonts w:ascii="Cambria" w:hAnsi="Cambria"/>
                <w:sz w:val="18"/>
                <w:szCs w:val="18"/>
              </w:rPr>
              <w:t>joumada</w:t>
            </w:r>
            <w:proofErr w:type="spellEnd"/>
            <w:r w:rsidRPr="00455BC3">
              <w:rPr>
                <w:rFonts w:ascii="Cambria" w:hAnsi="Cambria"/>
                <w:sz w:val="18"/>
                <w:szCs w:val="18"/>
              </w:rPr>
              <w:t xml:space="preserve"> II 1440 (7 mars 2019) relatif au dispositif de positionnement et de localisation continue des navires de pêche.</w:t>
            </w:r>
          </w:p>
        </w:tc>
        <w:tc>
          <w:tcPr>
            <w:tcW w:w="2268" w:type="dxa"/>
            <w:tcBorders>
              <w:bottom w:val="single" w:sz="4" w:space="0" w:color="auto"/>
              <w:right w:val="single" w:sz="4" w:space="0" w:color="auto"/>
            </w:tcBorders>
          </w:tcPr>
          <w:p w14:paraId="7DCF768F" w14:textId="4CDAF3CF" w:rsidR="00F8000D" w:rsidRPr="00455BC3" w:rsidRDefault="00093B92" w:rsidP="001A06EC">
            <w:pPr>
              <w:spacing w:after="0" w:line="240" w:lineRule="auto"/>
              <w:jc w:val="both"/>
              <w:rPr>
                <w:rFonts w:ascii="Cambria" w:hAnsi="Cambria"/>
                <w:sz w:val="18"/>
                <w:szCs w:val="18"/>
              </w:rPr>
            </w:pPr>
            <w:r w:rsidRPr="00455BC3">
              <w:rPr>
                <w:rFonts w:ascii="Cambria" w:hAnsi="Cambria"/>
                <w:sz w:val="18"/>
                <w:szCs w:val="18"/>
              </w:rPr>
              <w:lastRenderedPageBreak/>
              <w:t>Les mesures</w:t>
            </w:r>
            <w:r w:rsidR="003E0B6E" w:rsidRPr="00455BC3">
              <w:rPr>
                <w:rFonts w:ascii="Cambria" w:hAnsi="Cambria"/>
                <w:sz w:val="18"/>
                <w:szCs w:val="18"/>
              </w:rPr>
              <w:t xml:space="preserve"> </w:t>
            </w:r>
            <w:r w:rsidRPr="00455BC3">
              <w:rPr>
                <w:rFonts w:ascii="Cambria" w:hAnsi="Cambria"/>
                <w:sz w:val="18"/>
                <w:szCs w:val="18"/>
              </w:rPr>
              <w:t>prévues par le Royaume du Maroc</w:t>
            </w:r>
            <w:r w:rsidR="00241CE4" w:rsidRPr="00455BC3">
              <w:rPr>
                <w:rFonts w:ascii="Cambria" w:hAnsi="Cambria"/>
                <w:sz w:val="18"/>
                <w:szCs w:val="18"/>
              </w:rPr>
              <w:t xml:space="preserve"> </w:t>
            </w:r>
            <w:r w:rsidRPr="00455BC3">
              <w:rPr>
                <w:rFonts w:ascii="Cambria" w:hAnsi="Cambria"/>
                <w:sz w:val="18"/>
                <w:szCs w:val="18"/>
              </w:rPr>
              <w:t>pour la</w:t>
            </w:r>
            <w:r w:rsidR="00241CE4" w:rsidRPr="00455BC3">
              <w:rPr>
                <w:rFonts w:ascii="Cambria" w:hAnsi="Cambria"/>
                <w:sz w:val="18"/>
                <w:szCs w:val="18"/>
              </w:rPr>
              <w:t xml:space="preserve"> </w:t>
            </w:r>
            <w:r w:rsidRPr="00455BC3">
              <w:rPr>
                <w:rFonts w:ascii="Cambria" w:hAnsi="Cambria"/>
                <w:sz w:val="18"/>
                <w:szCs w:val="18"/>
              </w:rPr>
              <w:t>gestion de l'espadon de l'Atlantique Nord, seront les mêmes mesures</w:t>
            </w:r>
            <w:r w:rsidR="00241CE4" w:rsidRPr="00455BC3">
              <w:rPr>
                <w:rFonts w:ascii="Cambria" w:hAnsi="Cambria"/>
                <w:sz w:val="18"/>
                <w:szCs w:val="18"/>
              </w:rPr>
              <w:t xml:space="preserve"> </w:t>
            </w:r>
            <w:r w:rsidRPr="00455BC3">
              <w:rPr>
                <w:rFonts w:ascii="Cambria" w:hAnsi="Cambria"/>
                <w:sz w:val="18"/>
                <w:szCs w:val="18"/>
              </w:rPr>
              <w:t>adoptées actuellement et ce conformément aux dispositions de la</w:t>
            </w:r>
            <w:r w:rsidR="00241CE4" w:rsidRPr="00455BC3">
              <w:rPr>
                <w:rFonts w:ascii="Cambria" w:hAnsi="Cambria"/>
                <w:sz w:val="18"/>
                <w:szCs w:val="18"/>
              </w:rPr>
              <w:t xml:space="preserve"> R</w:t>
            </w:r>
            <w:r w:rsidRPr="00455BC3">
              <w:rPr>
                <w:rFonts w:ascii="Cambria" w:hAnsi="Cambria"/>
                <w:sz w:val="18"/>
                <w:szCs w:val="18"/>
              </w:rPr>
              <w:t xml:space="preserve">ecommandation </w:t>
            </w:r>
            <w:r w:rsidR="00FA5AC9" w:rsidRPr="00455BC3">
              <w:rPr>
                <w:rFonts w:ascii="Cambria" w:hAnsi="Cambria"/>
                <w:sz w:val="18"/>
                <w:szCs w:val="18"/>
              </w:rPr>
              <w:t>2</w:t>
            </w:r>
            <w:r w:rsidRPr="00455BC3">
              <w:rPr>
                <w:rFonts w:ascii="Cambria" w:hAnsi="Cambria"/>
                <w:sz w:val="18"/>
                <w:szCs w:val="18"/>
              </w:rPr>
              <w:t>5-10 remplaçant la Rec.</w:t>
            </w:r>
            <w:r w:rsidR="00241CE4" w:rsidRPr="00455BC3">
              <w:rPr>
                <w:rFonts w:ascii="Cambria" w:hAnsi="Cambria"/>
                <w:sz w:val="18"/>
                <w:szCs w:val="18"/>
              </w:rPr>
              <w:t xml:space="preserve"> </w:t>
            </w:r>
            <w:r w:rsidRPr="00455BC3">
              <w:rPr>
                <w:rFonts w:ascii="Cambria" w:hAnsi="Cambria"/>
                <w:sz w:val="18"/>
                <w:szCs w:val="18"/>
              </w:rPr>
              <w:t>24-10 sur des mesures de conservation et de gestion, incluant une procédure de gestion pour l'espadon de l'Atlantique Nord, et à la réglementation nationale en vigueur.</w:t>
            </w:r>
          </w:p>
        </w:tc>
        <w:tc>
          <w:tcPr>
            <w:tcW w:w="236" w:type="dxa"/>
            <w:tcBorders>
              <w:top w:val="nil"/>
              <w:left w:val="single" w:sz="4" w:space="0" w:color="auto"/>
              <w:bottom w:val="nil"/>
              <w:right w:val="nil"/>
            </w:tcBorders>
            <w:vAlign w:val="center"/>
          </w:tcPr>
          <w:p w14:paraId="1B044722" w14:textId="77777777" w:rsidR="00F8000D" w:rsidRPr="00455BC3" w:rsidRDefault="00F8000D" w:rsidP="00F8000D">
            <w:pPr>
              <w:spacing w:after="0" w:line="240" w:lineRule="auto"/>
              <w:rPr>
                <w:rFonts w:ascii="Cambria" w:eastAsia="Times New Roman" w:hAnsi="Cambria" w:cs="Times New Roman"/>
                <w:sz w:val="18"/>
                <w:szCs w:val="18"/>
              </w:rPr>
            </w:pPr>
          </w:p>
        </w:tc>
      </w:tr>
      <w:tr w:rsidR="00F8000D" w:rsidRPr="00455BC3" w14:paraId="390B2895" w14:textId="77777777" w:rsidTr="00050B22">
        <w:tc>
          <w:tcPr>
            <w:tcW w:w="14176" w:type="dxa"/>
            <w:gridSpan w:val="11"/>
            <w:tcBorders>
              <w:right w:val="single" w:sz="4" w:space="0" w:color="auto"/>
            </w:tcBorders>
            <w:noWrap/>
          </w:tcPr>
          <w:p w14:paraId="5FADAEFE" w14:textId="1E9EB38F" w:rsidR="00F8000D" w:rsidRPr="00455BC3" w:rsidRDefault="00F8000D" w:rsidP="00140AA1">
            <w:pPr>
              <w:spacing w:after="0" w:line="240" w:lineRule="auto"/>
              <w:rPr>
                <w:rFonts w:ascii="Cambria" w:hAnsi="Cambria"/>
                <w:i/>
                <w:iCs/>
                <w:sz w:val="18"/>
                <w:szCs w:val="18"/>
              </w:rPr>
            </w:pPr>
            <w:r w:rsidRPr="00455BC3">
              <w:rPr>
                <w:rFonts w:ascii="Cambria" w:hAnsi="Cambria"/>
                <w:i/>
                <w:iCs/>
                <w:sz w:val="18"/>
                <w:szCs w:val="18"/>
              </w:rPr>
              <w:lastRenderedPageBreak/>
              <w:t>* Un quota de 127,5 t (reliquat= 15% du quota initial 2024 (850 t) + 150 t (transférées par le Japon au Maroc) + 25 t (transférées par Trinité-et-Tobago)</w:t>
            </w:r>
          </w:p>
        </w:tc>
        <w:tc>
          <w:tcPr>
            <w:tcW w:w="236" w:type="dxa"/>
            <w:tcBorders>
              <w:top w:val="nil"/>
              <w:left w:val="single" w:sz="4" w:space="0" w:color="auto"/>
              <w:bottom w:val="nil"/>
              <w:right w:val="nil"/>
            </w:tcBorders>
            <w:vAlign w:val="center"/>
          </w:tcPr>
          <w:p w14:paraId="251F3399" w14:textId="77777777" w:rsidR="00F8000D" w:rsidRPr="00455BC3" w:rsidRDefault="00F8000D" w:rsidP="00F8000D">
            <w:pPr>
              <w:spacing w:after="0" w:line="240" w:lineRule="auto"/>
              <w:rPr>
                <w:rFonts w:ascii="Cambria" w:eastAsia="Times New Roman" w:hAnsi="Cambria" w:cs="Times New Roman"/>
                <w:sz w:val="18"/>
                <w:szCs w:val="18"/>
              </w:rPr>
            </w:pPr>
          </w:p>
        </w:tc>
      </w:tr>
      <w:tr w:rsidR="00305950" w:rsidRPr="00455BC3" w14:paraId="1DBF842F" w14:textId="77777777" w:rsidTr="00CF742D">
        <w:tc>
          <w:tcPr>
            <w:tcW w:w="1135" w:type="dxa"/>
            <w:noWrap/>
            <w:vAlign w:val="center"/>
          </w:tcPr>
          <w:p w14:paraId="028EB495" w14:textId="3F1D4708" w:rsidR="00305950" w:rsidRPr="00455BC3" w:rsidRDefault="00305950" w:rsidP="001A06EC">
            <w:pPr>
              <w:spacing w:after="0" w:line="240" w:lineRule="auto"/>
              <w:jc w:val="center"/>
              <w:rPr>
                <w:rFonts w:ascii="Cambria" w:eastAsia="Times New Roman" w:hAnsi="Cambria" w:cs="Calibri"/>
                <w:b/>
                <w:bCs/>
                <w:color w:val="000000"/>
                <w:sz w:val="18"/>
                <w:szCs w:val="18"/>
              </w:rPr>
            </w:pPr>
            <w:r w:rsidRPr="00455BC3">
              <w:rPr>
                <w:rFonts w:ascii="Cambria" w:hAnsi="Cambria"/>
                <w:b/>
                <w:bCs/>
                <w:color w:val="000000"/>
                <w:sz w:val="18"/>
                <w:szCs w:val="18"/>
              </w:rPr>
              <w:t>Sénégal</w:t>
            </w:r>
          </w:p>
        </w:tc>
        <w:tc>
          <w:tcPr>
            <w:tcW w:w="992" w:type="dxa"/>
            <w:noWrap/>
            <w:vAlign w:val="center"/>
          </w:tcPr>
          <w:p w14:paraId="37B27B6A" w14:textId="6455A771" w:rsidR="00305950" w:rsidRPr="00455BC3" w:rsidRDefault="00305950"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Oui</w:t>
            </w:r>
          </w:p>
        </w:tc>
        <w:tc>
          <w:tcPr>
            <w:tcW w:w="992" w:type="dxa"/>
            <w:vAlign w:val="center"/>
          </w:tcPr>
          <w:p w14:paraId="55356FB2" w14:textId="41424441" w:rsidR="00305950" w:rsidRPr="00455BC3" w:rsidRDefault="00305950"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250</w:t>
            </w:r>
          </w:p>
        </w:tc>
        <w:tc>
          <w:tcPr>
            <w:tcW w:w="973" w:type="dxa"/>
            <w:noWrap/>
            <w:vAlign w:val="center"/>
          </w:tcPr>
          <w:p w14:paraId="6C518FE7" w14:textId="77777777" w:rsidR="00305950" w:rsidRPr="00455BC3" w:rsidRDefault="0030595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1</w:t>
            </w:r>
          </w:p>
          <w:p w14:paraId="12D16068" w14:textId="7D7DE086" w:rsidR="00305950" w:rsidRPr="00455BC3" w:rsidRDefault="00EC7C26"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8</w:t>
            </w:r>
          </w:p>
          <w:p w14:paraId="7E0AD681" w14:textId="0FF1B404" w:rsidR="00305950" w:rsidRPr="00455BC3" w:rsidRDefault="00305950"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5</w:t>
            </w:r>
          </w:p>
        </w:tc>
        <w:tc>
          <w:tcPr>
            <w:tcW w:w="870" w:type="dxa"/>
            <w:noWrap/>
            <w:vAlign w:val="center"/>
          </w:tcPr>
          <w:p w14:paraId="79DA049D" w14:textId="77777777" w:rsidR="00305950" w:rsidRPr="00455BC3" w:rsidRDefault="0030595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LL</w:t>
            </w:r>
          </w:p>
          <w:p w14:paraId="78121A99" w14:textId="77777777" w:rsidR="00305950" w:rsidRPr="00455BC3" w:rsidRDefault="0030595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PS</w:t>
            </w:r>
          </w:p>
          <w:p w14:paraId="00D400B6" w14:textId="5C247AC2" w:rsidR="00305950" w:rsidRPr="00455BC3" w:rsidRDefault="00305950"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BB</w:t>
            </w:r>
          </w:p>
        </w:tc>
        <w:tc>
          <w:tcPr>
            <w:tcW w:w="992" w:type="dxa"/>
            <w:noWrap/>
            <w:vAlign w:val="center"/>
          </w:tcPr>
          <w:p w14:paraId="602C04AE" w14:textId="77777777" w:rsidR="00305950" w:rsidRPr="00455BC3" w:rsidRDefault="00305950" w:rsidP="001A06EC">
            <w:pPr>
              <w:spacing w:after="0" w:line="240" w:lineRule="auto"/>
              <w:jc w:val="center"/>
              <w:rPr>
                <w:rFonts w:ascii="Cambria" w:eastAsia="Times New Roman" w:hAnsi="Cambria" w:cs="Calibri"/>
                <w:color w:val="000000"/>
                <w:sz w:val="18"/>
                <w:szCs w:val="18"/>
              </w:rPr>
            </w:pPr>
          </w:p>
        </w:tc>
        <w:tc>
          <w:tcPr>
            <w:tcW w:w="992" w:type="dxa"/>
            <w:noWrap/>
            <w:vAlign w:val="center"/>
          </w:tcPr>
          <w:p w14:paraId="3776E5C2" w14:textId="3BCF2D8A" w:rsidR="00305950" w:rsidRPr="00455BC3" w:rsidRDefault="0030595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3</w:t>
            </w:r>
          </w:p>
          <w:p w14:paraId="675904E3" w14:textId="1814D4BA" w:rsidR="00305950" w:rsidRPr="00455BC3" w:rsidRDefault="0030595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10</w:t>
            </w:r>
          </w:p>
          <w:p w14:paraId="13BC7AC1" w14:textId="5D1D6842" w:rsidR="00305950" w:rsidRPr="00455BC3" w:rsidRDefault="00305950"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5</w:t>
            </w:r>
          </w:p>
        </w:tc>
        <w:tc>
          <w:tcPr>
            <w:tcW w:w="851" w:type="dxa"/>
            <w:noWrap/>
            <w:vAlign w:val="center"/>
          </w:tcPr>
          <w:p w14:paraId="4C35861D" w14:textId="77777777" w:rsidR="00305950" w:rsidRPr="00455BC3" w:rsidRDefault="0030595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LL</w:t>
            </w:r>
          </w:p>
          <w:p w14:paraId="3C66F415" w14:textId="77777777" w:rsidR="00305950" w:rsidRPr="00455BC3" w:rsidRDefault="00305950"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PS</w:t>
            </w:r>
          </w:p>
          <w:p w14:paraId="40BE0080" w14:textId="54AE9288" w:rsidR="00305950" w:rsidRPr="00455BC3" w:rsidRDefault="00305950" w:rsidP="001A06EC">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BB</w:t>
            </w:r>
          </w:p>
        </w:tc>
        <w:tc>
          <w:tcPr>
            <w:tcW w:w="992" w:type="dxa"/>
            <w:noWrap/>
            <w:vAlign w:val="center"/>
          </w:tcPr>
          <w:p w14:paraId="542605CA" w14:textId="77777777" w:rsidR="00305950" w:rsidRPr="00455BC3" w:rsidRDefault="00305950" w:rsidP="001A06EC">
            <w:pPr>
              <w:spacing w:after="0" w:line="240" w:lineRule="auto"/>
              <w:jc w:val="center"/>
              <w:rPr>
                <w:rFonts w:ascii="Cambria" w:eastAsia="Times New Roman" w:hAnsi="Cambria" w:cs="Calibri"/>
                <w:color w:val="000000"/>
                <w:sz w:val="18"/>
                <w:szCs w:val="18"/>
              </w:rPr>
            </w:pPr>
          </w:p>
        </w:tc>
        <w:tc>
          <w:tcPr>
            <w:tcW w:w="3119" w:type="dxa"/>
          </w:tcPr>
          <w:p w14:paraId="1321A9B4" w14:textId="542840C9" w:rsidR="00305950" w:rsidRPr="00455BC3" w:rsidRDefault="00E213F7" w:rsidP="001A06EC">
            <w:pPr>
              <w:pStyle w:val="ListParagraph"/>
              <w:numPr>
                <w:ilvl w:val="0"/>
                <w:numId w:val="5"/>
              </w:numPr>
              <w:spacing w:after="0" w:line="240" w:lineRule="exact"/>
              <w:jc w:val="both"/>
              <w:rPr>
                <w:rFonts w:ascii="Cambria" w:hAnsi="Cambria"/>
                <w:sz w:val="18"/>
                <w:szCs w:val="18"/>
              </w:rPr>
            </w:pPr>
            <w:r w:rsidRPr="00455BC3">
              <w:rPr>
                <w:rFonts w:ascii="Cambria" w:hAnsi="Cambria"/>
                <w:sz w:val="18"/>
                <w:szCs w:val="18"/>
              </w:rPr>
              <w:t>Interdiction</w:t>
            </w:r>
            <w:r w:rsidR="00305950" w:rsidRPr="00455BC3">
              <w:rPr>
                <w:rFonts w:ascii="Cambria" w:hAnsi="Cambria"/>
                <w:sz w:val="18"/>
                <w:szCs w:val="18"/>
              </w:rPr>
              <w:t xml:space="preserve"> des grands filets pélagiques</w:t>
            </w:r>
          </w:p>
          <w:p w14:paraId="3BFF4CCB" w14:textId="64A24B08" w:rsidR="00305950" w:rsidRPr="00455BC3" w:rsidRDefault="00E213F7" w:rsidP="001A06EC">
            <w:pPr>
              <w:pStyle w:val="ListParagraph"/>
              <w:numPr>
                <w:ilvl w:val="0"/>
                <w:numId w:val="5"/>
              </w:numPr>
              <w:spacing w:after="0" w:line="240" w:lineRule="exact"/>
              <w:jc w:val="both"/>
              <w:rPr>
                <w:rFonts w:ascii="Cambria" w:hAnsi="Cambria"/>
                <w:sz w:val="18"/>
                <w:szCs w:val="18"/>
              </w:rPr>
            </w:pPr>
            <w:r w:rsidRPr="00455BC3">
              <w:rPr>
                <w:rFonts w:ascii="Cambria" w:hAnsi="Cambria"/>
                <w:sz w:val="18"/>
                <w:szCs w:val="18"/>
              </w:rPr>
              <w:t>Pêche</w:t>
            </w:r>
            <w:r w:rsidR="00305950" w:rsidRPr="00455BC3">
              <w:rPr>
                <w:rFonts w:ascii="Cambria" w:hAnsi="Cambria"/>
                <w:sz w:val="18"/>
                <w:szCs w:val="18"/>
              </w:rPr>
              <w:t xml:space="preserve"> sélective </w:t>
            </w:r>
          </w:p>
          <w:p w14:paraId="5B4C98E5" w14:textId="539D5918" w:rsidR="00305950" w:rsidRPr="00455BC3" w:rsidRDefault="00E213F7" w:rsidP="001A06EC">
            <w:pPr>
              <w:pStyle w:val="ListParagraph"/>
              <w:numPr>
                <w:ilvl w:val="0"/>
                <w:numId w:val="5"/>
              </w:numPr>
              <w:spacing w:after="0" w:line="240" w:lineRule="exact"/>
              <w:jc w:val="both"/>
              <w:rPr>
                <w:rFonts w:ascii="Cambria" w:hAnsi="Cambria"/>
                <w:sz w:val="18"/>
                <w:szCs w:val="18"/>
              </w:rPr>
            </w:pPr>
            <w:r w:rsidRPr="00455BC3">
              <w:rPr>
                <w:rFonts w:ascii="Cambria" w:hAnsi="Cambria"/>
                <w:sz w:val="18"/>
                <w:szCs w:val="18"/>
              </w:rPr>
              <w:t>Organisation</w:t>
            </w:r>
            <w:r w:rsidR="00305950" w:rsidRPr="00455BC3">
              <w:rPr>
                <w:rFonts w:ascii="Cambria" w:hAnsi="Cambria"/>
                <w:sz w:val="18"/>
                <w:szCs w:val="18"/>
              </w:rPr>
              <w:t xml:space="preserve"> de la pêche artisanale</w:t>
            </w:r>
          </w:p>
          <w:p w14:paraId="51B907AC" w14:textId="1E921AA1" w:rsidR="00140AA1" w:rsidRPr="00455BC3" w:rsidRDefault="00E213F7" w:rsidP="001805A4">
            <w:pPr>
              <w:pStyle w:val="ListParagraph"/>
              <w:numPr>
                <w:ilvl w:val="0"/>
                <w:numId w:val="5"/>
              </w:numPr>
              <w:spacing w:after="0" w:line="240" w:lineRule="exact"/>
              <w:jc w:val="both"/>
              <w:rPr>
                <w:rFonts w:ascii="Cambria" w:hAnsi="Cambria"/>
                <w:sz w:val="18"/>
                <w:szCs w:val="18"/>
              </w:rPr>
            </w:pPr>
            <w:r w:rsidRPr="00455BC3">
              <w:rPr>
                <w:rFonts w:ascii="Cambria" w:hAnsi="Cambria"/>
                <w:sz w:val="18"/>
                <w:szCs w:val="18"/>
              </w:rPr>
              <w:t>Autorisation</w:t>
            </w:r>
            <w:r w:rsidR="00305950" w:rsidRPr="00455BC3">
              <w:rPr>
                <w:rFonts w:ascii="Cambria" w:hAnsi="Cambria"/>
                <w:sz w:val="18"/>
                <w:szCs w:val="18"/>
              </w:rPr>
              <w:t xml:space="preserve"> spéciale</w:t>
            </w:r>
          </w:p>
        </w:tc>
        <w:tc>
          <w:tcPr>
            <w:tcW w:w="2268" w:type="dxa"/>
            <w:tcBorders>
              <w:bottom w:val="single" w:sz="4" w:space="0" w:color="auto"/>
              <w:right w:val="single" w:sz="4" w:space="0" w:color="auto"/>
            </w:tcBorders>
          </w:tcPr>
          <w:p w14:paraId="6311D010" w14:textId="3D1A6C11" w:rsidR="00305950" w:rsidRPr="00455BC3" w:rsidRDefault="00E213F7" w:rsidP="001A06EC">
            <w:pPr>
              <w:pStyle w:val="ListParagraph"/>
              <w:numPr>
                <w:ilvl w:val="0"/>
                <w:numId w:val="6"/>
              </w:numPr>
              <w:spacing w:after="0" w:line="240" w:lineRule="auto"/>
              <w:jc w:val="both"/>
              <w:rPr>
                <w:rFonts w:ascii="Cambria" w:hAnsi="Cambria"/>
                <w:sz w:val="18"/>
                <w:szCs w:val="18"/>
              </w:rPr>
            </w:pPr>
            <w:r w:rsidRPr="00455BC3">
              <w:rPr>
                <w:rFonts w:ascii="Cambria" w:hAnsi="Cambria"/>
                <w:sz w:val="18"/>
                <w:szCs w:val="18"/>
              </w:rPr>
              <w:t>Taille</w:t>
            </w:r>
            <w:r w:rsidR="00305950" w:rsidRPr="00455BC3">
              <w:rPr>
                <w:rFonts w:ascii="Cambria" w:hAnsi="Cambria"/>
                <w:sz w:val="18"/>
                <w:szCs w:val="18"/>
              </w:rPr>
              <w:t xml:space="preserve"> minimale 115 cm ou poids minimal de 25 kg</w:t>
            </w:r>
          </w:p>
          <w:p w14:paraId="426843E6" w14:textId="47E56964" w:rsidR="00305950" w:rsidRPr="00455BC3" w:rsidRDefault="00E213F7" w:rsidP="001A06EC">
            <w:pPr>
              <w:pStyle w:val="ListParagraph"/>
              <w:numPr>
                <w:ilvl w:val="0"/>
                <w:numId w:val="6"/>
              </w:numPr>
              <w:spacing w:after="0" w:line="240" w:lineRule="auto"/>
              <w:jc w:val="both"/>
              <w:rPr>
                <w:rFonts w:ascii="Cambria" w:hAnsi="Cambria"/>
                <w:sz w:val="18"/>
                <w:szCs w:val="18"/>
              </w:rPr>
            </w:pPr>
            <w:r w:rsidRPr="00455BC3">
              <w:rPr>
                <w:rFonts w:ascii="Cambria" w:hAnsi="Cambria"/>
                <w:sz w:val="18"/>
                <w:szCs w:val="18"/>
              </w:rPr>
              <w:t>Taux</w:t>
            </w:r>
            <w:r w:rsidR="00305950" w:rsidRPr="00455BC3">
              <w:rPr>
                <w:rFonts w:ascii="Cambria" w:hAnsi="Cambria"/>
                <w:sz w:val="18"/>
                <w:szCs w:val="18"/>
              </w:rPr>
              <w:t xml:space="preserve"> de prises accessoires</w:t>
            </w:r>
          </w:p>
        </w:tc>
        <w:tc>
          <w:tcPr>
            <w:tcW w:w="236" w:type="dxa"/>
            <w:tcBorders>
              <w:top w:val="nil"/>
              <w:left w:val="single" w:sz="4" w:space="0" w:color="auto"/>
              <w:bottom w:val="nil"/>
              <w:right w:val="nil"/>
            </w:tcBorders>
            <w:vAlign w:val="center"/>
          </w:tcPr>
          <w:p w14:paraId="3501B668" w14:textId="77777777" w:rsidR="00305950" w:rsidRPr="00455BC3" w:rsidRDefault="00305950" w:rsidP="00305950">
            <w:pPr>
              <w:spacing w:after="0" w:line="240" w:lineRule="auto"/>
              <w:rPr>
                <w:rFonts w:ascii="Cambria" w:eastAsia="Times New Roman" w:hAnsi="Cambria" w:cs="Times New Roman"/>
                <w:sz w:val="18"/>
                <w:szCs w:val="18"/>
              </w:rPr>
            </w:pPr>
          </w:p>
        </w:tc>
      </w:tr>
      <w:tr w:rsidR="00EC7C26" w:rsidRPr="00455BC3" w14:paraId="6807ACF9" w14:textId="77777777" w:rsidTr="00CF742D">
        <w:tc>
          <w:tcPr>
            <w:tcW w:w="1135" w:type="dxa"/>
            <w:noWrap/>
            <w:vAlign w:val="center"/>
          </w:tcPr>
          <w:p w14:paraId="114C4143" w14:textId="678F22FD" w:rsidR="00EC7C26" w:rsidRPr="00455BC3" w:rsidRDefault="00EC7C26" w:rsidP="00EC7C26">
            <w:pPr>
              <w:spacing w:after="0" w:line="240" w:lineRule="auto"/>
              <w:jc w:val="center"/>
              <w:rPr>
                <w:rFonts w:ascii="Cambria" w:eastAsia="Times New Roman" w:hAnsi="Cambria" w:cs="Calibri"/>
                <w:b/>
                <w:bCs/>
                <w:color w:val="000000"/>
                <w:sz w:val="18"/>
                <w:szCs w:val="18"/>
              </w:rPr>
            </w:pPr>
            <w:r w:rsidRPr="00455BC3">
              <w:rPr>
                <w:rFonts w:ascii="Cambria" w:hAnsi="Cambria"/>
                <w:b/>
                <w:bCs/>
                <w:color w:val="000000"/>
                <w:sz w:val="18"/>
                <w:szCs w:val="18"/>
              </w:rPr>
              <w:t>États-Unis</w:t>
            </w:r>
          </w:p>
        </w:tc>
        <w:tc>
          <w:tcPr>
            <w:tcW w:w="992" w:type="dxa"/>
            <w:noWrap/>
            <w:vAlign w:val="center"/>
          </w:tcPr>
          <w:p w14:paraId="35705725" w14:textId="011313A1"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Oui</w:t>
            </w:r>
          </w:p>
        </w:tc>
        <w:tc>
          <w:tcPr>
            <w:tcW w:w="992" w:type="dxa"/>
            <w:vAlign w:val="center"/>
          </w:tcPr>
          <w:p w14:paraId="31CBFBF0" w14:textId="3E10D97C"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3</w:t>
            </w:r>
            <w:r w:rsidR="00ED2C21" w:rsidRPr="00455BC3">
              <w:rPr>
                <w:rFonts w:ascii="Cambria" w:hAnsi="Cambria"/>
                <w:color w:val="000000"/>
                <w:sz w:val="18"/>
                <w:szCs w:val="18"/>
              </w:rPr>
              <w:t> </w:t>
            </w:r>
            <w:r w:rsidRPr="00455BC3">
              <w:rPr>
                <w:rFonts w:ascii="Cambria" w:hAnsi="Cambria"/>
                <w:color w:val="000000"/>
                <w:sz w:val="18"/>
                <w:szCs w:val="18"/>
              </w:rPr>
              <w:t>907</w:t>
            </w:r>
          </w:p>
        </w:tc>
        <w:tc>
          <w:tcPr>
            <w:tcW w:w="973" w:type="dxa"/>
            <w:noWrap/>
            <w:vAlign w:val="center"/>
          </w:tcPr>
          <w:p w14:paraId="0F6A984B" w14:textId="6EABB214"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205</w:t>
            </w:r>
          </w:p>
          <w:p w14:paraId="2D142921" w14:textId="431B6846"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66</w:t>
            </w:r>
          </w:p>
          <w:p w14:paraId="798CE353" w14:textId="495B4113"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1</w:t>
            </w:r>
            <w:r w:rsidR="00ED2C21" w:rsidRPr="00455BC3">
              <w:rPr>
                <w:rFonts w:ascii="Cambria" w:hAnsi="Cambria"/>
                <w:color w:val="000000"/>
                <w:sz w:val="18"/>
                <w:szCs w:val="18"/>
              </w:rPr>
              <w:t> </w:t>
            </w:r>
            <w:r w:rsidRPr="00455BC3">
              <w:rPr>
                <w:rFonts w:ascii="Cambria" w:hAnsi="Cambria"/>
                <w:color w:val="000000"/>
                <w:sz w:val="18"/>
                <w:szCs w:val="18"/>
              </w:rPr>
              <w:t>122</w:t>
            </w:r>
          </w:p>
        </w:tc>
        <w:tc>
          <w:tcPr>
            <w:tcW w:w="870" w:type="dxa"/>
            <w:noWrap/>
            <w:vAlign w:val="center"/>
          </w:tcPr>
          <w:p w14:paraId="61299A9B" w14:textId="77777777"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LL</w:t>
            </w:r>
          </w:p>
          <w:p w14:paraId="29328445" w14:textId="77777777"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TO</w:t>
            </w:r>
          </w:p>
          <w:p w14:paraId="2CF9EFC0" w14:textId="32516DA1"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OT</w:t>
            </w:r>
          </w:p>
        </w:tc>
        <w:tc>
          <w:tcPr>
            <w:tcW w:w="992" w:type="dxa"/>
            <w:noWrap/>
            <w:vAlign w:val="center"/>
          </w:tcPr>
          <w:p w14:paraId="0B6F5153" w14:textId="77777777" w:rsidR="00EC7C26" w:rsidRPr="00455BC3" w:rsidRDefault="00EC7C26" w:rsidP="00EC7C26">
            <w:pPr>
              <w:spacing w:after="0" w:line="240" w:lineRule="auto"/>
              <w:jc w:val="center"/>
              <w:rPr>
                <w:rFonts w:ascii="Cambria" w:eastAsia="Times New Roman" w:hAnsi="Cambria" w:cs="Calibri"/>
                <w:color w:val="000000"/>
                <w:sz w:val="18"/>
                <w:szCs w:val="18"/>
              </w:rPr>
            </w:pPr>
          </w:p>
        </w:tc>
        <w:tc>
          <w:tcPr>
            <w:tcW w:w="992" w:type="dxa"/>
            <w:noWrap/>
            <w:vAlign w:val="center"/>
          </w:tcPr>
          <w:p w14:paraId="5E5A5FD9" w14:textId="77777777"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205</w:t>
            </w:r>
          </w:p>
          <w:p w14:paraId="4C1BE711" w14:textId="77777777"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66</w:t>
            </w:r>
          </w:p>
          <w:p w14:paraId="488F95F3" w14:textId="4CDC64B9"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1</w:t>
            </w:r>
            <w:r w:rsidR="00ED2C21" w:rsidRPr="00455BC3">
              <w:rPr>
                <w:rFonts w:ascii="Cambria" w:hAnsi="Cambria"/>
                <w:color w:val="000000"/>
                <w:sz w:val="18"/>
                <w:szCs w:val="18"/>
              </w:rPr>
              <w:t> </w:t>
            </w:r>
            <w:r w:rsidRPr="00455BC3">
              <w:rPr>
                <w:rFonts w:ascii="Cambria" w:hAnsi="Cambria"/>
                <w:color w:val="000000"/>
                <w:sz w:val="18"/>
                <w:szCs w:val="18"/>
              </w:rPr>
              <w:t>122</w:t>
            </w:r>
          </w:p>
        </w:tc>
        <w:tc>
          <w:tcPr>
            <w:tcW w:w="851" w:type="dxa"/>
            <w:noWrap/>
            <w:vAlign w:val="center"/>
          </w:tcPr>
          <w:p w14:paraId="636277C5" w14:textId="77777777"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LL</w:t>
            </w:r>
          </w:p>
          <w:p w14:paraId="5399A9B1" w14:textId="77777777"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TO</w:t>
            </w:r>
          </w:p>
          <w:p w14:paraId="477858FA" w14:textId="490FBF12" w:rsidR="00EC7C26" w:rsidRPr="00455BC3" w:rsidRDefault="00EC7C26" w:rsidP="00EC7C26">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OT</w:t>
            </w:r>
          </w:p>
        </w:tc>
        <w:tc>
          <w:tcPr>
            <w:tcW w:w="992" w:type="dxa"/>
            <w:noWrap/>
            <w:vAlign w:val="center"/>
          </w:tcPr>
          <w:p w14:paraId="6EFA5685" w14:textId="77777777" w:rsidR="00EC7C26" w:rsidRPr="00455BC3" w:rsidRDefault="00EC7C26" w:rsidP="00EC7C26">
            <w:pPr>
              <w:spacing w:after="0" w:line="240" w:lineRule="auto"/>
              <w:jc w:val="center"/>
              <w:rPr>
                <w:rFonts w:ascii="Cambria" w:eastAsia="Times New Roman" w:hAnsi="Cambria" w:cs="Calibri"/>
                <w:color w:val="000000"/>
                <w:sz w:val="18"/>
                <w:szCs w:val="18"/>
              </w:rPr>
            </w:pPr>
          </w:p>
        </w:tc>
        <w:tc>
          <w:tcPr>
            <w:tcW w:w="3119" w:type="dxa"/>
          </w:tcPr>
          <w:p w14:paraId="14D61525" w14:textId="6EFB93B1" w:rsidR="00EC7C26" w:rsidRPr="00455BC3" w:rsidRDefault="00EC7C26" w:rsidP="00EC7C26">
            <w:pPr>
              <w:spacing w:after="0" w:line="240" w:lineRule="exact"/>
              <w:jc w:val="both"/>
              <w:rPr>
                <w:rFonts w:ascii="Cambria" w:hAnsi="Cambria"/>
                <w:sz w:val="18"/>
                <w:szCs w:val="18"/>
              </w:rPr>
            </w:pPr>
            <w:r w:rsidRPr="00455BC3">
              <w:rPr>
                <w:rFonts w:ascii="Cambria" w:hAnsi="Cambria"/>
                <w:sz w:val="18"/>
                <w:szCs w:val="18"/>
              </w:rPr>
              <w:t xml:space="preserve">Pour plus d'informations détaillées, veuillez consulter notre plan complet de pêche/gestion dans le document </w:t>
            </w:r>
            <w:hyperlink r:id="rId17" w:history="1">
              <w:r w:rsidRPr="0052585B">
                <w:rPr>
                  <w:rStyle w:val="Hyperlink"/>
                  <w:rFonts w:ascii="Cambria" w:hAnsi="Cambria"/>
                  <w:sz w:val="18"/>
                  <w:szCs w:val="18"/>
                </w:rPr>
                <w:t>PA4_801_Annexe 1/2024</w:t>
              </w:r>
            </w:hyperlink>
            <w:r w:rsidRPr="00455BC3">
              <w:rPr>
                <w:rFonts w:ascii="Cambria" w:hAnsi="Cambria"/>
                <w:sz w:val="18"/>
                <w:szCs w:val="18"/>
              </w:rPr>
              <w:t xml:space="preserve">. Les mesures de gestion relatives à l’espadon de l’Atlantique aux États-Unis sont élaborées, coordonnées et mises en œuvre par le biais d’un seul Plan de gestion des pêches (FMP), le FMP d’espèces de grands migrateurs de l’Atlantique (HMS) consolidé de 2006, qui est émis sous la juridiction du service national des pêches maritimes de la NOAA. Les recommandations adoptées par l'ICCAT, dont les allocations annuelles de quota aux États-Unis, sont mises en </w:t>
            </w:r>
            <w:r w:rsidRPr="00455BC3">
              <w:rPr>
                <w:rFonts w:ascii="Cambria" w:hAnsi="Cambria"/>
                <w:sz w:val="18"/>
                <w:szCs w:val="18"/>
              </w:rPr>
              <w:lastRenderedPageBreak/>
              <w:t>œuvre aux États-Unis par voie de règlements promulgués en vertu de la Loi sur la Convention des thonidés de l'Atlantique. L’allocation annuelle du quota d’espadon des États-Unis est divisée en quotas semestriels équivalents pour la pêche dirigée (débarquements commerciaux dans leur ensemble), un quota annuel de capture accidentelle pour les pêcheurs ciblant d’autres espèces ou capturant l’espadon de façon récréative, et une catégorie de réserve. La législation nationale, dont la Loi Magnuson-Stevens sur la gestion et la conservation des ressources halieutiques, la Loi sur les espèces en danger et la Loi sur la protection des mammifères marins, crée également des obligations en matière de mesures de conservation et de gestion pour le secteur récréatif et le secteur commercial. Les mesures de gestion détaillées dans notre plan complet incluent : des contrôles des permis et de l’effort, des exigences en matière de taille minimale et de débarquements, une autorisation pour</w:t>
            </w:r>
            <w:r w:rsidR="00625CFF" w:rsidRPr="00455BC3">
              <w:rPr>
                <w:rFonts w:ascii="Cambria" w:hAnsi="Cambria"/>
                <w:sz w:val="18"/>
                <w:szCs w:val="18"/>
              </w:rPr>
              <w:t xml:space="preserve"> </w:t>
            </w:r>
            <w:r w:rsidRPr="00455BC3">
              <w:rPr>
                <w:rFonts w:ascii="Cambria" w:hAnsi="Cambria"/>
                <w:sz w:val="18"/>
                <w:szCs w:val="18"/>
              </w:rPr>
              <w:t xml:space="preserve">les engins, des limites de rétention, des fermetures spatiales et temporelles et des zones réglementées quant aux engins, des exigences de déclaration, le suivi et la déclaration, la réduction des prises accessoires et l’exécution des règlements relatifs à l’espadon. </w:t>
            </w:r>
          </w:p>
        </w:tc>
        <w:tc>
          <w:tcPr>
            <w:tcW w:w="2268" w:type="dxa"/>
            <w:tcBorders>
              <w:bottom w:val="single" w:sz="4" w:space="0" w:color="auto"/>
              <w:right w:val="single" w:sz="4" w:space="0" w:color="auto"/>
            </w:tcBorders>
          </w:tcPr>
          <w:p w14:paraId="73F5E469" w14:textId="75A55877" w:rsidR="00EC7C26" w:rsidRPr="00455BC3" w:rsidRDefault="00EC7C26" w:rsidP="00EC7C26">
            <w:pPr>
              <w:spacing w:after="0" w:line="240" w:lineRule="auto"/>
              <w:jc w:val="both"/>
              <w:rPr>
                <w:rFonts w:ascii="Cambria" w:hAnsi="Cambria"/>
                <w:sz w:val="18"/>
                <w:szCs w:val="18"/>
              </w:rPr>
            </w:pPr>
            <w:r w:rsidRPr="00455BC3">
              <w:rPr>
                <w:rFonts w:ascii="Cambria" w:hAnsi="Cambria"/>
                <w:sz w:val="18"/>
                <w:szCs w:val="18"/>
              </w:rPr>
              <w:lastRenderedPageBreak/>
              <w:t xml:space="preserve">Les États-Unis font également preuve de coopération avec les autres CPC aux fins de l’utilisation durable du stock. En 2024, conformément à la Rec. 23-04, les États-Unis ont transféré à titre exceptionnel 200 tonnes de leur quota d'espadon de l'Atlantique Nord au Maroc. En 2025, conformément à la Rec. 24-10, les États-Unis ont effectué un transfert unique de quota de 300 tonnes au Costa Rica. Ces transferts visent à faciliter </w:t>
            </w:r>
            <w:r w:rsidRPr="00455BC3">
              <w:rPr>
                <w:rFonts w:ascii="Cambria" w:hAnsi="Cambria"/>
                <w:sz w:val="18"/>
                <w:szCs w:val="18"/>
              </w:rPr>
              <w:lastRenderedPageBreak/>
              <w:t xml:space="preserve">les efforts de gestion coopérative entre les Parties contractantes de l’ICCAT. Veuillez consulter notre plan de pêche/gestion complet inclus dans le </w:t>
            </w:r>
            <w:hyperlink r:id="rId18" w:history="1">
              <w:r w:rsidRPr="00805E85">
                <w:rPr>
                  <w:rStyle w:val="Hyperlink"/>
                  <w:rFonts w:ascii="Cambria" w:hAnsi="Cambria"/>
                  <w:sz w:val="18"/>
                  <w:szCs w:val="18"/>
                </w:rPr>
                <w:t>PA4_801_Annex 1/2024</w:t>
              </w:r>
            </w:hyperlink>
            <w:r w:rsidRPr="00455BC3">
              <w:rPr>
                <w:rFonts w:ascii="Cambria" w:hAnsi="Cambria"/>
                <w:sz w:val="18"/>
                <w:szCs w:val="18"/>
              </w:rPr>
              <w:t xml:space="preserve"> pour plus de détails sur le développement des pêches et les changements apportés aux mesures de gestion nationales. Ces dernières années, les États-Unis ont proposé ou mis en œuvre des mesures de gestion visant à offrir des avantages aux palangriers pélagiques et aux navires commerciaux à la ligne à main américains qui ciblent l’espadon. Certains des changements les plus importants ont été mis en œuvre en 2023 et 2026, y compris l’accès à des zones auparavant fermées, de sorte que les avantages pour la pêcherie pourraient ne pas encore être reflétés dans les tendances de captures. De plus, les États-Unis ont récemment mis en œuvre la procédure de gestion en vertu de la Rec. 24-10, permettant une mise en œuvre simplifiée des quotas nationaux. Les États-Unis continuent de </w:t>
            </w:r>
            <w:r w:rsidRPr="00455BC3">
              <w:rPr>
                <w:rFonts w:ascii="Cambria" w:hAnsi="Cambria"/>
                <w:sz w:val="18"/>
                <w:szCs w:val="18"/>
              </w:rPr>
              <w:lastRenderedPageBreak/>
              <w:t>rechercher des moyens d'améliorer la gestion et la science halieutiques dans le respect des exigences légales applicables, comme le prévoit le décret exécutif sur le rétablissement de la compétitivité des produits de la mer américains, y compris des mesures visant à lever les restrictions nationales liées aux pêcheries de ligne à main et de palangre pélagique ciblant l’espadon.</w:t>
            </w:r>
          </w:p>
        </w:tc>
        <w:tc>
          <w:tcPr>
            <w:tcW w:w="236" w:type="dxa"/>
            <w:tcBorders>
              <w:top w:val="nil"/>
              <w:left w:val="single" w:sz="4" w:space="0" w:color="auto"/>
              <w:bottom w:val="nil"/>
              <w:right w:val="nil"/>
            </w:tcBorders>
            <w:vAlign w:val="center"/>
          </w:tcPr>
          <w:p w14:paraId="3B488449" w14:textId="77777777" w:rsidR="00EC7C26" w:rsidRPr="00455BC3" w:rsidRDefault="00EC7C26" w:rsidP="00EC7C26">
            <w:pPr>
              <w:spacing w:after="0" w:line="240" w:lineRule="auto"/>
              <w:rPr>
                <w:rFonts w:ascii="Cambria" w:eastAsia="Times New Roman" w:hAnsi="Cambria" w:cs="Times New Roman"/>
                <w:sz w:val="18"/>
                <w:szCs w:val="18"/>
              </w:rPr>
            </w:pPr>
          </w:p>
        </w:tc>
      </w:tr>
      <w:tr w:rsidR="00305950" w:rsidRPr="00455BC3" w14:paraId="3EA537A2" w14:textId="77777777" w:rsidTr="00CF742D">
        <w:tc>
          <w:tcPr>
            <w:tcW w:w="1135" w:type="dxa"/>
            <w:noWrap/>
            <w:vAlign w:val="center"/>
          </w:tcPr>
          <w:p w14:paraId="7A2B8D27" w14:textId="57D2DA04" w:rsidR="00305950" w:rsidRPr="00455BC3" w:rsidRDefault="00305950" w:rsidP="00305950">
            <w:pPr>
              <w:spacing w:after="0" w:line="240" w:lineRule="auto"/>
              <w:jc w:val="center"/>
              <w:rPr>
                <w:rFonts w:ascii="Cambria" w:eastAsia="Times New Roman" w:hAnsi="Cambria" w:cs="Calibri"/>
                <w:b/>
                <w:bCs/>
                <w:color w:val="000000"/>
                <w:sz w:val="18"/>
                <w:szCs w:val="18"/>
              </w:rPr>
            </w:pPr>
            <w:r w:rsidRPr="00455BC3">
              <w:rPr>
                <w:rFonts w:ascii="Cambria" w:hAnsi="Cambria"/>
                <w:b/>
                <w:bCs/>
                <w:color w:val="000000"/>
                <w:sz w:val="18"/>
                <w:szCs w:val="18"/>
              </w:rPr>
              <w:lastRenderedPageBreak/>
              <w:t>Venezuela</w:t>
            </w:r>
          </w:p>
        </w:tc>
        <w:tc>
          <w:tcPr>
            <w:tcW w:w="992" w:type="dxa"/>
            <w:noWrap/>
            <w:vAlign w:val="center"/>
          </w:tcPr>
          <w:p w14:paraId="73D317F6" w14:textId="1D1CA102" w:rsidR="00305950" w:rsidRPr="00455BC3" w:rsidRDefault="001A06EC"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Non</w:t>
            </w:r>
          </w:p>
        </w:tc>
        <w:tc>
          <w:tcPr>
            <w:tcW w:w="992" w:type="dxa"/>
            <w:vAlign w:val="center"/>
          </w:tcPr>
          <w:p w14:paraId="044B2FE2" w14:textId="081DDAC6" w:rsidR="00305950" w:rsidRPr="00455BC3" w:rsidRDefault="001A06EC" w:rsidP="00305950">
            <w:pPr>
              <w:spacing w:after="0" w:line="240" w:lineRule="auto"/>
              <w:jc w:val="center"/>
              <w:rPr>
                <w:rFonts w:ascii="Cambria" w:eastAsia="Times New Roman" w:hAnsi="Cambria" w:cs="Calibri"/>
                <w:color w:val="000000"/>
                <w:sz w:val="18"/>
                <w:szCs w:val="18"/>
              </w:rPr>
            </w:pPr>
            <w:r w:rsidRPr="00455BC3">
              <w:rPr>
                <w:rFonts w:ascii="Cambria" w:hAnsi="Cambria"/>
                <w:color w:val="000000"/>
                <w:sz w:val="18"/>
                <w:szCs w:val="18"/>
              </w:rPr>
              <w:t>85</w:t>
            </w:r>
          </w:p>
        </w:tc>
        <w:tc>
          <w:tcPr>
            <w:tcW w:w="973" w:type="dxa"/>
            <w:noWrap/>
            <w:vAlign w:val="center"/>
          </w:tcPr>
          <w:p w14:paraId="537899C9" w14:textId="2E1C1A48" w:rsidR="00305950" w:rsidRPr="00455BC3" w:rsidRDefault="00305950" w:rsidP="00305950">
            <w:pPr>
              <w:spacing w:after="0" w:line="240" w:lineRule="auto"/>
              <w:jc w:val="center"/>
              <w:rPr>
                <w:rFonts w:ascii="Cambria" w:eastAsia="Times New Roman" w:hAnsi="Cambria" w:cs="Calibri"/>
                <w:color w:val="000000"/>
                <w:sz w:val="18"/>
                <w:szCs w:val="18"/>
              </w:rPr>
            </w:pPr>
          </w:p>
        </w:tc>
        <w:tc>
          <w:tcPr>
            <w:tcW w:w="870" w:type="dxa"/>
            <w:noWrap/>
            <w:vAlign w:val="center"/>
          </w:tcPr>
          <w:p w14:paraId="54B0A60F" w14:textId="1B051C51" w:rsidR="00305950" w:rsidRPr="00455BC3" w:rsidRDefault="00305950" w:rsidP="00305950">
            <w:pPr>
              <w:spacing w:after="0" w:line="240" w:lineRule="auto"/>
              <w:jc w:val="center"/>
              <w:rPr>
                <w:rFonts w:ascii="Cambria" w:eastAsia="Times New Roman" w:hAnsi="Cambria" w:cs="Calibri"/>
                <w:color w:val="000000"/>
                <w:sz w:val="18"/>
                <w:szCs w:val="18"/>
              </w:rPr>
            </w:pPr>
          </w:p>
        </w:tc>
        <w:tc>
          <w:tcPr>
            <w:tcW w:w="992" w:type="dxa"/>
            <w:noWrap/>
            <w:vAlign w:val="center"/>
          </w:tcPr>
          <w:p w14:paraId="17DF78D3" w14:textId="77777777" w:rsidR="00305950" w:rsidRPr="00455BC3" w:rsidRDefault="00305950" w:rsidP="00305950">
            <w:pPr>
              <w:spacing w:after="0" w:line="240" w:lineRule="auto"/>
              <w:jc w:val="center"/>
              <w:rPr>
                <w:rFonts w:ascii="Cambria" w:eastAsia="Times New Roman" w:hAnsi="Cambria" w:cs="Calibri"/>
                <w:color w:val="000000"/>
                <w:sz w:val="18"/>
                <w:szCs w:val="18"/>
              </w:rPr>
            </w:pPr>
          </w:p>
        </w:tc>
        <w:tc>
          <w:tcPr>
            <w:tcW w:w="992" w:type="dxa"/>
            <w:noWrap/>
            <w:vAlign w:val="center"/>
          </w:tcPr>
          <w:p w14:paraId="732AF54A" w14:textId="77777777" w:rsidR="00305950" w:rsidRPr="00455BC3" w:rsidRDefault="00305950" w:rsidP="00305950">
            <w:pPr>
              <w:spacing w:after="0" w:line="240" w:lineRule="auto"/>
              <w:jc w:val="center"/>
              <w:rPr>
                <w:rFonts w:ascii="Cambria" w:eastAsia="Times New Roman" w:hAnsi="Cambria" w:cs="Calibri"/>
                <w:color w:val="000000"/>
                <w:sz w:val="18"/>
                <w:szCs w:val="18"/>
              </w:rPr>
            </w:pPr>
          </w:p>
        </w:tc>
        <w:tc>
          <w:tcPr>
            <w:tcW w:w="851" w:type="dxa"/>
            <w:noWrap/>
            <w:vAlign w:val="center"/>
          </w:tcPr>
          <w:p w14:paraId="52111264" w14:textId="77777777" w:rsidR="00305950" w:rsidRPr="00455BC3" w:rsidRDefault="00305950" w:rsidP="00305950">
            <w:pPr>
              <w:spacing w:after="0" w:line="240" w:lineRule="auto"/>
              <w:jc w:val="center"/>
              <w:rPr>
                <w:rFonts w:ascii="Cambria" w:eastAsia="Times New Roman" w:hAnsi="Cambria" w:cs="Calibri"/>
                <w:color w:val="000000"/>
                <w:sz w:val="18"/>
                <w:szCs w:val="18"/>
              </w:rPr>
            </w:pPr>
          </w:p>
        </w:tc>
        <w:tc>
          <w:tcPr>
            <w:tcW w:w="992" w:type="dxa"/>
            <w:noWrap/>
            <w:vAlign w:val="center"/>
          </w:tcPr>
          <w:p w14:paraId="73FB5F91" w14:textId="77777777" w:rsidR="00305950" w:rsidRPr="00455BC3" w:rsidRDefault="00305950" w:rsidP="00305950">
            <w:pPr>
              <w:spacing w:after="0" w:line="240" w:lineRule="auto"/>
              <w:jc w:val="center"/>
              <w:rPr>
                <w:rFonts w:ascii="Cambria" w:eastAsia="Times New Roman" w:hAnsi="Cambria" w:cs="Calibri"/>
                <w:color w:val="000000"/>
                <w:sz w:val="18"/>
                <w:szCs w:val="18"/>
              </w:rPr>
            </w:pPr>
          </w:p>
        </w:tc>
        <w:tc>
          <w:tcPr>
            <w:tcW w:w="3119" w:type="dxa"/>
          </w:tcPr>
          <w:p w14:paraId="0D8E2455" w14:textId="46CD6F9A" w:rsidR="00305950" w:rsidRPr="00455BC3" w:rsidRDefault="00BE37CE" w:rsidP="00305950">
            <w:pPr>
              <w:spacing w:after="0" w:line="240" w:lineRule="exact"/>
              <w:jc w:val="both"/>
              <w:rPr>
                <w:rFonts w:ascii="Cambria" w:hAnsi="Cambria"/>
                <w:sz w:val="18"/>
                <w:szCs w:val="18"/>
              </w:rPr>
            </w:pPr>
            <w:r w:rsidRPr="00455BC3">
              <w:rPr>
                <w:rFonts w:ascii="Cambria" w:hAnsi="Cambria"/>
                <w:sz w:val="18"/>
                <w:szCs w:val="18"/>
              </w:rPr>
              <w:t xml:space="preserve">Conformément à la DÉCISION ADMINISTRATIVE n°69/2003 08 -09- 2003 publiée au journal officiel n°37.787 en date du 1er octobre 2003, l’article 4 établit une zone de protection de la pêche dans laquelle il est interdit aux navires commerciaux de plus de 10 U.A.B et aux navires artisanaux, à l’exception d’une petite flottille de 35 bateaux artisanaux du secteur de </w:t>
            </w:r>
            <w:proofErr w:type="spellStart"/>
            <w:r w:rsidRPr="00455BC3">
              <w:rPr>
                <w:rFonts w:ascii="Cambria" w:hAnsi="Cambria"/>
                <w:sz w:val="18"/>
                <w:szCs w:val="18"/>
              </w:rPr>
              <w:t>Playa</w:t>
            </w:r>
            <w:proofErr w:type="spellEnd"/>
            <w:r w:rsidRPr="00455BC3">
              <w:rPr>
                <w:rFonts w:ascii="Cambria" w:hAnsi="Cambria"/>
                <w:sz w:val="18"/>
                <w:szCs w:val="18"/>
              </w:rPr>
              <w:t xml:space="preserve"> Verde dans l’état de La Guaira, de capturer des espèces de la famille </w:t>
            </w:r>
            <w:proofErr w:type="spellStart"/>
            <w:r w:rsidRPr="00455BC3">
              <w:rPr>
                <w:rFonts w:ascii="Cambria" w:hAnsi="Cambria"/>
                <w:sz w:val="18"/>
                <w:szCs w:val="18"/>
              </w:rPr>
              <w:t>Xiphi</w:t>
            </w:r>
            <w:r w:rsidR="007142FF" w:rsidRPr="00455BC3">
              <w:rPr>
                <w:rFonts w:ascii="Cambria" w:hAnsi="Cambria"/>
                <w:sz w:val="18"/>
                <w:szCs w:val="18"/>
              </w:rPr>
              <w:t>i</w:t>
            </w:r>
            <w:r w:rsidRPr="00455BC3">
              <w:rPr>
                <w:rFonts w:ascii="Cambria" w:hAnsi="Cambria"/>
                <w:sz w:val="18"/>
                <w:szCs w:val="18"/>
              </w:rPr>
              <w:t>dae</w:t>
            </w:r>
            <w:proofErr w:type="spellEnd"/>
            <w:r w:rsidRPr="00455BC3">
              <w:rPr>
                <w:rFonts w:ascii="Cambria" w:hAnsi="Cambria"/>
                <w:sz w:val="18"/>
                <w:szCs w:val="18"/>
              </w:rPr>
              <w:t xml:space="preserve"> et de la famille </w:t>
            </w:r>
            <w:proofErr w:type="spellStart"/>
            <w:r w:rsidRPr="00455BC3">
              <w:rPr>
                <w:rFonts w:ascii="Cambria" w:hAnsi="Cambria"/>
                <w:sz w:val="18"/>
                <w:szCs w:val="18"/>
              </w:rPr>
              <w:t>Istiophoridae</w:t>
            </w:r>
            <w:proofErr w:type="spellEnd"/>
            <w:r w:rsidRPr="00455BC3">
              <w:rPr>
                <w:rFonts w:ascii="Cambria" w:hAnsi="Cambria"/>
                <w:sz w:val="18"/>
                <w:szCs w:val="18"/>
              </w:rPr>
              <w:t>.</w:t>
            </w:r>
          </w:p>
        </w:tc>
        <w:tc>
          <w:tcPr>
            <w:tcW w:w="2268" w:type="dxa"/>
            <w:tcBorders>
              <w:bottom w:val="single" w:sz="4" w:space="0" w:color="auto"/>
              <w:right w:val="single" w:sz="4" w:space="0" w:color="auto"/>
            </w:tcBorders>
          </w:tcPr>
          <w:p w14:paraId="21147EAA" w14:textId="6F1BEB4F" w:rsidR="00305950" w:rsidRPr="00455BC3" w:rsidRDefault="00BE37CE" w:rsidP="00BE37CE">
            <w:pPr>
              <w:spacing w:after="0" w:line="240" w:lineRule="auto"/>
              <w:jc w:val="both"/>
              <w:rPr>
                <w:rFonts w:ascii="Cambria" w:hAnsi="Cambria"/>
                <w:sz w:val="18"/>
                <w:szCs w:val="18"/>
              </w:rPr>
            </w:pPr>
            <w:r w:rsidRPr="00455BC3">
              <w:rPr>
                <w:rFonts w:ascii="Cambria" w:hAnsi="Cambria"/>
                <w:sz w:val="18"/>
                <w:szCs w:val="18"/>
              </w:rPr>
              <w:t xml:space="preserve">Plans de développement de la pêcherie et mesures de gestion internes envisagées. Un projet de résolution a été élaboré visant à actualiser la norme régissant la capture des poissons appartenant à la famille </w:t>
            </w:r>
            <w:proofErr w:type="spellStart"/>
            <w:r w:rsidRPr="00455BC3">
              <w:rPr>
                <w:rFonts w:ascii="Cambria" w:hAnsi="Cambria"/>
                <w:sz w:val="18"/>
                <w:szCs w:val="18"/>
              </w:rPr>
              <w:t>Istiophoridae</w:t>
            </w:r>
            <w:proofErr w:type="spellEnd"/>
            <w:r w:rsidRPr="00455BC3">
              <w:rPr>
                <w:rFonts w:ascii="Cambria" w:hAnsi="Cambria"/>
                <w:sz w:val="18"/>
                <w:szCs w:val="18"/>
              </w:rPr>
              <w:t xml:space="preserve"> et à la famille </w:t>
            </w:r>
            <w:proofErr w:type="spellStart"/>
            <w:r w:rsidRPr="00455BC3">
              <w:rPr>
                <w:rFonts w:ascii="Cambria" w:hAnsi="Cambria"/>
                <w:sz w:val="18"/>
                <w:szCs w:val="18"/>
              </w:rPr>
              <w:t>Xiph</w:t>
            </w:r>
            <w:r w:rsidR="007142FF" w:rsidRPr="00455BC3">
              <w:rPr>
                <w:rFonts w:ascii="Cambria" w:hAnsi="Cambria"/>
                <w:sz w:val="18"/>
                <w:szCs w:val="18"/>
              </w:rPr>
              <w:t>i</w:t>
            </w:r>
            <w:r w:rsidRPr="00455BC3">
              <w:rPr>
                <w:rFonts w:ascii="Cambria" w:hAnsi="Cambria"/>
                <w:sz w:val="18"/>
                <w:szCs w:val="18"/>
              </w:rPr>
              <w:t>idae</w:t>
            </w:r>
            <w:proofErr w:type="spellEnd"/>
            <w:r w:rsidRPr="00455BC3">
              <w:rPr>
                <w:rFonts w:ascii="Cambria" w:hAnsi="Cambria"/>
                <w:sz w:val="18"/>
                <w:szCs w:val="18"/>
              </w:rPr>
              <w:t xml:space="preserve"> au Venezuela. Ce projet de résolution est en cours d’approbation et de publication officielle. Au centre du Venezuela certaines communautés qui développent des activités de pêche artisanale et pêchent autour de « Placer de La Guaira », capturent de l’espadon et pendant certaines périodes de l’année ciblent cette </w:t>
            </w:r>
            <w:r w:rsidRPr="00455BC3">
              <w:rPr>
                <w:rFonts w:ascii="Cambria" w:hAnsi="Cambria"/>
                <w:sz w:val="18"/>
                <w:szCs w:val="18"/>
              </w:rPr>
              <w:lastRenderedPageBreak/>
              <w:t xml:space="preserve">ressource. Il s’agit des communautés de La Zorra, </w:t>
            </w:r>
            <w:proofErr w:type="spellStart"/>
            <w:r w:rsidRPr="00455BC3">
              <w:rPr>
                <w:rFonts w:ascii="Cambria" w:hAnsi="Cambria"/>
                <w:sz w:val="18"/>
                <w:szCs w:val="18"/>
              </w:rPr>
              <w:t>Playa</w:t>
            </w:r>
            <w:proofErr w:type="spellEnd"/>
            <w:r w:rsidRPr="00455BC3">
              <w:rPr>
                <w:rFonts w:ascii="Cambria" w:hAnsi="Cambria"/>
                <w:sz w:val="18"/>
                <w:szCs w:val="18"/>
              </w:rPr>
              <w:t xml:space="preserve"> Arrecife, Puerto maya, Puerto Cruz, </w:t>
            </w:r>
            <w:proofErr w:type="spellStart"/>
            <w:r w:rsidRPr="00455BC3">
              <w:rPr>
                <w:rFonts w:ascii="Cambria" w:hAnsi="Cambria"/>
                <w:sz w:val="18"/>
                <w:szCs w:val="18"/>
              </w:rPr>
              <w:t>Caraballeda</w:t>
            </w:r>
            <w:proofErr w:type="spellEnd"/>
            <w:r w:rsidRPr="00455BC3">
              <w:rPr>
                <w:rFonts w:ascii="Cambria" w:hAnsi="Cambria"/>
                <w:sz w:val="18"/>
                <w:szCs w:val="18"/>
              </w:rPr>
              <w:t xml:space="preserve">, </w:t>
            </w:r>
            <w:proofErr w:type="spellStart"/>
            <w:r w:rsidRPr="00455BC3">
              <w:rPr>
                <w:rFonts w:ascii="Cambria" w:hAnsi="Cambria"/>
                <w:sz w:val="18"/>
                <w:szCs w:val="18"/>
              </w:rPr>
              <w:t>chichiriviche</w:t>
            </w:r>
            <w:proofErr w:type="spellEnd"/>
            <w:r w:rsidRPr="00455BC3">
              <w:rPr>
                <w:rFonts w:ascii="Cambria" w:hAnsi="Cambria"/>
                <w:sz w:val="18"/>
                <w:szCs w:val="18"/>
              </w:rPr>
              <w:t xml:space="preserve">, </w:t>
            </w:r>
            <w:proofErr w:type="spellStart"/>
            <w:r w:rsidRPr="00455BC3">
              <w:rPr>
                <w:rFonts w:ascii="Cambria" w:hAnsi="Cambria"/>
                <w:sz w:val="18"/>
                <w:szCs w:val="18"/>
              </w:rPr>
              <w:t>Cuyagua</w:t>
            </w:r>
            <w:proofErr w:type="spellEnd"/>
            <w:r w:rsidRPr="00455BC3">
              <w:rPr>
                <w:rFonts w:ascii="Cambria" w:hAnsi="Cambria"/>
                <w:sz w:val="18"/>
                <w:szCs w:val="18"/>
              </w:rPr>
              <w:t xml:space="preserve">, </w:t>
            </w:r>
            <w:proofErr w:type="spellStart"/>
            <w:r w:rsidRPr="00455BC3">
              <w:rPr>
                <w:rFonts w:ascii="Cambria" w:hAnsi="Cambria"/>
                <w:sz w:val="18"/>
                <w:szCs w:val="18"/>
              </w:rPr>
              <w:t>Choroni</w:t>
            </w:r>
            <w:proofErr w:type="spellEnd"/>
            <w:r w:rsidRPr="00455BC3">
              <w:rPr>
                <w:rFonts w:ascii="Cambria" w:hAnsi="Cambria"/>
                <w:sz w:val="18"/>
                <w:szCs w:val="18"/>
              </w:rPr>
              <w:t xml:space="preserve">, </w:t>
            </w:r>
            <w:proofErr w:type="spellStart"/>
            <w:r w:rsidRPr="00455BC3">
              <w:rPr>
                <w:rFonts w:ascii="Cambria" w:hAnsi="Cambria"/>
                <w:sz w:val="18"/>
                <w:szCs w:val="18"/>
              </w:rPr>
              <w:t>Cepe</w:t>
            </w:r>
            <w:proofErr w:type="spellEnd"/>
            <w:r w:rsidRPr="00455BC3">
              <w:rPr>
                <w:rFonts w:ascii="Cambria" w:hAnsi="Cambria"/>
                <w:sz w:val="18"/>
                <w:szCs w:val="18"/>
              </w:rPr>
              <w:t xml:space="preserve">, </w:t>
            </w:r>
            <w:proofErr w:type="spellStart"/>
            <w:r w:rsidRPr="00455BC3">
              <w:rPr>
                <w:rFonts w:ascii="Cambria" w:hAnsi="Cambria"/>
                <w:sz w:val="18"/>
                <w:szCs w:val="18"/>
              </w:rPr>
              <w:t>Chuao</w:t>
            </w:r>
            <w:proofErr w:type="spellEnd"/>
            <w:r w:rsidRPr="00455BC3">
              <w:rPr>
                <w:rFonts w:ascii="Cambria" w:hAnsi="Cambria"/>
                <w:sz w:val="18"/>
                <w:szCs w:val="18"/>
              </w:rPr>
              <w:t xml:space="preserve">, entre autres.                                                                                                                                                                                           Le Venezuela élabore un plan de suivi qui envisage un ensemble de mesures, telles que la caractérisation de la flottille artisanale qui capture des espèces ICCAT, des ateliers de formation et de sensibilisation pour les pêcheurs, l’actualisation des législations pertinentes, la formation des inspecteurs spécialisés dans les pêcheries artisanales, entre autres activités qui nous permettent d’établir un plan de suivi efficace des communautés concernées. </w:t>
            </w:r>
            <w:r w:rsidRPr="00455BC3">
              <w:rPr>
                <w:rFonts w:ascii="Cambria" w:hAnsi="Cambria"/>
                <w:sz w:val="18"/>
                <w:szCs w:val="18"/>
              </w:rPr>
              <w:tab/>
            </w:r>
            <w:r w:rsidRPr="00455BC3">
              <w:rPr>
                <w:rFonts w:ascii="Cambria" w:hAnsi="Cambria"/>
                <w:sz w:val="18"/>
                <w:szCs w:val="18"/>
              </w:rPr>
              <w:tab/>
            </w:r>
          </w:p>
        </w:tc>
        <w:tc>
          <w:tcPr>
            <w:tcW w:w="236" w:type="dxa"/>
            <w:tcBorders>
              <w:top w:val="nil"/>
              <w:left w:val="single" w:sz="4" w:space="0" w:color="auto"/>
              <w:bottom w:val="nil"/>
              <w:right w:val="nil"/>
            </w:tcBorders>
            <w:vAlign w:val="center"/>
          </w:tcPr>
          <w:p w14:paraId="2A4BF290" w14:textId="77777777" w:rsidR="00305950" w:rsidRPr="00455BC3" w:rsidRDefault="00305950" w:rsidP="00305950">
            <w:pPr>
              <w:spacing w:after="0" w:line="240" w:lineRule="auto"/>
              <w:rPr>
                <w:rFonts w:ascii="Cambria" w:eastAsia="Times New Roman" w:hAnsi="Cambria" w:cs="Times New Roman"/>
                <w:sz w:val="18"/>
                <w:szCs w:val="18"/>
              </w:rPr>
            </w:pPr>
          </w:p>
        </w:tc>
      </w:tr>
    </w:tbl>
    <w:p w14:paraId="028BFB74" w14:textId="77777777" w:rsidR="00647AF6" w:rsidRPr="00455BC3" w:rsidRDefault="00647AF6">
      <w:pPr>
        <w:rPr>
          <w:rFonts w:ascii="Cambria" w:hAnsi="Cambria"/>
          <w:sz w:val="20"/>
          <w:szCs w:val="20"/>
        </w:rPr>
        <w:sectPr w:rsidR="00647AF6" w:rsidRPr="00455BC3" w:rsidSect="004D5A8D">
          <w:pgSz w:w="15840" w:h="12240" w:orient="landscape"/>
          <w:pgMar w:top="1440" w:right="1021" w:bottom="1440" w:left="1134" w:header="720" w:footer="720" w:gutter="0"/>
          <w:cols w:space="720"/>
          <w:docGrid w:linePitch="360"/>
        </w:sectPr>
      </w:pPr>
    </w:p>
    <w:p w14:paraId="7EAB42AB" w14:textId="42B25C5A" w:rsidR="00647AF6" w:rsidRPr="00455BC3" w:rsidRDefault="00647AF6" w:rsidP="00647AF6">
      <w:pPr>
        <w:rPr>
          <w:rFonts w:ascii="Cambria" w:hAnsi="Cambria"/>
          <w:sz w:val="20"/>
          <w:szCs w:val="20"/>
        </w:rPr>
      </w:pPr>
      <w:r w:rsidRPr="00455BC3">
        <w:rPr>
          <w:rFonts w:ascii="Cambria" w:hAnsi="Cambria"/>
          <w:b/>
          <w:sz w:val="20"/>
          <w:szCs w:val="20"/>
        </w:rPr>
        <w:lastRenderedPageBreak/>
        <w:t>CANADA</w:t>
      </w:r>
    </w:p>
    <w:p w14:paraId="5748A5EE" w14:textId="77777777" w:rsidR="00647AF6" w:rsidRPr="00455BC3" w:rsidRDefault="00647AF6" w:rsidP="00647AF6">
      <w:pPr>
        <w:spacing w:after="0" w:line="240" w:lineRule="auto"/>
        <w:rPr>
          <w:rFonts w:ascii="Cambria" w:hAnsi="Cambria" w:cs="Times New Roman"/>
          <w:color w:val="000000"/>
          <w:sz w:val="20"/>
          <w:szCs w:val="20"/>
        </w:rPr>
      </w:pPr>
      <w:r w:rsidRPr="00455BC3">
        <w:rPr>
          <w:rFonts w:ascii="Cambria" w:hAnsi="Cambria"/>
          <w:b/>
          <w:color w:val="000000"/>
          <w:sz w:val="20"/>
          <w:szCs w:val="20"/>
        </w:rPr>
        <w:t xml:space="preserve">Résumé exécutif </w:t>
      </w:r>
    </w:p>
    <w:p w14:paraId="19128B1B" w14:textId="77777777" w:rsidR="00647AF6" w:rsidRPr="00455BC3" w:rsidRDefault="00647AF6" w:rsidP="00647AF6">
      <w:pPr>
        <w:spacing w:after="0" w:line="240" w:lineRule="auto"/>
        <w:rPr>
          <w:rFonts w:ascii="Cambria" w:hAnsi="Cambria" w:cs="Times New Roman"/>
          <w:sz w:val="20"/>
          <w:szCs w:val="20"/>
        </w:rPr>
      </w:pPr>
    </w:p>
    <w:p w14:paraId="010CA57D" w14:textId="7428CEB9" w:rsidR="0001430A" w:rsidRPr="00455BC3" w:rsidRDefault="0001430A" w:rsidP="0001430A">
      <w:pPr>
        <w:spacing w:after="0" w:line="240" w:lineRule="auto"/>
        <w:jc w:val="both"/>
        <w:rPr>
          <w:rFonts w:ascii="Cambria" w:hAnsi="Cambria"/>
          <w:sz w:val="20"/>
          <w:szCs w:val="20"/>
        </w:rPr>
      </w:pPr>
      <w:r w:rsidRPr="00455BC3">
        <w:rPr>
          <w:rFonts w:ascii="Cambria" w:hAnsi="Cambria"/>
          <w:sz w:val="20"/>
          <w:szCs w:val="20"/>
        </w:rPr>
        <w:t xml:space="preserve">La Recommandation 25-10 de l’ICCAT prévoit que chaque Partie contractante et Partie, Entité ou Entité de pêche non contractante coopérante soumette les modifications de son plan de pêche/gestion d’espadon au Secrétariat avant le 15 septembre. Ce document décrit l’historique, la gestion, les aspiration socio-économiques et futures de la pêcherie canadienne d’espadon de l’Atlantique Nord. </w:t>
      </w:r>
    </w:p>
    <w:p w14:paraId="0ABCBE0D" w14:textId="77777777" w:rsidR="0001430A" w:rsidRPr="00455BC3" w:rsidRDefault="0001430A" w:rsidP="0001430A">
      <w:pPr>
        <w:spacing w:after="0" w:line="240" w:lineRule="auto"/>
        <w:jc w:val="both"/>
        <w:rPr>
          <w:rFonts w:ascii="Cambria" w:hAnsi="Cambria"/>
          <w:sz w:val="20"/>
          <w:szCs w:val="20"/>
        </w:rPr>
      </w:pPr>
    </w:p>
    <w:p w14:paraId="5D356FC6" w14:textId="3D73D10B" w:rsidR="0001430A" w:rsidRPr="00455BC3" w:rsidRDefault="0001430A" w:rsidP="0001430A">
      <w:pPr>
        <w:spacing w:after="0" w:line="240" w:lineRule="auto"/>
        <w:jc w:val="both"/>
        <w:rPr>
          <w:rFonts w:ascii="Cambria" w:hAnsi="Cambria"/>
          <w:sz w:val="20"/>
          <w:szCs w:val="20"/>
        </w:rPr>
      </w:pPr>
      <w:r w:rsidRPr="00455BC3">
        <w:rPr>
          <w:rFonts w:ascii="Cambria" w:hAnsi="Cambria"/>
          <w:sz w:val="20"/>
          <w:szCs w:val="20"/>
        </w:rPr>
        <w:t>L’historique de la pêche d’espadon de l’Atlantique Nord du Canada remonte aux années 1880. Actuellement, cette pêcherie exclusivement commerciale continue à revêtir une importance sociale et économique pour de nombreuses communautés côtières et autochtones dans l’ensemble du Canada atlantique. Les débarquements annuels ont généré plus de 17,1 millions USD de revenus en 2024 dans plusieurs ports de l’Atlantique.</w:t>
      </w:r>
    </w:p>
    <w:p w14:paraId="23655F01" w14:textId="77777777" w:rsidR="0001430A" w:rsidRPr="00455BC3" w:rsidRDefault="0001430A" w:rsidP="0001430A">
      <w:pPr>
        <w:spacing w:after="0" w:line="240" w:lineRule="auto"/>
        <w:jc w:val="both"/>
        <w:rPr>
          <w:rFonts w:ascii="Cambria" w:hAnsi="Cambria"/>
          <w:sz w:val="20"/>
          <w:szCs w:val="20"/>
        </w:rPr>
      </w:pPr>
    </w:p>
    <w:p w14:paraId="660DD4B7" w14:textId="6F8AA5D9" w:rsidR="0001430A" w:rsidRPr="00455BC3" w:rsidRDefault="0001430A" w:rsidP="0001430A">
      <w:pPr>
        <w:spacing w:after="0" w:line="240" w:lineRule="auto"/>
        <w:jc w:val="both"/>
        <w:rPr>
          <w:rFonts w:ascii="Cambria" w:hAnsi="Cambria"/>
          <w:sz w:val="20"/>
          <w:szCs w:val="20"/>
        </w:rPr>
      </w:pPr>
      <w:r w:rsidRPr="00455BC3">
        <w:rPr>
          <w:rFonts w:ascii="Cambria" w:hAnsi="Cambria"/>
          <w:sz w:val="20"/>
          <w:szCs w:val="20"/>
        </w:rPr>
        <w:t>L’allocation initiale d’espadon de l’Atlantique Nord de 2025 pour le Canada était de 1.880 tonnes (t), dont 5 t ont été attribuées à la flottille thonière hauturière du Canada pour les prises accessoires d’espadon. L’allocation restante a été répartie entre deux flottilles ciblant l’espadon de l’Atlantique Nord. 90 pour cent sont attribués à la flottille palangrière et dix pour cent à la flottille de harpon. Depuis 2020, le Canada teste la viabilité de nouveaux engins dans la pêcherie commerciale d’espadon, dont la canne et moulinet, l’engin de bouée tendue et récemment l’engin de ligne de piégeage. L’engin de bouée a été approuvé comme ajout permanent pour la flottille palangrière en 2025.</w:t>
      </w:r>
    </w:p>
    <w:p w14:paraId="5D5D6C85" w14:textId="77777777" w:rsidR="0001430A" w:rsidRPr="00455BC3" w:rsidRDefault="0001430A" w:rsidP="0001430A">
      <w:pPr>
        <w:spacing w:after="0" w:line="240" w:lineRule="auto"/>
        <w:jc w:val="both"/>
        <w:rPr>
          <w:rFonts w:ascii="Cambria" w:hAnsi="Cambria"/>
          <w:sz w:val="20"/>
          <w:szCs w:val="20"/>
        </w:rPr>
      </w:pPr>
    </w:p>
    <w:p w14:paraId="3BA65CC1" w14:textId="77777777" w:rsidR="0001430A" w:rsidRPr="00455BC3" w:rsidRDefault="0001430A" w:rsidP="0001430A">
      <w:pPr>
        <w:spacing w:after="0" w:line="240" w:lineRule="auto"/>
        <w:jc w:val="both"/>
        <w:rPr>
          <w:rFonts w:ascii="Cambria" w:hAnsi="Cambria"/>
          <w:sz w:val="20"/>
          <w:szCs w:val="20"/>
        </w:rPr>
      </w:pPr>
      <w:r w:rsidRPr="00455BC3">
        <w:rPr>
          <w:rFonts w:ascii="Cambria" w:hAnsi="Cambria"/>
          <w:sz w:val="20"/>
          <w:szCs w:val="20"/>
        </w:rPr>
        <w:t xml:space="preserve">De 2020 à 2025, le Canada a constamment démontré sa capacité à utiliser pleinement son quota de l’ICCAT avec des débarquements annuels moyens de 114 pour cent de ses allocations annuelles initiales (avant les transferts de quotas) au cours de cette période de quatre ans. Faisant suite à l’adoption d’une procédure de gestion pour le stock de l’Atlantique Nord, le Canada s’est vu allouer 1.880 t des allocations de quotas de l’ICCAT (ou 10,5 pour cent des limites de captures) en 2025 et a débarqué 103,5 pour cent de ses allocations annuelles (avant les transferts de quotas). Le Canada a débarqué près de 13,2 pour cent de la capture totale d’espadon de l’Atlantique Nord tous les ans au cours de ces dix dernières années (2016 – 2025) en raison de la réception de transferts de quotas. </w:t>
      </w:r>
    </w:p>
    <w:p w14:paraId="32E60B7C" w14:textId="77777777" w:rsidR="0001430A" w:rsidRPr="00455BC3" w:rsidRDefault="0001430A" w:rsidP="0001430A">
      <w:pPr>
        <w:spacing w:after="0" w:line="240" w:lineRule="auto"/>
        <w:jc w:val="both"/>
        <w:rPr>
          <w:rFonts w:ascii="Cambria" w:hAnsi="Cambria"/>
          <w:sz w:val="20"/>
          <w:szCs w:val="20"/>
        </w:rPr>
      </w:pPr>
    </w:p>
    <w:p w14:paraId="78411DA5" w14:textId="726C4D29" w:rsidR="0001430A" w:rsidRPr="00455BC3" w:rsidRDefault="0001430A" w:rsidP="0001430A">
      <w:pPr>
        <w:spacing w:after="0" w:line="240" w:lineRule="auto"/>
        <w:jc w:val="both"/>
        <w:rPr>
          <w:rFonts w:ascii="Cambria" w:hAnsi="Cambria"/>
          <w:sz w:val="20"/>
          <w:szCs w:val="20"/>
        </w:rPr>
      </w:pPr>
      <w:r w:rsidRPr="00455BC3">
        <w:rPr>
          <w:rFonts w:ascii="Cambria" w:hAnsi="Cambria"/>
          <w:sz w:val="20"/>
          <w:szCs w:val="20"/>
        </w:rPr>
        <w:t>Afin de servir de base à la recherche et aux évaluations du stock, le Canada collecte, entre autres, les données de capture et effort pour toutes les sorties de pêche. À partir de 1996, un programme de suivi à quai (DMP) financé par l’industrie a été instauré au Canada atlantique en vue de fournir une vérification tierce indépendante des soumissions des carnets de pêche. Le DMP du Canada est mené par des agents certifiés qui supervisent l’ensemble (100 pour cent) des déchargements d’espadon du Canada atlantique et saisissent les données des carnets de pêche dans une base de données centrale. Le DMP garantit que des informations précises et fiables sont collectées sur le nombre de poissons capturés,</w:t>
      </w:r>
      <w:r w:rsidR="00731A09" w:rsidRPr="00455BC3">
        <w:rPr>
          <w:rFonts w:ascii="Cambria" w:hAnsi="Cambria"/>
          <w:sz w:val="20"/>
          <w:szCs w:val="20"/>
        </w:rPr>
        <w:t xml:space="preserve"> </w:t>
      </w:r>
      <w:r w:rsidRPr="00455BC3">
        <w:rPr>
          <w:rFonts w:ascii="Cambria" w:hAnsi="Cambria"/>
          <w:sz w:val="20"/>
          <w:szCs w:val="20"/>
        </w:rPr>
        <w:t xml:space="preserve">leur poids, l’effort, les conditions environnementales et d’autres statistiques essentielles. Ces données sont mises à la disposition des gestionnaires des pêches, des scientifiques et des chargés d’application des règlementations en temps réel.  </w:t>
      </w:r>
    </w:p>
    <w:p w14:paraId="225227A3" w14:textId="77777777" w:rsidR="0001430A" w:rsidRPr="00455BC3" w:rsidRDefault="0001430A" w:rsidP="0001430A">
      <w:pPr>
        <w:spacing w:after="0" w:line="240" w:lineRule="auto"/>
        <w:jc w:val="both"/>
        <w:rPr>
          <w:rFonts w:ascii="Cambria" w:hAnsi="Cambria"/>
          <w:sz w:val="20"/>
          <w:szCs w:val="20"/>
        </w:rPr>
      </w:pPr>
    </w:p>
    <w:p w14:paraId="751B325B" w14:textId="77777777" w:rsidR="0001430A" w:rsidRPr="00455BC3" w:rsidRDefault="0001430A" w:rsidP="0001430A">
      <w:pPr>
        <w:spacing w:after="0" w:line="240" w:lineRule="auto"/>
        <w:jc w:val="both"/>
        <w:rPr>
          <w:rFonts w:ascii="Cambria" w:hAnsi="Cambria"/>
          <w:sz w:val="20"/>
          <w:szCs w:val="20"/>
        </w:rPr>
      </w:pPr>
      <w:r w:rsidRPr="00455BC3">
        <w:rPr>
          <w:rFonts w:ascii="Cambria" w:hAnsi="Cambria"/>
          <w:sz w:val="20"/>
          <w:szCs w:val="20"/>
        </w:rPr>
        <w:t xml:space="preserve">L’approche exhaustive d’application adoptée par le Canada inclut aussi l’exigence relative aux systèmes de surveillance des navires (VMS) à bord de tous les palangriers, même si seuls deux des 77 palangriers pélagiques du Canada mesurent plus de 20 mètres et sont donc assujettis à la mesure de l’ICCAT relative au VMS. </w:t>
      </w:r>
    </w:p>
    <w:p w14:paraId="310AE4CC" w14:textId="77777777" w:rsidR="0001430A" w:rsidRPr="00455BC3" w:rsidRDefault="0001430A" w:rsidP="0001430A">
      <w:pPr>
        <w:spacing w:after="0" w:line="240" w:lineRule="auto"/>
        <w:jc w:val="both"/>
        <w:rPr>
          <w:rFonts w:ascii="Cambria" w:hAnsi="Cambria"/>
          <w:sz w:val="20"/>
          <w:szCs w:val="20"/>
        </w:rPr>
      </w:pPr>
    </w:p>
    <w:p w14:paraId="2F67D129" w14:textId="77777777" w:rsidR="0001430A" w:rsidRPr="00455BC3" w:rsidRDefault="0001430A" w:rsidP="0001430A">
      <w:pPr>
        <w:spacing w:after="0" w:line="240" w:lineRule="auto"/>
        <w:jc w:val="both"/>
        <w:rPr>
          <w:rFonts w:ascii="Cambria" w:hAnsi="Cambria"/>
          <w:sz w:val="20"/>
          <w:szCs w:val="20"/>
        </w:rPr>
      </w:pPr>
      <w:r w:rsidRPr="00455BC3">
        <w:rPr>
          <w:rFonts w:ascii="Cambria" w:hAnsi="Cambria"/>
          <w:sz w:val="20"/>
          <w:szCs w:val="20"/>
        </w:rPr>
        <w:t>Le suivi et l’application des mesures de gestion de l’espadon du Canada sont des éléments essentiels permettant d’assurer la durabilité de l’espadon. Les chargés des pêches de Pêches et Océans Canada emploient diverses méthodes pour suivre l’activité de pêche d’espadon pour promouvoir l’application des mesures de gestion des pêcheries d’espadon, dont la surveillance aérienne, les inspections en mer et au port, les observateurs en mer et les systèmes de surveillance des navires. En 2025, le Canada a testé un système de surveillance électronique dans sa flottille de palangriers pélagiques. En plus des inspections en mer et au port, les chargés des pêches inspectent les infrastructures d’achat/de transformation d’espadon et procèdent à des contrôles du programme de suivi à quai de cette pêcherie.</w:t>
      </w:r>
    </w:p>
    <w:p w14:paraId="0FC08CBC" w14:textId="77777777" w:rsidR="0001430A" w:rsidRPr="00455BC3" w:rsidRDefault="0001430A" w:rsidP="0001430A">
      <w:pPr>
        <w:spacing w:after="0" w:line="240" w:lineRule="auto"/>
        <w:jc w:val="both"/>
        <w:rPr>
          <w:rFonts w:ascii="Cambria" w:hAnsi="Cambria"/>
          <w:sz w:val="20"/>
          <w:szCs w:val="20"/>
        </w:rPr>
      </w:pPr>
    </w:p>
    <w:p w14:paraId="3CCFCE5D" w14:textId="77777777" w:rsidR="0001430A" w:rsidRPr="00455BC3" w:rsidRDefault="0001430A" w:rsidP="0001430A">
      <w:pPr>
        <w:spacing w:after="0" w:line="240" w:lineRule="auto"/>
        <w:jc w:val="both"/>
        <w:rPr>
          <w:rFonts w:ascii="Cambria" w:hAnsi="Cambria"/>
          <w:sz w:val="20"/>
          <w:szCs w:val="20"/>
        </w:rPr>
      </w:pPr>
      <w:r w:rsidRPr="00455BC3">
        <w:rPr>
          <w:rFonts w:ascii="Cambria" w:hAnsi="Cambria"/>
          <w:sz w:val="20"/>
          <w:szCs w:val="20"/>
        </w:rPr>
        <w:t xml:space="preserve">Depuis 2012, la certification du Marine </w:t>
      </w:r>
      <w:proofErr w:type="spellStart"/>
      <w:r w:rsidRPr="00455BC3">
        <w:rPr>
          <w:rFonts w:ascii="Cambria" w:hAnsi="Cambria"/>
          <w:sz w:val="20"/>
          <w:szCs w:val="20"/>
        </w:rPr>
        <w:t>Stewardship</w:t>
      </w:r>
      <w:proofErr w:type="spellEnd"/>
      <w:r w:rsidRPr="00455BC3">
        <w:rPr>
          <w:rFonts w:ascii="Cambria" w:hAnsi="Cambria"/>
          <w:sz w:val="20"/>
          <w:szCs w:val="20"/>
        </w:rPr>
        <w:t xml:space="preserve"> Council a été décernée aux flottilles de palangriers et de harpon ciblant l’espadon de l’Atlantique Nord en reconnaissance du solide régime de gestion mis en place pour </w:t>
      </w:r>
      <w:r w:rsidRPr="00455BC3">
        <w:rPr>
          <w:rFonts w:ascii="Cambria" w:hAnsi="Cambria"/>
          <w:sz w:val="20"/>
          <w:szCs w:val="20"/>
        </w:rPr>
        <w:lastRenderedPageBreak/>
        <w:t xml:space="preserve">ces pêcheries au Canada. Le Canada est le premier membre de l’ICCAT à avoir obtenu cette certification pour l’ensemble de sa flottille d’espadon. </w:t>
      </w:r>
    </w:p>
    <w:p w14:paraId="03BE6B92" w14:textId="77777777" w:rsidR="0001430A" w:rsidRPr="00455BC3" w:rsidRDefault="0001430A" w:rsidP="0001430A">
      <w:pPr>
        <w:spacing w:after="0" w:line="240" w:lineRule="auto"/>
        <w:jc w:val="both"/>
        <w:rPr>
          <w:rFonts w:ascii="Cambria" w:hAnsi="Cambria"/>
          <w:sz w:val="20"/>
          <w:szCs w:val="20"/>
        </w:rPr>
      </w:pPr>
    </w:p>
    <w:p w14:paraId="0B2C8FAB" w14:textId="77777777" w:rsidR="0001430A" w:rsidRPr="00455BC3" w:rsidRDefault="0001430A" w:rsidP="0001430A">
      <w:pPr>
        <w:spacing w:after="0" w:line="240" w:lineRule="auto"/>
        <w:jc w:val="both"/>
        <w:rPr>
          <w:rFonts w:ascii="Cambria" w:hAnsi="Cambria"/>
          <w:sz w:val="20"/>
          <w:szCs w:val="20"/>
        </w:rPr>
      </w:pPr>
      <w:r w:rsidRPr="00455BC3">
        <w:rPr>
          <w:rFonts w:ascii="Cambria" w:hAnsi="Cambria"/>
          <w:sz w:val="20"/>
          <w:szCs w:val="20"/>
        </w:rPr>
        <w:t xml:space="preserve">Le Canada est l’un des chefs de file soutenant les recherches scientifiques de l’ICCAT sur les ressources d’espadon de l’Atlantique depuis plusieurs décennies.  Du fait de la capacité reconnue du Canada à collecter et tenir à jour les statistiques halieutiques importantes pour l’évaluation du stock, le Canada fournit la plus longue série de données sur les taux de capture pour l’évaluation du stock de l’Atlantique Nord commençant en 1963. </w:t>
      </w:r>
    </w:p>
    <w:p w14:paraId="73E71816" w14:textId="77777777" w:rsidR="0001430A" w:rsidRPr="00455BC3" w:rsidRDefault="0001430A" w:rsidP="0001430A">
      <w:pPr>
        <w:spacing w:after="0" w:line="240" w:lineRule="auto"/>
        <w:jc w:val="both"/>
        <w:rPr>
          <w:rFonts w:ascii="Cambria" w:hAnsi="Cambria"/>
          <w:sz w:val="20"/>
          <w:szCs w:val="20"/>
        </w:rPr>
      </w:pPr>
    </w:p>
    <w:p w14:paraId="47904A58" w14:textId="77777777" w:rsidR="0001430A" w:rsidRPr="00455BC3" w:rsidRDefault="0001430A" w:rsidP="0001430A">
      <w:pPr>
        <w:spacing w:after="0" w:line="240" w:lineRule="auto"/>
        <w:jc w:val="both"/>
        <w:rPr>
          <w:rFonts w:ascii="Cambria" w:hAnsi="Cambria"/>
          <w:sz w:val="20"/>
          <w:szCs w:val="20"/>
        </w:rPr>
      </w:pPr>
      <w:r w:rsidRPr="00455BC3">
        <w:rPr>
          <w:rFonts w:ascii="Cambria" w:hAnsi="Cambria"/>
          <w:sz w:val="20"/>
          <w:szCs w:val="20"/>
        </w:rPr>
        <w:t>Depuis 2018, le Canada a dirigé la création d’un programme de recherche international financé par l’ICCAT/la Commission européenne pour l’espadon dans l’océan Atlantique et la mer Méditerranée. Ce programme vise à améliorer les connaissances sur la distribution du stock, l'âge et le sexe des captures, les taux de croissance, l'âge à la maturation, le taux de maturation, la saison et le lieu de frai, et le régime alimentaire pour les trois stocks d’espadon de l’ICCAT. Ces données et les analyses résultantes contribuent à l’évaluation de l’ICCAT et aux travaux sur la MSE.</w:t>
      </w:r>
    </w:p>
    <w:p w14:paraId="5FDC4AA2" w14:textId="77777777" w:rsidR="0001430A" w:rsidRPr="00455BC3" w:rsidRDefault="0001430A" w:rsidP="0001430A">
      <w:pPr>
        <w:spacing w:after="0" w:line="240" w:lineRule="auto"/>
        <w:jc w:val="both"/>
        <w:rPr>
          <w:rFonts w:ascii="Cambria" w:hAnsi="Cambria"/>
          <w:sz w:val="20"/>
          <w:szCs w:val="20"/>
        </w:rPr>
      </w:pPr>
    </w:p>
    <w:p w14:paraId="0580E6CB" w14:textId="77777777" w:rsidR="0001430A" w:rsidRPr="00455BC3" w:rsidRDefault="0001430A" w:rsidP="0001430A">
      <w:pPr>
        <w:spacing w:after="0" w:line="240" w:lineRule="auto"/>
        <w:jc w:val="both"/>
        <w:rPr>
          <w:rFonts w:ascii="Cambria" w:hAnsi="Cambria"/>
          <w:sz w:val="20"/>
          <w:szCs w:val="20"/>
        </w:rPr>
      </w:pPr>
      <w:r w:rsidRPr="00455BC3">
        <w:rPr>
          <w:rFonts w:ascii="Cambria" w:hAnsi="Cambria"/>
          <w:sz w:val="20"/>
          <w:szCs w:val="20"/>
        </w:rPr>
        <w:t>L’industrie de la pêche canadienne est pleinement engagée dans les efforts de conservation et de gestion pour cette espèce afin de garantir sa durabilité, notamment en participant à la recherche scientifique, en finançant des observateurs en mer indépendants pour suivre la pêcherie et en finançant le suivi par des tiers indépendants qui observent et enregistrent tous les débarquements à quai. La flottille de harpon fournit des fonds ou un soutien du navire en nature pour la recherche scientifique à la place de la couverture par les observateurs en mer.</w:t>
      </w:r>
    </w:p>
    <w:p w14:paraId="1B547FED" w14:textId="77777777" w:rsidR="0001430A" w:rsidRPr="00455BC3" w:rsidRDefault="0001430A" w:rsidP="0001430A">
      <w:pPr>
        <w:spacing w:after="0" w:line="240" w:lineRule="auto"/>
        <w:jc w:val="both"/>
        <w:rPr>
          <w:rFonts w:ascii="Cambria" w:hAnsi="Cambria"/>
          <w:sz w:val="20"/>
          <w:szCs w:val="20"/>
        </w:rPr>
      </w:pPr>
    </w:p>
    <w:p w14:paraId="1AE9723F" w14:textId="3D229E89" w:rsidR="00CE1067" w:rsidRPr="00EF25FF" w:rsidRDefault="0001430A" w:rsidP="0001430A">
      <w:pPr>
        <w:spacing w:after="0" w:line="240" w:lineRule="auto"/>
        <w:jc w:val="both"/>
        <w:rPr>
          <w:rFonts w:ascii="Cambria" w:hAnsi="Cambria"/>
          <w:sz w:val="20"/>
          <w:szCs w:val="20"/>
        </w:rPr>
      </w:pPr>
      <w:r w:rsidRPr="00455BC3">
        <w:rPr>
          <w:rFonts w:ascii="Cambria" w:hAnsi="Cambria"/>
          <w:sz w:val="20"/>
          <w:szCs w:val="20"/>
        </w:rPr>
        <w:t>Même si le Canada, tout comme d’autres membres de l’ICCAT, a accepté des quotas nettement inférieurs pendant la période de rétablissement de la pêcherie, le Canada a démontré sa capacité à utiliser la totalité de son quota initial ainsi que la quasi-totalité des transferts de quotas reçus au cours des années précédentes. Le Canada continue de solliciter l’élargissement de l’accès à cette pêcherie pour garantir la viabilité de ses communautés côtières.</w:t>
      </w:r>
    </w:p>
    <w:sectPr w:rsidR="00CE1067" w:rsidRPr="00EF25FF" w:rsidSect="00647AF6">
      <w:pgSz w:w="12240" w:h="15840"/>
      <w:pgMar w:top="1021"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8C056" w14:textId="77777777" w:rsidR="003A42B9" w:rsidRDefault="003A42B9" w:rsidP="00033B23">
      <w:pPr>
        <w:spacing w:after="0" w:line="240" w:lineRule="auto"/>
      </w:pPr>
      <w:r>
        <w:separator/>
      </w:r>
    </w:p>
  </w:endnote>
  <w:endnote w:type="continuationSeparator" w:id="0">
    <w:p w14:paraId="4C28C3CB" w14:textId="77777777" w:rsidR="003A42B9" w:rsidRDefault="003A42B9" w:rsidP="00033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29A6A" w14:textId="77777777" w:rsidR="008C0847" w:rsidRDefault="008C08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E929" w14:textId="39CD5BA7" w:rsidR="005D4BD1" w:rsidRPr="005D4BD1" w:rsidRDefault="005D4BD1" w:rsidP="005D4BD1">
    <w:pPr>
      <w:tabs>
        <w:tab w:val="center" w:pos="4535"/>
        <w:tab w:val="center" w:pos="4680"/>
        <w:tab w:val="left" w:pos="6150"/>
        <w:tab w:val="right" w:pos="9360"/>
      </w:tabs>
      <w:spacing w:after="0" w:line="240" w:lineRule="auto"/>
      <w:jc w:val="center"/>
      <w:rPr>
        <w:rFonts w:ascii="Cambria" w:eastAsia="Calibri" w:hAnsi="Cambria" w:cs="Calibri"/>
        <w:sz w:val="20"/>
      </w:rPr>
    </w:pPr>
    <w:r w:rsidRPr="003D4EC2">
      <w:rPr>
        <w:rFonts w:ascii="Cambria" w:eastAsia="Calibri" w:hAnsi="Cambria" w:cs="Calibri"/>
        <w:sz w:val="20"/>
        <w:szCs w:val="20"/>
      </w:rPr>
      <w:fldChar w:fldCharType="begin"/>
    </w:r>
    <w:r w:rsidRPr="003D4EC2">
      <w:rPr>
        <w:rFonts w:ascii="Cambria" w:eastAsia="Calibri" w:hAnsi="Cambria" w:cs="Calibri"/>
        <w:sz w:val="20"/>
        <w:szCs w:val="20"/>
      </w:rPr>
      <w:instrText xml:space="preserve"> PAGE </w:instrText>
    </w:r>
    <w:r w:rsidRPr="003D4EC2">
      <w:rPr>
        <w:rFonts w:ascii="Cambria" w:eastAsia="Calibri" w:hAnsi="Cambria" w:cs="Calibri"/>
        <w:sz w:val="20"/>
        <w:szCs w:val="20"/>
      </w:rPr>
      <w:fldChar w:fldCharType="separate"/>
    </w:r>
    <w:r>
      <w:rPr>
        <w:rFonts w:ascii="Cambria" w:eastAsia="Calibri" w:hAnsi="Cambria" w:cs="Calibri"/>
        <w:sz w:val="20"/>
        <w:szCs w:val="20"/>
      </w:rPr>
      <w:t>1</w:t>
    </w:r>
    <w:r w:rsidRPr="003D4EC2">
      <w:rPr>
        <w:rFonts w:ascii="Cambria" w:eastAsia="Calibri" w:hAnsi="Cambria" w:cs="Calibri"/>
        <w:sz w:val="20"/>
        <w:szCs w:val="20"/>
      </w:rPr>
      <w:fldChar w:fldCharType="end"/>
    </w:r>
    <w:r>
      <w:rPr>
        <w:rFonts w:ascii="Cambria" w:hAnsi="Cambria"/>
        <w:sz w:val="20"/>
        <w:szCs w:val="20"/>
      </w:rPr>
      <w:t xml:space="preserve"> / </w:t>
    </w:r>
    <w:r w:rsidRPr="003D4EC2">
      <w:rPr>
        <w:rFonts w:ascii="Cambria" w:eastAsia="Calibri" w:hAnsi="Cambria" w:cs="Calibri"/>
        <w:sz w:val="20"/>
        <w:szCs w:val="20"/>
      </w:rPr>
      <w:fldChar w:fldCharType="begin"/>
    </w:r>
    <w:r w:rsidRPr="003D4EC2">
      <w:rPr>
        <w:rFonts w:ascii="Cambria" w:eastAsia="Calibri" w:hAnsi="Cambria" w:cs="Calibri"/>
        <w:sz w:val="20"/>
        <w:szCs w:val="20"/>
      </w:rPr>
      <w:instrText xml:space="preserve"> NUMPAGES  </w:instrText>
    </w:r>
    <w:r w:rsidRPr="003D4EC2">
      <w:rPr>
        <w:rFonts w:ascii="Cambria" w:eastAsia="Calibri" w:hAnsi="Cambria" w:cs="Calibri"/>
        <w:sz w:val="20"/>
        <w:szCs w:val="20"/>
      </w:rPr>
      <w:fldChar w:fldCharType="separate"/>
    </w:r>
    <w:r>
      <w:rPr>
        <w:rFonts w:ascii="Cambria" w:eastAsia="Calibri" w:hAnsi="Cambria" w:cs="Calibri"/>
        <w:sz w:val="20"/>
        <w:szCs w:val="20"/>
      </w:rPr>
      <w:t>2</w:t>
    </w:r>
    <w:r w:rsidRPr="003D4EC2">
      <w:rPr>
        <w:rFonts w:ascii="Cambria" w:eastAsia="Calibri" w:hAnsi="Cambria" w:cs="Calibr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3741" w14:textId="77777777" w:rsidR="008C0847" w:rsidRDefault="008C08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4B477" w14:textId="77777777" w:rsidR="003A42B9" w:rsidRDefault="003A42B9" w:rsidP="00033B23">
      <w:pPr>
        <w:spacing w:after="0" w:line="240" w:lineRule="auto"/>
      </w:pPr>
      <w:r>
        <w:separator/>
      </w:r>
    </w:p>
  </w:footnote>
  <w:footnote w:type="continuationSeparator" w:id="0">
    <w:p w14:paraId="543FD5E4" w14:textId="77777777" w:rsidR="003A42B9" w:rsidRDefault="003A42B9" w:rsidP="00033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6FC6" w14:textId="77777777" w:rsidR="008C0847" w:rsidRDefault="008C0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87EB" w14:textId="51B5006A" w:rsidR="00033B23" w:rsidRPr="00033B23" w:rsidRDefault="00033B23" w:rsidP="00033B23">
    <w:pPr>
      <w:widowControl w:val="0"/>
      <w:tabs>
        <w:tab w:val="center" w:pos="4680"/>
        <w:tab w:val="left" w:pos="6520"/>
        <w:tab w:val="right" w:pos="9360"/>
        <w:tab w:val="right" w:pos="14240"/>
      </w:tabs>
      <w:spacing w:after="0" w:line="240" w:lineRule="auto"/>
      <w:jc w:val="right"/>
      <w:rPr>
        <w:rFonts w:ascii="Cambria" w:eastAsia="Calibri" w:hAnsi="Cambria" w:cs="Times New Roman"/>
        <w:b/>
        <w:bCs/>
        <w:sz w:val="20"/>
        <w:szCs w:val="20"/>
      </w:rPr>
    </w:pPr>
    <w:bookmarkStart w:id="2" w:name="_Hlk107908354"/>
    <w:bookmarkStart w:id="3" w:name="_Hlk107908355"/>
    <w:bookmarkStart w:id="4" w:name="_Hlk107908359"/>
    <w:bookmarkStart w:id="5" w:name="_Hlk107908360"/>
    <w:bookmarkStart w:id="6" w:name="_Hlk107908361"/>
    <w:bookmarkStart w:id="7" w:name="_Hlk107908362"/>
    <w:r>
      <w:rPr>
        <w:rFonts w:ascii="Cambria" w:hAnsi="Cambria"/>
        <w:b/>
        <w:bCs/>
        <w:sz w:val="20"/>
        <w:szCs w:val="20"/>
      </w:rPr>
      <w:t>PA4_801/2026</w:t>
    </w:r>
  </w:p>
  <w:bookmarkEnd w:id="2"/>
  <w:bookmarkEnd w:id="3"/>
  <w:bookmarkEnd w:id="4"/>
  <w:bookmarkEnd w:id="5"/>
  <w:bookmarkEnd w:id="6"/>
  <w:bookmarkEnd w:id="7"/>
  <w:p w14:paraId="78370D4C" w14:textId="13912437" w:rsidR="00033B23" w:rsidRPr="00033B23" w:rsidRDefault="00490F9F" w:rsidP="00033B23">
    <w:pPr>
      <w:widowControl w:val="0"/>
      <w:tabs>
        <w:tab w:val="left" w:pos="7320"/>
      </w:tabs>
      <w:spacing w:after="0" w:line="240" w:lineRule="exact"/>
      <w:jc w:val="right"/>
      <w:rPr>
        <w:rFonts w:ascii="Cambria" w:eastAsia="Calibri" w:hAnsi="Cambria" w:cs="Times New Roman"/>
        <w:b/>
        <w:bCs/>
        <w:sz w:val="16"/>
        <w:szCs w:val="16"/>
      </w:rPr>
    </w:pPr>
    <w:r>
      <w:rPr>
        <w:rFonts w:ascii="Cambria" w:eastAsia="Calibri" w:hAnsi="Cambria" w:cs="Times New Roman"/>
        <w:b/>
        <w:bCs/>
        <w:sz w:val="16"/>
        <w:szCs w:val="16"/>
      </w:rPr>
      <w:fldChar w:fldCharType="begin"/>
    </w:r>
    <w:r>
      <w:rPr>
        <w:rFonts w:ascii="Cambria" w:eastAsia="Calibri" w:hAnsi="Cambria" w:cs="Times New Roman"/>
        <w:b/>
        <w:bCs/>
        <w:sz w:val="16"/>
        <w:szCs w:val="16"/>
      </w:rPr>
      <w:instrText xml:space="preserve"> TIME  \@ "dd/MM/yyyy HH:mm" </w:instrText>
    </w:r>
    <w:r>
      <w:rPr>
        <w:rFonts w:ascii="Cambria" w:eastAsia="Calibri" w:hAnsi="Cambria" w:cs="Times New Roman"/>
        <w:b/>
        <w:bCs/>
        <w:sz w:val="16"/>
        <w:szCs w:val="16"/>
      </w:rPr>
      <w:fldChar w:fldCharType="separate"/>
    </w:r>
    <w:r w:rsidR="00252E0B">
      <w:rPr>
        <w:rFonts w:ascii="Cambria" w:eastAsia="Calibri" w:hAnsi="Cambria" w:cs="Times New Roman"/>
        <w:b/>
        <w:bCs/>
        <w:noProof/>
        <w:sz w:val="16"/>
        <w:szCs w:val="16"/>
      </w:rPr>
      <w:t>05/10/2026 12:50</w:t>
    </w:r>
    <w:r>
      <w:rPr>
        <w:rFonts w:ascii="Cambria" w:eastAsia="Calibri" w:hAnsi="Cambria" w:cs="Times New Roman"/>
        <w:b/>
        <w:bCs/>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BD03D" w14:textId="77777777" w:rsidR="008C0847" w:rsidRDefault="008C08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21D1"/>
    <w:multiLevelType w:val="hybridMultilevel"/>
    <w:tmpl w:val="3E6E758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F91F58"/>
    <w:multiLevelType w:val="hybridMultilevel"/>
    <w:tmpl w:val="510CA3EA"/>
    <w:lvl w:ilvl="0" w:tplc="3FA4E01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F7472A"/>
    <w:multiLevelType w:val="hybridMultilevel"/>
    <w:tmpl w:val="D402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371DE"/>
    <w:multiLevelType w:val="hybridMultilevel"/>
    <w:tmpl w:val="EAF42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A0C35"/>
    <w:multiLevelType w:val="hybridMultilevel"/>
    <w:tmpl w:val="535EBD80"/>
    <w:lvl w:ilvl="0" w:tplc="3FA4E01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783951"/>
    <w:multiLevelType w:val="hybridMultilevel"/>
    <w:tmpl w:val="483A24D4"/>
    <w:lvl w:ilvl="0" w:tplc="3FA4E01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9041879"/>
    <w:multiLevelType w:val="hybridMultilevel"/>
    <w:tmpl w:val="1F544724"/>
    <w:lvl w:ilvl="0" w:tplc="3FA4E01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71652190">
    <w:abstractNumId w:val="3"/>
  </w:num>
  <w:num w:numId="2" w16cid:durableId="1967344592">
    <w:abstractNumId w:val="0"/>
  </w:num>
  <w:num w:numId="3" w16cid:durableId="1105613849">
    <w:abstractNumId w:val="1"/>
  </w:num>
  <w:num w:numId="4" w16cid:durableId="558134239">
    <w:abstractNumId w:val="2"/>
  </w:num>
  <w:num w:numId="5" w16cid:durableId="335545576">
    <w:abstractNumId w:val="6"/>
  </w:num>
  <w:num w:numId="6" w16cid:durableId="825975749">
    <w:abstractNumId w:val="5"/>
  </w:num>
  <w:num w:numId="7" w16cid:durableId="240263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080"/>
    <w:rsid w:val="0001430A"/>
    <w:rsid w:val="00033B23"/>
    <w:rsid w:val="00050B22"/>
    <w:rsid w:val="00062015"/>
    <w:rsid w:val="00062080"/>
    <w:rsid w:val="00073F43"/>
    <w:rsid w:val="00093B92"/>
    <w:rsid w:val="000C53D2"/>
    <w:rsid w:val="000D1E4A"/>
    <w:rsid w:val="000F0A69"/>
    <w:rsid w:val="000F60ED"/>
    <w:rsid w:val="00102E90"/>
    <w:rsid w:val="00124CC2"/>
    <w:rsid w:val="00137B95"/>
    <w:rsid w:val="00140AA1"/>
    <w:rsid w:val="00156A34"/>
    <w:rsid w:val="00166BF5"/>
    <w:rsid w:val="001805A4"/>
    <w:rsid w:val="001960F2"/>
    <w:rsid w:val="001A06EC"/>
    <w:rsid w:val="001E18FA"/>
    <w:rsid w:val="001E2A88"/>
    <w:rsid w:val="002112B2"/>
    <w:rsid w:val="00230D69"/>
    <w:rsid w:val="00241CE4"/>
    <w:rsid w:val="002457D2"/>
    <w:rsid w:val="00247894"/>
    <w:rsid w:val="00252E0B"/>
    <w:rsid w:val="00275DF7"/>
    <w:rsid w:val="002A1E8A"/>
    <w:rsid w:val="00300BEB"/>
    <w:rsid w:val="00305950"/>
    <w:rsid w:val="00327EDF"/>
    <w:rsid w:val="00335F3D"/>
    <w:rsid w:val="003703DD"/>
    <w:rsid w:val="003A42B9"/>
    <w:rsid w:val="003B2F3A"/>
    <w:rsid w:val="003C20C6"/>
    <w:rsid w:val="003D2C25"/>
    <w:rsid w:val="003D7854"/>
    <w:rsid w:val="003E0B6E"/>
    <w:rsid w:val="00455BC3"/>
    <w:rsid w:val="00490F9F"/>
    <w:rsid w:val="004959DC"/>
    <w:rsid w:val="004A67E1"/>
    <w:rsid w:val="004A6D10"/>
    <w:rsid w:val="004B1E89"/>
    <w:rsid w:val="004D5A8D"/>
    <w:rsid w:val="004F4748"/>
    <w:rsid w:val="004F7836"/>
    <w:rsid w:val="005005A6"/>
    <w:rsid w:val="00501EF7"/>
    <w:rsid w:val="005044CD"/>
    <w:rsid w:val="0052585B"/>
    <w:rsid w:val="00554468"/>
    <w:rsid w:val="00584BDC"/>
    <w:rsid w:val="00590AB6"/>
    <w:rsid w:val="005A2593"/>
    <w:rsid w:val="005D4BD1"/>
    <w:rsid w:val="00605E95"/>
    <w:rsid w:val="00606E03"/>
    <w:rsid w:val="00610266"/>
    <w:rsid w:val="00625CFF"/>
    <w:rsid w:val="00636DC9"/>
    <w:rsid w:val="00647AF6"/>
    <w:rsid w:val="00656274"/>
    <w:rsid w:val="006677AB"/>
    <w:rsid w:val="00690694"/>
    <w:rsid w:val="006B5794"/>
    <w:rsid w:val="006B74FF"/>
    <w:rsid w:val="007142FF"/>
    <w:rsid w:val="00716FF6"/>
    <w:rsid w:val="00725315"/>
    <w:rsid w:val="00731A09"/>
    <w:rsid w:val="00746080"/>
    <w:rsid w:val="00757FB4"/>
    <w:rsid w:val="00793350"/>
    <w:rsid w:val="007C4687"/>
    <w:rsid w:val="008048A7"/>
    <w:rsid w:val="00805E85"/>
    <w:rsid w:val="00834001"/>
    <w:rsid w:val="008515F6"/>
    <w:rsid w:val="00851B72"/>
    <w:rsid w:val="00864BA2"/>
    <w:rsid w:val="008A05CF"/>
    <w:rsid w:val="008A3EBC"/>
    <w:rsid w:val="008A608A"/>
    <w:rsid w:val="008C0847"/>
    <w:rsid w:val="008E2186"/>
    <w:rsid w:val="00997B98"/>
    <w:rsid w:val="009B36CD"/>
    <w:rsid w:val="00A272B0"/>
    <w:rsid w:val="00A449B5"/>
    <w:rsid w:val="00A46EEC"/>
    <w:rsid w:val="00A81819"/>
    <w:rsid w:val="00AC1BF5"/>
    <w:rsid w:val="00AE08A1"/>
    <w:rsid w:val="00AE2AFD"/>
    <w:rsid w:val="00B05901"/>
    <w:rsid w:val="00B07839"/>
    <w:rsid w:val="00B335AD"/>
    <w:rsid w:val="00B519F8"/>
    <w:rsid w:val="00B72CB2"/>
    <w:rsid w:val="00BC2E67"/>
    <w:rsid w:val="00BE0200"/>
    <w:rsid w:val="00BE37CE"/>
    <w:rsid w:val="00BF6446"/>
    <w:rsid w:val="00C87618"/>
    <w:rsid w:val="00CA317F"/>
    <w:rsid w:val="00CB147B"/>
    <w:rsid w:val="00CC5095"/>
    <w:rsid w:val="00CC7385"/>
    <w:rsid w:val="00CE1067"/>
    <w:rsid w:val="00CF14C3"/>
    <w:rsid w:val="00CF742D"/>
    <w:rsid w:val="00D17F37"/>
    <w:rsid w:val="00D4105A"/>
    <w:rsid w:val="00D605D3"/>
    <w:rsid w:val="00D83F1C"/>
    <w:rsid w:val="00DA0F8D"/>
    <w:rsid w:val="00E213F7"/>
    <w:rsid w:val="00E30B20"/>
    <w:rsid w:val="00E60D3A"/>
    <w:rsid w:val="00E742B2"/>
    <w:rsid w:val="00EC7C26"/>
    <w:rsid w:val="00ED2C21"/>
    <w:rsid w:val="00EE5AAA"/>
    <w:rsid w:val="00EF25FF"/>
    <w:rsid w:val="00F44947"/>
    <w:rsid w:val="00F56877"/>
    <w:rsid w:val="00F65870"/>
    <w:rsid w:val="00F67F10"/>
    <w:rsid w:val="00F8000D"/>
    <w:rsid w:val="00F95902"/>
    <w:rsid w:val="00FA5AC9"/>
    <w:rsid w:val="00FB1E4B"/>
    <w:rsid w:val="00FC6D3C"/>
    <w:rsid w:val="00FE5935"/>
    <w:rsid w:val="00FF49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7D2A1"/>
  <w15:chartTrackingRefBased/>
  <w15:docId w15:val="{A4BBCD6A-7AE4-43C4-969F-9B4376F7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B23"/>
  </w:style>
  <w:style w:type="paragraph" w:styleId="Footer">
    <w:name w:val="footer"/>
    <w:basedOn w:val="Normal"/>
    <w:link w:val="FooterChar"/>
    <w:uiPriority w:val="99"/>
    <w:unhideWhenUsed/>
    <w:rsid w:val="00033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B23"/>
  </w:style>
  <w:style w:type="paragraph" w:styleId="ListParagraph">
    <w:name w:val="List Paragraph"/>
    <w:basedOn w:val="Normal"/>
    <w:uiPriority w:val="34"/>
    <w:qFormat/>
    <w:rsid w:val="003703DD"/>
    <w:pPr>
      <w:ind w:left="720"/>
      <w:contextualSpacing/>
    </w:pPr>
  </w:style>
  <w:style w:type="paragraph" w:styleId="HTMLPreformatted">
    <w:name w:val="HTML Preformatted"/>
    <w:basedOn w:val="Normal"/>
    <w:link w:val="HTMLPreformattedChar"/>
    <w:uiPriority w:val="99"/>
    <w:semiHidden/>
    <w:unhideWhenUsed/>
    <w:rsid w:val="00A8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81819"/>
    <w:rPr>
      <w:rFonts w:ascii="Courier New" w:eastAsia="Times New Roman" w:hAnsi="Courier New" w:cs="Courier New"/>
      <w:sz w:val="20"/>
      <w:szCs w:val="20"/>
    </w:rPr>
  </w:style>
  <w:style w:type="character" w:customStyle="1" w:styleId="y2iqfc">
    <w:name w:val="y2iqfc"/>
    <w:basedOn w:val="DefaultParagraphFont"/>
    <w:rsid w:val="00A81819"/>
  </w:style>
  <w:style w:type="paragraph" w:styleId="Revision">
    <w:name w:val="Revision"/>
    <w:hidden/>
    <w:uiPriority w:val="99"/>
    <w:semiHidden/>
    <w:rsid w:val="00166BF5"/>
    <w:pPr>
      <w:spacing w:after="0" w:line="240" w:lineRule="auto"/>
    </w:pPr>
  </w:style>
  <w:style w:type="character" w:styleId="Hyperlink">
    <w:name w:val="Hyperlink"/>
    <w:basedOn w:val="DefaultParagraphFont"/>
    <w:uiPriority w:val="99"/>
    <w:unhideWhenUsed/>
    <w:rsid w:val="0052585B"/>
    <w:rPr>
      <w:color w:val="0563C1" w:themeColor="hyperlink"/>
      <w:u w:val="single"/>
    </w:rPr>
  </w:style>
  <w:style w:type="character" w:styleId="UnresolvedMention">
    <w:name w:val="Unresolved Mention"/>
    <w:basedOn w:val="DefaultParagraphFont"/>
    <w:uiPriority w:val="99"/>
    <w:semiHidden/>
    <w:unhideWhenUsed/>
    <w:rsid w:val="00525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66922">
      <w:bodyDiv w:val="1"/>
      <w:marLeft w:val="0"/>
      <w:marRight w:val="0"/>
      <w:marTop w:val="0"/>
      <w:marBottom w:val="0"/>
      <w:divBdr>
        <w:top w:val="none" w:sz="0" w:space="0" w:color="auto"/>
        <w:left w:val="none" w:sz="0" w:space="0" w:color="auto"/>
        <w:bottom w:val="none" w:sz="0" w:space="0" w:color="auto"/>
        <w:right w:val="none" w:sz="0" w:space="0" w:color="auto"/>
      </w:divBdr>
    </w:div>
    <w:div w:id="417946003">
      <w:bodyDiv w:val="1"/>
      <w:marLeft w:val="0"/>
      <w:marRight w:val="0"/>
      <w:marTop w:val="0"/>
      <w:marBottom w:val="0"/>
      <w:divBdr>
        <w:top w:val="none" w:sz="0" w:space="0" w:color="auto"/>
        <w:left w:val="none" w:sz="0" w:space="0" w:color="auto"/>
        <w:bottom w:val="none" w:sz="0" w:space="0" w:color="auto"/>
        <w:right w:val="none" w:sz="0" w:space="0" w:color="auto"/>
      </w:divBdr>
    </w:div>
    <w:div w:id="781462757">
      <w:bodyDiv w:val="1"/>
      <w:marLeft w:val="0"/>
      <w:marRight w:val="0"/>
      <w:marTop w:val="0"/>
      <w:marBottom w:val="0"/>
      <w:divBdr>
        <w:top w:val="none" w:sz="0" w:space="0" w:color="auto"/>
        <w:left w:val="none" w:sz="0" w:space="0" w:color="auto"/>
        <w:bottom w:val="none" w:sz="0" w:space="0" w:color="auto"/>
        <w:right w:val="none" w:sz="0" w:space="0" w:color="auto"/>
      </w:divBdr>
    </w:div>
    <w:div w:id="817646060">
      <w:bodyDiv w:val="1"/>
      <w:marLeft w:val="0"/>
      <w:marRight w:val="0"/>
      <w:marTop w:val="0"/>
      <w:marBottom w:val="0"/>
      <w:divBdr>
        <w:top w:val="none" w:sz="0" w:space="0" w:color="auto"/>
        <w:left w:val="none" w:sz="0" w:space="0" w:color="auto"/>
        <w:bottom w:val="none" w:sz="0" w:space="0" w:color="auto"/>
        <w:right w:val="none" w:sz="0" w:space="0" w:color="auto"/>
      </w:divBdr>
    </w:div>
    <w:div w:id="934751350">
      <w:bodyDiv w:val="1"/>
      <w:marLeft w:val="0"/>
      <w:marRight w:val="0"/>
      <w:marTop w:val="0"/>
      <w:marBottom w:val="0"/>
      <w:divBdr>
        <w:top w:val="none" w:sz="0" w:space="0" w:color="auto"/>
        <w:left w:val="none" w:sz="0" w:space="0" w:color="auto"/>
        <w:bottom w:val="none" w:sz="0" w:space="0" w:color="auto"/>
        <w:right w:val="none" w:sz="0" w:space="0" w:color="auto"/>
      </w:divBdr>
    </w:div>
    <w:div w:id="171824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iccat.int/com2024/Annex/PA4_801_Annex1.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iccat.int/com2024/Annex/PA4_801_Annex1.pdf"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5DCC68-DBEC-4D42-A62B-49E5152860E9}">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9E447F5D-C473-4A86-B353-978DFC521A35}">
  <ds:schemaRefs>
    <ds:schemaRef ds:uri="http://schemas.openxmlformats.org/officeDocument/2006/bibliography"/>
  </ds:schemaRefs>
</ds:datastoreItem>
</file>

<file path=customXml/itemProps3.xml><?xml version="1.0" encoding="utf-8"?>
<ds:datastoreItem xmlns:ds="http://schemas.openxmlformats.org/officeDocument/2006/customXml" ds:itemID="{C23908F0-92F5-4075-BD22-A91A22C28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9BDDA4-8663-4B86-9544-BF8A71A99C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629</TotalTime>
  <Pages>15</Pages>
  <Words>3811</Words>
  <Characters>21724</Characters>
  <Application>Microsoft Office Word</Application>
  <DocSecurity>0</DocSecurity>
  <Lines>181</Lines>
  <Paragraphs>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Cheatle</dc:creator>
  <cp:keywords/>
  <dc:description/>
  <cp:lastModifiedBy>Dorothee Pinet</cp:lastModifiedBy>
  <cp:revision>59</cp:revision>
  <cp:lastPrinted>2022-11-20T19:01:00Z</cp:lastPrinted>
  <dcterms:created xsi:type="dcterms:W3CDTF">2023-09-20T08:33:00Z</dcterms:created>
  <dcterms:modified xsi:type="dcterms:W3CDTF">2026-10-05T10:51:00Z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