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19D75" w14:textId="68191638" w:rsidR="0099496D" w:rsidRPr="00185E08" w:rsidRDefault="0099496D" w:rsidP="0099496D">
      <w:pPr>
        <w:spacing w:after="0"/>
        <w:ind w:left="88"/>
        <w:jc w:val="right"/>
        <w:rPr>
          <w:rFonts w:ascii="Cambria" w:eastAsia="Cambria" w:hAnsi="Cambria" w:cs="Cambria"/>
          <w:b/>
          <w:kern w:val="0"/>
          <w:sz w:val="20"/>
          <w:szCs w:val="20"/>
          <w14:ligatures w14:val="none"/>
        </w:rPr>
      </w:pPr>
      <w:r>
        <w:rPr>
          <w:rFonts w:ascii="Cambria" w:hAnsi="Cambria"/>
          <w:b/>
          <w:sz w:val="20"/>
        </w:rPr>
        <w:t>Original: inglés</w:t>
      </w:r>
    </w:p>
    <w:p w14:paraId="45C433AA" w14:textId="77777777" w:rsidR="0099496D" w:rsidRPr="004F0915" w:rsidRDefault="0099496D" w:rsidP="00D212AA">
      <w:pPr>
        <w:spacing w:after="0"/>
        <w:ind w:left="88"/>
        <w:jc w:val="center"/>
        <w:rPr>
          <w:rFonts w:ascii="Cambria" w:eastAsia="Cambria" w:hAnsi="Cambria" w:cs="Cambria"/>
          <w:b/>
          <w:kern w:val="0"/>
          <w:sz w:val="20"/>
          <w:szCs w:val="20"/>
          <w14:ligatures w14:val="none"/>
        </w:rPr>
      </w:pPr>
    </w:p>
    <w:p w14:paraId="17F84FE0" w14:textId="4C81E9C2" w:rsidR="00D212AA" w:rsidRPr="00185E08" w:rsidRDefault="00D212AA" w:rsidP="00D212AA">
      <w:pPr>
        <w:spacing w:after="0"/>
        <w:ind w:left="88"/>
        <w:jc w:val="center"/>
        <w:rPr>
          <w:rFonts w:ascii="Cambria" w:eastAsia="Cambria" w:hAnsi="Cambria" w:cs="Cambria"/>
          <w:b/>
          <w:kern w:val="0"/>
          <w:sz w:val="20"/>
          <w:szCs w:val="20"/>
          <w14:ligatures w14:val="none"/>
        </w:rPr>
      </w:pPr>
      <w:r>
        <w:rPr>
          <w:rFonts w:ascii="Cambria" w:hAnsi="Cambria"/>
          <w:b/>
          <w:sz w:val="20"/>
        </w:rPr>
        <w:t>Portada para acompañar nuevas propuestas</w:t>
      </w:r>
    </w:p>
    <w:p w14:paraId="2C1CFBD3" w14:textId="77777777" w:rsidR="00D212AA" w:rsidRPr="00185E08" w:rsidRDefault="00D212AA" w:rsidP="00D212AA">
      <w:pPr>
        <w:tabs>
          <w:tab w:val="left" w:pos="7300"/>
        </w:tabs>
        <w:spacing w:after="0" w:line="240" w:lineRule="auto"/>
        <w:rPr>
          <w:rFonts w:ascii="Cambria" w:eastAsia="Times New Roman" w:hAnsi="Cambria" w:cs="Times New Roman"/>
          <w:b/>
          <w:bCs/>
          <w:kern w:val="0"/>
          <w:sz w:val="20"/>
          <w:szCs w:val="20"/>
          <w14:ligatures w14:val="none"/>
        </w:rPr>
      </w:pPr>
      <w:r>
        <w:rPr>
          <w:rFonts w:ascii="Cambria" w:hAnsi="Cambria"/>
          <w:b/>
          <w:sz w:val="20"/>
        </w:rPr>
        <w:tab/>
      </w:r>
    </w:p>
    <w:p w14:paraId="6EF59103" w14:textId="6B1017B9" w:rsidR="00D212AA" w:rsidRPr="00185E08" w:rsidRDefault="00D212AA" w:rsidP="00D212AA">
      <w:pPr>
        <w:widowControl w:val="0"/>
        <w:spacing w:after="0" w:line="240" w:lineRule="auto"/>
        <w:jc w:val="center"/>
        <w:rPr>
          <w:rFonts w:ascii="Cambria" w:eastAsia="Cambria" w:hAnsi="Cambria" w:cs="Cambria"/>
          <w:i/>
          <w:kern w:val="0"/>
          <w:sz w:val="20"/>
          <w:szCs w:val="20"/>
          <w14:ligatures w14:val="none"/>
        </w:rPr>
      </w:pPr>
      <w:r>
        <w:rPr>
          <w:rFonts w:ascii="Cambria" w:hAnsi="Cambria"/>
          <w:i/>
          <w:sz w:val="20"/>
        </w:rPr>
        <w:t>(documento presentado por Noruega)</w:t>
      </w:r>
    </w:p>
    <w:p w14:paraId="5DC9053E" w14:textId="77777777" w:rsidR="00D212AA" w:rsidRPr="004F0915" w:rsidRDefault="00D212AA" w:rsidP="00D212AA">
      <w:pPr>
        <w:pStyle w:val="Default"/>
      </w:pPr>
    </w:p>
    <w:p w14:paraId="03DAFDC2" w14:textId="77777777" w:rsidR="00D212AA" w:rsidRPr="004F0915" w:rsidRDefault="00D212AA" w:rsidP="00D212AA">
      <w:pPr>
        <w:widowControl w:val="0"/>
        <w:spacing w:after="0" w:line="240" w:lineRule="auto"/>
        <w:ind w:hanging="10"/>
        <w:jc w:val="both"/>
        <w:rPr>
          <w:rFonts w:ascii="Cambria" w:eastAsia="Cambria" w:hAnsi="Cambria" w:cs="Cambria"/>
          <w:b/>
          <w:bCs/>
          <w:color w:val="000000" w:themeColor="text1"/>
          <w:sz w:val="20"/>
          <w:szCs w:val="20"/>
        </w:rPr>
      </w:pPr>
    </w:p>
    <w:p w14:paraId="0345B3FA" w14:textId="0C46843E" w:rsidR="00D212AA" w:rsidRPr="00185E08" w:rsidRDefault="00D212AA" w:rsidP="00D212AA">
      <w:pPr>
        <w:widowControl w:val="0"/>
        <w:autoSpaceDE w:val="0"/>
        <w:autoSpaceDN w:val="0"/>
        <w:spacing w:after="0" w:line="240" w:lineRule="auto"/>
        <w:ind w:left="224"/>
        <w:jc w:val="both"/>
        <w:rPr>
          <w:rFonts w:ascii="Cambria" w:eastAsia="Cambria" w:hAnsi="Cambria" w:cs="Cambria"/>
          <w:b/>
          <w:bCs/>
          <w:kern w:val="0"/>
          <w:sz w:val="20"/>
          <w:szCs w:val="20"/>
          <w14:ligatures w14:val="none"/>
        </w:rPr>
      </w:pPr>
      <w:r>
        <w:rPr>
          <w:rFonts w:ascii="Cambria" w:hAnsi="Cambria"/>
          <w:b/>
          <w:sz w:val="20"/>
        </w:rPr>
        <w:t xml:space="preserve">Título de la propuesta de Proyecto de Recomendación/Resolución: </w:t>
      </w:r>
      <w:r>
        <w:rPr>
          <w:rFonts w:ascii="Cambria" w:hAnsi="Cambria"/>
          <w:color w:val="FF0000"/>
          <w:sz w:val="20"/>
        </w:rPr>
        <w:t>Proyecto de Recomendación de ICCAT que enmienda la Recomendación 25-04 que establece un plan de ordenación plurianual para el atún rojo en el Atlántico este y el Mediterráneo</w:t>
      </w:r>
    </w:p>
    <w:p w14:paraId="24162FA6" w14:textId="77777777" w:rsidR="00D212AA" w:rsidRPr="004F0915" w:rsidRDefault="00D212AA" w:rsidP="00D212AA">
      <w:pPr>
        <w:widowControl w:val="0"/>
        <w:autoSpaceDE w:val="0"/>
        <w:autoSpaceDN w:val="0"/>
        <w:spacing w:after="0" w:line="240" w:lineRule="auto"/>
        <w:ind w:left="224"/>
        <w:jc w:val="both"/>
        <w:rPr>
          <w:rFonts w:ascii="Cambria" w:eastAsia="Cambria" w:hAnsi="Cambria" w:cs="Cambria"/>
          <w:color w:val="FF0000"/>
          <w:kern w:val="0"/>
          <w:sz w:val="20"/>
          <w:szCs w:val="20"/>
          <w14:ligatures w14:val="none"/>
        </w:rPr>
      </w:pPr>
    </w:p>
    <w:p w14:paraId="022EC522" w14:textId="137EE377" w:rsidR="00D212AA" w:rsidRPr="00185E08" w:rsidRDefault="00D212AA" w:rsidP="00D212AA">
      <w:pPr>
        <w:widowControl w:val="0"/>
        <w:autoSpaceDE w:val="0"/>
        <w:autoSpaceDN w:val="0"/>
        <w:spacing w:after="0" w:line="240" w:lineRule="auto"/>
        <w:ind w:left="224"/>
        <w:jc w:val="both"/>
        <w:rPr>
          <w:rFonts w:ascii="Cambria" w:hAnsi="Cambria"/>
        </w:rPr>
      </w:pPr>
      <w:r>
        <w:rPr>
          <w:rFonts w:ascii="Cambria" w:hAnsi="Cambria"/>
          <w:b/>
          <w:sz w:val="20"/>
        </w:rPr>
        <w:t>Título de la(s) recomendación(es) o resolución(es) actualmente vigente(s) que aborda(n) la misma cuestión o cuestiones relacionadas:</w:t>
      </w:r>
      <w:r>
        <w:rPr>
          <w:rFonts w:ascii="Cambria" w:hAnsi="Cambria"/>
          <w:b/>
          <w:color w:val="000000" w:themeColor="text1"/>
          <w:sz w:val="20"/>
        </w:rPr>
        <w:t xml:space="preserve"> </w:t>
      </w:r>
      <w:r w:rsidRPr="004F0915">
        <w:rPr>
          <w:rFonts w:ascii="Cambria" w:hAnsi="Cambria"/>
          <w:i/>
          <w:iCs/>
          <w:color w:val="FF0000"/>
          <w:sz w:val="20"/>
        </w:rPr>
        <w:t>Recomendación de ICCAT que reemplaza la Recomendación</w:t>
      </w:r>
      <w:r w:rsidR="004F0915">
        <w:rPr>
          <w:rFonts w:ascii="Cambria" w:hAnsi="Cambria"/>
          <w:i/>
          <w:iCs/>
          <w:color w:val="FF0000"/>
          <w:sz w:val="20"/>
        </w:rPr>
        <w:t> </w:t>
      </w:r>
      <w:r w:rsidRPr="004F0915">
        <w:rPr>
          <w:rFonts w:ascii="Cambria" w:hAnsi="Cambria"/>
          <w:i/>
          <w:iCs/>
          <w:color w:val="FF0000"/>
          <w:sz w:val="20"/>
        </w:rPr>
        <w:t xml:space="preserve">24-05 que establece un plan de ordenación plurianual para el atún rojo en el Atlántico este y el Mediterráneo </w:t>
      </w:r>
      <w:r w:rsidRPr="004F0915">
        <w:rPr>
          <w:rFonts w:ascii="Cambria" w:hAnsi="Cambria"/>
          <w:color w:val="FF0000"/>
          <w:sz w:val="20"/>
        </w:rPr>
        <w:t>(Rec. 25-04)</w:t>
      </w:r>
    </w:p>
    <w:p w14:paraId="574D5AF4" w14:textId="77777777" w:rsidR="00D212AA" w:rsidRPr="004F0915" w:rsidRDefault="00D212AA" w:rsidP="00D212AA">
      <w:pPr>
        <w:widowControl w:val="0"/>
        <w:spacing w:after="0" w:line="240" w:lineRule="auto"/>
        <w:ind w:hanging="10"/>
        <w:jc w:val="both"/>
        <w:rPr>
          <w:rFonts w:ascii="Cambria" w:eastAsia="Cambria" w:hAnsi="Cambria" w:cs="Cambria"/>
          <w:color w:val="000000" w:themeColor="text1"/>
          <w:sz w:val="20"/>
          <w:szCs w:val="20"/>
        </w:rPr>
      </w:pPr>
    </w:p>
    <w:p w14:paraId="4DA725EC" w14:textId="77777777" w:rsidR="00D212AA" w:rsidRPr="00185E08" w:rsidRDefault="00D212AA" w:rsidP="00D212AA">
      <w:pPr>
        <w:pStyle w:val="ListParagraph"/>
        <w:widowControl w:val="0"/>
        <w:numPr>
          <w:ilvl w:val="0"/>
          <w:numId w:val="6"/>
        </w:numPr>
        <w:spacing w:after="0" w:line="240" w:lineRule="auto"/>
        <w:ind w:left="426" w:hanging="426"/>
        <w:rPr>
          <w:rFonts w:ascii="Cambria" w:eastAsia="Cambria" w:hAnsi="Cambria" w:cs="Cambria"/>
          <w:color w:val="000000" w:themeColor="text1"/>
          <w:sz w:val="20"/>
          <w:szCs w:val="20"/>
        </w:rPr>
      </w:pPr>
      <w:r>
        <w:rPr>
          <w:rFonts w:ascii="Cambria" w:hAnsi="Cambria"/>
          <w:color w:val="000000" w:themeColor="text1"/>
          <w:sz w:val="20"/>
        </w:rPr>
        <w:t xml:space="preserve">¿Crea nuevas </w:t>
      </w:r>
      <w:r>
        <w:rPr>
          <w:rFonts w:ascii="Cambria" w:hAnsi="Cambria"/>
          <w:b/>
          <w:bCs/>
          <w:color w:val="000000" w:themeColor="text1"/>
          <w:sz w:val="20"/>
        </w:rPr>
        <w:t>obligaciones de comunicación</w:t>
      </w:r>
      <w:r>
        <w:rPr>
          <w:rFonts w:ascii="Cambria" w:hAnsi="Cambria"/>
          <w:color w:val="000000" w:themeColor="text1"/>
          <w:sz w:val="20"/>
        </w:rPr>
        <w:t xml:space="preserve"> para las CPC?     </w:t>
      </w:r>
      <w:r>
        <w:rPr>
          <w:rFonts w:ascii="Cambria" w:hAnsi="Cambria"/>
          <w:color w:val="EE0000"/>
          <w:sz w:val="20"/>
        </w:rPr>
        <w:t xml:space="preserve">Sí  </w:t>
      </w:r>
      <w:r>
        <w:rPr>
          <w:rFonts w:ascii="Segoe UI Symbol" w:hAnsi="Segoe UI Symbol"/>
          <w:color w:val="EE0000"/>
          <w:sz w:val="20"/>
        </w:rPr>
        <w:t>☒</w:t>
      </w:r>
      <w:r>
        <w:rPr>
          <w:rFonts w:ascii="Cambria" w:hAnsi="Cambria"/>
          <w:color w:val="EE0000"/>
          <w:sz w:val="20"/>
        </w:rPr>
        <w:t xml:space="preserve"> </w:t>
      </w:r>
      <w:r>
        <w:tab/>
      </w:r>
      <w:r>
        <w:tab/>
      </w:r>
      <w:r w:rsidRPr="00B535DF">
        <w:rPr>
          <w:rFonts w:ascii="Cambria" w:hAnsi="Cambria"/>
          <w:color w:val="000000" w:themeColor="text1"/>
          <w:sz w:val="20"/>
        </w:rPr>
        <w:t>No</w:t>
      </w:r>
      <w:r>
        <w:rPr>
          <w:color w:val="000000" w:themeColor="text1"/>
          <w:sz w:val="20"/>
        </w:rPr>
        <w:t xml:space="preserve">  </w:t>
      </w:r>
      <w:r>
        <w:rPr>
          <w:rFonts w:ascii="Cambria" w:hAnsi="Cambria"/>
          <w:color w:val="000000" w:themeColor="text1"/>
          <w:sz w:val="20"/>
        </w:rPr>
        <w:t xml:space="preserve">☐ </w:t>
      </w:r>
    </w:p>
    <w:p w14:paraId="2066B311" w14:textId="77777777" w:rsidR="00D212AA" w:rsidRPr="00185E08"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1EF04EF9" w14:textId="77777777" w:rsidR="00D212AA" w:rsidRPr="00185E08" w:rsidRDefault="00D212AA" w:rsidP="00D212AA">
      <w:pPr>
        <w:widowControl w:val="0"/>
        <w:spacing w:after="0" w:line="240" w:lineRule="auto"/>
        <w:ind w:left="426" w:hanging="10"/>
        <w:jc w:val="both"/>
        <w:rPr>
          <w:rFonts w:ascii="Cambria" w:eastAsia="Cambria" w:hAnsi="Cambria" w:cs="Cambria"/>
          <w:color w:val="000000" w:themeColor="text1"/>
          <w:sz w:val="20"/>
          <w:szCs w:val="20"/>
        </w:rPr>
      </w:pPr>
      <w:r>
        <w:rPr>
          <w:rFonts w:ascii="Cambria" w:hAnsi="Cambria"/>
          <w:color w:val="000000" w:themeColor="text1"/>
          <w:sz w:val="20"/>
        </w:rPr>
        <w:t xml:space="preserve">Breve descripción de la(s) nueva(s) obligación(es) de comunicación: </w:t>
      </w:r>
    </w:p>
    <w:p w14:paraId="041257FD" w14:textId="77777777" w:rsidR="00D212AA" w:rsidRPr="004F0915" w:rsidRDefault="00D212AA" w:rsidP="00D212AA">
      <w:pPr>
        <w:widowControl w:val="0"/>
        <w:spacing w:after="0" w:line="240" w:lineRule="auto"/>
        <w:ind w:left="426" w:hanging="10"/>
        <w:jc w:val="both"/>
        <w:rPr>
          <w:rFonts w:ascii="Cambria" w:eastAsia="Cambria" w:hAnsi="Cambria" w:cs="Cambria"/>
          <w:color w:val="0070C0"/>
          <w:sz w:val="20"/>
          <w:szCs w:val="20"/>
        </w:rPr>
      </w:pPr>
    </w:p>
    <w:p w14:paraId="4EC63ADC" w14:textId="13815A69" w:rsidR="00D212AA" w:rsidRPr="00185E08" w:rsidRDefault="00D212AA" w:rsidP="00D212AA">
      <w:pPr>
        <w:widowControl w:val="0"/>
        <w:spacing w:after="0" w:line="240" w:lineRule="auto"/>
        <w:ind w:left="426" w:hanging="10"/>
        <w:jc w:val="both"/>
        <w:rPr>
          <w:rFonts w:ascii="Cambria" w:eastAsia="Cambria" w:hAnsi="Cambria" w:cs="Cambria"/>
          <w:color w:val="EE0000"/>
          <w:sz w:val="20"/>
          <w:szCs w:val="20"/>
        </w:rPr>
      </w:pPr>
      <w:r>
        <w:rPr>
          <w:rFonts w:ascii="Cambria" w:hAnsi="Cambria"/>
          <w:color w:val="EE0000"/>
          <w:sz w:val="20"/>
        </w:rPr>
        <w:t>Obligación para las CPC que pescan al amparo de la derogación.</w:t>
      </w:r>
    </w:p>
    <w:p w14:paraId="25CCDB5F" w14:textId="77777777" w:rsidR="00D212AA" w:rsidRPr="004F0915" w:rsidRDefault="00D212AA" w:rsidP="00D212AA">
      <w:pPr>
        <w:widowControl w:val="0"/>
        <w:spacing w:after="0" w:line="240" w:lineRule="auto"/>
        <w:ind w:left="426" w:hanging="10"/>
        <w:jc w:val="both"/>
        <w:rPr>
          <w:rFonts w:ascii="Cambria" w:eastAsia="Times New Roman" w:hAnsi="Cambria" w:cs="Times New Roman"/>
          <w:color w:val="000000" w:themeColor="text1"/>
          <w:sz w:val="20"/>
          <w:szCs w:val="20"/>
        </w:rPr>
      </w:pPr>
    </w:p>
    <w:p w14:paraId="3F088FFF" w14:textId="145D7337" w:rsidR="00D212AA" w:rsidRPr="00185E08" w:rsidRDefault="00D212AA" w:rsidP="00D212AA">
      <w:pPr>
        <w:pStyle w:val="ListParagraph"/>
        <w:widowControl w:val="0"/>
        <w:numPr>
          <w:ilvl w:val="0"/>
          <w:numId w:val="6"/>
        </w:numPr>
        <w:spacing w:after="0" w:line="240" w:lineRule="auto"/>
        <w:ind w:left="426" w:hanging="426"/>
        <w:rPr>
          <w:rFonts w:ascii="Cambria" w:eastAsia="Cambria" w:hAnsi="Cambria" w:cs="Cambria"/>
          <w:color w:val="000000" w:themeColor="text1"/>
          <w:sz w:val="20"/>
          <w:szCs w:val="20"/>
        </w:rPr>
      </w:pPr>
      <w:r>
        <w:rPr>
          <w:rFonts w:ascii="Cambria" w:hAnsi="Cambria"/>
          <w:color w:val="000000" w:themeColor="text1"/>
          <w:sz w:val="20"/>
        </w:rPr>
        <w:t xml:space="preserve">¿Requiere aportaciones o </w:t>
      </w:r>
      <w:r>
        <w:rPr>
          <w:rFonts w:ascii="Cambria" w:hAnsi="Cambria"/>
          <w:b/>
          <w:bCs/>
          <w:color w:val="000000" w:themeColor="text1"/>
          <w:sz w:val="20"/>
        </w:rPr>
        <w:t xml:space="preserve">trabajo </w:t>
      </w:r>
      <w:r>
        <w:rPr>
          <w:rFonts w:ascii="Cambria" w:hAnsi="Cambria"/>
          <w:color w:val="000000" w:themeColor="text1"/>
          <w:sz w:val="20"/>
        </w:rPr>
        <w:t xml:space="preserve">adicional </w:t>
      </w:r>
      <w:r>
        <w:rPr>
          <w:rFonts w:ascii="Cambria" w:hAnsi="Cambria"/>
          <w:b/>
          <w:bCs/>
          <w:color w:val="000000" w:themeColor="text1"/>
          <w:sz w:val="20"/>
        </w:rPr>
        <w:t>por parte del SCRS</w:t>
      </w:r>
      <w:r>
        <w:rPr>
          <w:rFonts w:ascii="Cambria" w:hAnsi="Cambria"/>
          <w:color w:val="000000" w:themeColor="text1"/>
          <w:sz w:val="20"/>
        </w:rPr>
        <w:t xml:space="preserve">?    </w:t>
      </w:r>
      <w:r>
        <w:rPr>
          <w:rFonts w:ascii="Cambria" w:hAnsi="Cambria"/>
        </w:rPr>
        <w:t xml:space="preserve">Sí </w:t>
      </w:r>
      <w:r>
        <w:rPr>
          <w:rFonts w:ascii="Segoe UI Symbol" w:hAnsi="Segoe UI Symbol"/>
        </w:rPr>
        <w:t>☐</w:t>
      </w:r>
      <w:r>
        <w:rPr>
          <w:rFonts w:ascii="Cambria" w:hAnsi="Cambria"/>
        </w:rPr>
        <w:t xml:space="preserve">    </w:t>
      </w:r>
      <w:r>
        <w:rPr>
          <w:rFonts w:ascii="Cambria" w:hAnsi="Cambria"/>
          <w:color w:val="EE0000"/>
          <w:sz w:val="20"/>
        </w:rPr>
        <w:t xml:space="preserve">No </w:t>
      </w:r>
      <w:r>
        <w:rPr>
          <w:rFonts w:ascii="Segoe UI Symbol" w:hAnsi="Segoe UI Symbol"/>
          <w:color w:val="EE0000"/>
          <w:sz w:val="20"/>
        </w:rPr>
        <w:t>☒</w:t>
      </w:r>
    </w:p>
    <w:p w14:paraId="4689043A" w14:textId="77777777" w:rsidR="00D212AA" w:rsidRPr="00185E08" w:rsidRDefault="00D212AA" w:rsidP="00D212AA">
      <w:pPr>
        <w:widowControl w:val="0"/>
        <w:spacing w:after="0" w:line="240" w:lineRule="auto"/>
        <w:ind w:left="360" w:hanging="10"/>
        <w:rPr>
          <w:rFonts w:ascii="Cambria" w:eastAsia="Cambria" w:hAnsi="Cambria" w:cs="Cambria"/>
          <w:color w:val="000000" w:themeColor="text1"/>
          <w:sz w:val="20"/>
          <w:szCs w:val="20"/>
          <w:lang w:val="en-IE"/>
        </w:rPr>
      </w:pPr>
    </w:p>
    <w:p w14:paraId="1173EFB4" w14:textId="77777777" w:rsidR="00D212AA" w:rsidRPr="00B535DF" w:rsidRDefault="00D212AA" w:rsidP="00D212AA">
      <w:pPr>
        <w:widowControl w:val="0"/>
        <w:spacing w:after="0" w:line="240" w:lineRule="auto"/>
        <w:ind w:left="360" w:firstLine="66"/>
        <w:jc w:val="both"/>
        <w:rPr>
          <w:rFonts w:ascii="Cambria" w:eastAsia="Cambria" w:hAnsi="Cambria" w:cs="Cambria"/>
          <w:color w:val="000000" w:themeColor="text1"/>
          <w:sz w:val="20"/>
          <w:szCs w:val="20"/>
        </w:rPr>
      </w:pPr>
      <w:r w:rsidRPr="00B535DF">
        <w:rPr>
          <w:rFonts w:ascii="Cambria" w:hAnsi="Cambria"/>
        </w:rPr>
        <w:t>¿Está este trabajo ya incluido en el Plan de trabajo actual del SCRS?</w:t>
      </w:r>
      <w:r w:rsidRPr="00B535DF">
        <w:rPr>
          <w:rFonts w:ascii="Cambria" w:hAnsi="Cambria"/>
        </w:rPr>
        <w:tab/>
        <w:t xml:space="preserve">Sí  </w:t>
      </w:r>
      <w:r w:rsidRPr="00B535DF">
        <w:rPr>
          <w:rFonts w:ascii="Segoe UI Symbol" w:hAnsi="Segoe UI Symbol" w:cs="Segoe UI Symbol"/>
        </w:rPr>
        <w:t>☐</w:t>
      </w:r>
      <w:r w:rsidRPr="00B535DF">
        <w:rPr>
          <w:rFonts w:ascii="Cambria" w:hAnsi="Cambria"/>
        </w:rPr>
        <w:tab/>
      </w:r>
      <w:r w:rsidRPr="00B535DF">
        <w:rPr>
          <w:rFonts w:ascii="Cambria" w:hAnsi="Cambria"/>
        </w:rPr>
        <w:tab/>
      </w:r>
      <w:r w:rsidRPr="00B535DF">
        <w:rPr>
          <w:rFonts w:ascii="Cambria" w:hAnsi="Cambria"/>
          <w:color w:val="EE0000"/>
          <w:sz w:val="20"/>
        </w:rPr>
        <w:t xml:space="preserve">No  </w:t>
      </w:r>
      <w:r w:rsidRPr="00B535DF">
        <w:rPr>
          <w:rFonts w:ascii="Segoe UI Symbol" w:hAnsi="Segoe UI Symbol" w:cs="Segoe UI Symbol"/>
          <w:color w:val="EE0000"/>
          <w:sz w:val="20"/>
        </w:rPr>
        <w:t>☒</w:t>
      </w:r>
    </w:p>
    <w:p w14:paraId="27BF7C92" w14:textId="77777777" w:rsidR="00D212AA" w:rsidRPr="004F0915" w:rsidRDefault="00D212AA" w:rsidP="00D212AA">
      <w:pPr>
        <w:widowControl w:val="0"/>
        <w:spacing w:after="0" w:line="240" w:lineRule="auto"/>
        <w:ind w:left="360" w:hanging="10"/>
        <w:rPr>
          <w:rFonts w:ascii="Cambria" w:eastAsia="Cambria" w:hAnsi="Cambria" w:cs="Cambria"/>
          <w:color w:val="000000" w:themeColor="text1"/>
          <w:sz w:val="20"/>
          <w:szCs w:val="20"/>
        </w:rPr>
      </w:pPr>
    </w:p>
    <w:p w14:paraId="781ABF02" w14:textId="77777777" w:rsidR="00D212AA" w:rsidRPr="00185E08" w:rsidRDefault="00D212AA" w:rsidP="00D212AA">
      <w:pPr>
        <w:widowControl w:val="0"/>
        <w:spacing w:after="0" w:line="240" w:lineRule="auto"/>
        <w:ind w:left="426" w:hanging="10"/>
        <w:jc w:val="both"/>
        <w:rPr>
          <w:rFonts w:ascii="Cambria" w:eastAsia="Cambria" w:hAnsi="Cambria" w:cs="Cambria"/>
          <w:color w:val="000000" w:themeColor="text1"/>
          <w:sz w:val="20"/>
          <w:szCs w:val="20"/>
        </w:rPr>
      </w:pPr>
      <w:r>
        <w:rPr>
          <w:rFonts w:ascii="Cambria" w:hAnsi="Cambria"/>
          <w:color w:val="000000" w:themeColor="text1"/>
          <w:sz w:val="20"/>
        </w:rPr>
        <w:t>Breve descripción del nuevo trabajo científico necesario (es decir, evaluación del stock, análisis, consultor externo):</w:t>
      </w:r>
    </w:p>
    <w:p w14:paraId="373BE093" w14:textId="77777777" w:rsidR="00D212AA" w:rsidRPr="004F0915" w:rsidRDefault="00D212AA" w:rsidP="00D25FEA">
      <w:pPr>
        <w:widowControl w:val="0"/>
        <w:spacing w:after="0" w:line="240" w:lineRule="auto"/>
        <w:jc w:val="both"/>
        <w:rPr>
          <w:rFonts w:ascii="Cambria" w:eastAsia="Cambria" w:hAnsi="Cambria" w:cs="Cambria"/>
          <w:color w:val="0070C0"/>
          <w:sz w:val="20"/>
          <w:szCs w:val="20"/>
        </w:rPr>
      </w:pPr>
    </w:p>
    <w:p w14:paraId="0F23478A" w14:textId="77777777" w:rsidR="00D212AA" w:rsidRPr="00185E08"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rPr>
      </w:pPr>
      <w:r>
        <w:rPr>
          <w:rFonts w:ascii="Cambria" w:hAnsi="Cambria"/>
          <w:color w:val="000000" w:themeColor="text1"/>
          <w:sz w:val="20"/>
        </w:rPr>
        <w:t xml:space="preserve">¿Implica la creación de un </w:t>
      </w:r>
      <w:r>
        <w:rPr>
          <w:rFonts w:ascii="Cambria" w:hAnsi="Cambria"/>
          <w:b/>
          <w:bCs/>
          <w:color w:val="000000" w:themeColor="text1"/>
          <w:sz w:val="20"/>
        </w:rPr>
        <w:t>nuevo grupo de trabajo o proceso intersesiones</w:t>
      </w:r>
      <w:r>
        <w:rPr>
          <w:rFonts w:ascii="Cambria" w:hAnsi="Cambria"/>
          <w:color w:val="000000" w:themeColor="text1"/>
          <w:sz w:val="20"/>
        </w:rPr>
        <w:t xml:space="preserve">?    Sí  </w:t>
      </w:r>
      <w:r>
        <w:rPr>
          <w:rFonts w:ascii="Segoe UI Symbol" w:hAnsi="Segoe UI Symbol"/>
          <w:color w:val="000000" w:themeColor="text1"/>
          <w:sz w:val="20"/>
        </w:rPr>
        <w:t>☐</w:t>
      </w:r>
      <w:r>
        <w:rPr>
          <w:rFonts w:ascii="Cambria" w:hAnsi="Cambria"/>
          <w:color w:val="000000" w:themeColor="text1"/>
          <w:sz w:val="20"/>
        </w:rPr>
        <w:t xml:space="preserve"> </w:t>
      </w:r>
      <w:r>
        <w:rPr>
          <w:sz w:val="20"/>
        </w:rPr>
        <w:tab/>
      </w:r>
      <w:r>
        <w:rPr>
          <w:sz w:val="20"/>
        </w:rPr>
        <w:tab/>
      </w:r>
      <w:r>
        <w:rPr>
          <w:rFonts w:ascii="Cambria" w:hAnsi="Cambria"/>
          <w:color w:val="EE0000"/>
          <w:sz w:val="20"/>
        </w:rPr>
        <w:t xml:space="preserve">No  </w:t>
      </w:r>
      <w:r>
        <w:rPr>
          <w:rFonts w:ascii="Segoe UI Symbol" w:hAnsi="Segoe UI Symbol"/>
          <w:color w:val="EE0000"/>
          <w:sz w:val="20"/>
        </w:rPr>
        <w:t>☒</w:t>
      </w:r>
      <w:r>
        <w:rPr>
          <w:rFonts w:ascii="Cambria" w:hAnsi="Cambria"/>
          <w:color w:val="EE0000"/>
          <w:sz w:val="20"/>
        </w:rPr>
        <w:t xml:space="preserve"> </w:t>
      </w:r>
    </w:p>
    <w:p w14:paraId="577C2E55" w14:textId="77777777" w:rsidR="00D212AA" w:rsidRPr="00185E08" w:rsidRDefault="00D212AA" w:rsidP="00D212AA">
      <w:pPr>
        <w:widowControl w:val="0"/>
        <w:spacing w:after="0" w:line="240" w:lineRule="auto"/>
        <w:ind w:hanging="10"/>
        <w:rPr>
          <w:rFonts w:ascii="Cambria" w:eastAsia="Cambria" w:hAnsi="Cambria" w:cs="Cambria"/>
          <w:color w:val="000000" w:themeColor="text1"/>
          <w:sz w:val="20"/>
          <w:szCs w:val="20"/>
          <w:lang w:val="en-IE"/>
        </w:rPr>
      </w:pPr>
    </w:p>
    <w:p w14:paraId="520A4B5E" w14:textId="77777777" w:rsidR="00D212AA" w:rsidRPr="00185E08"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rPr>
      </w:pPr>
      <w:r>
        <w:rPr>
          <w:rFonts w:ascii="Cambria" w:hAnsi="Cambria"/>
          <w:color w:val="000000" w:themeColor="text1"/>
          <w:sz w:val="20"/>
        </w:rPr>
        <w:t>¿Requiere un nuevo</w:t>
      </w:r>
      <w:r>
        <w:rPr>
          <w:rFonts w:ascii="Cambria" w:hAnsi="Cambria"/>
          <w:b/>
          <w:bCs/>
          <w:color w:val="000000" w:themeColor="text1"/>
          <w:sz w:val="20"/>
        </w:rPr>
        <w:t xml:space="preserve"> programa o actividades adicionales que deba gestionar la Secretaría</w:t>
      </w:r>
      <w:r>
        <w:rPr>
          <w:rFonts w:ascii="Cambria" w:hAnsi="Cambria"/>
          <w:color w:val="000000" w:themeColor="text1"/>
          <w:sz w:val="20"/>
        </w:rPr>
        <w:t xml:space="preserve">?  </w:t>
      </w:r>
    </w:p>
    <w:p w14:paraId="6FFA42D7" w14:textId="77777777" w:rsidR="00D212AA" w:rsidRPr="004F0915" w:rsidRDefault="00D212AA" w:rsidP="00D212AA">
      <w:pPr>
        <w:widowControl w:val="0"/>
        <w:spacing w:after="0" w:line="240" w:lineRule="auto"/>
        <w:ind w:left="426" w:hanging="10"/>
        <w:rPr>
          <w:rFonts w:ascii="Cambria" w:eastAsia="Cambria" w:hAnsi="Cambria" w:cs="Cambria"/>
          <w:color w:val="000000" w:themeColor="text1"/>
          <w:sz w:val="20"/>
          <w:szCs w:val="20"/>
        </w:rPr>
      </w:pPr>
    </w:p>
    <w:p w14:paraId="6EE32F4F" w14:textId="77777777" w:rsidR="00D212AA" w:rsidRPr="00185E08" w:rsidRDefault="00D212AA" w:rsidP="00D212AA">
      <w:pPr>
        <w:widowControl w:val="0"/>
        <w:spacing w:after="0" w:line="240" w:lineRule="auto"/>
        <w:ind w:left="426" w:hanging="10"/>
        <w:rPr>
          <w:rFonts w:ascii="Cambria" w:eastAsia="Cambria" w:hAnsi="Cambria" w:cs="Cambria"/>
          <w:color w:val="EE0000"/>
          <w:sz w:val="20"/>
          <w:szCs w:val="20"/>
        </w:rPr>
      </w:pPr>
      <w:r>
        <w:rPr>
          <w:rFonts w:ascii="Cambria" w:hAnsi="Cambria"/>
          <w:color w:val="000000" w:themeColor="text1"/>
          <w:sz w:val="20"/>
        </w:rPr>
        <w:t xml:space="preserve">Sí  </w:t>
      </w:r>
      <w:r>
        <w:rPr>
          <w:rFonts w:ascii="Segoe UI Symbol" w:hAnsi="Segoe UI Symbol"/>
          <w:color w:val="000000" w:themeColor="text1"/>
          <w:sz w:val="20"/>
        </w:rPr>
        <w:t>☐</w:t>
      </w:r>
      <w:r>
        <w:rPr>
          <w:rFonts w:ascii="Cambria" w:hAnsi="Cambria"/>
          <w:color w:val="000000" w:themeColor="text1"/>
          <w:sz w:val="20"/>
        </w:rPr>
        <w:t xml:space="preserve"> </w:t>
      </w:r>
      <w:r>
        <w:tab/>
      </w:r>
      <w:r>
        <w:tab/>
      </w:r>
      <w:r w:rsidRPr="00B535DF">
        <w:rPr>
          <w:rFonts w:ascii="Cambria" w:hAnsi="Cambria"/>
          <w:color w:val="EE0000"/>
          <w:sz w:val="20"/>
        </w:rPr>
        <w:t xml:space="preserve">No  </w:t>
      </w:r>
      <w:r w:rsidRPr="00B535DF">
        <w:rPr>
          <w:rFonts w:ascii="Segoe UI Symbol" w:hAnsi="Segoe UI Symbol" w:cs="Segoe UI Symbol"/>
        </w:rPr>
        <w:t>☒</w:t>
      </w:r>
      <w:r>
        <w:rPr>
          <w:rFonts w:ascii="Cambria" w:hAnsi="Cambria"/>
          <w:color w:val="EE0000"/>
          <w:sz w:val="20"/>
        </w:rPr>
        <w:t xml:space="preserve"> </w:t>
      </w:r>
    </w:p>
    <w:p w14:paraId="1C9AD79F" w14:textId="77777777" w:rsidR="00D212AA" w:rsidRPr="004F0915" w:rsidRDefault="00D212AA" w:rsidP="00D212AA">
      <w:pPr>
        <w:widowControl w:val="0"/>
        <w:spacing w:after="0" w:line="240" w:lineRule="auto"/>
        <w:ind w:left="360" w:hanging="10"/>
        <w:jc w:val="both"/>
        <w:rPr>
          <w:rFonts w:ascii="Cambria" w:eastAsia="Cambria" w:hAnsi="Cambria" w:cs="Cambria"/>
          <w:color w:val="000000" w:themeColor="text1"/>
          <w:sz w:val="20"/>
          <w:szCs w:val="20"/>
        </w:rPr>
      </w:pPr>
    </w:p>
    <w:p w14:paraId="7B4EB438" w14:textId="77777777" w:rsidR="00D212AA" w:rsidRPr="00185E08" w:rsidRDefault="00D212AA" w:rsidP="00D212AA">
      <w:pPr>
        <w:widowControl w:val="0"/>
        <w:spacing w:after="0" w:line="240" w:lineRule="auto"/>
        <w:ind w:left="426"/>
        <w:rPr>
          <w:rFonts w:ascii="Cambria" w:eastAsia="Cambria" w:hAnsi="Cambria" w:cs="Cambria"/>
          <w:color w:val="000000" w:themeColor="text1"/>
          <w:sz w:val="20"/>
          <w:szCs w:val="20"/>
        </w:rPr>
      </w:pPr>
      <w:r>
        <w:rPr>
          <w:rFonts w:ascii="Cambria" w:hAnsi="Cambria"/>
          <w:color w:val="000000" w:themeColor="text1"/>
          <w:sz w:val="20"/>
        </w:rPr>
        <w:t xml:space="preserve">Breve descripción del nuevo trabajo necesario de la Secretaría: </w:t>
      </w:r>
    </w:p>
    <w:p w14:paraId="1564B0CC" w14:textId="77777777" w:rsidR="00D212AA" w:rsidRPr="004F0915" w:rsidRDefault="00D212AA" w:rsidP="00D212AA">
      <w:pPr>
        <w:widowControl w:val="0"/>
        <w:spacing w:after="0" w:line="240" w:lineRule="auto"/>
        <w:ind w:hanging="10"/>
        <w:rPr>
          <w:rFonts w:ascii="Cambria" w:eastAsia="Cambria" w:hAnsi="Cambria" w:cs="Cambria"/>
          <w:color w:val="000000" w:themeColor="text1"/>
          <w:sz w:val="20"/>
          <w:szCs w:val="20"/>
        </w:rPr>
      </w:pPr>
    </w:p>
    <w:p w14:paraId="52DF3DAD" w14:textId="77777777" w:rsidR="00D212AA" w:rsidRPr="00185E08" w:rsidRDefault="00D212AA" w:rsidP="00D212AA">
      <w:pPr>
        <w:pStyle w:val="ListParagraph"/>
        <w:widowControl w:val="0"/>
        <w:numPr>
          <w:ilvl w:val="0"/>
          <w:numId w:val="6"/>
        </w:numPr>
        <w:spacing w:after="0" w:line="240" w:lineRule="auto"/>
        <w:ind w:left="426" w:hanging="426"/>
        <w:jc w:val="both"/>
        <w:rPr>
          <w:rFonts w:ascii="Cambria" w:eastAsia="Cambria" w:hAnsi="Cambria" w:cs="Cambria"/>
          <w:color w:val="000000" w:themeColor="text1"/>
          <w:sz w:val="20"/>
          <w:szCs w:val="20"/>
        </w:rPr>
      </w:pPr>
      <w:r>
        <w:rPr>
          <w:rFonts w:ascii="Cambria" w:hAnsi="Cambria"/>
          <w:color w:val="000000" w:themeColor="text1"/>
          <w:sz w:val="20"/>
        </w:rPr>
        <w:t xml:space="preserve">¿Cuál es el calendario propuesto para la implementación? ¿Existen distintos calendarios específicos para determinadas CPC, pesquerías, regiones, etc.? </w:t>
      </w:r>
    </w:p>
    <w:p w14:paraId="5D545DCC" w14:textId="77777777" w:rsidR="003B58BA" w:rsidRPr="004F0915" w:rsidRDefault="003B58BA" w:rsidP="003B58BA">
      <w:pPr>
        <w:widowControl w:val="0"/>
        <w:spacing w:after="0" w:line="240" w:lineRule="auto"/>
        <w:jc w:val="both"/>
        <w:rPr>
          <w:rFonts w:ascii="Cambria" w:eastAsia="Cambria" w:hAnsi="Cambria" w:cs="Cambria"/>
          <w:color w:val="000000" w:themeColor="text1"/>
          <w:sz w:val="20"/>
          <w:szCs w:val="20"/>
        </w:rPr>
      </w:pPr>
    </w:p>
    <w:p w14:paraId="594DFF32" w14:textId="69DF8718" w:rsidR="00D212AA" w:rsidRPr="00185E08" w:rsidRDefault="003B58BA" w:rsidP="00D212AA">
      <w:pPr>
        <w:pStyle w:val="ListParagraph"/>
        <w:widowControl w:val="0"/>
        <w:spacing w:after="0" w:line="240" w:lineRule="auto"/>
        <w:ind w:left="426"/>
        <w:jc w:val="both"/>
        <w:rPr>
          <w:rFonts w:ascii="Cambria" w:eastAsia="Cambria" w:hAnsi="Cambria" w:cs="Cambria"/>
          <w:color w:val="FF0000"/>
          <w:sz w:val="20"/>
          <w:szCs w:val="20"/>
        </w:rPr>
      </w:pPr>
      <w:r>
        <w:rPr>
          <w:rFonts w:ascii="Cambria" w:hAnsi="Cambria"/>
          <w:color w:val="FF0000"/>
          <w:sz w:val="20"/>
        </w:rPr>
        <w:t xml:space="preserve">Si se adopta en la reunión anual de 2026, el </w:t>
      </w:r>
      <w:r w:rsidRPr="00B535DF">
        <w:rPr>
          <w:rFonts w:ascii="Cambria" w:hAnsi="Cambria"/>
          <w:color w:val="FF0000"/>
          <w:sz w:val="20"/>
        </w:rPr>
        <w:t>proyecto de R</w:t>
      </w:r>
      <w:r>
        <w:rPr>
          <w:rFonts w:ascii="Cambria" w:hAnsi="Cambria"/>
          <w:color w:val="FF0000"/>
          <w:sz w:val="20"/>
        </w:rPr>
        <w:t>ecomendación entraría en vigor de conformidad con el Artículo VIII del Convenio de ICCAT. Las CPC que cumplan los requisitos podrían entonces autorizar a los buques de cerco que enarbolen su pabellón a faenar al amparo de la derogación en 2027, a partir de la fecha de entrada en vigor, siempre que se cumplan todas las condiciones previstas en el párrafo 101 bis.</w:t>
      </w:r>
    </w:p>
    <w:p w14:paraId="6D3A4D6D" w14:textId="77777777" w:rsidR="00D212AA" w:rsidRPr="004F0915" w:rsidRDefault="00D212AA" w:rsidP="00D212AA">
      <w:pPr>
        <w:widowControl w:val="0"/>
        <w:spacing w:after="0" w:line="240" w:lineRule="auto"/>
        <w:ind w:hanging="10"/>
        <w:rPr>
          <w:rFonts w:ascii="Cambria" w:eastAsia="Cambria" w:hAnsi="Cambria" w:cs="Cambria"/>
          <w:color w:val="000000" w:themeColor="text1"/>
          <w:sz w:val="20"/>
          <w:szCs w:val="20"/>
        </w:rPr>
      </w:pPr>
    </w:p>
    <w:p w14:paraId="70B94402" w14:textId="61C68184" w:rsidR="00D212AA" w:rsidRPr="00185E08" w:rsidRDefault="00B535DF" w:rsidP="00D212AA">
      <w:pPr>
        <w:pStyle w:val="ListParagraph"/>
        <w:widowControl w:val="0"/>
        <w:numPr>
          <w:ilvl w:val="0"/>
          <w:numId w:val="6"/>
        </w:numPr>
        <w:spacing w:after="0" w:line="240" w:lineRule="auto"/>
        <w:ind w:left="426" w:hanging="426"/>
        <w:jc w:val="both"/>
        <w:rPr>
          <w:rFonts w:ascii="Cambria" w:eastAsia="Cambria" w:hAnsi="Cambria" w:cs="Cambria"/>
          <w:color w:val="EE0000"/>
          <w:sz w:val="20"/>
          <w:szCs w:val="20"/>
        </w:rPr>
      </w:pPr>
      <w:r>
        <w:rPr>
          <w:rFonts w:ascii="Cambria" w:hAnsi="Cambria"/>
          <w:color w:val="000000" w:themeColor="text1"/>
          <w:sz w:val="20"/>
        </w:rPr>
        <w:t>¿</w:t>
      </w:r>
      <w:r w:rsidR="00D212AA">
        <w:rPr>
          <w:rFonts w:ascii="Cambria" w:hAnsi="Cambria"/>
          <w:color w:val="000000" w:themeColor="text1"/>
          <w:sz w:val="20"/>
        </w:rPr>
        <w:t xml:space="preserve">Hay alguna otra información pertinente sobre las repercusiones de la propuesta en lo referente a los recursos y a la carga de trabajo? </w:t>
      </w:r>
      <w:r w:rsidR="00D212AA">
        <w:rPr>
          <w:rFonts w:ascii="Cambria" w:hAnsi="Cambria"/>
          <w:color w:val="EE0000"/>
          <w:sz w:val="20"/>
        </w:rPr>
        <w:t>No.</w:t>
      </w:r>
    </w:p>
    <w:p w14:paraId="4D348808" w14:textId="77777777" w:rsidR="009105B5" w:rsidRPr="00185E08" w:rsidRDefault="009105B5">
      <w:pPr>
        <w:spacing w:after="160" w:line="278" w:lineRule="auto"/>
        <w:rPr>
          <w:rFonts w:ascii="Cambria" w:eastAsiaTheme="majorEastAsia" w:hAnsi="Cambria" w:cstheme="majorBidi"/>
          <w:b/>
          <w:kern w:val="28"/>
          <w:sz w:val="26"/>
          <w:szCs w:val="56"/>
        </w:rPr>
      </w:pPr>
      <w:r>
        <w:br w:type="page"/>
      </w:r>
    </w:p>
    <w:p w14:paraId="00FBFD83" w14:textId="77777777" w:rsidR="00ED076E" w:rsidRPr="00185E08" w:rsidRDefault="00ED076E" w:rsidP="00ED076E">
      <w:pPr>
        <w:pStyle w:val="Title"/>
        <w:spacing w:after="0"/>
        <w:jc w:val="center"/>
        <w:rPr>
          <w:rFonts w:ascii="Cambria" w:hAnsi="Cambria"/>
          <w:spacing w:val="0"/>
          <w:sz w:val="20"/>
          <w:szCs w:val="20"/>
        </w:rPr>
      </w:pPr>
    </w:p>
    <w:p w14:paraId="20F82FAE" w14:textId="484A122B" w:rsidR="00185E08" w:rsidRDefault="001968A3" w:rsidP="00B47B21">
      <w:pPr>
        <w:pStyle w:val="Title"/>
        <w:spacing w:after="0"/>
        <w:jc w:val="center"/>
        <w:rPr>
          <w:rFonts w:ascii="Cambria" w:hAnsi="Cambria"/>
          <w:spacing w:val="0"/>
          <w:sz w:val="20"/>
          <w:szCs w:val="20"/>
        </w:rPr>
      </w:pPr>
      <w:r>
        <w:rPr>
          <w:rFonts w:ascii="Cambria" w:hAnsi="Cambria"/>
          <w:sz w:val="20"/>
        </w:rPr>
        <w:t>Nota explicativa sobre el Proyecto de Recomendación de ICCAT que enmienda</w:t>
      </w:r>
    </w:p>
    <w:p w14:paraId="693C5A94" w14:textId="15120D23" w:rsidR="00185E08" w:rsidRDefault="0011060D" w:rsidP="00B47B21">
      <w:pPr>
        <w:pStyle w:val="Title"/>
        <w:spacing w:after="0"/>
        <w:jc w:val="center"/>
        <w:rPr>
          <w:rFonts w:ascii="Cambria" w:hAnsi="Cambria"/>
          <w:spacing w:val="0"/>
          <w:sz w:val="20"/>
          <w:szCs w:val="20"/>
        </w:rPr>
      </w:pPr>
      <w:r>
        <w:rPr>
          <w:rFonts w:ascii="Cambria" w:hAnsi="Cambria"/>
          <w:sz w:val="20"/>
        </w:rPr>
        <w:t xml:space="preserve">la </w:t>
      </w:r>
      <w:r w:rsidR="00452D57">
        <w:rPr>
          <w:rFonts w:ascii="Cambria" w:hAnsi="Cambria"/>
          <w:sz w:val="20"/>
        </w:rPr>
        <w:t>Recomendación 25-04 que establece un plan de ordenación plurianual para</w:t>
      </w:r>
    </w:p>
    <w:p w14:paraId="1F32DBC0" w14:textId="794220F3" w:rsidR="00F128AB" w:rsidRPr="00185E08" w:rsidRDefault="0011060D" w:rsidP="00B47B21">
      <w:pPr>
        <w:pStyle w:val="Title"/>
        <w:spacing w:after="0"/>
        <w:jc w:val="center"/>
        <w:rPr>
          <w:rFonts w:ascii="Cambria" w:hAnsi="Cambria"/>
          <w:spacing w:val="0"/>
          <w:sz w:val="20"/>
          <w:szCs w:val="20"/>
        </w:rPr>
      </w:pPr>
      <w:r>
        <w:rPr>
          <w:rFonts w:ascii="Cambria" w:hAnsi="Cambria"/>
          <w:sz w:val="20"/>
        </w:rPr>
        <w:t xml:space="preserve">el </w:t>
      </w:r>
      <w:r w:rsidR="00E53952">
        <w:rPr>
          <w:rFonts w:ascii="Cambria" w:hAnsi="Cambria"/>
          <w:sz w:val="20"/>
        </w:rPr>
        <w:t>atún rojo en el Atlántico este y el Mediterráneo</w:t>
      </w:r>
    </w:p>
    <w:p w14:paraId="34499ED2" w14:textId="77777777" w:rsidR="00B47B21" w:rsidRPr="00185E08" w:rsidRDefault="00B47B21" w:rsidP="00B47B21">
      <w:pPr>
        <w:spacing w:after="0" w:line="240" w:lineRule="auto"/>
        <w:jc w:val="center"/>
        <w:rPr>
          <w:rFonts w:ascii="Cambria" w:hAnsi="Cambria"/>
          <w:sz w:val="20"/>
          <w:szCs w:val="20"/>
        </w:rPr>
      </w:pPr>
    </w:p>
    <w:p w14:paraId="7D252179" w14:textId="093AF51D" w:rsidR="00F128AB" w:rsidRPr="00185E08" w:rsidRDefault="00E53952" w:rsidP="00B47B21">
      <w:pPr>
        <w:spacing w:after="0" w:line="240" w:lineRule="auto"/>
        <w:jc w:val="center"/>
        <w:rPr>
          <w:rFonts w:ascii="Cambria" w:hAnsi="Cambria"/>
          <w:i/>
          <w:iCs/>
          <w:sz w:val="20"/>
          <w:szCs w:val="20"/>
        </w:rPr>
      </w:pPr>
      <w:r>
        <w:rPr>
          <w:rFonts w:ascii="Cambria" w:hAnsi="Cambria"/>
          <w:i/>
          <w:sz w:val="20"/>
        </w:rPr>
        <w:t>(documento presentado por Noruega)</w:t>
      </w:r>
    </w:p>
    <w:p w14:paraId="490EE400" w14:textId="77777777" w:rsidR="005F04B5" w:rsidRPr="00185E08" w:rsidRDefault="005F04B5" w:rsidP="00B47B21">
      <w:pPr>
        <w:spacing w:after="0" w:line="240" w:lineRule="auto"/>
        <w:jc w:val="center"/>
        <w:rPr>
          <w:rFonts w:ascii="Cambria" w:hAnsi="Cambria"/>
          <w:sz w:val="20"/>
          <w:szCs w:val="20"/>
        </w:rPr>
      </w:pPr>
    </w:p>
    <w:p w14:paraId="5EF239A4" w14:textId="67E36E99" w:rsidR="00F128AB" w:rsidRPr="0011060D" w:rsidRDefault="00E53952" w:rsidP="00724708">
      <w:pPr>
        <w:spacing w:after="0" w:line="240" w:lineRule="auto"/>
        <w:jc w:val="both"/>
        <w:rPr>
          <w:rFonts w:ascii="Cambria" w:hAnsi="Cambria"/>
          <w:sz w:val="20"/>
          <w:szCs w:val="20"/>
        </w:rPr>
      </w:pPr>
      <w:r>
        <w:rPr>
          <w:rFonts w:ascii="Cambria" w:hAnsi="Cambria"/>
          <w:sz w:val="20"/>
        </w:rPr>
        <w:t xml:space="preserve">Noruega propone una derogación, definida estrictamente, del requisito de que los buques de cerco cuenten con una cobertura de observadores regionales de ICCAT del 100 %, siempre que se apliquen medidas alternativas de seguimiento y control. La propuesta desarrolla el enfoque descrito en </w:t>
      </w:r>
      <w:r w:rsidRPr="0011060D">
        <w:rPr>
          <w:rFonts w:ascii="Cambria" w:hAnsi="Cambria"/>
          <w:sz w:val="20"/>
        </w:rPr>
        <w:t>el «Documento de debate: hacia un enfoque alternativo de observación en la pesquería noruega de cerco» [IMM_17/2026], presentado por Noruega en la 19.</w:t>
      </w:r>
      <w:r w:rsidRPr="0011060D">
        <w:rPr>
          <w:rFonts w:ascii="Cambria" w:hAnsi="Cambria"/>
          <w:sz w:val="20"/>
          <w:vertAlign w:val="superscript"/>
        </w:rPr>
        <w:t>a</w:t>
      </w:r>
      <w:r w:rsidRPr="0011060D">
        <w:rPr>
          <w:rFonts w:ascii="Cambria" w:hAnsi="Cambria"/>
          <w:sz w:val="20"/>
        </w:rPr>
        <w:t xml:space="preserve"> reunión del Grupo de trabajo sobre medidas de seguimiento integradas (IMM) (1 a 5 de junio de 2026).</w:t>
      </w:r>
    </w:p>
    <w:p w14:paraId="714B7B38" w14:textId="77777777" w:rsidR="00724708" w:rsidRPr="0011060D" w:rsidRDefault="00724708" w:rsidP="00724708">
      <w:pPr>
        <w:spacing w:after="0" w:line="240" w:lineRule="auto"/>
        <w:jc w:val="both"/>
        <w:rPr>
          <w:rFonts w:ascii="Cambria" w:hAnsi="Cambria"/>
          <w:sz w:val="20"/>
          <w:szCs w:val="20"/>
        </w:rPr>
      </w:pPr>
    </w:p>
    <w:p w14:paraId="0D9A28F0" w14:textId="50EF5F05" w:rsidR="00F128AB" w:rsidRPr="00185E08" w:rsidRDefault="00E53952" w:rsidP="00724708">
      <w:pPr>
        <w:spacing w:after="0" w:line="240" w:lineRule="auto"/>
        <w:jc w:val="both"/>
        <w:rPr>
          <w:rFonts w:ascii="Cambria" w:hAnsi="Cambria"/>
          <w:sz w:val="20"/>
          <w:szCs w:val="20"/>
        </w:rPr>
      </w:pPr>
      <w:r w:rsidRPr="0011060D">
        <w:rPr>
          <w:rFonts w:ascii="Cambria" w:hAnsi="Cambria"/>
          <w:sz w:val="20"/>
        </w:rPr>
        <w:t>Tal y como se describe en el documento de debate [IMM_17/2026], la pesca noruega se lleva a cabo</w:t>
      </w:r>
      <w:r>
        <w:rPr>
          <w:rFonts w:ascii="Cambria" w:hAnsi="Cambria"/>
          <w:sz w:val="20"/>
        </w:rPr>
        <w:t xml:space="preserve"> mediante buques pelágicos polivalentes que también se dedican a la pesca de especies como el arenque, la caballa y la bacaladilla. La disponibilidad de atún rojo es impredecible, y las oportunidades de pesca dependen de per</w:t>
      </w:r>
      <w:r w:rsidR="00604A02">
        <w:rPr>
          <w:rFonts w:ascii="Cambria" w:hAnsi="Cambria"/>
          <w:sz w:val="20"/>
        </w:rPr>
        <w:t>í</w:t>
      </w:r>
      <w:r>
        <w:rPr>
          <w:rFonts w:ascii="Cambria" w:hAnsi="Cambria"/>
          <w:sz w:val="20"/>
        </w:rPr>
        <w:t>odos breves en los que las condiciones meteorológicas son adecuadas y se avistan peces. Las</w:t>
      </w:r>
      <w:r w:rsidR="009615A3">
        <w:rPr>
          <w:rFonts w:ascii="Cambria" w:hAnsi="Cambria"/>
          <w:sz w:val="20"/>
        </w:rPr>
        <w:t> </w:t>
      </w:r>
      <w:r>
        <w:rPr>
          <w:rFonts w:ascii="Cambria" w:hAnsi="Cambria"/>
          <w:sz w:val="20"/>
        </w:rPr>
        <w:t>operaciones al final de la temporada también pueden verse limitadas por las pocas horas de luz. Por</w:t>
      </w:r>
      <w:r w:rsidR="009615A3">
        <w:rPr>
          <w:rFonts w:ascii="Cambria" w:hAnsi="Cambria"/>
          <w:sz w:val="20"/>
        </w:rPr>
        <w:t> </w:t>
      </w:r>
      <w:r>
        <w:rPr>
          <w:rFonts w:ascii="Cambria" w:hAnsi="Cambria"/>
          <w:sz w:val="20"/>
        </w:rPr>
        <w:t>consiguiente, el despliegue de observadores regionales con poca antelación puede resultar complicado y costoso en relación con la actividad y las capturas de que se trate, incluso en las salidas en las que no se realizan capturas. Estas restricciones pueden desincentivar la participación y limitar la utilización de las cuotas.</w:t>
      </w:r>
    </w:p>
    <w:p w14:paraId="30653D28" w14:textId="77777777" w:rsidR="00B47B21" w:rsidRPr="00185E08" w:rsidRDefault="00B47B21" w:rsidP="00724708">
      <w:pPr>
        <w:spacing w:after="0" w:line="240" w:lineRule="auto"/>
        <w:jc w:val="both"/>
        <w:rPr>
          <w:rFonts w:ascii="Cambria" w:hAnsi="Cambria"/>
          <w:sz w:val="20"/>
          <w:szCs w:val="20"/>
        </w:rPr>
      </w:pPr>
    </w:p>
    <w:p w14:paraId="6E21494A" w14:textId="7FA13951" w:rsidR="00F128AB" w:rsidRPr="00185E08" w:rsidRDefault="00E53952" w:rsidP="00724708">
      <w:pPr>
        <w:spacing w:after="0" w:line="240" w:lineRule="auto"/>
        <w:jc w:val="both"/>
        <w:rPr>
          <w:rFonts w:ascii="Cambria" w:hAnsi="Cambria"/>
          <w:sz w:val="20"/>
          <w:szCs w:val="20"/>
        </w:rPr>
      </w:pPr>
      <w:r>
        <w:rPr>
          <w:rFonts w:ascii="Cambria" w:hAnsi="Cambria"/>
          <w:sz w:val="20"/>
        </w:rPr>
        <w:t>La derogación propuesta se limita a los buques de cerco que faenen exclusivamente en aguas bajo la jurisdicción de su CPC de pabellón en el Atlántico nororiental y que desembarquen el atún rojo retenido directamente desde el buque de captura en un puerto designado de dicha CPC. Quedan excluidos la transferencia en vivo, el remolque, la introducción en jaulas, la cría, el transbordo y el almacenamiento en</w:t>
      </w:r>
      <w:r w:rsidR="00CF29D8">
        <w:rPr>
          <w:rFonts w:ascii="Cambria" w:hAnsi="Cambria"/>
          <w:sz w:val="20"/>
        </w:rPr>
        <w:t> </w:t>
      </w:r>
      <w:r>
        <w:rPr>
          <w:rFonts w:ascii="Cambria" w:hAnsi="Cambria"/>
          <w:sz w:val="20"/>
        </w:rPr>
        <w:t>vivo. Por lo tanto, no abarcaría las operaciones realizadas en el marco del proyecto piloto independiente de Noruega sobre el almacenamiento en vivo de corta duración.</w:t>
      </w:r>
    </w:p>
    <w:p w14:paraId="7D7DEBB3" w14:textId="77777777" w:rsidR="00B47B21" w:rsidRPr="00185E08" w:rsidRDefault="00B47B21" w:rsidP="00724708">
      <w:pPr>
        <w:spacing w:after="0" w:line="240" w:lineRule="auto"/>
        <w:jc w:val="both"/>
        <w:rPr>
          <w:rFonts w:ascii="Cambria" w:hAnsi="Cambria"/>
          <w:sz w:val="20"/>
          <w:szCs w:val="20"/>
        </w:rPr>
      </w:pPr>
    </w:p>
    <w:p w14:paraId="0E058E60" w14:textId="34F8A96F" w:rsidR="00F128AB" w:rsidRPr="00185E08" w:rsidRDefault="00E53952" w:rsidP="00724708">
      <w:pPr>
        <w:spacing w:after="0" w:line="240" w:lineRule="auto"/>
        <w:jc w:val="both"/>
        <w:rPr>
          <w:rFonts w:ascii="Cambria" w:hAnsi="Cambria"/>
          <w:sz w:val="20"/>
          <w:szCs w:val="20"/>
        </w:rPr>
      </w:pPr>
      <w:r>
        <w:rPr>
          <w:rFonts w:ascii="Cambria" w:hAnsi="Cambria"/>
          <w:sz w:val="20"/>
        </w:rPr>
        <w:t xml:space="preserve">La elegibilidad se limitaría además a las CPC cuya cuota anual total de atún rojo del Atlántico este y el Mediterráneo sea inferior a 1.000 toneladas, que se acojan a la excepción prevista en el párrafo 21 de la </w:t>
      </w:r>
      <w:hyperlink r:id="rId8" w:history="1">
        <w:r w:rsidRPr="0011060D">
          <w:rPr>
            <w:rStyle w:val="Hyperlink"/>
            <w:rFonts w:ascii="Cambria" w:hAnsi="Cambria"/>
            <w:sz w:val="20"/>
            <w:u w:val="none"/>
          </w:rPr>
          <w:t>Rec.</w:t>
        </w:r>
        <w:r w:rsidR="0011060D" w:rsidRPr="0011060D">
          <w:rPr>
            <w:rStyle w:val="Hyperlink"/>
            <w:rFonts w:ascii="Cambria" w:hAnsi="Cambria"/>
            <w:sz w:val="20"/>
            <w:u w:val="none"/>
          </w:rPr>
          <w:t> </w:t>
        </w:r>
        <w:r w:rsidRPr="0011060D">
          <w:rPr>
            <w:rStyle w:val="Hyperlink"/>
            <w:rFonts w:ascii="Cambria" w:hAnsi="Cambria"/>
            <w:sz w:val="20"/>
            <w:u w:val="none"/>
          </w:rPr>
          <w:t>25-04</w:t>
        </w:r>
      </w:hyperlink>
      <w:r>
        <w:rPr>
          <w:rFonts w:ascii="Cambria" w:hAnsi="Cambria"/>
          <w:sz w:val="20"/>
        </w:rPr>
        <w:t xml:space="preserve"> y que hayan demostrado al SCRS que las tasas de captura con cerco en las aguas en cuestión son inferiores a las utilizadas en los cálculos de la capacidad pesquera de 2009. Estas condiciones limitan la derogación a las pesquerías con características geográficas y operativas específicas.</w:t>
      </w:r>
    </w:p>
    <w:p w14:paraId="31E339B8" w14:textId="77777777" w:rsidR="00B47B21" w:rsidRPr="00185E08" w:rsidRDefault="00B47B21" w:rsidP="00724708">
      <w:pPr>
        <w:spacing w:after="0" w:line="240" w:lineRule="auto"/>
        <w:jc w:val="both"/>
        <w:rPr>
          <w:rFonts w:ascii="Cambria" w:hAnsi="Cambria"/>
          <w:sz w:val="20"/>
          <w:szCs w:val="20"/>
        </w:rPr>
      </w:pPr>
    </w:p>
    <w:p w14:paraId="0633C156" w14:textId="0A26D1B9" w:rsidR="00F128AB" w:rsidRPr="00185E08" w:rsidRDefault="00E53952" w:rsidP="00724708">
      <w:pPr>
        <w:spacing w:after="0" w:line="240" w:lineRule="auto"/>
        <w:jc w:val="both"/>
        <w:rPr>
          <w:rFonts w:ascii="Cambria" w:hAnsi="Cambria"/>
          <w:sz w:val="20"/>
          <w:szCs w:val="20"/>
        </w:rPr>
      </w:pPr>
      <w:r>
        <w:rPr>
          <w:rFonts w:ascii="Cambria" w:hAnsi="Cambria"/>
          <w:sz w:val="20"/>
        </w:rPr>
        <w:t xml:space="preserve">Las medidas alternativas combinan notificaciones electrónicas de salida e informes diarios de capturas que abarcan todas las operaciones de pesca, incluidas las capturas cero; la comunicación de datos </w:t>
      </w:r>
      <w:r w:rsidRPr="0011060D">
        <w:rPr>
          <w:rFonts w:ascii="Cambria" w:hAnsi="Cambria"/>
          <w:sz w:val="20"/>
        </w:rPr>
        <w:t xml:space="preserve">del </w:t>
      </w:r>
      <w:r w:rsidR="00263A0A">
        <w:rPr>
          <w:rFonts w:ascii="Cambria" w:hAnsi="Cambria"/>
          <w:sz w:val="20"/>
        </w:rPr>
        <w:t>s</w:t>
      </w:r>
      <w:r w:rsidRPr="0011060D">
        <w:rPr>
          <w:rFonts w:ascii="Cambria" w:hAnsi="Cambria"/>
          <w:sz w:val="20"/>
        </w:rPr>
        <w:t>istema de seguimiento del buque (VMS)</w:t>
      </w:r>
      <w:r>
        <w:rPr>
          <w:rFonts w:ascii="Cambria" w:hAnsi="Cambria"/>
          <w:sz w:val="20"/>
        </w:rPr>
        <w:t xml:space="preserve"> a intervalos no superiores a diez minutos durante el período de autorización; y la presentación electrónica de declaraciones de desembarque certificadas tan pronto como se complete el desembarque. Asimismo, exigen inspecciones de todo el desembarque basadas en </w:t>
      </w:r>
      <w:r w:rsidR="00C67561" w:rsidRPr="00C67561">
        <w:rPr>
          <w:rFonts w:ascii="Cambria" w:hAnsi="Cambria"/>
          <w:sz w:val="20"/>
        </w:rPr>
        <w:t>un</w:t>
      </w:r>
      <w:r w:rsidR="00C67561" w:rsidRPr="00C67561">
        <w:rPr>
          <w:rFonts w:ascii="Cambria" w:hAnsi="Cambria"/>
          <w:sz w:val="20"/>
        </w:rPr>
        <w:t>a</w:t>
      </w:r>
      <w:r w:rsidR="00C67561" w:rsidRPr="00C67561">
        <w:rPr>
          <w:rFonts w:ascii="Cambria" w:hAnsi="Cambria"/>
          <w:sz w:val="20"/>
        </w:rPr>
        <w:t xml:space="preserve"> evaluación de riesgos</w:t>
      </w:r>
      <w:r>
        <w:rPr>
          <w:rFonts w:ascii="Cambria" w:hAnsi="Cambria"/>
          <w:sz w:val="20"/>
        </w:rPr>
        <w:t>, una cobertura de observadores nacionales de al menos el 20 % de los días de pesca durante cada campaña pesquera, una verificación cruzada sistemática de los registros pertinentes y un seguimiento continuo por parte del Centro de seguimiento pesquero de la CPC de pabellón.</w:t>
      </w:r>
    </w:p>
    <w:p w14:paraId="6D665C37" w14:textId="77777777" w:rsidR="00B47B21" w:rsidRPr="00185E08" w:rsidRDefault="00B47B21" w:rsidP="00724708">
      <w:pPr>
        <w:spacing w:after="0" w:line="240" w:lineRule="auto"/>
        <w:jc w:val="both"/>
        <w:rPr>
          <w:rFonts w:ascii="Cambria" w:hAnsi="Cambria"/>
          <w:sz w:val="20"/>
          <w:szCs w:val="20"/>
        </w:rPr>
      </w:pPr>
    </w:p>
    <w:p w14:paraId="0A8CA629" w14:textId="57CC40FB" w:rsidR="00F128AB" w:rsidRPr="00185E08" w:rsidRDefault="00E53952" w:rsidP="00724708">
      <w:pPr>
        <w:spacing w:after="0" w:line="240" w:lineRule="auto"/>
        <w:jc w:val="both"/>
        <w:rPr>
          <w:rFonts w:ascii="Cambria" w:hAnsi="Cambria"/>
          <w:sz w:val="20"/>
          <w:szCs w:val="20"/>
        </w:rPr>
      </w:pPr>
      <w:r>
        <w:rPr>
          <w:rFonts w:ascii="Cambria" w:hAnsi="Cambria"/>
          <w:sz w:val="20"/>
        </w:rPr>
        <w:t xml:space="preserve">El objetivo de Noruega es mantener un seguimiento eficaz, la verificación de las capturas y la trazabilidad, al tiempo que se garantiza que los requisitos relativos a los observadores sean proporcionales a la pesquería. La propuesta introduce el párrafo 101 bis y la excepción correspondiente en el párrafo 103. Las demás disposiciones de la </w:t>
      </w:r>
      <w:hyperlink r:id="rId9" w:history="1">
        <w:r w:rsidRPr="0011060D">
          <w:rPr>
            <w:rStyle w:val="Hyperlink"/>
            <w:rFonts w:ascii="Cambria" w:hAnsi="Cambria"/>
            <w:sz w:val="20"/>
            <w:u w:val="none"/>
          </w:rPr>
          <w:t>Rec. 25-04</w:t>
        </w:r>
      </w:hyperlink>
      <w:r>
        <w:rPr>
          <w:rFonts w:ascii="Cambria" w:hAnsi="Cambria"/>
          <w:sz w:val="20"/>
        </w:rPr>
        <w:t>, así como los requisitos aplicables en materia de documentación de las capturas, se siguen aplicando.</w:t>
      </w:r>
    </w:p>
    <w:p w14:paraId="098452F0" w14:textId="1FD729AA" w:rsidR="006F51D7" w:rsidRPr="00185E08" w:rsidRDefault="006F51D7" w:rsidP="0037674E">
      <w:pPr>
        <w:pStyle w:val="Heading1"/>
        <w:pageBreakBefore/>
        <w:spacing w:after="0" w:line="240" w:lineRule="auto"/>
        <w:jc w:val="center"/>
        <w:rPr>
          <w:rFonts w:ascii="Cambria" w:hAnsi="Cambria"/>
          <w:sz w:val="20"/>
          <w:szCs w:val="20"/>
        </w:rPr>
      </w:pPr>
      <w:r>
        <w:rPr>
          <w:rFonts w:ascii="Cambria" w:hAnsi="Cambria"/>
          <w:sz w:val="20"/>
        </w:rPr>
        <w:lastRenderedPageBreak/>
        <w:t xml:space="preserve">Proyecto </w:t>
      </w:r>
      <w:r w:rsidR="00F84D45">
        <w:rPr>
          <w:rFonts w:ascii="Cambria" w:hAnsi="Cambria"/>
          <w:sz w:val="20"/>
        </w:rPr>
        <w:t xml:space="preserve">de </w:t>
      </w:r>
      <w:r>
        <w:rPr>
          <w:rFonts w:ascii="Cambria" w:hAnsi="Cambria"/>
          <w:sz w:val="20"/>
        </w:rPr>
        <w:t xml:space="preserve">Recomendación de ICCAT que enmienda la Recomendación 25-04 </w:t>
      </w:r>
      <w:r w:rsidR="00ED21B5">
        <w:rPr>
          <w:rFonts w:ascii="Cambria" w:hAnsi="Cambria"/>
          <w:sz w:val="20"/>
        </w:rPr>
        <w:t xml:space="preserve">que establece </w:t>
      </w:r>
      <w:r w:rsidR="00ED21B5">
        <w:rPr>
          <w:rFonts w:ascii="Cambria" w:hAnsi="Cambria"/>
          <w:sz w:val="20"/>
        </w:rPr>
        <w:br/>
      </w:r>
      <w:r>
        <w:rPr>
          <w:rFonts w:ascii="Cambria" w:hAnsi="Cambria"/>
          <w:sz w:val="20"/>
        </w:rPr>
        <w:t>un plan de ordenación plurianual para el atún rojo en el Atlántico este y el</w:t>
      </w:r>
      <w:r w:rsidR="0011060D">
        <w:rPr>
          <w:rFonts w:ascii="Cambria" w:hAnsi="Cambria"/>
          <w:sz w:val="20"/>
        </w:rPr>
        <w:t> </w:t>
      </w:r>
      <w:r>
        <w:rPr>
          <w:rFonts w:ascii="Cambria" w:hAnsi="Cambria"/>
          <w:sz w:val="20"/>
        </w:rPr>
        <w:t>Mediterráneo</w:t>
      </w:r>
    </w:p>
    <w:p w14:paraId="59385E98" w14:textId="77777777" w:rsidR="0037674E" w:rsidRPr="004F0915" w:rsidRDefault="0037674E" w:rsidP="0037674E">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p>
    <w:p w14:paraId="338BF2B1" w14:textId="3F4E89EC" w:rsidR="0037674E" w:rsidRPr="00185E08" w:rsidRDefault="0037674E" w:rsidP="0037674E">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r>
        <w:rPr>
          <w:rFonts w:ascii="Cambria" w:hAnsi="Cambria"/>
          <w:i/>
          <w:color w:val="auto"/>
          <w:sz w:val="20"/>
        </w:rPr>
        <w:t>(documento presentado por Noruega)</w:t>
      </w:r>
    </w:p>
    <w:p w14:paraId="591B3C1D" w14:textId="77777777" w:rsidR="00EA4BA5" w:rsidRPr="00185E08" w:rsidRDefault="00EA4BA5" w:rsidP="0037674E">
      <w:pPr>
        <w:keepNext/>
        <w:spacing w:after="0" w:line="240" w:lineRule="auto"/>
        <w:rPr>
          <w:rFonts w:ascii="Cambria" w:hAnsi="Cambria"/>
          <w:sz w:val="20"/>
          <w:szCs w:val="20"/>
        </w:rPr>
      </w:pPr>
    </w:p>
    <w:p w14:paraId="560F5C8B" w14:textId="265E1CE2" w:rsidR="00EA4BA5" w:rsidRPr="00185E08" w:rsidRDefault="00EA4BA5" w:rsidP="0037674E">
      <w:pPr>
        <w:keepNext/>
        <w:spacing w:after="0" w:line="240" w:lineRule="auto"/>
        <w:rPr>
          <w:rFonts w:ascii="Cambria" w:hAnsi="Cambria"/>
          <w:sz w:val="20"/>
          <w:szCs w:val="20"/>
        </w:rPr>
      </w:pPr>
      <w:r>
        <w:rPr>
          <w:rFonts w:ascii="Cambria" w:hAnsi="Cambria"/>
          <w:sz w:val="20"/>
        </w:rPr>
        <w:t>Las modificaciones propuestas a la Rec. 25-04 son las siguientes:</w:t>
      </w:r>
    </w:p>
    <w:p w14:paraId="090D99B6" w14:textId="77777777" w:rsidR="0037674E" w:rsidRPr="00185E08" w:rsidRDefault="0037674E" w:rsidP="0037674E">
      <w:pPr>
        <w:keepNext/>
        <w:spacing w:after="0" w:line="240" w:lineRule="auto"/>
        <w:rPr>
          <w:rFonts w:ascii="Cambria" w:hAnsi="Cambria"/>
          <w:b/>
          <w:sz w:val="20"/>
          <w:szCs w:val="20"/>
        </w:rPr>
      </w:pPr>
    </w:p>
    <w:p w14:paraId="357BA222" w14:textId="69CE89CC" w:rsidR="00F128AB" w:rsidRPr="00185E08" w:rsidRDefault="00E53952" w:rsidP="0037674E">
      <w:pPr>
        <w:keepNext/>
        <w:tabs>
          <w:tab w:val="left" w:pos="426"/>
        </w:tabs>
        <w:spacing w:after="0" w:line="240" w:lineRule="auto"/>
        <w:jc w:val="both"/>
        <w:rPr>
          <w:rFonts w:ascii="Cambria" w:hAnsi="Cambria"/>
          <w:b/>
          <w:sz w:val="20"/>
          <w:szCs w:val="20"/>
        </w:rPr>
      </w:pPr>
      <w:r>
        <w:rPr>
          <w:rFonts w:ascii="Cambria" w:hAnsi="Cambria"/>
          <w:b/>
          <w:sz w:val="20"/>
        </w:rPr>
        <w:t xml:space="preserve">1. </w:t>
      </w:r>
      <w:r>
        <w:rPr>
          <w:rFonts w:ascii="Cambria" w:hAnsi="Cambria"/>
          <w:b/>
          <w:sz w:val="20"/>
        </w:rPr>
        <w:tab/>
        <w:t>Se inserta el siguiente párrafo 101 bis después del párrafo 101:</w:t>
      </w:r>
    </w:p>
    <w:p w14:paraId="32164137" w14:textId="77777777" w:rsidR="0037674E" w:rsidRPr="00185E08" w:rsidRDefault="0037674E" w:rsidP="0037674E">
      <w:pPr>
        <w:keepNext/>
        <w:tabs>
          <w:tab w:val="left" w:pos="426"/>
        </w:tabs>
        <w:spacing w:after="0" w:line="240" w:lineRule="auto"/>
        <w:jc w:val="both"/>
        <w:rPr>
          <w:rFonts w:ascii="Cambria" w:hAnsi="Cambria"/>
          <w:sz w:val="20"/>
          <w:szCs w:val="20"/>
        </w:rPr>
      </w:pPr>
    </w:p>
    <w:p w14:paraId="051FC23B" w14:textId="07155EB5" w:rsidR="00711FD7" w:rsidRPr="00185E08" w:rsidRDefault="00711FD7" w:rsidP="0037674E">
      <w:pPr>
        <w:keepLines/>
        <w:spacing w:after="0" w:line="240" w:lineRule="auto"/>
        <w:jc w:val="both"/>
        <w:rPr>
          <w:rFonts w:ascii="Cambria" w:hAnsi="Cambria"/>
          <w:sz w:val="20"/>
          <w:szCs w:val="20"/>
          <w:u w:val="single"/>
        </w:rPr>
      </w:pPr>
      <w:r>
        <w:rPr>
          <w:rFonts w:ascii="Cambria" w:hAnsi="Cambria"/>
          <w:sz w:val="20"/>
          <w:u w:val="single"/>
        </w:rPr>
        <w:t xml:space="preserve">101 bis. No obstante lo dispuesto en el primer </w:t>
      </w:r>
      <w:proofErr w:type="spellStart"/>
      <w:r>
        <w:rPr>
          <w:rFonts w:ascii="Cambria" w:hAnsi="Cambria"/>
          <w:sz w:val="20"/>
          <w:u w:val="single"/>
        </w:rPr>
        <w:t>guión</w:t>
      </w:r>
      <w:proofErr w:type="spellEnd"/>
      <w:r>
        <w:rPr>
          <w:rFonts w:ascii="Cambria" w:hAnsi="Cambria"/>
          <w:sz w:val="20"/>
          <w:u w:val="single"/>
        </w:rPr>
        <w:t xml:space="preserve"> del párrafo 101 y en el párrafo 103, una CPC puede autorizar a los buques de cerco que enarbolen su pabellón a pescar atún rojo sin un observador regional de ICCAT a bordo, siempre que la pesquería se limite a los buques de cerco que faenen exclusivamente en aguas bajo la jurisdicción de la CPC de pabellón en el Atlántico nororiental, que todas las capturas de atún rojo retenidas se desembarquen directamente en un puerto designado de la CPC de pabellón y que no se realice ninguna transferencia en vivo, remolque, introducción en jaula, cría, transbordo ni almacenamiento en vivo de atún rojo.</w:t>
      </w:r>
    </w:p>
    <w:p w14:paraId="1FF39027" w14:textId="77777777" w:rsidR="0037674E" w:rsidRPr="004F0915" w:rsidRDefault="0037674E" w:rsidP="0037674E">
      <w:pPr>
        <w:keepLines/>
        <w:spacing w:after="0" w:line="240" w:lineRule="auto"/>
        <w:jc w:val="both"/>
        <w:rPr>
          <w:rFonts w:ascii="Cambria" w:hAnsi="Cambria"/>
          <w:sz w:val="20"/>
          <w:szCs w:val="20"/>
          <w:u w:val="single"/>
        </w:rPr>
      </w:pPr>
    </w:p>
    <w:p w14:paraId="15247665" w14:textId="6B26324A" w:rsidR="00AE567A" w:rsidRPr="00185E08" w:rsidRDefault="00AE567A" w:rsidP="0037674E">
      <w:pPr>
        <w:keepLines/>
        <w:spacing w:after="0" w:line="240" w:lineRule="auto"/>
        <w:jc w:val="both"/>
        <w:rPr>
          <w:rFonts w:ascii="Cambria" w:hAnsi="Cambria"/>
          <w:sz w:val="20"/>
          <w:szCs w:val="20"/>
          <w:u w:val="single"/>
        </w:rPr>
      </w:pPr>
      <w:r>
        <w:rPr>
          <w:rFonts w:ascii="Cambria" w:hAnsi="Cambria"/>
          <w:sz w:val="20"/>
          <w:u w:val="single"/>
        </w:rPr>
        <w:t>Esta derogación se aplicará únicamente a las CPC cuya cuota anual total de atún rojo del Atlántico este y del Mediterráneo sea inferior a 1.000 t. Dichas CPC estarán incluidas en la excepción prevista en el párrafo 21 de la presente Recomendación y habrán demostrado ante el SCRS que las tasas de captura con cerco en las aguas en cuestión son inferiores a las tasas correspondientes utilizadas en los cálculos de la capacidad pesquera de 2009.</w:t>
      </w:r>
    </w:p>
    <w:p w14:paraId="097A75D5" w14:textId="77777777" w:rsidR="0037674E" w:rsidRPr="004F0915" w:rsidRDefault="0037674E" w:rsidP="0037674E">
      <w:pPr>
        <w:keepLines/>
        <w:spacing w:after="0" w:line="240" w:lineRule="auto"/>
        <w:jc w:val="both"/>
        <w:rPr>
          <w:rFonts w:ascii="Cambria" w:hAnsi="Cambria"/>
          <w:sz w:val="20"/>
          <w:szCs w:val="20"/>
          <w:u w:val="single"/>
        </w:rPr>
      </w:pPr>
    </w:p>
    <w:p w14:paraId="2E6AFF37" w14:textId="77777777" w:rsidR="00711FD7" w:rsidRPr="00185E08" w:rsidRDefault="00711FD7" w:rsidP="0037674E">
      <w:pPr>
        <w:keepNext/>
        <w:keepLines/>
        <w:spacing w:after="0" w:line="240" w:lineRule="auto"/>
        <w:jc w:val="both"/>
        <w:rPr>
          <w:rFonts w:ascii="Cambria" w:hAnsi="Cambria"/>
          <w:b/>
          <w:sz w:val="20"/>
          <w:szCs w:val="20"/>
          <w:u w:val="single"/>
        </w:rPr>
      </w:pPr>
      <w:r>
        <w:rPr>
          <w:rFonts w:ascii="Cambria" w:hAnsi="Cambria"/>
          <w:b/>
          <w:sz w:val="20"/>
          <w:u w:val="single"/>
        </w:rPr>
        <w:t>Los buques que operen al amparo de esta derogación deberán cumplir las siguientes condiciones:</w:t>
      </w:r>
    </w:p>
    <w:p w14:paraId="3E720553" w14:textId="77777777" w:rsidR="0037674E" w:rsidRPr="004F0915" w:rsidRDefault="0037674E" w:rsidP="0037674E">
      <w:pPr>
        <w:keepNext/>
        <w:keepLines/>
        <w:spacing w:after="0" w:line="240" w:lineRule="auto"/>
        <w:jc w:val="both"/>
        <w:rPr>
          <w:rFonts w:ascii="Cambria" w:hAnsi="Cambria"/>
          <w:sz w:val="20"/>
          <w:szCs w:val="20"/>
          <w:u w:val="single"/>
        </w:rPr>
      </w:pPr>
    </w:p>
    <w:p w14:paraId="59CDBA25" w14:textId="7D3C5112" w:rsidR="00711FD7" w:rsidRPr="00185E08" w:rsidRDefault="00711FD7" w:rsidP="0037674E">
      <w:pPr>
        <w:pStyle w:val="ListParagraph"/>
        <w:keepLines/>
        <w:numPr>
          <w:ilvl w:val="0"/>
          <w:numId w:val="7"/>
        </w:numPr>
        <w:spacing w:after="0" w:line="240" w:lineRule="auto"/>
        <w:jc w:val="both"/>
        <w:rPr>
          <w:rFonts w:ascii="Cambria" w:hAnsi="Cambria"/>
          <w:sz w:val="20"/>
          <w:szCs w:val="20"/>
          <w:u w:val="single"/>
        </w:rPr>
      </w:pPr>
      <w:r>
        <w:rPr>
          <w:rFonts w:ascii="Cambria" w:hAnsi="Cambria"/>
          <w:sz w:val="20"/>
          <w:u w:val="single"/>
        </w:rPr>
        <w:t>el buque pescará atún rojo exclusivamente en aguas bajo la jurisdicción de la CPC de su pabellón;</w:t>
      </w:r>
    </w:p>
    <w:p w14:paraId="2FB49058" w14:textId="77777777" w:rsidR="0037674E" w:rsidRPr="004F0915" w:rsidRDefault="0037674E" w:rsidP="0037674E">
      <w:pPr>
        <w:pStyle w:val="ListParagraph"/>
        <w:keepLines/>
        <w:spacing w:after="0" w:line="240" w:lineRule="auto"/>
        <w:jc w:val="both"/>
        <w:rPr>
          <w:rFonts w:ascii="Cambria" w:hAnsi="Cambria"/>
          <w:sz w:val="20"/>
          <w:szCs w:val="20"/>
          <w:u w:val="single"/>
        </w:rPr>
      </w:pPr>
    </w:p>
    <w:p w14:paraId="6F7964DF" w14:textId="14EE61C3" w:rsidR="00843750" w:rsidRPr="00185E08" w:rsidRDefault="00843750" w:rsidP="0037674E">
      <w:pPr>
        <w:pStyle w:val="ListParagraph"/>
        <w:keepLines/>
        <w:numPr>
          <w:ilvl w:val="0"/>
          <w:numId w:val="7"/>
        </w:numPr>
        <w:spacing w:after="0" w:line="240" w:lineRule="auto"/>
        <w:jc w:val="both"/>
        <w:rPr>
          <w:rFonts w:ascii="Cambria" w:hAnsi="Cambria"/>
          <w:sz w:val="20"/>
          <w:szCs w:val="20"/>
          <w:u w:val="single"/>
        </w:rPr>
      </w:pPr>
      <w:r>
        <w:rPr>
          <w:rFonts w:ascii="Cambria" w:hAnsi="Cambria"/>
          <w:sz w:val="20"/>
          <w:u w:val="single"/>
        </w:rPr>
        <w:t>todo el atún rojo capturado durante una operación de pesca deberá subirse a bordo del buque de captura y desembarcarse directamente desde dicho buque en un puerto designado de su CPC de pabellón. No se permitirá el desembarque en el puerto de otra CPC, ni la transferencia en vivo, el remolque, la introducción en jaulas, la cría, el transbordo ni el almacenamiento en vivo;</w:t>
      </w:r>
    </w:p>
    <w:p w14:paraId="2ABC4D4E" w14:textId="77777777" w:rsidR="0037674E" w:rsidRPr="00185E08" w:rsidRDefault="0037674E" w:rsidP="0037674E">
      <w:pPr>
        <w:pStyle w:val="ListParagraph"/>
        <w:keepLines/>
        <w:spacing w:after="0" w:line="240" w:lineRule="auto"/>
        <w:jc w:val="both"/>
        <w:rPr>
          <w:rFonts w:ascii="Cambria" w:hAnsi="Cambria"/>
          <w:sz w:val="20"/>
          <w:szCs w:val="20"/>
          <w:u w:val="single"/>
        </w:rPr>
      </w:pPr>
    </w:p>
    <w:p w14:paraId="35D2CD03" w14:textId="3178DAE6" w:rsidR="00E450CB" w:rsidRPr="00185E08" w:rsidRDefault="00627A16" w:rsidP="0037674E">
      <w:pPr>
        <w:pStyle w:val="ListParagraph"/>
        <w:keepLines/>
        <w:numPr>
          <w:ilvl w:val="0"/>
          <w:numId w:val="7"/>
        </w:numPr>
        <w:spacing w:after="0" w:line="240" w:lineRule="auto"/>
        <w:jc w:val="both"/>
        <w:rPr>
          <w:rFonts w:ascii="Cambria" w:hAnsi="Cambria"/>
          <w:sz w:val="20"/>
          <w:szCs w:val="20"/>
          <w:u w:val="single"/>
        </w:rPr>
      </w:pPr>
      <w:r>
        <w:rPr>
          <w:rFonts w:ascii="Cambria" w:hAnsi="Cambria"/>
          <w:sz w:val="20"/>
          <w:u w:val="single"/>
        </w:rPr>
        <w:t>e</w:t>
      </w:r>
      <w:r w:rsidR="00711FD7">
        <w:rPr>
          <w:rFonts w:ascii="Cambria" w:hAnsi="Cambria"/>
          <w:sz w:val="20"/>
          <w:u w:val="single"/>
        </w:rPr>
        <w:t>l buque utilizará un sistema electrónico de comunicación de información que incluya una notificación de salida antes de que el buque abandone el puerto para pescar atún rojo. Los informes diarios de capturas deberán incluir información sobre cada operación de pesca, incluidas las operaciones con capturas cero, y deberán transmitirse a más tardar a las 23:59 UTC del día en cuestión;</w:t>
      </w:r>
    </w:p>
    <w:p w14:paraId="7DD9B113" w14:textId="77777777" w:rsidR="0037674E" w:rsidRPr="004F0915" w:rsidRDefault="0037674E" w:rsidP="0037674E">
      <w:pPr>
        <w:pStyle w:val="ListParagraph"/>
        <w:keepLines/>
        <w:spacing w:after="0" w:line="240" w:lineRule="auto"/>
        <w:jc w:val="both"/>
        <w:rPr>
          <w:rFonts w:ascii="Cambria" w:hAnsi="Cambria"/>
          <w:sz w:val="20"/>
          <w:szCs w:val="20"/>
          <w:u w:val="single"/>
        </w:rPr>
      </w:pPr>
    </w:p>
    <w:p w14:paraId="068D1FE1" w14:textId="1FBD1ED8" w:rsidR="00711FD7" w:rsidRPr="00185E08" w:rsidRDefault="00711FD7" w:rsidP="0037674E">
      <w:pPr>
        <w:pStyle w:val="ListParagraph"/>
        <w:keepLines/>
        <w:numPr>
          <w:ilvl w:val="0"/>
          <w:numId w:val="7"/>
        </w:numPr>
        <w:spacing w:after="0" w:line="240" w:lineRule="auto"/>
        <w:jc w:val="both"/>
        <w:rPr>
          <w:rFonts w:ascii="Cambria" w:hAnsi="Cambria"/>
          <w:sz w:val="20"/>
          <w:szCs w:val="20"/>
          <w:u w:val="single"/>
        </w:rPr>
      </w:pPr>
      <w:r>
        <w:rPr>
          <w:rFonts w:ascii="Cambria" w:hAnsi="Cambria"/>
          <w:sz w:val="20"/>
          <w:u w:val="single"/>
        </w:rPr>
        <w:t>el buque transmitirá sus posiciones a través del sistema VMS al Centro de seguimiento pesquero de la CPC de pabellón a intervalos no superiores a diez minutos durante el período en el que esté autorizado a pescar atún rojo; y</w:t>
      </w:r>
    </w:p>
    <w:p w14:paraId="7FCABCE2" w14:textId="77777777" w:rsidR="0037674E" w:rsidRPr="004F0915" w:rsidRDefault="0037674E" w:rsidP="0037674E">
      <w:pPr>
        <w:pStyle w:val="ListParagraph"/>
        <w:keepLines/>
        <w:spacing w:after="0" w:line="240" w:lineRule="auto"/>
        <w:jc w:val="both"/>
        <w:rPr>
          <w:rFonts w:ascii="Cambria" w:hAnsi="Cambria"/>
          <w:sz w:val="20"/>
          <w:szCs w:val="20"/>
          <w:u w:val="single"/>
        </w:rPr>
      </w:pPr>
    </w:p>
    <w:p w14:paraId="1EB13C18" w14:textId="77777777" w:rsidR="00F173BC" w:rsidRPr="00F173BC"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t>tan pronto como se haya completado el desembarque, la declaración de desembarque deberá ser firmada o certificada electrónicamente de cualquier otra forma por el pescador o el patrón del buque de captura y por el comprador, y transmitida por vía electrónica a las autoridades competentes de la CPC de pabellón.</w:t>
      </w:r>
    </w:p>
    <w:p w14:paraId="105B2516" w14:textId="77777777" w:rsidR="00F173BC" w:rsidRPr="004F0915" w:rsidRDefault="00F173BC" w:rsidP="00F173BC">
      <w:pPr>
        <w:pStyle w:val="ListParagraph"/>
        <w:rPr>
          <w:rFonts w:ascii="Cambria" w:hAnsi="Cambria"/>
          <w:b/>
          <w:sz w:val="20"/>
          <w:szCs w:val="20"/>
          <w:u w:val="single"/>
        </w:rPr>
      </w:pPr>
    </w:p>
    <w:p w14:paraId="5BCE196E" w14:textId="186CBD92" w:rsidR="00667EAF" w:rsidRDefault="00667EAF" w:rsidP="00F173BC">
      <w:pPr>
        <w:widowControl w:val="0"/>
        <w:spacing w:after="0" w:line="240" w:lineRule="auto"/>
        <w:jc w:val="both"/>
        <w:rPr>
          <w:rFonts w:ascii="Cambria" w:hAnsi="Cambria"/>
          <w:b/>
          <w:sz w:val="20"/>
          <w:szCs w:val="20"/>
          <w:u w:val="single"/>
        </w:rPr>
      </w:pPr>
      <w:r>
        <w:rPr>
          <w:rFonts w:ascii="Cambria" w:hAnsi="Cambria"/>
          <w:b/>
          <w:sz w:val="20"/>
          <w:u w:val="single"/>
        </w:rPr>
        <w:t>La CPC de pabellón aplicará las siguientes medidas de control:</w:t>
      </w:r>
    </w:p>
    <w:p w14:paraId="7525B759" w14:textId="77777777" w:rsidR="00F173BC" w:rsidRPr="004F0915" w:rsidRDefault="00F173BC" w:rsidP="00F173BC">
      <w:pPr>
        <w:widowControl w:val="0"/>
        <w:spacing w:after="0" w:line="240" w:lineRule="auto"/>
        <w:jc w:val="both"/>
        <w:rPr>
          <w:rFonts w:ascii="Cambria" w:hAnsi="Cambria"/>
          <w:sz w:val="20"/>
          <w:szCs w:val="20"/>
          <w:u w:val="single"/>
        </w:rPr>
      </w:pPr>
    </w:p>
    <w:p w14:paraId="37C5BD75" w14:textId="47CB5336" w:rsidR="00667EAF" w:rsidRPr="00F173BC"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t>los desembarques de atún rojo realizados por buques que operen al amparo de esta derogación estarán sujetos a inspección por parte de las autoridades competentes de la CPC de pabellón, sobre la base de un sistema de evaluación de riesgos;</w:t>
      </w:r>
    </w:p>
    <w:p w14:paraId="19CE7CD4" w14:textId="77777777" w:rsidR="00F173BC" w:rsidRPr="004F0915" w:rsidRDefault="00F173BC" w:rsidP="00F173BC">
      <w:pPr>
        <w:pStyle w:val="ListParagraph"/>
        <w:widowControl w:val="0"/>
        <w:spacing w:after="0" w:line="240" w:lineRule="auto"/>
        <w:ind w:left="714"/>
        <w:jc w:val="both"/>
        <w:rPr>
          <w:rFonts w:ascii="Cambria" w:hAnsi="Cambria"/>
          <w:sz w:val="20"/>
          <w:szCs w:val="20"/>
          <w:u w:val="single"/>
        </w:rPr>
      </w:pPr>
    </w:p>
    <w:p w14:paraId="3802135C" w14:textId="76C9552B" w:rsidR="00667EAF" w:rsidRPr="00F173BC"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t>las inspecciones realizadas con arreglo al apartado f) serán inspecciones de todo el desembarque. Los inspectores harán un seguimiento de la totalidad del desembarque, incluido todo el proceso de pesaje, y cotejarán el desembarque con la notificación previa de entrada en puerto, los datos del sistema VMS, el cuaderno de pesca electrónico, las declaraciones de desembarque y las notas de venta;</w:t>
      </w:r>
    </w:p>
    <w:p w14:paraId="2965D523" w14:textId="77777777" w:rsidR="00F173BC" w:rsidRPr="004F0915" w:rsidRDefault="00F173BC" w:rsidP="00F173BC">
      <w:pPr>
        <w:pStyle w:val="ListParagraph"/>
        <w:spacing w:after="0" w:line="240" w:lineRule="auto"/>
        <w:rPr>
          <w:rFonts w:ascii="Cambria" w:hAnsi="Cambria"/>
          <w:sz w:val="20"/>
          <w:szCs w:val="20"/>
          <w:u w:val="single"/>
        </w:rPr>
      </w:pPr>
    </w:p>
    <w:p w14:paraId="42AD92CE" w14:textId="3DDDFED7" w:rsidR="00667EAF" w:rsidRPr="00F173BC"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lastRenderedPageBreak/>
        <w:t>durante las inspecciones realizadas con arreglo al apartado f), los inspectores comprobarán que no quede atún rojo a bordo una vez finalizado el desembarque y firmada o certificada electrónicamente de cualquier otra forma la declaración de desembarque o la nota de venta;</w:t>
      </w:r>
    </w:p>
    <w:p w14:paraId="039E4ACF" w14:textId="77777777" w:rsidR="00F173BC" w:rsidRPr="004F0915" w:rsidRDefault="00F173BC" w:rsidP="00F173BC">
      <w:pPr>
        <w:pStyle w:val="ListParagraph"/>
        <w:spacing w:after="0" w:line="240" w:lineRule="auto"/>
        <w:rPr>
          <w:rFonts w:ascii="Cambria" w:hAnsi="Cambria"/>
          <w:sz w:val="20"/>
          <w:szCs w:val="20"/>
          <w:u w:val="single"/>
        </w:rPr>
      </w:pPr>
    </w:p>
    <w:p w14:paraId="6181BA03" w14:textId="45C253B1" w:rsidR="00667EAF" w:rsidRPr="00F173BC" w:rsidRDefault="00E450CB" w:rsidP="00F173BC">
      <w:pPr>
        <w:pStyle w:val="ListParagraph"/>
        <w:widowControl w:val="0"/>
        <w:numPr>
          <w:ilvl w:val="0"/>
          <w:numId w:val="7"/>
        </w:numPr>
        <w:spacing w:after="0" w:line="240" w:lineRule="auto"/>
        <w:ind w:left="714" w:hanging="357"/>
        <w:jc w:val="both"/>
        <w:rPr>
          <w:rFonts w:ascii="Cambria" w:hAnsi="Cambria"/>
          <w:b/>
          <w:bCs/>
          <w:sz w:val="20"/>
          <w:szCs w:val="20"/>
          <w:u w:val="single"/>
        </w:rPr>
      </w:pPr>
      <w:r>
        <w:rPr>
          <w:rFonts w:ascii="Cambria" w:hAnsi="Cambria"/>
          <w:sz w:val="20"/>
          <w:u w:val="single"/>
        </w:rPr>
        <w:t>las autoridades competentes de la CPC de pabellón velarán por que se asignen observadores nacionales durante al menos el 20 % de los días de pesca en la pesquería de atún rojo durante cada campaña pesquera. Las asignaciones se seleccionarán sobre la base de una evaluación de riesgos;</w:t>
      </w:r>
    </w:p>
    <w:p w14:paraId="03937EF0" w14:textId="77777777" w:rsidR="00F173BC" w:rsidRPr="004F0915" w:rsidRDefault="00F173BC" w:rsidP="00F173BC">
      <w:pPr>
        <w:pStyle w:val="ListParagraph"/>
        <w:spacing w:after="0" w:line="240" w:lineRule="auto"/>
        <w:rPr>
          <w:rFonts w:ascii="Cambria" w:hAnsi="Cambria"/>
          <w:b/>
          <w:bCs/>
          <w:sz w:val="20"/>
          <w:szCs w:val="20"/>
          <w:u w:val="single"/>
        </w:rPr>
      </w:pPr>
    </w:p>
    <w:p w14:paraId="48C9FE06" w14:textId="6203C99D" w:rsidR="00667EAF" w:rsidRPr="00F173BC"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t>las autoridades competentes de la CPC de pabellón utilizarán los datos VMS transmitidos en los intervalos especificados en el apartado d) para realizar una verificación cruzada con los informes electrónicos de capturas y evaluar si se han llevado a cabo operaciones de pesca y si las capturas, incluidas las capturas cero, se han notificado debidamente;</w:t>
      </w:r>
    </w:p>
    <w:p w14:paraId="1EF3DF2A" w14:textId="77777777" w:rsidR="00F173BC" w:rsidRPr="004F0915" w:rsidRDefault="00F173BC" w:rsidP="00F173BC">
      <w:pPr>
        <w:pStyle w:val="ListParagraph"/>
        <w:spacing w:after="0" w:line="240" w:lineRule="auto"/>
        <w:rPr>
          <w:rFonts w:ascii="Cambria" w:hAnsi="Cambria"/>
          <w:sz w:val="20"/>
          <w:szCs w:val="20"/>
          <w:u w:val="single"/>
        </w:rPr>
      </w:pPr>
    </w:p>
    <w:p w14:paraId="08230C77" w14:textId="2DE2BE11" w:rsidR="00667EAF" w:rsidRDefault="00667EAF"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t>las autoridades competentes de la CPC de pabellón realizarán una verificación cruzada de los informes electrónicos, los datos del VMS, las declaraciones de desembarque, los informes de inspección, las notas de venta y, en su caso, los datos del eBCD; y</w:t>
      </w:r>
    </w:p>
    <w:p w14:paraId="5FC2CC9A" w14:textId="77777777" w:rsidR="00F173BC" w:rsidRPr="004F0915" w:rsidRDefault="00F173BC" w:rsidP="00F173BC">
      <w:pPr>
        <w:pStyle w:val="ListParagraph"/>
        <w:spacing w:after="0" w:line="240" w:lineRule="auto"/>
        <w:rPr>
          <w:rFonts w:ascii="Cambria" w:hAnsi="Cambria"/>
          <w:sz w:val="20"/>
          <w:szCs w:val="20"/>
          <w:u w:val="single"/>
        </w:rPr>
      </w:pPr>
    </w:p>
    <w:p w14:paraId="314571DF" w14:textId="04727503" w:rsidR="00D25FEA" w:rsidRDefault="00E450CB" w:rsidP="00F173BC">
      <w:pPr>
        <w:pStyle w:val="ListParagraph"/>
        <w:widowControl w:val="0"/>
        <w:numPr>
          <w:ilvl w:val="0"/>
          <w:numId w:val="7"/>
        </w:numPr>
        <w:spacing w:after="0" w:line="240" w:lineRule="auto"/>
        <w:ind w:left="714" w:hanging="357"/>
        <w:jc w:val="both"/>
        <w:rPr>
          <w:rFonts w:ascii="Cambria" w:hAnsi="Cambria"/>
          <w:sz w:val="20"/>
          <w:szCs w:val="20"/>
          <w:u w:val="single"/>
        </w:rPr>
      </w:pPr>
      <w:r>
        <w:rPr>
          <w:rFonts w:ascii="Cambria" w:hAnsi="Cambria"/>
          <w:sz w:val="20"/>
          <w:u w:val="single"/>
        </w:rPr>
        <w:t>la pesquería será objeto de un seguimiento las 24 horas del día, los siete días de la semana, por parte del Centro de seguimiento pesquero de la CPC de pabellón.</w:t>
      </w:r>
    </w:p>
    <w:p w14:paraId="2E8D0937" w14:textId="77777777" w:rsidR="00F173BC" w:rsidRPr="00F173BC" w:rsidRDefault="00F173BC" w:rsidP="00F173BC">
      <w:pPr>
        <w:pStyle w:val="ListParagraph"/>
        <w:spacing w:after="0" w:line="240" w:lineRule="auto"/>
        <w:rPr>
          <w:rFonts w:ascii="Cambria" w:hAnsi="Cambria"/>
          <w:sz w:val="20"/>
          <w:szCs w:val="20"/>
          <w:u w:val="single"/>
        </w:rPr>
      </w:pPr>
    </w:p>
    <w:p w14:paraId="7E5C1B37" w14:textId="77777777" w:rsidR="00F173BC" w:rsidRPr="00185E08" w:rsidRDefault="00F173BC" w:rsidP="00F173BC">
      <w:pPr>
        <w:pStyle w:val="ListParagraph"/>
        <w:widowControl w:val="0"/>
        <w:spacing w:after="0" w:line="240" w:lineRule="auto"/>
        <w:ind w:left="714"/>
        <w:jc w:val="both"/>
        <w:rPr>
          <w:rFonts w:ascii="Cambria" w:hAnsi="Cambria"/>
          <w:sz w:val="20"/>
          <w:szCs w:val="20"/>
          <w:u w:val="single"/>
        </w:rPr>
      </w:pPr>
    </w:p>
    <w:p w14:paraId="1DED769B" w14:textId="6792DFD6" w:rsidR="00EF2F8A" w:rsidRDefault="00EF2F8A" w:rsidP="00F173BC">
      <w:pPr>
        <w:keepNext/>
        <w:keepLines/>
        <w:tabs>
          <w:tab w:val="left" w:pos="426"/>
        </w:tabs>
        <w:spacing w:after="0" w:line="240" w:lineRule="auto"/>
        <w:rPr>
          <w:rFonts w:ascii="Cambria" w:hAnsi="Cambria"/>
          <w:b/>
          <w:sz w:val="20"/>
          <w:szCs w:val="20"/>
        </w:rPr>
      </w:pPr>
      <w:r>
        <w:rPr>
          <w:rFonts w:ascii="Cambria" w:hAnsi="Cambria"/>
          <w:b/>
          <w:sz w:val="20"/>
        </w:rPr>
        <w:t xml:space="preserve">2. </w:t>
      </w:r>
      <w:r>
        <w:rPr>
          <w:rFonts w:ascii="Cambria" w:hAnsi="Cambria"/>
          <w:b/>
          <w:sz w:val="20"/>
        </w:rPr>
        <w:tab/>
        <w:t>El párrafo 103 se sustituye por lo siguiente:</w:t>
      </w:r>
    </w:p>
    <w:p w14:paraId="1A593D02" w14:textId="77777777" w:rsidR="006939E0" w:rsidRPr="004F0915" w:rsidRDefault="006939E0" w:rsidP="00F173BC">
      <w:pPr>
        <w:keepNext/>
        <w:keepLines/>
        <w:tabs>
          <w:tab w:val="left" w:pos="426"/>
        </w:tabs>
        <w:spacing w:after="0" w:line="240" w:lineRule="auto"/>
        <w:rPr>
          <w:rFonts w:ascii="Cambria" w:hAnsi="Cambria"/>
          <w:sz w:val="20"/>
          <w:szCs w:val="20"/>
        </w:rPr>
      </w:pPr>
    </w:p>
    <w:p w14:paraId="114D1F2F" w14:textId="75822C61" w:rsidR="00EF2F8A" w:rsidRPr="00185E08" w:rsidRDefault="00EF2F8A" w:rsidP="00F173BC">
      <w:pPr>
        <w:keepLines/>
        <w:spacing w:after="0" w:line="240" w:lineRule="auto"/>
        <w:rPr>
          <w:rFonts w:ascii="Cambria" w:hAnsi="Cambria"/>
          <w:sz w:val="20"/>
          <w:szCs w:val="20"/>
        </w:rPr>
      </w:pPr>
      <w:r>
        <w:rPr>
          <w:rFonts w:ascii="Cambria" w:hAnsi="Cambria"/>
          <w:sz w:val="20"/>
        </w:rPr>
        <w:t xml:space="preserve">103. </w:t>
      </w:r>
      <w:r>
        <w:rPr>
          <w:rFonts w:ascii="Cambria" w:hAnsi="Cambria"/>
          <w:sz w:val="20"/>
          <w:u w:val="single"/>
        </w:rPr>
        <w:t xml:space="preserve">Salvo lo dispuesto en el párrafo 101 bis, </w:t>
      </w:r>
      <w:r>
        <w:rPr>
          <w:rFonts w:ascii="Cambria" w:hAnsi="Cambria"/>
          <w:sz w:val="20"/>
        </w:rPr>
        <w:t>los buques de cerco sin un observador regional ICCAT a bordo no estarán autorizados a pescar u operar en la pesquería de atún rojo.</w:t>
      </w:r>
    </w:p>
    <w:sectPr w:rsidR="00EF2F8A" w:rsidRPr="00185E08" w:rsidSect="00095067">
      <w:headerReference w:type="default" r:id="rId10"/>
      <w:footerReference w:type="default" r:id="rId11"/>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05B7" w14:textId="77777777" w:rsidR="008C1930" w:rsidRDefault="008C1930" w:rsidP="00C558B6">
      <w:pPr>
        <w:spacing w:after="0" w:line="240" w:lineRule="auto"/>
      </w:pPr>
      <w:r>
        <w:separator/>
      </w:r>
    </w:p>
  </w:endnote>
  <w:endnote w:type="continuationSeparator" w:id="0">
    <w:p w14:paraId="10770DEA" w14:textId="77777777" w:rsidR="008C1930" w:rsidRDefault="008C1930" w:rsidP="00C5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76AC" w14:textId="77777777" w:rsidR="002B44A5" w:rsidRPr="00607151" w:rsidRDefault="002B44A5" w:rsidP="00607151">
    <w:pPr>
      <w:tabs>
        <w:tab w:val="center" w:pos="4535"/>
        <w:tab w:val="center" w:pos="4680"/>
        <w:tab w:val="left" w:pos="6150"/>
        <w:tab w:val="right" w:pos="9360"/>
      </w:tabs>
      <w:spacing w:after="0" w:line="240" w:lineRule="auto"/>
      <w:jc w:val="center"/>
      <w:rPr>
        <w:rFonts w:ascii="Cambria" w:hAnsi="Cambria"/>
        <w:sz w:val="20"/>
      </w:rPr>
    </w:pPr>
    <w:r w:rsidRPr="00607151">
      <w:rPr>
        <w:rFonts w:ascii="Cambria" w:eastAsia="Calibri" w:hAnsi="Cambria" w:cs="Calibri"/>
        <w:sz w:val="20"/>
      </w:rPr>
      <w:fldChar w:fldCharType="begin"/>
    </w:r>
    <w:r w:rsidRPr="00607151">
      <w:rPr>
        <w:rFonts w:ascii="Cambria" w:eastAsia="Calibri" w:hAnsi="Cambria" w:cs="Calibri"/>
        <w:sz w:val="20"/>
      </w:rPr>
      <w:instrText xml:space="preserve"> PAGE </w:instrText>
    </w:r>
    <w:r w:rsidRPr="00607151">
      <w:rPr>
        <w:rFonts w:ascii="Cambria" w:eastAsia="Calibri" w:hAnsi="Cambria" w:cs="Calibri"/>
        <w:sz w:val="20"/>
      </w:rPr>
      <w:fldChar w:fldCharType="separate"/>
    </w:r>
    <w:r w:rsidRPr="00607151">
      <w:rPr>
        <w:rFonts w:ascii="Cambria" w:eastAsia="Calibri" w:hAnsi="Cambria" w:cs="Calibri"/>
        <w:sz w:val="20"/>
      </w:rPr>
      <w:t>1</w:t>
    </w:r>
    <w:r w:rsidRPr="00607151">
      <w:rPr>
        <w:rFonts w:ascii="Cambria" w:eastAsia="Calibri" w:hAnsi="Cambria" w:cs="Calibri"/>
        <w:sz w:val="20"/>
      </w:rPr>
      <w:fldChar w:fldCharType="end"/>
    </w:r>
    <w:r>
      <w:rPr>
        <w:rFonts w:ascii="Cambria" w:hAnsi="Cambria"/>
        <w:sz w:val="20"/>
      </w:rPr>
      <w:t xml:space="preserve"> / </w:t>
    </w:r>
    <w:r w:rsidRPr="00607151">
      <w:rPr>
        <w:rFonts w:ascii="Cambria" w:eastAsia="Calibri" w:hAnsi="Cambria" w:cs="Calibri"/>
        <w:sz w:val="20"/>
      </w:rPr>
      <w:fldChar w:fldCharType="begin"/>
    </w:r>
    <w:r w:rsidRPr="00607151">
      <w:rPr>
        <w:rFonts w:ascii="Cambria" w:eastAsia="Calibri" w:hAnsi="Cambria" w:cs="Calibri"/>
        <w:sz w:val="20"/>
      </w:rPr>
      <w:instrText xml:space="preserve"> NUMPAGES  </w:instrText>
    </w:r>
    <w:r w:rsidRPr="00607151">
      <w:rPr>
        <w:rFonts w:ascii="Cambria" w:eastAsia="Calibri" w:hAnsi="Cambria" w:cs="Calibri"/>
        <w:sz w:val="20"/>
      </w:rPr>
      <w:fldChar w:fldCharType="separate"/>
    </w:r>
    <w:r w:rsidRPr="00607151">
      <w:rPr>
        <w:rFonts w:ascii="Cambria" w:eastAsia="Calibri" w:hAnsi="Cambria" w:cs="Calibri"/>
        <w:sz w:val="20"/>
      </w:rPr>
      <w:t>8</w:t>
    </w:r>
    <w:r w:rsidRPr="00607151">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73F32" w14:textId="77777777" w:rsidR="008C1930" w:rsidRDefault="008C1930" w:rsidP="00C558B6">
      <w:pPr>
        <w:spacing w:after="0" w:line="240" w:lineRule="auto"/>
      </w:pPr>
      <w:r>
        <w:separator/>
      </w:r>
    </w:p>
  </w:footnote>
  <w:footnote w:type="continuationSeparator" w:id="0">
    <w:p w14:paraId="0EDEF851" w14:textId="77777777" w:rsidR="008C1930" w:rsidRDefault="008C1930" w:rsidP="00C55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42C5" w14:textId="4BB727E2" w:rsidR="0099496D" w:rsidRPr="0099496D" w:rsidRDefault="0099496D" w:rsidP="0099496D">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color w:val="auto"/>
        <w:kern w:val="0"/>
        <w:sz w:val="2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color w:val="auto"/>
        <w:sz w:val="20"/>
      </w:rPr>
      <w:t>PA2_607/2026</w:t>
    </w:r>
  </w:p>
  <w:p w14:paraId="62340B27" w14:textId="28B183DB" w:rsidR="002B44A5" w:rsidRDefault="0099496D" w:rsidP="0099496D">
    <w:pPr>
      <w:widowControl w:val="0"/>
      <w:tabs>
        <w:tab w:val="left" w:pos="7320"/>
      </w:tabs>
      <w:autoSpaceDE w:val="0"/>
      <w:autoSpaceDN w:val="0"/>
      <w:spacing w:after="0" w:line="240" w:lineRule="exact"/>
      <w:jc w:val="right"/>
    </w:pPr>
    <w:r w:rsidRPr="0099496D">
      <w:rPr>
        <w:rFonts w:ascii="Cambria" w:eastAsia="Cambria" w:hAnsi="Cambria" w:cs="Cambria"/>
        <w:b/>
        <w:color w:val="auto"/>
        <w:sz w:val="16"/>
      </w:rPr>
      <w:fldChar w:fldCharType="begin"/>
    </w:r>
    <w:r w:rsidRPr="0099496D">
      <w:rPr>
        <w:rFonts w:ascii="Cambria" w:eastAsia="Cambria" w:hAnsi="Cambria" w:cs="Cambria"/>
        <w:b/>
        <w:color w:val="auto"/>
        <w:sz w:val="16"/>
      </w:rPr>
      <w:instrText xml:space="preserve"> TIME \@ "dd/MM/yyyy H:mm" </w:instrText>
    </w:r>
    <w:r w:rsidRPr="0099496D">
      <w:rPr>
        <w:rFonts w:ascii="Cambria" w:eastAsia="Cambria" w:hAnsi="Cambria" w:cs="Cambria"/>
        <w:b/>
        <w:color w:val="auto"/>
        <w:sz w:val="16"/>
      </w:rPr>
      <w:fldChar w:fldCharType="separate"/>
    </w:r>
    <w:r w:rsidR="004F0915">
      <w:rPr>
        <w:rFonts w:ascii="Cambria" w:eastAsia="Cambria" w:hAnsi="Cambria" w:cs="Cambria"/>
        <w:b/>
        <w:noProof/>
        <w:color w:val="auto"/>
        <w:sz w:val="16"/>
      </w:rPr>
      <w:t>19/10/2026 11:00</w:t>
    </w:r>
    <w:r w:rsidRPr="0099496D">
      <w:rPr>
        <w:rFonts w:ascii="Cambria" w:eastAsia="Cambria" w:hAnsi="Cambria" w:cs="Cambria"/>
        <w:b/>
        <w:bCs/>
        <w:color w:val="auto"/>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7F35"/>
    <w:multiLevelType w:val="hybridMultilevel"/>
    <w:tmpl w:val="D4A07E24"/>
    <w:lvl w:ilvl="0" w:tplc="C610F946">
      <w:start w:val="1"/>
      <w:numFmt w:val="bullet"/>
      <w:lvlText w:val=""/>
      <w:lvlJc w:val="left"/>
      <w:pPr>
        <w:ind w:left="1080" w:hanging="360"/>
      </w:pPr>
      <w:rPr>
        <w:rFonts w:ascii="Symbol" w:hAnsi="Symbol"/>
      </w:rPr>
    </w:lvl>
    <w:lvl w:ilvl="1" w:tplc="AB58C4F6">
      <w:start w:val="1"/>
      <w:numFmt w:val="bullet"/>
      <w:lvlText w:val=""/>
      <w:lvlJc w:val="left"/>
      <w:pPr>
        <w:ind w:left="1080" w:hanging="360"/>
      </w:pPr>
      <w:rPr>
        <w:rFonts w:ascii="Symbol" w:hAnsi="Symbol"/>
      </w:rPr>
    </w:lvl>
    <w:lvl w:ilvl="2" w:tplc="A6407E62">
      <w:start w:val="1"/>
      <w:numFmt w:val="bullet"/>
      <w:lvlText w:val=""/>
      <w:lvlJc w:val="left"/>
      <w:pPr>
        <w:ind w:left="1080" w:hanging="360"/>
      </w:pPr>
      <w:rPr>
        <w:rFonts w:ascii="Symbol" w:hAnsi="Symbol"/>
      </w:rPr>
    </w:lvl>
    <w:lvl w:ilvl="3" w:tplc="0A70C84C">
      <w:start w:val="1"/>
      <w:numFmt w:val="bullet"/>
      <w:lvlText w:val=""/>
      <w:lvlJc w:val="left"/>
      <w:pPr>
        <w:ind w:left="1080" w:hanging="360"/>
      </w:pPr>
      <w:rPr>
        <w:rFonts w:ascii="Symbol" w:hAnsi="Symbol"/>
      </w:rPr>
    </w:lvl>
    <w:lvl w:ilvl="4" w:tplc="C2941F80">
      <w:start w:val="1"/>
      <w:numFmt w:val="bullet"/>
      <w:lvlText w:val=""/>
      <w:lvlJc w:val="left"/>
      <w:pPr>
        <w:ind w:left="1080" w:hanging="360"/>
      </w:pPr>
      <w:rPr>
        <w:rFonts w:ascii="Symbol" w:hAnsi="Symbol"/>
      </w:rPr>
    </w:lvl>
    <w:lvl w:ilvl="5" w:tplc="F1E8DC1E">
      <w:start w:val="1"/>
      <w:numFmt w:val="bullet"/>
      <w:lvlText w:val=""/>
      <w:lvlJc w:val="left"/>
      <w:pPr>
        <w:ind w:left="1080" w:hanging="360"/>
      </w:pPr>
      <w:rPr>
        <w:rFonts w:ascii="Symbol" w:hAnsi="Symbol"/>
      </w:rPr>
    </w:lvl>
    <w:lvl w:ilvl="6" w:tplc="1ED41204">
      <w:start w:val="1"/>
      <w:numFmt w:val="bullet"/>
      <w:lvlText w:val=""/>
      <w:lvlJc w:val="left"/>
      <w:pPr>
        <w:ind w:left="1080" w:hanging="360"/>
      </w:pPr>
      <w:rPr>
        <w:rFonts w:ascii="Symbol" w:hAnsi="Symbol"/>
      </w:rPr>
    </w:lvl>
    <w:lvl w:ilvl="7" w:tplc="63B829C6">
      <w:start w:val="1"/>
      <w:numFmt w:val="bullet"/>
      <w:lvlText w:val=""/>
      <w:lvlJc w:val="left"/>
      <w:pPr>
        <w:ind w:left="1080" w:hanging="360"/>
      </w:pPr>
      <w:rPr>
        <w:rFonts w:ascii="Symbol" w:hAnsi="Symbol"/>
      </w:rPr>
    </w:lvl>
    <w:lvl w:ilvl="8" w:tplc="E0E67CC4">
      <w:start w:val="1"/>
      <w:numFmt w:val="bullet"/>
      <w:lvlText w:val=""/>
      <w:lvlJc w:val="left"/>
      <w:pPr>
        <w:ind w:left="1080" w:hanging="360"/>
      </w:pPr>
      <w:rPr>
        <w:rFonts w:ascii="Symbol" w:hAnsi="Symbol"/>
      </w:rPr>
    </w:lvl>
  </w:abstractNum>
  <w:abstractNum w:abstractNumId="1" w15:restartNumberingAfterBreak="0">
    <w:nsid w:val="100308CD"/>
    <w:multiLevelType w:val="hybridMultilevel"/>
    <w:tmpl w:val="AA1A250A"/>
    <w:lvl w:ilvl="0" w:tplc="7842D914">
      <w:start w:val="1"/>
      <w:numFmt w:val="bullet"/>
      <w:lvlText w:val=""/>
      <w:lvlJc w:val="left"/>
      <w:pPr>
        <w:ind w:left="1080" w:hanging="360"/>
      </w:pPr>
      <w:rPr>
        <w:rFonts w:ascii="Symbol" w:hAnsi="Symbol"/>
      </w:rPr>
    </w:lvl>
    <w:lvl w:ilvl="1" w:tplc="5EB492A2">
      <w:start w:val="1"/>
      <w:numFmt w:val="bullet"/>
      <w:lvlText w:val=""/>
      <w:lvlJc w:val="left"/>
      <w:pPr>
        <w:ind w:left="1080" w:hanging="360"/>
      </w:pPr>
      <w:rPr>
        <w:rFonts w:ascii="Symbol" w:hAnsi="Symbol"/>
      </w:rPr>
    </w:lvl>
    <w:lvl w:ilvl="2" w:tplc="D3200962">
      <w:start w:val="1"/>
      <w:numFmt w:val="bullet"/>
      <w:lvlText w:val=""/>
      <w:lvlJc w:val="left"/>
      <w:pPr>
        <w:ind w:left="1080" w:hanging="360"/>
      </w:pPr>
      <w:rPr>
        <w:rFonts w:ascii="Symbol" w:hAnsi="Symbol"/>
      </w:rPr>
    </w:lvl>
    <w:lvl w:ilvl="3" w:tplc="596E6A9C">
      <w:start w:val="1"/>
      <w:numFmt w:val="bullet"/>
      <w:lvlText w:val=""/>
      <w:lvlJc w:val="left"/>
      <w:pPr>
        <w:ind w:left="1080" w:hanging="360"/>
      </w:pPr>
      <w:rPr>
        <w:rFonts w:ascii="Symbol" w:hAnsi="Symbol"/>
      </w:rPr>
    </w:lvl>
    <w:lvl w:ilvl="4" w:tplc="448ABE48">
      <w:start w:val="1"/>
      <w:numFmt w:val="bullet"/>
      <w:lvlText w:val=""/>
      <w:lvlJc w:val="left"/>
      <w:pPr>
        <w:ind w:left="1080" w:hanging="360"/>
      </w:pPr>
      <w:rPr>
        <w:rFonts w:ascii="Symbol" w:hAnsi="Symbol"/>
      </w:rPr>
    </w:lvl>
    <w:lvl w:ilvl="5" w:tplc="47F034C0">
      <w:start w:val="1"/>
      <w:numFmt w:val="bullet"/>
      <w:lvlText w:val=""/>
      <w:lvlJc w:val="left"/>
      <w:pPr>
        <w:ind w:left="1080" w:hanging="360"/>
      </w:pPr>
      <w:rPr>
        <w:rFonts w:ascii="Symbol" w:hAnsi="Symbol"/>
      </w:rPr>
    </w:lvl>
    <w:lvl w:ilvl="6" w:tplc="146858FA">
      <w:start w:val="1"/>
      <w:numFmt w:val="bullet"/>
      <w:lvlText w:val=""/>
      <w:lvlJc w:val="left"/>
      <w:pPr>
        <w:ind w:left="1080" w:hanging="360"/>
      </w:pPr>
      <w:rPr>
        <w:rFonts w:ascii="Symbol" w:hAnsi="Symbol"/>
      </w:rPr>
    </w:lvl>
    <w:lvl w:ilvl="7" w:tplc="E40E9896">
      <w:start w:val="1"/>
      <w:numFmt w:val="bullet"/>
      <w:lvlText w:val=""/>
      <w:lvlJc w:val="left"/>
      <w:pPr>
        <w:ind w:left="1080" w:hanging="360"/>
      </w:pPr>
      <w:rPr>
        <w:rFonts w:ascii="Symbol" w:hAnsi="Symbol"/>
      </w:rPr>
    </w:lvl>
    <w:lvl w:ilvl="8" w:tplc="61B4AE3E">
      <w:start w:val="1"/>
      <w:numFmt w:val="bullet"/>
      <w:lvlText w:val=""/>
      <w:lvlJc w:val="left"/>
      <w:pPr>
        <w:ind w:left="1080" w:hanging="360"/>
      </w:pPr>
      <w:rPr>
        <w:rFonts w:ascii="Symbol" w:hAnsi="Symbol"/>
      </w:rPr>
    </w:lvl>
  </w:abstractNum>
  <w:abstractNum w:abstractNumId="2" w15:restartNumberingAfterBreak="0">
    <w:nsid w:val="16DD540F"/>
    <w:multiLevelType w:val="hybridMultilevel"/>
    <w:tmpl w:val="12E09964"/>
    <w:lvl w:ilvl="0" w:tplc="12940B70">
      <w:start w:val="1"/>
      <w:numFmt w:val="bullet"/>
      <w:lvlText w:val=""/>
      <w:lvlJc w:val="left"/>
      <w:pPr>
        <w:ind w:left="720" w:hanging="360"/>
      </w:pPr>
      <w:rPr>
        <w:rFonts w:ascii="Symbol" w:hAnsi="Symbol"/>
      </w:rPr>
    </w:lvl>
    <w:lvl w:ilvl="1" w:tplc="2220A102">
      <w:start w:val="1"/>
      <w:numFmt w:val="bullet"/>
      <w:lvlText w:val=""/>
      <w:lvlJc w:val="left"/>
      <w:pPr>
        <w:ind w:left="720" w:hanging="360"/>
      </w:pPr>
      <w:rPr>
        <w:rFonts w:ascii="Symbol" w:hAnsi="Symbol"/>
      </w:rPr>
    </w:lvl>
    <w:lvl w:ilvl="2" w:tplc="524ECDAA">
      <w:start w:val="1"/>
      <w:numFmt w:val="bullet"/>
      <w:lvlText w:val=""/>
      <w:lvlJc w:val="left"/>
      <w:pPr>
        <w:ind w:left="720" w:hanging="360"/>
      </w:pPr>
      <w:rPr>
        <w:rFonts w:ascii="Symbol" w:hAnsi="Symbol"/>
      </w:rPr>
    </w:lvl>
    <w:lvl w:ilvl="3" w:tplc="75666ED2">
      <w:start w:val="1"/>
      <w:numFmt w:val="bullet"/>
      <w:lvlText w:val=""/>
      <w:lvlJc w:val="left"/>
      <w:pPr>
        <w:ind w:left="720" w:hanging="360"/>
      </w:pPr>
      <w:rPr>
        <w:rFonts w:ascii="Symbol" w:hAnsi="Symbol"/>
      </w:rPr>
    </w:lvl>
    <w:lvl w:ilvl="4" w:tplc="D7F67994">
      <w:start w:val="1"/>
      <w:numFmt w:val="bullet"/>
      <w:lvlText w:val=""/>
      <w:lvlJc w:val="left"/>
      <w:pPr>
        <w:ind w:left="720" w:hanging="360"/>
      </w:pPr>
      <w:rPr>
        <w:rFonts w:ascii="Symbol" w:hAnsi="Symbol"/>
      </w:rPr>
    </w:lvl>
    <w:lvl w:ilvl="5" w:tplc="7F7656AC">
      <w:start w:val="1"/>
      <w:numFmt w:val="bullet"/>
      <w:lvlText w:val=""/>
      <w:lvlJc w:val="left"/>
      <w:pPr>
        <w:ind w:left="720" w:hanging="360"/>
      </w:pPr>
      <w:rPr>
        <w:rFonts w:ascii="Symbol" w:hAnsi="Symbol"/>
      </w:rPr>
    </w:lvl>
    <w:lvl w:ilvl="6" w:tplc="8194B12C">
      <w:start w:val="1"/>
      <w:numFmt w:val="bullet"/>
      <w:lvlText w:val=""/>
      <w:lvlJc w:val="left"/>
      <w:pPr>
        <w:ind w:left="720" w:hanging="360"/>
      </w:pPr>
      <w:rPr>
        <w:rFonts w:ascii="Symbol" w:hAnsi="Symbol"/>
      </w:rPr>
    </w:lvl>
    <w:lvl w:ilvl="7" w:tplc="78723FF4">
      <w:start w:val="1"/>
      <w:numFmt w:val="bullet"/>
      <w:lvlText w:val=""/>
      <w:lvlJc w:val="left"/>
      <w:pPr>
        <w:ind w:left="720" w:hanging="360"/>
      </w:pPr>
      <w:rPr>
        <w:rFonts w:ascii="Symbol" w:hAnsi="Symbol"/>
      </w:rPr>
    </w:lvl>
    <w:lvl w:ilvl="8" w:tplc="EDF6B0EC">
      <w:start w:val="1"/>
      <w:numFmt w:val="bullet"/>
      <w:lvlText w:val=""/>
      <w:lvlJc w:val="left"/>
      <w:pPr>
        <w:ind w:left="720" w:hanging="360"/>
      </w:pPr>
      <w:rPr>
        <w:rFonts w:ascii="Symbol" w:hAnsi="Symbol"/>
      </w:rPr>
    </w:lvl>
  </w:abstractNum>
  <w:abstractNum w:abstractNumId="3" w15:restartNumberingAfterBreak="0">
    <w:nsid w:val="20B44B16"/>
    <w:multiLevelType w:val="hybridMultilevel"/>
    <w:tmpl w:val="943E92DA"/>
    <w:lvl w:ilvl="0" w:tplc="4FD27B1E">
      <w:start w:val="1"/>
      <w:numFmt w:val="bullet"/>
      <w:lvlText w:val=""/>
      <w:lvlJc w:val="left"/>
      <w:pPr>
        <w:ind w:left="1080" w:hanging="360"/>
      </w:pPr>
      <w:rPr>
        <w:rFonts w:ascii="Symbol" w:hAnsi="Symbol"/>
      </w:rPr>
    </w:lvl>
    <w:lvl w:ilvl="1" w:tplc="BC661B74">
      <w:start w:val="1"/>
      <w:numFmt w:val="bullet"/>
      <w:lvlText w:val=""/>
      <w:lvlJc w:val="left"/>
      <w:pPr>
        <w:ind w:left="1080" w:hanging="360"/>
      </w:pPr>
      <w:rPr>
        <w:rFonts w:ascii="Symbol" w:hAnsi="Symbol"/>
      </w:rPr>
    </w:lvl>
    <w:lvl w:ilvl="2" w:tplc="876CBBD2">
      <w:start w:val="1"/>
      <w:numFmt w:val="bullet"/>
      <w:lvlText w:val=""/>
      <w:lvlJc w:val="left"/>
      <w:pPr>
        <w:ind w:left="1080" w:hanging="360"/>
      </w:pPr>
      <w:rPr>
        <w:rFonts w:ascii="Symbol" w:hAnsi="Symbol"/>
      </w:rPr>
    </w:lvl>
    <w:lvl w:ilvl="3" w:tplc="1388CC40">
      <w:start w:val="1"/>
      <w:numFmt w:val="bullet"/>
      <w:lvlText w:val=""/>
      <w:lvlJc w:val="left"/>
      <w:pPr>
        <w:ind w:left="1080" w:hanging="360"/>
      </w:pPr>
      <w:rPr>
        <w:rFonts w:ascii="Symbol" w:hAnsi="Symbol"/>
      </w:rPr>
    </w:lvl>
    <w:lvl w:ilvl="4" w:tplc="3EB883BA">
      <w:start w:val="1"/>
      <w:numFmt w:val="bullet"/>
      <w:lvlText w:val=""/>
      <w:lvlJc w:val="left"/>
      <w:pPr>
        <w:ind w:left="1080" w:hanging="360"/>
      </w:pPr>
      <w:rPr>
        <w:rFonts w:ascii="Symbol" w:hAnsi="Symbol"/>
      </w:rPr>
    </w:lvl>
    <w:lvl w:ilvl="5" w:tplc="F7701844">
      <w:start w:val="1"/>
      <w:numFmt w:val="bullet"/>
      <w:lvlText w:val=""/>
      <w:lvlJc w:val="left"/>
      <w:pPr>
        <w:ind w:left="1080" w:hanging="360"/>
      </w:pPr>
      <w:rPr>
        <w:rFonts w:ascii="Symbol" w:hAnsi="Symbol"/>
      </w:rPr>
    </w:lvl>
    <w:lvl w:ilvl="6" w:tplc="68A06100">
      <w:start w:val="1"/>
      <w:numFmt w:val="bullet"/>
      <w:lvlText w:val=""/>
      <w:lvlJc w:val="left"/>
      <w:pPr>
        <w:ind w:left="1080" w:hanging="360"/>
      </w:pPr>
      <w:rPr>
        <w:rFonts w:ascii="Symbol" w:hAnsi="Symbol"/>
      </w:rPr>
    </w:lvl>
    <w:lvl w:ilvl="7" w:tplc="D8D4EFDE">
      <w:start w:val="1"/>
      <w:numFmt w:val="bullet"/>
      <w:lvlText w:val=""/>
      <w:lvlJc w:val="left"/>
      <w:pPr>
        <w:ind w:left="1080" w:hanging="360"/>
      </w:pPr>
      <w:rPr>
        <w:rFonts w:ascii="Symbol" w:hAnsi="Symbol"/>
      </w:rPr>
    </w:lvl>
    <w:lvl w:ilvl="8" w:tplc="B6F678A6">
      <w:start w:val="1"/>
      <w:numFmt w:val="bullet"/>
      <w:lvlText w:val=""/>
      <w:lvlJc w:val="left"/>
      <w:pPr>
        <w:ind w:left="1080" w:hanging="360"/>
      </w:pPr>
      <w:rPr>
        <w:rFonts w:ascii="Symbol" w:hAnsi="Symbol"/>
      </w:rPr>
    </w:lvl>
  </w:abstractNum>
  <w:abstractNum w:abstractNumId="4" w15:restartNumberingAfterBreak="0">
    <w:nsid w:val="3CEA188F"/>
    <w:multiLevelType w:val="hybridMultilevel"/>
    <w:tmpl w:val="D01C7AA8"/>
    <w:lvl w:ilvl="0" w:tplc="22BAB3B0">
      <w:start w:val="1"/>
      <w:numFmt w:val="bullet"/>
      <w:lvlText w:val=""/>
      <w:lvlJc w:val="left"/>
      <w:pPr>
        <w:ind w:left="1080" w:hanging="360"/>
      </w:pPr>
      <w:rPr>
        <w:rFonts w:ascii="Symbol" w:hAnsi="Symbol"/>
      </w:rPr>
    </w:lvl>
    <w:lvl w:ilvl="1" w:tplc="DBFAA02A">
      <w:start w:val="1"/>
      <w:numFmt w:val="bullet"/>
      <w:lvlText w:val=""/>
      <w:lvlJc w:val="left"/>
      <w:pPr>
        <w:ind w:left="1080" w:hanging="360"/>
      </w:pPr>
      <w:rPr>
        <w:rFonts w:ascii="Symbol" w:hAnsi="Symbol"/>
      </w:rPr>
    </w:lvl>
    <w:lvl w:ilvl="2" w:tplc="13A27118">
      <w:start w:val="1"/>
      <w:numFmt w:val="bullet"/>
      <w:lvlText w:val=""/>
      <w:lvlJc w:val="left"/>
      <w:pPr>
        <w:ind w:left="1080" w:hanging="360"/>
      </w:pPr>
      <w:rPr>
        <w:rFonts w:ascii="Symbol" w:hAnsi="Symbol"/>
      </w:rPr>
    </w:lvl>
    <w:lvl w:ilvl="3" w:tplc="1046A4CE">
      <w:start w:val="1"/>
      <w:numFmt w:val="bullet"/>
      <w:lvlText w:val=""/>
      <w:lvlJc w:val="left"/>
      <w:pPr>
        <w:ind w:left="1080" w:hanging="360"/>
      </w:pPr>
      <w:rPr>
        <w:rFonts w:ascii="Symbol" w:hAnsi="Symbol"/>
      </w:rPr>
    </w:lvl>
    <w:lvl w:ilvl="4" w:tplc="E4E824AA">
      <w:start w:val="1"/>
      <w:numFmt w:val="bullet"/>
      <w:lvlText w:val=""/>
      <w:lvlJc w:val="left"/>
      <w:pPr>
        <w:ind w:left="1080" w:hanging="360"/>
      </w:pPr>
      <w:rPr>
        <w:rFonts w:ascii="Symbol" w:hAnsi="Symbol"/>
      </w:rPr>
    </w:lvl>
    <w:lvl w:ilvl="5" w:tplc="0B589DB0">
      <w:start w:val="1"/>
      <w:numFmt w:val="bullet"/>
      <w:lvlText w:val=""/>
      <w:lvlJc w:val="left"/>
      <w:pPr>
        <w:ind w:left="1080" w:hanging="360"/>
      </w:pPr>
      <w:rPr>
        <w:rFonts w:ascii="Symbol" w:hAnsi="Symbol"/>
      </w:rPr>
    </w:lvl>
    <w:lvl w:ilvl="6" w:tplc="EA5ED4E4">
      <w:start w:val="1"/>
      <w:numFmt w:val="bullet"/>
      <w:lvlText w:val=""/>
      <w:lvlJc w:val="left"/>
      <w:pPr>
        <w:ind w:left="1080" w:hanging="360"/>
      </w:pPr>
      <w:rPr>
        <w:rFonts w:ascii="Symbol" w:hAnsi="Symbol"/>
      </w:rPr>
    </w:lvl>
    <w:lvl w:ilvl="7" w:tplc="EE060D12">
      <w:start w:val="1"/>
      <w:numFmt w:val="bullet"/>
      <w:lvlText w:val=""/>
      <w:lvlJc w:val="left"/>
      <w:pPr>
        <w:ind w:left="1080" w:hanging="360"/>
      </w:pPr>
      <w:rPr>
        <w:rFonts w:ascii="Symbol" w:hAnsi="Symbol"/>
      </w:rPr>
    </w:lvl>
    <w:lvl w:ilvl="8" w:tplc="A8241FC0">
      <w:start w:val="1"/>
      <w:numFmt w:val="bullet"/>
      <w:lvlText w:val=""/>
      <w:lvlJc w:val="left"/>
      <w:pPr>
        <w:ind w:left="1080" w:hanging="360"/>
      </w:pPr>
      <w:rPr>
        <w:rFonts w:ascii="Symbol" w:hAnsi="Symbol"/>
      </w:rPr>
    </w:lvl>
  </w:abstractNum>
  <w:abstractNum w:abstractNumId="5" w15:restartNumberingAfterBreak="0">
    <w:nsid w:val="4E472DF4"/>
    <w:multiLevelType w:val="hybridMultilevel"/>
    <w:tmpl w:val="5DE23F10"/>
    <w:lvl w:ilvl="0" w:tplc="BE90390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3B5D64"/>
    <w:multiLevelType w:val="hybridMultilevel"/>
    <w:tmpl w:val="8B468972"/>
    <w:lvl w:ilvl="0" w:tplc="3F0E918A">
      <w:start w:val="1"/>
      <w:numFmt w:val="decimal"/>
      <w:lvlText w:val="%1."/>
      <w:lvlJc w:val="left"/>
      <w:pPr>
        <w:ind w:left="678" w:hanging="360"/>
      </w:pPr>
      <w:rPr>
        <w:rFonts w:ascii="Cambria" w:hAnsi="Cambria" w:hint="default"/>
        <w:color w:val="auto"/>
      </w:rPr>
    </w:lvl>
    <w:lvl w:ilvl="1" w:tplc="A1C6AF60">
      <w:start w:val="1"/>
      <w:numFmt w:val="lowerLetter"/>
      <w:lvlText w:val="%2."/>
      <w:lvlJc w:val="left"/>
      <w:pPr>
        <w:ind w:left="1440" w:hanging="360"/>
      </w:pPr>
    </w:lvl>
    <w:lvl w:ilvl="2" w:tplc="6F8A5A4E">
      <w:start w:val="1"/>
      <w:numFmt w:val="lowerRoman"/>
      <w:lvlText w:val="%3."/>
      <w:lvlJc w:val="right"/>
      <w:pPr>
        <w:ind w:left="2160" w:hanging="180"/>
      </w:pPr>
    </w:lvl>
    <w:lvl w:ilvl="3" w:tplc="C1F8C4F6">
      <w:start w:val="1"/>
      <w:numFmt w:val="decimal"/>
      <w:lvlText w:val="%4."/>
      <w:lvlJc w:val="left"/>
      <w:pPr>
        <w:ind w:left="2880" w:hanging="360"/>
      </w:pPr>
    </w:lvl>
    <w:lvl w:ilvl="4" w:tplc="B92EA144">
      <w:start w:val="1"/>
      <w:numFmt w:val="lowerLetter"/>
      <w:lvlText w:val="%5."/>
      <w:lvlJc w:val="left"/>
      <w:pPr>
        <w:ind w:left="3600" w:hanging="360"/>
      </w:pPr>
    </w:lvl>
    <w:lvl w:ilvl="5" w:tplc="5A3ABD5A">
      <w:start w:val="1"/>
      <w:numFmt w:val="lowerRoman"/>
      <w:lvlText w:val="%6."/>
      <w:lvlJc w:val="right"/>
      <w:pPr>
        <w:ind w:left="4320" w:hanging="180"/>
      </w:pPr>
    </w:lvl>
    <w:lvl w:ilvl="6" w:tplc="D1B2395A">
      <w:start w:val="1"/>
      <w:numFmt w:val="decimal"/>
      <w:lvlText w:val="%7."/>
      <w:lvlJc w:val="left"/>
      <w:pPr>
        <w:ind w:left="5040" w:hanging="360"/>
      </w:pPr>
    </w:lvl>
    <w:lvl w:ilvl="7" w:tplc="83F862C6">
      <w:start w:val="1"/>
      <w:numFmt w:val="lowerLetter"/>
      <w:lvlText w:val="%8."/>
      <w:lvlJc w:val="left"/>
      <w:pPr>
        <w:ind w:left="5760" w:hanging="360"/>
      </w:pPr>
    </w:lvl>
    <w:lvl w:ilvl="8" w:tplc="D29C63EE">
      <w:start w:val="1"/>
      <w:numFmt w:val="lowerRoman"/>
      <w:lvlText w:val="%9."/>
      <w:lvlJc w:val="right"/>
      <w:pPr>
        <w:ind w:left="6480" w:hanging="180"/>
      </w:pPr>
    </w:lvl>
  </w:abstractNum>
  <w:num w:numId="1" w16cid:durableId="1815029243">
    <w:abstractNumId w:val="0"/>
  </w:num>
  <w:num w:numId="2" w16cid:durableId="1806000152">
    <w:abstractNumId w:val="3"/>
  </w:num>
  <w:num w:numId="3" w16cid:durableId="1744335697">
    <w:abstractNumId w:val="2"/>
  </w:num>
  <w:num w:numId="4" w16cid:durableId="2017413309">
    <w:abstractNumId w:val="1"/>
  </w:num>
  <w:num w:numId="5" w16cid:durableId="708997419">
    <w:abstractNumId w:val="4"/>
  </w:num>
  <w:num w:numId="6" w16cid:durableId="384334680">
    <w:abstractNumId w:val="6"/>
  </w:num>
  <w:num w:numId="7" w16cid:durableId="691615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FD7"/>
    <w:rsid w:val="000138B9"/>
    <w:rsid w:val="000339FD"/>
    <w:rsid w:val="000436E9"/>
    <w:rsid w:val="000918D2"/>
    <w:rsid w:val="00095067"/>
    <w:rsid w:val="000D03DC"/>
    <w:rsid w:val="000D3D39"/>
    <w:rsid w:val="000D7907"/>
    <w:rsid w:val="000E313C"/>
    <w:rsid w:val="0011060D"/>
    <w:rsid w:val="0012494B"/>
    <w:rsid w:val="001569BD"/>
    <w:rsid w:val="00173A32"/>
    <w:rsid w:val="00175220"/>
    <w:rsid w:val="00176D45"/>
    <w:rsid w:val="00185E08"/>
    <w:rsid w:val="00187C86"/>
    <w:rsid w:val="00192A70"/>
    <w:rsid w:val="001968A3"/>
    <w:rsid w:val="001C352F"/>
    <w:rsid w:val="001D7734"/>
    <w:rsid w:val="001F43E8"/>
    <w:rsid w:val="001F557E"/>
    <w:rsid w:val="00213F74"/>
    <w:rsid w:val="00223DE1"/>
    <w:rsid w:val="00225033"/>
    <w:rsid w:val="00252A17"/>
    <w:rsid w:val="00263A0A"/>
    <w:rsid w:val="00266E56"/>
    <w:rsid w:val="00282056"/>
    <w:rsid w:val="0028207D"/>
    <w:rsid w:val="00285C8B"/>
    <w:rsid w:val="00291DD9"/>
    <w:rsid w:val="002A17F1"/>
    <w:rsid w:val="002B44A5"/>
    <w:rsid w:val="002C16FE"/>
    <w:rsid w:val="002C3240"/>
    <w:rsid w:val="002C487D"/>
    <w:rsid w:val="002D0BC1"/>
    <w:rsid w:val="002F1334"/>
    <w:rsid w:val="002F577B"/>
    <w:rsid w:val="003205D7"/>
    <w:rsid w:val="0034074F"/>
    <w:rsid w:val="00364D2B"/>
    <w:rsid w:val="0037674E"/>
    <w:rsid w:val="003779AE"/>
    <w:rsid w:val="003B58BA"/>
    <w:rsid w:val="003D796A"/>
    <w:rsid w:val="003F2078"/>
    <w:rsid w:val="003F5295"/>
    <w:rsid w:val="003F693C"/>
    <w:rsid w:val="0043541D"/>
    <w:rsid w:val="00450778"/>
    <w:rsid w:val="00452D57"/>
    <w:rsid w:val="004949B7"/>
    <w:rsid w:val="004C15BB"/>
    <w:rsid w:val="004F0915"/>
    <w:rsid w:val="004F4CA5"/>
    <w:rsid w:val="0057347E"/>
    <w:rsid w:val="00576EFF"/>
    <w:rsid w:val="0058484D"/>
    <w:rsid w:val="0059238A"/>
    <w:rsid w:val="005953BF"/>
    <w:rsid w:val="005A2A0C"/>
    <w:rsid w:val="005D04B7"/>
    <w:rsid w:val="005D4793"/>
    <w:rsid w:val="005F04B5"/>
    <w:rsid w:val="00604A02"/>
    <w:rsid w:val="00607151"/>
    <w:rsid w:val="00623A84"/>
    <w:rsid w:val="00627A16"/>
    <w:rsid w:val="00664C29"/>
    <w:rsid w:val="00667EAF"/>
    <w:rsid w:val="006939E0"/>
    <w:rsid w:val="006970DF"/>
    <w:rsid w:val="006B6DE5"/>
    <w:rsid w:val="006F4268"/>
    <w:rsid w:val="006F51D7"/>
    <w:rsid w:val="00710D21"/>
    <w:rsid w:val="00711FD7"/>
    <w:rsid w:val="00724708"/>
    <w:rsid w:val="00753E45"/>
    <w:rsid w:val="00784C36"/>
    <w:rsid w:val="007A3837"/>
    <w:rsid w:val="007A5105"/>
    <w:rsid w:val="007C1848"/>
    <w:rsid w:val="007E38B9"/>
    <w:rsid w:val="007F2D3A"/>
    <w:rsid w:val="00823A1A"/>
    <w:rsid w:val="00840690"/>
    <w:rsid w:val="00843750"/>
    <w:rsid w:val="008A3581"/>
    <w:rsid w:val="008C1930"/>
    <w:rsid w:val="0091043A"/>
    <w:rsid w:val="009105B5"/>
    <w:rsid w:val="0093116E"/>
    <w:rsid w:val="00944C28"/>
    <w:rsid w:val="009615A3"/>
    <w:rsid w:val="0099496D"/>
    <w:rsid w:val="009A2048"/>
    <w:rsid w:val="009C0667"/>
    <w:rsid w:val="009C614C"/>
    <w:rsid w:val="009D6890"/>
    <w:rsid w:val="00A05933"/>
    <w:rsid w:val="00A400E3"/>
    <w:rsid w:val="00A420F7"/>
    <w:rsid w:val="00A43A8C"/>
    <w:rsid w:val="00A73177"/>
    <w:rsid w:val="00AA2207"/>
    <w:rsid w:val="00AB2EC6"/>
    <w:rsid w:val="00AE567A"/>
    <w:rsid w:val="00AF5079"/>
    <w:rsid w:val="00AF7C80"/>
    <w:rsid w:val="00B33DC2"/>
    <w:rsid w:val="00B47B21"/>
    <w:rsid w:val="00B535DF"/>
    <w:rsid w:val="00B62943"/>
    <w:rsid w:val="00B6768D"/>
    <w:rsid w:val="00B77D99"/>
    <w:rsid w:val="00BC2582"/>
    <w:rsid w:val="00BC478E"/>
    <w:rsid w:val="00C462A9"/>
    <w:rsid w:val="00C5460A"/>
    <w:rsid w:val="00C548FD"/>
    <w:rsid w:val="00C558B6"/>
    <w:rsid w:val="00C67561"/>
    <w:rsid w:val="00C97A90"/>
    <w:rsid w:val="00CA6C03"/>
    <w:rsid w:val="00CF29D8"/>
    <w:rsid w:val="00D02E60"/>
    <w:rsid w:val="00D06809"/>
    <w:rsid w:val="00D17769"/>
    <w:rsid w:val="00D212AA"/>
    <w:rsid w:val="00D25FEA"/>
    <w:rsid w:val="00D26549"/>
    <w:rsid w:val="00D3547E"/>
    <w:rsid w:val="00D529A0"/>
    <w:rsid w:val="00D97BA4"/>
    <w:rsid w:val="00DE10DB"/>
    <w:rsid w:val="00DE5BF9"/>
    <w:rsid w:val="00DF0CD2"/>
    <w:rsid w:val="00E0311A"/>
    <w:rsid w:val="00E20EFB"/>
    <w:rsid w:val="00E450CB"/>
    <w:rsid w:val="00E53952"/>
    <w:rsid w:val="00E80135"/>
    <w:rsid w:val="00E81FF7"/>
    <w:rsid w:val="00E9138D"/>
    <w:rsid w:val="00EA4BA5"/>
    <w:rsid w:val="00EA5C14"/>
    <w:rsid w:val="00EC1538"/>
    <w:rsid w:val="00ED076E"/>
    <w:rsid w:val="00ED21B5"/>
    <w:rsid w:val="00EF2F8A"/>
    <w:rsid w:val="00F128AB"/>
    <w:rsid w:val="00F173BC"/>
    <w:rsid w:val="00F27533"/>
    <w:rsid w:val="00F305DA"/>
    <w:rsid w:val="00F316FC"/>
    <w:rsid w:val="00F57A0F"/>
    <w:rsid w:val="00F71A2F"/>
    <w:rsid w:val="00F847C0"/>
    <w:rsid w:val="00F84D45"/>
    <w:rsid w:val="00F85265"/>
    <w:rsid w:val="00F87AE1"/>
    <w:rsid w:val="00FB2621"/>
    <w:rsid w:val="00FB7634"/>
    <w:rsid w:val="00FB7E36"/>
    <w:rsid w:val="00FC0CBE"/>
    <w:rsid w:val="00FC4953"/>
    <w:rsid w:val="00FE65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50F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47" w:lineRule="auto"/>
    </w:pPr>
    <w:rPr>
      <w:rFonts w:ascii="Arial" w:hAnsi="Arial"/>
      <w:color w:val="000000"/>
      <w:sz w:val="22"/>
    </w:rPr>
  </w:style>
  <w:style w:type="paragraph" w:styleId="Heading1">
    <w:name w:val="heading 1"/>
    <w:basedOn w:val="Normal"/>
    <w:next w:val="Normal"/>
    <w:link w:val="Heading1Char"/>
    <w:uiPriority w:val="9"/>
    <w:qFormat/>
    <w:rsid w:val="00711FD7"/>
    <w:pPr>
      <w:keepNext/>
      <w:keepLines/>
      <w:spacing w:after="200"/>
      <w:outlineLvl w:val="0"/>
    </w:pPr>
    <w:rPr>
      <w:rFonts w:asciiTheme="majorHAnsi" w:eastAsiaTheme="majorEastAsia" w:hAnsiTheme="majorHAnsi" w:cstheme="majorBidi"/>
      <w:b/>
      <w:sz w:val="24"/>
      <w:szCs w:val="40"/>
    </w:rPr>
  </w:style>
  <w:style w:type="paragraph" w:styleId="Heading2">
    <w:name w:val="heading 2"/>
    <w:basedOn w:val="Normal"/>
    <w:next w:val="Normal"/>
    <w:link w:val="Heading2Char"/>
    <w:uiPriority w:val="9"/>
    <w:semiHidden/>
    <w:unhideWhenUsed/>
    <w:qFormat/>
    <w:rsid w:val="00711FD7"/>
    <w:pPr>
      <w:keepNext/>
      <w:keepLines/>
      <w:spacing w:after="20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711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FD7"/>
    <w:rPr>
      <w:rFonts w:asciiTheme="majorHAnsi" w:eastAsiaTheme="majorEastAsia" w:hAnsiTheme="majorHAnsi" w:cstheme="majorBidi"/>
      <w:color w:val="0F4761" w:themeColor="accent1" w:themeShade="BF"/>
      <w:sz w:val="40"/>
      <w:szCs w:val="40"/>
      <w:lang w:val="es-ES"/>
    </w:rPr>
  </w:style>
  <w:style w:type="character" w:customStyle="1" w:styleId="Heading2Char">
    <w:name w:val="Heading 2 Char"/>
    <w:basedOn w:val="DefaultParagraphFont"/>
    <w:link w:val="Heading2"/>
    <w:uiPriority w:val="9"/>
    <w:semiHidden/>
    <w:rsid w:val="00711FD7"/>
    <w:rPr>
      <w:rFonts w:asciiTheme="majorHAnsi" w:eastAsiaTheme="majorEastAsia" w:hAnsiTheme="majorHAnsi" w:cstheme="majorBidi"/>
      <w:color w:val="0F4761" w:themeColor="accent1" w:themeShade="BF"/>
      <w:sz w:val="32"/>
      <w:szCs w:val="32"/>
      <w:lang w:val="es-ES"/>
    </w:rPr>
  </w:style>
  <w:style w:type="character" w:customStyle="1" w:styleId="Heading3Char">
    <w:name w:val="Heading 3 Char"/>
    <w:basedOn w:val="DefaultParagraphFont"/>
    <w:link w:val="Heading3"/>
    <w:uiPriority w:val="9"/>
    <w:semiHidden/>
    <w:rsid w:val="00711FD7"/>
    <w:rPr>
      <w:rFonts w:eastAsiaTheme="majorEastAsia" w:cstheme="majorBidi"/>
      <w:color w:val="0F4761" w:themeColor="accent1" w:themeShade="BF"/>
      <w:sz w:val="28"/>
      <w:szCs w:val="28"/>
      <w:lang w:val="es-ES"/>
    </w:rPr>
  </w:style>
  <w:style w:type="character" w:customStyle="1" w:styleId="Heading4Char">
    <w:name w:val="Heading 4 Char"/>
    <w:basedOn w:val="DefaultParagraphFont"/>
    <w:link w:val="Heading4"/>
    <w:uiPriority w:val="9"/>
    <w:semiHidden/>
    <w:rsid w:val="00711FD7"/>
    <w:rPr>
      <w:rFonts w:eastAsiaTheme="majorEastAsia" w:cstheme="majorBidi"/>
      <w:i/>
      <w:iCs/>
      <w:color w:val="0F4761" w:themeColor="accent1" w:themeShade="BF"/>
      <w:lang w:val="es-ES"/>
    </w:rPr>
  </w:style>
  <w:style w:type="character" w:customStyle="1" w:styleId="Heading5Char">
    <w:name w:val="Heading 5 Char"/>
    <w:basedOn w:val="DefaultParagraphFont"/>
    <w:link w:val="Heading5"/>
    <w:uiPriority w:val="9"/>
    <w:semiHidden/>
    <w:rsid w:val="00711FD7"/>
    <w:rPr>
      <w:rFonts w:eastAsiaTheme="majorEastAsia" w:cstheme="majorBidi"/>
      <w:color w:val="0F4761" w:themeColor="accent1" w:themeShade="BF"/>
      <w:lang w:val="es-ES"/>
    </w:rPr>
  </w:style>
  <w:style w:type="character" w:customStyle="1" w:styleId="Heading6Char">
    <w:name w:val="Heading 6 Char"/>
    <w:basedOn w:val="DefaultParagraphFont"/>
    <w:link w:val="Heading6"/>
    <w:uiPriority w:val="9"/>
    <w:semiHidden/>
    <w:rsid w:val="00711FD7"/>
    <w:rPr>
      <w:rFonts w:eastAsiaTheme="majorEastAsia" w:cstheme="majorBidi"/>
      <w:i/>
      <w:iCs/>
      <w:color w:val="595959" w:themeColor="text1" w:themeTint="A6"/>
      <w:lang w:val="es-ES"/>
    </w:rPr>
  </w:style>
  <w:style w:type="character" w:customStyle="1" w:styleId="Heading7Char">
    <w:name w:val="Heading 7 Char"/>
    <w:basedOn w:val="DefaultParagraphFont"/>
    <w:link w:val="Heading7"/>
    <w:uiPriority w:val="9"/>
    <w:semiHidden/>
    <w:rsid w:val="00711FD7"/>
    <w:rPr>
      <w:rFonts w:eastAsiaTheme="majorEastAsia" w:cstheme="majorBidi"/>
      <w:color w:val="595959" w:themeColor="text1" w:themeTint="A6"/>
      <w:lang w:val="es-ES"/>
    </w:rPr>
  </w:style>
  <w:style w:type="character" w:customStyle="1" w:styleId="Heading8Char">
    <w:name w:val="Heading 8 Char"/>
    <w:basedOn w:val="DefaultParagraphFont"/>
    <w:link w:val="Heading8"/>
    <w:uiPriority w:val="9"/>
    <w:semiHidden/>
    <w:rsid w:val="00711FD7"/>
    <w:rPr>
      <w:rFonts w:eastAsiaTheme="majorEastAsia" w:cstheme="majorBidi"/>
      <w:i/>
      <w:iCs/>
      <w:color w:val="272727" w:themeColor="text1" w:themeTint="D8"/>
      <w:lang w:val="es-ES"/>
    </w:rPr>
  </w:style>
  <w:style w:type="character" w:customStyle="1" w:styleId="Heading9Char">
    <w:name w:val="Heading 9 Char"/>
    <w:basedOn w:val="DefaultParagraphFont"/>
    <w:link w:val="Heading9"/>
    <w:uiPriority w:val="9"/>
    <w:semiHidden/>
    <w:rsid w:val="00711FD7"/>
    <w:rPr>
      <w:rFonts w:eastAsiaTheme="majorEastAsia" w:cstheme="majorBidi"/>
      <w:color w:val="272727" w:themeColor="text1" w:themeTint="D8"/>
      <w:lang w:val="es-ES"/>
    </w:rPr>
  </w:style>
  <w:style w:type="paragraph" w:styleId="Title">
    <w:name w:val="Title"/>
    <w:basedOn w:val="Normal"/>
    <w:next w:val="Normal"/>
    <w:link w:val="TitleChar"/>
    <w:uiPriority w:val="10"/>
    <w:qFormat/>
    <w:rsid w:val="00711FD7"/>
    <w:pPr>
      <w:keepNext/>
      <w:spacing w:after="200" w:line="240" w:lineRule="auto"/>
      <w:contextualSpacing/>
    </w:pPr>
    <w:rPr>
      <w:rFonts w:asciiTheme="majorHAnsi" w:eastAsiaTheme="majorEastAsia" w:hAnsiTheme="majorHAnsi" w:cstheme="majorBidi"/>
      <w:b/>
      <w:spacing w:val="-10"/>
      <w:kern w:val="28"/>
      <w:sz w:val="26"/>
      <w:szCs w:val="56"/>
    </w:rPr>
  </w:style>
  <w:style w:type="character" w:customStyle="1" w:styleId="TitleChar">
    <w:name w:val="Title Char"/>
    <w:basedOn w:val="DefaultParagraphFont"/>
    <w:link w:val="Title"/>
    <w:uiPriority w:val="10"/>
    <w:rsid w:val="00711FD7"/>
    <w:rPr>
      <w:rFonts w:asciiTheme="majorHAnsi" w:eastAsiaTheme="majorEastAsia" w:hAnsiTheme="majorHAnsi" w:cstheme="majorBidi"/>
      <w:spacing w:val="-10"/>
      <w:kern w:val="28"/>
      <w:sz w:val="56"/>
      <w:szCs w:val="56"/>
      <w:lang w:val="es-ES"/>
    </w:rPr>
  </w:style>
  <w:style w:type="paragraph" w:styleId="Subtitle">
    <w:name w:val="Subtitle"/>
    <w:basedOn w:val="Normal"/>
    <w:next w:val="Normal"/>
    <w:link w:val="SubtitleChar"/>
    <w:uiPriority w:val="11"/>
    <w:qFormat/>
    <w:rsid w:val="00711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FD7"/>
    <w:rPr>
      <w:rFonts w:eastAsiaTheme="majorEastAsia" w:cstheme="majorBidi"/>
      <w:color w:val="595959" w:themeColor="text1" w:themeTint="A6"/>
      <w:spacing w:val="15"/>
      <w:sz w:val="28"/>
      <w:szCs w:val="28"/>
      <w:lang w:val="es-ES"/>
    </w:rPr>
  </w:style>
  <w:style w:type="paragraph" w:styleId="Quote">
    <w:name w:val="Quote"/>
    <w:basedOn w:val="Normal"/>
    <w:next w:val="Normal"/>
    <w:link w:val="QuoteChar"/>
    <w:uiPriority w:val="29"/>
    <w:qFormat/>
    <w:rsid w:val="00711FD7"/>
    <w:pPr>
      <w:spacing w:before="160"/>
      <w:jc w:val="center"/>
    </w:pPr>
    <w:rPr>
      <w:i/>
      <w:iCs/>
      <w:color w:val="404040" w:themeColor="text1" w:themeTint="BF"/>
    </w:rPr>
  </w:style>
  <w:style w:type="character" w:customStyle="1" w:styleId="QuoteChar">
    <w:name w:val="Quote Char"/>
    <w:basedOn w:val="DefaultParagraphFont"/>
    <w:link w:val="Quote"/>
    <w:uiPriority w:val="29"/>
    <w:rsid w:val="00711FD7"/>
    <w:rPr>
      <w:i/>
      <w:iCs/>
      <w:color w:val="404040" w:themeColor="text1" w:themeTint="BF"/>
      <w:lang w:val="es-ES"/>
    </w:rPr>
  </w:style>
  <w:style w:type="paragraph" w:styleId="ListParagraph">
    <w:name w:val="List Paragraph"/>
    <w:basedOn w:val="Normal"/>
    <w:uiPriority w:val="34"/>
    <w:qFormat/>
    <w:rsid w:val="00711FD7"/>
    <w:pPr>
      <w:ind w:left="720"/>
      <w:contextualSpacing/>
    </w:pPr>
  </w:style>
  <w:style w:type="character" w:styleId="IntenseEmphasis">
    <w:name w:val="Intense Emphasis"/>
    <w:basedOn w:val="DefaultParagraphFont"/>
    <w:uiPriority w:val="21"/>
    <w:qFormat/>
    <w:rsid w:val="00711FD7"/>
    <w:rPr>
      <w:i/>
      <w:iCs/>
      <w:color w:val="0F4761" w:themeColor="accent1" w:themeShade="BF"/>
    </w:rPr>
  </w:style>
  <w:style w:type="paragraph" w:styleId="IntenseQuote">
    <w:name w:val="Intense Quote"/>
    <w:basedOn w:val="Normal"/>
    <w:next w:val="Normal"/>
    <w:link w:val="IntenseQuoteChar"/>
    <w:uiPriority w:val="30"/>
    <w:qFormat/>
    <w:rsid w:val="00711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FD7"/>
    <w:rPr>
      <w:i/>
      <w:iCs/>
      <w:color w:val="0F4761" w:themeColor="accent1" w:themeShade="BF"/>
      <w:lang w:val="es-ES"/>
    </w:rPr>
  </w:style>
  <w:style w:type="character" w:styleId="IntenseReference">
    <w:name w:val="Intense Reference"/>
    <w:basedOn w:val="DefaultParagraphFont"/>
    <w:uiPriority w:val="32"/>
    <w:qFormat/>
    <w:rsid w:val="00711FD7"/>
    <w:rPr>
      <w:b/>
      <w:bCs/>
      <w:smallCaps/>
      <w:color w:val="0F4761" w:themeColor="accent1" w:themeShade="BF"/>
      <w:spacing w:val="5"/>
    </w:rPr>
  </w:style>
  <w:style w:type="character" w:styleId="CommentReference">
    <w:name w:val="annotation reference"/>
    <w:basedOn w:val="DefaultParagraphFont"/>
    <w:uiPriority w:val="99"/>
    <w:semiHidden/>
    <w:unhideWhenUsed/>
    <w:rsid w:val="00173A32"/>
    <w:rPr>
      <w:sz w:val="16"/>
      <w:szCs w:val="16"/>
    </w:rPr>
  </w:style>
  <w:style w:type="paragraph" w:styleId="CommentText">
    <w:name w:val="annotation text"/>
    <w:basedOn w:val="Normal"/>
    <w:link w:val="CommentTextChar"/>
    <w:uiPriority w:val="99"/>
    <w:unhideWhenUsed/>
    <w:rsid w:val="00173A32"/>
    <w:pPr>
      <w:spacing w:line="240" w:lineRule="auto"/>
    </w:pPr>
    <w:rPr>
      <w:sz w:val="20"/>
      <w:szCs w:val="20"/>
    </w:rPr>
  </w:style>
  <w:style w:type="character" w:customStyle="1" w:styleId="CommentTextChar">
    <w:name w:val="Comment Text Char"/>
    <w:basedOn w:val="DefaultParagraphFont"/>
    <w:link w:val="CommentText"/>
    <w:uiPriority w:val="99"/>
    <w:rsid w:val="00173A32"/>
    <w:rPr>
      <w:sz w:val="20"/>
      <w:szCs w:val="20"/>
      <w:lang w:val="es-ES"/>
    </w:rPr>
  </w:style>
  <w:style w:type="paragraph" w:styleId="CommentSubject">
    <w:name w:val="annotation subject"/>
    <w:basedOn w:val="CommentText"/>
    <w:next w:val="CommentText"/>
    <w:link w:val="CommentSubjectChar"/>
    <w:uiPriority w:val="99"/>
    <w:semiHidden/>
    <w:unhideWhenUsed/>
    <w:rsid w:val="00173A32"/>
    <w:rPr>
      <w:b/>
      <w:bCs/>
    </w:rPr>
  </w:style>
  <w:style w:type="character" w:customStyle="1" w:styleId="CommentSubjectChar">
    <w:name w:val="Comment Subject Char"/>
    <w:basedOn w:val="CommentTextChar"/>
    <w:link w:val="CommentSubject"/>
    <w:uiPriority w:val="99"/>
    <w:semiHidden/>
    <w:rsid w:val="00173A32"/>
    <w:rPr>
      <w:b/>
      <w:bCs/>
      <w:sz w:val="20"/>
      <w:szCs w:val="20"/>
      <w:lang w:val="es-ES"/>
    </w:rPr>
  </w:style>
  <w:style w:type="paragraph" w:styleId="Revision">
    <w:name w:val="Revision"/>
    <w:hidden/>
    <w:uiPriority w:val="99"/>
    <w:semiHidden/>
    <w:rsid w:val="000D03DC"/>
    <w:pPr>
      <w:spacing w:after="0" w:line="240" w:lineRule="auto"/>
    </w:pPr>
  </w:style>
  <w:style w:type="paragraph" w:styleId="Header">
    <w:name w:val="header"/>
    <w:basedOn w:val="Normal"/>
    <w:link w:val="HeaderChar"/>
    <w:uiPriority w:val="99"/>
    <w:unhideWhenUsed/>
    <w:rsid w:val="00C558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58B6"/>
    <w:rPr>
      <w:lang w:val="es-ES"/>
    </w:rPr>
  </w:style>
  <w:style w:type="paragraph" w:styleId="Footer">
    <w:name w:val="footer"/>
    <w:basedOn w:val="Normal"/>
    <w:link w:val="FooterChar"/>
    <w:uiPriority w:val="99"/>
    <w:unhideWhenUsed/>
    <w:rsid w:val="00C558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58B6"/>
    <w:rPr>
      <w:lang w:val="es-ES"/>
    </w:rPr>
  </w:style>
  <w:style w:type="paragraph" w:customStyle="1" w:styleId="Default">
    <w:name w:val="Default"/>
    <w:rsid w:val="00D212AA"/>
    <w:pPr>
      <w:autoSpaceDE w:val="0"/>
      <w:autoSpaceDN w:val="0"/>
      <w:adjustRightInd w:val="0"/>
      <w:spacing w:after="0" w:line="240" w:lineRule="auto"/>
    </w:pPr>
    <w:rPr>
      <w:rFonts w:ascii="Cambria" w:hAnsi="Cambria" w:cs="Cambria"/>
      <w:color w:val="000000"/>
      <w:kern w:val="0"/>
    </w:rPr>
  </w:style>
  <w:style w:type="character" w:styleId="Hyperlink">
    <w:name w:val="Hyperlink"/>
    <w:basedOn w:val="DefaultParagraphFont"/>
    <w:uiPriority w:val="99"/>
    <w:unhideWhenUsed/>
    <w:rsid w:val="0057347E"/>
    <w:rPr>
      <w:color w:val="467886" w:themeColor="hyperlink"/>
      <w:u w:val="single"/>
    </w:rPr>
  </w:style>
  <w:style w:type="character" w:styleId="UnresolvedMention">
    <w:name w:val="Unresolved Mention"/>
    <w:basedOn w:val="DefaultParagraphFont"/>
    <w:uiPriority w:val="99"/>
    <w:semiHidden/>
    <w:unhideWhenUsed/>
    <w:rsid w:val="0057347E"/>
    <w:rPr>
      <w:color w:val="605E5C"/>
      <w:shd w:val="clear" w:color="auto" w:fill="E1DFDD"/>
    </w:rPr>
  </w:style>
  <w:style w:type="character" w:styleId="FollowedHyperlink">
    <w:name w:val="FollowedHyperlink"/>
    <w:basedOn w:val="DefaultParagraphFont"/>
    <w:uiPriority w:val="99"/>
    <w:semiHidden/>
    <w:unhideWhenUsed/>
    <w:rsid w:val="00263A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28842">
      <w:bodyDiv w:val="1"/>
      <w:marLeft w:val="0"/>
      <w:marRight w:val="0"/>
      <w:marTop w:val="0"/>
      <w:marBottom w:val="0"/>
      <w:divBdr>
        <w:top w:val="none" w:sz="0" w:space="0" w:color="auto"/>
        <w:left w:val="none" w:sz="0" w:space="0" w:color="auto"/>
        <w:bottom w:val="none" w:sz="0" w:space="0" w:color="auto"/>
        <w:right w:val="none" w:sz="0" w:space="0" w:color="auto"/>
      </w:divBdr>
    </w:div>
    <w:div w:id="895049783">
      <w:bodyDiv w:val="1"/>
      <w:marLeft w:val="0"/>
      <w:marRight w:val="0"/>
      <w:marTop w:val="0"/>
      <w:marBottom w:val="0"/>
      <w:divBdr>
        <w:top w:val="none" w:sz="0" w:space="0" w:color="auto"/>
        <w:left w:val="none" w:sz="0" w:space="0" w:color="auto"/>
        <w:bottom w:val="none" w:sz="0" w:space="0" w:color="auto"/>
        <w:right w:val="none" w:sz="0" w:space="0" w:color="auto"/>
      </w:divBdr>
    </w:div>
    <w:div w:id="1250231535">
      <w:bodyDiv w:val="1"/>
      <w:marLeft w:val="0"/>
      <w:marRight w:val="0"/>
      <w:marTop w:val="0"/>
      <w:marBottom w:val="0"/>
      <w:divBdr>
        <w:top w:val="none" w:sz="0" w:space="0" w:color="auto"/>
        <w:left w:val="none" w:sz="0" w:space="0" w:color="auto"/>
        <w:bottom w:val="none" w:sz="0" w:space="0" w:color="auto"/>
        <w:right w:val="none" w:sz="0" w:space="0" w:color="auto"/>
      </w:divBdr>
    </w:div>
    <w:div w:id="199394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5-04-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cat.int/Documents/Recs/compendiopdf-s/2025-04-s.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C4806-E5AB-4B8B-9CD8-225459264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1712</Words>
  <Characters>9762</Characters>
  <Application>Microsoft Office Word</Application>
  <DocSecurity>0</DocSecurity>
  <Lines>81</Lines>
  <Paragraphs>22</Paragraphs>
  <ScaleCrop>false</ScaleCrop>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2026-10-19T09:10:00Z</dcterms:created>
  <dcterms:modified xsi:type="dcterms:W3CDTF">2026-10-19T09:11:00Z</dcterms:modified>
</cp:coreProperties>
</file>