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19D75" w14:textId="68191638" w:rsidR="0099496D" w:rsidRPr="002D165D" w:rsidRDefault="0099496D" w:rsidP="0099496D">
      <w:pPr>
        <w:spacing w:after="0"/>
        <w:ind w:left="88"/>
        <w:jc w:val="right"/>
        <w:rPr>
          <w:rFonts w:ascii="Cambria" w:eastAsia="Cambria" w:hAnsi="Cambria" w:cs="Cambria"/>
          <w:b/>
          <w:kern w:val="0"/>
          <w:sz w:val="20"/>
          <w:szCs w:val="20"/>
          <w14:ligatures w14:val="none"/>
        </w:rPr>
      </w:pPr>
      <w:r w:rsidRPr="002D165D">
        <w:rPr>
          <w:rFonts w:ascii="Cambria" w:hAnsi="Cambria"/>
          <w:b/>
          <w:sz w:val="20"/>
          <w:szCs w:val="20"/>
        </w:rPr>
        <w:t>Original : anglais</w:t>
      </w:r>
    </w:p>
    <w:p w14:paraId="45C433AA" w14:textId="77777777" w:rsidR="0099496D" w:rsidRPr="002D165D" w:rsidRDefault="0099496D" w:rsidP="00D212AA">
      <w:pPr>
        <w:spacing w:after="0"/>
        <w:ind w:left="88"/>
        <w:jc w:val="center"/>
        <w:rPr>
          <w:rFonts w:ascii="Cambria" w:eastAsia="Cambria" w:hAnsi="Cambria" w:cs="Cambria"/>
          <w:b/>
          <w:kern w:val="0"/>
          <w:sz w:val="20"/>
          <w:szCs w:val="20"/>
          <w14:ligatures w14:val="none"/>
        </w:rPr>
      </w:pPr>
    </w:p>
    <w:p w14:paraId="17F84FE0" w14:textId="4C81E9C2" w:rsidR="00D212AA" w:rsidRPr="002D165D" w:rsidRDefault="00D212AA" w:rsidP="00D212AA">
      <w:pPr>
        <w:spacing w:after="0"/>
        <w:ind w:left="88"/>
        <w:jc w:val="center"/>
        <w:rPr>
          <w:rFonts w:ascii="Cambria" w:eastAsia="Cambria" w:hAnsi="Cambria" w:cs="Cambria"/>
          <w:b/>
          <w:kern w:val="0"/>
          <w:sz w:val="20"/>
          <w:szCs w:val="20"/>
          <w14:ligatures w14:val="none"/>
        </w:rPr>
      </w:pPr>
      <w:r w:rsidRPr="002D165D">
        <w:rPr>
          <w:rFonts w:ascii="Cambria" w:hAnsi="Cambria"/>
          <w:b/>
          <w:sz w:val="20"/>
          <w:szCs w:val="20"/>
        </w:rPr>
        <w:t>Page de garde accompagnant les nouvelles propositions</w:t>
      </w:r>
    </w:p>
    <w:p w14:paraId="2C1CFBD3" w14:textId="77777777" w:rsidR="00D212AA" w:rsidRPr="002D165D" w:rsidRDefault="00D212AA" w:rsidP="00D212AA">
      <w:pPr>
        <w:tabs>
          <w:tab w:val="left" w:pos="7300"/>
        </w:tabs>
        <w:spacing w:after="0" w:line="240" w:lineRule="auto"/>
        <w:rPr>
          <w:rFonts w:ascii="Cambria" w:eastAsia="Times New Roman" w:hAnsi="Cambria" w:cs="Times New Roman"/>
          <w:b/>
          <w:bCs/>
          <w:kern w:val="0"/>
          <w:sz w:val="20"/>
          <w:szCs w:val="20"/>
          <w14:ligatures w14:val="none"/>
        </w:rPr>
      </w:pPr>
      <w:r w:rsidRPr="002D165D">
        <w:rPr>
          <w:rFonts w:ascii="Cambria" w:hAnsi="Cambria"/>
          <w:b/>
          <w:sz w:val="20"/>
          <w:szCs w:val="20"/>
        </w:rPr>
        <w:tab/>
      </w:r>
    </w:p>
    <w:p w14:paraId="6EF59103" w14:textId="6B1017B9" w:rsidR="00D212AA" w:rsidRPr="002D165D" w:rsidRDefault="00D212AA" w:rsidP="00D212AA">
      <w:pPr>
        <w:widowControl w:val="0"/>
        <w:spacing w:after="0" w:line="240" w:lineRule="auto"/>
        <w:jc w:val="center"/>
        <w:rPr>
          <w:rFonts w:ascii="Cambria" w:eastAsia="Cambria" w:hAnsi="Cambria" w:cs="Cambria"/>
          <w:i/>
          <w:kern w:val="0"/>
          <w:sz w:val="20"/>
          <w:szCs w:val="20"/>
          <w14:ligatures w14:val="none"/>
        </w:rPr>
      </w:pPr>
      <w:r w:rsidRPr="002D165D">
        <w:rPr>
          <w:rFonts w:ascii="Cambria" w:hAnsi="Cambria"/>
          <w:i/>
          <w:sz w:val="20"/>
          <w:szCs w:val="20"/>
        </w:rPr>
        <w:t>(Document soumis par la Norvège)</w:t>
      </w:r>
    </w:p>
    <w:p w14:paraId="5DC9053E" w14:textId="77777777" w:rsidR="00D212AA" w:rsidRPr="002D165D" w:rsidRDefault="00D212AA" w:rsidP="00D212AA">
      <w:pPr>
        <w:pStyle w:val="Default"/>
        <w:rPr>
          <w:sz w:val="20"/>
          <w:szCs w:val="20"/>
        </w:rPr>
      </w:pPr>
    </w:p>
    <w:p w14:paraId="03DAFDC2" w14:textId="77777777" w:rsidR="00D212AA" w:rsidRPr="002D165D" w:rsidRDefault="00D212AA" w:rsidP="00D212AA">
      <w:pPr>
        <w:widowControl w:val="0"/>
        <w:spacing w:after="0" w:line="240" w:lineRule="auto"/>
        <w:ind w:hanging="10"/>
        <w:jc w:val="both"/>
        <w:rPr>
          <w:rFonts w:ascii="Cambria" w:eastAsia="Cambria" w:hAnsi="Cambria" w:cs="Cambria"/>
          <w:b/>
          <w:bCs/>
          <w:color w:val="000000" w:themeColor="text1"/>
          <w:sz w:val="20"/>
          <w:szCs w:val="20"/>
        </w:rPr>
      </w:pPr>
    </w:p>
    <w:p w14:paraId="0345B3FA" w14:textId="0C46843E" w:rsidR="00D212AA" w:rsidRPr="002D165D" w:rsidRDefault="00D212AA" w:rsidP="00D212AA">
      <w:pPr>
        <w:widowControl w:val="0"/>
        <w:autoSpaceDE w:val="0"/>
        <w:autoSpaceDN w:val="0"/>
        <w:spacing w:after="0" w:line="240" w:lineRule="auto"/>
        <w:ind w:left="224"/>
        <w:jc w:val="both"/>
        <w:rPr>
          <w:rFonts w:ascii="Cambria" w:eastAsia="Cambria" w:hAnsi="Cambria" w:cs="Cambria"/>
          <w:b/>
          <w:bCs/>
          <w:kern w:val="0"/>
          <w:sz w:val="20"/>
          <w:szCs w:val="20"/>
          <w14:ligatures w14:val="none"/>
        </w:rPr>
      </w:pPr>
      <w:r w:rsidRPr="002D165D">
        <w:rPr>
          <w:rFonts w:ascii="Cambria" w:hAnsi="Cambria"/>
          <w:b/>
          <w:sz w:val="20"/>
          <w:szCs w:val="20"/>
        </w:rPr>
        <w:t xml:space="preserve">Titre de la proposition de projet de Recommandation/Résolution : </w:t>
      </w:r>
      <w:r w:rsidRPr="002D165D">
        <w:rPr>
          <w:rFonts w:ascii="Cambria" w:hAnsi="Cambria"/>
          <w:color w:val="FF0000"/>
          <w:sz w:val="20"/>
          <w:szCs w:val="20"/>
        </w:rPr>
        <w:t>Projet de Recommandation de l’ICCAT amendant la Recommandation 25-04 établissant un plan pluriannuel de gestion du thon rouge dans l’Atlantique Est et la Méditerranée</w:t>
      </w:r>
    </w:p>
    <w:p w14:paraId="24162FA6" w14:textId="77777777" w:rsidR="00D212AA" w:rsidRPr="002D165D" w:rsidRDefault="00D212AA" w:rsidP="00D212AA">
      <w:pPr>
        <w:widowControl w:val="0"/>
        <w:autoSpaceDE w:val="0"/>
        <w:autoSpaceDN w:val="0"/>
        <w:spacing w:after="0" w:line="240" w:lineRule="auto"/>
        <w:ind w:left="224"/>
        <w:jc w:val="both"/>
        <w:rPr>
          <w:rFonts w:ascii="Cambria" w:eastAsia="Cambria" w:hAnsi="Cambria" w:cs="Cambria"/>
          <w:color w:val="FF0000"/>
          <w:kern w:val="0"/>
          <w:sz w:val="20"/>
          <w:szCs w:val="20"/>
          <w14:ligatures w14:val="none"/>
        </w:rPr>
      </w:pPr>
    </w:p>
    <w:p w14:paraId="022EC522" w14:textId="728A462A" w:rsidR="00D212AA" w:rsidRPr="002D165D" w:rsidRDefault="00D212AA" w:rsidP="00D212AA">
      <w:pPr>
        <w:widowControl w:val="0"/>
        <w:autoSpaceDE w:val="0"/>
        <w:autoSpaceDN w:val="0"/>
        <w:spacing w:after="0" w:line="240" w:lineRule="auto"/>
        <w:ind w:left="224"/>
        <w:jc w:val="both"/>
        <w:rPr>
          <w:rFonts w:ascii="Cambria" w:hAnsi="Cambria"/>
          <w:sz w:val="20"/>
          <w:szCs w:val="20"/>
        </w:rPr>
      </w:pPr>
      <w:r w:rsidRPr="002D165D">
        <w:rPr>
          <w:rFonts w:ascii="Cambria" w:hAnsi="Cambria"/>
          <w:b/>
          <w:sz w:val="20"/>
          <w:szCs w:val="20"/>
        </w:rPr>
        <w:t>Titre de la ou des Recommandations ou Résolutions en vigueur traitant des mêmes questions ou de questions connexes :</w:t>
      </w:r>
      <w:r w:rsidRPr="002D165D">
        <w:rPr>
          <w:rFonts w:ascii="Cambria" w:hAnsi="Cambria"/>
          <w:b/>
          <w:color w:val="000000" w:themeColor="text1"/>
          <w:sz w:val="20"/>
          <w:szCs w:val="20"/>
        </w:rPr>
        <w:t xml:space="preserve"> </w:t>
      </w:r>
      <w:r w:rsidRPr="00CF19F5">
        <w:rPr>
          <w:rFonts w:ascii="Cambria" w:hAnsi="Cambria"/>
          <w:i/>
          <w:iCs/>
          <w:color w:val="FF0000"/>
          <w:sz w:val="20"/>
          <w:szCs w:val="20"/>
        </w:rPr>
        <w:t>Recommandation de l’ICCAT remplaçant la Recommandation 24-05 établissant un plan pluriannuel de gestion du thon rouge dans l’Atlantique Est et la Méditerranée</w:t>
      </w:r>
      <w:r w:rsidRPr="00CF19F5">
        <w:rPr>
          <w:rFonts w:ascii="Cambria" w:hAnsi="Cambria"/>
          <w:color w:val="FF0000"/>
          <w:sz w:val="20"/>
          <w:szCs w:val="20"/>
        </w:rPr>
        <w:t xml:space="preserve"> (Rec. 25-04)</w:t>
      </w:r>
    </w:p>
    <w:p w14:paraId="574D5AF4" w14:textId="77777777" w:rsidR="00D212AA" w:rsidRPr="002D165D" w:rsidRDefault="00D212AA" w:rsidP="00D212AA">
      <w:pPr>
        <w:widowControl w:val="0"/>
        <w:spacing w:after="0" w:line="240" w:lineRule="auto"/>
        <w:ind w:hanging="10"/>
        <w:jc w:val="both"/>
        <w:rPr>
          <w:rFonts w:ascii="Cambria" w:eastAsia="Cambria" w:hAnsi="Cambria" w:cs="Cambria"/>
          <w:color w:val="000000" w:themeColor="text1"/>
          <w:sz w:val="20"/>
          <w:szCs w:val="20"/>
        </w:rPr>
      </w:pPr>
    </w:p>
    <w:p w14:paraId="4DA725EC" w14:textId="5BAB74F8" w:rsidR="00D212AA" w:rsidRPr="002D165D" w:rsidRDefault="00D212AA" w:rsidP="00D212AA">
      <w:pPr>
        <w:pStyle w:val="ListParagraph"/>
        <w:widowControl w:val="0"/>
        <w:numPr>
          <w:ilvl w:val="0"/>
          <w:numId w:val="6"/>
        </w:numPr>
        <w:spacing w:after="0" w:line="240" w:lineRule="auto"/>
        <w:ind w:left="426" w:hanging="426"/>
        <w:rPr>
          <w:rFonts w:ascii="Cambria" w:eastAsia="Cambria" w:hAnsi="Cambria" w:cs="Cambria"/>
          <w:color w:val="000000" w:themeColor="text1"/>
          <w:sz w:val="20"/>
          <w:szCs w:val="20"/>
        </w:rPr>
      </w:pPr>
      <w:r w:rsidRPr="002D165D">
        <w:rPr>
          <w:rFonts w:ascii="Cambria" w:hAnsi="Cambria"/>
          <w:color w:val="000000" w:themeColor="text1"/>
          <w:sz w:val="20"/>
          <w:szCs w:val="20"/>
        </w:rPr>
        <w:t xml:space="preserve">Cela crée-t-il de nouvelles </w:t>
      </w:r>
      <w:r w:rsidRPr="002D165D">
        <w:rPr>
          <w:rFonts w:ascii="Cambria" w:hAnsi="Cambria"/>
          <w:b/>
          <w:color w:val="000000" w:themeColor="text1"/>
          <w:sz w:val="20"/>
          <w:szCs w:val="20"/>
        </w:rPr>
        <w:t xml:space="preserve">obligations de déclaration </w:t>
      </w:r>
      <w:r w:rsidRPr="002D165D">
        <w:rPr>
          <w:rFonts w:ascii="Cambria" w:hAnsi="Cambria"/>
          <w:color w:val="000000" w:themeColor="text1"/>
          <w:sz w:val="20"/>
          <w:szCs w:val="20"/>
        </w:rPr>
        <w:t xml:space="preserve">pour les CPC ?     </w:t>
      </w:r>
      <w:proofErr w:type="gramStart"/>
      <w:r w:rsidRPr="002D165D">
        <w:rPr>
          <w:rFonts w:ascii="Cambria" w:hAnsi="Cambria"/>
          <w:color w:val="EE0000"/>
          <w:sz w:val="20"/>
          <w:szCs w:val="20"/>
        </w:rPr>
        <w:t xml:space="preserve">Oui  </w:t>
      </w:r>
      <w:r w:rsidRPr="002D165D">
        <w:rPr>
          <w:rFonts w:ascii="Segoe UI Symbol" w:hAnsi="Segoe UI Symbol" w:cs="Segoe UI Symbol"/>
          <w:color w:val="EE0000"/>
          <w:sz w:val="20"/>
          <w:szCs w:val="20"/>
        </w:rPr>
        <w:t>☒</w:t>
      </w:r>
      <w:proofErr w:type="gramEnd"/>
      <w:r w:rsidRPr="002D165D">
        <w:rPr>
          <w:rFonts w:ascii="Cambria" w:hAnsi="Cambria"/>
          <w:color w:val="EE0000"/>
          <w:sz w:val="20"/>
          <w:szCs w:val="20"/>
        </w:rPr>
        <w:t xml:space="preserve"> </w:t>
      </w:r>
      <w:r w:rsidRPr="002D165D">
        <w:rPr>
          <w:rFonts w:ascii="Cambria" w:hAnsi="Cambria"/>
          <w:sz w:val="20"/>
          <w:szCs w:val="20"/>
        </w:rPr>
        <w:tab/>
      </w:r>
      <w:proofErr w:type="gramStart"/>
      <w:r w:rsidRPr="002D165D">
        <w:rPr>
          <w:rFonts w:ascii="Cambria" w:hAnsi="Cambria"/>
          <w:color w:val="000000" w:themeColor="text1"/>
          <w:sz w:val="20"/>
          <w:szCs w:val="20"/>
        </w:rPr>
        <w:t xml:space="preserve">Non  </w:t>
      </w:r>
      <w:r w:rsidRPr="002D165D">
        <w:rPr>
          <w:rFonts w:ascii="Segoe UI Symbol" w:hAnsi="Segoe UI Symbol" w:cs="Segoe UI Symbol"/>
          <w:color w:val="000000" w:themeColor="text1"/>
          <w:sz w:val="20"/>
          <w:szCs w:val="20"/>
        </w:rPr>
        <w:t>☐</w:t>
      </w:r>
      <w:proofErr w:type="gramEnd"/>
      <w:r w:rsidRPr="002D165D">
        <w:rPr>
          <w:rFonts w:ascii="Cambria" w:hAnsi="Cambria"/>
          <w:color w:val="000000" w:themeColor="text1"/>
          <w:sz w:val="20"/>
          <w:szCs w:val="20"/>
        </w:rPr>
        <w:t xml:space="preserve"> </w:t>
      </w:r>
    </w:p>
    <w:p w14:paraId="2066B311" w14:textId="77777777" w:rsidR="00D212AA" w:rsidRPr="002D165D" w:rsidRDefault="00D212AA" w:rsidP="00D212AA">
      <w:pPr>
        <w:widowControl w:val="0"/>
        <w:spacing w:after="0" w:line="240" w:lineRule="auto"/>
        <w:ind w:hanging="10"/>
        <w:rPr>
          <w:rFonts w:ascii="Cambria" w:eastAsia="Cambria" w:hAnsi="Cambria" w:cs="Cambria"/>
          <w:color w:val="000000" w:themeColor="text1"/>
          <w:sz w:val="20"/>
          <w:szCs w:val="20"/>
          <w:lang w:val="en-IE"/>
        </w:rPr>
      </w:pPr>
    </w:p>
    <w:p w14:paraId="1EF04EF9" w14:textId="77777777" w:rsidR="00D212AA" w:rsidRPr="002D165D" w:rsidRDefault="00D212AA" w:rsidP="00D212AA">
      <w:pPr>
        <w:widowControl w:val="0"/>
        <w:spacing w:after="0" w:line="240" w:lineRule="auto"/>
        <w:ind w:left="426" w:hanging="10"/>
        <w:jc w:val="both"/>
        <w:rPr>
          <w:rFonts w:ascii="Cambria" w:eastAsia="Cambria" w:hAnsi="Cambria" w:cs="Cambria"/>
          <w:color w:val="000000" w:themeColor="text1"/>
          <w:sz w:val="20"/>
          <w:szCs w:val="20"/>
        </w:rPr>
      </w:pPr>
      <w:r w:rsidRPr="002D165D">
        <w:rPr>
          <w:rFonts w:ascii="Cambria" w:hAnsi="Cambria"/>
          <w:color w:val="000000" w:themeColor="text1"/>
          <w:sz w:val="20"/>
          <w:szCs w:val="20"/>
        </w:rPr>
        <w:t xml:space="preserve">Brève description de la ou des nouvelle(s) obligation(s) de déclaration : </w:t>
      </w:r>
    </w:p>
    <w:p w14:paraId="041257FD" w14:textId="77777777" w:rsidR="00D212AA" w:rsidRPr="002D165D" w:rsidRDefault="00D212AA" w:rsidP="00D212AA">
      <w:pPr>
        <w:widowControl w:val="0"/>
        <w:spacing w:after="0" w:line="240" w:lineRule="auto"/>
        <w:ind w:left="426" w:hanging="10"/>
        <w:jc w:val="both"/>
        <w:rPr>
          <w:rFonts w:ascii="Cambria" w:eastAsia="Cambria" w:hAnsi="Cambria" w:cs="Cambria"/>
          <w:color w:val="0070C0"/>
          <w:sz w:val="20"/>
          <w:szCs w:val="20"/>
        </w:rPr>
      </w:pPr>
    </w:p>
    <w:p w14:paraId="4EC63ADC" w14:textId="13815A69" w:rsidR="00D212AA" w:rsidRPr="002D165D" w:rsidRDefault="00D212AA" w:rsidP="00D212AA">
      <w:pPr>
        <w:widowControl w:val="0"/>
        <w:spacing w:after="0" w:line="240" w:lineRule="auto"/>
        <w:ind w:left="426" w:hanging="10"/>
        <w:jc w:val="both"/>
        <w:rPr>
          <w:rFonts w:ascii="Cambria" w:eastAsia="Cambria" w:hAnsi="Cambria" w:cs="Cambria"/>
          <w:color w:val="EE0000"/>
          <w:sz w:val="20"/>
          <w:szCs w:val="20"/>
        </w:rPr>
      </w:pPr>
      <w:r w:rsidRPr="002D165D">
        <w:rPr>
          <w:rFonts w:ascii="Cambria" w:hAnsi="Cambria"/>
          <w:color w:val="EE0000"/>
          <w:sz w:val="20"/>
          <w:szCs w:val="20"/>
        </w:rPr>
        <w:t>Obligation pour la CPC pêchant dans le cadre de la dérogation.</w:t>
      </w:r>
    </w:p>
    <w:p w14:paraId="25CCDB5F" w14:textId="77777777" w:rsidR="00D212AA" w:rsidRPr="002D165D" w:rsidRDefault="00D212AA" w:rsidP="00D212AA">
      <w:pPr>
        <w:widowControl w:val="0"/>
        <w:spacing w:after="0" w:line="240" w:lineRule="auto"/>
        <w:ind w:left="426" w:hanging="10"/>
        <w:jc w:val="both"/>
        <w:rPr>
          <w:rFonts w:ascii="Cambria" w:eastAsia="Times New Roman" w:hAnsi="Cambria" w:cs="Times New Roman"/>
          <w:color w:val="000000" w:themeColor="text1"/>
          <w:sz w:val="20"/>
          <w:szCs w:val="20"/>
        </w:rPr>
      </w:pPr>
    </w:p>
    <w:p w14:paraId="03B965DF" w14:textId="77777777" w:rsidR="002D165D" w:rsidRPr="002D165D" w:rsidRDefault="00D212AA" w:rsidP="00D212AA">
      <w:pPr>
        <w:pStyle w:val="ListParagraph"/>
        <w:widowControl w:val="0"/>
        <w:numPr>
          <w:ilvl w:val="0"/>
          <w:numId w:val="6"/>
        </w:numPr>
        <w:spacing w:after="0" w:line="240" w:lineRule="auto"/>
        <w:ind w:left="426" w:hanging="426"/>
        <w:rPr>
          <w:rFonts w:ascii="Cambria" w:eastAsia="Cambria" w:hAnsi="Cambria" w:cs="Cambria"/>
          <w:color w:val="000000" w:themeColor="text1"/>
          <w:sz w:val="20"/>
          <w:szCs w:val="20"/>
        </w:rPr>
      </w:pPr>
      <w:r w:rsidRPr="002D165D">
        <w:rPr>
          <w:rFonts w:ascii="Cambria" w:hAnsi="Cambria"/>
          <w:color w:val="000000" w:themeColor="text1"/>
          <w:sz w:val="20"/>
          <w:szCs w:val="20"/>
        </w:rPr>
        <w:t xml:space="preserve">Cela nécessite-t-il une contribution ou un </w:t>
      </w:r>
      <w:r w:rsidRPr="002D165D">
        <w:rPr>
          <w:rFonts w:ascii="Cambria" w:hAnsi="Cambria"/>
          <w:b/>
          <w:bCs/>
          <w:color w:val="000000" w:themeColor="text1"/>
          <w:sz w:val="20"/>
          <w:szCs w:val="20"/>
        </w:rPr>
        <w:t>travail supplémentaire de la part du SCRS</w:t>
      </w:r>
      <w:r w:rsidRPr="002D165D">
        <w:rPr>
          <w:rFonts w:ascii="Cambria" w:hAnsi="Cambria"/>
          <w:color w:val="000000" w:themeColor="text1"/>
          <w:sz w:val="20"/>
          <w:szCs w:val="20"/>
        </w:rPr>
        <w:t xml:space="preserve"> ?   </w:t>
      </w:r>
    </w:p>
    <w:p w14:paraId="3F088FFF" w14:textId="7A85C212" w:rsidR="00D212AA" w:rsidRPr="002D165D" w:rsidRDefault="00D212AA" w:rsidP="002D165D">
      <w:pPr>
        <w:pStyle w:val="ListParagraph"/>
        <w:widowControl w:val="0"/>
        <w:spacing w:after="0" w:line="240" w:lineRule="auto"/>
        <w:ind w:left="426"/>
        <w:rPr>
          <w:rFonts w:ascii="Cambria" w:eastAsia="Cambria" w:hAnsi="Cambria" w:cs="Cambria"/>
          <w:color w:val="000000" w:themeColor="text1"/>
          <w:sz w:val="20"/>
          <w:szCs w:val="20"/>
        </w:rPr>
      </w:pPr>
      <w:r w:rsidRPr="002D165D">
        <w:rPr>
          <w:rFonts w:ascii="Cambria" w:hAnsi="Cambria"/>
          <w:sz w:val="20"/>
          <w:szCs w:val="20"/>
        </w:rPr>
        <w:t xml:space="preserve">Oui </w:t>
      </w:r>
      <w:proofErr w:type="gramStart"/>
      <w:r w:rsidRPr="002D165D">
        <w:rPr>
          <w:rFonts w:ascii="Segoe UI Symbol" w:hAnsi="Segoe UI Symbol" w:cs="Segoe UI Symbol"/>
          <w:sz w:val="20"/>
          <w:szCs w:val="20"/>
        </w:rPr>
        <w:t>☐</w:t>
      </w:r>
      <w:r w:rsidRPr="002D165D">
        <w:rPr>
          <w:rFonts w:ascii="Cambria" w:hAnsi="Cambria"/>
          <w:sz w:val="20"/>
          <w:szCs w:val="20"/>
        </w:rPr>
        <w:t xml:space="preserve">  </w:t>
      </w:r>
      <w:r w:rsidRPr="002D165D">
        <w:rPr>
          <w:rFonts w:ascii="Cambria" w:hAnsi="Cambria"/>
          <w:color w:val="EE0000"/>
          <w:sz w:val="20"/>
          <w:szCs w:val="20"/>
        </w:rPr>
        <w:t>Non</w:t>
      </w:r>
      <w:proofErr w:type="gramEnd"/>
      <w:r w:rsidRPr="002D165D">
        <w:rPr>
          <w:rFonts w:ascii="Cambria" w:hAnsi="Cambria"/>
          <w:color w:val="EE0000"/>
          <w:sz w:val="20"/>
          <w:szCs w:val="20"/>
        </w:rPr>
        <w:t xml:space="preserve"> </w:t>
      </w:r>
      <w:r w:rsidRPr="002D165D">
        <w:rPr>
          <w:rFonts w:ascii="Segoe UI Symbol" w:hAnsi="Segoe UI Symbol" w:cs="Segoe UI Symbol"/>
          <w:color w:val="EE0000"/>
          <w:sz w:val="20"/>
          <w:szCs w:val="20"/>
        </w:rPr>
        <w:t>☒</w:t>
      </w:r>
    </w:p>
    <w:p w14:paraId="4689043A" w14:textId="77777777" w:rsidR="00D212AA" w:rsidRPr="00F1543D" w:rsidRDefault="00D212AA" w:rsidP="00D212AA">
      <w:pPr>
        <w:widowControl w:val="0"/>
        <w:spacing w:after="0" w:line="240" w:lineRule="auto"/>
        <w:ind w:left="360" w:hanging="10"/>
        <w:rPr>
          <w:rFonts w:ascii="Cambria" w:eastAsia="Cambria" w:hAnsi="Cambria" w:cs="Cambria"/>
          <w:color w:val="000000" w:themeColor="text1"/>
          <w:sz w:val="20"/>
          <w:szCs w:val="20"/>
        </w:rPr>
      </w:pPr>
    </w:p>
    <w:p w14:paraId="1173EFB4" w14:textId="77777777" w:rsidR="00D212AA" w:rsidRPr="002D165D" w:rsidRDefault="00D212AA" w:rsidP="00D212AA">
      <w:pPr>
        <w:widowControl w:val="0"/>
        <w:spacing w:after="0" w:line="240" w:lineRule="auto"/>
        <w:ind w:left="360" w:firstLine="66"/>
        <w:jc w:val="both"/>
        <w:rPr>
          <w:rFonts w:ascii="Cambria" w:eastAsia="Cambria" w:hAnsi="Cambria" w:cs="Cambria"/>
          <w:color w:val="000000" w:themeColor="text1"/>
          <w:sz w:val="20"/>
          <w:szCs w:val="20"/>
        </w:rPr>
      </w:pPr>
      <w:r w:rsidRPr="002D165D">
        <w:rPr>
          <w:rFonts w:ascii="Cambria" w:hAnsi="Cambria"/>
          <w:sz w:val="20"/>
          <w:szCs w:val="20"/>
        </w:rPr>
        <w:t xml:space="preserve">Ce travail est-il déjà inclus dans le plan de travail actuel du SCRS ? </w:t>
      </w:r>
      <w:proofErr w:type="gramStart"/>
      <w:r w:rsidRPr="002D165D">
        <w:rPr>
          <w:rFonts w:ascii="Cambria" w:hAnsi="Cambria"/>
          <w:sz w:val="20"/>
          <w:szCs w:val="20"/>
        </w:rPr>
        <w:t xml:space="preserve">Oui  </w:t>
      </w:r>
      <w:r w:rsidRPr="002D165D">
        <w:rPr>
          <w:rFonts w:ascii="Segoe UI Symbol" w:hAnsi="Segoe UI Symbol" w:cs="Segoe UI Symbol"/>
          <w:sz w:val="20"/>
          <w:szCs w:val="20"/>
        </w:rPr>
        <w:t>☐</w:t>
      </w:r>
      <w:proofErr w:type="gramEnd"/>
      <w:r w:rsidRPr="002D165D">
        <w:rPr>
          <w:rFonts w:ascii="Cambria" w:hAnsi="Cambria"/>
          <w:sz w:val="20"/>
          <w:szCs w:val="20"/>
        </w:rPr>
        <w:t xml:space="preserve">       </w:t>
      </w:r>
      <w:proofErr w:type="gramStart"/>
      <w:r w:rsidRPr="002D165D">
        <w:rPr>
          <w:rFonts w:ascii="Cambria" w:hAnsi="Cambria"/>
          <w:color w:val="EE0000"/>
          <w:sz w:val="20"/>
          <w:szCs w:val="20"/>
        </w:rPr>
        <w:t xml:space="preserve">Non  </w:t>
      </w:r>
      <w:r w:rsidRPr="002D165D">
        <w:rPr>
          <w:rFonts w:ascii="Segoe UI Symbol" w:hAnsi="Segoe UI Symbol" w:cs="Segoe UI Symbol"/>
          <w:color w:val="EE0000"/>
          <w:sz w:val="20"/>
          <w:szCs w:val="20"/>
        </w:rPr>
        <w:t>☒</w:t>
      </w:r>
      <w:proofErr w:type="gramEnd"/>
    </w:p>
    <w:p w14:paraId="27BF7C92" w14:textId="77777777" w:rsidR="00D212AA" w:rsidRPr="002D165D" w:rsidRDefault="00D212AA" w:rsidP="00D212AA">
      <w:pPr>
        <w:widowControl w:val="0"/>
        <w:spacing w:after="0" w:line="240" w:lineRule="auto"/>
        <w:ind w:left="360" w:hanging="10"/>
        <w:rPr>
          <w:rFonts w:ascii="Cambria" w:eastAsia="Cambria" w:hAnsi="Cambria" w:cs="Cambria"/>
          <w:color w:val="000000" w:themeColor="text1"/>
          <w:sz w:val="20"/>
          <w:szCs w:val="20"/>
        </w:rPr>
      </w:pPr>
    </w:p>
    <w:p w14:paraId="781ABF02" w14:textId="77777777" w:rsidR="00D212AA" w:rsidRPr="002D165D" w:rsidRDefault="00D212AA" w:rsidP="00D212AA">
      <w:pPr>
        <w:widowControl w:val="0"/>
        <w:spacing w:after="0" w:line="240" w:lineRule="auto"/>
        <w:ind w:left="426" w:hanging="10"/>
        <w:jc w:val="both"/>
        <w:rPr>
          <w:rFonts w:ascii="Cambria" w:eastAsia="Cambria" w:hAnsi="Cambria" w:cs="Cambria"/>
          <w:color w:val="000000" w:themeColor="text1"/>
          <w:sz w:val="20"/>
          <w:szCs w:val="20"/>
        </w:rPr>
      </w:pPr>
      <w:r w:rsidRPr="002D165D">
        <w:rPr>
          <w:rFonts w:ascii="Cambria" w:hAnsi="Cambria"/>
          <w:color w:val="000000" w:themeColor="text1"/>
          <w:sz w:val="20"/>
          <w:szCs w:val="20"/>
        </w:rPr>
        <w:t>Brève description des nouveaux travaux scientifiques requis (évaluation des stocks, analyse, consultant externe) :</w:t>
      </w:r>
    </w:p>
    <w:p w14:paraId="373BE093" w14:textId="77777777" w:rsidR="00D212AA" w:rsidRPr="002D165D" w:rsidRDefault="00D212AA" w:rsidP="00D25FEA">
      <w:pPr>
        <w:widowControl w:val="0"/>
        <w:spacing w:after="0" w:line="240" w:lineRule="auto"/>
        <w:jc w:val="both"/>
        <w:rPr>
          <w:rFonts w:ascii="Cambria" w:eastAsia="Cambria" w:hAnsi="Cambria" w:cs="Cambria"/>
          <w:color w:val="0070C0"/>
          <w:sz w:val="20"/>
          <w:szCs w:val="20"/>
        </w:rPr>
      </w:pPr>
    </w:p>
    <w:p w14:paraId="0F23478A" w14:textId="77777777" w:rsidR="00D212AA" w:rsidRPr="002D165D"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000000" w:themeColor="text1"/>
          <w:sz w:val="20"/>
          <w:szCs w:val="20"/>
        </w:rPr>
      </w:pPr>
      <w:r w:rsidRPr="002D165D">
        <w:rPr>
          <w:rFonts w:ascii="Cambria" w:hAnsi="Cambria"/>
          <w:color w:val="000000" w:themeColor="text1"/>
          <w:sz w:val="20"/>
          <w:szCs w:val="20"/>
        </w:rPr>
        <w:t xml:space="preserve">Cela implique-t-il la création d'un </w:t>
      </w:r>
      <w:r w:rsidRPr="002D165D">
        <w:rPr>
          <w:rFonts w:ascii="Cambria" w:hAnsi="Cambria"/>
          <w:b/>
          <w:color w:val="000000" w:themeColor="text1"/>
          <w:sz w:val="20"/>
          <w:szCs w:val="20"/>
        </w:rPr>
        <w:t xml:space="preserve">nouveau groupe de travail ou d'un processus intersessions </w:t>
      </w:r>
      <w:r w:rsidRPr="002D165D">
        <w:rPr>
          <w:rFonts w:ascii="Cambria" w:hAnsi="Cambria"/>
          <w:color w:val="000000" w:themeColor="text1"/>
          <w:sz w:val="20"/>
          <w:szCs w:val="20"/>
        </w:rPr>
        <w:t xml:space="preserve">?    </w:t>
      </w:r>
      <w:r w:rsidRPr="002D165D">
        <w:rPr>
          <w:rFonts w:ascii="Cambria" w:hAnsi="Cambria"/>
          <w:sz w:val="20"/>
          <w:szCs w:val="20"/>
        </w:rPr>
        <w:t xml:space="preserve">Oui </w:t>
      </w:r>
      <w:proofErr w:type="gramStart"/>
      <w:r w:rsidRPr="002D165D">
        <w:rPr>
          <w:rFonts w:ascii="Segoe UI Symbol" w:hAnsi="Segoe UI Symbol" w:cs="Segoe UI Symbol"/>
          <w:sz w:val="20"/>
          <w:szCs w:val="20"/>
        </w:rPr>
        <w:t>☐</w:t>
      </w:r>
      <w:r w:rsidRPr="002D165D">
        <w:rPr>
          <w:rFonts w:ascii="Cambria" w:hAnsi="Cambria"/>
          <w:sz w:val="20"/>
          <w:szCs w:val="20"/>
        </w:rPr>
        <w:t xml:space="preserve">  </w:t>
      </w:r>
      <w:r w:rsidRPr="002D165D">
        <w:rPr>
          <w:rFonts w:ascii="Cambria" w:hAnsi="Cambria"/>
          <w:color w:val="EE0000"/>
          <w:sz w:val="20"/>
          <w:szCs w:val="20"/>
        </w:rPr>
        <w:t>Non</w:t>
      </w:r>
      <w:proofErr w:type="gramEnd"/>
      <w:r w:rsidRPr="002D165D">
        <w:rPr>
          <w:rFonts w:ascii="Cambria" w:hAnsi="Cambria"/>
          <w:color w:val="EE0000"/>
          <w:sz w:val="20"/>
          <w:szCs w:val="20"/>
        </w:rPr>
        <w:t xml:space="preserve"> </w:t>
      </w:r>
      <w:r w:rsidRPr="002D165D">
        <w:rPr>
          <w:rFonts w:ascii="Segoe UI Symbol" w:hAnsi="Segoe UI Symbol" w:cs="Segoe UI Symbol"/>
          <w:color w:val="EE0000"/>
          <w:sz w:val="20"/>
          <w:szCs w:val="20"/>
        </w:rPr>
        <w:t>☒</w:t>
      </w:r>
      <w:r w:rsidRPr="002D165D">
        <w:rPr>
          <w:rFonts w:ascii="Cambria" w:hAnsi="Cambria"/>
          <w:color w:val="EE0000"/>
          <w:sz w:val="20"/>
          <w:szCs w:val="20"/>
        </w:rPr>
        <w:t xml:space="preserve"> </w:t>
      </w:r>
    </w:p>
    <w:p w14:paraId="577C2E55" w14:textId="77777777" w:rsidR="00D212AA" w:rsidRPr="002D165D" w:rsidRDefault="00D212AA" w:rsidP="00D212AA">
      <w:pPr>
        <w:widowControl w:val="0"/>
        <w:spacing w:after="0" w:line="240" w:lineRule="auto"/>
        <w:ind w:hanging="10"/>
        <w:rPr>
          <w:rFonts w:ascii="Cambria" w:eastAsia="Cambria" w:hAnsi="Cambria" w:cs="Cambria"/>
          <w:color w:val="000000" w:themeColor="text1"/>
          <w:sz w:val="20"/>
          <w:szCs w:val="20"/>
          <w:lang w:val="en-IE"/>
        </w:rPr>
      </w:pPr>
    </w:p>
    <w:p w14:paraId="520A4B5E" w14:textId="77777777" w:rsidR="00D212AA" w:rsidRPr="002D165D"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000000" w:themeColor="text1"/>
          <w:sz w:val="20"/>
          <w:szCs w:val="20"/>
        </w:rPr>
      </w:pPr>
      <w:r w:rsidRPr="002D165D">
        <w:rPr>
          <w:rFonts w:ascii="Cambria" w:hAnsi="Cambria"/>
          <w:color w:val="000000" w:themeColor="text1"/>
          <w:sz w:val="20"/>
          <w:szCs w:val="20"/>
        </w:rPr>
        <w:t xml:space="preserve">Cela nécessite-t-il un nouveau </w:t>
      </w:r>
      <w:r w:rsidRPr="002D165D">
        <w:rPr>
          <w:rFonts w:ascii="Cambria" w:hAnsi="Cambria"/>
          <w:b/>
          <w:color w:val="000000" w:themeColor="text1"/>
          <w:sz w:val="20"/>
          <w:szCs w:val="20"/>
        </w:rPr>
        <w:t xml:space="preserve">programme ou des activités supplémentaires à gérer par le Secrétariat </w:t>
      </w:r>
      <w:r w:rsidRPr="002D165D">
        <w:rPr>
          <w:rFonts w:ascii="Cambria" w:hAnsi="Cambria"/>
          <w:color w:val="000000" w:themeColor="text1"/>
          <w:sz w:val="20"/>
          <w:szCs w:val="20"/>
        </w:rPr>
        <w:t xml:space="preserve">?  </w:t>
      </w:r>
    </w:p>
    <w:p w14:paraId="6FFA42D7" w14:textId="77777777" w:rsidR="00D212AA" w:rsidRPr="002D165D" w:rsidRDefault="00D212AA" w:rsidP="00D212AA">
      <w:pPr>
        <w:widowControl w:val="0"/>
        <w:spacing w:after="0" w:line="240" w:lineRule="auto"/>
        <w:ind w:left="426" w:hanging="10"/>
        <w:rPr>
          <w:rFonts w:ascii="Cambria" w:eastAsia="Cambria" w:hAnsi="Cambria" w:cs="Cambria"/>
          <w:color w:val="000000" w:themeColor="text1"/>
          <w:sz w:val="20"/>
          <w:szCs w:val="20"/>
        </w:rPr>
      </w:pPr>
    </w:p>
    <w:p w14:paraId="6EE32F4F" w14:textId="77777777" w:rsidR="00D212AA" w:rsidRPr="002D165D" w:rsidRDefault="00D212AA" w:rsidP="00D212AA">
      <w:pPr>
        <w:widowControl w:val="0"/>
        <w:spacing w:after="0" w:line="240" w:lineRule="auto"/>
        <w:ind w:left="426" w:hanging="10"/>
        <w:rPr>
          <w:rFonts w:ascii="Cambria" w:eastAsia="Cambria" w:hAnsi="Cambria" w:cs="Cambria"/>
          <w:color w:val="EE0000"/>
          <w:sz w:val="20"/>
          <w:szCs w:val="20"/>
        </w:rPr>
      </w:pPr>
      <w:proofErr w:type="gramStart"/>
      <w:r w:rsidRPr="002D165D">
        <w:rPr>
          <w:rFonts w:ascii="Cambria" w:hAnsi="Cambria"/>
          <w:sz w:val="20"/>
          <w:szCs w:val="20"/>
        </w:rPr>
        <w:t xml:space="preserve">Oui  </w:t>
      </w:r>
      <w:r w:rsidRPr="002D165D">
        <w:rPr>
          <w:rFonts w:ascii="Segoe UI Symbol" w:hAnsi="Segoe UI Symbol" w:cs="Segoe UI Symbol"/>
          <w:sz w:val="20"/>
          <w:szCs w:val="20"/>
        </w:rPr>
        <w:t>☐</w:t>
      </w:r>
      <w:proofErr w:type="gramEnd"/>
      <w:r w:rsidRPr="002D165D">
        <w:rPr>
          <w:rFonts w:ascii="Cambria" w:hAnsi="Cambria"/>
          <w:sz w:val="20"/>
          <w:szCs w:val="20"/>
        </w:rPr>
        <w:t xml:space="preserve">       </w:t>
      </w:r>
      <w:proofErr w:type="gramStart"/>
      <w:r w:rsidRPr="002D165D">
        <w:rPr>
          <w:rFonts w:ascii="Cambria" w:hAnsi="Cambria"/>
          <w:color w:val="EE0000"/>
          <w:sz w:val="20"/>
          <w:szCs w:val="20"/>
        </w:rPr>
        <w:t xml:space="preserve">Non  </w:t>
      </w:r>
      <w:r w:rsidRPr="002D165D">
        <w:rPr>
          <w:rFonts w:ascii="Segoe UI Symbol" w:hAnsi="Segoe UI Symbol" w:cs="Segoe UI Symbol"/>
          <w:color w:val="EE0000"/>
          <w:sz w:val="20"/>
          <w:szCs w:val="20"/>
        </w:rPr>
        <w:t>☒</w:t>
      </w:r>
      <w:proofErr w:type="gramEnd"/>
      <w:r w:rsidRPr="002D165D">
        <w:rPr>
          <w:rFonts w:ascii="Cambria" w:hAnsi="Cambria"/>
          <w:color w:val="EE0000"/>
          <w:sz w:val="20"/>
          <w:szCs w:val="20"/>
        </w:rPr>
        <w:t xml:space="preserve"> </w:t>
      </w:r>
    </w:p>
    <w:p w14:paraId="1C9AD79F" w14:textId="77777777" w:rsidR="00D212AA" w:rsidRPr="002D165D" w:rsidRDefault="00D212AA" w:rsidP="00D212AA">
      <w:pPr>
        <w:widowControl w:val="0"/>
        <w:spacing w:after="0" w:line="240" w:lineRule="auto"/>
        <w:ind w:left="360" w:hanging="10"/>
        <w:jc w:val="both"/>
        <w:rPr>
          <w:rFonts w:ascii="Cambria" w:eastAsia="Cambria" w:hAnsi="Cambria" w:cs="Cambria"/>
          <w:color w:val="000000" w:themeColor="text1"/>
          <w:sz w:val="20"/>
          <w:szCs w:val="20"/>
        </w:rPr>
      </w:pPr>
    </w:p>
    <w:p w14:paraId="7B4EB438" w14:textId="77777777" w:rsidR="00D212AA" w:rsidRPr="002D165D" w:rsidRDefault="00D212AA" w:rsidP="00D212AA">
      <w:pPr>
        <w:widowControl w:val="0"/>
        <w:spacing w:after="0" w:line="240" w:lineRule="auto"/>
        <w:ind w:left="426"/>
        <w:rPr>
          <w:rFonts w:ascii="Cambria" w:eastAsia="Cambria" w:hAnsi="Cambria" w:cs="Cambria"/>
          <w:color w:val="000000" w:themeColor="text1"/>
          <w:sz w:val="20"/>
          <w:szCs w:val="20"/>
        </w:rPr>
      </w:pPr>
      <w:r w:rsidRPr="002D165D">
        <w:rPr>
          <w:rFonts w:ascii="Cambria" w:hAnsi="Cambria"/>
          <w:color w:val="000000" w:themeColor="text1"/>
          <w:sz w:val="20"/>
          <w:szCs w:val="20"/>
        </w:rPr>
        <w:t xml:space="preserve">Brève description du nouveau travail requis pour le Secrétariat : </w:t>
      </w:r>
    </w:p>
    <w:p w14:paraId="1564B0CC" w14:textId="77777777" w:rsidR="00D212AA" w:rsidRPr="002D165D" w:rsidRDefault="00D212AA" w:rsidP="00D212AA">
      <w:pPr>
        <w:widowControl w:val="0"/>
        <w:spacing w:after="0" w:line="240" w:lineRule="auto"/>
        <w:ind w:hanging="10"/>
        <w:rPr>
          <w:rFonts w:ascii="Cambria" w:eastAsia="Cambria" w:hAnsi="Cambria" w:cs="Cambria"/>
          <w:color w:val="000000" w:themeColor="text1"/>
          <w:sz w:val="20"/>
          <w:szCs w:val="20"/>
        </w:rPr>
      </w:pPr>
    </w:p>
    <w:p w14:paraId="52DF3DAD" w14:textId="77777777" w:rsidR="00D212AA" w:rsidRPr="002D165D"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000000" w:themeColor="text1"/>
          <w:sz w:val="20"/>
          <w:szCs w:val="20"/>
        </w:rPr>
      </w:pPr>
      <w:r w:rsidRPr="002D165D">
        <w:rPr>
          <w:rFonts w:ascii="Cambria" w:hAnsi="Cambria"/>
          <w:color w:val="000000" w:themeColor="text1"/>
          <w:sz w:val="20"/>
          <w:szCs w:val="20"/>
        </w:rPr>
        <w:t xml:space="preserve">Quel est le calendrier proposé pour la mise en œuvre, et existe-t-il des calendriers spécifiques différents pour certaines CPC, pêcheries, régions, etc. ? </w:t>
      </w:r>
    </w:p>
    <w:p w14:paraId="5D545DCC" w14:textId="77777777" w:rsidR="003B58BA" w:rsidRPr="002D165D" w:rsidRDefault="003B58BA" w:rsidP="003B58BA">
      <w:pPr>
        <w:widowControl w:val="0"/>
        <w:spacing w:after="0" w:line="240" w:lineRule="auto"/>
        <w:jc w:val="both"/>
        <w:rPr>
          <w:rFonts w:ascii="Cambria" w:eastAsia="Cambria" w:hAnsi="Cambria" w:cs="Cambria"/>
          <w:color w:val="000000" w:themeColor="text1"/>
          <w:sz w:val="20"/>
          <w:szCs w:val="20"/>
        </w:rPr>
      </w:pPr>
    </w:p>
    <w:p w14:paraId="594DFF32" w14:textId="5238D3C3" w:rsidR="00D212AA" w:rsidRPr="002D165D" w:rsidRDefault="003B58BA" w:rsidP="00D212AA">
      <w:pPr>
        <w:pStyle w:val="ListParagraph"/>
        <w:widowControl w:val="0"/>
        <w:spacing w:after="0" w:line="240" w:lineRule="auto"/>
        <w:ind w:left="426"/>
        <w:jc w:val="both"/>
        <w:rPr>
          <w:rFonts w:ascii="Cambria" w:eastAsia="Cambria" w:hAnsi="Cambria" w:cs="Cambria"/>
          <w:color w:val="FF0000"/>
          <w:sz w:val="20"/>
          <w:szCs w:val="20"/>
        </w:rPr>
      </w:pPr>
      <w:r w:rsidRPr="002D165D">
        <w:rPr>
          <w:rFonts w:ascii="Cambria" w:hAnsi="Cambria"/>
          <w:color w:val="FF0000"/>
          <w:sz w:val="20"/>
          <w:szCs w:val="20"/>
        </w:rPr>
        <w:t>S’il est adopté lors de la réunion annuelle de 2026, le projet de recommandation entrerait en vigueur conformément à l'article VIII de la Convention de l'ICCAT. Les CPC éligibles pourraient alors autoriser les senneurs battant leur pavillon à exercer leurs activités dans le cadre de la dérogation en 2027, à compter de la date d’entrée en vigueur, pour autant que toutes les conditions énoncées au paragraphe</w:t>
      </w:r>
      <w:r w:rsidR="003D0612">
        <w:rPr>
          <w:rFonts w:ascii="Cambria" w:hAnsi="Cambria"/>
          <w:color w:val="FF0000"/>
          <w:sz w:val="20"/>
          <w:szCs w:val="20"/>
        </w:rPr>
        <w:t> </w:t>
      </w:r>
      <w:r w:rsidRPr="002D165D">
        <w:rPr>
          <w:rFonts w:ascii="Cambria" w:hAnsi="Cambria"/>
          <w:color w:val="FF0000"/>
          <w:sz w:val="20"/>
          <w:szCs w:val="20"/>
        </w:rPr>
        <w:t>101 bis soient remplies.</w:t>
      </w:r>
    </w:p>
    <w:p w14:paraId="6D3A4D6D" w14:textId="77777777" w:rsidR="00D212AA" w:rsidRPr="002D165D" w:rsidRDefault="00D212AA" w:rsidP="00D212AA">
      <w:pPr>
        <w:widowControl w:val="0"/>
        <w:spacing w:after="0" w:line="240" w:lineRule="auto"/>
        <w:ind w:hanging="10"/>
        <w:rPr>
          <w:rFonts w:ascii="Cambria" w:eastAsia="Cambria" w:hAnsi="Cambria" w:cs="Cambria"/>
          <w:color w:val="000000" w:themeColor="text1"/>
          <w:sz w:val="20"/>
          <w:szCs w:val="20"/>
        </w:rPr>
      </w:pPr>
    </w:p>
    <w:p w14:paraId="70B94402" w14:textId="77777777" w:rsidR="00D212AA" w:rsidRPr="002D165D"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EE0000"/>
          <w:sz w:val="20"/>
          <w:szCs w:val="20"/>
        </w:rPr>
      </w:pPr>
      <w:r w:rsidRPr="002D165D">
        <w:rPr>
          <w:rFonts w:ascii="Cambria" w:hAnsi="Cambria"/>
          <w:color w:val="000000" w:themeColor="text1"/>
          <w:sz w:val="20"/>
          <w:szCs w:val="20"/>
        </w:rPr>
        <w:t xml:space="preserve">Existe-t-il d'autres informations pertinentes concernant les implications de la proposition en termes de ressources et de charge de travail ? </w:t>
      </w:r>
      <w:r w:rsidRPr="002D165D">
        <w:rPr>
          <w:rFonts w:ascii="Cambria" w:hAnsi="Cambria"/>
          <w:color w:val="EE0000"/>
          <w:sz w:val="20"/>
          <w:szCs w:val="20"/>
        </w:rPr>
        <w:t>Non</w:t>
      </w:r>
    </w:p>
    <w:p w14:paraId="4D348808" w14:textId="77777777" w:rsidR="009105B5" w:rsidRPr="002D165D" w:rsidRDefault="009105B5">
      <w:pPr>
        <w:spacing w:after="160" w:line="278" w:lineRule="auto"/>
        <w:rPr>
          <w:rFonts w:ascii="Cambria" w:eastAsiaTheme="majorEastAsia" w:hAnsi="Cambria" w:cstheme="majorBidi"/>
          <w:b/>
          <w:kern w:val="28"/>
          <w:sz w:val="20"/>
          <w:szCs w:val="20"/>
        </w:rPr>
      </w:pPr>
      <w:r w:rsidRPr="002D165D">
        <w:rPr>
          <w:rFonts w:ascii="Cambria" w:hAnsi="Cambria"/>
          <w:sz w:val="20"/>
          <w:szCs w:val="20"/>
        </w:rPr>
        <w:br w:type="page"/>
      </w:r>
    </w:p>
    <w:p w14:paraId="00FBFD83" w14:textId="77777777" w:rsidR="00ED076E" w:rsidRPr="002D165D" w:rsidRDefault="00ED076E" w:rsidP="00ED076E">
      <w:pPr>
        <w:pStyle w:val="Title"/>
        <w:spacing w:after="0"/>
        <w:jc w:val="center"/>
        <w:rPr>
          <w:rFonts w:ascii="Cambria" w:hAnsi="Cambria"/>
          <w:spacing w:val="0"/>
          <w:sz w:val="20"/>
          <w:szCs w:val="20"/>
        </w:rPr>
      </w:pPr>
    </w:p>
    <w:p w14:paraId="20F82FAE" w14:textId="77777777" w:rsidR="00185E08" w:rsidRPr="002D165D" w:rsidRDefault="001968A3" w:rsidP="00B47B21">
      <w:pPr>
        <w:pStyle w:val="Title"/>
        <w:spacing w:after="0"/>
        <w:jc w:val="center"/>
        <w:rPr>
          <w:rFonts w:ascii="Cambria" w:hAnsi="Cambria"/>
          <w:spacing w:val="0"/>
          <w:sz w:val="20"/>
          <w:szCs w:val="20"/>
        </w:rPr>
      </w:pPr>
      <w:r w:rsidRPr="002D165D">
        <w:rPr>
          <w:rFonts w:ascii="Cambria" w:hAnsi="Cambria"/>
          <w:sz w:val="20"/>
          <w:szCs w:val="20"/>
        </w:rPr>
        <w:t xml:space="preserve">Note explicative au projet de Recommandation de l’ICCAT amendant la Recommandation 25-04 établissant un plan pluriannuel de gestion du thon rouge dans l’Atlantique Est et la Méditerranée  </w:t>
      </w:r>
    </w:p>
    <w:p w14:paraId="1F32DBC0" w14:textId="23186325" w:rsidR="00F128AB" w:rsidRPr="002D165D" w:rsidRDefault="00452D57" w:rsidP="00B47B21">
      <w:pPr>
        <w:pStyle w:val="Title"/>
        <w:spacing w:after="0"/>
        <w:jc w:val="center"/>
        <w:rPr>
          <w:rFonts w:ascii="Cambria" w:hAnsi="Cambria"/>
          <w:spacing w:val="0"/>
          <w:sz w:val="20"/>
          <w:szCs w:val="20"/>
        </w:rPr>
      </w:pPr>
      <w:r w:rsidRPr="002D165D">
        <w:rPr>
          <w:rFonts w:ascii="Cambria" w:hAnsi="Cambria"/>
          <w:sz w:val="20"/>
          <w:szCs w:val="20"/>
        </w:rPr>
        <w:t xml:space="preserve"> </w:t>
      </w:r>
    </w:p>
    <w:p w14:paraId="7D252179" w14:textId="093AF51D" w:rsidR="00F128AB" w:rsidRPr="002D165D" w:rsidRDefault="00E53952" w:rsidP="00B47B21">
      <w:pPr>
        <w:spacing w:after="0" w:line="240" w:lineRule="auto"/>
        <w:jc w:val="center"/>
        <w:rPr>
          <w:rFonts w:ascii="Cambria" w:hAnsi="Cambria"/>
          <w:i/>
          <w:iCs/>
          <w:sz w:val="20"/>
          <w:szCs w:val="20"/>
        </w:rPr>
      </w:pPr>
      <w:r w:rsidRPr="002D165D">
        <w:rPr>
          <w:rFonts w:ascii="Cambria" w:hAnsi="Cambria"/>
          <w:i/>
          <w:sz w:val="20"/>
          <w:szCs w:val="20"/>
        </w:rPr>
        <w:t>(Document soumis par la Norvège)</w:t>
      </w:r>
    </w:p>
    <w:p w14:paraId="490EE400" w14:textId="77777777" w:rsidR="005F04B5" w:rsidRPr="002D165D" w:rsidRDefault="005F04B5" w:rsidP="00B47B21">
      <w:pPr>
        <w:spacing w:after="0" w:line="240" w:lineRule="auto"/>
        <w:jc w:val="center"/>
        <w:rPr>
          <w:rFonts w:ascii="Cambria" w:hAnsi="Cambria"/>
          <w:sz w:val="20"/>
          <w:szCs w:val="20"/>
        </w:rPr>
      </w:pPr>
    </w:p>
    <w:p w14:paraId="5EF239A4" w14:textId="6F354598" w:rsidR="00F128AB" w:rsidRPr="002D165D" w:rsidRDefault="00E53952" w:rsidP="00724708">
      <w:pPr>
        <w:spacing w:after="0" w:line="240" w:lineRule="auto"/>
        <w:jc w:val="both"/>
        <w:rPr>
          <w:rFonts w:ascii="Cambria" w:hAnsi="Cambria"/>
          <w:sz w:val="20"/>
          <w:szCs w:val="20"/>
        </w:rPr>
      </w:pPr>
      <w:r w:rsidRPr="002D165D">
        <w:rPr>
          <w:rFonts w:ascii="Cambria" w:hAnsi="Cambria"/>
          <w:sz w:val="20"/>
          <w:szCs w:val="20"/>
        </w:rPr>
        <w:t>La Norvège propose une dérogation strictement définie à l'exigence d'une couverture à 100% par des observateurs régionaux de l’ICCAT à bord des senneurs, sous réserve de la mise en place de mesures alternatives de surveillance et de contrôle. Cette proposition développe l'approche présentée dans le «</w:t>
      </w:r>
      <w:r w:rsidR="003422E7">
        <w:rPr>
          <w:rFonts w:ascii="Cambria" w:hAnsi="Cambria"/>
          <w:sz w:val="20"/>
          <w:szCs w:val="20"/>
        </w:rPr>
        <w:t> </w:t>
      </w:r>
      <w:r w:rsidRPr="002D165D">
        <w:rPr>
          <w:rFonts w:ascii="Cambria" w:hAnsi="Cambria"/>
          <w:sz w:val="20"/>
          <w:szCs w:val="20"/>
        </w:rPr>
        <w:t>Document de discussion : vers une approche alternative en matière d'observateurs dans la pêche à la senne norvégienne » [IMM_17/2026] lors de la 19e réunion du Groupe de travail chargé d’élaborer des mesures de contrôle intégré (IMM) (1er-5 juin 2026).</w:t>
      </w:r>
    </w:p>
    <w:p w14:paraId="714B7B38" w14:textId="77777777" w:rsidR="00724708" w:rsidRPr="002D165D" w:rsidRDefault="00724708" w:rsidP="00724708">
      <w:pPr>
        <w:spacing w:after="0" w:line="240" w:lineRule="auto"/>
        <w:jc w:val="both"/>
        <w:rPr>
          <w:rFonts w:ascii="Cambria" w:hAnsi="Cambria"/>
          <w:sz w:val="20"/>
          <w:szCs w:val="20"/>
        </w:rPr>
      </w:pPr>
    </w:p>
    <w:p w14:paraId="0D9A28F0" w14:textId="24CD66C5" w:rsidR="00F128AB" w:rsidRPr="002D165D" w:rsidRDefault="00E53952" w:rsidP="00724708">
      <w:pPr>
        <w:spacing w:after="0" w:line="240" w:lineRule="auto"/>
        <w:jc w:val="both"/>
        <w:rPr>
          <w:rFonts w:ascii="Cambria" w:hAnsi="Cambria"/>
          <w:sz w:val="20"/>
          <w:szCs w:val="20"/>
        </w:rPr>
      </w:pPr>
      <w:r w:rsidRPr="002D165D">
        <w:rPr>
          <w:rFonts w:ascii="Cambria" w:hAnsi="Cambria"/>
          <w:sz w:val="20"/>
          <w:szCs w:val="20"/>
        </w:rPr>
        <w:t>Comme indiqué dans le document de discussion [IMM_17/2026], la pêcherie norvégienne est pratiquée à l'aide de navires pélagiques polyvalents qui pêchent également des espèces telles que le hareng, le maquereau et le merlan bleu. La disponibilité du thon rouge est imprévisible, et les possibilités de pêche dépendent de courtes périodes où les conditions météorologiques sont favorables et où l'on repère des poissons. Les opérations en fin de saison peuvent également être limitées par la durée réduite de la lumière du jour. Le déploiement d'observateurs régionaux dans des délais très courts peut donc s'avérer difficile et coûteux par rapport à l'activité et aux prises concernées, y compris lors de sorties sans prises. Ces contraintes peuvent décourager la participation et limiter l'utilisation des quotas.</w:t>
      </w:r>
    </w:p>
    <w:p w14:paraId="30653D28" w14:textId="77777777" w:rsidR="00B47B21" w:rsidRPr="002D165D" w:rsidRDefault="00B47B21" w:rsidP="00724708">
      <w:pPr>
        <w:spacing w:after="0" w:line="240" w:lineRule="auto"/>
        <w:jc w:val="both"/>
        <w:rPr>
          <w:rFonts w:ascii="Cambria" w:hAnsi="Cambria"/>
          <w:sz w:val="20"/>
          <w:szCs w:val="20"/>
        </w:rPr>
      </w:pPr>
    </w:p>
    <w:p w14:paraId="6E21494A" w14:textId="77777777" w:rsidR="00F128AB" w:rsidRPr="002D165D" w:rsidRDefault="00E53952" w:rsidP="00724708">
      <w:pPr>
        <w:spacing w:after="0" w:line="240" w:lineRule="auto"/>
        <w:jc w:val="both"/>
        <w:rPr>
          <w:rFonts w:ascii="Cambria" w:hAnsi="Cambria"/>
          <w:sz w:val="20"/>
          <w:szCs w:val="20"/>
        </w:rPr>
      </w:pPr>
      <w:r w:rsidRPr="002D165D">
        <w:rPr>
          <w:rFonts w:ascii="Cambria" w:hAnsi="Cambria"/>
          <w:sz w:val="20"/>
          <w:szCs w:val="20"/>
        </w:rPr>
        <w:t>La dérogation proposée est limitée aux senneurs pêchant exclusivement dans les eaux relevant de la juridiction de leur CPC de pavillon dans l'Atlantique Nord-Est et débarquant le thon rouge retenu directement depuis le navire de pêche dans un port désigné de cette CPC. Elle exclut le transfert de spécimens vivants, le remorquage, la mise en cage, l'élevage, le transbordement et le stockage de spécimens vivants. Elle ne couvrirait donc pas les opérations menées dans le cadre du projet pilote distinct de la Norvège consacré au stockage de courte durée de spécimens vivants.</w:t>
      </w:r>
    </w:p>
    <w:p w14:paraId="7D7DEBB3" w14:textId="77777777" w:rsidR="00B47B21" w:rsidRPr="002D165D" w:rsidRDefault="00B47B21" w:rsidP="00724708">
      <w:pPr>
        <w:spacing w:after="0" w:line="240" w:lineRule="auto"/>
        <w:jc w:val="both"/>
        <w:rPr>
          <w:rFonts w:ascii="Cambria" w:hAnsi="Cambria"/>
          <w:sz w:val="20"/>
          <w:szCs w:val="20"/>
        </w:rPr>
      </w:pPr>
    </w:p>
    <w:p w14:paraId="0E058E60" w14:textId="2AFA652F" w:rsidR="00F128AB" w:rsidRPr="002D165D" w:rsidRDefault="00E53952" w:rsidP="00724708">
      <w:pPr>
        <w:spacing w:after="0" w:line="240" w:lineRule="auto"/>
        <w:jc w:val="both"/>
        <w:rPr>
          <w:rFonts w:ascii="Cambria" w:hAnsi="Cambria"/>
          <w:sz w:val="20"/>
          <w:szCs w:val="20"/>
        </w:rPr>
      </w:pPr>
      <w:r w:rsidRPr="002D165D">
        <w:rPr>
          <w:rFonts w:ascii="Cambria" w:hAnsi="Cambria"/>
          <w:sz w:val="20"/>
          <w:szCs w:val="20"/>
        </w:rPr>
        <w:t>L'éligibilité serait en outre limitée aux CPC dont le quota annuel total de thon rouge de l'Atlantique Est et de la Méditerranée est inférieur à 1.000 t</w:t>
      </w:r>
      <w:r w:rsidR="009D2DB4">
        <w:rPr>
          <w:rFonts w:ascii="Cambria" w:hAnsi="Cambria"/>
          <w:sz w:val="20"/>
          <w:szCs w:val="20"/>
        </w:rPr>
        <w:t>,</w:t>
      </w:r>
      <w:r w:rsidRPr="002D165D">
        <w:rPr>
          <w:rFonts w:ascii="Cambria" w:hAnsi="Cambria"/>
          <w:sz w:val="20"/>
          <w:szCs w:val="20"/>
        </w:rPr>
        <w:t xml:space="preserve"> qui relèvent de l'exception prévue au paragraphe 21 de la </w:t>
      </w:r>
      <w:hyperlink r:id="rId8" w:history="1">
        <w:r w:rsidRPr="002D165D">
          <w:rPr>
            <w:rStyle w:val="Hyperlink"/>
            <w:rFonts w:ascii="Cambria" w:hAnsi="Cambria"/>
            <w:sz w:val="20"/>
            <w:szCs w:val="20"/>
            <w:u w:val="none"/>
          </w:rPr>
          <w:t>Rec. 25-04</w:t>
        </w:r>
      </w:hyperlink>
      <w:r w:rsidRPr="002D165D">
        <w:rPr>
          <w:rFonts w:ascii="Cambria" w:hAnsi="Cambria"/>
          <w:sz w:val="20"/>
          <w:szCs w:val="20"/>
        </w:rPr>
        <w:t xml:space="preserve"> et qui ont démontré au SCRS que les taux de capture à la senne dans les eaux concernées sont inférieurs à ceux utilisés dans les calculs de capacité de pêche de 2009. Ces conditions limitent la dérogation aux pêcheries présentant des caractéristiques géographiques et opérationnelles spécifiques.</w:t>
      </w:r>
    </w:p>
    <w:p w14:paraId="31E339B8" w14:textId="77777777" w:rsidR="00B47B21" w:rsidRPr="002D165D" w:rsidRDefault="00B47B21" w:rsidP="00724708">
      <w:pPr>
        <w:spacing w:after="0" w:line="240" w:lineRule="auto"/>
        <w:jc w:val="both"/>
        <w:rPr>
          <w:rFonts w:ascii="Cambria" w:hAnsi="Cambria"/>
          <w:sz w:val="20"/>
          <w:szCs w:val="20"/>
        </w:rPr>
      </w:pPr>
    </w:p>
    <w:p w14:paraId="0633C156" w14:textId="166DC55F" w:rsidR="00F128AB" w:rsidRPr="002D165D" w:rsidRDefault="00E53952" w:rsidP="00724708">
      <w:pPr>
        <w:spacing w:after="0" w:line="240" w:lineRule="auto"/>
        <w:jc w:val="both"/>
        <w:rPr>
          <w:rFonts w:ascii="Cambria" w:hAnsi="Cambria"/>
          <w:sz w:val="20"/>
          <w:szCs w:val="20"/>
        </w:rPr>
      </w:pPr>
      <w:r w:rsidRPr="002D165D">
        <w:rPr>
          <w:rFonts w:ascii="Cambria" w:hAnsi="Cambria"/>
          <w:sz w:val="20"/>
          <w:szCs w:val="20"/>
        </w:rPr>
        <w:t>Ces mesures alternatives associent les notifications électroniques de départ et les rapports journaliers de capture concernant toutes les opérations de pêche, y compris celles n'ayant donné lieu à aucune capture ; le système de surveillance des navires (VMS</w:t>
      </w:r>
      <w:r w:rsidR="002D165D" w:rsidRPr="002D165D">
        <w:rPr>
          <w:rFonts w:ascii="Cambria" w:hAnsi="Cambria"/>
          <w:sz w:val="20"/>
          <w:szCs w:val="20"/>
        </w:rPr>
        <w:t>),</w:t>
      </w:r>
      <w:r w:rsidRPr="002D165D">
        <w:rPr>
          <w:rFonts w:ascii="Cambria" w:hAnsi="Cambria"/>
          <w:sz w:val="20"/>
          <w:szCs w:val="20"/>
        </w:rPr>
        <w:t xml:space="preserve"> qui transmet des données à des intervalles ne dépassant pas dix minutes pendant la période d'autorisation ; et la transmission électronique des déclarations de débarquement certifiées dès la fin du débarquement. Elles exigent également des inspections complètes des débarquements, fondées sur une analyse des risques, la couverture d'observateurs nationaux pendant au moins 20% des jours de pêche au cours de chaque campagne, un recoupement systématique des registres concernés et un suivi continu par le centre de surveillance des pêcheries de la CPC du pavillon.</w:t>
      </w:r>
    </w:p>
    <w:p w14:paraId="6D665C37" w14:textId="77777777" w:rsidR="00B47B21" w:rsidRPr="002D165D" w:rsidRDefault="00B47B21" w:rsidP="00724708">
      <w:pPr>
        <w:spacing w:after="0" w:line="240" w:lineRule="auto"/>
        <w:jc w:val="both"/>
        <w:rPr>
          <w:rFonts w:ascii="Cambria" w:hAnsi="Cambria"/>
          <w:sz w:val="20"/>
          <w:szCs w:val="20"/>
        </w:rPr>
      </w:pPr>
    </w:p>
    <w:p w14:paraId="0A8CA629" w14:textId="57CC40FB" w:rsidR="00F128AB" w:rsidRPr="002D165D" w:rsidRDefault="00E53952" w:rsidP="00724708">
      <w:pPr>
        <w:spacing w:after="0" w:line="240" w:lineRule="auto"/>
        <w:jc w:val="both"/>
        <w:rPr>
          <w:rFonts w:ascii="Cambria" w:hAnsi="Cambria"/>
          <w:sz w:val="20"/>
          <w:szCs w:val="20"/>
        </w:rPr>
      </w:pPr>
      <w:r w:rsidRPr="002D165D">
        <w:rPr>
          <w:rFonts w:ascii="Cambria" w:hAnsi="Cambria"/>
          <w:sz w:val="20"/>
          <w:szCs w:val="20"/>
        </w:rPr>
        <w:t xml:space="preserve">L'objectif de la Norvège est de maintenir un suivi, une vérification des captures et </w:t>
      </w:r>
      <w:proofErr w:type="gramStart"/>
      <w:r w:rsidRPr="002D165D">
        <w:rPr>
          <w:rFonts w:ascii="Cambria" w:hAnsi="Cambria"/>
          <w:sz w:val="20"/>
          <w:szCs w:val="20"/>
        </w:rPr>
        <w:t>une traçabilité efficaces</w:t>
      </w:r>
      <w:proofErr w:type="gramEnd"/>
      <w:r w:rsidRPr="002D165D">
        <w:rPr>
          <w:rFonts w:ascii="Cambria" w:hAnsi="Cambria"/>
          <w:sz w:val="20"/>
          <w:szCs w:val="20"/>
        </w:rPr>
        <w:t xml:space="preserve">, tout en veillant à ce que les exigences en matière d'observateurs soient proportionnées à la pêcherie. La proposition introduit le paragraphe 101 bis ainsi qu'une exception correspondante au paragraphe 103. Les autres dispositions de la </w:t>
      </w:r>
      <w:hyperlink r:id="rId9" w:history="1">
        <w:r w:rsidRPr="002D165D">
          <w:rPr>
            <w:rStyle w:val="Hyperlink"/>
            <w:rFonts w:ascii="Cambria" w:hAnsi="Cambria"/>
            <w:sz w:val="20"/>
            <w:szCs w:val="20"/>
            <w:u w:val="none"/>
          </w:rPr>
          <w:t>Rec. 25-04</w:t>
        </w:r>
      </w:hyperlink>
      <w:r w:rsidRPr="002D165D">
        <w:rPr>
          <w:rFonts w:ascii="Cambria" w:hAnsi="Cambria"/>
          <w:sz w:val="20"/>
          <w:szCs w:val="20"/>
        </w:rPr>
        <w:t xml:space="preserve"> ainsi que les exigences applicables en matière de documentation des captures continuent de s'appliquer.</w:t>
      </w:r>
    </w:p>
    <w:p w14:paraId="098452F0" w14:textId="22826F17" w:rsidR="006F51D7" w:rsidRPr="002D165D" w:rsidRDefault="006F51D7" w:rsidP="002D165D">
      <w:pPr>
        <w:pStyle w:val="Heading1"/>
        <w:pageBreakBefore/>
        <w:spacing w:after="0" w:line="240" w:lineRule="auto"/>
        <w:jc w:val="center"/>
        <w:rPr>
          <w:rFonts w:ascii="Cambria" w:hAnsi="Cambria"/>
          <w:sz w:val="20"/>
          <w:szCs w:val="20"/>
        </w:rPr>
      </w:pPr>
      <w:r w:rsidRPr="002D165D">
        <w:rPr>
          <w:rFonts w:ascii="Cambria" w:hAnsi="Cambria"/>
          <w:sz w:val="20"/>
          <w:szCs w:val="20"/>
        </w:rPr>
        <w:lastRenderedPageBreak/>
        <w:t>Projet de Recommandation de l’ICCAT amendant la Recommandation 25-04 établissant un plan pluriannuel de gestion du thon rouge dans l’Atlantique Est et la Méditerranée</w:t>
      </w:r>
    </w:p>
    <w:p w14:paraId="59385E98" w14:textId="77777777" w:rsidR="0037674E" w:rsidRPr="002D165D" w:rsidRDefault="0037674E" w:rsidP="002D165D">
      <w:pPr>
        <w:widowControl w:val="0"/>
        <w:autoSpaceDE w:val="0"/>
        <w:autoSpaceDN w:val="0"/>
        <w:spacing w:after="0" w:line="240" w:lineRule="auto"/>
        <w:jc w:val="center"/>
        <w:rPr>
          <w:rFonts w:ascii="Cambria" w:eastAsia="Cambria" w:hAnsi="Cambria" w:cs="Cambria"/>
          <w:i/>
          <w:iCs/>
          <w:color w:val="auto"/>
          <w:kern w:val="0"/>
          <w:sz w:val="20"/>
          <w:szCs w:val="20"/>
          <w14:ligatures w14:val="none"/>
        </w:rPr>
      </w:pPr>
    </w:p>
    <w:p w14:paraId="338BF2B1" w14:textId="3F4E89EC" w:rsidR="0037674E" w:rsidRPr="002D165D" w:rsidRDefault="0037674E" w:rsidP="002D165D">
      <w:pPr>
        <w:widowControl w:val="0"/>
        <w:autoSpaceDE w:val="0"/>
        <w:autoSpaceDN w:val="0"/>
        <w:spacing w:after="0" w:line="240" w:lineRule="auto"/>
        <w:jc w:val="center"/>
        <w:rPr>
          <w:rFonts w:ascii="Cambria" w:eastAsia="Cambria" w:hAnsi="Cambria" w:cs="Cambria"/>
          <w:i/>
          <w:iCs/>
          <w:color w:val="auto"/>
          <w:kern w:val="0"/>
          <w:sz w:val="20"/>
          <w:szCs w:val="20"/>
          <w14:ligatures w14:val="none"/>
        </w:rPr>
      </w:pPr>
      <w:r w:rsidRPr="002D165D">
        <w:rPr>
          <w:rFonts w:ascii="Cambria" w:hAnsi="Cambria"/>
          <w:i/>
          <w:color w:val="auto"/>
          <w:sz w:val="20"/>
          <w:szCs w:val="20"/>
        </w:rPr>
        <w:t>(Document soumis par la Norvège)</w:t>
      </w:r>
    </w:p>
    <w:p w14:paraId="591B3C1D" w14:textId="77777777" w:rsidR="00EA4BA5" w:rsidRPr="002D165D" w:rsidRDefault="00EA4BA5" w:rsidP="002D165D">
      <w:pPr>
        <w:keepNext/>
        <w:spacing w:after="0" w:line="240" w:lineRule="auto"/>
        <w:rPr>
          <w:rFonts w:ascii="Cambria" w:hAnsi="Cambria"/>
          <w:sz w:val="20"/>
          <w:szCs w:val="20"/>
        </w:rPr>
      </w:pPr>
    </w:p>
    <w:p w14:paraId="560F5C8B" w14:textId="265E1CE2" w:rsidR="00EA4BA5" w:rsidRPr="002D165D" w:rsidRDefault="00EA4BA5" w:rsidP="002D165D">
      <w:pPr>
        <w:keepNext/>
        <w:spacing w:after="0" w:line="240" w:lineRule="auto"/>
        <w:rPr>
          <w:rFonts w:ascii="Cambria" w:hAnsi="Cambria"/>
          <w:sz w:val="20"/>
          <w:szCs w:val="20"/>
        </w:rPr>
      </w:pPr>
      <w:r w:rsidRPr="002D165D">
        <w:rPr>
          <w:rFonts w:ascii="Cambria" w:hAnsi="Cambria"/>
          <w:sz w:val="20"/>
          <w:szCs w:val="20"/>
        </w:rPr>
        <w:t>Les amendements proposés à la Rec. 25-04 sont les suivants :</w:t>
      </w:r>
    </w:p>
    <w:p w14:paraId="090D99B6" w14:textId="77777777" w:rsidR="0037674E" w:rsidRPr="002D165D" w:rsidRDefault="0037674E" w:rsidP="002D165D">
      <w:pPr>
        <w:keepNext/>
        <w:spacing w:after="0" w:line="240" w:lineRule="auto"/>
        <w:rPr>
          <w:rFonts w:ascii="Cambria" w:hAnsi="Cambria"/>
          <w:b/>
          <w:sz w:val="20"/>
          <w:szCs w:val="20"/>
        </w:rPr>
      </w:pPr>
    </w:p>
    <w:p w14:paraId="357BA222" w14:textId="69CE89CC" w:rsidR="00F128AB" w:rsidRPr="002D165D" w:rsidRDefault="00E53952" w:rsidP="002D165D">
      <w:pPr>
        <w:keepNext/>
        <w:tabs>
          <w:tab w:val="left" w:pos="426"/>
        </w:tabs>
        <w:spacing w:after="0" w:line="240" w:lineRule="auto"/>
        <w:jc w:val="both"/>
        <w:rPr>
          <w:rFonts w:ascii="Cambria" w:hAnsi="Cambria"/>
          <w:b/>
          <w:sz w:val="20"/>
          <w:szCs w:val="20"/>
        </w:rPr>
      </w:pPr>
      <w:r w:rsidRPr="002D165D">
        <w:rPr>
          <w:rFonts w:ascii="Cambria" w:hAnsi="Cambria"/>
          <w:b/>
          <w:sz w:val="20"/>
          <w:szCs w:val="20"/>
        </w:rPr>
        <w:t xml:space="preserve">1. </w:t>
      </w:r>
      <w:r w:rsidRPr="002D165D">
        <w:rPr>
          <w:rFonts w:ascii="Cambria" w:hAnsi="Cambria"/>
          <w:b/>
          <w:sz w:val="20"/>
          <w:szCs w:val="20"/>
        </w:rPr>
        <w:tab/>
        <w:t>Le paragraphe 101 bis suivant est inséré après le paragraphe 101 :</w:t>
      </w:r>
    </w:p>
    <w:p w14:paraId="32164137" w14:textId="77777777" w:rsidR="0037674E" w:rsidRPr="002D165D" w:rsidRDefault="0037674E" w:rsidP="002D165D">
      <w:pPr>
        <w:keepNext/>
        <w:tabs>
          <w:tab w:val="left" w:pos="426"/>
        </w:tabs>
        <w:spacing w:after="0" w:line="240" w:lineRule="auto"/>
        <w:jc w:val="both"/>
        <w:rPr>
          <w:rFonts w:ascii="Cambria" w:hAnsi="Cambria"/>
          <w:sz w:val="20"/>
          <w:szCs w:val="20"/>
        </w:rPr>
      </w:pPr>
    </w:p>
    <w:p w14:paraId="051FC23B" w14:textId="07155EB5" w:rsidR="00711FD7" w:rsidRPr="002D165D" w:rsidRDefault="00711FD7" w:rsidP="002D165D">
      <w:pPr>
        <w:keepLines/>
        <w:spacing w:after="0" w:line="240" w:lineRule="auto"/>
        <w:jc w:val="both"/>
        <w:rPr>
          <w:rFonts w:ascii="Cambria" w:hAnsi="Cambria"/>
          <w:sz w:val="20"/>
          <w:szCs w:val="20"/>
          <w:u w:val="single"/>
        </w:rPr>
      </w:pPr>
      <w:r w:rsidRPr="002D165D">
        <w:rPr>
          <w:rFonts w:ascii="Cambria" w:hAnsi="Cambria"/>
          <w:sz w:val="20"/>
          <w:szCs w:val="20"/>
          <w:u w:val="single"/>
        </w:rPr>
        <w:t>101 bis. Par dérogation au premier tiret du paragraphe 101 et au paragraphe 103, une CPC peut autoriser les senneurs battant son pavillon à pêcher le thon rouge sans observateur régional de l’ICCAT à bord, à condition que la pêcherie soit limitée aux senneurs opérant exclusivement dans les eaux relevant de la juridiction de la CPC du pavillon dans l’Atlantique Nord-Est, que toutes les captures de thon rouge retenues soient débarquées directement dans un port désigné de la CPC du pavillon, et qu’il n’y ait ni transfert de spécimens vivants, ni remorquage, ni mise en cage, ni élevage, ni transbordement, ni stockage de spécimens vivants de thon rouge.</w:t>
      </w:r>
    </w:p>
    <w:p w14:paraId="1FF39027" w14:textId="77777777" w:rsidR="0037674E" w:rsidRPr="002D165D" w:rsidRDefault="0037674E" w:rsidP="002D165D">
      <w:pPr>
        <w:keepLines/>
        <w:spacing w:after="0" w:line="240" w:lineRule="auto"/>
        <w:jc w:val="both"/>
        <w:rPr>
          <w:rFonts w:ascii="Cambria" w:hAnsi="Cambria"/>
          <w:sz w:val="20"/>
          <w:szCs w:val="20"/>
          <w:u w:val="single"/>
        </w:rPr>
      </w:pPr>
    </w:p>
    <w:p w14:paraId="15247665" w14:textId="6B26324A" w:rsidR="00AE567A" w:rsidRPr="002D165D" w:rsidRDefault="00AE567A" w:rsidP="002D165D">
      <w:pPr>
        <w:keepLines/>
        <w:spacing w:after="0" w:line="240" w:lineRule="auto"/>
        <w:jc w:val="both"/>
        <w:rPr>
          <w:rFonts w:ascii="Cambria" w:hAnsi="Cambria"/>
          <w:sz w:val="20"/>
          <w:szCs w:val="20"/>
          <w:u w:val="single"/>
        </w:rPr>
      </w:pPr>
      <w:r w:rsidRPr="002D165D">
        <w:rPr>
          <w:rFonts w:ascii="Cambria" w:hAnsi="Cambria"/>
          <w:sz w:val="20"/>
          <w:szCs w:val="20"/>
          <w:u w:val="single"/>
        </w:rPr>
        <w:t>Cette dérogation ne devra s'appliquer qu'aux CPC dont le quota annuel total de thon rouge de l'Atlantique Est et de la Méditerranée est inférieur à 1.000 t. Ces CPC devront relever de l'exception prévue au paragraphe 21 de la présente recommandation et devront avoir démontré au SCRS que les taux de capture à la senne dans les eaux concernées sont inférieurs aux taux correspondants utilisés dans les calculs de capacité de pêche de 2009.</w:t>
      </w:r>
    </w:p>
    <w:p w14:paraId="097A75D5" w14:textId="77777777" w:rsidR="0037674E" w:rsidRPr="002D165D" w:rsidRDefault="0037674E" w:rsidP="002D165D">
      <w:pPr>
        <w:keepLines/>
        <w:spacing w:after="0" w:line="240" w:lineRule="auto"/>
        <w:jc w:val="both"/>
        <w:rPr>
          <w:rFonts w:ascii="Cambria" w:hAnsi="Cambria"/>
          <w:sz w:val="20"/>
          <w:szCs w:val="20"/>
          <w:u w:val="single"/>
        </w:rPr>
      </w:pPr>
    </w:p>
    <w:p w14:paraId="2E6AFF37" w14:textId="77777777" w:rsidR="00711FD7" w:rsidRPr="002D165D" w:rsidRDefault="00711FD7" w:rsidP="002D165D">
      <w:pPr>
        <w:keepNext/>
        <w:keepLines/>
        <w:spacing w:after="0" w:line="240" w:lineRule="auto"/>
        <w:jc w:val="both"/>
        <w:rPr>
          <w:rFonts w:ascii="Cambria" w:hAnsi="Cambria"/>
          <w:b/>
          <w:sz w:val="20"/>
          <w:szCs w:val="20"/>
          <w:u w:val="single"/>
        </w:rPr>
      </w:pPr>
      <w:r w:rsidRPr="002D165D">
        <w:rPr>
          <w:rFonts w:ascii="Cambria" w:hAnsi="Cambria"/>
          <w:b/>
          <w:sz w:val="20"/>
          <w:szCs w:val="20"/>
          <w:u w:val="single"/>
        </w:rPr>
        <w:t>Les navires opérant dans le cadre de cette dérogation devront respecter les conditions suivantes :</w:t>
      </w:r>
    </w:p>
    <w:p w14:paraId="3E720553" w14:textId="77777777" w:rsidR="0037674E" w:rsidRPr="002D165D" w:rsidRDefault="0037674E" w:rsidP="002D165D">
      <w:pPr>
        <w:keepNext/>
        <w:keepLines/>
        <w:spacing w:after="0" w:line="240" w:lineRule="auto"/>
        <w:jc w:val="both"/>
        <w:rPr>
          <w:rFonts w:ascii="Cambria" w:hAnsi="Cambria"/>
          <w:sz w:val="20"/>
          <w:szCs w:val="20"/>
          <w:u w:val="single"/>
        </w:rPr>
      </w:pPr>
    </w:p>
    <w:p w14:paraId="59CDBA25" w14:textId="7D3C5112" w:rsidR="00711FD7" w:rsidRPr="002D165D" w:rsidRDefault="00711FD7" w:rsidP="002D165D">
      <w:pPr>
        <w:pStyle w:val="ListParagraph"/>
        <w:keepLines/>
        <w:numPr>
          <w:ilvl w:val="0"/>
          <w:numId w:val="7"/>
        </w:numPr>
        <w:spacing w:after="0" w:line="240" w:lineRule="auto"/>
        <w:jc w:val="both"/>
        <w:rPr>
          <w:rFonts w:ascii="Cambria" w:hAnsi="Cambria"/>
          <w:sz w:val="20"/>
          <w:szCs w:val="20"/>
          <w:u w:val="single"/>
        </w:rPr>
      </w:pPr>
      <w:r w:rsidRPr="002D165D">
        <w:rPr>
          <w:rFonts w:ascii="Cambria" w:hAnsi="Cambria"/>
          <w:sz w:val="20"/>
          <w:szCs w:val="20"/>
          <w:u w:val="single"/>
        </w:rPr>
        <w:t>Le navire devra pêcher le thon rouge exclusivement dans les eaux relevant de la juridiction de sa CPC de pavillon ;</w:t>
      </w:r>
    </w:p>
    <w:p w14:paraId="2FB49058" w14:textId="77777777" w:rsidR="0037674E" w:rsidRPr="002D165D" w:rsidRDefault="0037674E" w:rsidP="002D165D">
      <w:pPr>
        <w:pStyle w:val="ListParagraph"/>
        <w:keepLines/>
        <w:spacing w:after="0" w:line="240" w:lineRule="auto"/>
        <w:jc w:val="both"/>
        <w:rPr>
          <w:rFonts w:ascii="Cambria" w:hAnsi="Cambria"/>
          <w:sz w:val="20"/>
          <w:szCs w:val="20"/>
          <w:u w:val="single"/>
        </w:rPr>
      </w:pPr>
    </w:p>
    <w:p w14:paraId="6F7964DF" w14:textId="14EE61C3" w:rsidR="00843750" w:rsidRPr="002D165D" w:rsidRDefault="00843750" w:rsidP="002D165D">
      <w:pPr>
        <w:pStyle w:val="ListParagraph"/>
        <w:keepLines/>
        <w:numPr>
          <w:ilvl w:val="0"/>
          <w:numId w:val="7"/>
        </w:numPr>
        <w:spacing w:after="0" w:line="240" w:lineRule="auto"/>
        <w:jc w:val="both"/>
        <w:rPr>
          <w:rFonts w:ascii="Cambria" w:hAnsi="Cambria"/>
          <w:sz w:val="20"/>
          <w:szCs w:val="20"/>
          <w:u w:val="single"/>
        </w:rPr>
      </w:pPr>
      <w:r w:rsidRPr="002D165D">
        <w:rPr>
          <w:rFonts w:ascii="Cambria" w:hAnsi="Cambria"/>
          <w:sz w:val="20"/>
          <w:szCs w:val="20"/>
          <w:u w:val="single"/>
        </w:rPr>
        <w:t>Tout thon rouge retenu au cours d'une opération de pêche devra être embarqué à bord du navire de capture et débarqué directement à partir de ce navire dans un port désigné de la CPC dont il bat pavillon. Le débarquement dans le port d'une autre CPC, le transfert de spécimens vivants, le remorquage, la mise en cage, l'élevage, le transbordement et le stockage de spécimens vivants ne devront pas être autorisés ;</w:t>
      </w:r>
    </w:p>
    <w:p w14:paraId="2ABC4D4E" w14:textId="77777777" w:rsidR="0037674E" w:rsidRPr="002D165D" w:rsidRDefault="0037674E" w:rsidP="002D165D">
      <w:pPr>
        <w:pStyle w:val="ListParagraph"/>
        <w:keepLines/>
        <w:spacing w:after="0" w:line="240" w:lineRule="auto"/>
        <w:jc w:val="both"/>
        <w:rPr>
          <w:rFonts w:ascii="Cambria" w:hAnsi="Cambria"/>
          <w:sz w:val="20"/>
          <w:szCs w:val="20"/>
          <w:u w:val="single"/>
        </w:rPr>
      </w:pPr>
    </w:p>
    <w:p w14:paraId="35D2CD03" w14:textId="236B1B9E" w:rsidR="00E450CB" w:rsidRPr="002D165D" w:rsidRDefault="00711FD7" w:rsidP="002D165D">
      <w:pPr>
        <w:pStyle w:val="ListParagraph"/>
        <w:keepLines/>
        <w:numPr>
          <w:ilvl w:val="0"/>
          <w:numId w:val="7"/>
        </w:numPr>
        <w:spacing w:after="0" w:line="240" w:lineRule="auto"/>
        <w:jc w:val="both"/>
        <w:rPr>
          <w:rFonts w:ascii="Cambria" w:hAnsi="Cambria"/>
          <w:sz w:val="20"/>
          <w:szCs w:val="20"/>
          <w:u w:val="single"/>
        </w:rPr>
      </w:pPr>
      <w:r w:rsidRPr="002D165D">
        <w:rPr>
          <w:rFonts w:ascii="Cambria" w:hAnsi="Cambria"/>
          <w:sz w:val="20"/>
          <w:szCs w:val="20"/>
          <w:u w:val="single"/>
        </w:rPr>
        <w:t>Le navire devra utiliser un système de déclaration électronique, comprenant notamment une notification de départ avant que le navire ne quitte le port pour aller pêcher le thon rouge. Les rapports journaliers de capture devront contenir des informations sur chaque opération de pêche, y compris celles n'ayant donné lieu à aucune capture, et devront être transmis au plus tard à 23 h 59 UTC le jour concerné ;</w:t>
      </w:r>
    </w:p>
    <w:p w14:paraId="7DD9B113" w14:textId="77777777" w:rsidR="0037674E" w:rsidRPr="002D165D" w:rsidRDefault="0037674E" w:rsidP="002D165D">
      <w:pPr>
        <w:pStyle w:val="ListParagraph"/>
        <w:keepLines/>
        <w:spacing w:after="0" w:line="240" w:lineRule="auto"/>
        <w:jc w:val="both"/>
        <w:rPr>
          <w:rFonts w:ascii="Cambria" w:hAnsi="Cambria"/>
          <w:sz w:val="20"/>
          <w:szCs w:val="20"/>
          <w:u w:val="single"/>
        </w:rPr>
      </w:pPr>
    </w:p>
    <w:p w14:paraId="068D1FE1" w14:textId="1FBD1ED8" w:rsidR="00711FD7" w:rsidRPr="002D165D" w:rsidRDefault="00711FD7" w:rsidP="002D165D">
      <w:pPr>
        <w:pStyle w:val="ListParagraph"/>
        <w:keepLines/>
        <w:numPr>
          <w:ilvl w:val="0"/>
          <w:numId w:val="7"/>
        </w:numPr>
        <w:spacing w:after="0" w:line="240" w:lineRule="auto"/>
        <w:jc w:val="both"/>
        <w:rPr>
          <w:rFonts w:ascii="Cambria" w:hAnsi="Cambria"/>
          <w:sz w:val="20"/>
          <w:szCs w:val="20"/>
          <w:u w:val="single"/>
        </w:rPr>
      </w:pPr>
      <w:r w:rsidRPr="002D165D">
        <w:rPr>
          <w:rFonts w:ascii="Cambria" w:hAnsi="Cambria"/>
          <w:sz w:val="20"/>
          <w:szCs w:val="20"/>
          <w:u w:val="single"/>
        </w:rPr>
        <w:t>Le navire devra transmettre ses positions VMS au centre de surveillance des pêcheries de la CPC du pavillon à des intervalles ne dépassant pas dix minutes pendant la période au cours de laquelle il est autorisé à pêcher le thon rouge ; et</w:t>
      </w:r>
    </w:p>
    <w:p w14:paraId="7FCABCE2" w14:textId="77777777" w:rsidR="0037674E" w:rsidRPr="002D165D" w:rsidRDefault="0037674E" w:rsidP="002D165D">
      <w:pPr>
        <w:pStyle w:val="ListParagraph"/>
        <w:keepLines/>
        <w:spacing w:after="0" w:line="240" w:lineRule="auto"/>
        <w:jc w:val="both"/>
        <w:rPr>
          <w:rFonts w:ascii="Cambria" w:hAnsi="Cambria"/>
          <w:sz w:val="20"/>
          <w:szCs w:val="20"/>
          <w:u w:val="single"/>
        </w:rPr>
      </w:pPr>
    </w:p>
    <w:p w14:paraId="1EB13C18" w14:textId="77777777" w:rsidR="00F173BC" w:rsidRPr="002D165D" w:rsidRDefault="00E450CB" w:rsidP="002D165D">
      <w:pPr>
        <w:pStyle w:val="ListParagraph"/>
        <w:widowControl w:val="0"/>
        <w:numPr>
          <w:ilvl w:val="0"/>
          <w:numId w:val="7"/>
        </w:numPr>
        <w:spacing w:after="0" w:line="240" w:lineRule="auto"/>
        <w:ind w:left="714" w:hanging="357"/>
        <w:jc w:val="both"/>
        <w:rPr>
          <w:rFonts w:ascii="Cambria" w:hAnsi="Cambria"/>
          <w:sz w:val="20"/>
          <w:szCs w:val="20"/>
          <w:u w:val="single"/>
        </w:rPr>
      </w:pPr>
      <w:r w:rsidRPr="002D165D">
        <w:rPr>
          <w:rFonts w:ascii="Cambria" w:hAnsi="Cambria"/>
          <w:sz w:val="20"/>
          <w:szCs w:val="20"/>
          <w:u w:val="single"/>
        </w:rPr>
        <w:t>Dès que le débarquement est terminé, la déclaration de débarquement devra être signée ou bien certifiée par voie électronique par le pêcheur ou le capitaine du navire de capture, ainsi que par l’acheteur, puis transmise par voie électronique aux autorités compétentes de la CPC du pavillon.</w:t>
      </w:r>
    </w:p>
    <w:p w14:paraId="105B2516" w14:textId="77777777" w:rsidR="00F173BC" w:rsidRPr="002D165D" w:rsidRDefault="00F173BC" w:rsidP="002D165D">
      <w:pPr>
        <w:pStyle w:val="ListParagraph"/>
        <w:spacing w:after="0" w:line="240" w:lineRule="auto"/>
        <w:rPr>
          <w:rFonts w:ascii="Cambria" w:hAnsi="Cambria"/>
          <w:b/>
          <w:sz w:val="20"/>
          <w:szCs w:val="20"/>
          <w:u w:val="single"/>
        </w:rPr>
      </w:pPr>
    </w:p>
    <w:p w14:paraId="5BCE196E" w14:textId="186CBD92" w:rsidR="00667EAF" w:rsidRPr="002D165D" w:rsidRDefault="00667EAF" w:rsidP="002D165D">
      <w:pPr>
        <w:widowControl w:val="0"/>
        <w:spacing w:after="0" w:line="240" w:lineRule="auto"/>
        <w:jc w:val="both"/>
        <w:rPr>
          <w:rFonts w:ascii="Cambria" w:hAnsi="Cambria"/>
          <w:b/>
          <w:sz w:val="20"/>
          <w:szCs w:val="20"/>
          <w:u w:val="single"/>
        </w:rPr>
      </w:pPr>
      <w:r w:rsidRPr="002D165D">
        <w:rPr>
          <w:rFonts w:ascii="Cambria" w:hAnsi="Cambria"/>
          <w:b/>
          <w:sz w:val="20"/>
          <w:szCs w:val="20"/>
          <w:u w:val="single"/>
        </w:rPr>
        <w:t>La CPC du pavillon devra appliquer les mesures de contrôle suivantes :</w:t>
      </w:r>
    </w:p>
    <w:p w14:paraId="7525B759" w14:textId="77777777" w:rsidR="00F173BC" w:rsidRPr="002D165D" w:rsidRDefault="00F173BC" w:rsidP="002D165D">
      <w:pPr>
        <w:widowControl w:val="0"/>
        <w:spacing w:after="0" w:line="240" w:lineRule="auto"/>
        <w:jc w:val="both"/>
        <w:rPr>
          <w:rFonts w:ascii="Cambria" w:hAnsi="Cambria"/>
          <w:sz w:val="20"/>
          <w:szCs w:val="20"/>
          <w:u w:val="single"/>
        </w:rPr>
      </w:pPr>
    </w:p>
    <w:p w14:paraId="37C5BD75" w14:textId="6ACC61EA" w:rsidR="00667EAF" w:rsidRPr="002D165D" w:rsidRDefault="00E450CB" w:rsidP="002D165D">
      <w:pPr>
        <w:pStyle w:val="ListParagraph"/>
        <w:widowControl w:val="0"/>
        <w:numPr>
          <w:ilvl w:val="0"/>
          <w:numId w:val="7"/>
        </w:numPr>
        <w:spacing w:after="0" w:line="240" w:lineRule="auto"/>
        <w:ind w:left="714" w:hanging="357"/>
        <w:jc w:val="both"/>
        <w:rPr>
          <w:rFonts w:ascii="Cambria" w:hAnsi="Cambria"/>
          <w:sz w:val="20"/>
          <w:szCs w:val="20"/>
          <w:u w:val="single"/>
        </w:rPr>
      </w:pPr>
      <w:r w:rsidRPr="002D165D">
        <w:rPr>
          <w:rFonts w:ascii="Cambria" w:hAnsi="Cambria"/>
          <w:sz w:val="20"/>
          <w:szCs w:val="20"/>
          <w:u w:val="single"/>
        </w:rPr>
        <w:t>Les débarquements de thon rouge effectués par les navires opérant dans le cadre de cette dérogation devront être soumis à une inspection par les autorités compétentes de la CPC du pavillon, sur la base d’un système d’évaluation des risques ;</w:t>
      </w:r>
    </w:p>
    <w:p w14:paraId="19CE7CD4" w14:textId="77777777" w:rsidR="00F173BC" w:rsidRPr="002D165D" w:rsidRDefault="00F173BC" w:rsidP="002D165D">
      <w:pPr>
        <w:pStyle w:val="ListParagraph"/>
        <w:widowControl w:val="0"/>
        <w:spacing w:after="0" w:line="240" w:lineRule="auto"/>
        <w:ind w:left="714"/>
        <w:jc w:val="both"/>
        <w:rPr>
          <w:rFonts w:ascii="Cambria" w:hAnsi="Cambria"/>
          <w:sz w:val="20"/>
          <w:szCs w:val="20"/>
          <w:u w:val="single"/>
        </w:rPr>
      </w:pPr>
    </w:p>
    <w:p w14:paraId="3802135C" w14:textId="76C9552B" w:rsidR="00667EAF" w:rsidRPr="002D165D" w:rsidRDefault="00E450CB" w:rsidP="002D165D">
      <w:pPr>
        <w:pStyle w:val="ListParagraph"/>
        <w:widowControl w:val="0"/>
        <w:numPr>
          <w:ilvl w:val="0"/>
          <w:numId w:val="7"/>
        </w:numPr>
        <w:spacing w:after="0" w:line="240" w:lineRule="auto"/>
        <w:ind w:left="714" w:hanging="357"/>
        <w:jc w:val="both"/>
        <w:rPr>
          <w:rFonts w:ascii="Cambria" w:hAnsi="Cambria"/>
          <w:sz w:val="20"/>
          <w:szCs w:val="20"/>
          <w:u w:val="single"/>
        </w:rPr>
      </w:pPr>
      <w:r w:rsidRPr="002D165D">
        <w:rPr>
          <w:rFonts w:ascii="Cambria" w:hAnsi="Cambria"/>
          <w:sz w:val="20"/>
          <w:szCs w:val="20"/>
          <w:u w:val="single"/>
        </w:rPr>
        <w:t xml:space="preserve">Les inspections effectuées en vertu du sous-paragraphe f) devront être des </w:t>
      </w:r>
      <w:r w:rsidRPr="00FD4871">
        <w:rPr>
          <w:rFonts w:ascii="Cambria" w:hAnsi="Cambria"/>
          <w:sz w:val="20"/>
          <w:szCs w:val="20"/>
          <w:u w:val="single"/>
        </w:rPr>
        <w:t>inspections complètes des débarquements. Les inspecteurs devront surveiller l'ensemble du débarquement, y compris l'intégralité du processus de pesée, et devront procéder à une vérification cro</w:t>
      </w:r>
      <w:r w:rsidRPr="002D165D">
        <w:rPr>
          <w:rFonts w:ascii="Cambria" w:hAnsi="Cambria"/>
          <w:sz w:val="20"/>
          <w:szCs w:val="20"/>
          <w:u w:val="single"/>
        </w:rPr>
        <w:t>isée du débarquement par rapport à l'avis préalable d'entrée au port, aux données VMS, au carnet de pêche électronique, aux déclarations de débarquement et aux bordereaux de vente ;</w:t>
      </w:r>
    </w:p>
    <w:p w14:paraId="2965D523" w14:textId="77777777" w:rsidR="00F173BC" w:rsidRPr="002D165D" w:rsidRDefault="00F173BC" w:rsidP="002D165D">
      <w:pPr>
        <w:pStyle w:val="ListParagraph"/>
        <w:spacing w:after="0" w:line="240" w:lineRule="auto"/>
        <w:rPr>
          <w:rFonts w:ascii="Cambria" w:hAnsi="Cambria"/>
          <w:sz w:val="20"/>
          <w:szCs w:val="20"/>
          <w:u w:val="single"/>
        </w:rPr>
      </w:pPr>
    </w:p>
    <w:p w14:paraId="42AD92CE" w14:textId="3DDDFED7" w:rsidR="00667EAF" w:rsidRPr="002D165D" w:rsidRDefault="00E450CB" w:rsidP="002D165D">
      <w:pPr>
        <w:pStyle w:val="ListParagraph"/>
        <w:widowControl w:val="0"/>
        <w:numPr>
          <w:ilvl w:val="0"/>
          <w:numId w:val="7"/>
        </w:numPr>
        <w:spacing w:after="0" w:line="240" w:lineRule="auto"/>
        <w:ind w:left="714" w:hanging="357"/>
        <w:jc w:val="both"/>
        <w:rPr>
          <w:rFonts w:ascii="Cambria" w:hAnsi="Cambria"/>
          <w:sz w:val="20"/>
          <w:szCs w:val="20"/>
          <w:u w:val="single"/>
        </w:rPr>
      </w:pPr>
      <w:r w:rsidRPr="002D165D">
        <w:rPr>
          <w:rFonts w:ascii="Cambria" w:hAnsi="Cambria"/>
          <w:sz w:val="20"/>
          <w:szCs w:val="20"/>
          <w:u w:val="single"/>
        </w:rPr>
        <w:t>Lors des inspections effectuées en vertu du sous-paragraphe f), les inspecteurs devront vérifier qu’il ne reste plus de thon rouge à bord une fois le débarquement terminé et la déclaration de débarquement ou le bordereau de vente signé(e) ou bien certifié(e) par voie électronique ;</w:t>
      </w:r>
    </w:p>
    <w:p w14:paraId="039E4ACF" w14:textId="77777777" w:rsidR="00F173BC" w:rsidRPr="002D165D" w:rsidRDefault="00F173BC" w:rsidP="002D165D">
      <w:pPr>
        <w:pStyle w:val="ListParagraph"/>
        <w:spacing w:after="0" w:line="240" w:lineRule="auto"/>
        <w:rPr>
          <w:rFonts w:ascii="Cambria" w:hAnsi="Cambria"/>
          <w:sz w:val="20"/>
          <w:szCs w:val="20"/>
          <w:u w:val="single"/>
        </w:rPr>
      </w:pPr>
    </w:p>
    <w:p w14:paraId="6181BA03" w14:textId="3E5D766A" w:rsidR="00667EAF" w:rsidRPr="002D165D" w:rsidRDefault="00E450CB" w:rsidP="002D165D">
      <w:pPr>
        <w:pStyle w:val="ListParagraph"/>
        <w:widowControl w:val="0"/>
        <w:numPr>
          <w:ilvl w:val="0"/>
          <w:numId w:val="7"/>
        </w:numPr>
        <w:spacing w:after="0" w:line="240" w:lineRule="auto"/>
        <w:ind w:left="714" w:hanging="357"/>
        <w:jc w:val="both"/>
        <w:rPr>
          <w:rFonts w:ascii="Cambria" w:hAnsi="Cambria"/>
          <w:b/>
          <w:bCs/>
          <w:sz w:val="20"/>
          <w:szCs w:val="20"/>
          <w:u w:val="single"/>
        </w:rPr>
      </w:pPr>
      <w:r w:rsidRPr="002D165D">
        <w:rPr>
          <w:rFonts w:ascii="Cambria" w:hAnsi="Cambria"/>
          <w:sz w:val="20"/>
          <w:szCs w:val="20"/>
          <w:u w:val="single"/>
        </w:rPr>
        <w:t>Les autorités compétent</w:t>
      </w:r>
      <w:r w:rsidRPr="00D726CD">
        <w:rPr>
          <w:rFonts w:ascii="Cambria" w:hAnsi="Cambria"/>
          <w:sz w:val="20"/>
          <w:szCs w:val="20"/>
          <w:u w:val="single"/>
        </w:rPr>
        <w:t xml:space="preserve">es de </w:t>
      </w:r>
      <w:r w:rsidR="006E3889" w:rsidRPr="00D726CD">
        <w:rPr>
          <w:rFonts w:ascii="Cambria" w:hAnsi="Cambria"/>
          <w:sz w:val="20"/>
          <w:szCs w:val="20"/>
          <w:u w:val="single"/>
        </w:rPr>
        <w:t>la CPC</w:t>
      </w:r>
      <w:r w:rsidRPr="00D726CD">
        <w:rPr>
          <w:rFonts w:ascii="Cambria" w:hAnsi="Cambria"/>
          <w:sz w:val="20"/>
          <w:szCs w:val="20"/>
          <w:u w:val="single"/>
        </w:rPr>
        <w:t xml:space="preserve"> du pavillon devront veil</w:t>
      </w:r>
      <w:r w:rsidRPr="002D165D">
        <w:rPr>
          <w:rFonts w:ascii="Cambria" w:hAnsi="Cambria"/>
          <w:sz w:val="20"/>
          <w:szCs w:val="20"/>
          <w:u w:val="single"/>
        </w:rPr>
        <w:t>ler à ce que des observateurs nationaux soient déployés à bord pendant au moins 20% des jours de pêche dans le cadre de la pêcherie de thon rouge au cours de chaque campagne de pêche. Les déploiements devront être sélectionnés sur la base d'une évaluation des risques ;</w:t>
      </w:r>
    </w:p>
    <w:p w14:paraId="03937EF0" w14:textId="77777777" w:rsidR="00F173BC" w:rsidRPr="002D165D" w:rsidRDefault="00F173BC" w:rsidP="002D165D">
      <w:pPr>
        <w:pStyle w:val="ListParagraph"/>
        <w:spacing w:after="0" w:line="240" w:lineRule="auto"/>
        <w:rPr>
          <w:rFonts w:ascii="Cambria" w:hAnsi="Cambria"/>
          <w:b/>
          <w:bCs/>
          <w:sz w:val="20"/>
          <w:szCs w:val="20"/>
          <w:u w:val="single"/>
        </w:rPr>
      </w:pPr>
    </w:p>
    <w:p w14:paraId="48C9FE06" w14:textId="0C56203F" w:rsidR="00667EAF" w:rsidRPr="002D165D" w:rsidRDefault="00E450CB" w:rsidP="002D165D">
      <w:pPr>
        <w:pStyle w:val="ListParagraph"/>
        <w:widowControl w:val="0"/>
        <w:numPr>
          <w:ilvl w:val="0"/>
          <w:numId w:val="7"/>
        </w:numPr>
        <w:spacing w:after="0" w:line="240" w:lineRule="auto"/>
        <w:ind w:left="714" w:hanging="357"/>
        <w:jc w:val="both"/>
        <w:rPr>
          <w:rFonts w:ascii="Cambria" w:hAnsi="Cambria"/>
          <w:sz w:val="20"/>
          <w:szCs w:val="20"/>
          <w:u w:val="single"/>
        </w:rPr>
      </w:pPr>
      <w:r w:rsidRPr="002D165D">
        <w:rPr>
          <w:rFonts w:ascii="Cambria" w:hAnsi="Cambria"/>
          <w:sz w:val="20"/>
          <w:szCs w:val="20"/>
          <w:u w:val="single"/>
        </w:rPr>
        <w:t>Les autorités compétentes de la CPC du pavillon devront utiliser les données VMS transmises aux intervalles spécifiés au sous-paragraphe d) pour recouper les rapports électroniques de capture et évaluer si des opérations de pêche ont eu lieu et si les captures, y compris les captur</w:t>
      </w:r>
      <w:r w:rsidRPr="00D726CD">
        <w:rPr>
          <w:rFonts w:ascii="Cambria" w:hAnsi="Cambria"/>
          <w:sz w:val="20"/>
          <w:szCs w:val="20"/>
          <w:u w:val="single"/>
        </w:rPr>
        <w:t xml:space="preserve">es </w:t>
      </w:r>
      <w:r w:rsidR="009B055D" w:rsidRPr="00D726CD">
        <w:rPr>
          <w:rFonts w:ascii="Cambria" w:hAnsi="Cambria"/>
          <w:sz w:val="20"/>
          <w:szCs w:val="20"/>
          <w:u w:val="single"/>
        </w:rPr>
        <w:t>zéro</w:t>
      </w:r>
      <w:r w:rsidRPr="00D726CD">
        <w:rPr>
          <w:rFonts w:ascii="Cambria" w:hAnsi="Cambria"/>
          <w:sz w:val="20"/>
          <w:szCs w:val="20"/>
          <w:u w:val="single"/>
        </w:rPr>
        <w:t>, ont</w:t>
      </w:r>
      <w:r w:rsidRPr="002D165D">
        <w:rPr>
          <w:rFonts w:ascii="Cambria" w:hAnsi="Cambria"/>
          <w:sz w:val="20"/>
          <w:szCs w:val="20"/>
          <w:u w:val="single"/>
        </w:rPr>
        <w:t xml:space="preserve"> été dûment déclarées ;</w:t>
      </w:r>
    </w:p>
    <w:p w14:paraId="1EF3DF2A" w14:textId="77777777" w:rsidR="00F173BC" w:rsidRPr="002D165D" w:rsidRDefault="00F173BC" w:rsidP="002D165D">
      <w:pPr>
        <w:pStyle w:val="ListParagraph"/>
        <w:spacing w:after="0" w:line="240" w:lineRule="auto"/>
        <w:rPr>
          <w:rFonts w:ascii="Cambria" w:hAnsi="Cambria"/>
          <w:sz w:val="20"/>
          <w:szCs w:val="20"/>
          <w:u w:val="single"/>
        </w:rPr>
      </w:pPr>
    </w:p>
    <w:p w14:paraId="08230C77" w14:textId="2DE2BE11" w:rsidR="00667EAF" w:rsidRPr="002D165D" w:rsidRDefault="00667EAF" w:rsidP="002D165D">
      <w:pPr>
        <w:pStyle w:val="ListParagraph"/>
        <w:widowControl w:val="0"/>
        <w:numPr>
          <w:ilvl w:val="0"/>
          <w:numId w:val="7"/>
        </w:numPr>
        <w:spacing w:after="0" w:line="240" w:lineRule="auto"/>
        <w:ind w:left="714" w:hanging="357"/>
        <w:jc w:val="both"/>
        <w:rPr>
          <w:rFonts w:ascii="Cambria" w:hAnsi="Cambria"/>
          <w:sz w:val="20"/>
          <w:szCs w:val="20"/>
          <w:u w:val="single"/>
        </w:rPr>
      </w:pPr>
      <w:r w:rsidRPr="002D165D">
        <w:rPr>
          <w:rFonts w:ascii="Cambria" w:hAnsi="Cambria"/>
          <w:sz w:val="20"/>
          <w:szCs w:val="20"/>
          <w:u w:val="single"/>
        </w:rPr>
        <w:t>Les autorités compétentes de la CPC du pavillon devront procéder à un recoupement des rapports électroniques, des données VMS, des déclarations de débarquement, des rapports d’inspection, des bordereaux de vente et, le cas échéant, des données de l’eBCD ; et</w:t>
      </w:r>
    </w:p>
    <w:p w14:paraId="5FC2CC9A" w14:textId="77777777" w:rsidR="00F173BC" w:rsidRPr="002D165D" w:rsidRDefault="00F173BC" w:rsidP="002D165D">
      <w:pPr>
        <w:pStyle w:val="ListParagraph"/>
        <w:spacing w:after="0" w:line="240" w:lineRule="auto"/>
        <w:rPr>
          <w:rFonts w:ascii="Cambria" w:hAnsi="Cambria"/>
          <w:sz w:val="20"/>
          <w:szCs w:val="20"/>
          <w:u w:val="single"/>
        </w:rPr>
      </w:pPr>
    </w:p>
    <w:p w14:paraId="314571DF" w14:textId="33E5C4B4" w:rsidR="00D25FEA" w:rsidRPr="002D165D" w:rsidRDefault="00E450CB" w:rsidP="002D165D">
      <w:pPr>
        <w:pStyle w:val="ListParagraph"/>
        <w:widowControl w:val="0"/>
        <w:numPr>
          <w:ilvl w:val="0"/>
          <w:numId w:val="7"/>
        </w:numPr>
        <w:spacing w:after="0" w:line="240" w:lineRule="auto"/>
        <w:ind w:left="714" w:hanging="357"/>
        <w:jc w:val="both"/>
        <w:rPr>
          <w:rFonts w:ascii="Cambria" w:hAnsi="Cambria"/>
          <w:sz w:val="20"/>
          <w:szCs w:val="20"/>
          <w:u w:val="single"/>
        </w:rPr>
      </w:pPr>
      <w:r w:rsidRPr="002D165D">
        <w:rPr>
          <w:rFonts w:ascii="Cambria" w:hAnsi="Cambria"/>
          <w:sz w:val="20"/>
          <w:szCs w:val="20"/>
          <w:u w:val="single"/>
        </w:rPr>
        <w:t>La pêcherie devra faire l'objet d'une surveillance 24 heures sur 24, 7 jours sur 7, par le centre de surveillance des pêches de la CPC du pavillon.</w:t>
      </w:r>
    </w:p>
    <w:p w14:paraId="2E8D0937" w14:textId="77777777" w:rsidR="00F173BC" w:rsidRPr="002D165D" w:rsidRDefault="00F173BC" w:rsidP="002D165D">
      <w:pPr>
        <w:pStyle w:val="ListParagraph"/>
        <w:spacing w:after="0" w:line="240" w:lineRule="auto"/>
        <w:rPr>
          <w:rFonts w:ascii="Cambria" w:hAnsi="Cambria"/>
          <w:sz w:val="20"/>
          <w:szCs w:val="20"/>
          <w:u w:val="single"/>
        </w:rPr>
      </w:pPr>
    </w:p>
    <w:p w14:paraId="7E5C1B37" w14:textId="77777777" w:rsidR="00F173BC" w:rsidRPr="002D165D" w:rsidRDefault="00F173BC" w:rsidP="002D165D">
      <w:pPr>
        <w:pStyle w:val="ListParagraph"/>
        <w:widowControl w:val="0"/>
        <w:spacing w:after="0" w:line="240" w:lineRule="auto"/>
        <w:ind w:left="714"/>
        <w:jc w:val="both"/>
        <w:rPr>
          <w:rFonts w:ascii="Cambria" w:hAnsi="Cambria"/>
          <w:sz w:val="20"/>
          <w:szCs w:val="20"/>
          <w:u w:val="single"/>
        </w:rPr>
      </w:pPr>
    </w:p>
    <w:p w14:paraId="1DED769B" w14:textId="6792DFD6" w:rsidR="00EF2F8A" w:rsidRPr="002D165D" w:rsidRDefault="00EF2F8A" w:rsidP="002D165D">
      <w:pPr>
        <w:keepNext/>
        <w:keepLines/>
        <w:tabs>
          <w:tab w:val="left" w:pos="426"/>
        </w:tabs>
        <w:spacing w:after="0" w:line="240" w:lineRule="auto"/>
        <w:rPr>
          <w:rFonts w:ascii="Cambria" w:hAnsi="Cambria"/>
          <w:b/>
          <w:sz w:val="20"/>
          <w:szCs w:val="20"/>
        </w:rPr>
      </w:pPr>
      <w:r w:rsidRPr="002D165D">
        <w:rPr>
          <w:rFonts w:ascii="Cambria" w:hAnsi="Cambria"/>
          <w:b/>
          <w:sz w:val="20"/>
          <w:szCs w:val="20"/>
        </w:rPr>
        <w:t xml:space="preserve">2. </w:t>
      </w:r>
      <w:r w:rsidRPr="002D165D">
        <w:rPr>
          <w:rFonts w:ascii="Cambria" w:hAnsi="Cambria"/>
          <w:b/>
          <w:sz w:val="20"/>
          <w:szCs w:val="20"/>
        </w:rPr>
        <w:tab/>
        <w:t>Le paragraphe 103 est remplacé par le texte suivant :</w:t>
      </w:r>
    </w:p>
    <w:p w14:paraId="1A593D02" w14:textId="77777777" w:rsidR="006939E0" w:rsidRPr="002D165D" w:rsidRDefault="006939E0" w:rsidP="002D165D">
      <w:pPr>
        <w:keepNext/>
        <w:keepLines/>
        <w:tabs>
          <w:tab w:val="left" w:pos="426"/>
        </w:tabs>
        <w:spacing w:after="0" w:line="240" w:lineRule="auto"/>
        <w:rPr>
          <w:rFonts w:ascii="Cambria" w:hAnsi="Cambria"/>
          <w:sz w:val="20"/>
          <w:szCs w:val="20"/>
        </w:rPr>
      </w:pPr>
    </w:p>
    <w:p w14:paraId="114D1F2F" w14:textId="75822C61" w:rsidR="00EF2F8A" w:rsidRPr="002D165D" w:rsidRDefault="00EF2F8A" w:rsidP="002D165D">
      <w:pPr>
        <w:keepLines/>
        <w:spacing w:after="0" w:line="240" w:lineRule="auto"/>
        <w:jc w:val="both"/>
        <w:rPr>
          <w:rFonts w:ascii="Cambria" w:hAnsi="Cambria"/>
          <w:sz w:val="20"/>
          <w:szCs w:val="20"/>
        </w:rPr>
      </w:pPr>
      <w:r w:rsidRPr="002D165D">
        <w:rPr>
          <w:rFonts w:ascii="Cambria" w:hAnsi="Cambria"/>
          <w:sz w:val="20"/>
          <w:szCs w:val="20"/>
        </w:rPr>
        <w:t>103</w:t>
      </w:r>
      <w:r w:rsidRPr="002D165D">
        <w:rPr>
          <w:rFonts w:ascii="Cambria" w:hAnsi="Cambria"/>
          <w:b/>
          <w:bCs/>
          <w:sz w:val="20"/>
          <w:szCs w:val="20"/>
        </w:rPr>
        <w:t>.</w:t>
      </w:r>
      <w:r w:rsidRPr="002D165D">
        <w:rPr>
          <w:rFonts w:ascii="Cambria" w:hAnsi="Cambria"/>
          <w:sz w:val="20"/>
          <w:szCs w:val="20"/>
        </w:rPr>
        <w:t xml:space="preserve"> </w:t>
      </w:r>
      <w:r w:rsidRPr="002D165D">
        <w:rPr>
          <w:rFonts w:ascii="Cambria" w:hAnsi="Cambria"/>
          <w:sz w:val="20"/>
          <w:szCs w:val="20"/>
          <w:u w:val="single"/>
        </w:rPr>
        <w:t xml:space="preserve">Sous réserve des dispositions du paragraphe 101 bis, </w:t>
      </w:r>
      <w:r w:rsidRPr="002D165D">
        <w:rPr>
          <w:rFonts w:ascii="Cambria" w:hAnsi="Cambria"/>
          <w:sz w:val="20"/>
          <w:szCs w:val="20"/>
        </w:rPr>
        <w:t>les senneurs sans observateur régional de l’ICCAT à bord ne devront pas être autorisés à pêcher ou à opérer dans la pêcherie de thon rouge.</w:t>
      </w:r>
    </w:p>
    <w:sectPr w:rsidR="00EF2F8A" w:rsidRPr="002D165D" w:rsidSect="00095067">
      <w:headerReference w:type="default" r:id="rId10"/>
      <w:footerReference w:type="default" r:id="rId11"/>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CE07F" w14:textId="77777777" w:rsidR="00294977" w:rsidRDefault="00294977" w:rsidP="00C558B6">
      <w:pPr>
        <w:spacing w:after="0" w:line="240" w:lineRule="auto"/>
      </w:pPr>
      <w:r>
        <w:separator/>
      </w:r>
    </w:p>
  </w:endnote>
  <w:endnote w:type="continuationSeparator" w:id="0">
    <w:p w14:paraId="7A0AAB7F" w14:textId="77777777" w:rsidR="00294977" w:rsidRDefault="00294977" w:rsidP="00C55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76AC" w14:textId="77777777" w:rsidR="002B44A5" w:rsidRPr="00607151" w:rsidRDefault="002B44A5" w:rsidP="00607151">
    <w:pPr>
      <w:tabs>
        <w:tab w:val="center" w:pos="4535"/>
        <w:tab w:val="center" w:pos="4680"/>
        <w:tab w:val="left" w:pos="6150"/>
        <w:tab w:val="right" w:pos="9360"/>
      </w:tabs>
      <w:spacing w:after="0" w:line="240" w:lineRule="auto"/>
      <w:jc w:val="center"/>
      <w:rPr>
        <w:rFonts w:ascii="Cambria" w:hAnsi="Cambria"/>
        <w:sz w:val="20"/>
      </w:rPr>
    </w:pPr>
    <w:r w:rsidRPr="00607151">
      <w:rPr>
        <w:rFonts w:ascii="Cambria" w:eastAsia="Calibri" w:hAnsi="Cambria" w:cs="Calibri"/>
        <w:sz w:val="20"/>
      </w:rPr>
      <w:fldChar w:fldCharType="begin"/>
    </w:r>
    <w:r w:rsidRPr="00607151">
      <w:rPr>
        <w:rFonts w:ascii="Cambria" w:eastAsia="Calibri" w:hAnsi="Cambria" w:cs="Calibri"/>
        <w:sz w:val="20"/>
      </w:rPr>
      <w:instrText xml:space="preserve"> PAGE </w:instrText>
    </w:r>
    <w:r w:rsidRPr="00607151">
      <w:rPr>
        <w:rFonts w:ascii="Cambria" w:eastAsia="Calibri" w:hAnsi="Cambria" w:cs="Calibri"/>
        <w:sz w:val="20"/>
      </w:rPr>
      <w:fldChar w:fldCharType="separate"/>
    </w:r>
    <w:r w:rsidRPr="00607151">
      <w:rPr>
        <w:rFonts w:ascii="Cambria" w:eastAsia="Calibri" w:hAnsi="Cambria" w:cs="Calibri"/>
        <w:sz w:val="20"/>
      </w:rPr>
      <w:t>1</w:t>
    </w:r>
    <w:r w:rsidRPr="00607151">
      <w:rPr>
        <w:rFonts w:ascii="Cambria" w:eastAsia="Calibri" w:hAnsi="Cambria" w:cs="Calibri"/>
        <w:sz w:val="20"/>
      </w:rPr>
      <w:fldChar w:fldCharType="end"/>
    </w:r>
    <w:r>
      <w:rPr>
        <w:rFonts w:ascii="Cambria" w:hAnsi="Cambria"/>
        <w:sz w:val="20"/>
      </w:rPr>
      <w:t xml:space="preserve"> / </w:t>
    </w:r>
    <w:r w:rsidRPr="00607151">
      <w:rPr>
        <w:rFonts w:ascii="Cambria" w:eastAsia="Calibri" w:hAnsi="Cambria" w:cs="Calibri"/>
        <w:sz w:val="20"/>
      </w:rPr>
      <w:fldChar w:fldCharType="begin"/>
    </w:r>
    <w:r w:rsidRPr="00607151">
      <w:rPr>
        <w:rFonts w:ascii="Cambria" w:eastAsia="Calibri" w:hAnsi="Cambria" w:cs="Calibri"/>
        <w:sz w:val="20"/>
      </w:rPr>
      <w:instrText xml:space="preserve"> NUMPAGES  </w:instrText>
    </w:r>
    <w:r w:rsidRPr="00607151">
      <w:rPr>
        <w:rFonts w:ascii="Cambria" w:eastAsia="Calibri" w:hAnsi="Cambria" w:cs="Calibri"/>
        <w:sz w:val="20"/>
      </w:rPr>
      <w:fldChar w:fldCharType="separate"/>
    </w:r>
    <w:r w:rsidRPr="00607151">
      <w:rPr>
        <w:rFonts w:ascii="Cambria" w:eastAsia="Calibri" w:hAnsi="Cambria" w:cs="Calibri"/>
        <w:sz w:val="20"/>
      </w:rPr>
      <w:t>8</w:t>
    </w:r>
    <w:r w:rsidRPr="00607151">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CF442" w14:textId="77777777" w:rsidR="00294977" w:rsidRDefault="00294977" w:rsidP="00C558B6">
      <w:pPr>
        <w:spacing w:after="0" w:line="240" w:lineRule="auto"/>
      </w:pPr>
      <w:r>
        <w:separator/>
      </w:r>
    </w:p>
  </w:footnote>
  <w:footnote w:type="continuationSeparator" w:id="0">
    <w:p w14:paraId="346CD293" w14:textId="77777777" w:rsidR="00294977" w:rsidRDefault="00294977" w:rsidP="00C55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42C5" w14:textId="7E07BBFD" w:rsidR="0099496D" w:rsidRPr="0099496D" w:rsidRDefault="0099496D" w:rsidP="0099496D">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color w:val="auto"/>
        <w:kern w:val="0"/>
        <w:sz w:val="20"/>
        <w:szCs w:val="20"/>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color w:val="auto"/>
        <w:sz w:val="20"/>
      </w:rPr>
      <w:t>PA2_607/202</w:t>
    </w:r>
    <w:r w:rsidR="00F1543D">
      <w:rPr>
        <w:rFonts w:ascii="Cambria" w:hAnsi="Cambria"/>
        <w:b/>
        <w:color w:val="auto"/>
        <w:sz w:val="20"/>
      </w:rPr>
      <w:t>6</w:t>
    </w:r>
  </w:p>
  <w:p w14:paraId="62340B27" w14:textId="5E3B1CA2" w:rsidR="002B44A5" w:rsidRDefault="0099496D" w:rsidP="0099496D">
    <w:pPr>
      <w:widowControl w:val="0"/>
      <w:tabs>
        <w:tab w:val="left" w:pos="7320"/>
      </w:tabs>
      <w:autoSpaceDE w:val="0"/>
      <w:autoSpaceDN w:val="0"/>
      <w:spacing w:after="0" w:line="240" w:lineRule="exact"/>
      <w:jc w:val="right"/>
    </w:pPr>
    <w:r w:rsidRPr="0099496D">
      <w:rPr>
        <w:rFonts w:ascii="Cambria" w:eastAsia="Cambria" w:hAnsi="Cambria" w:cs="Cambria"/>
        <w:b/>
        <w:color w:val="auto"/>
        <w:sz w:val="16"/>
      </w:rPr>
      <w:fldChar w:fldCharType="begin"/>
    </w:r>
    <w:r w:rsidRPr="0099496D">
      <w:rPr>
        <w:rFonts w:ascii="Cambria" w:eastAsia="Cambria" w:hAnsi="Cambria" w:cs="Cambria"/>
        <w:b/>
        <w:color w:val="auto"/>
        <w:sz w:val="16"/>
      </w:rPr>
      <w:instrText xml:space="preserve"> TIME \@ "dd/MM/yyyy H:mm" </w:instrText>
    </w:r>
    <w:r w:rsidRPr="0099496D">
      <w:rPr>
        <w:rFonts w:ascii="Cambria" w:eastAsia="Cambria" w:hAnsi="Cambria" w:cs="Cambria"/>
        <w:b/>
        <w:color w:val="auto"/>
        <w:sz w:val="16"/>
      </w:rPr>
      <w:fldChar w:fldCharType="separate"/>
    </w:r>
    <w:r w:rsidR="00F1543D">
      <w:rPr>
        <w:rFonts w:ascii="Cambria" w:eastAsia="Cambria" w:hAnsi="Cambria" w:cs="Cambria"/>
        <w:b/>
        <w:noProof/>
        <w:color w:val="auto"/>
        <w:sz w:val="16"/>
      </w:rPr>
      <w:t>19/10/2026 10:23</w:t>
    </w:r>
    <w:r w:rsidRPr="0099496D">
      <w:rPr>
        <w:rFonts w:ascii="Cambria" w:eastAsia="Cambria" w:hAnsi="Cambria" w:cs="Cambria"/>
        <w:b/>
        <w:bCs/>
        <w:color w:val="auto"/>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7F35"/>
    <w:multiLevelType w:val="hybridMultilevel"/>
    <w:tmpl w:val="D4A07E24"/>
    <w:lvl w:ilvl="0" w:tplc="C610F946">
      <w:start w:val="1"/>
      <w:numFmt w:val="bullet"/>
      <w:lvlText w:val=""/>
      <w:lvlJc w:val="left"/>
      <w:pPr>
        <w:ind w:left="1080" w:hanging="360"/>
      </w:pPr>
      <w:rPr>
        <w:rFonts w:ascii="Symbol" w:hAnsi="Symbol"/>
      </w:rPr>
    </w:lvl>
    <w:lvl w:ilvl="1" w:tplc="AB58C4F6">
      <w:start w:val="1"/>
      <w:numFmt w:val="bullet"/>
      <w:lvlText w:val=""/>
      <w:lvlJc w:val="left"/>
      <w:pPr>
        <w:ind w:left="1080" w:hanging="360"/>
      </w:pPr>
      <w:rPr>
        <w:rFonts w:ascii="Symbol" w:hAnsi="Symbol"/>
      </w:rPr>
    </w:lvl>
    <w:lvl w:ilvl="2" w:tplc="A6407E62">
      <w:start w:val="1"/>
      <w:numFmt w:val="bullet"/>
      <w:lvlText w:val=""/>
      <w:lvlJc w:val="left"/>
      <w:pPr>
        <w:ind w:left="1080" w:hanging="360"/>
      </w:pPr>
      <w:rPr>
        <w:rFonts w:ascii="Symbol" w:hAnsi="Symbol"/>
      </w:rPr>
    </w:lvl>
    <w:lvl w:ilvl="3" w:tplc="0A70C84C">
      <w:start w:val="1"/>
      <w:numFmt w:val="bullet"/>
      <w:lvlText w:val=""/>
      <w:lvlJc w:val="left"/>
      <w:pPr>
        <w:ind w:left="1080" w:hanging="360"/>
      </w:pPr>
      <w:rPr>
        <w:rFonts w:ascii="Symbol" w:hAnsi="Symbol"/>
      </w:rPr>
    </w:lvl>
    <w:lvl w:ilvl="4" w:tplc="C2941F80">
      <w:start w:val="1"/>
      <w:numFmt w:val="bullet"/>
      <w:lvlText w:val=""/>
      <w:lvlJc w:val="left"/>
      <w:pPr>
        <w:ind w:left="1080" w:hanging="360"/>
      </w:pPr>
      <w:rPr>
        <w:rFonts w:ascii="Symbol" w:hAnsi="Symbol"/>
      </w:rPr>
    </w:lvl>
    <w:lvl w:ilvl="5" w:tplc="F1E8DC1E">
      <w:start w:val="1"/>
      <w:numFmt w:val="bullet"/>
      <w:lvlText w:val=""/>
      <w:lvlJc w:val="left"/>
      <w:pPr>
        <w:ind w:left="1080" w:hanging="360"/>
      </w:pPr>
      <w:rPr>
        <w:rFonts w:ascii="Symbol" w:hAnsi="Symbol"/>
      </w:rPr>
    </w:lvl>
    <w:lvl w:ilvl="6" w:tplc="1ED41204">
      <w:start w:val="1"/>
      <w:numFmt w:val="bullet"/>
      <w:lvlText w:val=""/>
      <w:lvlJc w:val="left"/>
      <w:pPr>
        <w:ind w:left="1080" w:hanging="360"/>
      </w:pPr>
      <w:rPr>
        <w:rFonts w:ascii="Symbol" w:hAnsi="Symbol"/>
      </w:rPr>
    </w:lvl>
    <w:lvl w:ilvl="7" w:tplc="63B829C6">
      <w:start w:val="1"/>
      <w:numFmt w:val="bullet"/>
      <w:lvlText w:val=""/>
      <w:lvlJc w:val="left"/>
      <w:pPr>
        <w:ind w:left="1080" w:hanging="360"/>
      </w:pPr>
      <w:rPr>
        <w:rFonts w:ascii="Symbol" w:hAnsi="Symbol"/>
      </w:rPr>
    </w:lvl>
    <w:lvl w:ilvl="8" w:tplc="E0E67CC4">
      <w:start w:val="1"/>
      <w:numFmt w:val="bullet"/>
      <w:lvlText w:val=""/>
      <w:lvlJc w:val="left"/>
      <w:pPr>
        <w:ind w:left="1080" w:hanging="360"/>
      </w:pPr>
      <w:rPr>
        <w:rFonts w:ascii="Symbol" w:hAnsi="Symbol"/>
      </w:rPr>
    </w:lvl>
  </w:abstractNum>
  <w:abstractNum w:abstractNumId="1" w15:restartNumberingAfterBreak="0">
    <w:nsid w:val="100308CD"/>
    <w:multiLevelType w:val="hybridMultilevel"/>
    <w:tmpl w:val="AA1A250A"/>
    <w:lvl w:ilvl="0" w:tplc="7842D914">
      <w:start w:val="1"/>
      <w:numFmt w:val="bullet"/>
      <w:lvlText w:val=""/>
      <w:lvlJc w:val="left"/>
      <w:pPr>
        <w:ind w:left="1080" w:hanging="360"/>
      </w:pPr>
      <w:rPr>
        <w:rFonts w:ascii="Symbol" w:hAnsi="Symbol"/>
      </w:rPr>
    </w:lvl>
    <w:lvl w:ilvl="1" w:tplc="5EB492A2">
      <w:start w:val="1"/>
      <w:numFmt w:val="bullet"/>
      <w:lvlText w:val=""/>
      <w:lvlJc w:val="left"/>
      <w:pPr>
        <w:ind w:left="1080" w:hanging="360"/>
      </w:pPr>
      <w:rPr>
        <w:rFonts w:ascii="Symbol" w:hAnsi="Symbol"/>
      </w:rPr>
    </w:lvl>
    <w:lvl w:ilvl="2" w:tplc="D3200962">
      <w:start w:val="1"/>
      <w:numFmt w:val="bullet"/>
      <w:lvlText w:val=""/>
      <w:lvlJc w:val="left"/>
      <w:pPr>
        <w:ind w:left="1080" w:hanging="360"/>
      </w:pPr>
      <w:rPr>
        <w:rFonts w:ascii="Symbol" w:hAnsi="Symbol"/>
      </w:rPr>
    </w:lvl>
    <w:lvl w:ilvl="3" w:tplc="596E6A9C">
      <w:start w:val="1"/>
      <w:numFmt w:val="bullet"/>
      <w:lvlText w:val=""/>
      <w:lvlJc w:val="left"/>
      <w:pPr>
        <w:ind w:left="1080" w:hanging="360"/>
      </w:pPr>
      <w:rPr>
        <w:rFonts w:ascii="Symbol" w:hAnsi="Symbol"/>
      </w:rPr>
    </w:lvl>
    <w:lvl w:ilvl="4" w:tplc="448ABE48">
      <w:start w:val="1"/>
      <w:numFmt w:val="bullet"/>
      <w:lvlText w:val=""/>
      <w:lvlJc w:val="left"/>
      <w:pPr>
        <w:ind w:left="1080" w:hanging="360"/>
      </w:pPr>
      <w:rPr>
        <w:rFonts w:ascii="Symbol" w:hAnsi="Symbol"/>
      </w:rPr>
    </w:lvl>
    <w:lvl w:ilvl="5" w:tplc="47F034C0">
      <w:start w:val="1"/>
      <w:numFmt w:val="bullet"/>
      <w:lvlText w:val=""/>
      <w:lvlJc w:val="left"/>
      <w:pPr>
        <w:ind w:left="1080" w:hanging="360"/>
      </w:pPr>
      <w:rPr>
        <w:rFonts w:ascii="Symbol" w:hAnsi="Symbol"/>
      </w:rPr>
    </w:lvl>
    <w:lvl w:ilvl="6" w:tplc="146858FA">
      <w:start w:val="1"/>
      <w:numFmt w:val="bullet"/>
      <w:lvlText w:val=""/>
      <w:lvlJc w:val="left"/>
      <w:pPr>
        <w:ind w:left="1080" w:hanging="360"/>
      </w:pPr>
      <w:rPr>
        <w:rFonts w:ascii="Symbol" w:hAnsi="Symbol"/>
      </w:rPr>
    </w:lvl>
    <w:lvl w:ilvl="7" w:tplc="E40E9896">
      <w:start w:val="1"/>
      <w:numFmt w:val="bullet"/>
      <w:lvlText w:val=""/>
      <w:lvlJc w:val="left"/>
      <w:pPr>
        <w:ind w:left="1080" w:hanging="360"/>
      </w:pPr>
      <w:rPr>
        <w:rFonts w:ascii="Symbol" w:hAnsi="Symbol"/>
      </w:rPr>
    </w:lvl>
    <w:lvl w:ilvl="8" w:tplc="61B4AE3E">
      <w:start w:val="1"/>
      <w:numFmt w:val="bullet"/>
      <w:lvlText w:val=""/>
      <w:lvlJc w:val="left"/>
      <w:pPr>
        <w:ind w:left="1080" w:hanging="360"/>
      </w:pPr>
      <w:rPr>
        <w:rFonts w:ascii="Symbol" w:hAnsi="Symbol"/>
      </w:rPr>
    </w:lvl>
  </w:abstractNum>
  <w:abstractNum w:abstractNumId="2" w15:restartNumberingAfterBreak="0">
    <w:nsid w:val="16DD540F"/>
    <w:multiLevelType w:val="hybridMultilevel"/>
    <w:tmpl w:val="12E09964"/>
    <w:lvl w:ilvl="0" w:tplc="12940B70">
      <w:start w:val="1"/>
      <w:numFmt w:val="bullet"/>
      <w:lvlText w:val=""/>
      <w:lvlJc w:val="left"/>
      <w:pPr>
        <w:ind w:left="720" w:hanging="360"/>
      </w:pPr>
      <w:rPr>
        <w:rFonts w:ascii="Symbol" w:hAnsi="Symbol"/>
      </w:rPr>
    </w:lvl>
    <w:lvl w:ilvl="1" w:tplc="2220A102">
      <w:start w:val="1"/>
      <w:numFmt w:val="bullet"/>
      <w:lvlText w:val=""/>
      <w:lvlJc w:val="left"/>
      <w:pPr>
        <w:ind w:left="720" w:hanging="360"/>
      </w:pPr>
      <w:rPr>
        <w:rFonts w:ascii="Symbol" w:hAnsi="Symbol"/>
      </w:rPr>
    </w:lvl>
    <w:lvl w:ilvl="2" w:tplc="524ECDAA">
      <w:start w:val="1"/>
      <w:numFmt w:val="bullet"/>
      <w:lvlText w:val=""/>
      <w:lvlJc w:val="left"/>
      <w:pPr>
        <w:ind w:left="720" w:hanging="360"/>
      </w:pPr>
      <w:rPr>
        <w:rFonts w:ascii="Symbol" w:hAnsi="Symbol"/>
      </w:rPr>
    </w:lvl>
    <w:lvl w:ilvl="3" w:tplc="75666ED2">
      <w:start w:val="1"/>
      <w:numFmt w:val="bullet"/>
      <w:lvlText w:val=""/>
      <w:lvlJc w:val="left"/>
      <w:pPr>
        <w:ind w:left="720" w:hanging="360"/>
      </w:pPr>
      <w:rPr>
        <w:rFonts w:ascii="Symbol" w:hAnsi="Symbol"/>
      </w:rPr>
    </w:lvl>
    <w:lvl w:ilvl="4" w:tplc="D7F67994">
      <w:start w:val="1"/>
      <w:numFmt w:val="bullet"/>
      <w:lvlText w:val=""/>
      <w:lvlJc w:val="left"/>
      <w:pPr>
        <w:ind w:left="720" w:hanging="360"/>
      </w:pPr>
      <w:rPr>
        <w:rFonts w:ascii="Symbol" w:hAnsi="Symbol"/>
      </w:rPr>
    </w:lvl>
    <w:lvl w:ilvl="5" w:tplc="7F7656AC">
      <w:start w:val="1"/>
      <w:numFmt w:val="bullet"/>
      <w:lvlText w:val=""/>
      <w:lvlJc w:val="left"/>
      <w:pPr>
        <w:ind w:left="720" w:hanging="360"/>
      </w:pPr>
      <w:rPr>
        <w:rFonts w:ascii="Symbol" w:hAnsi="Symbol"/>
      </w:rPr>
    </w:lvl>
    <w:lvl w:ilvl="6" w:tplc="8194B12C">
      <w:start w:val="1"/>
      <w:numFmt w:val="bullet"/>
      <w:lvlText w:val=""/>
      <w:lvlJc w:val="left"/>
      <w:pPr>
        <w:ind w:left="720" w:hanging="360"/>
      </w:pPr>
      <w:rPr>
        <w:rFonts w:ascii="Symbol" w:hAnsi="Symbol"/>
      </w:rPr>
    </w:lvl>
    <w:lvl w:ilvl="7" w:tplc="78723FF4">
      <w:start w:val="1"/>
      <w:numFmt w:val="bullet"/>
      <w:lvlText w:val=""/>
      <w:lvlJc w:val="left"/>
      <w:pPr>
        <w:ind w:left="720" w:hanging="360"/>
      </w:pPr>
      <w:rPr>
        <w:rFonts w:ascii="Symbol" w:hAnsi="Symbol"/>
      </w:rPr>
    </w:lvl>
    <w:lvl w:ilvl="8" w:tplc="EDF6B0EC">
      <w:start w:val="1"/>
      <w:numFmt w:val="bullet"/>
      <w:lvlText w:val=""/>
      <w:lvlJc w:val="left"/>
      <w:pPr>
        <w:ind w:left="720" w:hanging="360"/>
      </w:pPr>
      <w:rPr>
        <w:rFonts w:ascii="Symbol" w:hAnsi="Symbol"/>
      </w:rPr>
    </w:lvl>
  </w:abstractNum>
  <w:abstractNum w:abstractNumId="3" w15:restartNumberingAfterBreak="0">
    <w:nsid w:val="20B44B16"/>
    <w:multiLevelType w:val="hybridMultilevel"/>
    <w:tmpl w:val="943E92DA"/>
    <w:lvl w:ilvl="0" w:tplc="4FD27B1E">
      <w:start w:val="1"/>
      <w:numFmt w:val="bullet"/>
      <w:lvlText w:val=""/>
      <w:lvlJc w:val="left"/>
      <w:pPr>
        <w:ind w:left="1080" w:hanging="360"/>
      </w:pPr>
      <w:rPr>
        <w:rFonts w:ascii="Symbol" w:hAnsi="Symbol"/>
      </w:rPr>
    </w:lvl>
    <w:lvl w:ilvl="1" w:tplc="BC661B74">
      <w:start w:val="1"/>
      <w:numFmt w:val="bullet"/>
      <w:lvlText w:val=""/>
      <w:lvlJc w:val="left"/>
      <w:pPr>
        <w:ind w:left="1080" w:hanging="360"/>
      </w:pPr>
      <w:rPr>
        <w:rFonts w:ascii="Symbol" w:hAnsi="Symbol"/>
      </w:rPr>
    </w:lvl>
    <w:lvl w:ilvl="2" w:tplc="876CBBD2">
      <w:start w:val="1"/>
      <w:numFmt w:val="bullet"/>
      <w:lvlText w:val=""/>
      <w:lvlJc w:val="left"/>
      <w:pPr>
        <w:ind w:left="1080" w:hanging="360"/>
      </w:pPr>
      <w:rPr>
        <w:rFonts w:ascii="Symbol" w:hAnsi="Symbol"/>
      </w:rPr>
    </w:lvl>
    <w:lvl w:ilvl="3" w:tplc="1388CC40">
      <w:start w:val="1"/>
      <w:numFmt w:val="bullet"/>
      <w:lvlText w:val=""/>
      <w:lvlJc w:val="left"/>
      <w:pPr>
        <w:ind w:left="1080" w:hanging="360"/>
      </w:pPr>
      <w:rPr>
        <w:rFonts w:ascii="Symbol" w:hAnsi="Symbol"/>
      </w:rPr>
    </w:lvl>
    <w:lvl w:ilvl="4" w:tplc="3EB883BA">
      <w:start w:val="1"/>
      <w:numFmt w:val="bullet"/>
      <w:lvlText w:val=""/>
      <w:lvlJc w:val="left"/>
      <w:pPr>
        <w:ind w:left="1080" w:hanging="360"/>
      </w:pPr>
      <w:rPr>
        <w:rFonts w:ascii="Symbol" w:hAnsi="Symbol"/>
      </w:rPr>
    </w:lvl>
    <w:lvl w:ilvl="5" w:tplc="F7701844">
      <w:start w:val="1"/>
      <w:numFmt w:val="bullet"/>
      <w:lvlText w:val=""/>
      <w:lvlJc w:val="left"/>
      <w:pPr>
        <w:ind w:left="1080" w:hanging="360"/>
      </w:pPr>
      <w:rPr>
        <w:rFonts w:ascii="Symbol" w:hAnsi="Symbol"/>
      </w:rPr>
    </w:lvl>
    <w:lvl w:ilvl="6" w:tplc="68A06100">
      <w:start w:val="1"/>
      <w:numFmt w:val="bullet"/>
      <w:lvlText w:val=""/>
      <w:lvlJc w:val="left"/>
      <w:pPr>
        <w:ind w:left="1080" w:hanging="360"/>
      </w:pPr>
      <w:rPr>
        <w:rFonts w:ascii="Symbol" w:hAnsi="Symbol"/>
      </w:rPr>
    </w:lvl>
    <w:lvl w:ilvl="7" w:tplc="D8D4EFDE">
      <w:start w:val="1"/>
      <w:numFmt w:val="bullet"/>
      <w:lvlText w:val=""/>
      <w:lvlJc w:val="left"/>
      <w:pPr>
        <w:ind w:left="1080" w:hanging="360"/>
      </w:pPr>
      <w:rPr>
        <w:rFonts w:ascii="Symbol" w:hAnsi="Symbol"/>
      </w:rPr>
    </w:lvl>
    <w:lvl w:ilvl="8" w:tplc="B6F678A6">
      <w:start w:val="1"/>
      <w:numFmt w:val="bullet"/>
      <w:lvlText w:val=""/>
      <w:lvlJc w:val="left"/>
      <w:pPr>
        <w:ind w:left="1080" w:hanging="360"/>
      </w:pPr>
      <w:rPr>
        <w:rFonts w:ascii="Symbol" w:hAnsi="Symbol"/>
      </w:rPr>
    </w:lvl>
  </w:abstractNum>
  <w:abstractNum w:abstractNumId="4" w15:restartNumberingAfterBreak="0">
    <w:nsid w:val="3CEA188F"/>
    <w:multiLevelType w:val="hybridMultilevel"/>
    <w:tmpl w:val="D01C7AA8"/>
    <w:lvl w:ilvl="0" w:tplc="22BAB3B0">
      <w:start w:val="1"/>
      <w:numFmt w:val="bullet"/>
      <w:lvlText w:val=""/>
      <w:lvlJc w:val="left"/>
      <w:pPr>
        <w:ind w:left="1080" w:hanging="360"/>
      </w:pPr>
      <w:rPr>
        <w:rFonts w:ascii="Symbol" w:hAnsi="Symbol"/>
      </w:rPr>
    </w:lvl>
    <w:lvl w:ilvl="1" w:tplc="DBFAA02A">
      <w:start w:val="1"/>
      <w:numFmt w:val="bullet"/>
      <w:lvlText w:val=""/>
      <w:lvlJc w:val="left"/>
      <w:pPr>
        <w:ind w:left="1080" w:hanging="360"/>
      </w:pPr>
      <w:rPr>
        <w:rFonts w:ascii="Symbol" w:hAnsi="Symbol"/>
      </w:rPr>
    </w:lvl>
    <w:lvl w:ilvl="2" w:tplc="13A27118">
      <w:start w:val="1"/>
      <w:numFmt w:val="bullet"/>
      <w:lvlText w:val=""/>
      <w:lvlJc w:val="left"/>
      <w:pPr>
        <w:ind w:left="1080" w:hanging="360"/>
      </w:pPr>
      <w:rPr>
        <w:rFonts w:ascii="Symbol" w:hAnsi="Symbol"/>
      </w:rPr>
    </w:lvl>
    <w:lvl w:ilvl="3" w:tplc="1046A4CE">
      <w:start w:val="1"/>
      <w:numFmt w:val="bullet"/>
      <w:lvlText w:val=""/>
      <w:lvlJc w:val="left"/>
      <w:pPr>
        <w:ind w:left="1080" w:hanging="360"/>
      </w:pPr>
      <w:rPr>
        <w:rFonts w:ascii="Symbol" w:hAnsi="Symbol"/>
      </w:rPr>
    </w:lvl>
    <w:lvl w:ilvl="4" w:tplc="E4E824AA">
      <w:start w:val="1"/>
      <w:numFmt w:val="bullet"/>
      <w:lvlText w:val=""/>
      <w:lvlJc w:val="left"/>
      <w:pPr>
        <w:ind w:left="1080" w:hanging="360"/>
      </w:pPr>
      <w:rPr>
        <w:rFonts w:ascii="Symbol" w:hAnsi="Symbol"/>
      </w:rPr>
    </w:lvl>
    <w:lvl w:ilvl="5" w:tplc="0B589DB0">
      <w:start w:val="1"/>
      <w:numFmt w:val="bullet"/>
      <w:lvlText w:val=""/>
      <w:lvlJc w:val="left"/>
      <w:pPr>
        <w:ind w:left="1080" w:hanging="360"/>
      </w:pPr>
      <w:rPr>
        <w:rFonts w:ascii="Symbol" w:hAnsi="Symbol"/>
      </w:rPr>
    </w:lvl>
    <w:lvl w:ilvl="6" w:tplc="EA5ED4E4">
      <w:start w:val="1"/>
      <w:numFmt w:val="bullet"/>
      <w:lvlText w:val=""/>
      <w:lvlJc w:val="left"/>
      <w:pPr>
        <w:ind w:left="1080" w:hanging="360"/>
      </w:pPr>
      <w:rPr>
        <w:rFonts w:ascii="Symbol" w:hAnsi="Symbol"/>
      </w:rPr>
    </w:lvl>
    <w:lvl w:ilvl="7" w:tplc="EE060D12">
      <w:start w:val="1"/>
      <w:numFmt w:val="bullet"/>
      <w:lvlText w:val=""/>
      <w:lvlJc w:val="left"/>
      <w:pPr>
        <w:ind w:left="1080" w:hanging="360"/>
      </w:pPr>
      <w:rPr>
        <w:rFonts w:ascii="Symbol" w:hAnsi="Symbol"/>
      </w:rPr>
    </w:lvl>
    <w:lvl w:ilvl="8" w:tplc="A8241FC0">
      <w:start w:val="1"/>
      <w:numFmt w:val="bullet"/>
      <w:lvlText w:val=""/>
      <w:lvlJc w:val="left"/>
      <w:pPr>
        <w:ind w:left="1080" w:hanging="360"/>
      </w:pPr>
      <w:rPr>
        <w:rFonts w:ascii="Symbol" w:hAnsi="Symbol"/>
      </w:rPr>
    </w:lvl>
  </w:abstractNum>
  <w:abstractNum w:abstractNumId="5" w15:restartNumberingAfterBreak="0">
    <w:nsid w:val="4E472DF4"/>
    <w:multiLevelType w:val="hybridMultilevel"/>
    <w:tmpl w:val="5DE23F10"/>
    <w:lvl w:ilvl="0" w:tplc="BE90390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3B5D64"/>
    <w:multiLevelType w:val="hybridMultilevel"/>
    <w:tmpl w:val="8B468972"/>
    <w:lvl w:ilvl="0" w:tplc="3F0E918A">
      <w:start w:val="1"/>
      <w:numFmt w:val="decimal"/>
      <w:lvlText w:val="%1."/>
      <w:lvlJc w:val="left"/>
      <w:pPr>
        <w:ind w:left="678" w:hanging="360"/>
      </w:pPr>
      <w:rPr>
        <w:rFonts w:ascii="Cambria" w:hAnsi="Cambria" w:hint="default"/>
        <w:color w:val="auto"/>
      </w:rPr>
    </w:lvl>
    <w:lvl w:ilvl="1" w:tplc="A1C6AF60">
      <w:start w:val="1"/>
      <w:numFmt w:val="lowerLetter"/>
      <w:lvlText w:val="%2."/>
      <w:lvlJc w:val="left"/>
      <w:pPr>
        <w:ind w:left="1440" w:hanging="360"/>
      </w:pPr>
    </w:lvl>
    <w:lvl w:ilvl="2" w:tplc="6F8A5A4E">
      <w:start w:val="1"/>
      <w:numFmt w:val="lowerRoman"/>
      <w:lvlText w:val="%3."/>
      <w:lvlJc w:val="right"/>
      <w:pPr>
        <w:ind w:left="2160" w:hanging="180"/>
      </w:pPr>
    </w:lvl>
    <w:lvl w:ilvl="3" w:tplc="C1F8C4F6">
      <w:start w:val="1"/>
      <w:numFmt w:val="decimal"/>
      <w:lvlText w:val="%4."/>
      <w:lvlJc w:val="left"/>
      <w:pPr>
        <w:ind w:left="2880" w:hanging="360"/>
      </w:pPr>
    </w:lvl>
    <w:lvl w:ilvl="4" w:tplc="B92EA144">
      <w:start w:val="1"/>
      <w:numFmt w:val="lowerLetter"/>
      <w:lvlText w:val="%5."/>
      <w:lvlJc w:val="left"/>
      <w:pPr>
        <w:ind w:left="3600" w:hanging="360"/>
      </w:pPr>
    </w:lvl>
    <w:lvl w:ilvl="5" w:tplc="5A3ABD5A">
      <w:start w:val="1"/>
      <w:numFmt w:val="lowerRoman"/>
      <w:lvlText w:val="%6."/>
      <w:lvlJc w:val="right"/>
      <w:pPr>
        <w:ind w:left="4320" w:hanging="180"/>
      </w:pPr>
    </w:lvl>
    <w:lvl w:ilvl="6" w:tplc="D1B2395A">
      <w:start w:val="1"/>
      <w:numFmt w:val="decimal"/>
      <w:lvlText w:val="%7."/>
      <w:lvlJc w:val="left"/>
      <w:pPr>
        <w:ind w:left="5040" w:hanging="360"/>
      </w:pPr>
    </w:lvl>
    <w:lvl w:ilvl="7" w:tplc="83F862C6">
      <w:start w:val="1"/>
      <w:numFmt w:val="lowerLetter"/>
      <w:lvlText w:val="%8."/>
      <w:lvlJc w:val="left"/>
      <w:pPr>
        <w:ind w:left="5760" w:hanging="360"/>
      </w:pPr>
    </w:lvl>
    <w:lvl w:ilvl="8" w:tplc="D29C63EE">
      <w:start w:val="1"/>
      <w:numFmt w:val="lowerRoman"/>
      <w:lvlText w:val="%9."/>
      <w:lvlJc w:val="right"/>
      <w:pPr>
        <w:ind w:left="6480" w:hanging="180"/>
      </w:pPr>
    </w:lvl>
  </w:abstractNum>
  <w:num w:numId="1" w16cid:durableId="1815029243">
    <w:abstractNumId w:val="0"/>
  </w:num>
  <w:num w:numId="2" w16cid:durableId="1806000152">
    <w:abstractNumId w:val="3"/>
  </w:num>
  <w:num w:numId="3" w16cid:durableId="1744335697">
    <w:abstractNumId w:val="2"/>
  </w:num>
  <w:num w:numId="4" w16cid:durableId="2017413309">
    <w:abstractNumId w:val="1"/>
  </w:num>
  <w:num w:numId="5" w16cid:durableId="708997419">
    <w:abstractNumId w:val="4"/>
  </w:num>
  <w:num w:numId="6" w16cid:durableId="384334680">
    <w:abstractNumId w:val="6"/>
  </w:num>
  <w:num w:numId="7" w16cid:durableId="6916155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FD7"/>
    <w:rsid w:val="000138B9"/>
    <w:rsid w:val="000339FD"/>
    <w:rsid w:val="000436E9"/>
    <w:rsid w:val="000918D2"/>
    <w:rsid w:val="00095067"/>
    <w:rsid w:val="000C3AB6"/>
    <w:rsid w:val="000D03DC"/>
    <w:rsid w:val="000D3D39"/>
    <w:rsid w:val="000D7907"/>
    <w:rsid w:val="000E313C"/>
    <w:rsid w:val="0012494B"/>
    <w:rsid w:val="001569BD"/>
    <w:rsid w:val="00173A32"/>
    <w:rsid w:val="00175220"/>
    <w:rsid w:val="00176D45"/>
    <w:rsid w:val="00185E08"/>
    <w:rsid w:val="00187C86"/>
    <w:rsid w:val="00192A70"/>
    <w:rsid w:val="001968A3"/>
    <w:rsid w:val="001C352F"/>
    <w:rsid w:val="001D7734"/>
    <w:rsid w:val="001F43E8"/>
    <w:rsid w:val="001F557E"/>
    <w:rsid w:val="00213F74"/>
    <w:rsid w:val="00225033"/>
    <w:rsid w:val="00252A17"/>
    <w:rsid w:val="00266E56"/>
    <w:rsid w:val="00282056"/>
    <w:rsid w:val="0028207D"/>
    <w:rsid w:val="00285C8B"/>
    <w:rsid w:val="00291DD9"/>
    <w:rsid w:val="00294977"/>
    <w:rsid w:val="002A17F1"/>
    <w:rsid w:val="002B44A5"/>
    <w:rsid w:val="002C16FE"/>
    <w:rsid w:val="002C3240"/>
    <w:rsid w:val="002C487D"/>
    <w:rsid w:val="002D0BC1"/>
    <w:rsid w:val="002D165D"/>
    <w:rsid w:val="002F1334"/>
    <w:rsid w:val="002F577B"/>
    <w:rsid w:val="003205D7"/>
    <w:rsid w:val="0034074F"/>
    <w:rsid w:val="003422E7"/>
    <w:rsid w:val="00364D2B"/>
    <w:rsid w:val="0037674E"/>
    <w:rsid w:val="003779AE"/>
    <w:rsid w:val="003B58BA"/>
    <w:rsid w:val="003D0612"/>
    <w:rsid w:val="003D796A"/>
    <w:rsid w:val="003F2078"/>
    <w:rsid w:val="003F5295"/>
    <w:rsid w:val="003F693C"/>
    <w:rsid w:val="0043541D"/>
    <w:rsid w:val="00450778"/>
    <w:rsid w:val="00452D57"/>
    <w:rsid w:val="004949B7"/>
    <w:rsid w:val="004C15BB"/>
    <w:rsid w:val="004F4CA5"/>
    <w:rsid w:val="0057347E"/>
    <w:rsid w:val="00576EFF"/>
    <w:rsid w:val="0058484D"/>
    <w:rsid w:val="0059238A"/>
    <w:rsid w:val="005953BF"/>
    <w:rsid w:val="005A2A0C"/>
    <w:rsid w:val="005D04B7"/>
    <w:rsid w:val="005D4793"/>
    <w:rsid w:val="005F04B5"/>
    <w:rsid w:val="00607151"/>
    <w:rsid w:val="00623A84"/>
    <w:rsid w:val="00664C29"/>
    <w:rsid w:val="00667EAF"/>
    <w:rsid w:val="006939E0"/>
    <w:rsid w:val="006970DF"/>
    <w:rsid w:val="006B6DE5"/>
    <w:rsid w:val="006E3889"/>
    <w:rsid w:val="006F4268"/>
    <w:rsid w:val="006F51D7"/>
    <w:rsid w:val="00710D21"/>
    <w:rsid w:val="00711FD7"/>
    <w:rsid w:val="00724708"/>
    <w:rsid w:val="00753E45"/>
    <w:rsid w:val="00784C36"/>
    <w:rsid w:val="007A3837"/>
    <w:rsid w:val="007A5105"/>
    <w:rsid w:val="007C1848"/>
    <w:rsid w:val="007C2763"/>
    <w:rsid w:val="007E38B9"/>
    <w:rsid w:val="007F2D3A"/>
    <w:rsid w:val="008225E4"/>
    <w:rsid w:val="00823A1A"/>
    <w:rsid w:val="00840690"/>
    <w:rsid w:val="00843750"/>
    <w:rsid w:val="008A3581"/>
    <w:rsid w:val="009105B5"/>
    <w:rsid w:val="0093116E"/>
    <w:rsid w:val="00944C28"/>
    <w:rsid w:val="0099496D"/>
    <w:rsid w:val="009A2048"/>
    <w:rsid w:val="009B055D"/>
    <w:rsid w:val="009C0667"/>
    <w:rsid w:val="009D2DB4"/>
    <w:rsid w:val="009D6890"/>
    <w:rsid w:val="00A05933"/>
    <w:rsid w:val="00A15D43"/>
    <w:rsid w:val="00A400E3"/>
    <w:rsid w:val="00A420F7"/>
    <w:rsid w:val="00A73177"/>
    <w:rsid w:val="00AA2207"/>
    <w:rsid w:val="00AB2EC6"/>
    <w:rsid w:val="00AE567A"/>
    <w:rsid w:val="00AF5079"/>
    <w:rsid w:val="00AF55F7"/>
    <w:rsid w:val="00AF7C80"/>
    <w:rsid w:val="00B33DC2"/>
    <w:rsid w:val="00B47B21"/>
    <w:rsid w:val="00B62943"/>
    <w:rsid w:val="00B6768D"/>
    <w:rsid w:val="00B77D99"/>
    <w:rsid w:val="00BC2582"/>
    <w:rsid w:val="00BC478E"/>
    <w:rsid w:val="00C462A9"/>
    <w:rsid w:val="00C5460A"/>
    <w:rsid w:val="00C548FD"/>
    <w:rsid w:val="00C558B6"/>
    <w:rsid w:val="00C97A90"/>
    <w:rsid w:val="00CA6C03"/>
    <w:rsid w:val="00CF19F5"/>
    <w:rsid w:val="00D02E60"/>
    <w:rsid w:val="00D06809"/>
    <w:rsid w:val="00D17769"/>
    <w:rsid w:val="00D212AA"/>
    <w:rsid w:val="00D25FEA"/>
    <w:rsid w:val="00D26549"/>
    <w:rsid w:val="00D3547E"/>
    <w:rsid w:val="00D529A0"/>
    <w:rsid w:val="00D726CD"/>
    <w:rsid w:val="00DE10DB"/>
    <w:rsid w:val="00DE5BF9"/>
    <w:rsid w:val="00DF0CD2"/>
    <w:rsid w:val="00E0311A"/>
    <w:rsid w:val="00E20EFB"/>
    <w:rsid w:val="00E450CB"/>
    <w:rsid w:val="00E53952"/>
    <w:rsid w:val="00E80135"/>
    <w:rsid w:val="00E81FF7"/>
    <w:rsid w:val="00EA4BA5"/>
    <w:rsid w:val="00EA5C14"/>
    <w:rsid w:val="00EC1538"/>
    <w:rsid w:val="00ED076E"/>
    <w:rsid w:val="00EF2F8A"/>
    <w:rsid w:val="00F128AB"/>
    <w:rsid w:val="00F1543D"/>
    <w:rsid w:val="00F173BC"/>
    <w:rsid w:val="00F27533"/>
    <w:rsid w:val="00F305DA"/>
    <w:rsid w:val="00F316FC"/>
    <w:rsid w:val="00F57A0F"/>
    <w:rsid w:val="00F71A2F"/>
    <w:rsid w:val="00F847C0"/>
    <w:rsid w:val="00F85265"/>
    <w:rsid w:val="00F87AE1"/>
    <w:rsid w:val="00FB1492"/>
    <w:rsid w:val="00FB2621"/>
    <w:rsid w:val="00FB7634"/>
    <w:rsid w:val="00FB7E36"/>
    <w:rsid w:val="00FC0CBE"/>
    <w:rsid w:val="00FC4953"/>
    <w:rsid w:val="00FD4871"/>
    <w:rsid w:val="00FE655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50F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0" w:line="247" w:lineRule="auto"/>
    </w:pPr>
    <w:rPr>
      <w:rFonts w:ascii="Arial" w:hAnsi="Arial"/>
      <w:color w:val="000000"/>
      <w:sz w:val="22"/>
    </w:rPr>
  </w:style>
  <w:style w:type="paragraph" w:styleId="Heading1">
    <w:name w:val="heading 1"/>
    <w:basedOn w:val="Normal"/>
    <w:next w:val="Normal"/>
    <w:link w:val="Heading1Char"/>
    <w:uiPriority w:val="9"/>
    <w:qFormat/>
    <w:rsid w:val="00711FD7"/>
    <w:pPr>
      <w:keepNext/>
      <w:keepLines/>
      <w:spacing w:after="200"/>
      <w:outlineLvl w:val="0"/>
    </w:pPr>
    <w:rPr>
      <w:rFonts w:asciiTheme="majorHAnsi" w:eastAsiaTheme="majorEastAsia" w:hAnsiTheme="majorHAnsi" w:cstheme="majorBidi"/>
      <w:b/>
      <w:sz w:val="24"/>
      <w:szCs w:val="40"/>
    </w:rPr>
  </w:style>
  <w:style w:type="paragraph" w:styleId="Heading2">
    <w:name w:val="heading 2"/>
    <w:basedOn w:val="Normal"/>
    <w:next w:val="Normal"/>
    <w:link w:val="Heading2Char"/>
    <w:uiPriority w:val="9"/>
    <w:semiHidden/>
    <w:unhideWhenUsed/>
    <w:qFormat/>
    <w:rsid w:val="00711FD7"/>
    <w:pPr>
      <w:keepNext/>
      <w:keepLines/>
      <w:spacing w:after="200"/>
      <w:outlineLvl w:val="1"/>
    </w:pPr>
    <w:rPr>
      <w:rFonts w:asciiTheme="majorHAnsi" w:eastAsiaTheme="majorEastAsia" w:hAnsiTheme="majorHAnsi" w:cstheme="majorBidi"/>
      <w:b/>
      <w:szCs w:val="32"/>
    </w:rPr>
  </w:style>
  <w:style w:type="paragraph" w:styleId="Heading3">
    <w:name w:val="heading 3"/>
    <w:basedOn w:val="Normal"/>
    <w:next w:val="Normal"/>
    <w:link w:val="Heading3Char"/>
    <w:uiPriority w:val="9"/>
    <w:semiHidden/>
    <w:unhideWhenUsed/>
    <w:qFormat/>
    <w:rsid w:val="00711F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F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F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F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F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F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F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FD7"/>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sid w:val="00711FD7"/>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711FD7"/>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711FD7"/>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711FD7"/>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711FD7"/>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711FD7"/>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711FD7"/>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711FD7"/>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711FD7"/>
    <w:pPr>
      <w:keepNext/>
      <w:spacing w:after="200" w:line="240" w:lineRule="auto"/>
      <w:contextualSpacing/>
    </w:pPr>
    <w:rPr>
      <w:rFonts w:asciiTheme="majorHAnsi" w:eastAsiaTheme="majorEastAsia" w:hAnsiTheme="majorHAnsi" w:cstheme="majorBidi"/>
      <w:b/>
      <w:spacing w:val="-10"/>
      <w:kern w:val="28"/>
      <w:sz w:val="26"/>
      <w:szCs w:val="56"/>
    </w:rPr>
  </w:style>
  <w:style w:type="character" w:customStyle="1" w:styleId="TitleChar">
    <w:name w:val="Title Char"/>
    <w:basedOn w:val="DefaultParagraphFont"/>
    <w:link w:val="Title"/>
    <w:uiPriority w:val="10"/>
    <w:rsid w:val="00711FD7"/>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711F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FD7"/>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711FD7"/>
    <w:pPr>
      <w:spacing w:before="160"/>
      <w:jc w:val="center"/>
    </w:pPr>
    <w:rPr>
      <w:i/>
      <w:iCs/>
      <w:color w:val="404040" w:themeColor="text1" w:themeTint="BF"/>
    </w:rPr>
  </w:style>
  <w:style w:type="character" w:customStyle="1" w:styleId="QuoteChar">
    <w:name w:val="Quote Char"/>
    <w:basedOn w:val="DefaultParagraphFont"/>
    <w:link w:val="Quote"/>
    <w:uiPriority w:val="29"/>
    <w:rsid w:val="00711FD7"/>
    <w:rPr>
      <w:i/>
      <w:iCs/>
      <w:color w:val="404040" w:themeColor="text1" w:themeTint="BF"/>
      <w:lang w:val="fr-FR"/>
    </w:rPr>
  </w:style>
  <w:style w:type="paragraph" w:styleId="ListParagraph">
    <w:name w:val="List Paragraph"/>
    <w:basedOn w:val="Normal"/>
    <w:uiPriority w:val="34"/>
    <w:qFormat/>
    <w:rsid w:val="00711FD7"/>
    <w:pPr>
      <w:ind w:left="720"/>
      <w:contextualSpacing/>
    </w:pPr>
  </w:style>
  <w:style w:type="character" w:styleId="IntenseEmphasis">
    <w:name w:val="Intense Emphasis"/>
    <w:basedOn w:val="DefaultParagraphFont"/>
    <w:uiPriority w:val="21"/>
    <w:qFormat/>
    <w:rsid w:val="00711FD7"/>
    <w:rPr>
      <w:i/>
      <w:iCs/>
      <w:color w:val="0F4761" w:themeColor="accent1" w:themeShade="BF"/>
    </w:rPr>
  </w:style>
  <w:style w:type="paragraph" w:styleId="IntenseQuote">
    <w:name w:val="Intense Quote"/>
    <w:basedOn w:val="Normal"/>
    <w:next w:val="Normal"/>
    <w:link w:val="IntenseQuoteChar"/>
    <w:uiPriority w:val="30"/>
    <w:qFormat/>
    <w:rsid w:val="00711F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FD7"/>
    <w:rPr>
      <w:i/>
      <w:iCs/>
      <w:color w:val="0F4761" w:themeColor="accent1" w:themeShade="BF"/>
      <w:lang w:val="fr-FR"/>
    </w:rPr>
  </w:style>
  <w:style w:type="character" w:styleId="IntenseReference">
    <w:name w:val="Intense Reference"/>
    <w:basedOn w:val="DefaultParagraphFont"/>
    <w:uiPriority w:val="32"/>
    <w:qFormat/>
    <w:rsid w:val="00711FD7"/>
    <w:rPr>
      <w:b/>
      <w:bCs/>
      <w:smallCaps/>
      <w:color w:val="0F4761" w:themeColor="accent1" w:themeShade="BF"/>
      <w:spacing w:val="5"/>
    </w:rPr>
  </w:style>
  <w:style w:type="character" w:styleId="CommentReference">
    <w:name w:val="annotation reference"/>
    <w:basedOn w:val="DefaultParagraphFont"/>
    <w:uiPriority w:val="99"/>
    <w:semiHidden/>
    <w:unhideWhenUsed/>
    <w:rsid w:val="00173A32"/>
    <w:rPr>
      <w:sz w:val="16"/>
      <w:szCs w:val="16"/>
    </w:rPr>
  </w:style>
  <w:style w:type="paragraph" w:styleId="CommentText">
    <w:name w:val="annotation text"/>
    <w:basedOn w:val="Normal"/>
    <w:link w:val="CommentTextChar"/>
    <w:uiPriority w:val="99"/>
    <w:unhideWhenUsed/>
    <w:rsid w:val="00173A32"/>
    <w:pPr>
      <w:spacing w:line="240" w:lineRule="auto"/>
    </w:pPr>
    <w:rPr>
      <w:sz w:val="20"/>
      <w:szCs w:val="20"/>
    </w:rPr>
  </w:style>
  <w:style w:type="character" w:customStyle="1" w:styleId="CommentTextChar">
    <w:name w:val="Comment Text Char"/>
    <w:basedOn w:val="DefaultParagraphFont"/>
    <w:link w:val="CommentText"/>
    <w:uiPriority w:val="99"/>
    <w:rsid w:val="00173A32"/>
    <w:rPr>
      <w:sz w:val="20"/>
      <w:szCs w:val="20"/>
      <w:lang w:val="fr-FR"/>
    </w:rPr>
  </w:style>
  <w:style w:type="paragraph" w:styleId="CommentSubject">
    <w:name w:val="annotation subject"/>
    <w:basedOn w:val="CommentText"/>
    <w:next w:val="CommentText"/>
    <w:link w:val="CommentSubjectChar"/>
    <w:uiPriority w:val="99"/>
    <w:semiHidden/>
    <w:unhideWhenUsed/>
    <w:rsid w:val="00173A32"/>
    <w:rPr>
      <w:b/>
      <w:bCs/>
    </w:rPr>
  </w:style>
  <w:style w:type="character" w:customStyle="1" w:styleId="CommentSubjectChar">
    <w:name w:val="Comment Subject Char"/>
    <w:basedOn w:val="CommentTextChar"/>
    <w:link w:val="CommentSubject"/>
    <w:uiPriority w:val="99"/>
    <w:semiHidden/>
    <w:rsid w:val="00173A32"/>
    <w:rPr>
      <w:b/>
      <w:bCs/>
      <w:sz w:val="20"/>
      <w:szCs w:val="20"/>
      <w:lang w:val="fr-FR"/>
    </w:rPr>
  </w:style>
  <w:style w:type="paragraph" w:styleId="Revision">
    <w:name w:val="Revision"/>
    <w:hidden/>
    <w:uiPriority w:val="99"/>
    <w:semiHidden/>
    <w:rsid w:val="000D03DC"/>
    <w:pPr>
      <w:spacing w:after="0" w:line="240" w:lineRule="auto"/>
    </w:pPr>
  </w:style>
  <w:style w:type="paragraph" w:styleId="Header">
    <w:name w:val="header"/>
    <w:basedOn w:val="Normal"/>
    <w:link w:val="HeaderChar"/>
    <w:uiPriority w:val="99"/>
    <w:unhideWhenUsed/>
    <w:rsid w:val="00C558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558B6"/>
    <w:rPr>
      <w:lang w:val="fr-FR"/>
    </w:rPr>
  </w:style>
  <w:style w:type="paragraph" w:styleId="Footer">
    <w:name w:val="footer"/>
    <w:basedOn w:val="Normal"/>
    <w:link w:val="FooterChar"/>
    <w:uiPriority w:val="99"/>
    <w:unhideWhenUsed/>
    <w:rsid w:val="00C558B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558B6"/>
    <w:rPr>
      <w:lang w:val="fr-FR"/>
    </w:rPr>
  </w:style>
  <w:style w:type="paragraph" w:customStyle="1" w:styleId="Default">
    <w:name w:val="Default"/>
    <w:rsid w:val="00D212AA"/>
    <w:pPr>
      <w:autoSpaceDE w:val="0"/>
      <w:autoSpaceDN w:val="0"/>
      <w:adjustRightInd w:val="0"/>
      <w:spacing w:after="0" w:line="240" w:lineRule="auto"/>
    </w:pPr>
    <w:rPr>
      <w:rFonts w:ascii="Cambria" w:hAnsi="Cambria" w:cs="Cambria"/>
      <w:color w:val="000000"/>
      <w:kern w:val="0"/>
    </w:rPr>
  </w:style>
  <w:style w:type="character" w:styleId="Hyperlink">
    <w:name w:val="Hyperlink"/>
    <w:basedOn w:val="DefaultParagraphFont"/>
    <w:uiPriority w:val="99"/>
    <w:unhideWhenUsed/>
    <w:rsid w:val="0057347E"/>
    <w:rPr>
      <w:color w:val="467886" w:themeColor="hyperlink"/>
      <w:u w:val="single"/>
    </w:rPr>
  </w:style>
  <w:style w:type="character" w:styleId="UnresolvedMention">
    <w:name w:val="Unresolved Mention"/>
    <w:basedOn w:val="DefaultParagraphFont"/>
    <w:uiPriority w:val="99"/>
    <w:semiHidden/>
    <w:unhideWhenUsed/>
    <w:rsid w:val="00573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28842">
      <w:bodyDiv w:val="1"/>
      <w:marLeft w:val="0"/>
      <w:marRight w:val="0"/>
      <w:marTop w:val="0"/>
      <w:marBottom w:val="0"/>
      <w:divBdr>
        <w:top w:val="none" w:sz="0" w:space="0" w:color="auto"/>
        <w:left w:val="none" w:sz="0" w:space="0" w:color="auto"/>
        <w:bottom w:val="none" w:sz="0" w:space="0" w:color="auto"/>
        <w:right w:val="none" w:sz="0" w:space="0" w:color="auto"/>
      </w:divBdr>
    </w:div>
    <w:div w:id="895049783">
      <w:bodyDiv w:val="1"/>
      <w:marLeft w:val="0"/>
      <w:marRight w:val="0"/>
      <w:marTop w:val="0"/>
      <w:marBottom w:val="0"/>
      <w:divBdr>
        <w:top w:val="none" w:sz="0" w:space="0" w:color="auto"/>
        <w:left w:val="none" w:sz="0" w:space="0" w:color="auto"/>
        <w:bottom w:val="none" w:sz="0" w:space="0" w:color="auto"/>
        <w:right w:val="none" w:sz="0" w:space="0" w:color="auto"/>
      </w:divBdr>
    </w:div>
    <w:div w:id="1250231535">
      <w:bodyDiv w:val="1"/>
      <w:marLeft w:val="0"/>
      <w:marRight w:val="0"/>
      <w:marTop w:val="0"/>
      <w:marBottom w:val="0"/>
      <w:divBdr>
        <w:top w:val="none" w:sz="0" w:space="0" w:color="auto"/>
        <w:left w:val="none" w:sz="0" w:space="0" w:color="auto"/>
        <w:bottom w:val="none" w:sz="0" w:space="0" w:color="auto"/>
        <w:right w:val="none" w:sz="0" w:space="0" w:color="auto"/>
      </w:divBdr>
    </w:div>
    <w:div w:id="199394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25-04-f.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ccat.int/Documents/Recs/compendiopdf-f/2025-04-f.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C4806-E5AB-4B8B-9CD8-225459264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1754</Words>
  <Characters>10000</Characters>
  <Application>Microsoft Office Word</Application>
  <DocSecurity>0</DocSecurity>
  <Lines>83</Lines>
  <Paragraphs>23</Paragraphs>
  <ScaleCrop>false</ScaleCrop>
  <Company/>
  <LinksUpToDate>false</LinksUpToDate>
  <CharactersWithSpaces>11731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2026-10-16T09:06:00Z</dcterms:created>
  <dcterms:modified xsi:type="dcterms:W3CDTF">2026-10-19T09:00:00Z</dcterms:modified>
</cp:coreProperties>
</file>