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5AE" w:rsidRPr="003616AE" w:rsidRDefault="006B75AE" w:rsidP="006B75AE">
      <w:pPr>
        <w:pStyle w:val="Ttulo2"/>
        <w:spacing w:before="0" w:after="0" w:line="240" w:lineRule="auto"/>
        <w:jc w:val="right"/>
        <w:rPr>
          <w:rFonts w:ascii="Cambria" w:hAnsi="Cambria"/>
          <w:color w:val="auto"/>
          <w:sz w:val="20"/>
          <w:szCs w:val="20"/>
          <w:lang w:val="es-ES_tradnl"/>
        </w:rPr>
      </w:pPr>
      <w:r w:rsidRPr="003616AE">
        <w:rPr>
          <w:rFonts w:ascii="Cambria" w:hAnsi="Cambria"/>
          <w:b/>
          <w:color w:val="auto"/>
          <w:sz w:val="20"/>
          <w:lang w:val="es-ES_tradnl"/>
        </w:rPr>
        <w:t>Original:</w:t>
      </w:r>
      <w:r w:rsidR="003616AE" w:rsidRPr="003616AE">
        <w:rPr>
          <w:rFonts w:ascii="Cambria" w:hAnsi="Cambria"/>
          <w:b/>
          <w:color w:val="auto"/>
          <w:sz w:val="20"/>
          <w:lang w:val="es-ES_tradnl"/>
        </w:rPr>
        <w:t xml:space="preserve"> </w:t>
      </w:r>
      <w:r w:rsidRPr="003616AE">
        <w:rPr>
          <w:rFonts w:ascii="Cambria" w:hAnsi="Cambria"/>
          <w:b/>
          <w:color w:val="auto"/>
          <w:sz w:val="20"/>
          <w:lang w:val="es-ES_tradnl"/>
        </w:rPr>
        <w:t>inglés</w:t>
      </w:r>
    </w:p>
    <w:p w:rsidR="006B75AE" w:rsidRPr="003616AE" w:rsidRDefault="006B75AE" w:rsidP="00B042DB">
      <w:pPr>
        <w:pStyle w:val="Ttulo2"/>
        <w:spacing w:before="0" w:after="0" w:line="240" w:lineRule="auto"/>
        <w:jc w:val="center"/>
        <w:rPr>
          <w:rFonts w:ascii="Cambria" w:hAnsi="Cambria"/>
          <w:b/>
          <w:bCs/>
          <w:color w:val="auto"/>
          <w:sz w:val="20"/>
          <w:szCs w:val="20"/>
          <w:lang w:val="es-ES_tradnl"/>
        </w:rPr>
      </w:pPr>
    </w:p>
    <w:p w:rsidR="00B042DB" w:rsidRPr="003616AE" w:rsidRDefault="00B042DB" w:rsidP="00B042DB">
      <w:pPr>
        <w:tabs>
          <w:tab w:val="right" w:pos="9071"/>
        </w:tabs>
        <w:spacing w:line="240" w:lineRule="auto"/>
        <w:jc w:val="center"/>
        <w:rPr>
          <w:b/>
          <w:bCs/>
          <w:szCs w:val="20"/>
          <w:lang w:val="es-ES_tradnl"/>
        </w:rPr>
      </w:pPr>
      <w:r w:rsidRPr="003616AE">
        <w:rPr>
          <w:b/>
          <w:lang w:val="es-ES_tradnl"/>
        </w:rPr>
        <w:t>Solicitud de asignación de cuota de atún rojo del Atlántico oriental y del Mediterráneo (BFT-E)</w:t>
      </w:r>
    </w:p>
    <w:p w:rsidR="00B27971" w:rsidRPr="003616AE" w:rsidRDefault="00B042DB" w:rsidP="00B042DB">
      <w:pPr>
        <w:tabs>
          <w:tab w:val="right" w:pos="9071"/>
        </w:tabs>
        <w:spacing w:line="240" w:lineRule="auto"/>
        <w:jc w:val="center"/>
        <w:rPr>
          <w:b/>
          <w:bCs/>
          <w:szCs w:val="20"/>
          <w:lang w:val="es-ES_tradnl"/>
        </w:rPr>
      </w:pPr>
      <w:r w:rsidRPr="003616AE">
        <w:rPr>
          <w:b/>
          <w:lang w:val="es-ES_tradnl"/>
        </w:rPr>
        <w:t>a Montenegro</w:t>
      </w:r>
    </w:p>
    <w:p w:rsidR="00B042DB" w:rsidRPr="003616AE" w:rsidRDefault="00B042DB" w:rsidP="00B042DB">
      <w:pPr>
        <w:tabs>
          <w:tab w:val="right" w:pos="9071"/>
        </w:tabs>
        <w:spacing w:line="240" w:lineRule="auto"/>
        <w:jc w:val="center"/>
        <w:rPr>
          <w:szCs w:val="20"/>
          <w:lang w:val="es-ES_tradnl"/>
        </w:rPr>
      </w:pPr>
    </w:p>
    <w:p w:rsidR="00B042DB" w:rsidRPr="003616AE" w:rsidRDefault="00B042DB" w:rsidP="00B042DB">
      <w:pPr>
        <w:tabs>
          <w:tab w:val="right" w:pos="9071"/>
        </w:tabs>
        <w:spacing w:line="240" w:lineRule="auto"/>
        <w:jc w:val="center"/>
        <w:rPr>
          <w:szCs w:val="20"/>
          <w:lang w:val="es-ES_tradnl"/>
        </w:rPr>
      </w:pPr>
    </w:p>
    <w:p w:rsidR="00B042DB" w:rsidRPr="003616AE" w:rsidRDefault="00B042DB" w:rsidP="00B042DB">
      <w:pPr>
        <w:tabs>
          <w:tab w:val="right" w:pos="9071"/>
        </w:tabs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N.º:</w:t>
      </w:r>
      <w:r w:rsidR="00D64234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06-318/26-27659/1</w:t>
      </w:r>
      <w:r w:rsidRPr="003616AE">
        <w:rPr>
          <w:color w:val="auto"/>
          <w:kern w:val="0"/>
          <w:lang w:val="es-ES_tradnl"/>
        </w:rPr>
        <w:tab/>
        <w:t>12 de octubre de 2026</w:t>
      </w:r>
    </w:p>
    <w:p w:rsidR="00B042DB" w:rsidRPr="003616AE" w:rsidRDefault="00B042DB" w:rsidP="00B042DB">
      <w:pPr>
        <w:spacing w:line="240" w:lineRule="auto"/>
        <w:ind w:left="0" w:firstLine="0"/>
        <w:rPr>
          <w:rFonts w:eastAsia="Calibri" w:cs="Times New Roman"/>
          <w:b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Para: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Secretaría de ICCAT</w:t>
      </w:r>
    </w:p>
    <w:p w:rsidR="00B042DB" w:rsidRPr="003616AE" w:rsidRDefault="00B042DB" w:rsidP="00B042DB">
      <w:pPr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Para su examen por parte de la Subcomisión 2 y la Comisión</w:t>
      </w:r>
    </w:p>
    <w:p w:rsidR="00B042DB" w:rsidRPr="003616AE" w:rsidRDefault="00B042DB" w:rsidP="00B042DB">
      <w:pPr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Comisión Internacional para la Conservación del Atún Atlántico</w:t>
      </w:r>
    </w:p>
    <w:p w:rsidR="00B042DB" w:rsidRPr="003616AE" w:rsidRDefault="00B042DB" w:rsidP="00B042DB">
      <w:pPr>
        <w:spacing w:line="240" w:lineRule="auto"/>
        <w:ind w:left="0" w:firstLine="0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b/>
          <w:color w:val="auto"/>
          <w:kern w:val="0"/>
          <w:szCs w:val="20"/>
          <w:lang w:val="es-ES_tradnl"/>
        </w:rPr>
      </w:pPr>
      <w:r w:rsidRPr="003616AE">
        <w:rPr>
          <w:b/>
          <w:color w:val="auto"/>
          <w:kern w:val="0"/>
          <w:lang w:val="es-ES_tradnl"/>
        </w:rPr>
        <w:t>Asunto:</w:t>
      </w:r>
      <w:r w:rsidR="003616AE" w:rsidRPr="003616AE">
        <w:rPr>
          <w:b/>
          <w:color w:val="auto"/>
          <w:kern w:val="0"/>
          <w:lang w:val="es-ES_tradnl"/>
        </w:rPr>
        <w:t xml:space="preserve"> </w:t>
      </w:r>
      <w:r w:rsidRPr="003616AE">
        <w:rPr>
          <w:b/>
          <w:color w:val="auto"/>
          <w:kern w:val="0"/>
          <w:lang w:val="es-ES_tradnl"/>
        </w:rPr>
        <w:t>Solicitud de una cuota de captura anual de 100 toneladas de atún rojo del Atlántico oriental y del Mediterráneo a partir del 1 de enero de 2027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Estimado Sr. Shingo Ota: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En nombre de Montenegro, planteo por la presente una solicitud formal de una cuota de captura anual de 100 toneladas de atún rojo del Atlántico oriental y el Mediterráneo (</w:t>
      </w:r>
      <w:r w:rsidRPr="003616AE">
        <w:rPr>
          <w:i/>
          <w:iCs/>
          <w:color w:val="auto"/>
          <w:kern w:val="0"/>
          <w:lang w:val="es-ES_tradnl"/>
        </w:rPr>
        <w:t>Thunnus thynnus</w:t>
      </w:r>
      <w:r w:rsidRPr="003616AE">
        <w:rPr>
          <w:color w:val="auto"/>
          <w:kern w:val="0"/>
          <w:lang w:val="es-ES_tradnl"/>
        </w:rPr>
        <w:t>), con efecto a partir del 1 de enero de 2027.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Tras la adhesión de Montenegro a ICCAT en octubre de 2025 y su posterior solicitud de incorporación a la Subcomisión 2, la pertenencia de Montenegro a dicha subcomisión se comunicó en la Circular de ICCAT n.º 08079/2026, de 18 de septiembre de 2026.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Montenegro solicita a la Secretaría que distribuya esta comunicación para su examen por parte de la Subcomisión 2 y de la Comisión en la 25ª reunión extraordinaria de la Comisión, que se celebrará en Vilamoura (Portugal) del 16 al 23 de noviembre de 2026.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En apoyo de esta solicitud, se facilita la siguiente información sobre las capturas históricas y el marco propuesto para la asignación de cuotas nacionales.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Para el periodo de diez años comprendido entre 2016 y 2025, los registros nacionales facilitados para esta comunicación muestran unas capturas totales de atún rojo de 669,82 toneladas, lo que corresponde a una captura anual media de 66,98 toneladas.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 xml:space="preserve">Las capturas anuales se presentan en el </w:t>
      </w:r>
      <w:r w:rsidRPr="003616AE">
        <w:rPr>
          <w:b/>
          <w:bCs/>
          <w:color w:val="auto"/>
          <w:kern w:val="0"/>
          <w:lang w:val="es-ES_tradnl"/>
        </w:rPr>
        <w:t>Anexo 1</w:t>
      </w:r>
      <w:r w:rsidRPr="003616AE">
        <w:rPr>
          <w:color w:val="auto"/>
          <w:kern w:val="0"/>
          <w:lang w:val="es-ES_tradnl"/>
        </w:rPr>
        <w:t>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Durante este periodo, se registraron capturas de atún rojo en 110 buques que enarbolaban pabellón de Montenegro.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Los registros incluyen tanto capturas objetivo como fortuitas.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Las capturas objetivo se consignaron principalmente con los códigos de arte LLD y LX, mientras que las capturas registradas con otros códigos de arte se clasificaron, en general, como fortuitas.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En 2025, 51 buques registraron capturas de atún rojo, que ascendieron a un total de 113,26 toneladas.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Estos registros abarcan todo el periodo entre 2016 y 2025, incluido el periodo anterior a la adhesión de Montenegro a ICCAT.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Los datos históricos de capturas se basan en registros nacionales, con una verificación adicional de la clasificación de determinados artes de pesca.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8"/>
          <w:szCs w:val="18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Teniendo en cuenta estos registros históricos de capturas, la posición geográfica de Montenegro como Estado ribereño del Adriático y del Mediterráneo, su condición de nueva Parte contratante de ICCAT y miembro de la Subcomisión 2, así como las necesidades de su sector pesquero nacional, Montenegro solicita una asignación anual inicial de 100 toneladas de atún rojo del Atlántico oriental y del Mediterráneo a partir del 1 de enero de 2027.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Si se aprueba la asignación, Montenegro tiene la intención de distribuir la cuota con arreglo al Reglamento nacional sobre la pesca del atún rojo, que ya se ha elaborado y cuya adopción está prevista tras la asignación de la cuota.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El marco propuesto establece criterios medioambientales, sociales y económicos transparentes y objetivos, una asignación equitativa entre los segmentos de la flota, una consideración especial para la pesca costera tradicional y a pequeña escala, y el apoyo a artes y técnicas de pesca selectivas con un impacto medioambiental reducido.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 w:val="16"/>
          <w:szCs w:val="16"/>
          <w:lang w:val="es-ES_tradnl"/>
        </w:rPr>
      </w:pPr>
    </w:p>
    <w:p w:rsidR="00B042DB" w:rsidRPr="003616AE" w:rsidRDefault="00B042DB" w:rsidP="00EE13D9">
      <w:pPr>
        <w:widowControl w:val="0"/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 xml:space="preserve">El reglamento elaborado prevé la asignación a las pesquerías comerciales objetivo que utilicen redes de cerco de túnidos y artes de anzuelo y línea, incluidos las líneas de mano, las líneas de curricán y los </w:t>
      </w:r>
      <w:r w:rsidRPr="003616AE">
        <w:rPr>
          <w:color w:val="auto"/>
          <w:kern w:val="0"/>
          <w:lang w:val="es-ES_tradnl"/>
        </w:rPr>
        <w:lastRenderedPageBreak/>
        <w:t>palangres a la deriva, con partes reservadas para las capturas fortuitas, la pesca recreativa y deportiva, y fines científicos.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Las cuotas definitivas por categoría y el número de buques autorizados se determinarían tras la asignación de la cuota, mediante la finalización de la normativa nacional y los planes anuales pertinentes, de conformidad con las medidas de conservación y ordenación aplicables de ICCAT.</w:t>
      </w:r>
    </w:p>
    <w:p w:rsidR="00EE13D9" w:rsidRPr="003616AE" w:rsidRDefault="00EE13D9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Según las disposiciones propuestas, para poder optar a una cuota individual sería necesario estar inscrito en el registro de la flota pesquera de Montenegro, disponer de una licencia de pesca comercial válida que cubra el arte correspondiente y acreditar la participación previa en la pesca del atún rojo, incluidos las capturas, los desembarques y la comercialización de conformidad con la normativa aplicable.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Otras condiciones incluirían la ausencia de puntos de penalización asignados al titular de la licencia o al patrón, así como el pago de las tasas aplicables relacionadas con una cuota asignada anteriormente.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El Ministerio establecería y publicaría una clasificación de buques basada en los registros de capturas, desembarques y comercialización en el sistema de información pesquera, tras lo cual los armadores que cumplan los requisitos solicitarían una cuota individual y una autorización de pesca.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El Ministerio asignaría una cuota individual a cada buque aprobado y expediría una autorización en la que se especificarían el buque, los artes de pesca permitidos, las zonas de pesca y la cuota individual.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El reglamento elaborado prevé un registro nacional de buques autorizados y exige la inscripción en el registro de buques pertinente de ICCAT.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El plan de pesca anual especificaría las cuotas por grupo de artes de pesca, las disposiciones de asignación y ordenación de cuotas, las medidas para garantizar el cumplimiento de las cuotas individuales, las normas sobre capturas fortuitas y el número de buques de captura.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El número de buques y su capacidad se mantendrían proporcionales a las posibilidades de pesca asignadas.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Montenegro ha reforzado su marco de ordenación, seguimiento y control de la pesca, que incluye el sistema de información pesquera (FIS), el sistema de seguimiento de buques (VMS), el centro de seguimiento pesquero (FMC), el registro y la notificación de capturas, y las inspecciones pesqueras.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Se ha elaborado el reglamento sobre la pesca del atún rojo, cuya adopción está prevista para después de la asignación de cuotas.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Los buques autorizados estarían sujetos a los requisitos aplicables en materia de seguimiento, cuadernos de pesca, comunicación de capturas y documentación de estas, así como a otras obligaciones pertinentes de ICCAT.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Las disposiciones nacionales de ordenación de cuotas especificarían las obligaciones de los buques y los procedimientos para el seguimiento de la utilización de las cuotas.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3616AE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Montenegro reafirma su compromiso de aplicar todas las medidas de conservación y ordenación aplicables de ICCAT, incluidas las obligaciones de seguimiento, control, comunicación y cumplimiento, así como de garantizar el uso sostenible y responsable de las posibilidades de pesca que se le asignen.</w:t>
      </w:r>
    </w:p>
    <w:p w:rsidR="00B042DB" w:rsidRPr="003616AE" w:rsidRDefault="00B042DB" w:rsidP="003616AE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3616AE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Montenegro sigue estando a disposición de la Subcomisión 2, de la Comisión y de la Secretaría para facilitar cualquier información adicional o documentación justificativa que sean necesarias para el examen de esta solicitud.</w:t>
      </w:r>
    </w:p>
    <w:p w:rsidR="00B042DB" w:rsidRPr="003616AE" w:rsidRDefault="00B042DB" w:rsidP="00B042DB">
      <w:pPr>
        <w:keepNext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keepNext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Atentamente,</w:t>
      </w:r>
    </w:p>
    <w:p w:rsidR="00B042DB" w:rsidRPr="003616AE" w:rsidRDefault="00B042DB" w:rsidP="00B042DB">
      <w:pPr>
        <w:keepNext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keepNext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(Firmado y sellado)</w:t>
      </w:r>
    </w:p>
    <w:p w:rsidR="00B042DB" w:rsidRPr="003616AE" w:rsidRDefault="00B042DB" w:rsidP="00B042DB">
      <w:pPr>
        <w:keepNext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Katarina Burzanović</w:t>
      </w: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Jefa de la delegación de Montenegro ante ICCAT</w:t>
      </w: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Directora general</w:t>
      </w: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Dirección de Pesca</w:t>
      </w: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Ministerio de Agricultura, Silvicultura y Ordenación de los Recursos Hídricos</w:t>
      </w: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Montenegro</w:t>
      </w: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noProof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keepLines/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pageBreakBefore/>
        <w:spacing w:line="240" w:lineRule="auto"/>
        <w:ind w:left="0" w:firstLine="0"/>
        <w:jc w:val="right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b/>
          <w:color w:val="auto"/>
          <w:kern w:val="0"/>
          <w:lang w:val="es-ES_tradnl"/>
        </w:rPr>
        <w:lastRenderedPageBreak/>
        <w:t>Anexo 1</w:t>
      </w:r>
    </w:p>
    <w:p w:rsidR="00B042DB" w:rsidRPr="003616AE" w:rsidRDefault="00B042DB" w:rsidP="00B042DB">
      <w:pPr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center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b/>
          <w:color w:val="auto"/>
          <w:kern w:val="0"/>
          <w:lang w:val="es-ES_tradnl"/>
        </w:rPr>
        <w:t>Capturas históricas de atún rojo</w:t>
      </w:r>
    </w:p>
    <w:p w:rsidR="00B042DB" w:rsidRPr="003616AE" w:rsidRDefault="00B042DB" w:rsidP="00B042DB">
      <w:pPr>
        <w:spacing w:line="240" w:lineRule="auto"/>
        <w:ind w:left="0" w:firstLine="0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Especie: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Atún rojo del Atlántico (</w:t>
      </w:r>
      <w:r w:rsidRPr="003616AE">
        <w:rPr>
          <w:i/>
          <w:iCs/>
          <w:color w:val="auto"/>
          <w:kern w:val="0"/>
          <w:lang w:val="es-ES_tradnl"/>
        </w:rPr>
        <w:t>Thunnus thynnus</w:t>
      </w:r>
      <w:r w:rsidRPr="003616AE">
        <w:rPr>
          <w:color w:val="auto"/>
          <w:kern w:val="0"/>
          <w:lang w:val="es-ES_tradnl"/>
        </w:rPr>
        <w:t>).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Fuente: datos nacionales facilitados a la Subcomisión 2, hoja de cálculo Ulov 2016-2025.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Las cantidades se expresan en toneladas y se redondean a tres decimales.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  <w:r w:rsidRPr="003616AE">
        <w:rPr>
          <w:color w:val="auto"/>
          <w:kern w:val="0"/>
          <w:lang w:val="es-ES_tradnl"/>
        </w:rPr>
        <w:t>Los registros históricos abarcan 110 buques, con una eslora total que oscila entre 3,6 m y 29 m.</w:t>
      </w:r>
      <w:r w:rsidR="003616AE" w:rsidRPr="003616AE">
        <w:rPr>
          <w:color w:val="auto"/>
          <w:kern w:val="0"/>
          <w:lang w:val="es-ES_tradnl"/>
        </w:rPr>
        <w:t xml:space="preserve"> </w:t>
      </w:r>
      <w:r w:rsidRPr="003616AE">
        <w:rPr>
          <w:color w:val="auto"/>
          <w:kern w:val="0"/>
          <w:lang w:val="es-ES_tradnl"/>
        </w:rPr>
        <w:t>Estas cifras describen la flota histórica; la lista definitiva de buques y arte con derecho a utilizar una cuota asignada se establecería por separado.</w:t>
      </w:r>
    </w:p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tbl>
      <w:tblPr>
        <w:tblStyle w:val="TableGrid1"/>
        <w:tblW w:w="0" w:type="auto"/>
        <w:tblLook w:val="04A0"/>
      </w:tblPr>
      <w:tblGrid>
        <w:gridCol w:w="4643"/>
        <w:gridCol w:w="4644"/>
      </w:tblGrid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i/>
                <w:iCs/>
                <w:color w:val="auto"/>
                <w:szCs w:val="20"/>
                <w:lang w:val="es-ES_tradnl"/>
              </w:rPr>
            </w:pPr>
            <w:r w:rsidRPr="003616AE">
              <w:rPr>
                <w:i/>
                <w:color w:val="auto"/>
                <w:lang w:val="es-ES_tradnl"/>
              </w:rPr>
              <w:t>Año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i/>
                <w:iCs/>
                <w:color w:val="auto"/>
                <w:szCs w:val="20"/>
                <w:lang w:val="es-ES_tradnl"/>
              </w:rPr>
            </w:pPr>
            <w:r w:rsidRPr="003616AE">
              <w:rPr>
                <w:i/>
                <w:color w:val="auto"/>
                <w:lang w:val="es-ES_tradnl"/>
              </w:rPr>
              <w:t>Captura (t)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2016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45,46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2017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72,82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2018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94,55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2019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59,05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2020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24,24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2021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22,62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2022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37,50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2023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34,00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2024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166,32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2025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color w:val="auto"/>
                <w:lang w:val="es-ES_tradnl"/>
              </w:rPr>
              <w:t>113,26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b/>
                <w:color w:val="auto"/>
                <w:lang w:val="es-ES_tradnl"/>
              </w:rPr>
              <w:t>Total 2016–2025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b/>
                <w:color w:val="auto"/>
                <w:lang w:val="es-ES_tradnl"/>
              </w:rPr>
              <w:t>669,82</w:t>
            </w:r>
          </w:p>
        </w:tc>
      </w:tr>
      <w:tr w:rsidR="00B042DB" w:rsidRPr="003616AE" w:rsidTr="00C409D6"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b/>
                <w:color w:val="auto"/>
                <w:lang w:val="es-ES_tradnl"/>
              </w:rPr>
              <w:t>Media anual</w:t>
            </w:r>
          </w:p>
        </w:tc>
        <w:tc>
          <w:tcPr>
            <w:tcW w:w="4703" w:type="dxa"/>
          </w:tcPr>
          <w:p w:rsidR="00B042DB" w:rsidRPr="003616AE" w:rsidRDefault="00B042DB" w:rsidP="00B042DB">
            <w:pPr>
              <w:spacing w:line="240" w:lineRule="auto"/>
              <w:ind w:left="0" w:firstLine="0"/>
              <w:jc w:val="both"/>
              <w:rPr>
                <w:rFonts w:eastAsia="Calibri" w:cs="Times New Roman"/>
                <w:color w:val="auto"/>
                <w:szCs w:val="20"/>
                <w:lang w:val="es-ES_tradnl"/>
              </w:rPr>
            </w:pPr>
            <w:r w:rsidRPr="003616AE">
              <w:rPr>
                <w:b/>
                <w:color w:val="auto"/>
                <w:lang w:val="es-ES_tradnl"/>
              </w:rPr>
              <w:t>66,98</w:t>
            </w:r>
          </w:p>
        </w:tc>
      </w:tr>
    </w:tbl>
    <w:p w:rsidR="00B042DB" w:rsidRPr="003616AE" w:rsidRDefault="00B042DB" w:rsidP="00B042DB">
      <w:pPr>
        <w:spacing w:line="240" w:lineRule="auto"/>
        <w:ind w:left="0" w:firstLine="0"/>
        <w:jc w:val="both"/>
        <w:rPr>
          <w:rFonts w:eastAsia="Calibri" w:cs="Times New Roman"/>
          <w:color w:val="auto"/>
          <w:kern w:val="0"/>
          <w:szCs w:val="20"/>
          <w:lang w:val="es-ES_tradnl"/>
        </w:rPr>
      </w:pPr>
    </w:p>
    <w:p w:rsidR="00D65828" w:rsidRPr="003616AE" w:rsidRDefault="00D65828" w:rsidP="00B27971">
      <w:pPr>
        <w:pStyle w:val="Ttulo2"/>
        <w:spacing w:before="0" w:after="0" w:line="240" w:lineRule="auto"/>
        <w:jc w:val="center"/>
        <w:rPr>
          <w:b/>
          <w:bCs/>
          <w:sz w:val="20"/>
          <w:szCs w:val="20"/>
          <w:lang w:val="es-ES_tradnl"/>
        </w:rPr>
      </w:pPr>
    </w:p>
    <w:sectPr w:rsidR="00D65828" w:rsidRPr="003616AE" w:rsidSect="00023BB1">
      <w:headerReference w:type="default" r:id="rId10"/>
      <w:footerReference w:type="default" r:id="rId11"/>
      <w:pgSz w:w="11907" w:h="16840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7E3" w:rsidRDefault="004B57E3" w:rsidP="00BF2F34">
      <w:pPr>
        <w:spacing w:line="240" w:lineRule="auto"/>
      </w:pPr>
      <w:r>
        <w:separator/>
      </w:r>
    </w:p>
  </w:endnote>
  <w:endnote w:type="continuationSeparator" w:id="1">
    <w:p w:rsidR="004B57E3" w:rsidRDefault="004B57E3" w:rsidP="00BF2F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34" w:rsidRPr="006B75AE" w:rsidRDefault="00B77A2A" w:rsidP="006B75AE">
    <w:pPr>
      <w:tabs>
        <w:tab w:val="center" w:pos="4535"/>
        <w:tab w:val="center" w:pos="4680"/>
        <w:tab w:val="left" w:pos="6150"/>
        <w:tab w:val="right" w:pos="9360"/>
      </w:tabs>
      <w:jc w:val="center"/>
      <w:rPr>
        <w:rFonts w:eastAsia="Calibri" w:cs="Calibri"/>
        <w:szCs w:val="22"/>
      </w:rPr>
    </w:pPr>
    <w:sdt>
      <w:sdtPr>
        <w:rPr>
          <w:rFonts w:ascii="Calibri" w:eastAsia="Calibri" w:hAnsi="Calibri" w:cs="Calibri"/>
          <w:szCs w:val="20"/>
        </w:rPr>
        <w:id w:val="810910487"/>
        <w:docPartObj>
          <w:docPartGallery w:val="Page Numbers (Top of Page)"/>
          <w:docPartUnique/>
        </w:docPartObj>
      </w:sdtPr>
      <w:sdtContent>
        <w:r w:rsidRPr="00713AD4">
          <w:rPr>
            <w:rFonts w:eastAsia="Calibri" w:cs="Calibri"/>
          </w:rPr>
          <w:fldChar w:fldCharType="begin"/>
        </w:r>
        <w:r w:rsidR="006B75AE" w:rsidRPr="00713AD4">
          <w:rPr>
            <w:rFonts w:eastAsia="Calibri" w:cs="Calibri"/>
          </w:rPr>
          <w:instrText xml:space="preserve"> PAGE </w:instrText>
        </w:r>
        <w:r w:rsidRPr="00713AD4">
          <w:rPr>
            <w:rFonts w:eastAsia="Calibri" w:cs="Calibri"/>
          </w:rPr>
          <w:fldChar w:fldCharType="separate"/>
        </w:r>
        <w:r w:rsidR="00D64234">
          <w:rPr>
            <w:rFonts w:eastAsia="Calibri" w:cs="Calibri"/>
            <w:noProof/>
          </w:rPr>
          <w:t>1</w:t>
        </w:r>
        <w:r w:rsidRPr="00713AD4">
          <w:rPr>
            <w:rFonts w:eastAsia="Calibri" w:cs="Calibri"/>
          </w:rPr>
          <w:fldChar w:fldCharType="end"/>
        </w:r>
        <w:r w:rsidR="004643B5">
          <w:t xml:space="preserve"> / </w:t>
        </w:r>
        <w:r w:rsidRPr="00713AD4">
          <w:rPr>
            <w:rFonts w:eastAsia="Calibri" w:cs="Calibri"/>
          </w:rPr>
          <w:fldChar w:fldCharType="begin"/>
        </w:r>
        <w:r w:rsidR="006B75AE" w:rsidRPr="00713AD4">
          <w:rPr>
            <w:rFonts w:eastAsia="Calibri" w:cs="Calibri"/>
          </w:rPr>
          <w:instrText xml:space="preserve"> NUMPAGES  </w:instrText>
        </w:r>
        <w:r w:rsidRPr="00713AD4">
          <w:rPr>
            <w:rFonts w:eastAsia="Calibri" w:cs="Calibri"/>
          </w:rPr>
          <w:fldChar w:fldCharType="separate"/>
        </w:r>
        <w:r w:rsidR="00D64234">
          <w:rPr>
            <w:rFonts w:eastAsia="Calibri" w:cs="Calibri"/>
            <w:noProof/>
          </w:rPr>
          <w:t>3</w:t>
        </w:r>
        <w:r w:rsidRPr="00713AD4">
          <w:rPr>
            <w:rFonts w:eastAsia="Calibri" w:cs="Calibri"/>
          </w:rPr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7E3" w:rsidRDefault="004B57E3" w:rsidP="00BF2F34">
      <w:pPr>
        <w:spacing w:line="240" w:lineRule="auto"/>
      </w:pPr>
      <w:r>
        <w:separator/>
      </w:r>
    </w:p>
  </w:footnote>
  <w:footnote w:type="continuationSeparator" w:id="1">
    <w:p w:rsidR="004B57E3" w:rsidRDefault="004B57E3" w:rsidP="00BF2F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5AE" w:rsidRPr="006B75AE" w:rsidRDefault="00B042DB" w:rsidP="006B75AE">
    <w:pPr>
      <w:tabs>
        <w:tab w:val="center" w:pos="4680"/>
        <w:tab w:val="left" w:pos="6520"/>
        <w:tab w:val="right" w:pos="9360"/>
        <w:tab w:val="right" w:pos="14240"/>
      </w:tabs>
      <w:spacing w:line="240" w:lineRule="auto"/>
      <w:ind w:left="0" w:firstLine="0"/>
      <w:jc w:val="right"/>
      <w:rPr>
        <w:rFonts w:eastAsia="Calibri" w:cs="Times New Roman"/>
        <w:b/>
        <w:bCs/>
        <w:color w:val="auto"/>
        <w:kern w:val="0"/>
        <w:szCs w:val="20"/>
      </w:rPr>
    </w:pPr>
    <w:bookmarkStart w:id="0" w:name="_Hlk107908354"/>
    <w:bookmarkStart w:id="1" w:name="_Hlk107908355"/>
    <w:bookmarkStart w:id="2" w:name="_Hlk107908359"/>
    <w:bookmarkStart w:id="3" w:name="_Hlk107908360"/>
    <w:bookmarkStart w:id="4" w:name="_Hlk107908361"/>
    <w:bookmarkStart w:id="5" w:name="_Hlk107908362"/>
    <w:r>
      <w:rPr>
        <w:b/>
        <w:color w:val="auto"/>
        <w:kern w:val="0"/>
      </w:rPr>
      <w:t>PA2_606/2026</w:t>
    </w:r>
  </w:p>
  <w:p w:rsidR="006B75AE" w:rsidRPr="006B75AE" w:rsidRDefault="00B77A2A" w:rsidP="006B75AE">
    <w:pPr>
      <w:tabs>
        <w:tab w:val="left" w:pos="7320"/>
      </w:tabs>
      <w:spacing w:line="240" w:lineRule="exact"/>
      <w:ind w:left="0" w:firstLine="0"/>
      <w:jc w:val="right"/>
      <w:rPr>
        <w:rFonts w:eastAsia="Times New Roman" w:cs="Times New Roman"/>
        <w:b/>
        <w:bCs/>
        <w:color w:val="auto"/>
        <w:kern w:val="0"/>
        <w:sz w:val="16"/>
        <w:szCs w:val="16"/>
      </w:rPr>
    </w:pPr>
    <w:r w:rsidRPr="00B77A2A">
      <w:rPr>
        <w:rFonts w:eastAsia="Times New Roman" w:cs="Times New Roman"/>
        <w:b/>
        <w:color w:val="auto"/>
        <w:kern w:val="0"/>
        <w:sz w:val="16"/>
      </w:rPr>
      <w:fldChar w:fldCharType="begin"/>
    </w:r>
    <w:r w:rsidR="006B75AE" w:rsidRPr="006B75AE">
      <w:rPr>
        <w:rFonts w:eastAsia="Times New Roman" w:cs="Times New Roman"/>
        <w:b/>
        <w:color w:val="auto"/>
        <w:kern w:val="0"/>
        <w:sz w:val="16"/>
      </w:rPr>
      <w:instrText xml:space="preserve"> TIME \@ "dd/MM/yyyy H:mm"</w:instrText>
    </w:r>
    <w:r w:rsidRPr="00B77A2A">
      <w:rPr>
        <w:rFonts w:eastAsia="Times New Roman" w:cs="Times New Roman"/>
        <w:b/>
        <w:color w:val="auto"/>
        <w:kern w:val="0"/>
        <w:sz w:val="16"/>
      </w:rPr>
      <w:fldChar w:fldCharType="separate"/>
    </w:r>
    <w:r w:rsidR="00D64234">
      <w:rPr>
        <w:rFonts w:eastAsia="Times New Roman" w:cs="Times New Roman"/>
        <w:b/>
        <w:noProof/>
        <w:color w:val="auto"/>
        <w:kern w:val="0"/>
        <w:sz w:val="16"/>
      </w:rPr>
      <w:t>19/10/2026 10:54</w:t>
    </w:r>
    <w:r w:rsidRPr="006B75AE">
      <w:rPr>
        <w:rFonts w:eastAsia="Times New Roman" w:cs="Times New Roman"/>
        <w:b/>
        <w:bCs/>
        <w:color w:val="auto"/>
        <w:kern w:val="0"/>
        <w:sz w:val="16"/>
        <w:szCs w:val="16"/>
        <w:lang w:val="es-ES_tradnl"/>
      </w:rPr>
      <w:fldChar w:fldCharType="end"/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C5413"/>
    <w:multiLevelType w:val="multilevel"/>
    <w:tmpl w:val="290C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91D95"/>
    <w:multiLevelType w:val="multilevel"/>
    <w:tmpl w:val="BE8237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  <w:i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23C484F"/>
    <w:multiLevelType w:val="hybridMultilevel"/>
    <w:tmpl w:val="613A4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9A0EE0"/>
    <w:multiLevelType w:val="hybridMultilevel"/>
    <w:tmpl w:val="4D74D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250328"/>
    <w:multiLevelType w:val="multilevel"/>
    <w:tmpl w:val="A63A7A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CA51501"/>
    <w:multiLevelType w:val="hybridMultilevel"/>
    <w:tmpl w:val="E9F058D8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E1710"/>
    <w:multiLevelType w:val="hybridMultilevel"/>
    <w:tmpl w:val="F4C6FEFC"/>
    <w:lvl w:ilvl="0" w:tplc="B9961F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8C1F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BC52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102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6EA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1E22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820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66DD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E28C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24783851"/>
    <w:multiLevelType w:val="hybridMultilevel"/>
    <w:tmpl w:val="6228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20ADC"/>
    <w:multiLevelType w:val="hybridMultilevel"/>
    <w:tmpl w:val="94B6853A"/>
    <w:lvl w:ilvl="0" w:tplc="9EBE68A6">
      <w:start w:val="5"/>
      <w:numFmt w:val="decimal"/>
      <w:lvlText w:val="%1)"/>
      <w:lvlJc w:val="left"/>
      <w:pPr>
        <w:ind w:left="1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8EB21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45E2D3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F4400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9EDCE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4260A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7A967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0B62B3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FAB6D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8271D22"/>
    <w:multiLevelType w:val="multilevel"/>
    <w:tmpl w:val="8FDE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737DCA"/>
    <w:multiLevelType w:val="multilevel"/>
    <w:tmpl w:val="27B019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8B314FA"/>
    <w:multiLevelType w:val="hybridMultilevel"/>
    <w:tmpl w:val="BBDA4D26"/>
    <w:lvl w:ilvl="0" w:tplc="01A8E618">
      <w:start w:val="4"/>
      <w:numFmt w:val="decimal"/>
      <w:lvlText w:val="%1."/>
      <w:lvlJc w:val="left"/>
      <w:pPr>
        <w:ind w:left="3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F2612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801F4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B6CAE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28E14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5489E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7AB8D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FC8FE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06180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ACB58BB"/>
    <w:multiLevelType w:val="multilevel"/>
    <w:tmpl w:val="276E13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D2B08E9"/>
    <w:multiLevelType w:val="multilevel"/>
    <w:tmpl w:val="2BD887E6"/>
    <w:lvl w:ilvl="0">
      <w:start w:val="6"/>
      <w:numFmt w:val="decimal"/>
      <w:lvlText w:val="%1"/>
      <w:lvlJc w:val="left"/>
      <w:pPr>
        <w:ind w:left="377" w:hanging="377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377" w:hanging="37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29E2198"/>
    <w:multiLevelType w:val="multilevel"/>
    <w:tmpl w:val="F2E0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9F0DEE"/>
    <w:multiLevelType w:val="multilevel"/>
    <w:tmpl w:val="0858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1460A3"/>
    <w:multiLevelType w:val="hybridMultilevel"/>
    <w:tmpl w:val="42C87AC4"/>
    <w:lvl w:ilvl="0" w:tplc="4268DC2C">
      <w:start w:val="1"/>
      <w:numFmt w:val="decimal"/>
      <w:lvlText w:val="%1."/>
      <w:lvlJc w:val="left"/>
      <w:pPr>
        <w:ind w:left="4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E045C8">
      <w:start w:val="1"/>
      <w:numFmt w:val="lowerLetter"/>
      <w:lvlText w:val="%2)"/>
      <w:lvlJc w:val="left"/>
      <w:pPr>
        <w:ind w:left="7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2CD696">
      <w:start w:val="1"/>
      <w:numFmt w:val="lowerRoman"/>
      <w:lvlText w:val="%3"/>
      <w:lvlJc w:val="left"/>
      <w:pPr>
        <w:ind w:left="1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CAA7B4">
      <w:start w:val="1"/>
      <w:numFmt w:val="decimal"/>
      <w:lvlText w:val="%4"/>
      <w:lvlJc w:val="left"/>
      <w:pPr>
        <w:ind w:left="2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14E712">
      <w:start w:val="1"/>
      <w:numFmt w:val="lowerLetter"/>
      <w:lvlText w:val="%5"/>
      <w:lvlJc w:val="left"/>
      <w:pPr>
        <w:ind w:left="29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F2961A">
      <w:start w:val="1"/>
      <w:numFmt w:val="lowerRoman"/>
      <w:lvlText w:val="%6"/>
      <w:lvlJc w:val="left"/>
      <w:pPr>
        <w:ind w:left="36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A09C9A">
      <w:start w:val="1"/>
      <w:numFmt w:val="decimal"/>
      <w:lvlText w:val="%7"/>
      <w:lvlJc w:val="left"/>
      <w:pPr>
        <w:ind w:left="43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EE6B56">
      <w:start w:val="1"/>
      <w:numFmt w:val="lowerLetter"/>
      <w:lvlText w:val="%8"/>
      <w:lvlJc w:val="left"/>
      <w:pPr>
        <w:ind w:left="51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4021CA">
      <w:start w:val="1"/>
      <w:numFmt w:val="lowerRoman"/>
      <w:lvlText w:val="%9"/>
      <w:lvlJc w:val="left"/>
      <w:pPr>
        <w:ind w:left="58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9A524C6"/>
    <w:multiLevelType w:val="multilevel"/>
    <w:tmpl w:val="0E3A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CE4323"/>
    <w:multiLevelType w:val="hybridMultilevel"/>
    <w:tmpl w:val="213EB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AD040D"/>
    <w:multiLevelType w:val="hybridMultilevel"/>
    <w:tmpl w:val="167CF826"/>
    <w:lvl w:ilvl="0" w:tplc="726E5B40">
      <w:start w:val="9"/>
      <w:numFmt w:val="decimal"/>
      <w:lvlText w:val="%1."/>
      <w:lvlJc w:val="left"/>
      <w:pPr>
        <w:ind w:left="42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1A39E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0830B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217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8E432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5E9E2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34195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F253F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9006B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7ED0D30"/>
    <w:multiLevelType w:val="hybridMultilevel"/>
    <w:tmpl w:val="4CC81DF0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D46938"/>
    <w:multiLevelType w:val="multilevel"/>
    <w:tmpl w:val="D38C51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E402365"/>
    <w:multiLevelType w:val="multilevel"/>
    <w:tmpl w:val="276E13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3B46051"/>
    <w:multiLevelType w:val="multilevel"/>
    <w:tmpl w:val="7D06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187640"/>
    <w:multiLevelType w:val="multilevel"/>
    <w:tmpl w:val="75B052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97642A6"/>
    <w:multiLevelType w:val="hybridMultilevel"/>
    <w:tmpl w:val="1ED07880"/>
    <w:lvl w:ilvl="0" w:tplc="3DECE8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0851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AED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845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F444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A69D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265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3AE0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A852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63B02C38"/>
    <w:multiLevelType w:val="multilevel"/>
    <w:tmpl w:val="2DACA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204454"/>
    <w:multiLevelType w:val="hybridMultilevel"/>
    <w:tmpl w:val="315AC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223371"/>
    <w:multiLevelType w:val="multilevel"/>
    <w:tmpl w:val="4CBAEC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DF80273"/>
    <w:multiLevelType w:val="hybridMultilevel"/>
    <w:tmpl w:val="385A6704"/>
    <w:lvl w:ilvl="0" w:tplc="6298D306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C4FE7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22682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9EE12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4C450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32AC2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B0A83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F83A7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90F65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74024C3F"/>
    <w:multiLevelType w:val="hybridMultilevel"/>
    <w:tmpl w:val="AE160804"/>
    <w:lvl w:ilvl="0" w:tplc="64D2273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11"/>
  </w:num>
  <w:num w:numId="4">
    <w:abstractNumId w:val="8"/>
  </w:num>
  <w:num w:numId="5">
    <w:abstractNumId w:val="19"/>
  </w:num>
  <w:num w:numId="6">
    <w:abstractNumId w:val="1"/>
  </w:num>
  <w:num w:numId="7">
    <w:abstractNumId w:val="24"/>
  </w:num>
  <w:num w:numId="8">
    <w:abstractNumId w:val="3"/>
  </w:num>
  <w:num w:numId="9">
    <w:abstractNumId w:val="20"/>
  </w:num>
  <w:num w:numId="10">
    <w:abstractNumId w:val="5"/>
  </w:num>
  <w:num w:numId="11">
    <w:abstractNumId w:val="15"/>
  </w:num>
  <w:num w:numId="12">
    <w:abstractNumId w:val="14"/>
  </w:num>
  <w:num w:numId="13">
    <w:abstractNumId w:val="23"/>
  </w:num>
  <w:num w:numId="14">
    <w:abstractNumId w:val="7"/>
  </w:num>
  <w:num w:numId="15">
    <w:abstractNumId w:val="0"/>
  </w:num>
  <w:num w:numId="16">
    <w:abstractNumId w:val="26"/>
  </w:num>
  <w:num w:numId="17">
    <w:abstractNumId w:val="9"/>
  </w:num>
  <w:num w:numId="18">
    <w:abstractNumId w:val="17"/>
  </w:num>
  <w:num w:numId="19">
    <w:abstractNumId w:val="22"/>
  </w:num>
  <w:num w:numId="20">
    <w:abstractNumId w:val="12"/>
  </w:num>
  <w:num w:numId="21">
    <w:abstractNumId w:val="2"/>
  </w:num>
  <w:num w:numId="22">
    <w:abstractNumId w:val="25"/>
  </w:num>
  <w:num w:numId="23">
    <w:abstractNumId w:val="6"/>
  </w:num>
  <w:num w:numId="24">
    <w:abstractNumId w:val="4"/>
  </w:num>
  <w:num w:numId="25">
    <w:abstractNumId w:val="18"/>
  </w:num>
  <w:num w:numId="26">
    <w:abstractNumId w:val="27"/>
  </w:num>
  <w:num w:numId="27">
    <w:abstractNumId w:val="21"/>
  </w:num>
  <w:num w:numId="28">
    <w:abstractNumId w:val="10"/>
  </w:num>
  <w:num w:numId="29">
    <w:abstractNumId w:val="28"/>
  </w:num>
  <w:num w:numId="30">
    <w:abstractNumId w:val="13"/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464EF"/>
    <w:rsid w:val="0000162B"/>
    <w:rsid w:val="00003F76"/>
    <w:rsid w:val="000061E7"/>
    <w:rsid w:val="0001325F"/>
    <w:rsid w:val="000176CF"/>
    <w:rsid w:val="00021B00"/>
    <w:rsid w:val="00023BB1"/>
    <w:rsid w:val="00032DED"/>
    <w:rsid w:val="00035A4B"/>
    <w:rsid w:val="00040AB3"/>
    <w:rsid w:val="000425F7"/>
    <w:rsid w:val="00045A47"/>
    <w:rsid w:val="00045B1E"/>
    <w:rsid w:val="00046FFB"/>
    <w:rsid w:val="00050FD7"/>
    <w:rsid w:val="000533DE"/>
    <w:rsid w:val="000571E9"/>
    <w:rsid w:val="000630C8"/>
    <w:rsid w:val="0006478A"/>
    <w:rsid w:val="00064ED8"/>
    <w:rsid w:val="00066F47"/>
    <w:rsid w:val="000724F0"/>
    <w:rsid w:val="00073026"/>
    <w:rsid w:val="00074CAB"/>
    <w:rsid w:val="00081873"/>
    <w:rsid w:val="00082158"/>
    <w:rsid w:val="00084B5A"/>
    <w:rsid w:val="00085B23"/>
    <w:rsid w:val="00086E62"/>
    <w:rsid w:val="00090C6D"/>
    <w:rsid w:val="000910C9"/>
    <w:rsid w:val="00091740"/>
    <w:rsid w:val="00093088"/>
    <w:rsid w:val="00093681"/>
    <w:rsid w:val="000942C2"/>
    <w:rsid w:val="000947AE"/>
    <w:rsid w:val="00096748"/>
    <w:rsid w:val="0009708B"/>
    <w:rsid w:val="000A0A0E"/>
    <w:rsid w:val="000A0EBA"/>
    <w:rsid w:val="000A2138"/>
    <w:rsid w:val="000A6CA7"/>
    <w:rsid w:val="000B1FDA"/>
    <w:rsid w:val="000B29AC"/>
    <w:rsid w:val="000B38DE"/>
    <w:rsid w:val="000B56A1"/>
    <w:rsid w:val="000C7878"/>
    <w:rsid w:val="000E117F"/>
    <w:rsid w:val="000E390F"/>
    <w:rsid w:val="000E41C6"/>
    <w:rsid w:val="000E485F"/>
    <w:rsid w:val="000E5573"/>
    <w:rsid w:val="000E7D22"/>
    <w:rsid w:val="000F5C23"/>
    <w:rsid w:val="000F6EBF"/>
    <w:rsid w:val="001019BC"/>
    <w:rsid w:val="00101F29"/>
    <w:rsid w:val="00110C01"/>
    <w:rsid w:val="00113314"/>
    <w:rsid w:val="00120F67"/>
    <w:rsid w:val="001211C6"/>
    <w:rsid w:val="001232EA"/>
    <w:rsid w:val="00123E14"/>
    <w:rsid w:val="0012667B"/>
    <w:rsid w:val="001314B3"/>
    <w:rsid w:val="00132833"/>
    <w:rsid w:val="001331C4"/>
    <w:rsid w:val="00137173"/>
    <w:rsid w:val="001436A3"/>
    <w:rsid w:val="00143CB2"/>
    <w:rsid w:val="00143E58"/>
    <w:rsid w:val="00147091"/>
    <w:rsid w:val="00153461"/>
    <w:rsid w:val="00153BEA"/>
    <w:rsid w:val="001603DD"/>
    <w:rsid w:val="00170DA0"/>
    <w:rsid w:val="00172113"/>
    <w:rsid w:val="0017583C"/>
    <w:rsid w:val="00181878"/>
    <w:rsid w:val="00182D4B"/>
    <w:rsid w:val="0018779B"/>
    <w:rsid w:val="0019115B"/>
    <w:rsid w:val="001953CA"/>
    <w:rsid w:val="001960E9"/>
    <w:rsid w:val="0019695D"/>
    <w:rsid w:val="001B1C5F"/>
    <w:rsid w:val="001B3A2B"/>
    <w:rsid w:val="001B47EC"/>
    <w:rsid w:val="001B4938"/>
    <w:rsid w:val="001C0392"/>
    <w:rsid w:val="001C0E5D"/>
    <w:rsid w:val="001C1D61"/>
    <w:rsid w:val="001C1F02"/>
    <w:rsid w:val="001D11AD"/>
    <w:rsid w:val="001D132B"/>
    <w:rsid w:val="001D1B13"/>
    <w:rsid w:val="001D1BB7"/>
    <w:rsid w:val="001D4539"/>
    <w:rsid w:val="001D6B07"/>
    <w:rsid w:val="001D7082"/>
    <w:rsid w:val="001E0B88"/>
    <w:rsid w:val="001E1070"/>
    <w:rsid w:val="001E140E"/>
    <w:rsid w:val="001E159F"/>
    <w:rsid w:val="001E1E81"/>
    <w:rsid w:val="001E2547"/>
    <w:rsid w:val="001E5D22"/>
    <w:rsid w:val="001E5DC7"/>
    <w:rsid w:val="001F10E1"/>
    <w:rsid w:val="001F2127"/>
    <w:rsid w:val="001F300E"/>
    <w:rsid w:val="001F40FD"/>
    <w:rsid w:val="001F4E29"/>
    <w:rsid w:val="00202381"/>
    <w:rsid w:val="00203827"/>
    <w:rsid w:val="0020571D"/>
    <w:rsid w:val="00206FCA"/>
    <w:rsid w:val="002077D7"/>
    <w:rsid w:val="002162A0"/>
    <w:rsid w:val="00223006"/>
    <w:rsid w:val="00224942"/>
    <w:rsid w:val="002250B1"/>
    <w:rsid w:val="002257FA"/>
    <w:rsid w:val="0022729E"/>
    <w:rsid w:val="00227D38"/>
    <w:rsid w:val="00236E69"/>
    <w:rsid w:val="0023710E"/>
    <w:rsid w:val="00240542"/>
    <w:rsid w:val="0024494D"/>
    <w:rsid w:val="00245907"/>
    <w:rsid w:val="002464EF"/>
    <w:rsid w:val="00247A24"/>
    <w:rsid w:val="00251122"/>
    <w:rsid w:val="00252D5A"/>
    <w:rsid w:val="0025396A"/>
    <w:rsid w:val="00254056"/>
    <w:rsid w:val="00265DA6"/>
    <w:rsid w:val="00265F42"/>
    <w:rsid w:val="002704C0"/>
    <w:rsid w:val="00274364"/>
    <w:rsid w:val="00276D2C"/>
    <w:rsid w:val="0028016C"/>
    <w:rsid w:val="00281D81"/>
    <w:rsid w:val="0028200C"/>
    <w:rsid w:val="002868B5"/>
    <w:rsid w:val="00287378"/>
    <w:rsid w:val="002930FF"/>
    <w:rsid w:val="00293515"/>
    <w:rsid w:val="00293B83"/>
    <w:rsid w:val="00294F78"/>
    <w:rsid w:val="002961B1"/>
    <w:rsid w:val="002A0874"/>
    <w:rsid w:val="002A502C"/>
    <w:rsid w:val="002A5046"/>
    <w:rsid w:val="002A6D00"/>
    <w:rsid w:val="002B0F81"/>
    <w:rsid w:val="002B245F"/>
    <w:rsid w:val="002B4C5D"/>
    <w:rsid w:val="002B55B5"/>
    <w:rsid w:val="002B72B0"/>
    <w:rsid w:val="002B782A"/>
    <w:rsid w:val="002C07D3"/>
    <w:rsid w:val="002C0B8A"/>
    <w:rsid w:val="002C0F51"/>
    <w:rsid w:val="002C2A3A"/>
    <w:rsid w:val="002C37DD"/>
    <w:rsid w:val="002D0265"/>
    <w:rsid w:val="002D1D87"/>
    <w:rsid w:val="002D4FCC"/>
    <w:rsid w:val="002D5928"/>
    <w:rsid w:val="002D626F"/>
    <w:rsid w:val="002D6328"/>
    <w:rsid w:val="002D66F4"/>
    <w:rsid w:val="002E0383"/>
    <w:rsid w:val="002E076A"/>
    <w:rsid w:val="002E1B4E"/>
    <w:rsid w:val="002E3657"/>
    <w:rsid w:val="002E3D8E"/>
    <w:rsid w:val="002E3DD1"/>
    <w:rsid w:val="002E55CB"/>
    <w:rsid w:val="002E6EDA"/>
    <w:rsid w:val="002E734C"/>
    <w:rsid w:val="002F7C41"/>
    <w:rsid w:val="00300DE5"/>
    <w:rsid w:val="00301B50"/>
    <w:rsid w:val="00302D11"/>
    <w:rsid w:val="003057B9"/>
    <w:rsid w:val="00306410"/>
    <w:rsid w:val="00307789"/>
    <w:rsid w:val="0031275D"/>
    <w:rsid w:val="00314149"/>
    <w:rsid w:val="003144CF"/>
    <w:rsid w:val="00314E57"/>
    <w:rsid w:val="00316730"/>
    <w:rsid w:val="00320FEC"/>
    <w:rsid w:val="00322466"/>
    <w:rsid w:val="00324A19"/>
    <w:rsid w:val="0032677B"/>
    <w:rsid w:val="00327D7B"/>
    <w:rsid w:val="003340A4"/>
    <w:rsid w:val="00334771"/>
    <w:rsid w:val="0033759E"/>
    <w:rsid w:val="0034337C"/>
    <w:rsid w:val="0034631C"/>
    <w:rsid w:val="00350457"/>
    <w:rsid w:val="00354A3D"/>
    <w:rsid w:val="00356810"/>
    <w:rsid w:val="003574AA"/>
    <w:rsid w:val="00360673"/>
    <w:rsid w:val="0036169F"/>
    <w:rsid w:val="003616AE"/>
    <w:rsid w:val="003623EB"/>
    <w:rsid w:val="0036491E"/>
    <w:rsid w:val="00367FEF"/>
    <w:rsid w:val="003713FC"/>
    <w:rsid w:val="0037250A"/>
    <w:rsid w:val="00372928"/>
    <w:rsid w:val="0037534C"/>
    <w:rsid w:val="003753E7"/>
    <w:rsid w:val="003755BE"/>
    <w:rsid w:val="003762DB"/>
    <w:rsid w:val="00381300"/>
    <w:rsid w:val="003836D8"/>
    <w:rsid w:val="00383AD4"/>
    <w:rsid w:val="0038478D"/>
    <w:rsid w:val="00385B20"/>
    <w:rsid w:val="00386B30"/>
    <w:rsid w:val="003875AD"/>
    <w:rsid w:val="00387DD0"/>
    <w:rsid w:val="00397BA6"/>
    <w:rsid w:val="003A05DC"/>
    <w:rsid w:val="003A2398"/>
    <w:rsid w:val="003A2D7E"/>
    <w:rsid w:val="003A4719"/>
    <w:rsid w:val="003A747D"/>
    <w:rsid w:val="003B4B3F"/>
    <w:rsid w:val="003B61C7"/>
    <w:rsid w:val="003B780F"/>
    <w:rsid w:val="003B79B6"/>
    <w:rsid w:val="003C0BEB"/>
    <w:rsid w:val="003C21EC"/>
    <w:rsid w:val="003C2BD4"/>
    <w:rsid w:val="003C5394"/>
    <w:rsid w:val="003C570C"/>
    <w:rsid w:val="003C5ACF"/>
    <w:rsid w:val="003C6C0D"/>
    <w:rsid w:val="003C7DD5"/>
    <w:rsid w:val="003D2B48"/>
    <w:rsid w:val="003D2FE6"/>
    <w:rsid w:val="003D5544"/>
    <w:rsid w:val="003E2F9C"/>
    <w:rsid w:val="003E36AF"/>
    <w:rsid w:val="003E6111"/>
    <w:rsid w:val="003F0452"/>
    <w:rsid w:val="003F0854"/>
    <w:rsid w:val="003F3884"/>
    <w:rsid w:val="003F5E32"/>
    <w:rsid w:val="003F5FFC"/>
    <w:rsid w:val="003F7718"/>
    <w:rsid w:val="003F788F"/>
    <w:rsid w:val="003F7D00"/>
    <w:rsid w:val="003F7F88"/>
    <w:rsid w:val="00401A11"/>
    <w:rsid w:val="004028EB"/>
    <w:rsid w:val="004032B7"/>
    <w:rsid w:val="004110C2"/>
    <w:rsid w:val="00411F06"/>
    <w:rsid w:val="0041264C"/>
    <w:rsid w:val="00416D4D"/>
    <w:rsid w:val="00417CD5"/>
    <w:rsid w:val="00420D90"/>
    <w:rsid w:val="00422C62"/>
    <w:rsid w:val="00424731"/>
    <w:rsid w:val="00424AC5"/>
    <w:rsid w:val="00425E34"/>
    <w:rsid w:val="00430567"/>
    <w:rsid w:val="00432D20"/>
    <w:rsid w:val="004341AB"/>
    <w:rsid w:val="00442178"/>
    <w:rsid w:val="00442C9F"/>
    <w:rsid w:val="004449F3"/>
    <w:rsid w:val="0044548E"/>
    <w:rsid w:val="00447C96"/>
    <w:rsid w:val="004502E5"/>
    <w:rsid w:val="0046336E"/>
    <w:rsid w:val="004643B5"/>
    <w:rsid w:val="00464D82"/>
    <w:rsid w:val="004660FC"/>
    <w:rsid w:val="0046641A"/>
    <w:rsid w:val="00466CDF"/>
    <w:rsid w:val="004679D3"/>
    <w:rsid w:val="00470E7F"/>
    <w:rsid w:val="00470ED2"/>
    <w:rsid w:val="0047223E"/>
    <w:rsid w:val="0047427F"/>
    <w:rsid w:val="00475354"/>
    <w:rsid w:val="00475C50"/>
    <w:rsid w:val="0048466F"/>
    <w:rsid w:val="00486AA6"/>
    <w:rsid w:val="00487C91"/>
    <w:rsid w:val="004900CE"/>
    <w:rsid w:val="004907DA"/>
    <w:rsid w:val="004922C1"/>
    <w:rsid w:val="0049391C"/>
    <w:rsid w:val="00495E90"/>
    <w:rsid w:val="00495FC2"/>
    <w:rsid w:val="00496B80"/>
    <w:rsid w:val="00497F43"/>
    <w:rsid w:val="004A0D46"/>
    <w:rsid w:val="004A178C"/>
    <w:rsid w:val="004A7FC0"/>
    <w:rsid w:val="004B2FD1"/>
    <w:rsid w:val="004B5264"/>
    <w:rsid w:val="004B57E3"/>
    <w:rsid w:val="004B60A8"/>
    <w:rsid w:val="004B6570"/>
    <w:rsid w:val="004C673E"/>
    <w:rsid w:val="004D1A2C"/>
    <w:rsid w:val="004D2A1E"/>
    <w:rsid w:val="004D3254"/>
    <w:rsid w:val="004D4F29"/>
    <w:rsid w:val="004D68AB"/>
    <w:rsid w:val="004E2346"/>
    <w:rsid w:val="004E27D1"/>
    <w:rsid w:val="004E34BF"/>
    <w:rsid w:val="004E62B0"/>
    <w:rsid w:val="004F3FFC"/>
    <w:rsid w:val="004F5AB5"/>
    <w:rsid w:val="004F6A53"/>
    <w:rsid w:val="00500CF9"/>
    <w:rsid w:val="00503821"/>
    <w:rsid w:val="0050793E"/>
    <w:rsid w:val="00510C15"/>
    <w:rsid w:val="00514EC6"/>
    <w:rsid w:val="005249E7"/>
    <w:rsid w:val="005258D9"/>
    <w:rsid w:val="00531F0D"/>
    <w:rsid w:val="00531F97"/>
    <w:rsid w:val="005329F1"/>
    <w:rsid w:val="00533A94"/>
    <w:rsid w:val="00533DA8"/>
    <w:rsid w:val="00534C2C"/>
    <w:rsid w:val="005351BC"/>
    <w:rsid w:val="00536B61"/>
    <w:rsid w:val="0053747D"/>
    <w:rsid w:val="005416B1"/>
    <w:rsid w:val="00541997"/>
    <w:rsid w:val="00544C7B"/>
    <w:rsid w:val="00547582"/>
    <w:rsid w:val="00547756"/>
    <w:rsid w:val="005527D5"/>
    <w:rsid w:val="005602C1"/>
    <w:rsid w:val="0056073B"/>
    <w:rsid w:val="005615D6"/>
    <w:rsid w:val="00562B5B"/>
    <w:rsid w:val="0056464C"/>
    <w:rsid w:val="00567E4B"/>
    <w:rsid w:val="00580752"/>
    <w:rsid w:val="00580A9E"/>
    <w:rsid w:val="00582139"/>
    <w:rsid w:val="00584449"/>
    <w:rsid w:val="0058479E"/>
    <w:rsid w:val="00585FC6"/>
    <w:rsid w:val="00587E02"/>
    <w:rsid w:val="00593706"/>
    <w:rsid w:val="005937F6"/>
    <w:rsid w:val="00596074"/>
    <w:rsid w:val="005A000A"/>
    <w:rsid w:val="005A000E"/>
    <w:rsid w:val="005A25A4"/>
    <w:rsid w:val="005A7D38"/>
    <w:rsid w:val="005B1E62"/>
    <w:rsid w:val="005B2BA1"/>
    <w:rsid w:val="005B330C"/>
    <w:rsid w:val="005B3CBD"/>
    <w:rsid w:val="005B45AC"/>
    <w:rsid w:val="005B598E"/>
    <w:rsid w:val="005B756E"/>
    <w:rsid w:val="005C0786"/>
    <w:rsid w:val="005C2E0D"/>
    <w:rsid w:val="005C404F"/>
    <w:rsid w:val="005C61A8"/>
    <w:rsid w:val="005D5869"/>
    <w:rsid w:val="005D7900"/>
    <w:rsid w:val="005E0309"/>
    <w:rsid w:val="005E2FED"/>
    <w:rsid w:val="005E5341"/>
    <w:rsid w:val="005E5966"/>
    <w:rsid w:val="005F1F38"/>
    <w:rsid w:val="005F210D"/>
    <w:rsid w:val="005F221D"/>
    <w:rsid w:val="005F48CC"/>
    <w:rsid w:val="005F4E98"/>
    <w:rsid w:val="005F54D9"/>
    <w:rsid w:val="005F552A"/>
    <w:rsid w:val="005F7D6D"/>
    <w:rsid w:val="006011FB"/>
    <w:rsid w:val="00602064"/>
    <w:rsid w:val="0060237F"/>
    <w:rsid w:val="00604852"/>
    <w:rsid w:val="006075BE"/>
    <w:rsid w:val="006077A7"/>
    <w:rsid w:val="006121A3"/>
    <w:rsid w:val="006141D2"/>
    <w:rsid w:val="00617678"/>
    <w:rsid w:val="00617FA1"/>
    <w:rsid w:val="00621E28"/>
    <w:rsid w:val="00622FB4"/>
    <w:rsid w:val="00624F5F"/>
    <w:rsid w:val="00626731"/>
    <w:rsid w:val="00627D74"/>
    <w:rsid w:val="00630100"/>
    <w:rsid w:val="00630229"/>
    <w:rsid w:val="00634BFC"/>
    <w:rsid w:val="00637E64"/>
    <w:rsid w:val="00640633"/>
    <w:rsid w:val="0064174E"/>
    <w:rsid w:val="0064267B"/>
    <w:rsid w:val="0064286F"/>
    <w:rsid w:val="00644212"/>
    <w:rsid w:val="006457BB"/>
    <w:rsid w:val="00650D39"/>
    <w:rsid w:val="00651450"/>
    <w:rsid w:val="00653C43"/>
    <w:rsid w:val="0065601E"/>
    <w:rsid w:val="006629E7"/>
    <w:rsid w:val="006645FA"/>
    <w:rsid w:val="0066480D"/>
    <w:rsid w:val="006648BC"/>
    <w:rsid w:val="006676E8"/>
    <w:rsid w:val="0068202D"/>
    <w:rsid w:val="00683956"/>
    <w:rsid w:val="0069094E"/>
    <w:rsid w:val="0069173C"/>
    <w:rsid w:val="00693585"/>
    <w:rsid w:val="006944A0"/>
    <w:rsid w:val="006A1F87"/>
    <w:rsid w:val="006A3831"/>
    <w:rsid w:val="006B31F9"/>
    <w:rsid w:val="006B552B"/>
    <w:rsid w:val="006B56FA"/>
    <w:rsid w:val="006B75AE"/>
    <w:rsid w:val="006C5C00"/>
    <w:rsid w:val="006C70B9"/>
    <w:rsid w:val="006C7C54"/>
    <w:rsid w:val="006D289E"/>
    <w:rsid w:val="006D3FF1"/>
    <w:rsid w:val="006E0A78"/>
    <w:rsid w:val="006E34B4"/>
    <w:rsid w:val="006E623E"/>
    <w:rsid w:val="006E640C"/>
    <w:rsid w:val="006E7292"/>
    <w:rsid w:val="006E7B65"/>
    <w:rsid w:val="006F0D22"/>
    <w:rsid w:val="006F16CC"/>
    <w:rsid w:val="006F3447"/>
    <w:rsid w:val="006F525F"/>
    <w:rsid w:val="006F789D"/>
    <w:rsid w:val="0070283F"/>
    <w:rsid w:val="007058BA"/>
    <w:rsid w:val="00705E62"/>
    <w:rsid w:val="0070627D"/>
    <w:rsid w:val="00710B54"/>
    <w:rsid w:val="007146D3"/>
    <w:rsid w:val="007220D3"/>
    <w:rsid w:val="00722B3B"/>
    <w:rsid w:val="007253DB"/>
    <w:rsid w:val="00725F9F"/>
    <w:rsid w:val="00727F5F"/>
    <w:rsid w:val="00731E5D"/>
    <w:rsid w:val="00734B1B"/>
    <w:rsid w:val="00735159"/>
    <w:rsid w:val="00741EAF"/>
    <w:rsid w:val="00744065"/>
    <w:rsid w:val="00745673"/>
    <w:rsid w:val="0075665D"/>
    <w:rsid w:val="0075674D"/>
    <w:rsid w:val="00763A38"/>
    <w:rsid w:val="00766370"/>
    <w:rsid w:val="00767B18"/>
    <w:rsid w:val="00767C1E"/>
    <w:rsid w:val="00770D6C"/>
    <w:rsid w:val="0077559A"/>
    <w:rsid w:val="00777973"/>
    <w:rsid w:val="00780E25"/>
    <w:rsid w:val="00783847"/>
    <w:rsid w:val="00790411"/>
    <w:rsid w:val="0079279F"/>
    <w:rsid w:val="00795241"/>
    <w:rsid w:val="0079541E"/>
    <w:rsid w:val="007A4EA3"/>
    <w:rsid w:val="007B4516"/>
    <w:rsid w:val="007B6C88"/>
    <w:rsid w:val="007C16E0"/>
    <w:rsid w:val="007C4037"/>
    <w:rsid w:val="007C4E38"/>
    <w:rsid w:val="007D290B"/>
    <w:rsid w:val="007D2A8E"/>
    <w:rsid w:val="007D5C07"/>
    <w:rsid w:val="007D686F"/>
    <w:rsid w:val="007D6DCD"/>
    <w:rsid w:val="007E1B3A"/>
    <w:rsid w:val="007E37B6"/>
    <w:rsid w:val="007E6AE3"/>
    <w:rsid w:val="007E77E0"/>
    <w:rsid w:val="007F0216"/>
    <w:rsid w:val="007F1054"/>
    <w:rsid w:val="007F1CE4"/>
    <w:rsid w:val="007F2E5D"/>
    <w:rsid w:val="007F3313"/>
    <w:rsid w:val="007F3B9F"/>
    <w:rsid w:val="007F3E5D"/>
    <w:rsid w:val="007F56EE"/>
    <w:rsid w:val="007F6235"/>
    <w:rsid w:val="007F78AF"/>
    <w:rsid w:val="008004CE"/>
    <w:rsid w:val="00803466"/>
    <w:rsid w:val="008049B7"/>
    <w:rsid w:val="00804B59"/>
    <w:rsid w:val="0080528A"/>
    <w:rsid w:val="008063DF"/>
    <w:rsid w:val="00810358"/>
    <w:rsid w:val="00812EF8"/>
    <w:rsid w:val="008167AC"/>
    <w:rsid w:val="008267B4"/>
    <w:rsid w:val="00827F5A"/>
    <w:rsid w:val="008306D2"/>
    <w:rsid w:val="008364A2"/>
    <w:rsid w:val="00844C5D"/>
    <w:rsid w:val="008455B5"/>
    <w:rsid w:val="008501A7"/>
    <w:rsid w:val="008528DE"/>
    <w:rsid w:val="008574E8"/>
    <w:rsid w:val="0086375E"/>
    <w:rsid w:val="00865A52"/>
    <w:rsid w:val="0087633F"/>
    <w:rsid w:val="008773AB"/>
    <w:rsid w:val="008800B9"/>
    <w:rsid w:val="0088018B"/>
    <w:rsid w:val="00880AA4"/>
    <w:rsid w:val="0088379A"/>
    <w:rsid w:val="00886E36"/>
    <w:rsid w:val="008913E2"/>
    <w:rsid w:val="00893A99"/>
    <w:rsid w:val="00895D67"/>
    <w:rsid w:val="00895F7E"/>
    <w:rsid w:val="00897AD3"/>
    <w:rsid w:val="00897C13"/>
    <w:rsid w:val="00897E50"/>
    <w:rsid w:val="008A329E"/>
    <w:rsid w:val="008B0A0A"/>
    <w:rsid w:val="008B36A2"/>
    <w:rsid w:val="008B552F"/>
    <w:rsid w:val="008B6571"/>
    <w:rsid w:val="008B7CD6"/>
    <w:rsid w:val="008C5D0A"/>
    <w:rsid w:val="008D44A2"/>
    <w:rsid w:val="008D7420"/>
    <w:rsid w:val="008E06B7"/>
    <w:rsid w:val="008E0B4F"/>
    <w:rsid w:val="008E1077"/>
    <w:rsid w:val="008E281C"/>
    <w:rsid w:val="008F098E"/>
    <w:rsid w:val="008F0FAE"/>
    <w:rsid w:val="008F35E1"/>
    <w:rsid w:val="008F4D42"/>
    <w:rsid w:val="008F701F"/>
    <w:rsid w:val="008F7991"/>
    <w:rsid w:val="009037BD"/>
    <w:rsid w:val="00904720"/>
    <w:rsid w:val="00904A0E"/>
    <w:rsid w:val="00906457"/>
    <w:rsid w:val="00907A31"/>
    <w:rsid w:val="00915F54"/>
    <w:rsid w:val="009220DC"/>
    <w:rsid w:val="009256BE"/>
    <w:rsid w:val="009262CB"/>
    <w:rsid w:val="00926BFB"/>
    <w:rsid w:val="009330D9"/>
    <w:rsid w:val="00934CFC"/>
    <w:rsid w:val="009411F4"/>
    <w:rsid w:val="00942AFD"/>
    <w:rsid w:val="009440AC"/>
    <w:rsid w:val="009441C6"/>
    <w:rsid w:val="00947205"/>
    <w:rsid w:val="00950FE1"/>
    <w:rsid w:val="00950FFF"/>
    <w:rsid w:val="00954618"/>
    <w:rsid w:val="009638C8"/>
    <w:rsid w:val="00966EF9"/>
    <w:rsid w:val="00967A57"/>
    <w:rsid w:val="009716D1"/>
    <w:rsid w:val="00972A59"/>
    <w:rsid w:val="00976BEA"/>
    <w:rsid w:val="00980783"/>
    <w:rsid w:val="00981023"/>
    <w:rsid w:val="00982136"/>
    <w:rsid w:val="009906DE"/>
    <w:rsid w:val="009A186A"/>
    <w:rsid w:val="009A2BB8"/>
    <w:rsid w:val="009A5E6F"/>
    <w:rsid w:val="009A60AC"/>
    <w:rsid w:val="009A69F6"/>
    <w:rsid w:val="009A72BF"/>
    <w:rsid w:val="009B08B0"/>
    <w:rsid w:val="009B5BDD"/>
    <w:rsid w:val="009B5D72"/>
    <w:rsid w:val="009B6507"/>
    <w:rsid w:val="009B6A58"/>
    <w:rsid w:val="009B7535"/>
    <w:rsid w:val="009C0237"/>
    <w:rsid w:val="009C32E4"/>
    <w:rsid w:val="009C4F2F"/>
    <w:rsid w:val="009C6815"/>
    <w:rsid w:val="009C70C4"/>
    <w:rsid w:val="009D0EB8"/>
    <w:rsid w:val="009D53F9"/>
    <w:rsid w:val="009D79FB"/>
    <w:rsid w:val="009E09EE"/>
    <w:rsid w:val="009E1D41"/>
    <w:rsid w:val="009E4454"/>
    <w:rsid w:val="009E477A"/>
    <w:rsid w:val="009F3692"/>
    <w:rsid w:val="009F3B91"/>
    <w:rsid w:val="009F60EA"/>
    <w:rsid w:val="009F6CE8"/>
    <w:rsid w:val="00A01D74"/>
    <w:rsid w:val="00A047C4"/>
    <w:rsid w:val="00A10D1E"/>
    <w:rsid w:val="00A13373"/>
    <w:rsid w:val="00A13D2C"/>
    <w:rsid w:val="00A1694C"/>
    <w:rsid w:val="00A17339"/>
    <w:rsid w:val="00A25DCB"/>
    <w:rsid w:val="00A3081F"/>
    <w:rsid w:val="00A3249D"/>
    <w:rsid w:val="00A32B2E"/>
    <w:rsid w:val="00A33150"/>
    <w:rsid w:val="00A3392B"/>
    <w:rsid w:val="00A3781C"/>
    <w:rsid w:val="00A37CFC"/>
    <w:rsid w:val="00A41BC1"/>
    <w:rsid w:val="00A57013"/>
    <w:rsid w:val="00A748A6"/>
    <w:rsid w:val="00A755E3"/>
    <w:rsid w:val="00A77589"/>
    <w:rsid w:val="00A77A07"/>
    <w:rsid w:val="00A80586"/>
    <w:rsid w:val="00A81E26"/>
    <w:rsid w:val="00A83E85"/>
    <w:rsid w:val="00A85F37"/>
    <w:rsid w:val="00A87344"/>
    <w:rsid w:val="00A902AB"/>
    <w:rsid w:val="00A90CF1"/>
    <w:rsid w:val="00A964A3"/>
    <w:rsid w:val="00A9788F"/>
    <w:rsid w:val="00AA32EA"/>
    <w:rsid w:val="00AA3BF8"/>
    <w:rsid w:val="00AA3EFC"/>
    <w:rsid w:val="00AA4168"/>
    <w:rsid w:val="00AA5D26"/>
    <w:rsid w:val="00AB319A"/>
    <w:rsid w:val="00AB46DF"/>
    <w:rsid w:val="00AB4D15"/>
    <w:rsid w:val="00AB6766"/>
    <w:rsid w:val="00AB6F11"/>
    <w:rsid w:val="00AB790C"/>
    <w:rsid w:val="00AC62AA"/>
    <w:rsid w:val="00AD1F9C"/>
    <w:rsid w:val="00AD2163"/>
    <w:rsid w:val="00AD416B"/>
    <w:rsid w:val="00AD4EAC"/>
    <w:rsid w:val="00AD5EC3"/>
    <w:rsid w:val="00AD6463"/>
    <w:rsid w:val="00AE1419"/>
    <w:rsid w:val="00AE4342"/>
    <w:rsid w:val="00AE6180"/>
    <w:rsid w:val="00AF0ED7"/>
    <w:rsid w:val="00AF2510"/>
    <w:rsid w:val="00B042DB"/>
    <w:rsid w:val="00B044AF"/>
    <w:rsid w:val="00B05072"/>
    <w:rsid w:val="00B06CCC"/>
    <w:rsid w:val="00B07A41"/>
    <w:rsid w:val="00B10CF8"/>
    <w:rsid w:val="00B12027"/>
    <w:rsid w:val="00B13C30"/>
    <w:rsid w:val="00B13C81"/>
    <w:rsid w:val="00B16EF6"/>
    <w:rsid w:val="00B170DA"/>
    <w:rsid w:val="00B27971"/>
    <w:rsid w:val="00B34B85"/>
    <w:rsid w:val="00B36C4F"/>
    <w:rsid w:val="00B4326F"/>
    <w:rsid w:val="00B466AE"/>
    <w:rsid w:val="00B53A2B"/>
    <w:rsid w:val="00B607B8"/>
    <w:rsid w:val="00B64904"/>
    <w:rsid w:val="00B662D2"/>
    <w:rsid w:val="00B6704F"/>
    <w:rsid w:val="00B743E8"/>
    <w:rsid w:val="00B77A2A"/>
    <w:rsid w:val="00B77FF5"/>
    <w:rsid w:val="00B80FB5"/>
    <w:rsid w:val="00B82079"/>
    <w:rsid w:val="00B82F6B"/>
    <w:rsid w:val="00B84925"/>
    <w:rsid w:val="00B85569"/>
    <w:rsid w:val="00B945AC"/>
    <w:rsid w:val="00B9519B"/>
    <w:rsid w:val="00B95AE5"/>
    <w:rsid w:val="00B96E9B"/>
    <w:rsid w:val="00BA007B"/>
    <w:rsid w:val="00BA07F1"/>
    <w:rsid w:val="00BA15DC"/>
    <w:rsid w:val="00BA2D18"/>
    <w:rsid w:val="00BA3600"/>
    <w:rsid w:val="00BA36B3"/>
    <w:rsid w:val="00BA401F"/>
    <w:rsid w:val="00BA40FE"/>
    <w:rsid w:val="00BA7272"/>
    <w:rsid w:val="00BB1B7F"/>
    <w:rsid w:val="00BB1ECA"/>
    <w:rsid w:val="00BB4080"/>
    <w:rsid w:val="00BB551B"/>
    <w:rsid w:val="00BB6DE4"/>
    <w:rsid w:val="00BC3041"/>
    <w:rsid w:val="00BC4B70"/>
    <w:rsid w:val="00BC68C8"/>
    <w:rsid w:val="00BC6F57"/>
    <w:rsid w:val="00BD0042"/>
    <w:rsid w:val="00BD0C53"/>
    <w:rsid w:val="00BD48C5"/>
    <w:rsid w:val="00BD6433"/>
    <w:rsid w:val="00BE29FA"/>
    <w:rsid w:val="00BF0F93"/>
    <w:rsid w:val="00BF25B7"/>
    <w:rsid w:val="00BF2F34"/>
    <w:rsid w:val="00BF44D3"/>
    <w:rsid w:val="00BF713A"/>
    <w:rsid w:val="00C00166"/>
    <w:rsid w:val="00C01849"/>
    <w:rsid w:val="00C035AE"/>
    <w:rsid w:val="00C0459F"/>
    <w:rsid w:val="00C049BD"/>
    <w:rsid w:val="00C063C9"/>
    <w:rsid w:val="00C06660"/>
    <w:rsid w:val="00C07363"/>
    <w:rsid w:val="00C11880"/>
    <w:rsid w:val="00C1546F"/>
    <w:rsid w:val="00C175EF"/>
    <w:rsid w:val="00C208F3"/>
    <w:rsid w:val="00C214D3"/>
    <w:rsid w:val="00C25BCD"/>
    <w:rsid w:val="00C30456"/>
    <w:rsid w:val="00C3082A"/>
    <w:rsid w:val="00C33CC1"/>
    <w:rsid w:val="00C365CE"/>
    <w:rsid w:val="00C36DC9"/>
    <w:rsid w:val="00C42092"/>
    <w:rsid w:val="00C42C99"/>
    <w:rsid w:val="00C45ADC"/>
    <w:rsid w:val="00C47FFD"/>
    <w:rsid w:val="00C50B71"/>
    <w:rsid w:val="00C50F02"/>
    <w:rsid w:val="00C53CD2"/>
    <w:rsid w:val="00C54DE7"/>
    <w:rsid w:val="00C551BA"/>
    <w:rsid w:val="00C552EB"/>
    <w:rsid w:val="00C625F9"/>
    <w:rsid w:val="00C64667"/>
    <w:rsid w:val="00C6600E"/>
    <w:rsid w:val="00C67EB5"/>
    <w:rsid w:val="00C704C8"/>
    <w:rsid w:val="00C741E8"/>
    <w:rsid w:val="00C7704E"/>
    <w:rsid w:val="00C81A71"/>
    <w:rsid w:val="00C83849"/>
    <w:rsid w:val="00C84063"/>
    <w:rsid w:val="00C86582"/>
    <w:rsid w:val="00C874F6"/>
    <w:rsid w:val="00C925A5"/>
    <w:rsid w:val="00C92C2F"/>
    <w:rsid w:val="00C97937"/>
    <w:rsid w:val="00CA6508"/>
    <w:rsid w:val="00CB1DD0"/>
    <w:rsid w:val="00CB2253"/>
    <w:rsid w:val="00CB36D2"/>
    <w:rsid w:val="00CB429A"/>
    <w:rsid w:val="00CB6782"/>
    <w:rsid w:val="00CB7666"/>
    <w:rsid w:val="00CB7E25"/>
    <w:rsid w:val="00CC171C"/>
    <w:rsid w:val="00CC1AD6"/>
    <w:rsid w:val="00CC61D8"/>
    <w:rsid w:val="00CD018D"/>
    <w:rsid w:val="00CD01BE"/>
    <w:rsid w:val="00CD01DC"/>
    <w:rsid w:val="00CD091E"/>
    <w:rsid w:val="00CD2404"/>
    <w:rsid w:val="00CD35D2"/>
    <w:rsid w:val="00CD4469"/>
    <w:rsid w:val="00CD6021"/>
    <w:rsid w:val="00CF1FED"/>
    <w:rsid w:val="00CF3AAF"/>
    <w:rsid w:val="00CF51A0"/>
    <w:rsid w:val="00CF6301"/>
    <w:rsid w:val="00CF6D00"/>
    <w:rsid w:val="00D028B1"/>
    <w:rsid w:val="00D1076F"/>
    <w:rsid w:val="00D12481"/>
    <w:rsid w:val="00D16CC3"/>
    <w:rsid w:val="00D2101C"/>
    <w:rsid w:val="00D22505"/>
    <w:rsid w:val="00D2331F"/>
    <w:rsid w:val="00D26949"/>
    <w:rsid w:val="00D3104E"/>
    <w:rsid w:val="00D3313E"/>
    <w:rsid w:val="00D37BBF"/>
    <w:rsid w:val="00D4612A"/>
    <w:rsid w:val="00D46764"/>
    <w:rsid w:val="00D53C84"/>
    <w:rsid w:val="00D54DC1"/>
    <w:rsid w:val="00D61B9F"/>
    <w:rsid w:val="00D637C8"/>
    <w:rsid w:val="00D63A56"/>
    <w:rsid w:val="00D64234"/>
    <w:rsid w:val="00D65828"/>
    <w:rsid w:val="00D70208"/>
    <w:rsid w:val="00D70245"/>
    <w:rsid w:val="00D711F9"/>
    <w:rsid w:val="00D71A26"/>
    <w:rsid w:val="00D72785"/>
    <w:rsid w:val="00D754E4"/>
    <w:rsid w:val="00D75993"/>
    <w:rsid w:val="00D77499"/>
    <w:rsid w:val="00D7771E"/>
    <w:rsid w:val="00D80C12"/>
    <w:rsid w:val="00D83B6E"/>
    <w:rsid w:val="00D83F18"/>
    <w:rsid w:val="00D857B1"/>
    <w:rsid w:val="00D8593A"/>
    <w:rsid w:val="00D85956"/>
    <w:rsid w:val="00D8783A"/>
    <w:rsid w:val="00D923E4"/>
    <w:rsid w:val="00D959B1"/>
    <w:rsid w:val="00D97D6B"/>
    <w:rsid w:val="00DA35BF"/>
    <w:rsid w:val="00DA7525"/>
    <w:rsid w:val="00DB0279"/>
    <w:rsid w:val="00DB0B21"/>
    <w:rsid w:val="00DB6E97"/>
    <w:rsid w:val="00DC4A4F"/>
    <w:rsid w:val="00DC7294"/>
    <w:rsid w:val="00DC79DC"/>
    <w:rsid w:val="00DD0084"/>
    <w:rsid w:val="00DD0CA7"/>
    <w:rsid w:val="00DD1B67"/>
    <w:rsid w:val="00DD2E32"/>
    <w:rsid w:val="00DD4FA5"/>
    <w:rsid w:val="00DD5504"/>
    <w:rsid w:val="00DD7545"/>
    <w:rsid w:val="00DE355B"/>
    <w:rsid w:val="00DE6CAC"/>
    <w:rsid w:val="00DF0262"/>
    <w:rsid w:val="00DF5F45"/>
    <w:rsid w:val="00DF6D96"/>
    <w:rsid w:val="00DF7BFC"/>
    <w:rsid w:val="00E03BD1"/>
    <w:rsid w:val="00E11944"/>
    <w:rsid w:val="00E1332B"/>
    <w:rsid w:val="00E16E29"/>
    <w:rsid w:val="00E217E4"/>
    <w:rsid w:val="00E22243"/>
    <w:rsid w:val="00E23BB8"/>
    <w:rsid w:val="00E24A08"/>
    <w:rsid w:val="00E308CA"/>
    <w:rsid w:val="00E30F60"/>
    <w:rsid w:val="00E33AAD"/>
    <w:rsid w:val="00E40EBF"/>
    <w:rsid w:val="00E43909"/>
    <w:rsid w:val="00E4458B"/>
    <w:rsid w:val="00E46F3C"/>
    <w:rsid w:val="00E53C22"/>
    <w:rsid w:val="00E553A2"/>
    <w:rsid w:val="00E57280"/>
    <w:rsid w:val="00E57BB2"/>
    <w:rsid w:val="00E60B0C"/>
    <w:rsid w:val="00E63356"/>
    <w:rsid w:val="00E718D2"/>
    <w:rsid w:val="00E71935"/>
    <w:rsid w:val="00E72801"/>
    <w:rsid w:val="00E77896"/>
    <w:rsid w:val="00E80694"/>
    <w:rsid w:val="00E81E9A"/>
    <w:rsid w:val="00E832B0"/>
    <w:rsid w:val="00E87143"/>
    <w:rsid w:val="00EA0532"/>
    <w:rsid w:val="00EA268E"/>
    <w:rsid w:val="00EA2D30"/>
    <w:rsid w:val="00EA3785"/>
    <w:rsid w:val="00EB05B9"/>
    <w:rsid w:val="00EB27E0"/>
    <w:rsid w:val="00EB29FD"/>
    <w:rsid w:val="00EB3AAE"/>
    <w:rsid w:val="00EB55CC"/>
    <w:rsid w:val="00EC162F"/>
    <w:rsid w:val="00EC1D97"/>
    <w:rsid w:val="00EC6974"/>
    <w:rsid w:val="00EE0032"/>
    <w:rsid w:val="00EE13D9"/>
    <w:rsid w:val="00EE14F2"/>
    <w:rsid w:val="00EE1C26"/>
    <w:rsid w:val="00EE3060"/>
    <w:rsid w:val="00EE5BE0"/>
    <w:rsid w:val="00EE712F"/>
    <w:rsid w:val="00EF144F"/>
    <w:rsid w:val="00EF1C53"/>
    <w:rsid w:val="00EF273B"/>
    <w:rsid w:val="00EF2C26"/>
    <w:rsid w:val="00EF37C8"/>
    <w:rsid w:val="00EF610B"/>
    <w:rsid w:val="00EF69D4"/>
    <w:rsid w:val="00F01FFD"/>
    <w:rsid w:val="00F055BA"/>
    <w:rsid w:val="00F065CD"/>
    <w:rsid w:val="00F1233E"/>
    <w:rsid w:val="00F12623"/>
    <w:rsid w:val="00F32033"/>
    <w:rsid w:val="00F33118"/>
    <w:rsid w:val="00F3344A"/>
    <w:rsid w:val="00F359FB"/>
    <w:rsid w:val="00F36A64"/>
    <w:rsid w:val="00F36A85"/>
    <w:rsid w:val="00F3737C"/>
    <w:rsid w:val="00F377C7"/>
    <w:rsid w:val="00F4095E"/>
    <w:rsid w:val="00F424B0"/>
    <w:rsid w:val="00F43344"/>
    <w:rsid w:val="00F46142"/>
    <w:rsid w:val="00F512CF"/>
    <w:rsid w:val="00F568A1"/>
    <w:rsid w:val="00F6350E"/>
    <w:rsid w:val="00F64947"/>
    <w:rsid w:val="00F64AC7"/>
    <w:rsid w:val="00F65634"/>
    <w:rsid w:val="00F72C0D"/>
    <w:rsid w:val="00F72C4A"/>
    <w:rsid w:val="00F75EFA"/>
    <w:rsid w:val="00F77162"/>
    <w:rsid w:val="00F80682"/>
    <w:rsid w:val="00F819E1"/>
    <w:rsid w:val="00F81BCF"/>
    <w:rsid w:val="00F82384"/>
    <w:rsid w:val="00F86FDB"/>
    <w:rsid w:val="00F8789D"/>
    <w:rsid w:val="00F87F14"/>
    <w:rsid w:val="00F906B8"/>
    <w:rsid w:val="00F925A0"/>
    <w:rsid w:val="00F93DEA"/>
    <w:rsid w:val="00FA4B01"/>
    <w:rsid w:val="00FB441C"/>
    <w:rsid w:val="00FB7326"/>
    <w:rsid w:val="00FB7DF3"/>
    <w:rsid w:val="00FC0E23"/>
    <w:rsid w:val="00FC2CCF"/>
    <w:rsid w:val="00FC573D"/>
    <w:rsid w:val="00FC5E31"/>
    <w:rsid w:val="00FE1233"/>
    <w:rsid w:val="00FE2B18"/>
    <w:rsid w:val="00FE7FB5"/>
    <w:rsid w:val="00FF3CD3"/>
    <w:rsid w:val="00FF3D62"/>
    <w:rsid w:val="00FF3F91"/>
    <w:rsid w:val="00FF6494"/>
    <w:rsid w:val="00FF6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1BE"/>
    <w:pPr>
      <w:spacing w:after="0" w:line="259" w:lineRule="auto"/>
      <w:ind w:left="10" w:hanging="10"/>
    </w:pPr>
    <w:rPr>
      <w:rFonts w:ascii="Cambria" w:eastAsia="Cambria" w:hAnsi="Cambria" w:cs="Cambria"/>
      <w:color w:val="000000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246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6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46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6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6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6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6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6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6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6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46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246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64E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64E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64E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64E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64E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64E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6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64EF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6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64E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64E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64E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6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64E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64E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F7991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8F7991"/>
    <w:pPr>
      <w:spacing w:after="0" w:line="240" w:lineRule="auto"/>
    </w:pPr>
    <w:rPr>
      <w:rFonts w:ascii="Franklin Gothic Book" w:eastAsia="Franklin Gothic Book" w:hAnsi="Franklin Gothic Book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799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6D3FF1"/>
    <w:rPr>
      <w:rFonts w:ascii="Times New Roman" w:hAnsi="Times New Roman" w:cs="Times New Roman"/>
      <w:sz w:val="24"/>
    </w:rPr>
  </w:style>
  <w:style w:type="paragraph" w:styleId="Revisin">
    <w:name w:val="Revision"/>
    <w:hidden/>
    <w:uiPriority w:val="99"/>
    <w:semiHidden/>
    <w:rsid w:val="00A3392B"/>
    <w:pPr>
      <w:spacing w:after="0" w:line="240" w:lineRule="auto"/>
    </w:pPr>
    <w:rPr>
      <w:rFonts w:ascii="Cambria" w:eastAsia="Cambria" w:hAnsi="Cambria" w:cs="Cambria"/>
      <w:color w:val="000000"/>
      <w:sz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A339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3392B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3392B"/>
    <w:rPr>
      <w:rFonts w:ascii="Cambria" w:eastAsia="Cambria" w:hAnsi="Cambria" w:cs="Cambria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39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392B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F2F34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2F34"/>
    <w:rPr>
      <w:rFonts w:ascii="Cambria" w:eastAsia="Cambria" w:hAnsi="Cambria" w:cs="Cambria"/>
      <w:color w:val="00000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F2F34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2F34"/>
    <w:rPr>
      <w:rFonts w:ascii="Cambria" w:eastAsia="Cambria" w:hAnsi="Cambria" w:cs="Cambria"/>
      <w:color w:val="000000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34B85"/>
    <w:rPr>
      <w:sz w:val="20"/>
      <w:szCs w:val="20"/>
      <w:lang w:val="es-ES"/>
    </w:rPr>
  </w:style>
  <w:style w:type="character" w:customStyle="1" w:styleId="FootnoteCharacters">
    <w:name w:val="Footnote Characters"/>
    <w:basedOn w:val="Fuentedeprrafopredeter"/>
    <w:uiPriority w:val="99"/>
    <w:semiHidden/>
    <w:unhideWhenUsed/>
    <w:rsid w:val="00B34B8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34B85"/>
    <w:pPr>
      <w:suppressAutoHyphens/>
      <w:spacing w:line="240" w:lineRule="auto"/>
      <w:ind w:left="0" w:firstLine="0"/>
    </w:pPr>
    <w:rPr>
      <w:rFonts w:asciiTheme="minorHAnsi" w:eastAsiaTheme="minorHAnsi" w:hAnsiTheme="minorHAnsi" w:cstheme="minorBidi"/>
      <w:color w:val="auto"/>
      <w:szCs w:val="20"/>
    </w:rPr>
  </w:style>
  <w:style w:type="character" w:customStyle="1" w:styleId="FootnoteTextChar1">
    <w:name w:val="Footnote Text Char1"/>
    <w:basedOn w:val="Fuentedeprrafopredeter"/>
    <w:uiPriority w:val="99"/>
    <w:semiHidden/>
    <w:rsid w:val="00B34B85"/>
    <w:rPr>
      <w:rFonts w:ascii="Cambria" w:eastAsia="Cambria" w:hAnsi="Cambria" w:cs="Cambria"/>
      <w:color w:val="000000"/>
      <w:sz w:val="20"/>
      <w:szCs w:val="20"/>
    </w:rPr>
  </w:style>
  <w:style w:type="table" w:customStyle="1" w:styleId="TableGrid1">
    <w:name w:val="Table Grid1"/>
    <w:basedOn w:val="Tablanormal"/>
    <w:next w:val="Tablaconcuadrcula"/>
    <w:uiPriority w:val="39"/>
    <w:rsid w:val="00B042DB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84DD1BACBE3641B802C49D00950036" ma:contentTypeVersion="14" ma:contentTypeDescription="Crear nuevo documento." ma:contentTypeScope="" ma:versionID="46256a872ad1c6fde7733cbd8d249cd4">
  <xsd:schema xmlns:xsd="http://www.w3.org/2001/XMLSchema" xmlns:xs="http://www.w3.org/2001/XMLSchema" xmlns:p="http://schemas.microsoft.com/office/2006/metadata/properties" xmlns:ns2="7d73a274-b5d4-4934-af93-8b8c31f6f19f" xmlns:ns3="04c986aa-787d-4a14-b577-9f29a18a2836" targetNamespace="http://schemas.microsoft.com/office/2006/metadata/properties" ma:root="true" ma:fieldsID="578e759ab0382b72b2c1767811f821c5" ns2:_="" ns3:_="">
    <xsd:import namespace="7d73a274-b5d4-4934-af93-8b8c31f6f19f"/>
    <xsd:import namespace="04c986aa-787d-4a14-b577-9f29a18a28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3a274-b5d4-4934-af93-8b8c31f6f1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543fe02-0786-4dab-a22a-a854937e675d}" ma:internalName="TaxCatchAll" ma:showField="CatchAllData" ma:web="7d73a274-b5d4-4934-af93-8b8c31f6f1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986aa-787d-4a14-b577-9f29a18a28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d93e85cc-e36d-4fcb-a8a6-48bf60db5e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73a274-b5d4-4934-af93-8b8c31f6f19f" xsi:nil="true"/>
    <lcf76f155ced4ddcb4097134ff3c332f xmlns="04c986aa-787d-4a14-b577-9f29a18a28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7967FF-C12D-4561-BAC2-8EE7871CD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3a274-b5d4-4934-af93-8b8c31f6f19f"/>
    <ds:schemaRef ds:uri="04c986aa-787d-4a14-b577-9f29a18a28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8CC228-3AA5-4785-8582-8A4516AE2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DC3E0-DF34-4878-AC7E-EF7E791C08D8}">
  <ds:schemaRefs>
    <ds:schemaRef ds:uri="http://schemas.microsoft.com/office/2006/metadata/properties"/>
    <ds:schemaRef ds:uri="http://schemas.microsoft.com/office/infopath/2007/PartnerControls"/>
    <ds:schemaRef ds:uri="7d73a274-b5d4-4934-af93-8b8c31f6f19f"/>
    <ds:schemaRef ds:uri="04c986aa-787d-4a14-b577-9f29a18a28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1230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Martinez</dc:creator>
  <cp:keywords/>
  <dc:description/>
  <cp:lastModifiedBy>Borja Rosales Ingelmo</cp:lastModifiedBy>
  <cp:revision>8</cp:revision>
  <cp:lastPrinted>2025-06-09T06:26:00Z</cp:lastPrinted>
  <dcterms:created xsi:type="dcterms:W3CDTF">2026-10-09T09:47:00Z</dcterms:created>
  <dcterms:modified xsi:type="dcterms:W3CDTF">2026-10-19T08:56:00Z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a57db2-20f3-43df-8fc8-c65692b47ff4_Enabled">
    <vt:lpwstr>true</vt:lpwstr>
  </property>
  <property fmtid="{D5CDD505-2E9C-101B-9397-08002B2CF9AE}" pid="3" name="MSIP_Label_e5a57db2-20f3-43df-8fc8-c65692b47ff4_SetDate">
    <vt:lpwstr>2026-10-07T09:00:28Z</vt:lpwstr>
  </property>
  <property fmtid="{D5CDD505-2E9C-101B-9397-08002B2CF9AE}" pid="4" name="MSIP_Label_e5a57db2-20f3-43df-8fc8-c65692b47ff4_Method">
    <vt:lpwstr>Standard</vt:lpwstr>
  </property>
  <property fmtid="{D5CDD505-2E9C-101B-9397-08002B2CF9AE}" pid="5" name="MSIP_Label_e5a57db2-20f3-43df-8fc8-c65692b47ff4_Name">
    <vt:lpwstr>EFCA Use</vt:lpwstr>
  </property>
  <property fmtid="{D5CDD505-2E9C-101B-9397-08002B2CF9AE}" pid="6" name="MSIP_Label_e5a57db2-20f3-43df-8fc8-c65692b47ff4_SiteId">
    <vt:lpwstr>460dba80-235d-4f26-a9be-d59d485fa662</vt:lpwstr>
  </property>
  <property fmtid="{D5CDD505-2E9C-101B-9397-08002B2CF9AE}" pid="7" name="MSIP_Label_e5a57db2-20f3-43df-8fc8-c65692b47ff4_ActionId">
    <vt:lpwstr>44d69fb7-e40e-4580-864e-f555970aa4ea</vt:lpwstr>
  </property>
  <property fmtid="{D5CDD505-2E9C-101B-9397-08002B2CF9AE}" pid="8" name="MSIP_Label_e5a57db2-20f3-43df-8fc8-c65692b47ff4_ContentBits">
    <vt:lpwstr>0</vt:lpwstr>
  </property>
  <property fmtid="{D5CDD505-2E9C-101B-9397-08002B2CF9AE}" pid="9" name="MSIP_Label_e5a57db2-20f3-43df-8fc8-c65692b47ff4_Tag">
    <vt:lpwstr>10, 3, 0, 1</vt:lpwstr>
  </property>
  <property fmtid="{D5CDD505-2E9C-101B-9397-08002B2CF9AE}" pid="10" name="ContentTypeId">
    <vt:lpwstr>0x0101003E84DD1BACBE3641B802C49D00950036</vt:lpwstr>
  </property>
</Properties>
</file>