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8418" w14:textId="38809051" w:rsidR="006B75AE" w:rsidRPr="00434FCB" w:rsidRDefault="006B75AE" w:rsidP="006B75AE">
      <w:pPr>
        <w:pStyle w:val="Titre2"/>
        <w:spacing w:before="0" w:after="0" w:line="240" w:lineRule="auto"/>
        <w:jc w:val="right"/>
        <w:rPr>
          <w:rFonts w:ascii="Cambria" w:hAnsi="Cambria"/>
          <w:color w:val="auto"/>
          <w:sz w:val="20"/>
          <w:szCs w:val="20"/>
        </w:rPr>
      </w:pPr>
      <w:r w:rsidRPr="00434FCB">
        <w:rPr>
          <w:rFonts w:ascii="Cambria" w:hAnsi="Cambria"/>
          <w:b/>
          <w:bCs/>
          <w:color w:val="auto"/>
          <w:sz w:val="20"/>
          <w:szCs w:val="20"/>
        </w:rPr>
        <w:t>Original : anglais</w:t>
      </w:r>
    </w:p>
    <w:p w14:paraId="75E8C7FC" w14:textId="77777777" w:rsidR="006B75AE" w:rsidRPr="00434FCB" w:rsidRDefault="006B75AE" w:rsidP="00B042DB">
      <w:pPr>
        <w:pStyle w:val="Titre2"/>
        <w:spacing w:before="0" w:after="0" w:line="240" w:lineRule="auto"/>
        <w:jc w:val="center"/>
        <w:rPr>
          <w:rFonts w:ascii="Cambria" w:hAnsi="Cambria"/>
          <w:b/>
          <w:bCs/>
          <w:color w:val="auto"/>
          <w:sz w:val="20"/>
          <w:szCs w:val="20"/>
        </w:rPr>
      </w:pPr>
    </w:p>
    <w:p w14:paraId="7EB1E1EC" w14:textId="6E716BCF" w:rsidR="00B27971" w:rsidRPr="00434FCB" w:rsidRDefault="00B042DB" w:rsidP="00B042DB">
      <w:pPr>
        <w:tabs>
          <w:tab w:val="right" w:pos="9071"/>
        </w:tabs>
        <w:spacing w:line="240" w:lineRule="auto"/>
        <w:jc w:val="center"/>
        <w:rPr>
          <w:b/>
          <w:bCs/>
          <w:szCs w:val="20"/>
        </w:rPr>
      </w:pPr>
      <w:r w:rsidRPr="00434FCB">
        <w:rPr>
          <w:b/>
          <w:bCs/>
          <w:szCs w:val="20"/>
        </w:rPr>
        <w:t>Demande d’allocation d’un quota de thon rouge de l’Atlantique Est et de la Méditerranée (</w:t>
      </w:r>
      <w:proofErr w:type="spellStart"/>
      <w:r w:rsidRPr="00434FCB">
        <w:rPr>
          <w:b/>
          <w:bCs/>
          <w:szCs w:val="20"/>
        </w:rPr>
        <w:t>BFT</w:t>
      </w:r>
      <w:proofErr w:type="spellEnd"/>
      <w:r w:rsidRPr="00434FCB">
        <w:rPr>
          <w:b/>
          <w:bCs/>
          <w:szCs w:val="20"/>
        </w:rPr>
        <w:t>-E)</w:t>
      </w:r>
      <w:r w:rsidR="00C476E1" w:rsidRPr="00434FCB">
        <w:rPr>
          <w:b/>
          <w:bCs/>
          <w:szCs w:val="20"/>
        </w:rPr>
        <w:t xml:space="preserve"> </w:t>
      </w:r>
      <w:r w:rsidRPr="00434FCB">
        <w:rPr>
          <w:b/>
          <w:bCs/>
          <w:szCs w:val="20"/>
        </w:rPr>
        <w:t>au Monténégro</w:t>
      </w:r>
    </w:p>
    <w:p w14:paraId="42617252" w14:textId="77777777" w:rsidR="00B042DB" w:rsidRPr="00434FCB" w:rsidRDefault="00B042DB" w:rsidP="00B042DB">
      <w:pPr>
        <w:tabs>
          <w:tab w:val="right" w:pos="9071"/>
        </w:tabs>
        <w:spacing w:line="240" w:lineRule="auto"/>
        <w:jc w:val="center"/>
        <w:rPr>
          <w:szCs w:val="20"/>
        </w:rPr>
      </w:pPr>
    </w:p>
    <w:p w14:paraId="2B5A4C5F" w14:textId="77777777" w:rsidR="00B042DB" w:rsidRPr="00434FCB" w:rsidRDefault="00B042DB" w:rsidP="00B042DB">
      <w:pPr>
        <w:tabs>
          <w:tab w:val="right" w:pos="9071"/>
        </w:tabs>
        <w:spacing w:line="240" w:lineRule="auto"/>
        <w:jc w:val="center"/>
        <w:rPr>
          <w:szCs w:val="20"/>
        </w:rPr>
      </w:pPr>
    </w:p>
    <w:p w14:paraId="7E5EAEF0" w14:textId="77777777" w:rsidR="00B042DB" w:rsidRPr="00434FCB" w:rsidRDefault="00B042DB" w:rsidP="00B042DB">
      <w:pPr>
        <w:tabs>
          <w:tab w:val="right" w:pos="9071"/>
        </w:tabs>
        <w:spacing w:line="240" w:lineRule="auto"/>
        <w:ind w:left="0" w:firstLine="0"/>
        <w:rPr>
          <w:rFonts w:eastAsia="Calibri" w:cs="Times New Roman"/>
          <w:color w:val="auto"/>
          <w:kern w:val="0"/>
          <w:szCs w:val="20"/>
          <w14:ligatures w14:val="none"/>
        </w:rPr>
      </w:pPr>
      <w:r w:rsidRPr="00434FCB">
        <w:rPr>
          <w:color w:val="auto"/>
          <w:szCs w:val="20"/>
        </w:rPr>
        <w:t>Nº 06-318/26-27659/1</w:t>
      </w:r>
      <w:r w:rsidRPr="00434FCB">
        <w:rPr>
          <w:color w:val="auto"/>
          <w:szCs w:val="20"/>
        </w:rPr>
        <w:tab/>
        <w:t>12 octobre 2026</w:t>
      </w:r>
    </w:p>
    <w:p w14:paraId="116A1CFC" w14:textId="77777777" w:rsidR="00B042DB" w:rsidRPr="00434FCB" w:rsidRDefault="00B042DB" w:rsidP="00B042DB">
      <w:pPr>
        <w:spacing w:line="240" w:lineRule="auto"/>
        <w:ind w:left="0" w:firstLine="0"/>
        <w:rPr>
          <w:rFonts w:eastAsia="Calibri" w:cs="Times New Roman"/>
          <w:b/>
          <w:color w:val="auto"/>
          <w:kern w:val="0"/>
          <w:szCs w:val="20"/>
          <w14:ligatures w14:val="none"/>
        </w:rPr>
      </w:pPr>
    </w:p>
    <w:p w14:paraId="7306029D" w14:textId="77777777" w:rsidR="00B042DB" w:rsidRPr="00434FCB" w:rsidRDefault="00B042DB" w:rsidP="00B042DB">
      <w:pPr>
        <w:spacing w:line="240" w:lineRule="auto"/>
        <w:ind w:left="0" w:firstLine="0"/>
        <w:rPr>
          <w:rFonts w:eastAsia="Calibri" w:cs="Times New Roman"/>
          <w:color w:val="auto"/>
          <w:kern w:val="0"/>
          <w:szCs w:val="20"/>
          <w14:ligatures w14:val="none"/>
        </w:rPr>
      </w:pPr>
      <w:r w:rsidRPr="00434FCB">
        <w:rPr>
          <w:color w:val="auto"/>
          <w:szCs w:val="20"/>
        </w:rPr>
        <w:t>À l’attention du : Secrétariat de l’ICCAT</w:t>
      </w:r>
    </w:p>
    <w:p w14:paraId="20E14F8C" w14:textId="77777777" w:rsidR="00B042DB" w:rsidRPr="00434FCB" w:rsidRDefault="00B042DB" w:rsidP="00B042DB">
      <w:pPr>
        <w:spacing w:line="240" w:lineRule="auto"/>
        <w:ind w:left="0" w:firstLine="0"/>
        <w:rPr>
          <w:rFonts w:eastAsia="Calibri" w:cs="Times New Roman"/>
          <w:color w:val="auto"/>
          <w:kern w:val="0"/>
          <w:szCs w:val="20"/>
          <w14:ligatures w14:val="none"/>
        </w:rPr>
      </w:pPr>
      <w:r w:rsidRPr="00434FCB">
        <w:rPr>
          <w:color w:val="auto"/>
          <w:szCs w:val="20"/>
        </w:rPr>
        <w:t>Pour examen de la Sous-commission 2 et de la Commission</w:t>
      </w:r>
    </w:p>
    <w:p w14:paraId="61146E55" w14:textId="7EB56FCB" w:rsidR="00B042DB" w:rsidRPr="00434FCB" w:rsidRDefault="00B042DB" w:rsidP="00B042DB">
      <w:pPr>
        <w:spacing w:line="240" w:lineRule="auto"/>
        <w:ind w:left="0" w:firstLine="0"/>
        <w:rPr>
          <w:rFonts w:eastAsia="Calibri" w:cs="Times New Roman"/>
          <w:color w:val="auto"/>
          <w:kern w:val="0"/>
          <w:szCs w:val="20"/>
          <w14:ligatures w14:val="none"/>
        </w:rPr>
      </w:pPr>
      <w:r w:rsidRPr="00434FCB">
        <w:rPr>
          <w:color w:val="auto"/>
          <w:szCs w:val="20"/>
        </w:rPr>
        <w:t>Commission internationale pour la conservation des thonidés de l’Atlantique</w:t>
      </w:r>
    </w:p>
    <w:p w14:paraId="1E72E69D" w14:textId="77777777" w:rsidR="00B042DB" w:rsidRPr="00434FCB" w:rsidRDefault="00B042DB" w:rsidP="00B042DB">
      <w:pPr>
        <w:spacing w:line="240" w:lineRule="auto"/>
        <w:ind w:left="0" w:firstLine="0"/>
        <w:rPr>
          <w:rFonts w:eastAsia="Calibri" w:cs="Times New Roman"/>
          <w:color w:val="auto"/>
          <w:kern w:val="0"/>
          <w:szCs w:val="20"/>
          <w14:ligatures w14:val="none"/>
        </w:rPr>
      </w:pPr>
    </w:p>
    <w:p w14:paraId="67D9A225" w14:textId="77777777" w:rsidR="00B042DB" w:rsidRPr="00434FCB" w:rsidRDefault="00B042DB" w:rsidP="00B042DB">
      <w:pPr>
        <w:spacing w:line="240" w:lineRule="auto"/>
        <w:ind w:left="0" w:firstLine="0"/>
        <w:jc w:val="both"/>
        <w:rPr>
          <w:rFonts w:eastAsia="Calibri" w:cs="Times New Roman"/>
          <w:b/>
          <w:color w:val="auto"/>
          <w:kern w:val="0"/>
          <w:szCs w:val="20"/>
          <w14:ligatures w14:val="none"/>
        </w:rPr>
      </w:pPr>
      <w:r w:rsidRPr="00434FCB">
        <w:rPr>
          <w:b/>
          <w:color w:val="auto"/>
          <w:szCs w:val="20"/>
        </w:rPr>
        <w:t>Objet : Demande d’un quota annuel de capture de 100 tonnes de thon rouge de l'Atlantique Est et de la Méditerranée à compter du 1</w:t>
      </w:r>
      <w:r w:rsidRPr="00434FCB">
        <w:rPr>
          <w:b/>
          <w:color w:val="auto"/>
          <w:szCs w:val="20"/>
          <w:vertAlign w:val="superscript"/>
        </w:rPr>
        <w:t>er</w:t>
      </w:r>
      <w:r w:rsidRPr="00434FCB">
        <w:rPr>
          <w:b/>
          <w:color w:val="auto"/>
          <w:szCs w:val="20"/>
        </w:rPr>
        <w:t xml:space="preserve"> janvier 2027</w:t>
      </w:r>
    </w:p>
    <w:p w14:paraId="0337AB47"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232E5B88"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Cher M. Shingo Ota,</w:t>
      </w:r>
    </w:p>
    <w:p w14:paraId="48E06E81"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447A2E13"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Au nom du Monténégro, je soumets, par la présente, une demande officielle visant à obtenir un quota annuel de capture de 100 tonnes de thon rouge de l'Atlantique Est et de la Méditerranée (</w:t>
      </w:r>
      <w:proofErr w:type="spellStart"/>
      <w:r w:rsidRPr="00434FCB">
        <w:rPr>
          <w:i/>
          <w:iCs/>
          <w:color w:val="auto"/>
          <w:szCs w:val="20"/>
        </w:rPr>
        <w:t>Thunnus</w:t>
      </w:r>
      <w:proofErr w:type="spellEnd"/>
      <w:r w:rsidRPr="00434FCB">
        <w:rPr>
          <w:i/>
          <w:iCs/>
          <w:color w:val="auto"/>
          <w:szCs w:val="20"/>
        </w:rPr>
        <w:t xml:space="preserve"> </w:t>
      </w:r>
      <w:proofErr w:type="spellStart"/>
      <w:r w:rsidRPr="00434FCB">
        <w:rPr>
          <w:i/>
          <w:iCs/>
          <w:color w:val="auto"/>
          <w:szCs w:val="20"/>
        </w:rPr>
        <w:t>thynnus</w:t>
      </w:r>
      <w:proofErr w:type="spellEnd"/>
      <w:r w:rsidRPr="00434FCB">
        <w:rPr>
          <w:color w:val="auto"/>
          <w:szCs w:val="20"/>
        </w:rPr>
        <w:t>), en vigueur à compter du 1</w:t>
      </w:r>
      <w:r w:rsidRPr="00434FCB">
        <w:rPr>
          <w:color w:val="auto"/>
          <w:szCs w:val="20"/>
          <w:vertAlign w:val="superscript"/>
        </w:rPr>
        <w:t>er</w:t>
      </w:r>
      <w:r w:rsidRPr="00434FCB">
        <w:rPr>
          <w:color w:val="auto"/>
          <w:szCs w:val="20"/>
        </w:rPr>
        <w:t xml:space="preserve"> janvier 2027.</w:t>
      </w:r>
    </w:p>
    <w:p w14:paraId="6DBBA953"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1E465530" w14:textId="55931ED2"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Faisant suite à l’adhésion du Monténégro à l’ICCAT en octobre 2025 et à sa demande ultérieure de rejoindre la Sous-commission 2, l’adhésion du Monténégro à la Sous-commission 2 a été communiquée par voie de Circulaire ICCAT n°08079/2026 du 18 septembre 2026.</w:t>
      </w:r>
    </w:p>
    <w:p w14:paraId="5DF84EBF"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0B3ED474" w14:textId="363314EB"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 xml:space="preserve">Le Monténégro prie le Secrétariat de bien vouloir diffuser cette soumission pour examen de la Sous-commission 2 et de la Commission à la 25e réunion extraordinaire de la Commission qui se tiendra à </w:t>
      </w:r>
      <w:proofErr w:type="spellStart"/>
      <w:r w:rsidRPr="00434FCB">
        <w:rPr>
          <w:color w:val="auto"/>
          <w:szCs w:val="20"/>
        </w:rPr>
        <w:t>Vilamoura</w:t>
      </w:r>
      <w:proofErr w:type="spellEnd"/>
      <w:r w:rsidRPr="00434FCB">
        <w:rPr>
          <w:color w:val="auto"/>
          <w:szCs w:val="20"/>
        </w:rPr>
        <w:t>, au Portugal, du 16 au 23 novembre 2026.</w:t>
      </w:r>
    </w:p>
    <w:p w14:paraId="42E1E954"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04691A98"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 xml:space="preserve">Les informations suivantes sur les captures historiques et le cadre d’allocation du quota national proposé sont </w:t>
      </w:r>
      <w:proofErr w:type="gramStart"/>
      <w:r w:rsidRPr="00434FCB">
        <w:rPr>
          <w:color w:val="auto"/>
          <w:szCs w:val="20"/>
        </w:rPr>
        <w:t>fournies</w:t>
      </w:r>
      <w:proofErr w:type="gramEnd"/>
      <w:r w:rsidRPr="00434FCB">
        <w:rPr>
          <w:color w:val="auto"/>
          <w:szCs w:val="20"/>
        </w:rPr>
        <w:t xml:space="preserve"> à l’appui de cette demande.</w:t>
      </w:r>
    </w:p>
    <w:p w14:paraId="3D3692E5"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4F2DF263"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Pour la période dix ans, de 2016 à 2025, les registres nationaux fournis pour cette soumission indiquent des captures totales de thon rouge de 669,82 tonnes, correspondant à une capture annuelle moyenne de 66,98 tonnes. L’</w:t>
      </w:r>
      <w:r w:rsidRPr="00434FCB">
        <w:rPr>
          <w:b/>
          <w:color w:val="auto"/>
          <w:szCs w:val="20"/>
        </w:rPr>
        <w:t>annexe 1</w:t>
      </w:r>
      <w:r w:rsidRPr="00434FCB">
        <w:rPr>
          <w:color w:val="auto"/>
          <w:szCs w:val="20"/>
        </w:rPr>
        <w:t xml:space="preserve"> présente les captures annuelles.</w:t>
      </w:r>
    </w:p>
    <w:p w14:paraId="750F32B0"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30B8B082"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 xml:space="preserve">Des captures de thon rouge ont été enregistrées pour 110 navires battant le pavillon du Monténégro au cours de cette période. Ces registres incluent tant des captures ciblées que des captures accidentelles. Les captures ciblées étaient principalement enregistrées sous les codes d’engin </w:t>
      </w:r>
      <w:proofErr w:type="spellStart"/>
      <w:r w:rsidRPr="00434FCB">
        <w:rPr>
          <w:color w:val="auto"/>
          <w:szCs w:val="20"/>
        </w:rPr>
        <w:t>LLD</w:t>
      </w:r>
      <w:proofErr w:type="spellEnd"/>
      <w:r w:rsidRPr="00434FCB">
        <w:rPr>
          <w:color w:val="auto"/>
          <w:szCs w:val="20"/>
        </w:rPr>
        <w:t xml:space="preserve"> et LX, tandis que les captures enregistrées sous d’autres codes d’engins étaient généralement classées comme accidentelles. En 2025, 51 navires ont enregistré des captures de thon rouge totalisant 113,26 tonnes.</w:t>
      </w:r>
    </w:p>
    <w:p w14:paraId="7997BEAB"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38583E53"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Ces registres couvrent l’ensemble de la période 2016–2025, y compris la période précédant l’adhésion du Monténégro à l’ICCAT. Les données de captures historiques se basent sur les registres nationaux, après vérification approfondie du classement de certains engins de pêche.</w:t>
      </w:r>
    </w:p>
    <w:p w14:paraId="79AAC371"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2C5BBA7D" w14:textId="498D4CE6"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Compte tenu de ces registres de captures historiques, de la position géographique du Monténégro en qualité d’État côtier de l’Adriatique et de la Méditerranée, de son statut en tant que nouvelle Partie contractante à l’ICCAT et membre de la Sous-commission 2, et des besoins de son secteur national de la pêche, le Monténégro demande une allocation annuelle initiale de 100 tonnes de thon rouge de l'Atlantique Est et de la Méditerranée à compter du 1</w:t>
      </w:r>
      <w:r w:rsidRPr="003205E5">
        <w:rPr>
          <w:color w:val="auto"/>
          <w:szCs w:val="20"/>
          <w:vertAlign w:val="superscript"/>
        </w:rPr>
        <w:t>er</w:t>
      </w:r>
      <w:r w:rsidRPr="00434FCB">
        <w:rPr>
          <w:color w:val="auto"/>
          <w:szCs w:val="20"/>
        </w:rPr>
        <w:t xml:space="preserve"> janvier 2027.</w:t>
      </w:r>
    </w:p>
    <w:p w14:paraId="75642407"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560E1A10"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Si l’allocation est approuvée, le Monténégro entend répartir le quota en vertu du recueil réglementaire national sur la pêche de thon rouge qui a été préparé et qui devrait être adopté faisant suite à l’allocation du quota. Le cadre proposé prévoit des critères environnementaux, sociaux et économiques transparents et objectifs, une allocation équitable parmi les segments de la flottille, une attention particulière accordée aux pêcheries côtières à petite échelle et un soutien aux techniques et engins de pêche sélectifs à faible impact environnemental.</w:t>
      </w:r>
    </w:p>
    <w:p w14:paraId="11B90E60"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760AAAAE" w14:textId="376ED24E" w:rsidR="00B042DB" w:rsidRPr="00434FCB" w:rsidRDefault="00B042DB" w:rsidP="00EE13D9">
      <w:pPr>
        <w:widowControl w:val="0"/>
        <w:spacing w:line="240" w:lineRule="auto"/>
        <w:ind w:left="0" w:firstLine="0"/>
        <w:jc w:val="both"/>
        <w:rPr>
          <w:rFonts w:eastAsia="Calibri" w:cs="Times New Roman"/>
          <w:color w:val="auto"/>
          <w:kern w:val="0"/>
          <w:szCs w:val="20"/>
          <w14:ligatures w14:val="none"/>
        </w:rPr>
      </w:pPr>
      <w:r w:rsidRPr="00434FCB">
        <w:rPr>
          <w:color w:val="auto"/>
          <w:szCs w:val="20"/>
        </w:rPr>
        <w:lastRenderedPageBreak/>
        <w:t xml:space="preserve">Le recueil réglementaire préparé envisage de l’allouer aux pêcheries commerciales ciblées utilisant les sennes thonières et l’engin de ligne et hameçon, y compris les lignes à main, les lignes de traîne et les palangres dérivantes, avec des parties réservées pour les prises accessoires, les pêcheries récréatives et sportives </w:t>
      </w:r>
      <w:r w:rsidR="00470C32">
        <w:rPr>
          <w:color w:val="auto"/>
          <w:szCs w:val="20"/>
        </w:rPr>
        <w:t>e</w:t>
      </w:r>
      <w:r w:rsidRPr="00434FCB">
        <w:rPr>
          <w:color w:val="auto"/>
          <w:szCs w:val="20"/>
        </w:rPr>
        <w:t>t à des fins scientifiques. Les parts définitives par catégorie et le nombre de navires autorisés seraient déterminés après l’allocation du quota, en finalisant la réglementation nationale et les plans annuels pertinents, conformément aux mesures de conservation et de gestion de l’ICCAT</w:t>
      </w:r>
      <w:r w:rsidR="00270DF4">
        <w:rPr>
          <w:color w:val="auto"/>
          <w:szCs w:val="20"/>
        </w:rPr>
        <w:t xml:space="preserve"> applicables</w:t>
      </w:r>
      <w:r w:rsidRPr="00434FCB">
        <w:rPr>
          <w:color w:val="auto"/>
          <w:szCs w:val="20"/>
        </w:rPr>
        <w:t>.</w:t>
      </w:r>
    </w:p>
    <w:p w14:paraId="6F368D8D" w14:textId="77777777" w:rsidR="00EE13D9" w:rsidRPr="00434FCB" w:rsidRDefault="00EE13D9" w:rsidP="00B042DB">
      <w:pPr>
        <w:spacing w:line="240" w:lineRule="auto"/>
        <w:ind w:left="0" w:firstLine="0"/>
        <w:jc w:val="both"/>
        <w:rPr>
          <w:rFonts w:eastAsia="Calibri" w:cs="Times New Roman"/>
          <w:color w:val="auto"/>
          <w:kern w:val="0"/>
          <w:szCs w:val="20"/>
          <w14:ligatures w14:val="none"/>
        </w:rPr>
      </w:pPr>
    </w:p>
    <w:p w14:paraId="1242D15F" w14:textId="17FE317F"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 xml:space="preserve">Dans le cadre des dispositions proposées, l’éligibilité à un quota individuel nécessiterait l’immatriculation dans le registre de la flottille de pêche du Monténégro, une licence de pêche commerciale en cours de validité couvrant l’engin concerné et la participation </w:t>
      </w:r>
      <w:r w:rsidR="001C50CB">
        <w:rPr>
          <w:color w:val="auto"/>
          <w:szCs w:val="20"/>
        </w:rPr>
        <w:t xml:space="preserve">antérieure documentée </w:t>
      </w:r>
      <w:r w:rsidRPr="00434FCB">
        <w:rPr>
          <w:color w:val="auto"/>
          <w:szCs w:val="20"/>
        </w:rPr>
        <w:t xml:space="preserve">à la pêche de thon rouge, y compris les captures, les débarquements et la commercialisation conformément aux normes applicables. Les autres conditions incluraient l’absence de points de pénalité attribués au titulaire de la licence ou au capitaine et le règlement de toute cotisation applicable relative au quota précédemment alloué. Le Ministère établirait et publierait un classement des navires basé sur les registres de captures, de débarquements et de commercialisation dans le système d’informations des pêches, après quoi les armateurs </w:t>
      </w:r>
      <w:r w:rsidR="001C50CB">
        <w:rPr>
          <w:color w:val="auto"/>
          <w:szCs w:val="20"/>
        </w:rPr>
        <w:t xml:space="preserve">des navires </w:t>
      </w:r>
      <w:r w:rsidRPr="00434FCB">
        <w:rPr>
          <w:color w:val="auto"/>
          <w:szCs w:val="20"/>
        </w:rPr>
        <w:t>éligibles solliciteraient un quota individuel et une autorisation de pêche.</w:t>
      </w:r>
    </w:p>
    <w:p w14:paraId="36AB7814"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2866DC3D" w14:textId="05B30325"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 xml:space="preserve">Le Ministère allouerait un quota individuel à chaque navire approuvé et délivrerait une autorisation précisant le navire, l’engin autorisé, les zones de pêche et le quota individuel. Le recueil réglementaire proposé prévoit un registre national des navires autorisés et exige l’immatriculation dans le registre ICCAT </w:t>
      </w:r>
      <w:proofErr w:type="gramStart"/>
      <w:r w:rsidRPr="00434FCB">
        <w:rPr>
          <w:color w:val="auto"/>
          <w:szCs w:val="20"/>
        </w:rPr>
        <w:t>des navires pertinent</w:t>
      </w:r>
      <w:proofErr w:type="gramEnd"/>
      <w:r w:rsidRPr="00434FCB">
        <w:rPr>
          <w:color w:val="auto"/>
          <w:szCs w:val="20"/>
        </w:rPr>
        <w:t xml:space="preserve">. Le plan annuel de pêche préciserait les quotas par groupe d’engins, les modalités de gestion </w:t>
      </w:r>
      <w:r w:rsidR="001C50CB">
        <w:rPr>
          <w:color w:val="auto"/>
          <w:szCs w:val="20"/>
        </w:rPr>
        <w:t>de l</w:t>
      </w:r>
      <w:r w:rsidR="001C50CB" w:rsidRPr="00434FCB">
        <w:rPr>
          <w:color w:val="auto"/>
          <w:szCs w:val="20"/>
        </w:rPr>
        <w:t xml:space="preserve">’allocation </w:t>
      </w:r>
      <w:r w:rsidR="001C50CB">
        <w:rPr>
          <w:color w:val="auto"/>
          <w:szCs w:val="20"/>
        </w:rPr>
        <w:t xml:space="preserve">et </w:t>
      </w:r>
      <w:r w:rsidRPr="00434FCB">
        <w:rPr>
          <w:color w:val="auto"/>
          <w:szCs w:val="20"/>
        </w:rPr>
        <w:t xml:space="preserve">du quota, les mesures </w:t>
      </w:r>
      <w:r w:rsidR="001C50CB">
        <w:rPr>
          <w:color w:val="auto"/>
          <w:szCs w:val="20"/>
        </w:rPr>
        <w:t>visant à</w:t>
      </w:r>
      <w:r w:rsidRPr="00434FCB">
        <w:rPr>
          <w:color w:val="auto"/>
          <w:szCs w:val="20"/>
        </w:rPr>
        <w:t xml:space="preserve"> garantir le respect des quotas individuels, les normes relatives aux prises accessoires et le nombre de navires de capture. Le nombre et la capacité des navires seraient maintenus proportionnels aux possibilités de pêche allouées.</w:t>
      </w:r>
    </w:p>
    <w:p w14:paraId="2D68A008"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0D1BE8E1"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Le Monténégro a renforcé son cadre de gestion, de suivi et de contrôle des pêches, qui inclut le système d’informations des pêches (FIS), le système de surveillance des navires (VMS), le centre de surveillance des pêches (</w:t>
      </w:r>
      <w:proofErr w:type="spellStart"/>
      <w:r w:rsidRPr="00434FCB">
        <w:rPr>
          <w:color w:val="auto"/>
          <w:szCs w:val="20"/>
        </w:rPr>
        <w:t>FMC</w:t>
      </w:r>
      <w:proofErr w:type="spellEnd"/>
      <w:r w:rsidRPr="00434FCB">
        <w:rPr>
          <w:color w:val="auto"/>
          <w:szCs w:val="20"/>
        </w:rPr>
        <w:t>), l’enregistrement et la déclaration des captures et des inspections des pêcheries. Le recueil réglementaire sur la pêche de thon rouge a été préparé et son adoption est prévue à la suite de l’allocation du quota.</w:t>
      </w:r>
    </w:p>
    <w:p w14:paraId="4A0C0BF9"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02C1B59E"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Les navires autorisés seraient assujettis aux exigences applicables en matière de suivi, de carnet de pêche, de déclaration et de documentation des captures, ainsi qu’aux autres obligations pertinentes de l’ICCAT. Les modalités nationales de gestion du quota spécifieraient les obligations des navires et les procédures permettant de suivre l’utilisation du quota.</w:t>
      </w:r>
    </w:p>
    <w:p w14:paraId="0A27F22A"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5C611283"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Le Monténégro réaffirme son engagement à mettre en œuvre toutes les mesures de conservation et de gestion de l’ICCAT applicables, incluant les obligations de suivi, de contrôle, de déclaration et d’application des réglementations, et à veiller à une utilisation durable et responsable de toute possibilité de pêche qui lui sera allouée.</w:t>
      </w:r>
    </w:p>
    <w:p w14:paraId="6C7AF2FD"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13101A90" w14:textId="77777777" w:rsidR="00B042DB" w:rsidRPr="00434FCB" w:rsidRDefault="00B042DB" w:rsidP="000C73F5">
      <w:pPr>
        <w:spacing w:line="240" w:lineRule="auto"/>
        <w:ind w:left="0" w:firstLine="0"/>
        <w:jc w:val="both"/>
        <w:rPr>
          <w:rFonts w:eastAsia="Calibri" w:cs="Times New Roman"/>
          <w:color w:val="auto"/>
          <w:kern w:val="0"/>
          <w:szCs w:val="20"/>
          <w14:ligatures w14:val="none"/>
        </w:rPr>
      </w:pPr>
      <w:r w:rsidRPr="00434FCB">
        <w:rPr>
          <w:color w:val="auto"/>
          <w:szCs w:val="20"/>
        </w:rPr>
        <w:t>Le Monténégro se tient à la disposition de la Sous-commission 2, de la Commission et du Secrétariat pour leur fournir tout complément d’information ou document d’appui nécessaire à l’examen de cette demande.</w:t>
      </w:r>
    </w:p>
    <w:p w14:paraId="3CC840D2" w14:textId="77777777" w:rsidR="00B042DB" w:rsidRPr="00434FCB" w:rsidRDefault="00B042DB" w:rsidP="00B042DB">
      <w:pPr>
        <w:keepNext/>
        <w:spacing w:line="240" w:lineRule="auto"/>
        <w:ind w:left="0" w:firstLine="0"/>
        <w:rPr>
          <w:rFonts w:eastAsia="Calibri" w:cs="Times New Roman"/>
          <w:color w:val="auto"/>
          <w:kern w:val="0"/>
          <w:szCs w:val="20"/>
          <w14:ligatures w14:val="none"/>
        </w:rPr>
      </w:pPr>
    </w:p>
    <w:p w14:paraId="6BD7D12A" w14:textId="54F10135" w:rsidR="00B042DB" w:rsidRPr="00434FCB" w:rsidRDefault="00B042DB" w:rsidP="00B042DB">
      <w:pPr>
        <w:keepNext/>
        <w:spacing w:line="240" w:lineRule="auto"/>
        <w:ind w:left="0" w:firstLine="0"/>
        <w:rPr>
          <w:rFonts w:eastAsia="Calibri" w:cs="Times New Roman"/>
          <w:color w:val="auto"/>
          <w:kern w:val="0"/>
          <w:szCs w:val="20"/>
          <w14:ligatures w14:val="none"/>
        </w:rPr>
      </w:pPr>
      <w:r w:rsidRPr="00434FCB">
        <w:rPr>
          <w:color w:val="auto"/>
          <w:szCs w:val="20"/>
        </w:rPr>
        <w:t>Cordialement.</w:t>
      </w:r>
    </w:p>
    <w:p w14:paraId="5BC79C40" w14:textId="77777777" w:rsidR="00B042DB" w:rsidRPr="00434FCB" w:rsidRDefault="00B042DB" w:rsidP="00B042DB">
      <w:pPr>
        <w:keepNext/>
        <w:spacing w:line="240" w:lineRule="auto"/>
        <w:ind w:left="0" w:firstLine="0"/>
        <w:rPr>
          <w:rFonts w:eastAsia="Calibri" w:cs="Times New Roman"/>
          <w:color w:val="auto"/>
          <w:kern w:val="0"/>
          <w:szCs w:val="20"/>
          <w14:ligatures w14:val="none"/>
        </w:rPr>
      </w:pPr>
    </w:p>
    <w:p w14:paraId="1B4FB118" w14:textId="233F5377" w:rsidR="00B042DB" w:rsidRPr="00434FCB" w:rsidRDefault="00B042DB" w:rsidP="00B042DB">
      <w:pPr>
        <w:keepNext/>
        <w:spacing w:line="240" w:lineRule="auto"/>
        <w:ind w:left="0" w:firstLine="0"/>
        <w:rPr>
          <w:rFonts w:eastAsia="Calibri" w:cs="Times New Roman"/>
          <w:color w:val="auto"/>
          <w:kern w:val="0"/>
          <w:szCs w:val="20"/>
          <w14:ligatures w14:val="none"/>
        </w:rPr>
      </w:pPr>
      <w:r w:rsidRPr="00434FCB">
        <w:rPr>
          <w:color w:val="auto"/>
          <w:szCs w:val="20"/>
        </w:rPr>
        <w:t>(Signature et sceau)</w:t>
      </w:r>
    </w:p>
    <w:p w14:paraId="756EE769" w14:textId="77777777" w:rsidR="00B042DB" w:rsidRPr="00434FCB" w:rsidRDefault="00B042DB" w:rsidP="00B042DB">
      <w:pPr>
        <w:keepNext/>
        <w:spacing w:line="240" w:lineRule="auto"/>
        <w:ind w:left="0" w:firstLine="0"/>
        <w:rPr>
          <w:rFonts w:eastAsia="Calibri" w:cs="Times New Roman"/>
          <w:color w:val="auto"/>
          <w:kern w:val="0"/>
          <w:szCs w:val="20"/>
          <w14:ligatures w14:val="none"/>
        </w:rPr>
      </w:pPr>
    </w:p>
    <w:p w14:paraId="4906A4E2" w14:textId="77777777" w:rsidR="00B042DB" w:rsidRPr="00434FCB" w:rsidRDefault="00B042DB" w:rsidP="00B042DB">
      <w:pPr>
        <w:keepLines/>
        <w:spacing w:line="240" w:lineRule="auto"/>
        <w:ind w:left="0" w:firstLine="0"/>
        <w:rPr>
          <w:rFonts w:eastAsia="Calibri" w:cs="Times New Roman"/>
          <w:color w:val="auto"/>
          <w:kern w:val="0"/>
          <w:szCs w:val="20"/>
          <w14:ligatures w14:val="none"/>
        </w:rPr>
      </w:pPr>
      <w:r w:rsidRPr="00434FCB">
        <w:rPr>
          <w:color w:val="auto"/>
          <w:szCs w:val="20"/>
        </w:rPr>
        <w:t>Katarina Burzanović</w:t>
      </w:r>
    </w:p>
    <w:p w14:paraId="7632CC24" w14:textId="77777777" w:rsidR="00B042DB" w:rsidRPr="00434FCB" w:rsidRDefault="00B042DB" w:rsidP="00B042DB">
      <w:pPr>
        <w:keepLines/>
        <w:spacing w:line="240" w:lineRule="auto"/>
        <w:ind w:left="0" w:firstLine="0"/>
        <w:rPr>
          <w:rFonts w:eastAsia="Calibri" w:cs="Times New Roman"/>
          <w:color w:val="auto"/>
          <w:kern w:val="0"/>
          <w:szCs w:val="20"/>
          <w14:ligatures w14:val="none"/>
        </w:rPr>
      </w:pPr>
      <w:r w:rsidRPr="00434FCB">
        <w:rPr>
          <w:color w:val="auto"/>
          <w:szCs w:val="20"/>
        </w:rPr>
        <w:t>Chef de la délégation du Monténégro auprès de l’ICCAT</w:t>
      </w:r>
    </w:p>
    <w:p w14:paraId="55100BE0" w14:textId="77777777" w:rsidR="00B042DB" w:rsidRPr="00434FCB" w:rsidRDefault="00B042DB" w:rsidP="00B042DB">
      <w:pPr>
        <w:keepLines/>
        <w:spacing w:line="240" w:lineRule="auto"/>
        <w:ind w:left="0" w:firstLine="0"/>
        <w:rPr>
          <w:rFonts w:eastAsia="Calibri" w:cs="Times New Roman"/>
          <w:color w:val="auto"/>
          <w:kern w:val="0"/>
          <w:szCs w:val="20"/>
          <w14:ligatures w14:val="none"/>
        </w:rPr>
      </w:pPr>
      <w:r w:rsidRPr="00434FCB">
        <w:rPr>
          <w:color w:val="auto"/>
          <w:szCs w:val="20"/>
        </w:rPr>
        <w:t>Directrice générale</w:t>
      </w:r>
    </w:p>
    <w:p w14:paraId="267BEEC1" w14:textId="4C15B3EE" w:rsidR="00B042DB" w:rsidRPr="00434FCB" w:rsidRDefault="00B042DB" w:rsidP="00B042DB">
      <w:pPr>
        <w:keepLines/>
        <w:spacing w:line="240" w:lineRule="auto"/>
        <w:ind w:left="0" w:firstLine="0"/>
        <w:rPr>
          <w:rFonts w:eastAsia="Calibri" w:cs="Times New Roman"/>
          <w:color w:val="auto"/>
          <w:kern w:val="0"/>
          <w:szCs w:val="20"/>
          <w14:ligatures w14:val="none"/>
        </w:rPr>
      </w:pPr>
      <w:r w:rsidRPr="00434FCB">
        <w:rPr>
          <w:color w:val="auto"/>
          <w:szCs w:val="20"/>
        </w:rPr>
        <w:t>Direction des pêches</w:t>
      </w:r>
    </w:p>
    <w:p w14:paraId="3471FEEA" w14:textId="77777777" w:rsidR="00B042DB" w:rsidRPr="00434FCB" w:rsidRDefault="00B042DB" w:rsidP="00B042DB">
      <w:pPr>
        <w:keepLines/>
        <w:spacing w:line="240" w:lineRule="auto"/>
        <w:ind w:left="0" w:firstLine="0"/>
        <w:rPr>
          <w:rFonts w:eastAsia="Calibri" w:cs="Times New Roman"/>
          <w:color w:val="auto"/>
          <w:kern w:val="0"/>
          <w:szCs w:val="20"/>
          <w14:ligatures w14:val="none"/>
        </w:rPr>
      </w:pPr>
      <w:r w:rsidRPr="00434FCB">
        <w:rPr>
          <w:color w:val="auto"/>
          <w:szCs w:val="20"/>
        </w:rPr>
        <w:t>Ministère de l’agriculture, de la sylviculture et de la gestion des eaux</w:t>
      </w:r>
    </w:p>
    <w:p w14:paraId="6A14C6B9" w14:textId="6B2A6E08" w:rsidR="00B042DB" w:rsidRPr="00434FCB" w:rsidRDefault="00B042DB" w:rsidP="00B042DB">
      <w:pPr>
        <w:keepLines/>
        <w:spacing w:line="240" w:lineRule="auto"/>
        <w:ind w:left="0" w:firstLine="0"/>
        <w:rPr>
          <w:rFonts w:eastAsia="Calibri" w:cs="Times New Roman"/>
          <w:color w:val="auto"/>
          <w:kern w:val="0"/>
          <w:szCs w:val="20"/>
          <w14:ligatures w14:val="none"/>
        </w:rPr>
      </w:pPr>
      <w:r w:rsidRPr="00434FCB">
        <w:rPr>
          <w:color w:val="auto"/>
          <w:szCs w:val="20"/>
        </w:rPr>
        <w:t>Monténégro</w:t>
      </w:r>
    </w:p>
    <w:p w14:paraId="108654A2" w14:textId="77777777" w:rsidR="00B042DB" w:rsidRPr="00434FCB" w:rsidRDefault="00B042DB" w:rsidP="00B042DB">
      <w:pPr>
        <w:keepLines/>
        <w:spacing w:line="240" w:lineRule="auto"/>
        <w:ind w:left="0" w:firstLine="0"/>
        <w:rPr>
          <w:rFonts w:eastAsia="Calibri" w:cs="Times New Roman"/>
          <w:color w:val="auto"/>
          <w:kern w:val="0"/>
          <w:szCs w:val="20"/>
          <w14:ligatures w14:val="none"/>
        </w:rPr>
      </w:pPr>
    </w:p>
    <w:p w14:paraId="518023B4" w14:textId="4F71D432" w:rsidR="00B042DB" w:rsidRPr="00434FCB" w:rsidRDefault="00B042DB" w:rsidP="00B042DB">
      <w:pPr>
        <w:keepLines/>
        <w:spacing w:line="240" w:lineRule="auto"/>
        <w:ind w:left="0" w:firstLine="0"/>
        <w:rPr>
          <w:rFonts w:eastAsia="Calibri" w:cs="Times New Roman"/>
          <w:color w:val="auto"/>
          <w:kern w:val="0"/>
          <w:szCs w:val="20"/>
          <w14:ligatures w14:val="none"/>
        </w:rPr>
      </w:pPr>
    </w:p>
    <w:p w14:paraId="3BE69C83" w14:textId="77A49915" w:rsidR="00B042DB" w:rsidRPr="00434FCB" w:rsidRDefault="00B042DB" w:rsidP="00B042DB">
      <w:pPr>
        <w:pageBreakBefore/>
        <w:spacing w:line="240" w:lineRule="auto"/>
        <w:ind w:left="0" w:firstLine="0"/>
        <w:jc w:val="right"/>
        <w:rPr>
          <w:rFonts w:eastAsia="Calibri" w:cs="Times New Roman"/>
          <w:color w:val="auto"/>
          <w:kern w:val="0"/>
          <w:szCs w:val="20"/>
          <w14:ligatures w14:val="none"/>
        </w:rPr>
      </w:pPr>
      <w:r w:rsidRPr="00434FCB">
        <w:rPr>
          <w:b/>
          <w:color w:val="auto"/>
          <w:szCs w:val="20"/>
        </w:rPr>
        <w:lastRenderedPageBreak/>
        <w:t>Annexe 1</w:t>
      </w:r>
    </w:p>
    <w:p w14:paraId="190F2B8D" w14:textId="77777777" w:rsidR="00B042DB" w:rsidRPr="00434FCB" w:rsidRDefault="00B042DB" w:rsidP="00B042DB">
      <w:pPr>
        <w:spacing w:line="240" w:lineRule="auto"/>
        <w:ind w:left="0" w:firstLine="0"/>
        <w:rPr>
          <w:rFonts w:eastAsia="Calibri" w:cs="Times New Roman"/>
          <w:color w:val="auto"/>
          <w:kern w:val="0"/>
          <w:szCs w:val="20"/>
          <w14:ligatures w14:val="none"/>
        </w:rPr>
      </w:pPr>
    </w:p>
    <w:p w14:paraId="76069184" w14:textId="77777777" w:rsidR="00B042DB" w:rsidRPr="00434FCB" w:rsidRDefault="00B042DB" w:rsidP="00B042DB">
      <w:pPr>
        <w:spacing w:line="240" w:lineRule="auto"/>
        <w:ind w:left="0" w:firstLine="0"/>
        <w:jc w:val="center"/>
        <w:rPr>
          <w:rFonts w:eastAsia="Calibri" w:cs="Times New Roman"/>
          <w:color w:val="auto"/>
          <w:kern w:val="0"/>
          <w:szCs w:val="20"/>
          <w14:ligatures w14:val="none"/>
        </w:rPr>
      </w:pPr>
      <w:r w:rsidRPr="00434FCB">
        <w:rPr>
          <w:b/>
          <w:color w:val="auto"/>
          <w:szCs w:val="20"/>
        </w:rPr>
        <w:t xml:space="preserve">Captures historiques de thon rouge </w:t>
      </w:r>
    </w:p>
    <w:p w14:paraId="75097839" w14:textId="77777777" w:rsidR="00B042DB" w:rsidRPr="00434FCB" w:rsidRDefault="00B042DB" w:rsidP="00B042DB">
      <w:pPr>
        <w:spacing w:line="240" w:lineRule="auto"/>
        <w:ind w:left="0" w:firstLine="0"/>
        <w:rPr>
          <w:rFonts w:eastAsia="Calibri" w:cs="Times New Roman"/>
          <w:color w:val="auto"/>
          <w:kern w:val="0"/>
          <w:szCs w:val="20"/>
          <w14:ligatures w14:val="none"/>
        </w:rPr>
      </w:pPr>
    </w:p>
    <w:p w14:paraId="07562BE8" w14:textId="23D958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Espèce : Thon rouge de l’Atlantique (</w:t>
      </w:r>
      <w:proofErr w:type="spellStart"/>
      <w:r w:rsidRPr="00434FCB">
        <w:rPr>
          <w:i/>
          <w:color w:val="auto"/>
          <w:szCs w:val="20"/>
        </w:rPr>
        <w:t>Thunnus</w:t>
      </w:r>
      <w:proofErr w:type="spellEnd"/>
      <w:r w:rsidRPr="00434FCB">
        <w:rPr>
          <w:i/>
          <w:color w:val="auto"/>
          <w:szCs w:val="20"/>
        </w:rPr>
        <w:t xml:space="preserve"> </w:t>
      </w:r>
      <w:proofErr w:type="spellStart"/>
      <w:r w:rsidRPr="00434FCB">
        <w:rPr>
          <w:i/>
          <w:color w:val="auto"/>
          <w:szCs w:val="20"/>
        </w:rPr>
        <w:t>thynnus</w:t>
      </w:r>
      <w:proofErr w:type="spellEnd"/>
      <w:r w:rsidRPr="00434FCB">
        <w:rPr>
          <w:color w:val="auto"/>
          <w:szCs w:val="20"/>
        </w:rPr>
        <w:t>) Source</w:t>
      </w:r>
      <w:r w:rsidR="00E5712D">
        <w:rPr>
          <w:color w:val="auto"/>
          <w:szCs w:val="20"/>
        </w:rPr>
        <w:t xml:space="preserve"> </w:t>
      </w:r>
      <w:r w:rsidRPr="00434FCB">
        <w:rPr>
          <w:color w:val="auto"/>
          <w:szCs w:val="20"/>
        </w:rPr>
        <w:t xml:space="preserve">: données nationales fournies pour la Sous-commission 2, feuille </w:t>
      </w:r>
      <w:proofErr w:type="spellStart"/>
      <w:r w:rsidRPr="00434FCB">
        <w:rPr>
          <w:color w:val="auto"/>
          <w:szCs w:val="20"/>
        </w:rPr>
        <w:t>Ulov</w:t>
      </w:r>
      <w:proofErr w:type="spellEnd"/>
      <w:r w:rsidRPr="00434FCB">
        <w:rPr>
          <w:color w:val="auto"/>
          <w:szCs w:val="20"/>
        </w:rPr>
        <w:t xml:space="preserve"> 2016-2025. Les quantités sont exprimées en tonnes et arrondies à trois décimales.</w:t>
      </w:r>
    </w:p>
    <w:p w14:paraId="0FDF06E0"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p w14:paraId="7A177D90"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r w:rsidRPr="00434FCB">
        <w:rPr>
          <w:color w:val="auto"/>
          <w:szCs w:val="20"/>
        </w:rPr>
        <w:t>Les registres historiques couvrent 110 navires, allant de 3,6 à 29 m de longueur hors-tout. Ces chiffres décrivent la flottille historique ; la liste finale des navires et des engins habilités à utiliser le quota alloué serait établie séparément.</w:t>
      </w:r>
    </w:p>
    <w:p w14:paraId="7238F45F"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tbl>
      <w:tblPr>
        <w:tblStyle w:val="TableGrid1"/>
        <w:tblW w:w="0" w:type="auto"/>
        <w:tblInd w:w="0" w:type="dxa"/>
        <w:tblLook w:val="04A0" w:firstRow="1" w:lastRow="0" w:firstColumn="1" w:lastColumn="0" w:noHBand="0" w:noVBand="1"/>
      </w:tblPr>
      <w:tblGrid>
        <w:gridCol w:w="4535"/>
        <w:gridCol w:w="3115"/>
      </w:tblGrid>
      <w:tr w:rsidR="00B042DB" w:rsidRPr="00434FCB" w14:paraId="17106034" w14:textId="77777777" w:rsidTr="000C73F5">
        <w:tc>
          <w:tcPr>
            <w:tcW w:w="4535" w:type="dxa"/>
          </w:tcPr>
          <w:p w14:paraId="0E03D27B" w14:textId="77777777" w:rsidR="00B042DB" w:rsidRPr="00434FCB" w:rsidRDefault="00B042DB" w:rsidP="000C73F5">
            <w:pPr>
              <w:spacing w:line="240" w:lineRule="auto"/>
              <w:ind w:left="0" w:firstLine="0"/>
              <w:jc w:val="center"/>
              <w:rPr>
                <w:rFonts w:eastAsia="Calibri" w:cs="Times New Roman"/>
                <w:i/>
                <w:iCs/>
                <w:color w:val="auto"/>
                <w:szCs w:val="20"/>
              </w:rPr>
            </w:pPr>
            <w:r w:rsidRPr="00434FCB">
              <w:rPr>
                <w:i/>
                <w:iCs/>
                <w:color w:val="auto"/>
                <w:szCs w:val="20"/>
              </w:rPr>
              <w:t>Année</w:t>
            </w:r>
          </w:p>
        </w:tc>
        <w:tc>
          <w:tcPr>
            <w:tcW w:w="3115" w:type="dxa"/>
          </w:tcPr>
          <w:p w14:paraId="43AE76CD" w14:textId="77777777" w:rsidR="00B042DB" w:rsidRPr="00434FCB" w:rsidRDefault="00B042DB" w:rsidP="000C73F5">
            <w:pPr>
              <w:spacing w:line="240" w:lineRule="auto"/>
              <w:ind w:left="0" w:firstLine="0"/>
              <w:jc w:val="center"/>
              <w:rPr>
                <w:rFonts w:eastAsia="Calibri" w:cs="Times New Roman"/>
                <w:i/>
                <w:iCs/>
                <w:color w:val="auto"/>
                <w:szCs w:val="20"/>
              </w:rPr>
            </w:pPr>
            <w:r w:rsidRPr="00434FCB">
              <w:rPr>
                <w:i/>
                <w:iCs/>
                <w:color w:val="auto"/>
                <w:szCs w:val="20"/>
              </w:rPr>
              <w:t>Capture (t)</w:t>
            </w:r>
          </w:p>
        </w:tc>
      </w:tr>
      <w:tr w:rsidR="00B042DB" w:rsidRPr="00434FCB" w14:paraId="2E169192" w14:textId="77777777" w:rsidTr="000C73F5">
        <w:tc>
          <w:tcPr>
            <w:tcW w:w="4535" w:type="dxa"/>
          </w:tcPr>
          <w:p w14:paraId="6A477A8A"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2016</w:t>
            </w:r>
          </w:p>
        </w:tc>
        <w:tc>
          <w:tcPr>
            <w:tcW w:w="3115" w:type="dxa"/>
          </w:tcPr>
          <w:p w14:paraId="5334DD31"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45,46</w:t>
            </w:r>
          </w:p>
        </w:tc>
      </w:tr>
      <w:tr w:rsidR="00B042DB" w:rsidRPr="00434FCB" w14:paraId="02D19EDB" w14:textId="77777777" w:rsidTr="000C73F5">
        <w:tc>
          <w:tcPr>
            <w:tcW w:w="4535" w:type="dxa"/>
          </w:tcPr>
          <w:p w14:paraId="32DB4FAD"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2017</w:t>
            </w:r>
          </w:p>
        </w:tc>
        <w:tc>
          <w:tcPr>
            <w:tcW w:w="3115" w:type="dxa"/>
          </w:tcPr>
          <w:p w14:paraId="228C7E2F"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72,82</w:t>
            </w:r>
          </w:p>
        </w:tc>
      </w:tr>
      <w:tr w:rsidR="00B042DB" w:rsidRPr="00434FCB" w14:paraId="75AC0886" w14:textId="77777777" w:rsidTr="000C73F5">
        <w:tc>
          <w:tcPr>
            <w:tcW w:w="4535" w:type="dxa"/>
          </w:tcPr>
          <w:p w14:paraId="3EC7D980"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2018</w:t>
            </w:r>
          </w:p>
        </w:tc>
        <w:tc>
          <w:tcPr>
            <w:tcW w:w="3115" w:type="dxa"/>
          </w:tcPr>
          <w:p w14:paraId="13EFE835"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94,55</w:t>
            </w:r>
          </w:p>
        </w:tc>
      </w:tr>
      <w:tr w:rsidR="00B042DB" w:rsidRPr="00434FCB" w14:paraId="1D370E5A" w14:textId="77777777" w:rsidTr="000C73F5">
        <w:tc>
          <w:tcPr>
            <w:tcW w:w="4535" w:type="dxa"/>
          </w:tcPr>
          <w:p w14:paraId="63D003A0"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2019</w:t>
            </w:r>
          </w:p>
        </w:tc>
        <w:tc>
          <w:tcPr>
            <w:tcW w:w="3115" w:type="dxa"/>
          </w:tcPr>
          <w:p w14:paraId="3E27F036"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59,05</w:t>
            </w:r>
          </w:p>
        </w:tc>
      </w:tr>
      <w:tr w:rsidR="00B042DB" w:rsidRPr="00434FCB" w14:paraId="40CF672E" w14:textId="77777777" w:rsidTr="000C73F5">
        <w:tc>
          <w:tcPr>
            <w:tcW w:w="4535" w:type="dxa"/>
          </w:tcPr>
          <w:p w14:paraId="642E5827"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2020</w:t>
            </w:r>
          </w:p>
        </w:tc>
        <w:tc>
          <w:tcPr>
            <w:tcW w:w="3115" w:type="dxa"/>
          </w:tcPr>
          <w:p w14:paraId="60F8B89E"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24,24</w:t>
            </w:r>
          </w:p>
        </w:tc>
      </w:tr>
      <w:tr w:rsidR="00B042DB" w:rsidRPr="00434FCB" w14:paraId="5581F55C" w14:textId="77777777" w:rsidTr="000C73F5">
        <w:tc>
          <w:tcPr>
            <w:tcW w:w="4535" w:type="dxa"/>
          </w:tcPr>
          <w:p w14:paraId="6FB62B1F"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2021</w:t>
            </w:r>
          </w:p>
        </w:tc>
        <w:tc>
          <w:tcPr>
            <w:tcW w:w="3115" w:type="dxa"/>
          </w:tcPr>
          <w:p w14:paraId="3AA1352E"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22,62</w:t>
            </w:r>
          </w:p>
        </w:tc>
      </w:tr>
      <w:tr w:rsidR="00B042DB" w:rsidRPr="00434FCB" w14:paraId="0E09C5DB" w14:textId="77777777" w:rsidTr="000C73F5">
        <w:tc>
          <w:tcPr>
            <w:tcW w:w="4535" w:type="dxa"/>
          </w:tcPr>
          <w:p w14:paraId="75AEA77B"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2022</w:t>
            </w:r>
          </w:p>
        </w:tc>
        <w:tc>
          <w:tcPr>
            <w:tcW w:w="3115" w:type="dxa"/>
          </w:tcPr>
          <w:p w14:paraId="485C0A73"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37,50</w:t>
            </w:r>
          </w:p>
        </w:tc>
      </w:tr>
      <w:tr w:rsidR="00B042DB" w:rsidRPr="00434FCB" w14:paraId="65AEC836" w14:textId="77777777" w:rsidTr="000C73F5">
        <w:tc>
          <w:tcPr>
            <w:tcW w:w="4535" w:type="dxa"/>
          </w:tcPr>
          <w:p w14:paraId="27F82180"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2023</w:t>
            </w:r>
          </w:p>
        </w:tc>
        <w:tc>
          <w:tcPr>
            <w:tcW w:w="3115" w:type="dxa"/>
          </w:tcPr>
          <w:p w14:paraId="7529F527"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34,00</w:t>
            </w:r>
          </w:p>
        </w:tc>
      </w:tr>
      <w:tr w:rsidR="00B042DB" w:rsidRPr="00434FCB" w14:paraId="72FFC7F3" w14:textId="77777777" w:rsidTr="000C73F5">
        <w:tc>
          <w:tcPr>
            <w:tcW w:w="4535" w:type="dxa"/>
          </w:tcPr>
          <w:p w14:paraId="7D43A0F2"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2024</w:t>
            </w:r>
          </w:p>
        </w:tc>
        <w:tc>
          <w:tcPr>
            <w:tcW w:w="3115" w:type="dxa"/>
          </w:tcPr>
          <w:p w14:paraId="2682623F"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166,32</w:t>
            </w:r>
          </w:p>
        </w:tc>
      </w:tr>
      <w:tr w:rsidR="00B042DB" w:rsidRPr="00434FCB" w14:paraId="4AB9751D" w14:textId="77777777" w:rsidTr="000C73F5">
        <w:tc>
          <w:tcPr>
            <w:tcW w:w="4535" w:type="dxa"/>
          </w:tcPr>
          <w:p w14:paraId="59A6B6E7" w14:textId="77777777" w:rsidR="00B042DB" w:rsidRPr="00434FCB" w:rsidRDefault="00B042DB" w:rsidP="00B042DB">
            <w:pPr>
              <w:spacing w:line="240" w:lineRule="auto"/>
              <w:ind w:left="0" w:firstLine="0"/>
              <w:jc w:val="both"/>
              <w:rPr>
                <w:rFonts w:eastAsia="Calibri" w:cs="Times New Roman"/>
                <w:color w:val="auto"/>
                <w:szCs w:val="20"/>
              </w:rPr>
            </w:pPr>
            <w:r w:rsidRPr="00434FCB">
              <w:rPr>
                <w:color w:val="auto"/>
                <w:szCs w:val="20"/>
              </w:rPr>
              <w:t>2025</w:t>
            </w:r>
          </w:p>
        </w:tc>
        <w:tc>
          <w:tcPr>
            <w:tcW w:w="3115" w:type="dxa"/>
          </w:tcPr>
          <w:p w14:paraId="6BC39F0C" w14:textId="77777777" w:rsidR="00B042DB" w:rsidRPr="00434FCB" w:rsidRDefault="00B042DB" w:rsidP="000C73F5">
            <w:pPr>
              <w:spacing w:line="240" w:lineRule="auto"/>
              <w:ind w:left="0" w:firstLine="0"/>
              <w:jc w:val="right"/>
              <w:rPr>
                <w:rFonts w:eastAsia="Calibri" w:cs="Times New Roman"/>
                <w:color w:val="auto"/>
                <w:szCs w:val="20"/>
              </w:rPr>
            </w:pPr>
            <w:r w:rsidRPr="00434FCB">
              <w:rPr>
                <w:color w:val="auto"/>
                <w:szCs w:val="20"/>
              </w:rPr>
              <w:t>113,26</w:t>
            </w:r>
          </w:p>
        </w:tc>
      </w:tr>
      <w:tr w:rsidR="00B042DB" w:rsidRPr="00434FCB" w14:paraId="27F7C59F" w14:textId="77777777" w:rsidTr="000C73F5">
        <w:tc>
          <w:tcPr>
            <w:tcW w:w="4535" w:type="dxa"/>
          </w:tcPr>
          <w:p w14:paraId="47CEA6C9" w14:textId="77777777" w:rsidR="00B042DB" w:rsidRPr="00434FCB" w:rsidRDefault="00B042DB" w:rsidP="00B042DB">
            <w:pPr>
              <w:spacing w:line="240" w:lineRule="auto"/>
              <w:ind w:left="0" w:firstLine="0"/>
              <w:jc w:val="both"/>
              <w:rPr>
                <w:rFonts w:eastAsia="Calibri" w:cs="Times New Roman"/>
                <w:color w:val="auto"/>
                <w:szCs w:val="20"/>
              </w:rPr>
            </w:pPr>
            <w:r w:rsidRPr="00434FCB">
              <w:rPr>
                <w:b/>
                <w:color w:val="auto"/>
                <w:szCs w:val="20"/>
              </w:rPr>
              <w:t>Total 2016–2025</w:t>
            </w:r>
          </w:p>
        </w:tc>
        <w:tc>
          <w:tcPr>
            <w:tcW w:w="3115" w:type="dxa"/>
          </w:tcPr>
          <w:p w14:paraId="5DE15146" w14:textId="77777777" w:rsidR="00B042DB" w:rsidRPr="00434FCB" w:rsidRDefault="00B042DB" w:rsidP="000C73F5">
            <w:pPr>
              <w:spacing w:line="240" w:lineRule="auto"/>
              <w:ind w:left="0" w:firstLine="0"/>
              <w:jc w:val="right"/>
              <w:rPr>
                <w:rFonts w:eastAsia="Calibri" w:cs="Times New Roman"/>
                <w:color w:val="auto"/>
                <w:szCs w:val="20"/>
              </w:rPr>
            </w:pPr>
            <w:r w:rsidRPr="00434FCB">
              <w:rPr>
                <w:b/>
                <w:color w:val="auto"/>
                <w:szCs w:val="20"/>
              </w:rPr>
              <w:t>669,82</w:t>
            </w:r>
          </w:p>
        </w:tc>
      </w:tr>
      <w:tr w:rsidR="00B042DB" w:rsidRPr="00434FCB" w14:paraId="6B969C98" w14:textId="77777777" w:rsidTr="000C73F5">
        <w:tc>
          <w:tcPr>
            <w:tcW w:w="4535" w:type="dxa"/>
          </w:tcPr>
          <w:p w14:paraId="67651A69" w14:textId="77777777" w:rsidR="00B042DB" w:rsidRPr="00434FCB" w:rsidRDefault="00B042DB" w:rsidP="00B042DB">
            <w:pPr>
              <w:spacing w:line="240" w:lineRule="auto"/>
              <w:ind w:left="0" w:firstLine="0"/>
              <w:jc w:val="both"/>
              <w:rPr>
                <w:rFonts w:eastAsia="Calibri" w:cs="Times New Roman"/>
                <w:color w:val="auto"/>
                <w:szCs w:val="20"/>
              </w:rPr>
            </w:pPr>
            <w:r w:rsidRPr="00434FCB">
              <w:rPr>
                <w:b/>
                <w:color w:val="auto"/>
                <w:szCs w:val="20"/>
              </w:rPr>
              <w:t>Moyenne annuelle</w:t>
            </w:r>
          </w:p>
        </w:tc>
        <w:tc>
          <w:tcPr>
            <w:tcW w:w="3115" w:type="dxa"/>
          </w:tcPr>
          <w:p w14:paraId="2CB30A15" w14:textId="77777777" w:rsidR="00B042DB" w:rsidRPr="00434FCB" w:rsidRDefault="00B042DB" w:rsidP="000C73F5">
            <w:pPr>
              <w:spacing w:line="240" w:lineRule="auto"/>
              <w:ind w:left="0" w:firstLine="0"/>
              <w:jc w:val="right"/>
              <w:rPr>
                <w:rFonts w:eastAsia="Calibri" w:cs="Times New Roman"/>
                <w:color w:val="auto"/>
                <w:szCs w:val="20"/>
              </w:rPr>
            </w:pPr>
            <w:r w:rsidRPr="00434FCB">
              <w:rPr>
                <w:b/>
                <w:color w:val="auto"/>
                <w:szCs w:val="20"/>
              </w:rPr>
              <w:t>66,98</w:t>
            </w:r>
          </w:p>
        </w:tc>
      </w:tr>
    </w:tbl>
    <w:p w14:paraId="0C0272AD" w14:textId="77777777" w:rsidR="00B042DB" w:rsidRPr="00434FCB" w:rsidRDefault="00B042DB" w:rsidP="00B042DB">
      <w:pPr>
        <w:spacing w:line="240" w:lineRule="auto"/>
        <w:ind w:left="0" w:firstLine="0"/>
        <w:jc w:val="both"/>
        <w:rPr>
          <w:rFonts w:eastAsia="Calibri" w:cs="Times New Roman"/>
          <w:color w:val="auto"/>
          <w:kern w:val="0"/>
          <w:szCs w:val="20"/>
          <w14:ligatures w14:val="none"/>
        </w:rPr>
      </w:pPr>
    </w:p>
    <w:sectPr w:rsidR="00B042DB" w:rsidRPr="00434FCB" w:rsidSect="00023BB1">
      <w:headerReference w:type="even" r:id="rId10"/>
      <w:headerReference w:type="default" r:id="rId11"/>
      <w:footerReference w:type="even" r:id="rId12"/>
      <w:footerReference w:type="default" r:id="rId13"/>
      <w:headerReference w:type="first" r:id="rId14"/>
      <w:footerReference w:type="first" r:id="rId15"/>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10D44" w14:textId="77777777" w:rsidR="001B399A" w:rsidRDefault="001B399A" w:rsidP="00BF2F34">
      <w:pPr>
        <w:spacing w:line="240" w:lineRule="auto"/>
      </w:pPr>
      <w:r>
        <w:separator/>
      </w:r>
    </w:p>
  </w:endnote>
  <w:endnote w:type="continuationSeparator" w:id="0">
    <w:p w14:paraId="2DB739B2" w14:textId="77777777" w:rsidR="001B399A" w:rsidRDefault="001B399A" w:rsidP="00BF2F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18E4" w14:textId="77777777" w:rsidR="00F0415A" w:rsidRDefault="00F041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DDEE" w14:textId="6FF0E47F" w:rsidR="00BF2F34" w:rsidRPr="006B75AE" w:rsidRDefault="00000000" w:rsidP="006B75AE">
    <w:pPr>
      <w:tabs>
        <w:tab w:val="center" w:pos="4535"/>
        <w:tab w:val="center" w:pos="4680"/>
        <w:tab w:val="left" w:pos="6150"/>
        <w:tab w:val="right" w:pos="9360"/>
      </w:tabs>
      <w:jc w:val="center"/>
      <w:rPr>
        <w:rFonts w:eastAsia="Calibri" w:cs="Calibri"/>
        <w:szCs w:val="22"/>
      </w:rPr>
    </w:pPr>
    <w:sdt>
      <w:sdtPr>
        <w:rPr>
          <w:rFonts w:ascii="Calibri" w:eastAsia="Calibri" w:hAnsi="Calibri" w:cs="Calibri"/>
          <w:szCs w:val="20"/>
        </w:rPr>
        <w:id w:val="810910487"/>
        <w:docPartObj>
          <w:docPartGallery w:val="Page Numbers (Top of Page)"/>
          <w:docPartUnique/>
        </w:docPartObj>
      </w:sdtPr>
      <w:sdtContent>
        <w:r w:rsidR="006B75AE" w:rsidRPr="00713AD4">
          <w:rPr>
            <w:rFonts w:eastAsia="Calibri" w:cs="Calibri"/>
            <w:szCs w:val="20"/>
          </w:rPr>
          <w:fldChar w:fldCharType="begin"/>
        </w:r>
        <w:r w:rsidR="006B75AE" w:rsidRPr="00713AD4">
          <w:rPr>
            <w:rFonts w:eastAsia="Calibri" w:cs="Calibri"/>
            <w:szCs w:val="20"/>
          </w:rPr>
          <w:instrText xml:space="preserve"> PAGE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r>
          <w:t xml:space="preserve"> / </w:t>
        </w:r>
        <w:r w:rsidR="006B75AE" w:rsidRPr="00713AD4">
          <w:rPr>
            <w:rFonts w:eastAsia="Calibri" w:cs="Calibri"/>
            <w:szCs w:val="20"/>
          </w:rPr>
          <w:fldChar w:fldCharType="begin"/>
        </w:r>
        <w:r w:rsidR="006B75AE" w:rsidRPr="00713AD4">
          <w:rPr>
            <w:rFonts w:eastAsia="Calibri" w:cs="Calibri"/>
            <w:szCs w:val="20"/>
          </w:rPr>
          <w:instrText xml:space="preserve"> NUMPAGES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9D85" w14:textId="77777777" w:rsidR="00F0415A" w:rsidRDefault="00F041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079B7" w14:textId="77777777" w:rsidR="001B399A" w:rsidRDefault="001B399A" w:rsidP="00BF2F34">
      <w:pPr>
        <w:spacing w:line="240" w:lineRule="auto"/>
      </w:pPr>
      <w:r>
        <w:separator/>
      </w:r>
    </w:p>
  </w:footnote>
  <w:footnote w:type="continuationSeparator" w:id="0">
    <w:p w14:paraId="4F64E9B4" w14:textId="77777777" w:rsidR="001B399A" w:rsidRDefault="001B399A" w:rsidP="00BF2F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87572" w14:textId="77777777" w:rsidR="00F0415A" w:rsidRDefault="00F041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B64B" w14:textId="56C73EE8" w:rsidR="006B75AE" w:rsidRPr="006B75AE" w:rsidRDefault="00B042DB" w:rsidP="006B75AE">
    <w:pPr>
      <w:tabs>
        <w:tab w:val="center" w:pos="4680"/>
        <w:tab w:val="left" w:pos="6520"/>
        <w:tab w:val="right" w:pos="9360"/>
        <w:tab w:val="right" w:pos="14240"/>
      </w:tabs>
      <w:spacing w:line="240" w:lineRule="auto"/>
      <w:ind w:left="0" w:firstLine="0"/>
      <w:jc w:val="right"/>
      <w:rPr>
        <w:rFonts w:eastAsia="Calibri" w:cs="Times New Roman"/>
        <w:b/>
        <w:bCs/>
        <w:color w:val="auto"/>
        <w:kern w:val="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b/>
        <w:bCs/>
        <w:color w:val="auto"/>
        <w:szCs w:val="20"/>
      </w:rPr>
      <w:t>PA2_606/2026</w:t>
    </w:r>
  </w:p>
  <w:bookmarkEnd w:id="0"/>
  <w:bookmarkEnd w:id="1"/>
  <w:bookmarkEnd w:id="2"/>
  <w:bookmarkEnd w:id="3"/>
  <w:bookmarkEnd w:id="4"/>
  <w:bookmarkEnd w:id="5"/>
  <w:p w14:paraId="7ACF0128" w14:textId="21A2FE1C" w:rsidR="006B75AE" w:rsidRPr="006B75AE" w:rsidRDefault="00C476E1" w:rsidP="006B75AE">
    <w:pPr>
      <w:tabs>
        <w:tab w:val="left" w:pos="7320"/>
      </w:tabs>
      <w:spacing w:line="240" w:lineRule="exact"/>
      <w:ind w:left="0" w:firstLine="0"/>
      <w:jc w:val="right"/>
      <w:rPr>
        <w:rFonts w:eastAsia="Times New Roman" w:cs="Times New Roman"/>
        <w:b/>
        <w:bCs/>
        <w:color w:val="auto"/>
        <w:kern w:val="0"/>
        <w:sz w:val="16"/>
        <w:szCs w:val="16"/>
        <w14:ligatures w14:val="none"/>
      </w:rPr>
    </w:pPr>
    <w:r>
      <w:rPr>
        <w:rFonts w:eastAsia="Times New Roman" w:cs="Times New Roman"/>
        <w:b/>
        <w:bCs/>
        <w:color w:val="auto"/>
        <w:sz w:val="16"/>
        <w:szCs w:val="16"/>
      </w:rPr>
      <w:fldChar w:fldCharType="begin"/>
    </w:r>
    <w:r>
      <w:rPr>
        <w:rFonts w:eastAsia="Times New Roman" w:cs="Times New Roman"/>
        <w:b/>
        <w:bCs/>
        <w:color w:val="auto"/>
        <w:sz w:val="16"/>
        <w:szCs w:val="16"/>
      </w:rPr>
      <w:instrText xml:space="preserve"> TIME  \@ "dd/MM/yyyy HH:mm" </w:instrText>
    </w:r>
    <w:r>
      <w:rPr>
        <w:rFonts w:eastAsia="Times New Roman" w:cs="Times New Roman"/>
        <w:b/>
        <w:bCs/>
        <w:color w:val="auto"/>
        <w:sz w:val="16"/>
        <w:szCs w:val="16"/>
      </w:rPr>
      <w:fldChar w:fldCharType="separate"/>
    </w:r>
    <w:r w:rsidR="00F0415A">
      <w:rPr>
        <w:rFonts w:eastAsia="Times New Roman" w:cs="Times New Roman"/>
        <w:b/>
        <w:bCs/>
        <w:noProof/>
        <w:color w:val="auto"/>
        <w:sz w:val="16"/>
        <w:szCs w:val="16"/>
      </w:rPr>
      <w:t>19/10/2026 11:05</w:t>
    </w:r>
    <w:r>
      <w:rPr>
        <w:rFonts w:eastAsia="Times New Roman" w:cs="Times New Roman"/>
        <w:b/>
        <w:bCs/>
        <w:color w:val="auto"/>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2CB8" w14:textId="77777777" w:rsidR="00F0415A" w:rsidRDefault="00F041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2B08E9"/>
    <w:multiLevelType w:val="multilevel"/>
    <w:tmpl w:val="2BD887E6"/>
    <w:lvl w:ilvl="0">
      <w:start w:val="6"/>
      <w:numFmt w:val="decimal"/>
      <w:lvlText w:val="%1"/>
      <w:lvlJc w:val="left"/>
      <w:pPr>
        <w:ind w:left="377" w:hanging="377"/>
      </w:pPr>
      <w:rPr>
        <w:rFonts w:hint="default"/>
      </w:rPr>
    </w:lvl>
    <w:lvl w:ilvl="1">
      <w:start w:val="12"/>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46938"/>
    <w:multiLevelType w:val="multilevel"/>
    <w:tmpl w:val="D38C51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3371"/>
    <w:multiLevelType w:val="multilevel"/>
    <w:tmpl w:val="4CBAECBE"/>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6"/>
  </w:num>
  <w:num w:numId="2" w16cid:durableId="49228720">
    <w:abstractNumId w:val="29"/>
  </w:num>
  <w:num w:numId="3" w16cid:durableId="1008168941">
    <w:abstractNumId w:val="11"/>
  </w:num>
  <w:num w:numId="4" w16cid:durableId="1367952109">
    <w:abstractNumId w:val="8"/>
  </w:num>
  <w:num w:numId="5" w16cid:durableId="917597727">
    <w:abstractNumId w:val="19"/>
  </w:num>
  <w:num w:numId="6" w16cid:durableId="277296691">
    <w:abstractNumId w:val="1"/>
  </w:num>
  <w:num w:numId="7" w16cid:durableId="2146963525">
    <w:abstractNumId w:val="24"/>
  </w:num>
  <w:num w:numId="8" w16cid:durableId="1351222792">
    <w:abstractNumId w:val="3"/>
  </w:num>
  <w:num w:numId="9" w16cid:durableId="1546140957">
    <w:abstractNumId w:val="20"/>
  </w:num>
  <w:num w:numId="10" w16cid:durableId="1727486895">
    <w:abstractNumId w:val="5"/>
  </w:num>
  <w:num w:numId="11" w16cid:durableId="247546431">
    <w:abstractNumId w:val="15"/>
  </w:num>
  <w:num w:numId="12" w16cid:durableId="241719651">
    <w:abstractNumId w:val="14"/>
  </w:num>
  <w:num w:numId="13" w16cid:durableId="594558819">
    <w:abstractNumId w:val="23"/>
  </w:num>
  <w:num w:numId="14" w16cid:durableId="932476299">
    <w:abstractNumId w:val="7"/>
  </w:num>
  <w:num w:numId="15" w16cid:durableId="1821002759">
    <w:abstractNumId w:val="0"/>
  </w:num>
  <w:num w:numId="16" w16cid:durableId="1404721085">
    <w:abstractNumId w:val="26"/>
  </w:num>
  <w:num w:numId="17" w16cid:durableId="600644480">
    <w:abstractNumId w:val="9"/>
  </w:num>
  <w:num w:numId="18" w16cid:durableId="1937858040">
    <w:abstractNumId w:val="17"/>
  </w:num>
  <w:num w:numId="19" w16cid:durableId="1617714520">
    <w:abstractNumId w:val="22"/>
  </w:num>
  <w:num w:numId="20" w16cid:durableId="1223098987">
    <w:abstractNumId w:val="12"/>
  </w:num>
  <w:num w:numId="21" w16cid:durableId="1818187675">
    <w:abstractNumId w:val="2"/>
  </w:num>
  <w:num w:numId="22" w16cid:durableId="958730624">
    <w:abstractNumId w:val="25"/>
  </w:num>
  <w:num w:numId="23" w16cid:durableId="507214635">
    <w:abstractNumId w:val="6"/>
  </w:num>
  <w:num w:numId="24" w16cid:durableId="1381203082">
    <w:abstractNumId w:val="4"/>
  </w:num>
  <w:num w:numId="25" w16cid:durableId="1466461653">
    <w:abstractNumId w:val="18"/>
  </w:num>
  <w:num w:numId="26" w16cid:durableId="1051727795">
    <w:abstractNumId w:val="27"/>
  </w:num>
  <w:num w:numId="27" w16cid:durableId="1618564938">
    <w:abstractNumId w:val="21"/>
  </w:num>
  <w:num w:numId="28" w16cid:durableId="1928071812">
    <w:abstractNumId w:val="10"/>
  </w:num>
  <w:num w:numId="29" w16cid:durableId="1987121428">
    <w:abstractNumId w:val="28"/>
  </w:num>
  <w:num w:numId="30" w16cid:durableId="1897161273">
    <w:abstractNumId w:val="13"/>
  </w:num>
  <w:num w:numId="31" w16cid:durableId="11208046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325F"/>
    <w:rsid w:val="000176CF"/>
    <w:rsid w:val="00021B00"/>
    <w:rsid w:val="00023BB1"/>
    <w:rsid w:val="00032DED"/>
    <w:rsid w:val="00035A4B"/>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90C6D"/>
    <w:rsid w:val="000910C9"/>
    <w:rsid w:val="00091740"/>
    <w:rsid w:val="00093088"/>
    <w:rsid w:val="00093681"/>
    <w:rsid w:val="000942C2"/>
    <w:rsid w:val="000947AE"/>
    <w:rsid w:val="00096748"/>
    <w:rsid w:val="0009708B"/>
    <w:rsid w:val="000A0A0E"/>
    <w:rsid w:val="000A0EBA"/>
    <w:rsid w:val="000A2138"/>
    <w:rsid w:val="000A6CA7"/>
    <w:rsid w:val="000B1FDA"/>
    <w:rsid w:val="000B29AC"/>
    <w:rsid w:val="000B38DE"/>
    <w:rsid w:val="000B56A1"/>
    <w:rsid w:val="000C73F5"/>
    <w:rsid w:val="000C7878"/>
    <w:rsid w:val="000E117F"/>
    <w:rsid w:val="000E390F"/>
    <w:rsid w:val="000E41C6"/>
    <w:rsid w:val="000E485F"/>
    <w:rsid w:val="000E5573"/>
    <w:rsid w:val="000E7D22"/>
    <w:rsid w:val="000F5C23"/>
    <w:rsid w:val="000F6EBF"/>
    <w:rsid w:val="001019BC"/>
    <w:rsid w:val="00101F29"/>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603DD"/>
    <w:rsid w:val="00170DA0"/>
    <w:rsid w:val="00172113"/>
    <w:rsid w:val="0017583C"/>
    <w:rsid w:val="00181878"/>
    <w:rsid w:val="00182D4B"/>
    <w:rsid w:val="0018779B"/>
    <w:rsid w:val="0019115B"/>
    <w:rsid w:val="001953CA"/>
    <w:rsid w:val="001960E9"/>
    <w:rsid w:val="0019695D"/>
    <w:rsid w:val="001B1C5F"/>
    <w:rsid w:val="001B399A"/>
    <w:rsid w:val="001B3A2B"/>
    <w:rsid w:val="001B47EC"/>
    <w:rsid w:val="001B4938"/>
    <w:rsid w:val="001C0392"/>
    <w:rsid w:val="001C0E5D"/>
    <w:rsid w:val="001C1D61"/>
    <w:rsid w:val="001C1F02"/>
    <w:rsid w:val="001C50CB"/>
    <w:rsid w:val="001D11AD"/>
    <w:rsid w:val="001D132B"/>
    <w:rsid w:val="001D1B13"/>
    <w:rsid w:val="001D1BB7"/>
    <w:rsid w:val="001D4539"/>
    <w:rsid w:val="001D6B07"/>
    <w:rsid w:val="001D7082"/>
    <w:rsid w:val="001E0B88"/>
    <w:rsid w:val="001E1070"/>
    <w:rsid w:val="001E140E"/>
    <w:rsid w:val="001E159F"/>
    <w:rsid w:val="001E1E81"/>
    <w:rsid w:val="001E2547"/>
    <w:rsid w:val="001E5D22"/>
    <w:rsid w:val="001E5DC7"/>
    <w:rsid w:val="001F10E1"/>
    <w:rsid w:val="001F2127"/>
    <w:rsid w:val="001F300E"/>
    <w:rsid w:val="001F40FD"/>
    <w:rsid w:val="001F4E29"/>
    <w:rsid w:val="00202381"/>
    <w:rsid w:val="00203827"/>
    <w:rsid w:val="0020571D"/>
    <w:rsid w:val="00206FCA"/>
    <w:rsid w:val="002077D7"/>
    <w:rsid w:val="002162A0"/>
    <w:rsid w:val="00223006"/>
    <w:rsid w:val="00224942"/>
    <w:rsid w:val="002250B1"/>
    <w:rsid w:val="002257FA"/>
    <w:rsid w:val="0022729E"/>
    <w:rsid w:val="00227D38"/>
    <w:rsid w:val="00236E69"/>
    <w:rsid w:val="0023710E"/>
    <w:rsid w:val="00240542"/>
    <w:rsid w:val="0024494D"/>
    <w:rsid w:val="00245907"/>
    <w:rsid w:val="002464EF"/>
    <w:rsid w:val="00247A24"/>
    <w:rsid w:val="00251122"/>
    <w:rsid w:val="00252D5A"/>
    <w:rsid w:val="0025396A"/>
    <w:rsid w:val="00254056"/>
    <w:rsid w:val="00265DA6"/>
    <w:rsid w:val="00265F42"/>
    <w:rsid w:val="002704C0"/>
    <w:rsid w:val="00270DF4"/>
    <w:rsid w:val="00274364"/>
    <w:rsid w:val="00276D2C"/>
    <w:rsid w:val="0028016C"/>
    <w:rsid w:val="00281D81"/>
    <w:rsid w:val="0028200C"/>
    <w:rsid w:val="002868B5"/>
    <w:rsid w:val="00287378"/>
    <w:rsid w:val="002930FF"/>
    <w:rsid w:val="00293515"/>
    <w:rsid w:val="00293B83"/>
    <w:rsid w:val="00294F78"/>
    <w:rsid w:val="002961B1"/>
    <w:rsid w:val="002A0874"/>
    <w:rsid w:val="002A502C"/>
    <w:rsid w:val="002A5046"/>
    <w:rsid w:val="002A6D00"/>
    <w:rsid w:val="002B0F81"/>
    <w:rsid w:val="002B245F"/>
    <w:rsid w:val="002B4C5D"/>
    <w:rsid w:val="002B55B5"/>
    <w:rsid w:val="002B72B0"/>
    <w:rsid w:val="002B782A"/>
    <w:rsid w:val="002C07D3"/>
    <w:rsid w:val="002C0B8A"/>
    <w:rsid w:val="002C0F51"/>
    <w:rsid w:val="002C2A3A"/>
    <w:rsid w:val="002C37DD"/>
    <w:rsid w:val="002D0265"/>
    <w:rsid w:val="002D1D87"/>
    <w:rsid w:val="002D4FCC"/>
    <w:rsid w:val="002D5928"/>
    <w:rsid w:val="002D626F"/>
    <w:rsid w:val="002D6328"/>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07789"/>
    <w:rsid w:val="0031275D"/>
    <w:rsid w:val="00314149"/>
    <w:rsid w:val="003144CF"/>
    <w:rsid w:val="00314E57"/>
    <w:rsid w:val="00316730"/>
    <w:rsid w:val="003205E5"/>
    <w:rsid w:val="00320FEC"/>
    <w:rsid w:val="00322466"/>
    <w:rsid w:val="00324A19"/>
    <w:rsid w:val="0032677B"/>
    <w:rsid w:val="00327D7B"/>
    <w:rsid w:val="003340A4"/>
    <w:rsid w:val="00334771"/>
    <w:rsid w:val="0033759E"/>
    <w:rsid w:val="0034337C"/>
    <w:rsid w:val="0034631C"/>
    <w:rsid w:val="00350457"/>
    <w:rsid w:val="00354A3D"/>
    <w:rsid w:val="00356810"/>
    <w:rsid w:val="003574AA"/>
    <w:rsid w:val="00360673"/>
    <w:rsid w:val="0036169F"/>
    <w:rsid w:val="003623EB"/>
    <w:rsid w:val="0036491E"/>
    <w:rsid w:val="00367FEF"/>
    <w:rsid w:val="003713FC"/>
    <w:rsid w:val="0037250A"/>
    <w:rsid w:val="00372928"/>
    <w:rsid w:val="0037534C"/>
    <w:rsid w:val="003753E7"/>
    <w:rsid w:val="003755BE"/>
    <w:rsid w:val="003762DB"/>
    <w:rsid w:val="00381300"/>
    <w:rsid w:val="003836D8"/>
    <w:rsid w:val="00383AD4"/>
    <w:rsid w:val="0038478D"/>
    <w:rsid w:val="00385B20"/>
    <w:rsid w:val="00386B30"/>
    <w:rsid w:val="003875AD"/>
    <w:rsid w:val="00387DD0"/>
    <w:rsid w:val="00397BA6"/>
    <w:rsid w:val="003A05DC"/>
    <w:rsid w:val="003A2398"/>
    <w:rsid w:val="003A2D7E"/>
    <w:rsid w:val="003A4719"/>
    <w:rsid w:val="003A747D"/>
    <w:rsid w:val="003B4B3F"/>
    <w:rsid w:val="003B61C7"/>
    <w:rsid w:val="003B780F"/>
    <w:rsid w:val="003B79B6"/>
    <w:rsid w:val="003C0BEB"/>
    <w:rsid w:val="003C21EC"/>
    <w:rsid w:val="003C2BD4"/>
    <w:rsid w:val="003C5394"/>
    <w:rsid w:val="003C570C"/>
    <w:rsid w:val="003C5ACF"/>
    <w:rsid w:val="003C6C0D"/>
    <w:rsid w:val="003C7DD5"/>
    <w:rsid w:val="003D2B48"/>
    <w:rsid w:val="003D2FE6"/>
    <w:rsid w:val="003D5544"/>
    <w:rsid w:val="003E2F9C"/>
    <w:rsid w:val="003E36AF"/>
    <w:rsid w:val="003E6111"/>
    <w:rsid w:val="003F0452"/>
    <w:rsid w:val="003F0854"/>
    <w:rsid w:val="003F3884"/>
    <w:rsid w:val="003F5E32"/>
    <w:rsid w:val="003F5FFC"/>
    <w:rsid w:val="003F7718"/>
    <w:rsid w:val="003F788F"/>
    <w:rsid w:val="003F7D00"/>
    <w:rsid w:val="003F7F88"/>
    <w:rsid w:val="00401A11"/>
    <w:rsid w:val="004028EB"/>
    <w:rsid w:val="004032B7"/>
    <w:rsid w:val="004110C2"/>
    <w:rsid w:val="00411F06"/>
    <w:rsid w:val="0041264C"/>
    <w:rsid w:val="00416D4D"/>
    <w:rsid w:val="00417CD5"/>
    <w:rsid w:val="00420D90"/>
    <w:rsid w:val="00422C62"/>
    <w:rsid w:val="00424731"/>
    <w:rsid w:val="00424AC5"/>
    <w:rsid w:val="00425E34"/>
    <w:rsid w:val="00430567"/>
    <w:rsid w:val="00432D20"/>
    <w:rsid w:val="004341AB"/>
    <w:rsid w:val="00434FCB"/>
    <w:rsid w:val="00442178"/>
    <w:rsid w:val="00442C9F"/>
    <w:rsid w:val="004449F3"/>
    <w:rsid w:val="0044548E"/>
    <w:rsid w:val="00447C96"/>
    <w:rsid w:val="004502E5"/>
    <w:rsid w:val="0046336E"/>
    <w:rsid w:val="00464D82"/>
    <w:rsid w:val="004660FC"/>
    <w:rsid w:val="0046641A"/>
    <w:rsid w:val="00466CDF"/>
    <w:rsid w:val="004679D3"/>
    <w:rsid w:val="00470C32"/>
    <w:rsid w:val="00470E7F"/>
    <w:rsid w:val="00470ED2"/>
    <w:rsid w:val="0047223E"/>
    <w:rsid w:val="0047427F"/>
    <w:rsid w:val="00475354"/>
    <w:rsid w:val="00475C50"/>
    <w:rsid w:val="0048466F"/>
    <w:rsid w:val="00486AA6"/>
    <w:rsid w:val="00487C91"/>
    <w:rsid w:val="004900CE"/>
    <w:rsid w:val="004907DA"/>
    <w:rsid w:val="004922C1"/>
    <w:rsid w:val="0049391C"/>
    <w:rsid w:val="00495E90"/>
    <w:rsid w:val="00495FC2"/>
    <w:rsid w:val="00496B80"/>
    <w:rsid w:val="00497F43"/>
    <w:rsid w:val="004A0D46"/>
    <w:rsid w:val="004A178C"/>
    <w:rsid w:val="004A7FC0"/>
    <w:rsid w:val="004B2FD1"/>
    <w:rsid w:val="004B5264"/>
    <w:rsid w:val="004B60A8"/>
    <w:rsid w:val="004B6570"/>
    <w:rsid w:val="004C673E"/>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4EC6"/>
    <w:rsid w:val="005249E7"/>
    <w:rsid w:val="005258D9"/>
    <w:rsid w:val="00531F0D"/>
    <w:rsid w:val="00531F97"/>
    <w:rsid w:val="005329F1"/>
    <w:rsid w:val="00533A94"/>
    <w:rsid w:val="00533DA8"/>
    <w:rsid w:val="00534C2C"/>
    <w:rsid w:val="005351BC"/>
    <w:rsid w:val="00536B61"/>
    <w:rsid w:val="0053747D"/>
    <w:rsid w:val="005416B1"/>
    <w:rsid w:val="00541997"/>
    <w:rsid w:val="00544C7B"/>
    <w:rsid w:val="00547582"/>
    <w:rsid w:val="00547756"/>
    <w:rsid w:val="005527D5"/>
    <w:rsid w:val="005602C1"/>
    <w:rsid w:val="0056073B"/>
    <w:rsid w:val="005615D6"/>
    <w:rsid w:val="00562B5B"/>
    <w:rsid w:val="0056464C"/>
    <w:rsid w:val="00567E4B"/>
    <w:rsid w:val="00580752"/>
    <w:rsid w:val="00580A9E"/>
    <w:rsid w:val="00582139"/>
    <w:rsid w:val="00584449"/>
    <w:rsid w:val="0058479E"/>
    <w:rsid w:val="00585FC6"/>
    <w:rsid w:val="00587E02"/>
    <w:rsid w:val="00593706"/>
    <w:rsid w:val="005937F6"/>
    <w:rsid w:val="00596074"/>
    <w:rsid w:val="005A000A"/>
    <w:rsid w:val="005A000E"/>
    <w:rsid w:val="005A25A4"/>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221D"/>
    <w:rsid w:val="005F48CC"/>
    <w:rsid w:val="005F4E98"/>
    <w:rsid w:val="005F54D9"/>
    <w:rsid w:val="005F552A"/>
    <w:rsid w:val="005F7D6D"/>
    <w:rsid w:val="006011FB"/>
    <w:rsid w:val="00602064"/>
    <w:rsid w:val="0060237F"/>
    <w:rsid w:val="00604852"/>
    <w:rsid w:val="006075BE"/>
    <w:rsid w:val="006077A7"/>
    <w:rsid w:val="006121A3"/>
    <w:rsid w:val="006141D2"/>
    <w:rsid w:val="00617678"/>
    <w:rsid w:val="00617FA1"/>
    <w:rsid w:val="00621E28"/>
    <w:rsid w:val="00622FB4"/>
    <w:rsid w:val="00624F5F"/>
    <w:rsid w:val="00626731"/>
    <w:rsid w:val="00627D74"/>
    <w:rsid w:val="00630100"/>
    <w:rsid w:val="00630229"/>
    <w:rsid w:val="00634BFC"/>
    <w:rsid w:val="00637E64"/>
    <w:rsid w:val="00640633"/>
    <w:rsid w:val="0064174E"/>
    <w:rsid w:val="0064267B"/>
    <w:rsid w:val="0064286F"/>
    <w:rsid w:val="00644212"/>
    <w:rsid w:val="006457BB"/>
    <w:rsid w:val="00650D39"/>
    <w:rsid w:val="00651450"/>
    <w:rsid w:val="00653C43"/>
    <w:rsid w:val="0065601E"/>
    <w:rsid w:val="006629E7"/>
    <w:rsid w:val="006645FA"/>
    <w:rsid w:val="0066480D"/>
    <w:rsid w:val="006648BC"/>
    <w:rsid w:val="006676E8"/>
    <w:rsid w:val="0068202D"/>
    <w:rsid w:val="00683956"/>
    <w:rsid w:val="0069094E"/>
    <w:rsid w:val="0069173C"/>
    <w:rsid w:val="00693585"/>
    <w:rsid w:val="006944A0"/>
    <w:rsid w:val="006A1F87"/>
    <w:rsid w:val="006A3831"/>
    <w:rsid w:val="006B31F9"/>
    <w:rsid w:val="006B552B"/>
    <w:rsid w:val="006B56FA"/>
    <w:rsid w:val="006B75AE"/>
    <w:rsid w:val="006C5C00"/>
    <w:rsid w:val="006C70B9"/>
    <w:rsid w:val="006C7C54"/>
    <w:rsid w:val="006D289E"/>
    <w:rsid w:val="006D3FF1"/>
    <w:rsid w:val="006E0A78"/>
    <w:rsid w:val="006E34B4"/>
    <w:rsid w:val="006E623E"/>
    <w:rsid w:val="006E640C"/>
    <w:rsid w:val="006E7292"/>
    <w:rsid w:val="006E7B65"/>
    <w:rsid w:val="006F0D22"/>
    <w:rsid w:val="006F16CC"/>
    <w:rsid w:val="006F525F"/>
    <w:rsid w:val="006F789D"/>
    <w:rsid w:val="0070283F"/>
    <w:rsid w:val="007058BA"/>
    <w:rsid w:val="00705E62"/>
    <w:rsid w:val="0070627D"/>
    <w:rsid w:val="00710B54"/>
    <w:rsid w:val="007146D3"/>
    <w:rsid w:val="007220D3"/>
    <w:rsid w:val="00722B3B"/>
    <w:rsid w:val="007253DB"/>
    <w:rsid w:val="00725F9F"/>
    <w:rsid w:val="00727F5F"/>
    <w:rsid w:val="00731E5D"/>
    <w:rsid w:val="00734B1B"/>
    <w:rsid w:val="00735159"/>
    <w:rsid w:val="00741EAF"/>
    <w:rsid w:val="00744065"/>
    <w:rsid w:val="00745673"/>
    <w:rsid w:val="0075665D"/>
    <w:rsid w:val="0075674D"/>
    <w:rsid w:val="00763A38"/>
    <w:rsid w:val="00766370"/>
    <w:rsid w:val="00767B18"/>
    <w:rsid w:val="00767C1E"/>
    <w:rsid w:val="00770D6C"/>
    <w:rsid w:val="0077559A"/>
    <w:rsid w:val="00777973"/>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D6DCD"/>
    <w:rsid w:val="007E1B3A"/>
    <w:rsid w:val="007E37B6"/>
    <w:rsid w:val="007E6AE3"/>
    <w:rsid w:val="007E77E0"/>
    <w:rsid w:val="007F0216"/>
    <w:rsid w:val="007F1054"/>
    <w:rsid w:val="007F1CE4"/>
    <w:rsid w:val="007F2E5D"/>
    <w:rsid w:val="007F3313"/>
    <w:rsid w:val="007F3B9F"/>
    <w:rsid w:val="007F3E5D"/>
    <w:rsid w:val="007F56EE"/>
    <w:rsid w:val="007F6235"/>
    <w:rsid w:val="007F78AF"/>
    <w:rsid w:val="008004CE"/>
    <w:rsid w:val="00803466"/>
    <w:rsid w:val="008049B7"/>
    <w:rsid w:val="00804B59"/>
    <w:rsid w:val="0080528A"/>
    <w:rsid w:val="008063DF"/>
    <w:rsid w:val="00810358"/>
    <w:rsid w:val="00812EF8"/>
    <w:rsid w:val="008167AC"/>
    <w:rsid w:val="008267B4"/>
    <w:rsid w:val="00827F5A"/>
    <w:rsid w:val="008306D2"/>
    <w:rsid w:val="008364A2"/>
    <w:rsid w:val="00844C5D"/>
    <w:rsid w:val="008455B5"/>
    <w:rsid w:val="008501A7"/>
    <w:rsid w:val="008528DE"/>
    <w:rsid w:val="008574E8"/>
    <w:rsid w:val="0086375E"/>
    <w:rsid w:val="00865A52"/>
    <w:rsid w:val="0087633F"/>
    <w:rsid w:val="008773AB"/>
    <w:rsid w:val="008800B9"/>
    <w:rsid w:val="0088018B"/>
    <w:rsid w:val="00880AA4"/>
    <w:rsid w:val="0088379A"/>
    <w:rsid w:val="00886E36"/>
    <w:rsid w:val="008913E2"/>
    <w:rsid w:val="00893A99"/>
    <w:rsid w:val="00895D67"/>
    <w:rsid w:val="00895F7E"/>
    <w:rsid w:val="00897AD3"/>
    <w:rsid w:val="00897C13"/>
    <w:rsid w:val="00897E50"/>
    <w:rsid w:val="008A329E"/>
    <w:rsid w:val="008B0A0A"/>
    <w:rsid w:val="008B36A2"/>
    <w:rsid w:val="008B552F"/>
    <w:rsid w:val="008B6571"/>
    <w:rsid w:val="008B7CD6"/>
    <w:rsid w:val="008C5D0A"/>
    <w:rsid w:val="008D44A2"/>
    <w:rsid w:val="008D7420"/>
    <w:rsid w:val="008E06B7"/>
    <w:rsid w:val="008E0B4F"/>
    <w:rsid w:val="008E1077"/>
    <w:rsid w:val="008E281C"/>
    <w:rsid w:val="008F098E"/>
    <w:rsid w:val="008F0FAE"/>
    <w:rsid w:val="008F35E1"/>
    <w:rsid w:val="008F4D42"/>
    <w:rsid w:val="008F701F"/>
    <w:rsid w:val="008F7991"/>
    <w:rsid w:val="009037BD"/>
    <w:rsid w:val="00904720"/>
    <w:rsid w:val="00904A0E"/>
    <w:rsid w:val="00906457"/>
    <w:rsid w:val="00907A31"/>
    <w:rsid w:val="00915F54"/>
    <w:rsid w:val="009220DC"/>
    <w:rsid w:val="009256BE"/>
    <w:rsid w:val="009262CB"/>
    <w:rsid w:val="00926BFB"/>
    <w:rsid w:val="009330D9"/>
    <w:rsid w:val="00934CFC"/>
    <w:rsid w:val="009411F4"/>
    <w:rsid w:val="00942AFD"/>
    <w:rsid w:val="009440AC"/>
    <w:rsid w:val="009441C6"/>
    <w:rsid w:val="00947205"/>
    <w:rsid w:val="00950FE1"/>
    <w:rsid w:val="00950FFF"/>
    <w:rsid w:val="00954618"/>
    <w:rsid w:val="009638C8"/>
    <w:rsid w:val="00966EF9"/>
    <w:rsid w:val="00967A57"/>
    <w:rsid w:val="009716D1"/>
    <w:rsid w:val="00972A59"/>
    <w:rsid w:val="00976BEA"/>
    <w:rsid w:val="00980783"/>
    <w:rsid w:val="00981023"/>
    <w:rsid w:val="00982136"/>
    <w:rsid w:val="009906DE"/>
    <w:rsid w:val="009A186A"/>
    <w:rsid w:val="009A2BB8"/>
    <w:rsid w:val="009A5E6F"/>
    <w:rsid w:val="009A60AC"/>
    <w:rsid w:val="009A69F6"/>
    <w:rsid w:val="009A72BF"/>
    <w:rsid w:val="009B08B0"/>
    <w:rsid w:val="009B5BDD"/>
    <w:rsid w:val="009B5D72"/>
    <w:rsid w:val="009B6507"/>
    <w:rsid w:val="009B6A58"/>
    <w:rsid w:val="009B7535"/>
    <w:rsid w:val="009C0237"/>
    <w:rsid w:val="009C32E4"/>
    <w:rsid w:val="009C4F2F"/>
    <w:rsid w:val="009C6815"/>
    <w:rsid w:val="009C70C4"/>
    <w:rsid w:val="009D0EB8"/>
    <w:rsid w:val="009D53F9"/>
    <w:rsid w:val="009D79FB"/>
    <w:rsid w:val="009E09EE"/>
    <w:rsid w:val="009E1D41"/>
    <w:rsid w:val="009E4454"/>
    <w:rsid w:val="009E477A"/>
    <w:rsid w:val="009F3692"/>
    <w:rsid w:val="009F3B91"/>
    <w:rsid w:val="009F60EA"/>
    <w:rsid w:val="009F6CE8"/>
    <w:rsid w:val="00A01D74"/>
    <w:rsid w:val="00A047C4"/>
    <w:rsid w:val="00A10D1E"/>
    <w:rsid w:val="00A13373"/>
    <w:rsid w:val="00A13D2C"/>
    <w:rsid w:val="00A1694C"/>
    <w:rsid w:val="00A17339"/>
    <w:rsid w:val="00A25DCB"/>
    <w:rsid w:val="00A3081F"/>
    <w:rsid w:val="00A3249D"/>
    <w:rsid w:val="00A32B2E"/>
    <w:rsid w:val="00A33150"/>
    <w:rsid w:val="00A3392B"/>
    <w:rsid w:val="00A3781C"/>
    <w:rsid w:val="00A37CFC"/>
    <w:rsid w:val="00A41BC1"/>
    <w:rsid w:val="00A57013"/>
    <w:rsid w:val="00A748A6"/>
    <w:rsid w:val="00A755E3"/>
    <w:rsid w:val="00A77589"/>
    <w:rsid w:val="00A77A07"/>
    <w:rsid w:val="00A80586"/>
    <w:rsid w:val="00A81E26"/>
    <w:rsid w:val="00A83E85"/>
    <w:rsid w:val="00A85F37"/>
    <w:rsid w:val="00A87344"/>
    <w:rsid w:val="00A902AB"/>
    <w:rsid w:val="00A90CF1"/>
    <w:rsid w:val="00A964A3"/>
    <w:rsid w:val="00A9788F"/>
    <w:rsid w:val="00AA32EA"/>
    <w:rsid w:val="00AA3BF8"/>
    <w:rsid w:val="00AA3EFC"/>
    <w:rsid w:val="00AA4168"/>
    <w:rsid w:val="00AA5D26"/>
    <w:rsid w:val="00AB319A"/>
    <w:rsid w:val="00AB46DF"/>
    <w:rsid w:val="00AB4D15"/>
    <w:rsid w:val="00AB6766"/>
    <w:rsid w:val="00AB6F11"/>
    <w:rsid w:val="00AB790C"/>
    <w:rsid w:val="00AC62AA"/>
    <w:rsid w:val="00AD1F9C"/>
    <w:rsid w:val="00AD2163"/>
    <w:rsid w:val="00AD416B"/>
    <w:rsid w:val="00AD4EAC"/>
    <w:rsid w:val="00AD5EC3"/>
    <w:rsid w:val="00AD6463"/>
    <w:rsid w:val="00AE1419"/>
    <w:rsid w:val="00AE4342"/>
    <w:rsid w:val="00AE6180"/>
    <w:rsid w:val="00AF0ED7"/>
    <w:rsid w:val="00AF2510"/>
    <w:rsid w:val="00B042DB"/>
    <w:rsid w:val="00B044AF"/>
    <w:rsid w:val="00B05072"/>
    <w:rsid w:val="00B06CCC"/>
    <w:rsid w:val="00B07A41"/>
    <w:rsid w:val="00B10CF8"/>
    <w:rsid w:val="00B12027"/>
    <w:rsid w:val="00B13C30"/>
    <w:rsid w:val="00B13C81"/>
    <w:rsid w:val="00B16EF6"/>
    <w:rsid w:val="00B170DA"/>
    <w:rsid w:val="00B27971"/>
    <w:rsid w:val="00B34B85"/>
    <w:rsid w:val="00B36C4F"/>
    <w:rsid w:val="00B4326F"/>
    <w:rsid w:val="00B466AE"/>
    <w:rsid w:val="00B53A2B"/>
    <w:rsid w:val="00B607B8"/>
    <w:rsid w:val="00B64904"/>
    <w:rsid w:val="00B662D2"/>
    <w:rsid w:val="00B6704F"/>
    <w:rsid w:val="00B743E8"/>
    <w:rsid w:val="00B77FF5"/>
    <w:rsid w:val="00B80FB5"/>
    <w:rsid w:val="00B82079"/>
    <w:rsid w:val="00B82F6B"/>
    <w:rsid w:val="00B84925"/>
    <w:rsid w:val="00B85569"/>
    <w:rsid w:val="00B945AC"/>
    <w:rsid w:val="00B9519B"/>
    <w:rsid w:val="00B95AE5"/>
    <w:rsid w:val="00B96E9B"/>
    <w:rsid w:val="00BA007B"/>
    <w:rsid w:val="00BA07F1"/>
    <w:rsid w:val="00BA15DC"/>
    <w:rsid w:val="00BA2D18"/>
    <w:rsid w:val="00BA3600"/>
    <w:rsid w:val="00BA36B3"/>
    <w:rsid w:val="00BA401F"/>
    <w:rsid w:val="00BA40FE"/>
    <w:rsid w:val="00BA7272"/>
    <w:rsid w:val="00BB1B7F"/>
    <w:rsid w:val="00BB1ECA"/>
    <w:rsid w:val="00BB4080"/>
    <w:rsid w:val="00BB551B"/>
    <w:rsid w:val="00BB6DE4"/>
    <w:rsid w:val="00BC3041"/>
    <w:rsid w:val="00BC4B70"/>
    <w:rsid w:val="00BC68C8"/>
    <w:rsid w:val="00BC6F57"/>
    <w:rsid w:val="00BD0042"/>
    <w:rsid w:val="00BD0C53"/>
    <w:rsid w:val="00BD48C5"/>
    <w:rsid w:val="00BD6433"/>
    <w:rsid w:val="00BE29FA"/>
    <w:rsid w:val="00BF0F93"/>
    <w:rsid w:val="00BF25B7"/>
    <w:rsid w:val="00BF2F34"/>
    <w:rsid w:val="00BF44D3"/>
    <w:rsid w:val="00BF713A"/>
    <w:rsid w:val="00C00166"/>
    <w:rsid w:val="00C01849"/>
    <w:rsid w:val="00C035AE"/>
    <w:rsid w:val="00C0459F"/>
    <w:rsid w:val="00C049BD"/>
    <w:rsid w:val="00C063C9"/>
    <w:rsid w:val="00C06660"/>
    <w:rsid w:val="00C07363"/>
    <w:rsid w:val="00C11880"/>
    <w:rsid w:val="00C1546F"/>
    <w:rsid w:val="00C175EF"/>
    <w:rsid w:val="00C208F3"/>
    <w:rsid w:val="00C214D3"/>
    <w:rsid w:val="00C25BCD"/>
    <w:rsid w:val="00C30456"/>
    <w:rsid w:val="00C3082A"/>
    <w:rsid w:val="00C33CC1"/>
    <w:rsid w:val="00C365CE"/>
    <w:rsid w:val="00C36DC9"/>
    <w:rsid w:val="00C42092"/>
    <w:rsid w:val="00C42C99"/>
    <w:rsid w:val="00C45ADC"/>
    <w:rsid w:val="00C476E1"/>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6508"/>
    <w:rsid w:val="00CB1DD0"/>
    <w:rsid w:val="00CB2253"/>
    <w:rsid w:val="00CB36D2"/>
    <w:rsid w:val="00CB429A"/>
    <w:rsid w:val="00CB6782"/>
    <w:rsid w:val="00CB7666"/>
    <w:rsid w:val="00CB7E25"/>
    <w:rsid w:val="00CC171C"/>
    <w:rsid w:val="00CC1AD6"/>
    <w:rsid w:val="00CC5853"/>
    <w:rsid w:val="00CC61D8"/>
    <w:rsid w:val="00CD018D"/>
    <w:rsid w:val="00CD01BE"/>
    <w:rsid w:val="00CD01DC"/>
    <w:rsid w:val="00CD091E"/>
    <w:rsid w:val="00CD2404"/>
    <w:rsid w:val="00CD35D2"/>
    <w:rsid w:val="00CD4469"/>
    <w:rsid w:val="00CD6021"/>
    <w:rsid w:val="00CF1FED"/>
    <w:rsid w:val="00CF3AAF"/>
    <w:rsid w:val="00CF51A0"/>
    <w:rsid w:val="00CF6301"/>
    <w:rsid w:val="00CF6D00"/>
    <w:rsid w:val="00D028B1"/>
    <w:rsid w:val="00D1076F"/>
    <w:rsid w:val="00D12481"/>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5828"/>
    <w:rsid w:val="00D70208"/>
    <w:rsid w:val="00D70245"/>
    <w:rsid w:val="00D711F9"/>
    <w:rsid w:val="00D71A26"/>
    <w:rsid w:val="00D72785"/>
    <w:rsid w:val="00D754E4"/>
    <w:rsid w:val="00D75993"/>
    <w:rsid w:val="00D77499"/>
    <w:rsid w:val="00D7771E"/>
    <w:rsid w:val="00D80C12"/>
    <w:rsid w:val="00D83B6E"/>
    <w:rsid w:val="00D83F18"/>
    <w:rsid w:val="00D857B1"/>
    <w:rsid w:val="00D8593A"/>
    <w:rsid w:val="00D85956"/>
    <w:rsid w:val="00D8783A"/>
    <w:rsid w:val="00D923E4"/>
    <w:rsid w:val="00D959B1"/>
    <w:rsid w:val="00D97D6B"/>
    <w:rsid w:val="00DA35BF"/>
    <w:rsid w:val="00DA7525"/>
    <w:rsid w:val="00DB0279"/>
    <w:rsid w:val="00DB0B21"/>
    <w:rsid w:val="00DB6E97"/>
    <w:rsid w:val="00DC4A4F"/>
    <w:rsid w:val="00DC7294"/>
    <w:rsid w:val="00DC79DC"/>
    <w:rsid w:val="00DD0084"/>
    <w:rsid w:val="00DD0CA7"/>
    <w:rsid w:val="00DD1B67"/>
    <w:rsid w:val="00DD2E32"/>
    <w:rsid w:val="00DD4FA5"/>
    <w:rsid w:val="00DD5504"/>
    <w:rsid w:val="00DD7545"/>
    <w:rsid w:val="00DE355B"/>
    <w:rsid w:val="00DE6CAC"/>
    <w:rsid w:val="00DF0262"/>
    <w:rsid w:val="00DF5F45"/>
    <w:rsid w:val="00DF6D96"/>
    <w:rsid w:val="00DF7BFC"/>
    <w:rsid w:val="00E03BD1"/>
    <w:rsid w:val="00E11944"/>
    <w:rsid w:val="00E1332B"/>
    <w:rsid w:val="00E16E29"/>
    <w:rsid w:val="00E217E4"/>
    <w:rsid w:val="00E22243"/>
    <w:rsid w:val="00E23BB8"/>
    <w:rsid w:val="00E24A08"/>
    <w:rsid w:val="00E308CA"/>
    <w:rsid w:val="00E30F60"/>
    <w:rsid w:val="00E33AAD"/>
    <w:rsid w:val="00E40EBF"/>
    <w:rsid w:val="00E43909"/>
    <w:rsid w:val="00E4458B"/>
    <w:rsid w:val="00E46F3C"/>
    <w:rsid w:val="00E53C22"/>
    <w:rsid w:val="00E553A2"/>
    <w:rsid w:val="00E5712D"/>
    <w:rsid w:val="00E57280"/>
    <w:rsid w:val="00E57BB2"/>
    <w:rsid w:val="00E60B0C"/>
    <w:rsid w:val="00E63356"/>
    <w:rsid w:val="00E718D2"/>
    <w:rsid w:val="00E71935"/>
    <w:rsid w:val="00E72801"/>
    <w:rsid w:val="00E77896"/>
    <w:rsid w:val="00E80694"/>
    <w:rsid w:val="00E81E9A"/>
    <w:rsid w:val="00E832B0"/>
    <w:rsid w:val="00E87143"/>
    <w:rsid w:val="00EA0532"/>
    <w:rsid w:val="00EA268E"/>
    <w:rsid w:val="00EA2D30"/>
    <w:rsid w:val="00EA3785"/>
    <w:rsid w:val="00EB05B9"/>
    <w:rsid w:val="00EB27E0"/>
    <w:rsid w:val="00EB29FD"/>
    <w:rsid w:val="00EB3AAE"/>
    <w:rsid w:val="00EB55CC"/>
    <w:rsid w:val="00EC162F"/>
    <w:rsid w:val="00EC1D97"/>
    <w:rsid w:val="00EC6974"/>
    <w:rsid w:val="00EE0032"/>
    <w:rsid w:val="00EE13D9"/>
    <w:rsid w:val="00EE14F2"/>
    <w:rsid w:val="00EE1C26"/>
    <w:rsid w:val="00EE3060"/>
    <w:rsid w:val="00EE5BE0"/>
    <w:rsid w:val="00EE712F"/>
    <w:rsid w:val="00EF144F"/>
    <w:rsid w:val="00EF1C53"/>
    <w:rsid w:val="00EF273B"/>
    <w:rsid w:val="00EF2C26"/>
    <w:rsid w:val="00EF37C8"/>
    <w:rsid w:val="00EF610B"/>
    <w:rsid w:val="00EF69D4"/>
    <w:rsid w:val="00F01FFD"/>
    <w:rsid w:val="00F0415A"/>
    <w:rsid w:val="00F055BA"/>
    <w:rsid w:val="00F065CD"/>
    <w:rsid w:val="00F1233E"/>
    <w:rsid w:val="00F12623"/>
    <w:rsid w:val="00F32033"/>
    <w:rsid w:val="00F33118"/>
    <w:rsid w:val="00F3344A"/>
    <w:rsid w:val="00F359FB"/>
    <w:rsid w:val="00F36A64"/>
    <w:rsid w:val="00F36A85"/>
    <w:rsid w:val="00F3737C"/>
    <w:rsid w:val="00F377C7"/>
    <w:rsid w:val="00F4095E"/>
    <w:rsid w:val="00F424B0"/>
    <w:rsid w:val="00F43344"/>
    <w:rsid w:val="00F46142"/>
    <w:rsid w:val="00F512CF"/>
    <w:rsid w:val="00F568A1"/>
    <w:rsid w:val="00F6350E"/>
    <w:rsid w:val="00F64947"/>
    <w:rsid w:val="00F64AC7"/>
    <w:rsid w:val="00F65634"/>
    <w:rsid w:val="00F72C0D"/>
    <w:rsid w:val="00F72C4A"/>
    <w:rsid w:val="00F75EFA"/>
    <w:rsid w:val="00F77162"/>
    <w:rsid w:val="00F80682"/>
    <w:rsid w:val="00F819E1"/>
    <w:rsid w:val="00F81BCF"/>
    <w:rsid w:val="00F82384"/>
    <w:rsid w:val="00F86FDB"/>
    <w:rsid w:val="00F8789D"/>
    <w:rsid w:val="00F87F14"/>
    <w:rsid w:val="00F906B8"/>
    <w:rsid w:val="00F925A0"/>
    <w:rsid w:val="00F93DEA"/>
    <w:rsid w:val="00FA4B01"/>
    <w:rsid w:val="00FB441C"/>
    <w:rsid w:val="00FB7326"/>
    <w:rsid w:val="00FB7DF3"/>
    <w:rsid w:val="00FC0E23"/>
    <w:rsid w:val="00FC2CCF"/>
    <w:rsid w:val="00FC573D"/>
    <w:rsid w:val="00FC5E31"/>
    <w:rsid w:val="00FE1233"/>
    <w:rsid w:val="00FE2B18"/>
    <w:rsid w:val="00FE7FB5"/>
    <w:rsid w:val="00FF3CD3"/>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Titre1">
    <w:name w:val="heading 1"/>
    <w:basedOn w:val="Normal"/>
    <w:next w:val="Normal"/>
    <w:link w:val="Titre1C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64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464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2464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464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464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464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64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64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64EF"/>
    <w:rPr>
      <w:rFonts w:eastAsiaTheme="majorEastAsia" w:cstheme="majorBidi"/>
      <w:color w:val="272727" w:themeColor="text1" w:themeTint="D8"/>
    </w:rPr>
  </w:style>
  <w:style w:type="paragraph" w:styleId="Titre">
    <w:name w:val="Title"/>
    <w:basedOn w:val="Normal"/>
    <w:next w:val="Normal"/>
    <w:link w:val="TitreC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464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64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64EF"/>
    <w:pPr>
      <w:spacing w:before="160"/>
      <w:jc w:val="center"/>
    </w:pPr>
    <w:rPr>
      <w:i/>
      <w:iCs/>
      <w:color w:val="404040" w:themeColor="text1" w:themeTint="BF"/>
    </w:rPr>
  </w:style>
  <w:style w:type="character" w:customStyle="1" w:styleId="CitationCar">
    <w:name w:val="Citation Car"/>
    <w:basedOn w:val="Policepardfaut"/>
    <w:link w:val="Citation"/>
    <w:uiPriority w:val="29"/>
    <w:rsid w:val="002464EF"/>
    <w:rPr>
      <w:i/>
      <w:iCs/>
      <w:color w:val="404040" w:themeColor="text1" w:themeTint="BF"/>
    </w:rPr>
  </w:style>
  <w:style w:type="paragraph" w:styleId="Paragraphedeliste">
    <w:name w:val="List Paragraph"/>
    <w:basedOn w:val="Normal"/>
    <w:uiPriority w:val="34"/>
    <w:qFormat/>
    <w:rsid w:val="002464EF"/>
    <w:pPr>
      <w:ind w:left="720"/>
      <w:contextualSpacing/>
    </w:pPr>
  </w:style>
  <w:style w:type="character" w:styleId="Accentuationintense">
    <w:name w:val="Intense Emphasis"/>
    <w:basedOn w:val="Policepardfaut"/>
    <w:uiPriority w:val="21"/>
    <w:qFormat/>
    <w:rsid w:val="002464EF"/>
    <w:rPr>
      <w:i/>
      <w:iCs/>
      <w:color w:val="0F4761" w:themeColor="accent1" w:themeShade="BF"/>
    </w:rPr>
  </w:style>
  <w:style w:type="paragraph" w:styleId="Citationintense">
    <w:name w:val="Intense Quote"/>
    <w:basedOn w:val="Normal"/>
    <w:next w:val="Normal"/>
    <w:link w:val="CitationintenseC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464EF"/>
    <w:rPr>
      <w:i/>
      <w:iCs/>
      <w:color w:val="0F4761" w:themeColor="accent1" w:themeShade="BF"/>
    </w:rPr>
  </w:style>
  <w:style w:type="character" w:styleId="Rfrenceintense">
    <w:name w:val="Intense Reference"/>
    <w:basedOn w:val="Policepardfaut"/>
    <w:uiPriority w:val="32"/>
    <w:qFormat/>
    <w:rsid w:val="002464EF"/>
    <w:rPr>
      <w:b/>
      <w:bCs/>
      <w:smallCaps/>
      <w:color w:val="0F4761" w:themeColor="accent1" w:themeShade="BF"/>
      <w:spacing w:val="5"/>
    </w:rPr>
  </w:style>
  <w:style w:type="character" w:styleId="Lienhypertexte">
    <w:name w:val="Hyperlink"/>
    <w:basedOn w:val="Policepardfaut"/>
    <w:uiPriority w:val="99"/>
    <w:unhideWhenUsed/>
    <w:rsid w:val="008F7991"/>
    <w:rPr>
      <w:color w:val="467886" w:themeColor="hyperlink"/>
      <w:u w:val="single"/>
    </w:rPr>
  </w:style>
  <w:style w:type="table" w:styleId="Grilledutableau">
    <w:name w:val="Table Grid"/>
    <w:basedOn w:val="Tableau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vision">
    <w:name w:val="Revision"/>
    <w:hidden/>
    <w:uiPriority w:val="99"/>
    <w:semiHidden/>
    <w:rsid w:val="00A3392B"/>
    <w:pPr>
      <w:spacing w:after="0" w:line="240" w:lineRule="auto"/>
    </w:pPr>
    <w:rPr>
      <w:rFonts w:ascii="Cambria" w:eastAsia="Cambria" w:hAnsi="Cambria" w:cs="Cambria"/>
      <w:color w:val="000000"/>
      <w:sz w:val="20"/>
    </w:rPr>
  </w:style>
  <w:style w:type="character" w:styleId="Marquedecommentaire">
    <w:name w:val="annotation reference"/>
    <w:basedOn w:val="Policepardfaut"/>
    <w:uiPriority w:val="99"/>
    <w:semiHidden/>
    <w:unhideWhenUsed/>
    <w:rsid w:val="00A3392B"/>
    <w:rPr>
      <w:sz w:val="16"/>
      <w:szCs w:val="16"/>
    </w:rPr>
  </w:style>
  <w:style w:type="paragraph" w:styleId="Commentaire">
    <w:name w:val="annotation text"/>
    <w:basedOn w:val="Normal"/>
    <w:link w:val="CommentaireCar"/>
    <w:uiPriority w:val="99"/>
    <w:unhideWhenUsed/>
    <w:rsid w:val="00A3392B"/>
    <w:pPr>
      <w:spacing w:line="240" w:lineRule="auto"/>
    </w:pPr>
    <w:rPr>
      <w:szCs w:val="20"/>
    </w:rPr>
  </w:style>
  <w:style w:type="character" w:customStyle="1" w:styleId="CommentaireCar">
    <w:name w:val="Commentaire Car"/>
    <w:basedOn w:val="Policepardfaut"/>
    <w:link w:val="Commentaire"/>
    <w:uiPriority w:val="99"/>
    <w:rsid w:val="00A3392B"/>
    <w:rPr>
      <w:rFonts w:ascii="Cambria" w:eastAsia="Cambria" w:hAnsi="Cambria" w:cs="Cambria"/>
      <w:color w:val="000000"/>
      <w:sz w:val="20"/>
      <w:szCs w:val="20"/>
    </w:rPr>
  </w:style>
  <w:style w:type="paragraph" w:styleId="Objetducommentaire">
    <w:name w:val="annotation subject"/>
    <w:basedOn w:val="Commentaire"/>
    <w:next w:val="Commentaire"/>
    <w:link w:val="ObjetducommentaireCar"/>
    <w:uiPriority w:val="99"/>
    <w:semiHidden/>
    <w:unhideWhenUsed/>
    <w:rsid w:val="00A3392B"/>
    <w:rPr>
      <w:b/>
      <w:bCs/>
    </w:rPr>
  </w:style>
  <w:style w:type="character" w:customStyle="1" w:styleId="ObjetducommentaireCar">
    <w:name w:val="Objet du commentaire Car"/>
    <w:basedOn w:val="CommentaireCar"/>
    <w:link w:val="Objetducommentaire"/>
    <w:uiPriority w:val="99"/>
    <w:semiHidden/>
    <w:rsid w:val="00A3392B"/>
    <w:rPr>
      <w:rFonts w:ascii="Cambria" w:eastAsia="Cambria" w:hAnsi="Cambria" w:cs="Cambria"/>
      <w:b/>
      <w:bCs/>
      <w:color w:val="000000"/>
      <w:sz w:val="20"/>
      <w:szCs w:val="20"/>
    </w:rPr>
  </w:style>
  <w:style w:type="paragraph" w:styleId="En-tte">
    <w:name w:val="header"/>
    <w:basedOn w:val="Normal"/>
    <w:link w:val="En-tteCar"/>
    <w:uiPriority w:val="99"/>
    <w:unhideWhenUsed/>
    <w:rsid w:val="00BF2F34"/>
    <w:pPr>
      <w:tabs>
        <w:tab w:val="center" w:pos="4680"/>
        <w:tab w:val="right" w:pos="9360"/>
      </w:tabs>
      <w:spacing w:line="240" w:lineRule="auto"/>
    </w:pPr>
  </w:style>
  <w:style w:type="character" w:customStyle="1" w:styleId="En-tteCar">
    <w:name w:val="En-tête Car"/>
    <w:basedOn w:val="Policepardfaut"/>
    <w:link w:val="En-tte"/>
    <w:uiPriority w:val="99"/>
    <w:rsid w:val="00BF2F34"/>
    <w:rPr>
      <w:rFonts w:ascii="Cambria" w:eastAsia="Cambria" w:hAnsi="Cambria" w:cs="Cambria"/>
      <w:color w:val="000000"/>
      <w:sz w:val="20"/>
    </w:rPr>
  </w:style>
  <w:style w:type="paragraph" w:styleId="Pieddepage">
    <w:name w:val="footer"/>
    <w:basedOn w:val="Normal"/>
    <w:link w:val="PieddepageCar"/>
    <w:uiPriority w:val="99"/>
    <w:unhideWhenUsed/>
    <w:rsid w:val="00BF2F34"/>
    <w:pPr>
      <w:tabs>
        <w:tab w:val="center" w:pos="4680"/>
        <w:tab w:val="right" w:pos="9360"/>
      </w:tabs>
      <w:spacing w:line="240" w:lineRule="auto"/>
    </w:pPr>
  </w:style>
  <w:style w:type="character" w:customStyle="1" w:styleId="PieddepageCar">
    <w:name w:val="Pied de page Car"/>
    <w:basedOn w:val="Policepardfaut"/>
    <w:link w:val="Pieddepage"/>
    <w:uiPriority w:val="99"/>
    <w:rsid w:val="00BF2F34"/>
    <w:rPr>
      <w:rFonts w:ascii="Cambria" w:eastAsia="Cambria" w:hAnsi="Cambria" w:cs="Cambria"/>
      <w:color w:val="000000"/>
      <w:sz w:val="20"/>
    </w:rPr>
  </w:style>
  <w:style w:type="character" w:customStyle="1" w:styleId="NotedebasdepageCar">
    <w:name w:val="Note de bas de page Car"/>
    <w:basedOn w:val="Policepardfaut"/>
    <w:link w:val="Notedebasdepage"/>
    <w:uiPriority w:val="99"/>
    <w:semiHidden/>
    <w:rsid w:val="00B34B85"/>
    <w:rPr>
      <w:sz w:val="20"/>
      <w:szCs w:val="20"/>
      <w:lang w:val="fr-FR"/>
    </w:rPr>
  </w:style>
  <w:style w:type="character" w:customStyle="1" w:styleId="FootnoteCharacters">
    <w:name w:val="Footnote Characters"/>
    <w:basedOn w:val="Policepardfaut"/>
    <w:uiPriority w:val="99"/>
    <w:semiHidden/>
    <w:unhideWhenUsed/>
    <w:rsid w:val="00B34B85"/>
    <w:rPr>
      <w:vertAlign w:val="superscript"/>
    </w:rPr>
  </w:style>
  <w:style w:type="paragraph" w:styleId="Notedebasdepage">
    <w:name w:val="footnote text"/>
    <w:basedOn w:val="Normal"/>
    <w:link w:val="NotedebasdepageCar"/>
    <w:uiPriority w:val="99"/>
    <w:semiHidden/>
    <w:unhideWhenUsed/>
    <w:rsid w:val="00B34B85"/>
    <w:pPr>
      <w:suppressAutoHyphens/>
      <w:spacing w:line="240" w:lineRule="auto"/>
      <w:ind w:left="0" w:firstLine="0"/>
    </w:pPr>
    <w:rPr>
      <w:rFonts w:asciiTheme="minorHAnsi" w:eastAsiaTheme="minorHAnsi" w:hAnsiTheme="minorHAnsi" w:cstheme="minorBidi"/>
      <w:color w:val="auto"/>
      <w:szCs w:val="20"/>
    </w:rPr>
  </w:style>
  <w:style w:type="character" w:customStyle="1" w:styleId="FootnoteTextChar1">
    <w:name w:val="Footnote Text Char1"/>
    <w:basedOn w:val="Policepardfaut"/>
    <w:uiPriority w:val="99"/>
    <w:semiHidden/>
    <w:rsid w:val="00B34B85"/>
    <w:rPr>
      <w:rFonts w:ascii="Cambria" w:eastAsia="Cambria" w:hAnsi="Cambria" w:cs="Cambria"/>
      <w:color w:val="000000"/>
      <w:sz w:val="20"/>
      <w:szCs w:val="20"/>
    </w:rPr>
  </w:style>
  <w:style w:type="table" w:customStyle="1" w:styleId="TableGrid1">
    <w:name w:val="Table Grid1"/>
    <w:basedOn w:val="TableauNormal"/>
    <w:next w:val="Grilledutableau"/>
    <w:uiPriority w:val="39"/>
    <w:rsid w:val="00B042DB"/>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DC3E0-DF34-4878-AC7E-EF7E791C08D8}">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F98CC228-3AA5-4785-8582-8A4516AE26F0}">
  <ds:schemaRefs>
    <ds:schemaRef ds:uri="http://schemas.microsoft.com/sharepoint/v3/contenttype/forms"/>
  </ds:schemaRefs>
</ds:datastoreItem>
</file>

<file path=customXml/itemProps3.xml><?xml version="1.0" encoding="utf-8"?>
<ds:datastoreItem xmlns:ds="http://schemas.openxmlformats.org/officeDocument/2006/customXml" ds:itemID="{FB7967FF-C12D-4561-BAC2-8EE7871CD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1238</Words>
  <Characters>6814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christel navarret</cp:lastModifiedBy>
  <cp:revision>17</cp:revision>
  <cp:lastPrinted>2025-06-09T06:26:00Z</cp:lastPrinted>
  <dcterms:created xsi:type="dcterms:W3CDTF">2026-10-09T09:47:00Z</dcterms:created>
  <dcterms:modified xsi:type="dcterms:W3CDTF">2026-10-19T09:05:00Z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y fmtid="{D5CDD505-2E9C-101B-9397-08002B2CF9AE}" pid="10" name="ContentTypeId">
    <vt:lpwstr>0x0101003E84DD1BACBE3641B802C49D00950036</vt:lpwstr>
  </property>
</Properties>
</file>