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98418" w14:textId="38809051" w:rsidR="006B75AE" w:rsidRPr="00EE13D9" w:rsidRDefault="006B75AE" w:rsidP="006B75AE">
      <w:pPr>
        <w:pStyle w:val="Heading2"/>
        <w:spacing w:before="0" w:after="0" w:line="240" w:lineRule="auto"/>
        <w:jc w:val="right"/>
        <w:rPr>
          <w:rFonts w:ascii="Cambria" w:hAnsi="Cambria"/>
          <w:color w:val="auto"/>
          <w:sz w:val="20"/>
          <w:szCs w:val="20"/>
        </w:rPr>
      </w:pPr>
      <w:r w:rsidRPr="00EE13D9">
        <w:rPr>
          <w:rFonts w:ascii="Cambria" w:hAnsi="Cambria"/>
          <w:b/>
          <w:bCs/>
          <w:color w:val="auto"/>
          <w:sz w:val="20"/>
          <w:szCs w:val="20"/>
        </w:rPr>
        <w:t>Original: English</w:t>
      </w:r>
    </w:p>
    <w:p w14:paraId="75E8C7FC" w14:textId="77777777" w:rsidR="006B75AE" w:rsidRPr="00EE13D9" w:rsidRDefault="006B75AE" w:rsidP="00B042DB">
      <w:pPr>
        <w:pStyle w:val="Heading2"/>
        <w:spacing w:before="0" w:after="0" w:line="240" w:lineRule="auto"/>
        <w:jc w:val="center"/>
        <w:rPr>
          <w:rFonts w:ascii="Cambria" w:hAnsi="Cambria"/>
          <w:b/>
          <w:bCs/>
          <w:color w:val="auto"/>
          <w:sz w:val="20"/>
          <w:szCs w:val="20"/>
        </w:rPr>
      </w:pPr>
    </w:p>
    <w:p w14:paraId="42DBFC86" w14:textId="5FDB2804" w:rsidR="00B042DB" w:rsidRPr="00EE13D9" w:rsidRDefault="00B042DB" w:rsidP="00B042DB">
      <w:pPr>
        <w:tabs>
          <w:tab w:val="right" w:pos="9071"/>
        </w:tabs>
        <w:spacing w:line="240" w:lineRule="auto"/>
        <w:jc w:val="center"/>
        <w:rPr>
          <w:b/>
          <w:bCs/>
          <w:szCs w:val="20"/>
        </w:rPr>
      </w:pPr>
      <w:r w:rsidRPr="00EE13D9">
        <w:rPr>
          <w:b/>
          <w:bCs/>
          <w:szCs w:val="20"/>
        </w:rPr>
        <w:t>Request for the allocation of eastern Atlantic and Mediterranean bluefin tuna (BFT-E)</w:t>
      </w:r>
    </w:p>
    <w:p w14:paraId="7EB1E1EC" w14:textId="44E290DB" w:rsidR="00B27971" w:rsidRPr="00EE13D9" w:rsidRDefault="00B042DB" w:rsidP="00B042DB">
      <w:pPr>
        <w:tabs>
          <w:tab w:val="right" w:pos="9071"/>
        </w:tabs>
        <w:spacing w:line="240" w:lineRule="auto"/>
        <w:jc w:val="center"/>
        <w:rPr>
          <w:b/>
          <w:bCs/>
          <w:szCs w:val="20"/>
        </w:rPr>
      </w:pPr>
      <w:r w:rsidRPr="00EE13D9">
        <w:rPr>
          <w:b/>
          <w:bCs/>
          <w:szCs w:val="20"/>
        </w:rPr>
        <w:t>quota to Montenegro</w:t>
      </w:r>
    </w:p>
    <w:p w14:paraId="42617252" w14:textId="77777777" w:rsidR="00B042DB" w:rsidRPr="00EE13D9" w:rsidRDefault="00B042DB" w:rsidP="00B042DB">
      <w:pPr>
        <w:tabs>
          <w:tab w:val="right" w:pos="9071"/>
        </w:tabs>
        <w:spacing w:line="240" w:lineRule="auto"/>
        <w:jc w:val="center"/>
        <w:rPr>
          <w:szCs w:val="20"/>
        </w:rPr>
      </w:pPr>
    </w:p>
    <w:p w14:paraId="2B5A4C5F" w14:textId="77777777" w:rsidR="00B042DB" w:rsidRPr="00EE13D9" w:rsidRDefault="00B042DB" w:rsidP="00B042DB">
      <w:pPr>
        <w:tabs>
          <w:tab w:val="right" w:pos="9071"/>
        </w:tabs>
        <w:spacing w:line="240" w:lineRule="auto"/>
        <w:jc w:val="center"/>
        <w:rPr>
          <w:szCs w:val="20"/>
        </w:rPr>
      </w:pPr>
    </w:p>
    <w:p w14:paraId="7E5EAEF0" w14:textId="77777777" w:rsidR="00B042DB" w:rsidRPr="00EE13D9" w:rsidRDefault="00B042DB" w:rsidP="00B042DB">
      <w:pPr>
        <w:tabs>
          <w:tab w:val="right" w:pos="9071"/>
        </w:tabs>
        <w:spacing w:line="240" w:lineRule="auto"/>
        <w:ind w:left="0" w:firstLine="0"/>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No.: 06-318/26-27659/1</w:t>
      </w:r>
      <w:r w:rsidRPr="00EE13D9">
        <w:rPr>
          <w:rFonts w:eastAsia="Calibri" w:cs="Times New Roman"/>
          <w:color w:val="auto"/>
          <w:kern w:val="0"/>
          <w:szCs w:val="20"/>
          <w:lang w:val="sr-Latn-ME"/>
          <w14:ligatures w14:val="none"/>
        </w:rPr>
        <w:tab/>
        <w:t>12 October 2026</w:t>
      </w:r>
    </w:p>
    <w:p w14:paraId="116A1CFC" w14:textId="77777777" w:rsidR="00B042DB" w:rsidRPr="00EE13D9" w:rsidRDefault="00B042DB" w:rsidP="00B042DB">
      <w:pPr>
        <w:spacing w:line="240" w:lineRule="auto"/>
        <w:ind w:left="0" w:firstLine="0"/>
        <w:rPr>
          <w:rFonts w:eastAsia="Calibri" w:cs="Times New Roman"/>
          <w:b/>
          <w:color w:val="auto"/>
          <w:kern w:val="0"/>
          <w:sz w:val="18"/>
          <w:szCs w:val="18"/>
          <w:lang w:val="sr-Latn-ME"/>
          <w14:ligatures w14:val="none"/>
        </w:rPr>
      </w:pPr>
    </w:p>
    <w:p w14:paraId="7306029D" w14:textId="77777777" w:rsidR="00B042DB" w:rsidRPr="00EE13D9" w:rsidRDefault="00B042DB" w:rsidP="00B042DB">
      <w:pPr>
        <w:spacing w:line="240" w:lineRule="auto"/>
        <w:ind w:left="0" w:firstLine="0"/>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To: ICCAT Secretariat</w:t>
      </w:r>
    </w:p>
    <w:p w14:paraId="20E14F8C" w14:textId="77777777" w:rsidR="00B042DB" w:rsidRPr="00EE13D9" w:rsidRDefault="00B042DB" w:rsidP="00B042DB">
      <w:pPr>
        <w:spacing w:line="240" w:lineRule="auto"/>
        <w:ind w:left="0" w:firstLine="0"/>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For consideration by Panel 2 and the Commission</w:t>
      </w:r>
    </w:p>
    <w:p w14:paraId="61146E55" w14:textId="7EB56FCB" w:rsidR="00B042DB" w:rsidRPr="00EE13D9" w:rsidRDefault="00B042DB" w:rsidP="00B042DB">
      <w:pPr>
        <w:spacing w:line="240" w:lineRule="auto"/>
        <w:ind w:left="0" w:firstLine="0"/>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International Commission for the Conservation of Atlantic Tunas</w:t>
      </w:r>
    </w:p>
    <w:p w14:paraId="1E72E69D" w14:textId="77777777" w:rsidR="00B042DB" w:rsidRPr="00EE13D9" w:rsidRDefault="00B042DB" w:rsidP="00B042DB">
      <w:pPr>
        <w:spacing w:line="240" w:lineRule="auto"/>
        <w:ind w:left="0" w:firstLine="0"/>
        <w:rPr>
          <w:rFonts w:eastAsia="Calibri" w:cs="Times New Roman"/>
          <w:color w:val="auto"/>
          <w:kern w:val="0"/>
          <w:sz w:val="18"/>
          <w:szCs w:val="18"/>
          <w:lang w:val="sr-Latn-ME"/>
          <w14:ligatures w14:val="none"/>
        </w:rPr>
      </w:pPr>
    </w:p>
    <w:p w14:paraId="67D9A225" w14:textId="77777777" w:rsidR="00B042DB" w:rsidRPr="00EE13D9" w:rsidRDefault="00B042DB" w:rsidP="00B042DB">
      <w:pPr>
        <w:spacing w:line="240" w:lineRule="auto"/>
        <w:ind w:left="0" w:firstLine="0"/>
        <w:jc w:val="both"/>
        <w:rPr>
          <w:rFonts w:eastAsia="Calibri" w:cs="Times New Roman"/>
          <w:b/>
          <w:color w:val="auto"/>
          <w:kern w:val="0"/>
          <w:szCs w:val="20"/>
          <w:lang w:val="sr-Latn-ME"/>
          <w14:ligatures w14:val="none"/>
        </w:rPr>
      </w:pPr>
      <w:r w:rsidRPr="00EE13D9">
        <w:rPr>
          <w:rFonts w:eastAsia="Calibri" w:cs="Times New Roman"/>
          <w:b/>
          <w:color w:val="auto"/>
          <w:kern w:val="0"/>
          <w:szCs w:val="20"/>
          <w:lang w:val="sr-Latn-ME"/>
          <w14:ligatures w14:val="none"/>
        </w:rPr>
        <w:t>Subject: Request for an annual catch quota of 100 tonnes of eastern Atlantic and Mediterranean bluefin tuna from 1 January 2027</w:t>
      </w:r>
    </w:p>
    <w:p w14:paraId="0337AB47" w14:textId="77777777" w:rsidR="00B042DB" w:rsidRPr="00EE13D9" w:rsidRDefault="00B042DB" w:rsidP="00B042DB">
      <w:pPr>
        <w:spacing w:line="240" w:lineRule="auto"/>
        <w:ind w:left="0" w:firstLine="0"/>
        <w:jc w:val="both"/>
        <w:rPr>
          <w:rFonts w:eastAsia="Calibri" w:cs="Times New Roman"/>
          <w:color w:val="auto"/>
          <w:kern w:val="0"/>
          <w:sz w:val="18"/>
          <w:szCs w:val="18"/>
          <w:lang w:val="sr-Latn-ME"/>
          <w14:ligatures w14:val="none"/>
        </w:rPr>
      </w:pPr>
    </w:p>
    <w:p w14:paraId="232E5B88"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Dear Mr Shingo Ota,</w:t>
      </w:r>
    </w:p>
    <w:p w14:paraId="48E06E81" w14:textId="77777777" w:rsidR="00B042DB" w:rsidRPr="00EE13D9" w:rsidRDefault="00B042DB" w:rsidP="00B042DB">
      <w:pPr>
        <w:spacing w:line="240" w:lineRule="auto"/>
        <w:ind w:left="0" w:firstLine="0"/>
        <w:jc w:val="both"/>
        <w:rPr>
          <w:rFonts w:eastAsia="Calibri" w:cs="Times New Roman"/>
          <w:color w:val="auto"/>
          <w:kern w:val="0"/>
          <w:sz w:val="18"/>
          <w:szCs w:val="18"/>
          <w:lang w:val="sr-Latn-ME"/>
          <w14:ligatures w14:val="none"/>
        </w:rPr>
      </w:pPr>
    </w:p>
    <w:p w14:paraId="447A2E13"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On behalf of Montenegro, I hereby submit a formal request for an annual catch quota of 100 metric tonnes of eastern Atlantic and Mediterranean bluefin tuna (</w:t>
      </w:r>
      <w:r w:rsidRPr="00EE13D9">
        <w:rPr>
          <w:rFonts w:eastAsia="Calibri" w:cs="Times New Roman"/>
          <w:i/>
          <w:iCs/>
          <w:color w:val="auto"/>
          <w:kern w:val="0"/>
          <w:szCs w:val="20"/>
          <w:lang w:val="sr-Latn-ME"/>
          <w14:ligatures w14:val="none"/>
        </w:rPr>
        <w:t>Thunnus thynnus</w:t>
      </w:r>
      <w:r w:rsidRPr="00EE13D9">
        <w:rPr>
          <w:rFonts w:eastAsia="Calibri" w:cs="Times New Roman"/>
          <w:color w:val="auto"/>
          <w:kern w:val="0"/>
          <w:szCs w:val="20"/>
          <w:lang w:val="sr-Latn-ME"/>
          <w14:ligatures w14:val="none"/>
        </w:rPr>
        <w:t>), effective from 1 January 2027.</w:t>
      </w:r>
    </w:p>
    <w:p w14:paraId="6DBBA953" w14:textId="77777777" w:rsidR="00B042DB" w:rsidRPr="00EE13D9" w:rsidRDefault="00B042DB" w:rsidP="00B042DB">
      <w:pPr>
        <w:spacing w:line="240" w:lineRule="auto"/>
        <w:ind w:left="0" w:firstLine="0"/>
        <w:jc w:val="both"/>
        <w:rPr>
          <w:rFonts w:eastAsia="Calibri" w:cs="Times New Roman"/>
          <w:color w:val="auto"/>
          <w:kern w:val="0"/>
          <w:sz w:val="18"/>
          <w:szCs w:val="18"/>
          <w:lang w:val="sr-Latn-ME"/>
          <w14:ligatures w14:val="none"/>
        </w:rPr>
      </w:pPr>
    </w:p>
    <w:p w14:paraId="1E465530" w14:textId="55931ED2"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Following Montenegro’s accession to ICCAT in October 2025 and its subsequent request to join Panel 2, Montenegro’s membership of Panel 2 was communicated in ICCAT Circular No. 08079/2026 of 18 September 2026.</w:t>
      </w:r>
    </w:p>
    <w:p w14:paraId="5DF84EBF" w14:textId="77777777" w:rsidR="00B042DB" w:rsidRPr="00EE13D9" w:rsidRDefault="00B042DB" w:rsidP="00B042DB">
      <w:pPr>
        <w:spacing w:line="240" w:lineRule="auto"/>
        <w:ind w:left="0" w:firstLine="0"/>
        <w:jc w:val="both"/>
        <w:rPr>
          <w:rFonts w:eastAsia="Calibri" w:cs="Times New Roman"/>
          <w:color w:val="auto"/>
          <w:kern w:val="0"/>
          <w:sz w:val="18"/>
          <w:szCs w:val="18"/>
          <w:lang w:val="sr-Latn-ME"/>
          <w14:ligatures w14:val="none"/>
        </w:rPr>
      </w:pPr>
    </w:p>
    <w:p w14:paraId="0B3ED474" w14:textId="363314EB"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Montenegro kindly requests that the Secretariat circulate this submission for consideration by Panel 2 and the Commission at the 25th Special Meeting of the Commission, to be held in Vilamoura, Portugal, from 16 </w:t>
      </w:r>
      <w:r w:rsidRPr="00EE13D9">
        <w:rPr>
          <w:rFonts w:eastAsia="Calibri" w:cs="Times New Roman"/>
          <w:color w:val="auto"/>
          <w:kern w:val="0"/>
          <w:szCs w:val="20"/>
          <w:lang w:val="sr-Latn-ME"/>
          <w14:ligatures w14:val="none"/>
        </w:rPr>
        <w:noBreakHyphen/>
        <w:t> 23 November 2026.</w:t>
      </w:r>
    </w:p>
    <w:p w14:paraId="42E1E954" w14:textId="77777777" w:rsidR="00B042DB" w:rsidRPr="00EE13D9" w:rsidRDefault="00B042DB" w:rsidP="00B042DB">
      <w:pPr>
        <w:spacing w:line="240" w:lineRule="auto"/>
        <w:ind w:left="0" w:firstLine="0"/>
        <w:jc w:val="both"/>
        <w:rPr>
          <w:rFonts w:eastAsia="Calibri" w:cs="Times New Roman"/>
          <w:color w:val="auto"/>
          <w:kern w:val="0"/>
          <w:sz w:val="18"/>
          <w:szCs w:val="18"/>
          <w:lang w:val="sr-Latn-ME"/>
          <w14:ligatures w14:val="none"/>
        </w:rPr>
      </w:pPr>
    </w:p>
    <w:p w14:paraId="04691A98"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The following information on historical catches and the proposed national quota allocation framework is provided in support of this request.</w:t>
      </w:r>
    </w:p>
    <w:p w14:paraId="3D3692E5" w14:textId="77777777" w:rsidR="00B042DB" w:rsidRPr="00EE13D9" w:rsidRDefault="00B042DB" w:rsidP="00B042DB">
      <w:pPr>
        <w:spacing w:line="240" w:lineRule="auto"/>
        <w:ind w:left="0" w:firstLine="0"/>
        <w:jc w:val="both"/>
        <w:rPr>
          <w:rFonts w:eastAsia="Calibri" w:cs="Times New Roman"/>
          <w:color w:val="auto"/>
          <w:kern w:val="0"/>
          <w:sz w:val="18"/>
          <w:szCs w:val="18"/>
          <w:lang w:val="sr-Latn-ME"/>
          <w14:ligatures w14:val="none"/>
        </w:rPr>
      </w:pPr>
    </w:p>
    <w:p w14:paraId="4F2DF263"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 xml:space="preserve">For the ten-year period from 2016 to 2025, the national records supplied for this submission show total bluefin tuna catches of 669.82 metric tonnes, corresponding to an average annual catch of 66.98 metric tonnes. Annual catches are presented in </w:t>
      </w:r>
      <w:r w:rsidRPr="00EE13D9">
        <w:rPr>
          <w:rFonts w:eastAsia="Calibri" w:cs="Times New Roman"/>
          <w:b/>
          <w:bCs/>
          <w:color w:val="auto"/>
          <w:kern w:val="0"/>
          <w:szCs w:val="20"/>
          <w:lang w:val="sr-Latn-ME"/>
          <w14:ligatures w14:val="none"/>
        </w:rPr>
        <w:t>Annex 1</w:t>
      </w:r>
      <w:r w:rsidRPr="00EE13D9">
        <w:rPr>
          <w:rFonts w:eastAsia="Calibri" w:cs="Times New Roman"/>
          <w:color w:val="auto"/>
          <w:kern w:val="0"/>
          <w:szCs w:val="20"/>
          <w:lang w:val="sr-Latn-ME"/>
          <w14:ligatures w14:val="none"/>
        </w:rPr>
        <w:t>.</w:t>
      </w:r>
    </w:p>
    <w:p w14:paraId="750F32B0" w14:textId="77777777" w:rsidR="00B042DB" w:rsidRPr="00EE13D9" w:rsidRDefault="00B042DB" w:rsidP="00B042DB">
      <w:pPr>
        <w:spacing w:line="240" w:lineRule="auto"/>
        <w:ind w:left="0" w:firstLine="0"/>
        <w:jc w:val="both"/>
        <w:rPr>
          <w:rFonts w:eastAsia="Calibri" w:cs="Times New Roman"/>
          <w:color w:val="auto"/>
          <w:kern w:val="0"/>
          <w:sz w:val="18"/>
          <w:szCs w:val="18"/>
          <w:lang w:val="sr-Latn-ME"/>
          <w14:ligatures w14:val="none"/>
        </w:rPr>
      </w:pPr>
    </w:p>
    <w:p w14:paraId="30B8B082"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Bluefin tuna catches were recorded for 110 vessels flying the flag of Montenegro during this period. The records include both targeted and incidental catches. Targeted catches were principally recorded under gear codes LLD and LX, while catches recorded under other gear codes were generally classified as incidental. In 2025, 51 vessels recorded bluefin tuna catches, totalling 113.26 metric tonnes.</w:t>
      </w:r>
    </w:p>
    <w:p w14:paraId="7997BEAB" w14:textId="77777777" w:rsidR="00B042DB" w:rsidRPr="00EE13D9" w:rsidRDefault="00B042DB" w:rsidP="00B042DB">
      <w:pPr>
        <w:spacing w:line="240" w:lineRule="auto"/>
        <w:ind w:left="0" w:firstLine="0"/>
        <w:jc w:val="both"/>
        <w:rPr>
          <w:rFonts w:eastAsia="Calibri" w:cs="Times New Roman"/>
          <w:color w:val="auto"/>
          <w:kern w:val="0"/>
          <w:sz w:val="18"/>
          <w:szCs w:val="18"/>
          <w:lang w:val="sr-Latn-ME"/>
          <w14:ligatures w14:val="none"/>
        </w:rPr>
      </w:pPr>
    </w:p>
    <w:p w14:paraId="38583E53"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These records cover the full period 2016–2025, including the period preceding Montenegro’s accession to ICCAT. Historical catch data are based on national records, with further verification of the classification of certain fishing gears.</w:t>
      </w:r>
    </w:p>
    <w:p w14:paraId="79AAC371" w14:textId="77777777" w:rsidR="00B042DB" w:rsidRPr="00EE13D9" w:rsidRDefault="00B042DB" w:rsidP="00B042DB">
      <w:pPr>
        <w:spacing w:line="240" w:lineRule="auto"/>
        <w:ind w:left="0" w:firstLine="0"/>
        <w:jc w:val="both"/>
        <w:rPr>
          <w:rFonts w:eastAsia="Calibri" w:cs="Times New Roman"/>
          <w:color w:val="auto"/>
          <w:kern w:val="0"/>
          <w:sz w:val="18"/>
          <w:szCs w:val="18"/>
          <w:lang w:val="sr-Latn-ME"/>
          <w14:ligatures w14:val="none"/>
        </w:rPr>
      </w:pPr>
    </w:p>
    <w:p w14:paraId="2C5BBA7D"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Taking into account these historical catch records, Montenegro’s geographical position as an Adriatic and Mediterranean coastal State, its status as a new ICCAT Contracting Party and member of Panel 2, and the needs of its national fisheries sector, Montenegro requests an initial annual allocation of 100 metric tonnes of eastern Atlantic and Mediterranean bluefin tuna from 1 January 2027.</w:t>
      </w:r>
    </w:p>
    <w:p w14:paraId="75642407"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p>
    <w:p w14:paraId="560E1A10"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If an allocation is approved, Montenegro intends to distribute the quota under the national Rulebook on Bluefin Tuna Fishing, which has been prepared and is scheduled for adoption following quota allocation. The proposed framework provides for transparent and objective environmental, social and economic criteria, equitable allocation among fleet segments, particular consideration for traditional and small-scale coastal fisheries, and support for selective fishing gear and techniques with reduced environmental impact.</w:t>
      </w:r>
    </w:p>
    <w:p w14:paraId="11B90E60" w14:textId="77777777" w:rsidR="00B042DB" w:rsidRPr="00EE13D9" w:rsidRDefault="00B042DB" w:rsidP="00B042DB">
      <w:pPr>
        <w:spacing w:line="240" w:lineRule="auto"/>
        <w:ind w:left="0" w:firstLine="0"/>
        <w:jc w:val="both"/>
        <w:rPr>
          <w:rFonts w:eastAsia="Calibri" w:cs="Times New Roman"/>
          <w:color w:val="auto"/>
          <w:kern w:val="0"/>
          <w:sz w:val="16"/>
          <w:szCs w:val="16"/>
          <w:lang w:val="sr-Latn-ME"/>
          <w14:ligatures w14:val="none"/>
        </w:rPr>
      </w:pPr>
    </w:p>
    <w:p w14:paraId="760AAAAE" w14:textId="77777777" w:rsidR="00B042DB" w:rsidRDefault="00B042DB" w:rsidP="00EE13D9">
      <w:pPr>
        <w:widowControl w:val="0"/>
        <w:spacing w:line="240" w:lineRule="auto"/>
        <w:ind w:left="0" w:firstLine="0"/>
        <w:jc w:val="both"/>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The prepared rulebook envisages allocation to targeted commercial fisheries using tuna purse seines and hook-and-line gear, including handlines, trolling lines and drifting longlines, with portions reserved for bycatch, recreational and sport fisheries, and scientific purposes. The final shares by category and the number of authorised vessels would be determined after quota allocation, through finalisation of the national regulation and the relevant annual plans, in accordance with applicable ICCAT conservation and management measures.</w:t>
      </w:r>
    </w:p>
    <w:p w14:paraId="1242D15F"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lastRenderedPageBreak/>
        <w:t>Under the proposed provisions, eligibility for an individual quota would require registration in Montenegro’s fishing fleet register, a valid commercial fishing licence covering the relevant gear, and documented previous participation in bluefin tuna fishing, including catches, landings and marketing in accordance with applicable rules. Other conditions would include the absence of assigned penalty points for the licence holder or master and payment of any applicable fees relating to a previously allocated quota. The Ministry would establish and publish a vessel ranking based on catch, landing and marketing records in the Fisheries Information System, after which eligible vessel owners would apply for an individual quota and fishing authorisation.</w:t>
      </w:r>
    </w:p>
    <w:p w14:paraId="36AB7814"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p>
    <w:p w14:paraId="2866DC3D"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The Ministry would assign an individual quota to each approved vessel and issue an authorisation specifying the vessel, permitted gear, fishing areas and individual quota. The prepared rulebook provides for a national register of authorised vessels and requires registration in the relevant ICCAT vessel record. The annual fishing plan would specify quotas by gear group, allocation and quota management arrangements, measures to ensure compliance with individual quotas, bycatch rules and the number of catching vessels. Vessel numbers and capacity would be kept proportionate to the allocated fishing opportunities.</w:t>
      </w:r>
    </w:p>
    <w:p w14:paraId="2D68A008"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p>
    <w:p w14:paraId="0D1BE8E1"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Montenegro has strengthened its fisheries management, monitoring and control framework, which includes the Fisheries Information System (FIS), the Vessel Monitoring System (VMS), the Fisheries Monitoring Centre (FMC), catch recording and reporting, and fisheries inspections. The Rulebook on Bluefin Tuna Fishing has been prepared, with adoption planned following quota allocation.</w:t>
      </w:r>
    </w:p>
    <w:p w14:paraId="4A0C0BF9"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p>
    <w:p w14:paraId="02C1B59E"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Authorised vessels would be subject to applicable monitoring, fishing logbook, catch reporting and catch documentation requirements, together with other relevant ICCAT obligations. National quota management arrangements would specify vessel obligations and procedures for monitoring quota uptake.</w:t>
      </w:r>
    </w:p>
    <w:p w14:paraId="0A27F22A"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p>
    <w:p w14:paraId="5C611283"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Montenegro reaffirms its commitment to implementing all applicable ICCAT conservation and management measures, including monitoring, control, reporting and enforcement obligations, and to ensuring the sustainable and responsible use of any fishing opportunities allocated to it.</w:t>
      </w:r>
    </w:p>
    <w:p w14:paraId="6C7AF2FD"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p>
    <w:p w14:paraId="13101A90" w14:textId="77777777" w:rsidR="00B042DB" w:rsidRPr="00EE13D9" w:rsidRDefault="00B042DB" w:rsidP="00B042DB">
      <w:pPr>
        <w:spacing w:line="240" w:lineRule="auto"/>
        <w:ind w:left="0" w:firstLine="0"/>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Montenegro remains available to provide Panel 2, the Commission and the Secretariat with any additional information or supporting documentation required for consideration of this request.</w:t>
      </w:r>
    </w:p>
    <w:p w14:paraId="3CC840D2" w14:textId="77777777" w:rsidR="00B042DB" w:rsidRPr="00EE13D9" w:rsidRDefault="00B042DB" w:rsidP="00B042DB">
      <w:pPr>
        <w:keepNext/>
        <w:spacing w:line="240" w:lineRule="auto"/>
        <w:ind w:left="0" w:firstLine="0"/>
        <w:rPr>
          <w:rFonts w:eastAsia="Calibri" w:cs="Times New Roman"/>
          <w:color w:val="auto"/>
          <w:kern w:val="0"/>
          <w:szCs w:val="20"/>
          <w:lang w:val="sr-Latn-ME"/>
          <w14:ligatures w14:val="none"/>
        </w:rPr>
      </w:pPr>
    </w:p>
    <w:p w14:paraId="6BD7D12A" w14:textId="54F10135" w:rsidR="00B042DB" w:rsidRPr="00EE13D9" w:rsidRDefault="00B042DB" w:rsidP="00B042DB">
      <w:pPr>
        <w:keepNext/>
        <w:spacing w:line="240" w:lineRule="auto"/>
        <w:ind w:left="0" w:firstLine="0"/>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Yours faithfully,</w:t>
      </w:r>
    </w:p>
    <w:p w14:paraId="5BC79C40" w14:textId="77777777" w:rsidR="00B042DB" w:rsidRPr="00EE13D9" w:rsidRDefault="00B042DB" w:rsidP="00B042DB">
      <w:pPr>
        <w:keepNext/>
        <w:spacing w:line="240" w:lineRule="auto"/>
        <w:ind w:left="0" w:firstLine="0"/>
        <w:rPr>
          <w:rFonts w:eastAsia="Calibri" w:cs="Times New Roman"/>
          <w:color w:val="auto"/>
          <w:kern w:val="0"/>
          <w:szCs w:val="20"/>
          <w:lang w:val="sr-Latn-ME"/>
          <w14:ligatures w14:val="none"/>
        </w:rPr>
      </w:pPr>
    </w:p>
    <w:p w14:paraId="1B4FB118" w14:textId="233F5377" w:rsidR="00B042DB" w:rsidRPr="00EE13D9" w:rsidRDefault="00B042DB" w:rsidP="00B042DB">
      <w:pPr>
        <w:keepNext/>
        <w:spacing w:line="240" w:lineRule="auto"/>
        <w:ind w:left="0" w:firstLine="0"/>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(Signed and sealed)</w:t>
      </w:r>
    </w:p>
    <w:p w14:paraId="756EE769" w14:textId="77777777" w:rsidR="00B042DB" w:rsidRPr="00EE13D9" w:rsidRDefault="00B042DB" w:rsidP="00B042DB">
      <w:pPr>
        <w:keepNext/>
        <w:spacing w:line="240" w:lineRule="auto"/>
        <w:ind w:left="0" w:firstLine="0"/>
        <w:rPr>
          <w:rFonts w:eastAsia="Calibri" w:cs="Times New Roman"/>
          <w:color w:val="auto"/>
          <w:kern w:val="0"/>
          <w:szCs w:val="20"/>
          <w:lang w:val="sr-Latn-ME"/>
          <w14:ligatures w14:val="none"/>
        </w:rPr>
      </w:pPr>
    </w:p>
    <w:p w14:paraId="4906A4E2" w14:textId="77777777" w:rsidR="00B042DB" w:rsidRPr="00EE13D9" w:rsidRDefault="00B042DB" w:rsidP="00B042DB">
      <w:pPr>
        <w:keepLines/>
        <w:spacing w:line="240" w:lineRule="auto"/>
        <w:ind w:left="0" w:firstLine="0"/>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Katarina Burzanović</w:t>
      </w:r>
    </w:p>
    <w:p w14:paraId="7632CC24" w14:textId="77777777" w:rsidR="00B042DB" w:rsidRPr="00EE13D9" w:rsidRDefault="00B042DB" w:rsidP="00B042DB">
      <w:pPr>
        <w:keepLines/>
        <w:spacing w:line="240" w:lineRule="auto"/>
        <w:ind w:left="0" w:firstLine="0"/>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Head of the Delegation of Montenegro to ICCAT</w:t>
      </w:r>
    </w:p>
    <w:p w14:paraId="55100BE0" w14:textId="77777777" w:rsidR="00B042DB" w:rsidRPr="00EE13D9" w:rsidRDefault="00B042DB" w:rsidP="00B042DB">
      <w:pPr>
        <w:keepLines/>
        <w:spacing w:line="240" w:lineRule="auto"/>
        <w:ind w:left="0" w:firstLine="0"/>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Director General</w:t>
      </w:r>
    </w:p>
    <w:p w14:paraId="267BEEC1" w14:textId="77777777" w:rsidR="00B042DB" w:rsidRPr="00EE13D9" w:rsidRDefault="00B042DB" w:rsidP="00B042DB">
      <w:pPr>
        <w:keepLines/>
        <w:spacing w:line="240" w:lineRule="auto"/>
        <w:ind w:left="0" w:firstLine="0"/>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Directorate for Fisheries</w:t>
      </w:r>
    </w:p>
    <w:p w14:paraId="3471FEEA" w14:textId="77777777" w:rsidR="00B042DB" w:rsidRPr="00EE13D9" w:rsidRDefault="00B042DB" w:rsidP="00B042DB">
      <w:pPr>
        <w:keepLines/>
        <w:spacing w:line="240" w:lineRule="auto"/>
        <w:ind w:left="0" w:firstLine="0"/>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Ministry of Agriculture, Forestry and Water Management</w:t>
      </w:r>
    </w:p>
    <w:p w14:paraId="6A14C6B9" w14:textId="6B2A6E08" w:rsidR="00B042DB" w:rsidRPr="00EE13D9" w:rsidRDefault="00B042DB" w:rsidP="00B042DB">
      <w:pPr>
        <w:keepLines/>
        <w:spacing w:line="240" w:lineRule="auto"/>
        <w:ind w:left="0" w:firstLine="0"/>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Montenegro</w:t>
      </w:r>
    </w:p>
    <w:p w14:paraId="108654A2" w14:textId="77777777" w:rsidR="00B042DB" w:rsidRPr="00EE13D9" w:rsidRDefault="00B042DB" w:rsidP="00B042DB">
      <w:pPr>
        <w:keepLines/>
        <w:spacing w:line="240" w:lineRule="auto"/>
        <w:ind w:left="0" w:firstLine="0"/>
        <w:rPr>
          <w:rFonts w:eastAsia="Calibri" w:cs="Times New Roman"/>
          <w:noProof/>
          <w:color w:val="auto"/>
          <w:kern w:val="0"/>
          <w:szCs w:val="20"/>
          <w:lang w:val="sr-Latn-ME"/>
          <w14:ligatures w14:val="none"/>
        </w:rPr>
      </w:pPr>
    </w:p>
    <w:p w14:paraId="518023B4" w14:textId="4F71D432" w:rsidR="00B042DB" w:rsidRPr="00EE13D9" w:rsidRDefault="00B042DB" w:rsidP="00B042DB">
      <w:pPr>
        <w:keepLines/>
        <w:spacing w:line="240" w:lineRule="auto"/>
        <w:ind w:left="0" w:firstLine="0"/>
        <w:rPr>
          <w:rFonts w:eastAsia="Calibri" w:cs="Times New Roman"/>
          <w:color w:val="auto"/>
          <w:kern w:val="0"/>
          <w:szCs w:val="20"/>
          <w:lang w:val="sr-Latn-ME"/>
          <w14:ligatures w14:val="none"/>
        </w:rPr>
      </w:pPr>
    </w:p>
    <w:p w14:paraId="3BE69C83" w14:textId="77777777" w:rsidR="00B042DB" w:rsidRPr="00EE13D9" w:rsidRDefault="00B042DB" w:rsidP="00B042DB">
      <w:pPr>
        <w:pageBreakBefore/>
        <w:spacing w:line="240" w:lineRule="auto"/>
        <w:ind w:left="0" w:firstLine="0"/>
        <w:jc w:val="right"/>
        <w:rPr>
          <w:rFonts w:eastAsia="Calibri" w:cs="Times New Roman"/>
          <w:color w:val="auto"/>
          <w:kern w:val="0"/>
          <w:szCs w:val="20"/>
          <w:lang w:val="sr-Latn-ME"/>
          <w14:ligatures w14:val="none"/>
        </w:rPr>
      </w:pPr>
      <w:r w:rsidRPr="00EE13D9">
        <w:rPr>
          <w:rFonts w:eastAsia="Calibri" w:cs="Times New Roman"/>
          <w:b/>
          <w:color w:val="auto"/>
          <w:kern w:val="0"/>
          <w:szCs w:val="20"/>
          <w:lang w:val="sr-Latn-ME"/>
          <w14:ligatures w14:val="none"/>
        </w:rPr>
        <w:lastRenderedPageBreak/>
        <w:t xml:space="preserve">Annex 1 </w:t>
      </w:r>
    </w:p>
    <w:p w14:paraId="190F2B8D" w14:textId="77777777" w:rsidR="00B042DB" w:rsidRPr="00EE13D9" w:rsidRDefault="00B042DB" w:rsidP="00B042DB">
      <w:pPr>
        <w:spacing w:line="240" w:lineRule="auto"/>
        <w:ind w:left="0" w:firstLine="0"/>
        <w:rPr>
          <w:rFonts w:eastAsia="Calibri" w:cs="Times New Roman"/>
          <w:color w:val="auto"/>
          <w:kern w:val="0"/>
          <w:szCs w:val="20"/>
          <w:lang w:val="sr-Latn-ME"/>
          <w14:ligatures w14:val="none"/>
        </w:rPr>
      </w:pPr>
    </w:p>
    <w:p w14:paraId="76069184" w14:textId="77777777" w:rsidR="00B042DB" w:rsidRPr="00EE13D9" w:rsidRDefault="00B042DB" w:rsidP="00B042DB">
      <w:pPr>
        <w:spacing w:line="240" w:lineRule="auto"/>
        <w:ind w:left="0" w:firstLine="0"/>
        <w:jc w:val="center"/>
        <w:rPr>
          <w:rFonts w:eastAsia="Calibri" w:cs="Times New Roman"/>
          <w:color w:val="auto"/>
          <w:kern w:val="0"/>
          <w:szCs w:val="20"/>
          <w:lang w:val="sr-Latn-ME"/>
          <w14:ligatures w14:val="none"/>
        </w:rPr>
      </w:pPr>
      <w:r w:rsidRPr="00EE13D9">
        <w:rPr>
          <w:rFonts w:eastAsia="Calibri" w:cs="Times New Roman"/>
          <w:b/>
          <w:color w:val="auto"/>
          <w:kern w:val="0"/>
          <w:szCs w:val="20"/>
          <w:lang w:val="sr-Latn-ME"/>
          <w14:ligatures w14:val="none"/>
        </w:rPr>
        <w:t>Historical bluefin tuna catches</w:t>
      </w:r>
    </w:p>
    <w:p w14:paraId="75097839" w14:textId="77777777" w:rsidR="00B042DB" w:rsidRPr="00EE13D9" w:rsidRDefault="00B042DB" w:rsidP="00B042DB">
      <w:pPr>
        <w:spacing w:line="240" w:lineRule="auto"/>
        <w:ind w:left="0" w:firstLine="0"/>
        <w:rPr>
          <w:rFonts w:eastAsia="Calibri" w:cs="Times New Roman"/>
          <w:color w:val="auto"/>
          <w:kern w:val="0"/>
          <w:szCs w:val="20"/>
          <w:lang w:val="sr-Latn-ME"/>
          <w14:ligatures w14:val="none"/>
        </w:rPr>
      </w:pPr>
    </w:p>
    <w:p w14:paraId="07562BE8"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Species: Atlantic bluefin tuna (</w:t>
      </w:r>
      <w:r w:rsidRPr="00EE13D9">
        <w:rPr>
          <w:rFonts w:eastAsia="Calibri" w:cs="Times New Roman"/>
          <w:i/>
          <w:iCs/>
          <w:color w:val="auto"/>
          <w:kern w:val="0"/>
          <w:szCs w:val="20"/>
          <w:lang w:val="sr-Latn-ME"/>
          <w14:ligatures w14:val="none"/>
        </w:rPr>
        <w:t>Thunnus thynnus</w:t>
      </w:r>
      <w:r w:rsidRPr="00EE13D9">
        <w:rPr>
          <w:rFonts w:eastAsia="Calibri" w:cs="Times New Roman"/>
          <w:color w:val="auto"/>
          <w:kern w:val="0"/>
          <w:szCs w:val="20"/>
          <w:lang w:val="sr-Latn-ME"/>
          <w14:ligatures w14:val="none"/>
        </w:rPr>
        <w:t>). Source: national data supplied for Panel 2, worksheet Ulov 2016-2025. Quantities are expressed in metric tonnes and rounded to three decimal places.</w:t>
      </w:r>
    </w:p>
    <w:p w14:paraId="0FDF06E0"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p>
    <w:p w14:paraId="7A177D90"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r w:rsidRPr="00EE13D9">
        <w:rPr>
          <w:rFonts w:eastAsia="Calibri" w:cs="Times New Roman"/>
          <w:color w:val="auto"/>
          <w:kern w:val="0"/>
          <w:szCs w:val="20"/>
          <w:lang w:val="sr-Latn-ME"/>
          <w14:ligatures w14:val="none"/>
        </w:rPr>
        <w:t>The historical records cover 110 vessels, ranging from 3.6 to 29 m in length overall. These figures describe the historical fleet; the final list of vessels and gear eligible to use an allocated quota would be established separately.</w:t>
      </w:r>
    </w:p>
    <w:p w14:paraId="7238F45F"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p>
    <w:tbl>
      <w:tblPr>
        <w:tblStyle w:val="TableGrid1"/>
        <w:tblW w:w="0" w:type="auto"/>
        <w:tblInd w:w="0" w:type="dxa"/>
        <w:tblLook w:val="04A0" w:firstRow="1" w:lastRow="0" w:firstColumn="1" w:lastColumn="0" w:noHBand="0" w:noVBand="1"/>
      </w:tblPr>
      <w:tblGrid>
        <w:gridCol w:w="4533"/>
        <w:gridCol w:w="4528"/>
      </w:tblGrid>
      <w:tr w:rsidR="00B042DB" w:rsidRPr="00EE13D9" w14:paraId="17106034" w14:textId="77777777" w:rsidTr="00C409D6">
        <w:tc>
          <w:tcPr>
            <w:tcW w:w="4703" w:type="dxa"/>
          </w:tcPr>
          <w:p w14:paraId="0E03D27B" w14:textId="77777777" w:rsidR="00B042DB" w:rsidRPr="00EE13D9" w:rsidRDefault="00B042DB" w:rsidP="00B042DB">
            <w:pPr>
              <w:spacing w:line="240" w:lineRule="auto"/>
              <w:ind w:left="0" w:firstLine="0"/>
              <w:jc w:val="both"/>
              <w:rPr>
                <w:rFonts w:eastAsia="Calibri" w:cs="Times New Roman"/>
                <w:i/>
                <w:iCs/>
                <w:color w:val="auto"/>
                <w:szCs w:val="20"/>
              </w:rPr>
            </w:pPr>
            <w:r w:rsidRPr="00EE13D9">
              <w:rPr>
                <w:rFonts w:eastAsia="Calibri" w:cs="Times New Roman"/>
                <w:i/>
                <w:iCs/>
                <w:color w:val="auto"/>
                <w:szCs w:val="20"/>
              </w:rPr>
              <w:t>Year</w:t>
            </w:r>
          </w:p>
        </w:tc>
        <w:tc>
          <w:tcPr>
            <w:tcW w:w="4703" w:type="dxa"/>
          </w:tcPr>
          <w:p w14:paraId="43AE76CD" w14:textId="77777777" w:rsidR="00B042DB" w:rsidRPr="00EE13D9" w:rsidRDefault="00B042DB" w:rsidP="00B042DB">
            <w:pPr>
              <w:spacing w:line="240" w:lineRule="auto"/>
              <w:ind w:left="0" w:firstLine="0"/>
              <w:jc w:val="both"/>
              <w:rPr>
                <w:rFonts w:eastAsia="Calibri" w:cs="Times New Roman"/>
                <w:i/>
                <w:iCs/>
                <w:color w:val="auto"/>
                <w:szCs w:val="20"/>
              </w:rPr>
            </w:pPr>
            <w:r w:rsidRPr="00EE13D9">
              <w:rPr>
                <w:rFonts w:eastAsia="Calibri" w:cs="Times New Roman"/>
                <w:i/>
                <w:iCs/>
                <w:color w:val="auto"/>
                <w:szCs w:val="20"/>
              </w:rPr>
              <w:t>Catch (t)</w:t>
            </w:r>
          </w:p>
        </w:tc>
      </w:tr>
      <w:tr w:rsidR="00B042DB" w:rsidRPr="00EE13D9" w14:paraId="2E169192" w14:textId="77777777" w:rsidTr="00C409D6">
        <w:tc>
          <w:tcPr>
            <w:tcW w:w="4703" w:type="dxa"/>
          </w:tcPr>
          <w:p w14:paraId="6A477A8A"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2016</w:t>
            </w:r>
          </w:p>
        </w:tc>
        <w:tc>
          <w:tcPr>
            <w:tcW w:w="4703" w:type="dxa"/>
          </w:tcPr>
          <w:p w14:paraId="5334DD31"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45.46</w:t>
            </w:r>
          </w:p>
        </w:tc>
      </w:tr>
      <w:tr w:rsidR="00B042DB" w:rsidRPr="00EE13D9" w14:paraId="02D19EDB" w14:textId="77777777" w:rsidTr="00C409D6">
        <w:tc>
          <w:tcPr>
            <w:tcW w:w="4703" w:type="dxa"/>
          </w:tcPr>
          <w:p w14:paraId="32DB4FAD"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2017</w:t>
            </w:r>
          </w:p>
        </w:tc>
        <w:tc>
          <w:tcPr>
            <w:tcW w:w="4703" w:type="dxa"/>
          </w:tcPr>
          <w:p w14:paraId="228C7E2F"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72.82</w:t>
            </w:r>
          </w:p>
        </w:tc>
      </w:tr>
      <w:tr w:rsidR="00B042DB" w:rsidRPr="00EE13D9" w14:paraId="75AC0886" w14:textId="77777777" w:rsidTr="00C409D6">
        <w:tc>
          <w:tcPr>
            <w:tcW w:w="4703" w:type="dxa"/>
          </w:tcPr>
          <w:p w14:paraId="3EC7D980"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2018</w:t>
            </w:r>
          </w:p>
        </w:tc>
        <w:tc>
          <w:tcPr>
            <w:tcW w:w="4703" w:type="dxa"/>
          </w:tcPr>
          <w:p w14:paraId="13EFE835"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94.55</w:t>
            </w:r>
          </w:p>
        </w:tc>
      </w:tr>
      <w:tr w:rsidR="00B042DB" w:rsidRPr="00EE13D9" w14:paraId="1D370E5A" w14:textId="77777777" w:rsidTr="00C409D6">
        <w:tc>
          <w:tcPr>
            <w:tcW w:w="4703" w:type="dxa"/>
          </w:tcPr>
          <w:p w14:paraId="63D003A0"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2019</w:t>
            </w:r>
          </w:p>
        </w:tc>
        <w:tc>
          <w:tcPr>
            <w:tcW w:w="4703" w:type="dxa"/>
          </w:tcPr>
          <w:p w14:paraId="3E27F036"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59.05</w:t>
            </w:r>
          </w:p>
        </w:tc>
      </w:tr>
      <w:tr w:rsidR="00B042DB" w:rsidRPr="00EE13D9" w14:paraId="40CF672E" w14:textId="77777777" w:rsidTr="00C409D6">
        <w:tc>
          <w:tcPr>
            <w:tcW w:w="4703" w:type="dxa"/>
          </w:tcPr>
          <w:p w14:paraId="642E5827"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2020</w:t>
            </w:r>
          </w:p>
        </w:tc>
        <w:tc>
          <w:tcPr>
            <w:tcW w:w="4703" w:type="dxa"/>
          </w:tcPr>
          <w:p w14:paraId="60F8B89E"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24.24</w:t>
            </w:r>
          </w:p>
        </w:tc>
      </w:tr>
      <w:tr w:rsidR="00B042DB" w:rsidRPr="00EE13D9" w14:paraId="5581F55C" w14:textId="77777777" w:rsidTr="00C409D6">
        <w:tc>
          <w:tcPr>
            <w:tcW w:w="4703" w:type="dxa"/>
          </w:tcPr>
          <w:p w14:paraId="6FB62B1F"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2021</w:t>
            </w:r>
          </w:p>
        </w:tc>
        <w:tc>
          <w:tcPr>
            <w:tcW w:w="4703" w:type="dxa"/>
          </w:tcPr>
          <w:p w14:paraId="3AA1352E"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22.62</w:t>
            </w:r>
          </w:p>
        </w:tc>
      </w:tr>
      <w:tr w:rsidR="00B042DB" w:rsidRPr="00EE13D9" w14:paraId="0E09C5DB" w14:textId="77777777" w:rsidTr="00C409D6">
        <w:tc>
          <w:tcPr>
            <w:tcW w:w="4703" w:type="dxa"/>
          </w:tcPr>
          <w:p w14:paraId="75AEA77B"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2022</w:t>
            </w:r>
          </w:p>
        </w:tc>
        <w:tc>
          <w:tcPr>
            <w:tcW w:w="4703" w:type="dxa"/>
          </w:tcPr>
          <w:p w14:paraId="485C0A73"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37.50</w:t>
            </w:r>
          </w:p>
        </w:tc>
      </w:tr>
      <w:tr w:rsidR="00B042DB" w:rsidRPr="00EE13D9" w14:paraId="65AEC836" w14:textId="77777777" w:rsidTr="00C409D6">
        <w:tc>
          <w:tcPr>
            <w:tcW w:w="4703" w:type="dxa"/>
          </w:tcPr>
          <w:p w14:paraId="27F82180"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2023</w:t>
            </w:r>
          </w:p>
        </w:tc>
        <w:tc>
          <w:tcPr>
            <w:tcW w:w="4703" w:type="dxa"/>
          </w:tcPr>
          <w:p w14:paraId="7529F527"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34.00</w:t>
            </w:r>
          </w:p>
        </w:tc>
      </w:tr>
      <w:tr w:rsidR="00B042DB" w:rsidRPr="00EE13D9" w14:paraId="72FFC7F3" w14:textId="77777777" w:rsidTr="00C409D6">
        <w:tc>
          <w:tcPr>
            <w:tcW w:w="4703" w:type="dxa"/>
          </w:tcPr>
          <w:p w14:paraId="7D43A0F2"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2024</w:t>
            </w:r>
          </w:p>
        </w:tc>
        <w:tc>
          <w:tcPr>
            <w:tcW w:w="4703" w:type="dxa"/>
          </w:tcPr>
          <w:p w14:paraId="2682623F"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166.32</w:t>
            </w:r>
          </w:p>
        </w:tc>
      </w:tr>
      <w:tr w:rsidR="00B042DB" w:rsidRPr="00EE13D9" w14:paraId="4AB9751D" w14:textId="77777777" w:rsidTr="00C409D6">
        <w:tc>
          <w:tcPr>
            <w:tcW w:w="4703" w:type="dxa"/>
          </w:tcPr>
          <w:p w14:paraId="59A6B6E7"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2025</w:t>
            </w:r>
          </w:p>
        </w:tc>
        <w:tc>
          <w:tcPr>
            <w:tcW w:w="4703" w:type="dxa"/>
          </w:tcPr>
          <w:p w14:paraId="6BC39F0C"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color w:val="auto"/>
                <w:szCs w:val="20"/>
              </w:rPr>
              <w:t>113.26</w:t>
            </w:r>
          </w:p>
        </w:tc>
      </w:tr>
      <w:tr w:rsidR="00B042DB" w:rsidRPr="00EE13D9" w14:paraId="27F7C59F" w14:textId="77777777" w:rsidTr="00C409D6">
        <w:tc>
          <w:tcPr>
            <w:tcW w:w="4703" w:type="dxa"/>
          </w:tcPr>
          <w:p w14:paraId="47CEA6C9"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b/>
                <w:color w:val="auto"/>
                <w:szCs w:val="20"/>
              </w:rPr>
              <w:t>Total 2016–2025</w:t>
            </w:r>
          </w:p>
        </w:tc>
        <w:tc>
          <w:tcPr>
            <w:tcW w:w="4703" w:type="dxa"/>
          </w:tcPr>
          <w:p w14:paraId="5DE15146"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b/>
                <w:color w:val="auto"/>
                <w:szCs w:val="20"/>
              </w:rPr>
              <w:t>669.82</w:t>
            </w:r>
          </w:p>
        </w:tc>
      </w:tr>
      <w:tr w:rsidR="00B042DB" w:rsidRPr="00EE13D9" w14:paraId="6B969C98" w14:textId="77777777" w:rsidTr="00C409D6">
        <w:tc>
          <w:tcPr>
            <w:tcW w:w="4703" w:type="dxa"/>
          </w:tcPr>
          <w:p w14:paraId="67651A69"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b/>
                <w:color w:val="auto"/>
                <w:szCs w:val="20"/>
              </w:rPr>
              <w:t>Annual average</w:t>
            </w:r>
          </w:p>
        </w:tc>
        <w:tc>
          <w:tcPr>
            <w:tcW w:w="4703" w:type="dxa"/>
          </w:tcPr>
          <w:p w14:paraId="2CB30A15" w14:textId="77777777" w:rsidR="00B042DB" w:rsidRPr="00EE13D9" w:rsidRDefault="00B042DB" w:rsidP="00B042DB">
            <w:pPr>
              <w:spacing w:line="240" w:lineRule="auto"/>
              <w:ind w:left="0" w:firstLine="0"/>
              <w:jc w:val="both"/>
              <w:rPr>
                <w:rFonts w:eastAsia="Calibri" w:cs="Times New Roman"/>
                <w:color w:val="auto"/>
                <w:szCs w:val="20"/>
              </w:rPr>
            </w:pPr>
            <w:r w:rsidRPr="00EE13D9">
              <w:rPr>
                <w:rFonts w:eastAsia="Calibri" w:cs="Times New Roman"/>
                <w:b/>
                <w:color w:val="auto"/>
                <w:szCs w:val="20"/>
              </w:rPr>
              <w:t>66.98</w:t>
            </w:r>
          </w:p>
        </w:tc>
      </w:tr>
    </w:tbl>
    <w:p w14:paraId="0C0272AD" w14:textId="77777777" w:rsidR="00B042DB" w:rsidRPr="00EE13D9" w:rsidRDefault="00B042DB" w:rsidP="00B042DB">
      <w:pPr>
        <w:spacing w:line="240" w:lineRule="auto"/>
        <w:ind w:left="0" w:firstLine="0"/>
        <w:jc w:val="both"/>
        <w:rPr>
          <w:rFonts w:eastAsia="Calibri" w:cs="Times New Roman"/>
          <w:color w:val="auto"/>
          <w:kern w:val="0"/>
          <w:szCs w:val="20"/>
          <w:lang w:val="sr-Latn-ME"/>
          <w14:ligatures w14:val="none"/>
        </w:rPr>
      </w:pPr>
    </w:p>
    <w:p w14:paraId="59618629" w14:textId="77777777" w:rsidR="00D65828" w:rsidRPr="00EE13D9" w:rsidRDefault="00D65828" w:rsidP="00B27971">
      <w:pPr>
        <w:pStyle w:val="Heading2"/>
        <w:spacing w:before="0" w:after="0" w:line="240" w:lineRule="auto"/>
        <w:jc w:val="center"/>
        <w:rPr>
          <w:b/>
          <w:bCs/>
          <w:sz w:val="20"/>
          <w:szCs w:val="20"/>
        </w:rPr>
      </w:pPr>
    </w:p>
    <w:sectPr w:rsidR="00D65828" w:rsidRPr="00EE13D9" w:rsidSect="00023BB1">
      <w:headerReference w:type="default" r:id="rId7"/>
      <w:footerReference w:type="default" r:id="rId8"/>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DABBF" w14:textId="77777777" w:rsidR="003F1A01" w:rsidRDefault="003F1A01" w:rsidP="00BF2F34">
      <w:pPr>
        <w:spacing w:line="240" w:lineRule="auto"/>
      </w:pPr>
      <w:r>
        <w:separator/>
      </w:r>
    </w:p>
  </w:endnote>
  <w:endnote w:type="continuationSeparator" w:id="0">
    <w:p w14:paraId="46C90F94" w14:textId="77777777" w:rsidR="003F1A01" w:rsidRDefault="003F1A01" w:rsidP="00BF2F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DDEE" w14:textId="6FF0E47F" w:rsidR="00BF2F34" w:rsidRPr="006B75AE" w:rsidRDefault="003F1A01" w:rsidP="006B75AE">
    <w:pPr>
      <w:tabs>
        <w:tab w:val="center" w:pos="4535"/>
        <w:tab w:val="center" w:pos="4680"/>
        <w:tab w:val="left" w:pos="6150"/>
        <w:tab w:val="right" w:pos="9360"/>
      </w:tabs>
      <w:jc w:val="center"/>
      <w:rPr>
        <w:rFonts w:eastAsia="Calibri" w:cs="Calibri"/>
        <w:szCs w:val="22"/>
      </w:rPr>
    </w:pPr>
    <w:sdt>
      <w:sdtPr>
        <w:rPr>
          <w:rFonts w:ascii="Calibri" w:eastAsia="Calibri" w:hAnsi="Calibri" w:cs="Calibri"/>
          <w:szCs w:val="20"/>
        </w:rPr>
        <w:id w:val="810910487"/>
        <w:docPartObj>
          <w:docPartGallery w:val="Page Numbers (Top of Page)"/>
          <w:docPartUnique/>
        </w:docPartObj>
      </w:sdtPr>
      <w:sdtEndPr/>
      <w:sdtContent>
        <w:r w:rsidR="006B75AE" w:rsidRPr="00713AD4">
          <w:rPr>
            <w:rFonts w:eastAsia="Calibri" w:cs="Calibri"/>
            <w:szCs w:val="20"/>
          </w:rPr>
          <w:fldChar w:fldCharType="begin"/>
        </w:r>
        <w:r w:rsidR="006B75AE" w:rsidRPr="00713AD4">
          <w:rPr>
            <w:rFonts w:eastAsia="Calibri" w:cs="Calibri"/>
            <w:szCs w:val="20"/>
          </w:rPr>
          <w:instrText xml:space="preserve"> PAGE </w:instrText>
        </w:r>
        <w:r w:rsidR="006B75AE" w:rsidRPr="00713AD4">
          <w:rPr>
            <w:rFonts w:eastAsia="Calibri" w:cs="Calibri"/>
            <w:szCs w:val="20"/>
          </w:rPr>
          <w:fldChar w:fldCharType="separate"/>
        </w:r>
        <w:r w:rsidR="006B75AE">
          <w:rPr>
            <w:rFonts w:eastAsia="Calibri" w:cs="Calibri"/>
            <w:szCs w:val="20"/>
          </w:rPr>
          <w:t>1</w:t>
        </w:r>
        <w:r w:rsidR="006B75AE" w:rsidRPr="00713AD4">
          <w:rPr>
            <w:rFonts w:eastAsia="Calibri" w:cs="Calibri"/>
            <w:szCs w:val="20"/>
          </w:rPr>
          <w:fldChar w:fldCharType="end"/>
        </w:r>
        <w:r w:rsidR="006B75AE" w:rsidRPr="00713AD4">
          <w:rPr>
            <w:rFonts w:eastAsia="Calibri" w:cs="Calibri"/>
            <w:szCs w:val="20"/>
          </w:rPr>
          <w:t xml:space="preserve"> / </w:t>
        </w:r>
        <w:r w:rsidR="006B75AE" w:rsidRPr="00713AD4">
          <w:rPr>
            <w:rFonts w:eastAsia="Calibri" w:cs="Calibri"/>
            <w:szCs w:val="20"/>
          </w:rPr>
          <w:fldChar w:fldCharType="begin"/>
        </w:r>
        <w:r w:rsidR="006B75AE" w:rsidRPr="00713AD4">
          <w:rPr>
            <w:rFonts w:eastAsia="Calibri" w:cs="Calibri"/>
            <w:szCs w:val="20"/>
          </w:rPr>
          <w:instrText xml:space="preserve"> NUMPAGES  </w:instrText>
        </w:r>
        <w:r w:rsidR="006B75AE" w:rsidRPr="00713AD4">
          <w:rPr>
            <w:rFonts w:eastAsia="Calibri" w:cs="Calibri"/>
            <w:szCs w:val="20"/>
          </w:rPr>
          <w:fldChar w:fldCharType="separate"/>
        </w:r>
        <w:r w:rsidR="006B75AE">
          <w:rPr>
            <w:rFonts w:eastAsia="Calibri" w:cs="Calibri"/>
            <w:szCs w:val="20"/>
          </w:rPr>
          <w:t>1</w:t>
        </w:r>
        <w:r w:rsidR="006B75AE" w:rsidRPr="00713AD4">
          <w:rPr>
            <w:rFonts w:eastAsia="Calibri" w:cs="Calibri"/>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00ACA" w14:textId="77777777" w:rsidR="003F1A01" w:rsidRDefault="003F1A01" w:rsidP="00BF2F34">
      <w:pPr>
        <w:spacing w:line="240" w:lineRule="auto"/>
      </w:pPr>
      <w:r>
        <w:separator/>
      </w:r>
    </w:p>
  </w:footnote>
  <w:footnote w:type="continuationSeparator" w:id="0">
    <w:p w14:paraId="56903816" w14:textId="77777777" w:rsidR="003F1A01" w:rsidRDefault="003F1A01" w:rsidP="00BF2F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5B64B" w14:textId="56C73EE8" w:rsidR="006B75AE" w:rsidRPr="006B75AE" w:rsidRDefault="00B042DB" w:rsidP="006B75AE">
    <w:pPr>
      <w:tabs>
        <w:tab w:val="center" w:pos="4680"/>
        <w:tab w:val="left" w:pos="6520"/>
        <w:tab w:val="right" w:pos="9360"/>
        <w:tab w:val="right" w:pos="14240"/>
      </w:tabs>
      <w:spacing w:line="240" w:lineRule="auto"/>
      <w:ind w:left="0" w:firstLine="0"/>
      <w:jc w:val="right"/>
      <w:rPr>
        <w:rFonts w:eastAsia="Calibri" w:cs="Times New Roman"/>
        <w:b/>
        <w:bCs/>
        <w:color w:val="auto"/>
        <w:kern w:val="0"/>
        <w:szCs w:val="20"/>
        <w14:ligatures w14:val="none"/>
      </w:rPr>
    </w:pPr>
    <w:bookmarkStart w:id="0" w:name="_Hlk107908354"/>
    <w:bookmarkStart w:id="1" w:name="_Hlk107908355"/>
    <w:bookmarkStart w:id="2" w:name="_Hlk107908359"/>
    <w:bookmarkStart w:id="3" w:name="_Hlk107908360"/>
    <w:bookmarkStart w:id="4" w:name="_Hlk107908361"/>
    <w:bookmarkStart w:id="5" w:name="_Hlk107908362"/>
    <w:r>
      <w:rPr>
        <w:rFonts w:eastAsia="Calibri" w:cs="Times New Roman"/>
        <w:b/>
        <w:bCs/>
        <w:color w:val="auto"/>
        <w:kern w:val="0"/>
        <w:szCs w:val="20"/>
        <w14:ligatures w14:val="none"/>
      </w:rPr>
      <w:t>PA2_606</w:t>
    </w:r>
    <w:r w:rsidR="006B75AE" w:rsidRPr="006B75AE">
      <w:rPr>
        <w:rFonts w:eastAsia="Calibri" w:cs="Times New Roman"/>
        <w:b/>
        <w:bCs/>
        <w:color w:val="auto"/>
        <w:kern w:val="0"/>
        <w:szCs w:val="20"/>
        <w14:ligatures w14:val="none"/>
      </w:rPr>
      <w:t>/2026</w:t>
    </w:r>
  </w:p>
  <w:p w14:paraId="7ACF0128" w14:textId="1E3407CC" w:rsidR="006B75AE" w:rsidRPr="006B75AE" w:rsidRDefault="006B75AE" w:rsidP="006B75AE">
    <w:pPr>
      <w:tabs>
        <w:tab w:val="left" w:pos="7320"/>
      </w:tabs>
      <w:spacing w:line="240" w:lineRule="exact"/>
      <w:ind w:left="0" w:firstLine="0"/>
      <w:jc w:val="right"/>
      <w:rPr>
        <w:rFonts w:eastAsia="Times New Roman" w:cs="Times New Roman"/>
        <w:b/>
        <w:bCs/>
        <w:color w:val="auto"/>
        <w:kern w:val="0"/>
        <w:sz w:val="16"/>
        <w:szCs w:val="16"/>
        <w:lang w:val="es-ES_tradnl"/>
        <w14:ligatures w14:val="none"/>
      </w:rPr>
    </w:pPr>
    <w:r w:rsidRPr="006B75AE">
      <w:rPr>
        <w:rFonts w:eastAsia="Times New Roman" w:cs="Times New Roman"/>
        <w:b/>
        <w:bCs/>
        <w:color w:val="auto"/>
        <w:kern w:val="0"/>
        <w:sz w:val="16"/>
        <w:szCs w:val="16"/>
        <w:lang w:val="es-ES_tradnl"/>
        <w14:ligatures w14:val="none"/>
      </w:rPr>
      <w:fldChar w:fldCharType="begin"/>
    </w:r>
    <w:r w:rsidRPr="006B75AE">
      <w:rPr>
        <w:rFonts w:eastAsia="Times New Roman" w:cs="Times New Roman"/>
        <w:b/>
        <w:bCs/>
        <w:color w:val="auto"/>
        <w:kern w:val="0"/>
        <w:sz w:val="16"/>
        <w:szCs w:val="16"/>
        <w:lang w:val="es-ES_tradnl"/>
        <w14:ligatures w14:val="none"/>
      </w:rPr>
      <w:instrText xml:space="preserve"> TIME \@ "dd/MM/yyyy H:mm" </w:instrText>
    </w:r>
    <w:r w:rsidRPr="006B75AE">
      <w:rPr>
        <w:rFonts w:eastAsia="Times New Roman" w:cs="Times New Roman"/>
        <w:b/>
        <w:bCs/>
        <w:color w:val="auto"/>
        <w:kern w:val="0"/>
        <w:sz w:val="16"/>
        <w:szCs w:val="16"/>
        <w:lang w:val="es-ES_tradnl"/>
        <w14:ligatures w14:val="none"/>
      </w:rPr>
      <w:fldChar w:fldCharType="separate"/>
    </w:r>
    <w:r w:rsidR="003C268F">
      <w:rPr>
        <w:rFonts w:eastAsia="Times New Roman" w:cs="Times New Roman"/>
        <w:b/>
        <w:bCs/>
        <w:noProof/>
        <w:color w:val="auto"/>
        <w:kern w:val="0"/>
        <w:sz w:val="16"/>
        <w:szCs w:val="16"/>
        <w:lang w:val="es-ES_tradnl"/>
        <w14:ligatures w14:val="none"/>
      </w:rPr>
      <w:t>19/10/2026 10:37</w:t>
    </w:r>
    <w:r w:rsidRPr="006B75AE">
      <w:rPr>
        <w:rFonts w:eastAsia="Times New Roman" w:cs="Times New Roman"/>
        <w:b/>
        <w:bCs/>
        <w:color w:val="auto"/>
        <w:kern w:val="0"/>
        <w:sz w:val="16"/>
        <w:szCs w:val="16"/>
        <w:lang w:val="es-ES_tradnl"/>
        <w14:ligatures w14:val="none"/>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C5413"/>
    <w:multiLevelType w:val="multilevel"/>
    <w:tmpl w:val="290C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91D95"/>
    <w:multiLevelType w:val="multilevel"/>
    <w:tmpl w:val="BE823770"/>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i/>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3C484F"/>
    <w:multiLevelType w:val="hybridMultilevel"/>
    <w:tmpl w:val="613A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A0EE0"/>
    <w:multiLevelType w:val="hybridMultilevel"/>
    <w:tmpl w:val="4D74D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50328"/>
    <w:multiLevelType w:val="multilevel"/>
    <w:tmpl w:val="A63A7A6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A51501"/>
    <w:multiLevelType w:val="hybridMultilevel"/>
    <w:tmpl w:val="E9F058D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6E1710"/>
    <w:multiLevelType w:val="hybridMultilevel"/>
    <w:tmpl w:val="F4C6FEFC"/>
    <w:lvl w:ilvl="0" w:tplc="B9961FF2">
      <w:start w:val="1"/>
      <w:numFmt w:val="bullet"/>
      <w:lvlText w:val=""/>
      <w:lvlJc w:val="left"/>
      <w:pPr>
        <w:tabs>
          <w:tab w:val="num" w:pos="720"/>
        </w:tabs>
        <w:ind w:left="720" w:hanging="360"/>
      </w:pPr>
      <w:rPr>
        <w:rFonts w:ascii="Symbol" w:hAnsi="Symbol" w:hint="default"/>
      </w:rPr>
    </w:lvl>
    <w:lvl w:ilvl="1" w:tplc="CD8C1F7C" w:tentative="1">
      <w:start w:val="1"/>
      <w:numFmt w:val="bullet"/>
      <w:lvlText w:val=""/>
      <w:lvlJc w:val="left"/>
      <w:pPr>
        <w:tabs>
          <w:tab w:val="num" w:pos="1440"/>
        </w:tabs>
        <w:ind w:left="1440" w:hanging="360"/>
      </w:pPr>
      <w:rPr>
        <w:rFonts w:ascii="Symbol" w:hAnsi="Symbol" w:hint="default"/>
      </w:rPr>
    </w:lvl>
    <w:lvl w:ilvl="2" w:tplc="18BC522E" w:tentative="1">
      <w:start w:val="1"/>
      <w:numFmt w:val="bullet"/>
      <w:lvlText w:val=""/>
      <w:lvlJc w:val="left"/>
      <w:pPr>
        <w:tabs>
          <w:tab w:val="num" w:pos="2160"/>
        </w:tabs>
        <w:ind w:left="2160" w:hanging="360"/>
      </w:pPr>
      <w:rPr>
        <w:rFonts w:ascii="Symbol" w:hAnsi="Symbol" w:hint="default"/>
      </w:rPr>
    </w:lvl>
    <w:lvl w:ilvl="3" w:tplc="1F10277A" w:tentative="1">
      <w:start w:val="1"/>
      <w:numFmt w:val="bullet"/>
      <w:lvlText w:val=""/>
      <w:lvlJc w:val="left"/>
      <w:pPr>
        <w:tabs>
          <w:tab w:val="num" w:pos="2880"/>
        </w:tabs>
        <w:ind w:left="2880" w:hanging="360"/>
      </w:pPr>
      <w:rPr>
        <w:rFonts w:ascii="Symbol" w:hAnsi="Symbol" w:hint="default"/>
      </w:rPr>
    </w:lvl>
    <w:lvl w:ilvl="4" w:tplc="E96EADA0" w:tentative="1">
      <w:start w:val="1"/>
      <w:numFmt w:val="bullet"/>
      <w:lvlText w:val=""/>
      <w:lvlJc w:val="left"/>
      <w:pPr>
        <w:tabs>
          <w:tab w:val="num" w:pos="3600"/>
        </w:tabs>
        <w:ind w:left="3600" w:hanging="360"/>
      </w:pPr>
      <w:rPr>
        <w:rFonts w:ascii="Symbol" w:hAnsi="Symbol" w:hint="default"/>
      </w:rPr>
    </w:lvl>
    <w:lvl w:ilvl="5" w:tplc="661E228A" w:tentative="1">
      <w:start w:val="1"/>
      <w:numFmt w:val="bullet"/>
      <w:lvlText w:val=""/>
      <w:lvlJc w:val="left"/>
      <w:pPr>
        <w:tabs>
          <w:tab w:val="num" w:pos="4320"/>
        </w:tabs>
        <w:ind w:left="4320" w:hanging="360"/>
      </w:pPr>
      <w:rPr>
        <w:rFonts w:ascii="Symbol" w:hAnsi="Symbol" w:hint="default"/>
      </w:rPr>
    </w:lvl>
    <w:lvl w:ilvl="6" w:tplc="6E8203C8" w:tentative="1">
      <w:start w:val="1"/>
      <w:numFmt w:val="bullet"/>
      <w:lvlText w:val=""/>
      <w:lvlJc w:val="left"/>
      <w:pPr>
        <w:tabs>
          <w:tab w:val="num" w:pos="5040"/>
        </w:tabs>
        <w:ind w:left="5040" w:hanging="360"/>
      </w:pPr>
      <w:rPr>
        <w:rFonts w:ascii="Symbol" w:hAnsi="Symbol" w:hint="default"/>
      </w:rPr>
    </w:lvl>
    <w:lvl w:ilvl="7" w:tplc="7466DD74" w:tentative="1">
      <w:start w:val="1"/>
      <w:numFmt w:val="bullet"/>
      <w:lvlText w:val=""/>
      <w:lvlJc w:val="left"/>
      <w:pPr>
        <w:tabs>
          <w:tab w:val="num" w:pos="5760"/>
        </w:tabs>
        <w:ind w:left="5760" w:hanging="360"/>
      </w:pPr>
      <w:rPr>
        <w:rFonts w:ascii="Symbol" w:hAnsi="Symbol" w:hint="default"/>
      </w:rPr>
    </w:lvl>
    <w:lvl w:ilvl="8" w:tplc="6FE28CF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4783851"/>
    <w:multiLevelType w:val="hybridMultilevel"/>
    <w:tmpl w:val="62281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720ADC"/>
    <w:multiLevelType w:val="hybridMultilevel"/>
    <w:tmpl w:val="94B6853A"/>
    <w:lvl w:ilvl="0" w:tplc="9EBE68A6">
      <w:start w:val="5"/>
      <w:numFmt w:val="decimal"/>
      <w:lvlText w:val="%1)"/>
      <w:lvlJc w:val="left"/>
      <w:pPr>
        <w:ind w:left="1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1" w:tplc="3F8EB21E">
      <w:start w:val="1"/>
      <w:numFmt w:val="lowerLetter"/>
      <w:lvlText w:val="%2"/>
      <w:lvlJc w:val="left"/>
      <w:pPr>
        <w:ind w:left="10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2" w:tplc="A45E2D36">
      <w:start w:val="1"/>
      <w:numFmt w:val="lowerRoman"/>
      <w:lvlText w:val="%3"/>
      <w:lvlJc w:val="left"/>
      <w:pPr>
        <w:ind w:left="18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3" w:tplc="C4F44000">
      <w:start w:val="1"/>
      <w:numFmt w:val="decimal"/>
      <w:lvlText w:val="%4"/>
      <w:lvlJc w:val="left"/>
      <w:pPr>
        <w:ind w:left="25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4" w:tplc="B59EDCEC">
      <w:start w:val="1"/>
      <w:numFmt w:val="lowerLetter"/>
      <w:lvlText w:val="%5"/>
      <w:lvlJc w:val="left"/>
      <w:pPr>
        <w:ind w:left="324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5" w:tplc="D64260AC">
      <w:start w:val="1"/>
      <w:numFmt w:val="lowerRoman"/>
      <w:lvlText w:val="%6"/>
      <w:lvlJc w:val="left"/>
      <w:pPr>
        <w:ind w:left="396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6" w:tplc="FF7A967E">
      <w:start w:val="1"/>
      <w:numFmt w:val="decimal"/>
      <w:lvlText w:val="%7"/>
      <w:lvlJc w:val="left"/>
      <w:pPr>
        <w:ind w:left="46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7" w:tplc="F0B62B32">
      <w:start w:val="1"/>
      <w:numFmt w:val="lowerLetter"/>
      <w:lvlText w:val="%8"/>
      <w:lvlJc w:val="left"/>
      <w:pPr>
        <w:ind w:left="54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8" w:tplc="81FAB6DA">
      <w:start w:val="1"/>
      <w:numFmt w:val="lowerRoman"/>
      <w:lvlText w:val="%9"/>
      <w:lvlJc w:val="left"/>
      <w:pPr>
        <w:ind w:left="61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8271D22"/>
    <w:multiLevelType w:val="multilevel"/>
    <w:tmpl w:val="8FDE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737DCA"/>
    <w:multiLevelType w:val="multilevel"/>
    <w:tmpl w:val="27B0195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B314FA"/>
    <w:multiLevelType w:val="hybridMultilevel"/>
    <w:tmpl w:val="BBDA4D26"/>
    <w:lvl w:ilvl="0" w:tplc="01A8E618">
      <w:start w:val="4"/>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E3F2612A">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E0801F4E">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4DB6CAE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0728E142">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495489EA">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507AB8D0">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8DFC8FE2">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65061804">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ACB58BB"/>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2B08E9"/>
    <w:multiLevelType w:val="multilevel"/>
    <w:tmpl w:val="2BD887E6"/>
    <w:lvl w:ilvl="0">
      <w:start w:val="6"/>
      <w:numFmt w:val="decimal"/>
      <w:lvlText w:val="%1"/>
      <w:lvlJc w:val="left"/>
      <w:pPr>
        <w:ind w:left="377" w:hanging="377"/>
      </w:pPr>
      <w:rPr>
        <w:rFonts w:hint="default"/>
      </w:rPr>
    </w:lvl>
    <w:lvl w:ilvl="1">
      <w:start w:val="12"/>
      <w:numFmt w:val="decimal"/>
      <w:lvlText w:val="%1.%2"/>
      <w:lvlJc w:val="left"/>
      <w:pPr>
        <w:ind w:left="377" w:hanging="37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9E2198"/>
    <w:multiLevelType w:val="multilevel"/>
    <w:tmpl w:val="F2E02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9F0DEE"/>
    <w:multiLevelType w:val="multilevel"/>
    <w:tmpl w:val="0858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1460A3"/>
    <w:multiLevelType w:val="hybridMultilevel"/>
    <w:tmpl w:val="42C87AC4"/>
    <w:lvl w:ilvl="0" w:tplc="4268DC2C">
      <w:start w:val="1"/>
      <w:numFmt w:val="decimal"/>
      <w:lvlText w:val="%1."/>
      <w:lvlJc w:val="left"/>
      <w:pPr>
        <w:ind w:left="4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5E045C8">
      <w:start w:val="1"/>
      <w:numFmt w:val="lowerLetter"/>
      <w:lvlText w:val="%2)"/>
      <w:lvlJc w:val="left"/>
      <w:pPr>
        <w:ind w:left="71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02CD696">
      <w:start w:val="1"/>
      <w:numFmt w:val="lowerRoman"/>
      <w:lvlText w:val="%3"/>
      <w:lvlJc w:val="left"/>
      <w:pPr>
        <w:ind w:left="15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CECAA7B4">
      <w:start w:val="1"/>
      <w:numFmt w:val="decimal"/>
      <w:lvlText w:val="%4"/>
      <w:lvlJc w:val="left"/>
      <w:pPr>
        <w:ind w:left="22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1D14E712">
      <w:start w:val="1"/>
      <w:numFmt w:val="lowerLetter"/>
      <w:lvlText w:val="%5"/>
      <w:lvlJc w:val="left"/>
      <w:pPr>
        <w:ind w:left="29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2CF2961A">
      <w:start w:val="1"/>
      <w:numFmt w:val="lowerRoman"/>
      <w:lvlText w:val="%6"/>
      <w:lvlJc w:val="left"/>
      <w:pPr>
        <w:ind w:left="36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FA09C9A">
      <w:start w:val="1"/>
      <w:numFmt w:val="decimal"/>
      <w:lvlText w:val="%7"/>
      <w:lvlJc w:val="left"/>
      <w:pPr>
        <w:ind w:left="43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2AEE6B56">
      <w:start w:val="1"/>
      <w:numFmt w:val="lowerLetter"/>
      <w:lvlText w:val="%8"/>
      <w:lvlJc w:val="left"/>
      <w:pPr>
        <w:ind w:left="51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424021CA">
      <w:start w:val="1"/>
      <w:numFmt w:val="lowerRoman"/>
      <w:lvlText w:val="%9"/>
      <w:lvlJc w:val="left"/>
      <w:pPr>
        <w:ind w:left="58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9A524C6"/>
    <w:multiLevelType w:val="multilevel"/>
    <w:tmpl w:val="0E3A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CE4323"/>
    <w:multiLevelType w:val="hybridMultilevel"/>
    <w:tmpl w:val="213EBC1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7AD040D"/>
    <w:multiLevelType w:val="hybridMultilevel"/>
    <w:tmpl w:val="167CF826"/>
    <w:lvl w:ilvl="0" w:tplc="726E5B40">
      <w:start w:val="9"/>
      <w:numFmt w:val="decimal"/>
      <w:lvlText w:val="%1."/>
      <w:lvlJc w:val="left"/>
      <w:pPr>
        <w:ind w:left="426"/>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421A39E4">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670830B2">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6D42177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238E432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75E9E26">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BD34195A">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10F253FE">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B9006B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7ED0D30"/>
    <w:multiLevelType w:val="hybridMultilevel"/>
    <w:tmpl w:val="4CC81DF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D46938"/>
    <w:multiLevelType w:val="multilevel"/>
    <w:tmpl w:val="D38C51F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402365"/>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B46051"/>
    <w:multiLevelType w:val="multilevel"/>
    <w:tmpl w:val="7D06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187640"/>
    <w:multiLevelType w:val="multilevel"/>
    <w:tmpl w:val="75B052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7642A6"/>
    <w:multiLevelType w:val="hybridMultilevel"/>
    <w:tmpl w:val="1ED07880"/>
    <w:lvl w:ilvl="0" w:tplc="3DECE8B0">
      <w:start w:val="1"/>
      <w:numFmt w:val="bullet"/>
      <w:lvlText w:val=""/>
      <w:lvlJc w:val="left"/>
      <w:pPr>
        <w:tabs>
          <w:tab w:val="num" w:pos="720"/>
        </w:tabs>
        <w:ind w:left="720" w:hanging="360"/>
      </w:pPr>
      <w:rPr>
        <w:rFonts w:ascii="Symbol" w:hAnsi="Symbol" w:hint="default"/>
      </w:rPr>
    </w:lvl>
    <w:lvl w:ilvl="1" w:tplc="4408514E" w:tentative="1">
      <w:start w:val="1"/>
      <w:numFmt w:val="bullet"/>
      <w:lvlText w:val=""/>
      <w:lvlJc w:val="left"/>
      <w:pPr>
        <w:tabs>
          <w:tab w:val="num" w:pos="1440"/>
        </w:tabs>
        <w:ind w:left="1440" w:hanging="360"/>
      </w:pPr>
      <w:rPr>
        <w:rFonts w:ascii="Symbol" w:hAnsi="Symbol" w:hint="default"/>
      </w:rPr>
    </w:lvl>
    <w:lvl w:ilvl="2" w:tplc="A55AED3E" w:tentative="1">
      <w:start w:val="1"/>
      <w:numFmt w:val="bullet"/>
      <w:lvlText w:val=""/>
      <w:lvlJc w:val="left"/>
      <w:pPr>
        <w:tabs>
          <w:tab w:val="num" w:pos="2160"/>
        </w:tabs>
        <w:ind w:left="2160" w:hanging="360"/>
      </w:pPr>
      <w:rPr>
        <w:rFonts w:ascii="Symbol" w:hAnsi="Symbol" w:hint="default"/>
      </w:rPr>
    </w:lvl>
    <w:lvl w:ilvl="3" w:tplc="0E984526" w:tentative="1">
      <w:start w:val="1"/>
      <w:numFmt w:val="bullet"/>
      <w:lvlText w:val=""/>
      <w:lvlJc w:val="left"/>
      <w:pPr>
        <w:tabs>
          <w:tab w:val="num" w:pos="2880"/>
        </w:tabs>
        <w:ind w:left="2880" w:hanging="360"/>
      </w:pPr>
      <w:rPr>
        <w:rFonts w:ascii="Symbol" w:hAnsi="Symbol" w:hint="default"/>
      </w:rPr>
    </w:lvl>
    <w:lvl w:ilvl="4" w:tplc="59F44486" w:tentative="1">
      <w:start w:val="1"/>
      <w:numFmt w:val="bullet"/>
      <w:lvlText w:val=""/>
      <w:lvlJc w:val="left"/>
      <w:pPr>
        <w:tabs>
          <w:tab w:val="num" w:pos="3600"/>
        </w:tabs>
        <w:ind w:left="3600" w:hanging="360"/>
      </w:pPr>
      <w:rPr>
        <w:rFonts w:ascii="Symbol" w:hAnsi="Symbol" w:hint="default"/>
      </w:rPr>
    </w:lvl>
    <w:lvl w:ilvl="5" w:tplc="25A69DE0" w:tentative="1">
      <w:start w:val="1"/>
      <w:numFmt w:val="bullet"/>
      <w:lvlText w:val=""/>
      <w:lvlJc w:val="left"/>
      <w:pPr>
        <w:tabs>
          <w:tab w:val="num" w:pos="4320"/>
        </w:tabs>
        <w:ind w:left="4320" w:hanging="360"/>
      </w:pPr>
      <w:rPr>
        <w:rFonts w:ascii="Symbol" w:hAnsi="Symbol" w:hint="default"/>
      </w:rPr>
    </w:lvl>
    <w:lvl w:ilvl="6" w:tplc="292265C6" w:tentative="1">
      <w:start w:val="1"/>
      <w:numFmt w:val="bullet"/>
      <w:lvlText w:val=""/>
      <w:lvlJc w:val="left"/>
      <w:pPr>
        <w:tabs>
          <w:tab w:val="num" w:pos="5040"/>
        </w:tabs>
        <w:ind w:left="5040" w:hanging="360"/>
      </w:pPr>
      <w:rPr>
        <w:rFonts w:ascii="Symbol" w:hAnsi="Symbol" w:hint="default"/>
      </w:rPr>
    </w:lvl>
    <w:lvl w:ilvl="7" w:tplc="BA3AE05E" w:tentative="1">
      <w:start w:val="1"/>
      <w:numFmt w:val="bullet"/>
      <w:lvlText w:val=""/>
      <w:lvlJc w:val="left"/>
      <w:pPr>
        <w:tabs>
          <w:tab w:val="num" w:pos="5760"/>
        </w:tabs>
        <w:ind w:left="5760" w:hanging="360"/>
      </w:pPr>
      <w:rPr>
        <w:rFonts w:ascii="Symbol" w:hAnsi="Symbol" w:hint="default"/>
      </w:rPr>
    </w:lvl>
    <w:lvl w:ilvl="8" w:tplc="13A852EA"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63B02C38"/>
    <w:multiLevelType w:val="multilevel"/>
    <w:tmpl w:val="2DACA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204454"/>
    <w:multiLevelType w:val="hybridMultilevel"/>
    <w:tmpl w:val="315A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223371"/>
    <w:multiLevelType w:val="multilevel"/>
    <w:tmpl w:val="4CBAECBE"/>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DF80273"/>
    <w:multiLevelType w:val="hybridMultilevel"/>
    <w:tmpl w:val="385A6704"/>
    <w:lvl w:ilvl="0" w:tplc="6298D306">
      <w:start w:val="1"/>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09C4FE70">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9122682A">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789EE122">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774C450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632AC20">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C5B0A83E">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F6F83A7A">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590F65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74024C3F"/>
    <w:multiLevelType w:val="hybridMultilevel"/>
    <w:tmpl w:val="AE160804"/>
    <w:lvl w:ilvl="0" w:tplc="64D2273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1786571">
    <w:abstractNumId w:val="16"/>
  </w:num>
  <w:num w:numId="2" w16cid:durableId="49228720">
    <w:abstractNumId w:val="29"/>
  </w:num>
  <w:num w:numId="3" w16cid:durableId="1008168941">
    <w:abstractNumId w:val="11"/>
  </w:num>
  <w:num w:numId="4" w16cid:durableId="1367952109">
    <w:abstractNumId w:val="8"/>
  </w:num>
  <w:num w:numId="5" w16cid:durableId="917597727">
    <w:abstractNumId w:val="19"/>
  </w:num>
  <w:num w:numId="6" w16cid:durableId="277296691">
    <w:abstractNumId w:val="1"/>
  </w:num>
  <w:num w:numId="7" w16cid:durableId="2146963525">
    <w:abstractNumId w:val="24"/>
  </w:num>
  <w:num w:numId="8" w16cid:durableId="1351222792">
    <w:abstractNumId w:val="3"/>
  </w:num>
  <w:num w:numId="9" w16cid:durableId="1546140957">
    <w:abstractNumId w:val="20"/>
  </w:num>
  <w:num w:numId="10" w16cid:durableId="1727486895">
    <w:abstractNumId w:val="5"/>
  </w:num>
  <w:num w:numId="11" w16cid:durableId="247546431">
    <w:abstractNumId w:val="15"/>
  </w:num>
  <w:num w:numId="12" w16cid:durableId="241719651">
    <w:abstractNumId w:val="14"/>
  </w:num>
  <w:num w:numId="13" w16cid:durableId="594558819">
    <w:abstractNumId w:val="23"/>
  </w:num>
  <w:num w:numId="14" w16cid:durableId="932476299">
    <w:abstractNumId w:val="7"/>
  </w:num>
  <w:num w:numId="15" w16cid:durableId="1821002759">
    <w:abstractNumId w:val="0"/>
  </w:num>
  <w:num w:numId="16" w16cid:durableId="1404721085">
    <w:abstractNumId w:val="26"/>
  </w:num>
  <w:num w:numId="17" w16cid:durableId="600644480">
    <w:abstractNumId w:val="9"/>
  </w:num>
  <w:num w:numId="18" w16cid:durableId="1937858040">
    <w:abstractNumId w:val="17"/>
  </w:num>
  <w:num w:numId="19" w16cid:durableId="1617714520">
    <w:abstractNumId w:val="22"/>
  </w:num>
  <w:num w:numId="20" w16cid:durableId="1223098987">
    <w:abstractNumId w:val="12"/>
  </w:num>
  <w:num w:numId="21" w16cid:durableId="1818187675">
    <w:abstractNumId w:val="2"/>
  </w:num>
  <w:num w:numId="22" w16cid:durableId="958730624">
    <w:abstractNumId w:val="25"/>
  </w:num>
  <w:num w:numId="23" w16cid:durableId="507214635">
    <w:abstractNumId w:val="6"/>
  </w:num>
  <w:num w:numId="24" w16cid:durableId="1381203082">
    <w:abstractNumId w:val="4"/>
  </w:num>
  <w:num w:numId="25" w16cid:durableId="1466461653">
    <w:abstractNumId w:val="18"/>
  </w:num>
  <w:num w:numId="26" w16cid:durableId="1051727795">
    <w:abstractNumId w:val="27"/>
  </w:num>
  <w:num w:numId="27" w16cid:durableId="1618564938">
    <w:abstractNumId w:val="21"/>
  </w:num>
  <w:num w:numId="28" w16cid:durableId="1928071812">
    <w:abstractNumId w:val="10"/>
  </w:num>
  <w:num w:numId="29" w16cid:durableId="1987121428">
    <w:abstractNumId w:val="28"/>
  </w:num>
  <w:num w:numId="30" w16cid:durableId="1897161273">
    <w:abstractNumId w:val="13"/>
  </w:num>
  <w:num w:numId="31" w16cid:durableId="112080461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4EF"/>
    <w:rsid w:val="0000162B"/>
    <w:rsid w:val="00003F76"/>
    <w:rsid w:val="000061E7"/>
    <w:rsid w:val="0001325F"/>
    <w:rsid w:val="000176CF"/>
    <w:rsid w:val="00021B00"/>
    <w:rsid w:val="00023BB1"/>
    <w:rsid w:val="00032DED"/>
    <w:rsid w:val="00035A4B"/>
    <w:rsid w:val="00040AB3"/>
    <w:rsid w:val="000425F7"/>
    <w:rsid w:val="00045A47"/>
    <w:rsid w:val="00045B1E"/>
    <w:rsid w:val="00046FFB"/>
    <w:rsid w:val="00050FD7"/>
    <w:rsid w:val="000533DE"/>
    <w:rsid w:val="000571E9"/>
    <w:rsid w:val="000630C8"/>
    <w:rsid w:val="0006478A"/>
    <w:rsid w:val="00064ED8"/>
    <w:rsid w:val="00066F47"/>
    <w:rsid w:val="000724F0"/>
    <w:rsid w:val="00073026"/>
    <w:rsid w:val="00074CAB"/>
    <w:rsid w:val="00081873"/>
    <w:rsid w:val="00082158"/>
    <w:rsid w:val="00084B5A"/>
    <w:rsid w:val="00085B23"/>
    <w:rsid w:val="00086E62"/>
    <w:rsid w:val="00090C6D"/>
    <w:rsid w:val="000910C9"/>
    <w:rsid w:val="00091740"/>
    <w:rsid w:val="00093088"/>
    <w:rsid w:val="00093681"/>
    <w:rsid w:val="000942C2"/>
    <w:rsid w:val="000947AE"/>
    <w:rsid w:val="00096748"/>
    <w:rsid w:val="0009708B"/>
    <w:rsid w:val="000A0A0E"/>
    <w:rsid w:val="000A0EBA"/>
    <w:rsid w:val="000A2138"/>
    <w:rsid w:val="000A6CA7"/>
    <w:rsid w:val="000B1FDA"/>
    <w:rsid w:val="000B29AC"/>
    <w:rsid w:val="000B38DE"/>
    <w:rsid w:val="000B56A1"/>
    <w:rsid w:val="000C7878"/>
    <w:rsid w:val="000E117F"/>
    <w:rsid w:val="000E390F"/>
    <w:rsid w:val="000E41C6"/>
    <w:rsid w:val="000E485F"/>
    <w:rsid w:val="000E5573"/>
    <w:rsid w:val="000E7D22"/>
    <w:rsid w:val="000F5C23"/>
    <w:rsid w:val="000F6EBF"/>
    <w:rsid w:val="001019BC"/>
    <w:rsid w:val="00101F29"/>
    <w:rsid w:val="00110C01"/>
    <w:rsid w:val="00113314"/>
    <w:rsid w:val="00120F67"/>
    <w:rsid w:val="001211C6"/>
    <w:rsid w:val="001232EA"/>
    <w:rsid w:val="00123E14"/>
    <w:rsid w:val="0012667B"/>
    <w:rsid w:val="001314B3"/>
    <w:rsid w:val="00132833"/>
    <w:rsid w:val="001331C4"/>
    <w:rsid w:val="00137173"/>
    <w:rsid w:val="001436A3"/>
    <w:rsid w:val="00143CB2"/>
    <w:rsid w:val="00143E58"/>
    <w:rsid w:val="00147091"/>
    <w:rsid w:val="00153461"/>
    <w:rsid w:val="00153BEA"/>
    <w:rsid w:val="001603DD"/>
    <w:rsid w:val="00170DA0"/>
    <w:rsid w:val="00172113"/>
    <w:rsid w:val="0017583C"/>
    <w:rsid w:val="00181878"/>
    <w:rsid w:val="00182D4B"/>
    <w:rsid w:val="0018779B"/>
    <w:rsid w:val="0019115B"/>
    <w:rsid w:val="001953CA"/>
    <w:rsid w:val="001960E9"/>
    <w:rsid w:val="0019695D"/>
    <w:rsid w:val="001B1C5F"/>
    <w:rsid w:val="001B3A2B"/>
    <w:rsid w:val="001B47EC"/>
    <w:rsid w:val="001B4938"/>
    <w:rsid w:val="001C0392"/>
    <w:rsid w:val="001C0E5D"/>
    <w:rsid w:val="001C1D61"/>
    <w:rsid w:val="001C1F02"/>
    <w:rsid w:val="001D11AD"/>
    <w:rsid w:val="001D132B"/>
    <w:rsid w:val="001D1B13"/>
    <w:rsid w:val="001D1BB7"/>
    <w:rsid w:val="001D4539"/>
    <w:rsid w:val="001D6B07"/>
    <w:rsid w:val="001D7082"/>
    <w:rsid w:val="001E0B88"/>
    <w:rsid w:val="001E1070"/>
    <w:rsid w:val="001E140E"/>
    <w:rsid w:val="001E159F"/>
    <w:rsid w:val="001E1E81"/>
    <w:rsid w:val="001E2547"/>
    <w:rsid w:val="001E5D22"/>
    <w:rsid w:val="001E5DC7"/>
    <w:rsid w:val="001F10E1"/>
    <w:rsid w:val="001F2127"/>
    <w:rsid w:val="001F300E"/>
    <w:rsid w:val="001F40FD"/>
    <w:rsid w:val="001F4E29"/>
    <w:rsid w:val="00202381"/>
    <w:rsid w:val="00203827"/>
    <w:rsid w:val="0020571D"/>
    <w:rsid w:val="00206FCA"/>
    <w:rsid w:val="002077D7"/>
    <w:rsid w:val="002162A0"/>
    <w:rsid w:val="00223006"/>
    <w:rsid w:val="00224942"/>
    <w:rsid w:val="002250B1"/>
    <w:rsid w:val="002257FA"/>
    <w:rsid w:val="0022729E"/>
    <w:rsid w:val="00227D38"/>
    <w:rsid w:val="00236E69"/>
    <w:rsid w:val="0023710E"/>
    <w:rsid w:val="00240542"/>
    <w:rsid w:val="0024494D"/>
    <w:rsid w:val="00245907"/>
    <w:rsid w:val="002464EF"/>
    <w:rsid w:val="00247A24"/>
    <w:rsid w:val="00251122"/>
    <w:rsid w:val="00252D5A"/>
    <w:rsid w:val="0025396A"/>
    <w:rsid w:val="00254056"/>
    <w:rsid w:val="00265DA6"/>
    <w:rsid w:val="00265F42"/>
    <w:rsid w:val="002704C0"/>
    <w:rsid w:val="00274364"/>
    <w:rsid w:val="00276D2C"/>
    <w:rsid w:val="0028016C"/>
    <w:rsid w:val="00281D81"/>
    <w:rsid w:val="0028200C"/>
    <w:rsid w:val="002868B5"/>
    <w:rsid w:val="00287378"/>
    <w:rsid w:val="002930FF"/>
    <w:rsid w:val="00293515"/>
    <w:rsid w:val="00293B83"/>
    <w:rsid w:val="00294F78"/>
    <w:rsid w:val="002961B1"/>
    <w:rsid w:val="002A0874"/>
    <w:rsid w:val="002A502C"/>
    <w:rsid w:val="002A5046"/>
    <w:rsid w:val="002A6D00"/>
    <w:rsid w:val="002B0F81"/>
    <w:rsid w:val="002B245F"/>
    <w:rsid w:val="002B4C5D"/>
    <w:rsid w:val="002B55B5"/>
    <w:rsid w:val="002B72B0"/>
    <w:rsid w:val="002B782A"/>
    <w:rsid w:val="002C07D3"/>
    <w:rsid w:val="002C0B8A"/>
    <w:rsid w:val="002C0F51"/>
    <w:rsid w:val="002C2A3A"/>
    <w:rsid w:val="002C37DD"/>
    <w:rsid w:val="002D0265"/>
    <w:rsid w:val="002D1D87"/>
    <w:rsid w:val="002D4FCC"/>
    <w:rsid w:val="002D5928"/>
    <w:rsid w:val="002D626F"/>
    <w:rsid w:val="002D6328"/>
    <w:rsid w:val="002D66F4"/>
    <w:rsid w:val="002E0383"/>
    <w:rsid w:val="002E076A"/>
    <w:rsid w:val="002E1B4E"/>
    <w:rsid w:val="002E3657"/>
    <w:rsid w:val="002E3D8E"/>
    <w:rsid w:val="002E3DD1"/>
    <w:rsid w:val="002E55CB"/>
    <w:rsid w:val="002E6EDA"/>
    <w:rsid w:val="002E734C"/>
    <w:rsid w:val="002F7C41"/>
    <w:rsid w:val="00300DE5"/>
    <w:rsid w:val="00301B50"/>
    <w:rsid w:val="00302D11"/>
    <w:rsid w:val="003057B9"/>
    <w:rsid w:val="00306410"/>
    <w:rsid w:val="00307789"/>
    <w:rsid w:val="0031275D"/>
    <w:rsid w:val="00314149"/>
    <w:rsid w:val="003144CF"/>
    <w:rsid w:val="00314E57"/>
    <w:rsid w:val="00316730"/>
    <w:rsid w:val="00320FEC"/>
    <w:rsid w:val="00322466"/>
    <w:rsid w:val="00324A19"/>
    <w:rsid w:val="0032677B"/>
    <w:rsid w:val="00327D7B"/>
    <w:rsid w:val="003340A4"/>
    <w:rsid w:val="00334771"/>
    <w:rsid w:val="0033759E"/>
    <w:rsid w:val="0034337C"/>
    <w:rsid w:val="0034631C"/>
    <w:rsid w:val="00350457"/>
    <w:rsid w:val="00354A3D"/>
    <w:rsid w:val="00356810"/>
    <w:rsid w:val="003574AA"/>
    <w:rsid w:val="00360673"/>
    <w:rsid w:val="0036169F"/>
    <w:rsid w:val="003623EB"/>
    <w:rsid w:val="0036491E"/>
    <w:rsid w:val="00367FEF"/>
    <w:rsid w:val="00370B0D"/>
    <w:rsid w:val="003713FC"/>
    <w:rsid w:val="0037250A"/>
    <w:rsid w:val="00372928"/>
    <w:rsid w:val="0037534C"/>
    <w:rsid w:val="003753E7"/>
    <w:rsid w:val="003755BE"/>
    <w:rsid w:val="003762DB"/>
    <w:rsid w:val="00381300"/>
    <w:rsid w:val="003836D8"/>
    <w:rsid w:val="00383AD4"/>
    <w:rsid w:val="0038478D"/>
    <w:rsid w:val="00385B20"/>
    <w:rsid w:val="00386B30"/>
    <w:rsid w:val="003875AD"/>
    <w:rsid w:val="00387DD0"/>
    <w:rsid w:val="00397BA6"/>
    <w:rsid w:val="003A05DC"/>
    <w:rsid w:val="003A2398"/>
    <w:rsid w:val="003A2D7E"/>
    <w:rsid w:val="003A4719"/>
    <w:rsid w:val="003A747D"/>
    <w:rsid w:val="003B4B3F"/>
    <w:rsid w:val="003B61C7"/>
    <w:rsid w:val="003B780F"/>
    <w:rsid w:val="003B79B6"/>
    <w:rsid w:val="003C0BEB"/>
    <w:rsid w:val="003C21EC"/>
    <w:rsid w:val="003C268F"/>
    <w:rsid w:val="003C2BD4"/>
    <w:rsid w:val="003C5394"/>
    <w:rsid w:val="003C570C"/>
    <w:rsid w:val="003C5ACF"/>
    <w:rsid w:val="003C6C0D"/>
    <w:rsid w:val="003C7DD5"/>
    <w:rsid w:val="003D2B48"/>
    <w:rsid w:val="003D2FE6"/>
    <w:rsid w:val="003D5544"/>
    <w:rsid w:val="003E2F9C"/>
    <w:rsid w:val="003E36AF"/>
    <w:rsid w:val="003E6111"/>
    <w:rsid w:val="003F0452"/>
    <w:rsid w:val="003F0854"/>
    <w:rsid w:val="003F1A01"/>
    <w:rsid w:val="003F3884"/>
    <w:rsid w:val="003F5E32"/>
    <w:rsid w:val="003F5FFC"/>
    <w:rsid w:val="003F7718"/>
    <w:rsid w:val="003F788F"/>
    <w:rsid w:val="003F7D00"/>
    <w:rsid w:val="003F7F88"/>
    <w:rsid w:val="00401A11"/>
    <w:rsid w:val="004028EB"/>
    <w:rsid w:val="004032B7"/>
    <w:rsid w:val="004110C2"/>
    <w:rsid w:val="00411F06"/>
    <w:rsid w:val="0041264C"/>
    <w:rsid w:val="00416D4D"/>
    <w:rsid w:val="00417CD5"/>
    <w:rsid w:val="00420D90"/>
    <w:rsid w:val="00422C62"/>
    <w:rsid w:val="00424731"/>
    <w:rsid w:val="00424AC5"/>
    <w:rsid w:val="00425E34"/>
    <w:rsid w:val="00430567"/>
    <w:rsid w:val="00432D20"/>
    <w:rsid w:val="004341AB"/>
    <w:rsid w:val="00442178"/>
    <w:rsid w:val="00442C9F"/>
    <w:rsid w:val="004449F3"/>
    <w:rsid w:val="0044548E"/>
    <w:rsid w:val="00447C96"/>
    <w:rsid w:val="004502E5"/>
    <w:rsid w:val="0046336E"/>
    <w:rsid w:val="00464D82"/>
    <w:rsid w:val="004660FC"/>
    <w:rsid w:val="0046641A"/>
    <w:rsid w:val="00466CDF"/>
    <w:rsid w:val="004679D3"/>
    <w:rsid w:val="00470E7F"/>
    <w:rsid w:val="00470ED2"/>
    <w:rsid w:val="0047223E"/>
    <w:rsid w:val="0047427F"/>
    <w:rsid w:val="00475354"/>
    <w:rsid w:val="00475C50"/>
    <w:rsid w:val="0048466F"/>
    <w:rsid w:val="00486AA6"/>
    <w:rsid w:val="00487C91"/>
    <w:rsid w:val="004900CE"/>
    <w:rsid w:val="004907DA"/>
    <w:rsid w:val="004922C1"/>
    <w:rsid w:val="0049391C"/>
    <w:rsid w:val="00495E90"/>
    <w:rsid w:val="00495FC2"/>
    <w:rsid w:val="00496B80"/>
    <w:rsid w:val="00497F43"/>
    <w:rsid w:val="004A0D46"/>
    <w:rsid w:val="004A178C"/>
    <w:rsid w:val="004A7FC0"/>
    <w:rsid w:val="004B2FD1"/>
    <w:rsid w:val="004B5264"/>
    <w:rsid w:val="004B60A8"/>
    <w:rsid w:val="004B6570"/>
    <w:rsid w:val="004C673E"/>
    <w:rsid w:val="004D1A2C"/>
    <w:rsid w:val="004D2A1E"/>
    <w:rsid w:val="004D3254"/>
    <w:rsid w:val="004D4F29"/>
    <w:rsid w:val="004D68AB"/>
    <w:rsid w:val="004E2346"/>
    <w:rsid w:val="004E27D1"/>
    <w:rsid w:val="004E34BF"/>
    <w:rsid w:val="004E62B0"/>
    <w:rsid w:val="004F3FFC"/>
    <w:rsid w:val="004F5AB5"/>
    <w:rsid w:val="004F6A53"/>
    <w:rsid w:val="00500CF9"/>
    <w:rsid w:val="00503821"/>
    <w:rsid w:val="0050793E"/>
    <w:rsid w:val="00510C15"/>
    <w:rsid w:val="00514EC6"/>
    <w:rsid w:val="005249E7"/>
    <w:rsid w:val="005258D9"/>
    <w:rsid w:val="00531F0D"/>
    <w:rsid w:val="00531F97"/>
    <w:rsid w:val="005329F1"/>
    <w:rsid w:val="00533A94"/>
    <w:rsid w:val="00533DA8"/>
    <w:rsid w:val="00534C2C"/>
    <w:rsid w:val="005351BC"/>
    <w:rsid w:val="00536B61"/>
    <w:rsid w:val="0053747D"/>
    <w:rsid w:val="005416B1"/>
    <w:rsid w:val="00541997"/>
    <w:rsid w:val="00541E05"/>
    <w:rsid w:val="00544C7B"/>
    <w:rsid w:val="00547582"/>
    <w:rsid w:val="00547756"/>
    <w:rsid w:val="005527D5"/>
    <w:rsid w:val="005602C1"/>
    <w:rsid w:val="0056073B"/>
    <w:rsid w:val="005615D6"/>
    <w:rsid w:val="00562B5B"/>
    <w:rsid w:val="0056464C"/>
    <w:rsid w:val="00567E4B"/>
    <w:rsid w:val="00580752"/>
    <w:rsid w:val="00580A9E"/>
    <w:rsid w:val="00582139"/>
    <w:rsid w:val="00584449"/>
    <w:rsid w:val="0058479E"/>
    <w:rsid w:val="00585FC6"/>
    <w:rsid w:val="00587E02"/>
    <w:rsid w:val="00593706"/>
    <w:rsid w:val="005937F6"/>
    <w:rsid w:val="00596074"/>
    <w:rsid w:val="005A000A"/>
    <w:rsid w:val="005A000E"/>
    <w:rsid w:val="005A25A4"/>
    <w:rsid w:val="005A7D38"/>
    <w:rsid w:val="005B1E62"/>
    <w:rsid w:val="005B2BA1"/>
    <w:rsid w:val="005B330C"/>
    <w:rsid w:val="005B3CBD"/>
    <w:rsid w:val="005B45AC"/>
    <w:rsid w:val="005B598E"/>
    <w:rsid w:val="005B756E"/>
    <w:rsid w:val="005C0786"/>
    <w:rsid w:val="005C2E0D"/>
    <w:rsid w:val="005C404F"/>
    <w:rsid w:val="005C61A8"/>
    <w:rsid w:val="005D5869"/>
    <w:rsid w:val="005D7900"/>
    <w:rsid w:val="005E0309"/>
    <w:rsid w:val="005E2FED"/>
    <w:rsid w:val="005E5341"/>
    <w:rsid w:val="005E5966"/>
    <w:rsid w:val="005F1F38"/>
    <w:rsid w:val="005F210D"/>
    <w:rsid w:val="005F221D"/>
    <w:rsid w:val="005F48CC"/>
    <w:rsid w:val="005F4E98"/>
    <w:rsid w:val="005F54D9"/>
    <w:rsid w:val="005F552A"/>
    <w:rsid w:val="005F7D6D"/>
    <w:rsid w:val="006011FB"/>
    <w:rsid w:val="00602064"/>
    <w:rsid w:val="0060237F"/>
    <w:rsid w:val="00604852"/>
    <w:rsid w:val="006075BE"/>
    <w:rsid w:val="006077A7"/>
    <w:rsid w:val="006121A3"/>
    <w:rsid w:val="006141D2"/>
    <w:rsid w:val="00617678"/>
    <w:rsid w:val="00617FA1"/>
    <w:rsid w:val="00621E28"/>
    <w:rsid w:val="00622FB4"/>
    <w:rsid w:val="00624F5F"/>
    <w:rsid w:val="00626731"/>
    <w:rsid w:val="00627D74"/>
    <w:rsid w:val="00630100"/>
    <w:rsid w:val="00630229"/>
    <w:rsid w:val="00634BFC"/>
    <w:rsid w:val="00637E64"/>
    <w:rsid w:val="00640633"/>
    <w:rsid w:val="0064174E"/>
    <w:rsid w:val="0064267B"/>
    <w:rsid w:val="0064286F"/>
    <w:rsid w:val="00644212"/>
    <w:rsid w:val="006457BB"/>
    <w:rsid w:val="00650D39"/>
    <w:rsid w:val="00651450"/>
    <w:rsid w:val="00653C43"/>
    <w:rsid w:val="0065601E"/>
    <w:rsid w:val="006629E7"/>
    <w:rsid w:val="006645FA"/>
    <w:rsid w:val="0066480D"/>
    <w:rsid w:val="006648BC"/>
    <w:rsid w:val="006676E8"/>
    <w:rsid w:val="0068202D"/>
    <w:rsid w:val="00683956"/>
    <w:rsid w:val="0069094E"/>
    <w:rsid w:val="0069173C"/>
    <w:rsid w:val="00693585"/>
    <w:rsid w:val="006944A0"/>
    <w:rsid w:val="006A1F87"/>
    <w:rsid w:val="006A3831"/>
    <w:rsid w:val="006B31F9"/>
    <w:rsid w:val="006B552B"/>
    <w:rsid w:val="006B56FA"/>
    <w:rsid w:val="006B75AE"/>
    <w:rsid w:val="006C5C00"/>
    <w:rsid w:val="006C70B9"/>
    <w:rsid w:val="006C7C54"/>
    <w:rsid w:val="006D289E"/>
    <w:rsid w:val="006D3FF1"/>
    <w:rsid w:val="006E0A78"/>
    <w:rsid w:val="006E34B4"/>
    <w:rsid w:val="006E623E"/>
    <w:rsid w:val="006E640C"/>
    <w:rsid w:val="006E7292"/>
    <w:rsid w:val="006E7B65"/>
    <w:rsid w:val="006F0D22"/>
    <w:rsid w:val="006F16CC"/>
    <w:rsid w:val="006F525F"/>
    <w:rsid w:val="006F789D"/>
    <w:rsid w:val="0070283F"/>
    <w:rsid w:val="007058BA"/>
    <w:rsid w:val="00705E62"/>
    <w:rsid w:val="0070627D"/>
    <w:rsid w:val="00710B54"/>
    <w:rsid w:val="007146D3"/>
    <w:rsid w:val="007220D3"/>
    <w:rsid w:val="00722B3B"/>
    <w:rsid w:val="007253DB"/>
    <w:rsid w:val="00725F9F"/>
    <w:rsid w:val="00727F5F"/>
    <w:rsid w:val="00731E5D"/>
    <w:rsid w:val="00734B1B"/>
    <w:rsid w:val="00735159"/>
    <w:rsid w:val="00741EAF"/>
    <w:rsid w:val="00744065"/>
    <w:rsid w:val="00745673"/>
    <w:rsid w:val="0075665D"/>
    <w:rsid w:val="0075674D"/>
    <w:rsid w:val="00763A38"/>
    <w:rsid w:val="00766370"/>
    <w:rsid w:val="00767B18"/>
    <w:rsid w:val="00767C1E"/>
    <w:rsid w:val="00770D6C"/>
    <w:rsid w:val="0077559A"/>
    <w:rsid w:val="00777973"/>
    <w:rsid w:val="00780E25"/>
    <w:rsid w:val="00783847"/>
    <w:rsid w:val="00790411"/>
    <w:rsid w:val="0079279F"/>
    <w:rsid w:val="00795241"/>
    <w:rsid w:val="0079541E"/>
    <w:rsid w:val="007A4EA3"/>
    <w:rsid w:val="007B4516"/>
    <w:rsid w:val="007B6C88"/>
    <w:rsid w:val="007C16E0"/>
    <w:rsid w:val="007C4037"/>
    <w:rsid w:val="007C4E38"/>
    <w:rsid w:val="007D290B"/>
    <w:rsid w:val="007D2A8E"/>
    <w:rsid w:val="007D5C07"/>
    <w:rsid w:val="007D686F"/>
    <w:rsid w:val="007D6DCD"/>
    <w:rsid w:val="007E1B3A"/>
    <w:rsid w:val="007E37B6"/>
    <w:rsid w:val="007E6AE3"/>
    <w:rsid w:val="007E77E0"/>
    <w:rsid w:val="007F0216"/>
    <w:rsid w:val="007F1054"/>
    <w:rsid w:val="007F1CE4"/>
    <w:rsid w:val="007F2E5D"/>
    <w:rsid w:val="007F3313"/>
    <w:rsid w:val="007F3B9F"/>
    <w:rsid w:val="007F3E5D"/>
    <w:rsid w:val="007F56EE"/>
    <w:rsid w:val="007F6235"/>
    <w:rsid w:val="007F78AF"/>
    <w:rsid w:val="008004CE"/>
    <w:rsid w:val="00803466"/>
    <w:rsid w:val="008049B7"/>
    <w:rsid w:val="00804B59"/>
    <w:rsid w:val="0080528A"/>
    <w:rsid w:val="008063DF"/>
    <w:rsid w:val="00810358"/>
    <w:rsid w:val="00812EF8"/>
    <w:rsid w:val="008167AC"/>
    <w:rsid w:val="008267B4"/>
    <w:rsid w:val="00827F5A"/>
    <w:rsid w:val="008306D2"/>
    <w:rsid w:val="008364A2"/>
    <w:rsid w:val="00844C5D"/>
    <w:rsid w:val="008455B5"/>
    <w:rsid w:val="008501A7"/>
    <w:rsid w:val="008528DE"/>
    <w:rsid w:val="008574E8"/>
    <w:rsid w:val="0086375E"/>
    <w:rsid w:val="00865A52"/>
    <w:rsid w:val="0087633F"/>
    <w:rsid w:val="008773AB"/>
    <w:rsid w:val="008800B9"/>
    <w:rsid w:val="0088018B"/>
    <w:rsid w:val="00880AA4"/>
    <w:rsid w:val="0088379A"/>
    <w:rsid w:val="00886E36"/>
    <w:rsid w:val="008913E2"/>
    <w:rsid w:val="00893A99"/>
    <w:rsid w:val="00895D67"/>
    <w:rsid w:val="00895F7E"/>
    <w:rsid w:val="00897AD3"/>
    <w:rsid w:val="00897C13"/>
    <w:rsid w:val="00897E50"/>
    <w:rsid w:val="008A329E"/>
    <w:rsid w:val="008B0A0A"/>
    <w:rsid w:val="008B36A2"/>
    <w:rsid w:val="008B552F"/>
    <w:rsid w:val="008B6571"/>
    <w:rsid w:val="008B7CD6"/>
    <w:rsid w:val="008C5D0A"/>
    <w:rsid w:val="008D44A2"/>
    <w:rsid w:val="008D7420"/>
    <w:rsid w:val="008E06B7"/>
    <w:rsid w:val="008E0B4F"/>
    <w:rsid w:val="008E1077"/>
    <w:rsid w:val="008E281C"/>
    <w:rsid w:val="008F098E"/>
    <w:rsid w:val="008F0FAE"/>
    <w:rsid w:val="008F35E1"/>
    <w:rsid w:val="008F4D42"/>
    <w:rsid w:val="008F701F"/>
    <w:rsid w:val="008F7991"/>
    <w:rsid w:val="009037BD"/>
    <w:rsid w:val="00904720"/>
    <w:rsid w:val="00904A0E"/>
    <w:rsid w:val="00906457"/>
    <w:rsid w:val="00907A31"/>
    <w:rsid w:val="00915F54"/>
    <w:rsid w:val="009220DC"/>
    <w:rsid w:val="009256BE"/>
    <w:rsid w:val="009262CB"/>
    <w:rsid w:val="00926BFB"/>
    <w:rsid w:val="009330D9"/>
    <w:rsid w:val="00934CFC"/>
    <w:rsid w:val="009411F4"/>
    <w:rsid w:val="00942AFD"/>
    <w:rsid w:val="009440AC"/>
    <w:rsid w:val="009441C6"/>
    <w:rsid w:val="00947205"/>
    <w:rsid w:val="00950FE1"/>
    <w:rsid w:val="00950FFF"/>
    <w:rsid w:val="00954618"/>
    <w:rsid w:val="009638C8"/>
    <w:rsid w:val="00966EF9"/>
    <w:rsid w:val="00967A57"/>
    <w:rsid w:val="009716D1"/>
    <w:rsid w:val="00972A59"/>
    <w:rsid w:val="00976BEA"/>
    <w:rsid w:val="00980783"/>
    <w:rsid w:val="00981023"/>
    <w:rsid w:val="00982136"/>
    <w:rsid w:val="009906DE"/>
    <w:rsid w:val="009A186A"/>
    <w:rsid w:val="009A2BB8"/>
    <w:rsid w:val="009A5E6F"/>
    <w:rsid w:val="009A60AC"/>
    <w:rsid w:val="009A69F6"/>
    <w:rsid w:val="009A72BF"/>
    <w:rsid w:val="009B08B0"/>
    <w:rsid w:val="009B5BDD"/>
    <w:rsid w:val="009B5D72"/>
    <w:rsid w:val="009B6507"/>
    <w:rsid w:val="009B6A58"/>
    <w:rsid w:val="009B7535"/>
    <w:rsid w:val="009C0237"/>
    <w:rsid w:val="009C32E4"/>
    <w:rsid w:val="009C4F2F"/>
    <w:rsid w:val="009C6815"/>
    <w:rsid w:val="009C70C4"/>
    <w:rsid w:val="009D0EB8"/>
    <w:rsid w:val="009D53F9"/>
    <w:rsid w:val="009D79FB"/>
    <w:rsid w:val="009E09EE"/>
    <w:rsid w:val="009E1D41"/>
    <w:rsid w:val="009E4454"/>
    <w:rsid w:val="009E477A"/>
    <w:rsid w:val="009F3692"/>
    <w:rsid w:val="009F3B91"/>
    <w:rsid w:val="009F60EA"/>
    <w:rsid w:val="009F6CE8"/>
    <w:rsid w:val="00A01D74"/>
    <w:rsid w:val="00A047C4"/>
    <w:rsid w:val="00A10D1E"/>
    <w:rsid w:val="00A13373"/>
    <w:rsid w:val="00A13D2C"/>
    <w:rsid w:val="00A1694C"/>
    <w:rsid w:val="00A17339"/>
    <w:rsid w:val="00A25DCB"/>
    <w:rsid w:val="00A3081F"/>
    <w:rsid w:val="00A3249D"/>
    <w:rsid w:val="00A32B2E"/>
    <w:rsid w:val="00A33150"/>
    <w:rsid w:val="00A3392B"/>
    <w:rsid w:val="00A3781C"/>
    <w:rsid w:val="00A37CFC"/>
    <w:rsid w:val="00A41BC1"/>
    <w:rsid w:val="00A57013"/>
    <w:rsid w:val="00A748A6"/>
    <w:rsid w:val="00A755E3"/>
    <w:rsid w:val="00A77589"/>
    <w:rsid w:val="00A77A07"/>
    <w:rsid w:val="00A80586"/>
    <w:rsid w:val="00A81E26"/>
    <w:rsid w:val="00A83E85"/>
    <w:rsid w:val="00A85F37"/>
    <w:rsid w:val="00A87344"/>
    <w:rsid w:val="00A902AB"/>
    <w:rsid w:val="00A90CF1"/>
    <w:rsid w:val="00A964A3"/>
    <w:rsid w:val="00A9788F"/>
    <w:rsid w:val="00AA32EA"/>
    <w:rsid w:val="00AA3BF8"/>
    <w:rsid w:val="00AA3EFC"/>
    <w:rsid w:val="00AA4168"/>
    <w:rsid w:val="00AA5D26"/>
    <w:rsid w:val="00AB319A"/>
    <w:rsid w:val="00AB46DF"/>
    <w:rsid w:val="00AB4D15"/>
    <w:rsid w:val="00AB6766"/>
    <w:rsid w:val="00AB6F11"/>
    <w:rsid w:val="00AB790C"/>
    <w:rsid w:val="00AC62AA"/>
    <w:rsid w:val="00AD1F9C"/>
    <w:rsid w:val="00AD2163"/>
    <w:rsid w:val="00AD416B"/>
    <w:rsid w:val="00AD4EAC"/>
    <w:rsid w:val="00AD5EC3"/>
    <w:rsid w:val="00AD6463"/>
    <w:rsid w:val="00AE1419"/>
    <w:rsid w:val="00AE4342"/>
    <w:rsid w:val="00AE6180"/>
    <w:rsid w:val="00AF0ED7"/>
    <w:rsid w:val="00AF2510"/>
    <w:rsid w:val="00B042DB"/>
    <w:rsid w:val="00B044AF"/>
    <w:rsid w:val="00B05072"/>
    <w:rsid w:val="00B06CCC"/>
    <w:rsid w:val="00B07A41"/>
    <w:rsid w:val="00B10CF8"/>
    <w:rsid w:val="00B12027"/>
    <w:rsid w:val="00B13C30"/>
    <w:rsid w:val="00B13C81"/>
    <w:rsid w:val="00B16EF6"/>
    <w:rsid w:val="00B170DA"/>
    <w:rsid w:val="00B27971"/>
    <w:rsid w:val="00B34B85"/>
    <w:rsid w:val="00B36C4F"/>
    <w:rsid w:val="00B4326F"/>
    <w:rsid w:val="00B466AE"/>
    <w:rsid w:val="00B53A2B"/>
    <w:rsid w:val="00B607B8"/>
    <w:rsid w:val="00B64904"/>
    <w:rsid w:val="00B662D2"/>
    <w:rsid w:val="00B6704F"/>
    <w:rsid w:val="00B743E8"/>
    <w:rsid w:val="00B77FF5"/>
    <w:rsid w:val="00B80FB5"/>
    <w:rsid w:val="00B82079"/>
    <w:rsid w:val="00B82F6B"/>
    <w:rsid w:val="00B84925"/>
    <w:rsid w:val="00B85569"/>
    <w:rsid w:val="00B945AC"/>
    <w:rsid w:val="00B9519B"/>
    <w:rsid w:val="00B95AE5"/>
    <w:rsid w:val="00B96E9B"/>
    <w:rsid w:val="00BA007B"/>
    <w:rsid w:val="00BA07F1"/>
    <w:rsid w:val="00BA15DC"/>
    <w:rsid w:val="00BA2D18"/>
    <w:rsid w:val="00BA3600"/>
    <w:rsid w:val="00BA36B3"/>
    <w:rsid w:val="00BA401F"/>
    <w:rsid w:val="00BA40FE"/>
    <w:rsid w:val="00BA7272"/>
    <w:rsid w:val="00BB1B7F"/>
    <w:rsid w:val="00BB1ECA"/>
    <w:rsid w:val="00BB4080"/>
    <w:rsid w:val="00BB551B"/>
    <w:rsid w:val="00BB6DE4"/>
    <w:rsid w:val="00BC3041"/>
    <w:rsid w:val="00BC4B70"/>
    <w:rsid w:val="00BC68C8"/>
    <w:rsid w:val="00BC6F57"/>
    <w:rsid w:val="00BD0042"/>
    <w:rsid w:val="00BD0C53"/>
    <w:rsid w:val="00BD48C5"/>
    <w:rsid w:val="00BD6433"/>
    <w:rsid w:val="00BE29FA"/>
    <w:rsid w:val="00BF0F93"/>
    <w:rsid w:val="00BF25B7"/>
    <w:rsid w:val="00BF2F34"/>
    <w:rsid w:val="00BF44D3"/>
    <w:rsid w:val="00BF713A"/>
    <w:rsid w:val="00C00166"/>
    <w:rsid w:val="00C01849"/>
    <w:rsid w:val="00C035AE"/>
    <w:rsid w:val="00C0459F"/>
    <w:rsid w:val="00C049BD"/>
    <w:rsid w:val="00C063C9"/>
    <w:rsid w:val="00C06660"/>
    <w:rsid w:val="00C07363"/>
    <w:rsid w:val="00C11880"/>
    <w:rsid w:val="00C1546F"/>
    <w:rsid w:val="00C175EF"/>
    <w:rsid w:val="00C208F3"/>
    <w:rsid w:val="00C214D3"/>
    <w:rsid w:val="00C25BCD"/>
    <w:rsid w:val="00C30456"/>
    <w:rsid w:val="00C3082A"/>
    <w:rsid w:val="00C33CC1"/>
    <w:rsid w:val="00C365CE"/>
    <w:rsid w:val="00C36DC9"/>
    <w:rsid w:val="00C42092"/>
    <w:rsid w:val="00C42C99"/>
    <w:rsid w:val="00C45ADC"/>
    <w:rsid w:val="00C47FFD"/>
    <w:rsid w:val="00C50B71"/>
    <w:rsid w:val="00C50F02"/>
    <w:rsid w:val="00C53CD2"/>
    <w:rsid w:val="00C54DE7"/>
    <w:rsid w:val="00C551BA"/>
    <w:rsid w:val="00C552EB"/>
    <w:rsid w:val="00C625F9"/>
    <w:rsid w:val="00C64667"/>
    <w:rsid w:val="00C6600E"/>
    <w:rsid w:val="00C67EB5"/>
    <w:rsid w:val="00C704C8"/>
    <w:rsid w:val="00C741E8"/>
    <w:rsid w:val="00C7704E"/>
    <w:rsid w:val="00C81A71"/>
    <w:rsid w:val="00C83849"/>
    <w:rsid w:val="00C84063"/>
    <w:rsid w:val="00C86582"/>
    <w:rsid w:val="00C874F6"/>
    <w:rsid w:val="00C925A5"/>
    <w:rsid w:val="00C92C2F"/>
    <w:rsid w:val="00C97937"/>
    <w:rsid w:val="00CA6508"/>
    <w:rsid w:val="00CB1DD0"/>
    <w:rsid w:val="00CB2253"/>
    <w:rsid w:val="00CB36D2"/>
    <w:rsid w:val="00CB429A"/>
    <w:rsid w:val="00CB6782"/>
    <w:rsid w:val="00CB7666"/>
    <w:rsid w:val="00CB7E25"/>
    <w:rsid w:val="00CC171C"/>
    <w:rsid w:val="00CC1AD6"/>
    <w:rsid w:val="00CC61D8"/>
    <w:rsid w:val="00CD018D"/>
    <w:rsid w:val="00CD01BE"/>
    <w:rsid w:val="00CD01DC"/>
    <w:rsid w:val="00CD091E"/>
    <w:rsid w:val="00CD2404"/>
    <w:rsid w:val="00CD35D2"/>
    <w:rsid w:val="00CD4469"/>
    <w:rsid w:val="00CD6021"/>
    <w:rsid w:val="00CF1FED"/>
    <w:rsid w:val="00CF3AAF"/>
    <w:rsid w:val="00CF51A0"/>
    <w:rsid w:val="00CF6301"/>
    <w:rsid w:val="00CF6D00"/>
    <w:rsid w:val="00D028B1"/>
    <w:rsid w:val="00D1076F"/>
    <w:rsid w:val="00D12481"/>
    <w:rsid w:val="00D16CC3"/>
    <w:rsid w:val="00D2101C"/>
    <w:rsid w:val="00D22505"/>
    <w:rsid w:val="00D2331F"/>
    <w:rsid w:val="00D26949"/>
    <w:rsid w:val="00D3104E"/>
    <w:rsid w:val="00D3313E"/>
    <w:rsid w:val="00D37BBF"/>
    <w:rsid w:val="00D4612A"/>
    <w:rsid w:val="00D46764"/>
    <w:rsid w:val="00D53C84"/>
    <w:rsid w:val="00D54DC1"/>
    <w:rsid w:val="00D61B9F"/>
    <w:rsid w:val="00D637C8"/>
    <w:rsid w:val="00D63A56"/>
    <w:rsid w:val="00D65828"/>
    <w:rsid w:val="00D70208"/>
    <w:rsid w:val="00D70245"/>
    <w:rsid w:val="00D711F9"/>
    <w:rsid w:val="00D71A26"/>
    <w:rsid w:val="00D72785"/>
    <w:rsid w:val="00D754E4"/>
    <w:rsid w:val="00D75993"/>
    <w:rsid w:val="00D77499"/>
    <w:rsid w:val="00D7771E"/>
    <w:rsid w:val="00D80C12"/>
    <w:rsid w:val="00D83B6E"/>
    <w:rsid w:val="00D83F18"/>
    <w:rsid w:val="00D857B1"/>
    <w:rsid w:val="00D8593A"/>
    <w:rsid w:val="00D85956"/>
    <w:rsid w:val="00D8783A"/>
    <w:rsid w:val="00D923E4"/>
    <w:rsid w:val="00D959B1"/>
    <w:rsid w:val="00D97D6B"/>
    <w:rsid w:val="00DA35BF"/>
    <w:rsid w:val="00DA7525"/>
    <w:rsid w:val="00DB0279"/>
    <w:rsid w:val="00DB0B21"/>
    <w:rsid w:val="00DB6E97"/>
    <w:rsid w:val="00DC4A4F"/>
    <w:rsid w:val="00DC7294"/>
    <w:rsid w:val="00DC79DC"/>
    <w:rsid w:val="00DD0084"/>
    <w:rsid w:val="00DD0CA7"/>
    <w:rsid w:val="00DD1B67"/>
    <w:rsid w:val="00DD2E32"/>
    <w:rsid w:val="00DD4FA5"/>
    <w:rsid w:val="00DD5504"/>
    <w:rsid w:val="00DD7545"/>
    <w:rsid w:val="00DE355B"/>
    <w:rsid w:val="00DE6CAC"/>
    <w:rsid w:val="00DF0262"/>
    <w:rsid w:val="00DF5F45"/>
    <w:rsid w:val="00DF6D96"/>
    <w:rsid w:val="00DF7BFC"/>
    <w:rsid w:val="00E03BD1"/>
    <w:rsid w:val="00E11944"/>
    <w:rsid w:val="00E1332B"/>
    <w:rsid w:val="00E16E29"/>
    <w:rsid w:val="00E217E4"/>
    <w:rsid w:val="00E22243"/>
    <w:rsid w:val="00E23BB8"/>
    <w:rsid w:val="00E24A08"/>
    <w:rsid w:val="00E308CA"/>
    <w:rsid w:val="00E30F60"/>
    <w:rsid w:val="00E33AAD"/>
    <w:rsid w:val="00E40EBF"/>
    <w:rsid w:val="00E43909"/>
    <w:rsid w:val="00E4458B"/>
    <w:rsid w:val="00E46F3C"/>
    <w:rsid w:val="00E53C22"/>
    <w:rsid w:val="00E553A2"/>
    <w:rsid w:val="00E57280"/>
    <w:rsid w:val="00E57BB2"/>
    <w:rsid w:val="00E60B0C"/>
    <w:rsid w:val="00E63356"/>
    <w:rsid w:val="00E718D2"/>
    <w:rsid w:val="00E71935"/>
    <w:rsid w:val="00E72801"/>
    <w:rsid w:val="00E77896"/>
    <w:rsid w:val="00E80694"/>
    <w:rsid w:val="00E81E9A"/>
    <w:rsid w:val="00E832B0"/>
    <w:rsid w:val="00E87143"/>
    <w:rsid w:val="00EA0532"/>
    <w:rsid w:val="00EA268E"/>
    <w:rsid w:val="00EA2D30"/>
    <w:rsid w:val="00EA3785"/>
    <w:rsid w:val="00EB05B9"/>
    <w:rsid w:val="00EB27E0"/>
    <w:rsid w:val="00EB29FD"/>
    <w:rsid w:val="00EB3AAE"/>
    <w:rsid w:val="00EB55CC"/>
    <w:rsid w:val="00EC162F"/>
    <w:rsid w:val="00EC1D97"/>
    <w:rsid w:val="00EC6974"/>
    <w:rsid w:val="00EE0032"/>
    <w:rsid w:val="00EE13D9"/>
    <w:rsid w:val="00EE14F2"/>
    <w:rsid w:val="00EE1C26"/>
    <w:rsid w:val="00EE3060"/>
    <w:rsid w:val="00EE5BE0"/>
    <w:rsid w:val="00EE712F"/>
    <w:rsid w:val="00EF144F"/>
    <w:rsid w:val="00EF1C53"/>
    <w:rsid w:val="00EF273B"/>
    <w:rsid w:val="00EF2C26"/>
    <w:rsid w:val="00EF37C8"/>
    <w:rsid w:val="00EF610B"/>
    <w:rsid w:val="00EF69D4"/>
    <w:rsid w:val="00F01FFD"/>
    <w:rsid w:val="00F055BA"/>
    <w:rsid w:val="00F065CD"/>
    <w:rsid w:val="00F1233E"/>
    <w:rsid w:val="00F12623"/>
    <w:rsid w:val="00F32033"/>
    <w:rsid w:val="00F33118"/>
    <w:rsid w:val="00F3344A"/>
    <w:rsid w:val="00F359FB"/>
    <w:rsid w:val="00F36A64"/>
    <w:rsid w:val="00F36A85"/>
    <w:rsid w:val="00F3737C"/>
    <w:rsid w:val="00F377C7"/>
    <w:rsid w:val="00F4095E"/>
    <w:rsid w:val="00F424B0"/>
    <w:rsid w:val="00F43344"/>
    <w:rsid w:val="00F46142"/>
    <w:rsid w:val="00F512CF"/>
    <w:rsid w:val="00F568A1"/>
    <w:rsid w:val="00F6350E"/>
    <w:rsid w:val="00F64947"/>
    <w:rsid w:val="00F64AC7"/>
    <w:rsid w:val="00F65634"/>
    <w:rsid w:val="00F72C0D"/>
    <w:rsid w:val="00F72C4A"/>
    <w:rsid w:val="00F75EFA"/>
    <w:rsid w:val="00F77162"/>
    <w:rsid w:val="00F80682"/>
    <w:rsid w:val="00F819E1"/>
    <w:rsid w:val="00F81BCF"/>
    <w:rsid w:val="00F82384"/>
    <w:rsid w:val="00F86FDB"/>
    <w:rsid w:val="00F8789D"/>
    <w:rsid w:val="00F87F14"/>
    <w:rsid w:val="00F906B8"/>
    <w:rsid w:val="00F925A0"/>
    <w:rsid w:val="00F93DEA"/>
    <w:rsid w:val="00FA4B01"/>
    <w:rsid w:val="00FB441C"/>
    <w:rsid w:val="00FB7326"/>
    <w:rsid w:val="00FB7DF3"/>
    <w:rsid w:val="00FC0E23"/>
    <w:rsid w:val="00FC2CCF"/>
    <w:rsid w:val="00FC573D"/>
    <w:rsid w:val="00FC5E31"/>
    <w:rsid w:val="00FE1233"/>
    <w:rsid w:val="00FE2B18"/>
    <w:rsid w:val="00FE7FB5"/>
    <w:rsid w:val="00FF3CD3"/>
    <w:rsid w:val="00FF3D62"/>
    <w:rsid w:val="00FF3F91"/>
    <w:rsid w:val="00FF6494"/>
    <w:rsid w:val="00FF6A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FA1BD"/>
  <w15:chartTrackingRefBased/>
  <w15:docId w15:val="{03369C79-D187-4776-90E1-468E2165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1BE"/>
    <w:pPr>
      <w:spacing w:after="0" w:line="259" w:lineRule="auto"/>
      <w:ind w:left="10" w:hanging="10"/>
    </w:pPr>
    <w:rPr>
      <w:rFonts w:ascii="Cambria" w:eastAsia="Cambria" w:hAnsi="Cambria" w:cs="Cambria"/>
      <w:color w:val="000000"/>
      <w:sz w:val="20"/>
    </w:rPr>
  </w:style>
  <w:style w:type="paragraph" w:styleId="Heading1">
    <w:name w:val="heading 1"/>
    <w:basedOn w:val="Normal"/>
    <w:next w:val="Normal"/>
    <w:link w:val="Heading1Char"/>
    <w:uiPriority w:val="9"/>
    <w:qFormat/>
    <w:rsid w:val="00246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6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464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4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4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4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4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4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4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4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64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464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4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4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4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4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4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4EF"/>
    <w:rPr>
      <w:rFonts w:eastAsiaTheme="majorEastAsia" w:cstheme="majorBidi"/>
      <w:color w:val="272727" w:themeColor="text1" w:themeTint="D8"/>
    </w:rPr>
  </w:style>
  <w:style w:type="paragraph" w:styleId="Title">
    <w:name w:val="Title"/>
    <w:basedOn w:val="Normal"/>
    <w:next w:val="Normal"/>
    <w:link w:val="TitleChar"/>
    <w:uiPriority w:val="10"/>
    <w:qFormat/>
    <w:rsid w:val="00246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4EF"/>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4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4EF"/>
    <w:pPr>
      <w:spacing w:before="160"/>
      <w:jc w:val="center"/>
    </w:pPr>
    <w:rPr>
      <w:i/>
      <w:iCs/>
      <w:color w:val="404040" w:themeColor="text1" w:themeTint="BF"/>
    </w:rPr>
  </w:style>
  <w:style w:type="character" w:customStyle="1" w:styleId="QuoteChar">
    <w:name w:val="Quote Char"/>
    <w:basedOn w:val="DefaultParagraphFont"/>
    <w:link w:val="Quote"/>
    <w:uiPriority w:val="29"/>
    <w:rsid w:val="002464EF"/>
    <w:rPr>
      <w:i/>
      <w:iCs/>
      <w:color w:val="404040" w:themeColor="text1" w:themeTint="BF"/>
    </w:rPr>
  </w:style>
  <w:style w:type="paragraph" w:styleId="ListParagraph">
    <w:name w:val="List Paragraph"/>
    <w:basedOn w:val="Normal"/>
    <w:uiPriority w:val="34"/>
    <w:qFormat/>
    <w:rsid w:val="002464EF"/>
    <w:pPr>
      <w:ind w:left="720"/>
      <w:contextualSpacing/>
    </w:pPr>
  </w:style>
  <w:style w:type="character" w:styleId="IntenseEmphasis">
    <w:name w:val="Intense Emphasis"/>
    <w:basedOn w:val="DefaultParagraphFont"/>
    <w:uiPriority w:val="21"/>
    <w:qFormat/>
    <w:rsid w:val="002464EF"/>
    <w:rPr>
      <w:i/>
      <w:iCs/>
      <w:color w:val="0F4761" w:themeColor="accent1" w:themeShade="BF"/>
    </w:rPr>
  </w:style>
  <w:style w:type="paragraph" w:styleId="IntenseQuote">
    <w:name w:val="Intense Quote"/>
    <w:basedOn w:val="Normal"/>
    <w:next w:val="Normal"/>
    <w:link w:val="IntenseQuoteChar"/>
    <w:uiPriority w:val="30"/>
    <w:qFormat/>
    <w:rsid w:val="00246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4EF"/>
    <w:rPr>
      <w:i/>
      <w:iCs/>
      <w:color w:val="0F4761" w:themeColor="accent1" w:themeShade="BF"/>
    </w:rPr>
  </w:style>
  <w:style w:type="character" w:styleId="IntenseReference">
    <w:name w:val="Intense Reference"/>
    <w:basedOn w:val="DefaultParagraphFont"/>
    <w:uiPriority w:val="32"/>
    <w:qFormat/>
    <w:rsid w:val="002464EF"/>
    <w:rPr>
      <w:b/>
      <w:bCs/>
      <w:smallCaps/>
      <w:color w:val="0F4761" w:themeColor="accent1" w:themeShade="BF"/>
      <w:spacing w:val="5"/>
    </w:rPr>
  </w:style>
  <w:style w:type="character" w:styleId="Hyperlink">
    <w:name w:val="Hyperlink"/>
    <w:basedOn w:val="DefaultParagraphFont"/>
    <w:uiPriority w:val="99"/>
    <w:unhideWhenUsed/>
    <w:rsid w:val="008F7991"/>
    <w:rPr>
      <w:color w:val="467886" w:themeColor="hyperlink"/>
      <w:u w:val="single"/>
    </w:rPr>
  </w:style>
  <w:style w:type="table" w:styleId="TableGrid">
    <w:name w:val="Table Grid"/>
    <w:basedOn w:val="TableNormal"/>
    <w:uiPriority w:val="39"/>
    <w:rsid w:val="008F7991"/>
    <w:pPr>
      <w:spacing w:after="0" w:line="240" w:lineRule="auto"/>
    </w:pPr>
    <w:rPr>
      <w:rFonts w:ascii="Franklin Gothic Book" w:eastAsia="Franklin Gothic Book" w:hAnsi="Franklin Gothic Book"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7991"/>
    <w:pPr>
      <w:autoSpaceDE w:val="0"/>
      <w:autoSpaceDN w:val="0"/>
      <w:adjustRightInd w:val="0"/>
      <w:spacing w:after="0" w:line="240" w:lineRule="auto"/>
    </w:pPr>
    <w:rPr>
      <w:rFonts w:ascii="Cambria" w:hAnsi="Cambria" w:cs="Cambria"/>
      <w:color w:val="000000"/>
      <w:kern w:val="0"/>
      <w14:ligatures w14:val="none"/>
    </w:rPr>
  </w:style>
  <w:style w:type="paragraph" w:styleId="NormalWeb">
    <w:name w:val="Normal (Web)"/>
    <w:basedOn w:val="Normal"/>
    <w:uiPriority w:val="99"/>
    <w:semiHidden/>
    <w:unhideWhenUsed/>
    <w:rsid w:val="006D3FF1"/>
    <w:rPr>
      <w:rFonts w:ascii="Times New Roman" w:hAnsi="Times New Roman" w:cs="Times New Roman"/>
      <w:sz w:val="24"/>
    </w:rPr>
  </w:style>
  <w:style w:type="paragraph" w:styleId="Revision">
    <w:name w:val="Revision"/>
    <w:hidden/>
    <w:uiPriority w:val="99"/>
    <w:semiHidden/>
    <w:rsid w:val="00A3392B"/>
    <w:pPr>
      <w:spacing w:after="0" w:line="240" w:lineRule="auto"/>
    </w:pPr>
    <w:rPr>
      <w:rFonts w:ascii="Cambria" w:eastAsia="Cambria" w:hAnsi="Cambria" w:cs="Cambria"/>
      <w:color w:val="000000"/>
      <w:sz w:val="20"/>
    </w:rPr>
  </w:style>
  <w:style w:type="character" w:styleId="CommentReference">
    <w:name w:val="annotation reference"/>
    <w:basedOn w:val="DefaultParagraphFont"/>
    <w:uiPriority w:val="99"/>
    <w:semiHidden/>
    <w:unhideWhenUsed/>
    <w:rsid w:val="00A3392B"/>
    <w:rPr>
      <w:sz w:val="16"/>
      <w:szCs w:val="16"/>
    </w:rPr>
  </w:style>
  <w:style w:type="paragraph" w:styleId="CommentText">
    <w:name w:val="annotation text"/>
    <w:basedOn w:val="Normal"/>
    <w:link w:val="CommentTextChar"/>
    <w:uiPriority w:val="99"/>
    <w:unhideWhenUsed/>
    <w:rsid w:val="00A3392B"/>
    <w:pPr>
      <w:spacing w:line="240" w:lineRule="auto"/>
    </w:pPr>
    <w:rPr>
      <w:szCs w:val="20"/>
    </w:rPr>
  </w:style>
  <w:style w:type="character" w:customStyle="1" w:styleId="CommentTextChar">
    <w:name w:val="Comment Text Char"/>
    <w:basedOn w:val="DefaultParagraphFont"/>
    <w:link w:val="CommentText"/>
    <w:uiPriority w:val="99"/>
    <w:rsid w:val="00A3392B"/>
    <w:rPr>
      <w:rFonts w:ascii="Cambria" w:eastAsia="Cambria" w:hAnsi="Cambria" w:cs="Cambria"/>
      <w:color w:val="000000"/>
      <w:sz w:val="20"/>
      <w:szCs w:val="20"/>
    </w:rPr>
  </w:style>
  <w:style w:type="paragraph" w:styleId="CommentSubject">
    <w:name w:val="annotation subject"/>
    <w:basedOn w:val="CommentText"/>
    <w:next w:val="CommentText"/>
    <w:link w:val="CommentSubjectChar"/>
    <w:uiPriority w:val="99"/>
    <w:semiHidden/>
    <w:unhideWhenUsed/>
    <w:rsid w:val="00A3392B"/>
    <w:rPr>
      <w:b/>
      <w:bCs/>
    </w:rPr>
  </w:style>
  <w:style w:type="character" w:customStyle="1" w:styleId="CommentSubjectChar">
    <w:name w:val="Comment Subject Char"/>
    <w:basedOn w:val="CommentTextChar"/>
    <w:link w:val="CommentSubject"/>
    <w:uiPriority w:val="99"/>
    <w:semiHidden/>
    <w:rsid w:val="00A3392B"/>
    <w:rPr>
      <w:rFonts w:ascii="Cambria" w:eastAsia="Cambria" w:hAnsi="Cambria" w:cs="Cambria"/>
      <w:b/>
      <w:bCs/>
      <w:color w:val="000000"/>
      <w:sz w:val="20"/>
      <w:szCs w:val="20"/>
    </w:rPr>
  </w:style>
  <w:style w:type="paragraph" w:styleId="Header">
    <w:name w:val="header"/>
    <w:basedOn w:val="Normal"/>
    <w:link w:val="HeaderChar"/>
    <w:uiPriority w:val="99"/>
    <w:unhideWhenUsed/>
    <w:rsid w:val="00BF2F34"/>
    <w:pPr>
      <w:tabs>
        <w:tab w:val="center" w:pos="4680"/>
        <w:tab w:val="right" w:pos="9360"/>
      </w:tabs>
      <w:spacing w:line="240" w:lineRule="auto"/>
    </w:pPr>
  </w:style>
  <w:style w:type="character" w:customStyle="1" w:styleId="HeaderChar">
    <w:name w:val="Header Char"/>
    <w:basedOn w:val="DefaultParagraphFont"/>
    <w:link w:val="Header"/>
    <w:uiPriority w:val="99"/>
    <w:rsid w:val="00BF2F34"/>
    <w:rPr>
      <w:rFonts w:ascii="Cambria" w:eastAsia="Cambria" w:hAnsi="Cambria" w:cs="Cambria"/>
      <w:color w:val="000000"/>
      <w:sz w:val="20"/>
    </w:rPr>
  </w:style>
  <w:style w:type="paragraph" w:styleId="Footer">
    <w:name w:val="footer"/>
    <w:basedOn w:val="Normal"/>
    <w:link w:val="FooterChar"/>
    <w:uiPriority w:val="99"/>
    <w:unhideWhenUsed/>
    <w:rsid w:val="00BF2F34"/>
    <w:pPr>
      <w:tabs>
        <w:tab w:val="center" w:pos="4680"/>
        <w:tab w:val="right" w:pos="9360"/>
      </w:tabs>
      <w:spacing w:line="240" w:lineRule="auto"/>
    </w:pPr>
  </w:style>
  <w:style w:type="character" w:customStyle="1" w:styleId="FooterChar">
    <w:name w:val="Footer Char"/>
    <w:basedOn w:val="DefaultParagraphFont"/>
    <w:link w:val="Footer"/>
    <w:uiPriority w:val="99"/>
    <w:rsid w:val="00BF2F34"/>
    <w:rPr>
      <w:rFonts w:ascii="Cambria" w:eastAsia="Cambria" w:hAnsi="Cambria" w:cs="Cambria"/>
      <w:color w:val="000000"/>
      <w:sz w:val="20"/>
    </w:rPr>
  </w:style>
  <w:style w:type="character" w:customStyle="1" w:styleId="FootnoteTextChar">
    <w:name w:val="Footnote Text Char"/>
    <w:basedOn w:val="DefaultParagraphFont"/>
    <w:link w:val="FootnoteText"/>
    <w:uiPriority w:val="99"/>
    <w:semiHidden/>
    <w:rsid w:val="00B34B85"/>
    <w:rPr>
      <w:sz w:val="20"/>
      <w:szCs w:val="20"/>
      <w:lang w:val="en-GB"/>
    </w:rPr>
  </w:style>
  <w:style w:type="character" w:customStyle="1" w:styleId="FootnoteCharacters">
    <w:name w:val="Footnote Characters"/>
    <w:basedOn w:val="DefaultParagraphFont"/>
    <w:uiPriority w:val="99"/>
    <w:semiHidden/>
    <w:unhideWhenUsed/>
    <w:rsid w:val="00B34B85"/>
    <w:rPr>
      <w:vertAlign w:val="superscript"/>
    </w:rPr>
  </w:style>
  <w:style w:type="paragraph" w:styleId="FootnoteText">
    <w:name w:val="footnote text"/>
    <w:basedOn w:val="Normal"/>
    <w:link w:val="FootnoteTextChar"/>
    <w:uiPriority w:val="99"/>
    <w:semiHidden/>
    <w:unhideWhenUsed/>
    <w:rsid w:val="00B34B85"/>
    <w:pPr>
      <w:suppressAutoHyphens/>
      <w:spacing w:line="240" w:lineRule="auto"/>
      <w:ind w:left="0" w:firstLine="0"/>
    </w:pPr>
    <w:rPr>
      <w:rFonts w:asciiTheme="minorHAnsi" w:eastAsiaTheme="minorHAnsi" w:hAnsiTheme="minorHAnsi" w:cstheme="minorBidi"/>
      <w:color w:val="auto"/>
      <w:szCs w:val="20"/>
      <w:lang w:val="en-GB"/>
    </w:rPr>
  </w:style>
  <w:style w:type="character" w:customStyle="1" w:styleId="FootnoteTextChar1">
    <w:name w:val="Footnote Text Char1"/>
    <w:basedOn w:val="DefaultParagraphFont"/>
    <w:uiPriority w:val="99"/>
    <w:semiHidden/>
    <w:rsid w:val="00B34B85"/>
    <w:rPr>
      <w:rFonts w:ascii="Cambria" w:eastAsia="Cambria" w:hAnsi="Cambria" w:cs="Cambria"/>
      <w:color w:val="000000"/>
      <w:sz w:val="20"/>
      <w:szCs w:val="20"/>
    </w:rPr>
  </w:style>
  <w:style w:type="table" w:customStyle="1" w:styleId="TableGrid1">
    <w:name w:val="Table Grid1"/>
    <w:basedOn w:val="TableNormal"/>
    <w:next w:val="TableGrid"/>
    <w:uiPriority w:val="39"/>
    <w:rsid w:val="00B042DB"/>
    <w:pPr>
      <w:spacing w:after="0" w:line="240" w:lineRule="auto"/>
    </w:pPr>
    <w:rPr>
      <w:kern w:val="0"/>
      <w:sz w:val="22"/>
      <w:szCs w:val="22"/>
      <w:lang w:val="pt-B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9241">
      <w:bodyDiv w:val="1"/>
      <w:marLeft w:val="0"/>
      <w:marRight w:val="0"/>
      <w:marTop w:val="0"/>
      <w:marBottom w:val="0"/>
      <w:divBdr>
        <w:top w:val="none" w:sz="0" w:space="0" w:color="auto"/>
        <w:left w:val="none" w:sz="0" w:space="0" w:color="auto"/>
        <w:bottom w:val="none" w:sz="0" w:space="0" w:color="auto"/>
        <w:right w:val="none" w:sz="0" w:space="0" w:color="auto"/>
      </w:divBdr>
    </w:div>
    <w:div w:id="163937979">
      <w:bodyDiv w:val="1"/>
      <w:marLeft w:val="0"/>
      <w:marRight w:val="0"/>
      <w:marTop w:val="0"/>
      <w:marBottom w:val="0"/>
      <w:divBdr>
        <w:top w:val="none" w:sz="0" w:space="0" w:color="auto"/>
        <w:left w:val="none" w:sz="0" w:space="0" w:color="auto"/>
        <w:bottom w:val="none" w:sz="0" w:space="0" w:color="auto"/>
        <w:right w:val="none" w:sz="0" w:space="0" w:color="auto"/>
      </w:divBdr>
    </w:div>
    <w:div w:id="248931923">
      <w:bodyDiv w:val="1"/>
      <w:marLeft w:val="0"/>
      <w:marRight w:val="0"/>
      <w:marTop w:val="0"/>
      <w:marBottom w:val="0"/>
      <w:divBdr>
        <w:top w:val="none" w:sz="0" w:space="0" w:color="auto"/>
        <w:left w:val="none" w:sz="0" w:space="0" w:color="auto"/>
        <w:bottom w:val="none" w:sz="0" w:space="0" w:color="auto"/>
        <w:right w:val="none" w:sz="0" w:space="0" w:color="auto"/>
      </w:divBdr>
    </w:div>
    <w:div w:id="397628190">
      <w:bodyDiv w:val="1"/>
      <w:marLeft w:val="0"/>
      <w:marRight w:val="0"/>
      <w:marTop w:val="0"/>
      <w:marBottom w:val="0"/>
      <w:divBdr>
        <w:top w:val="none" w:sz="0" w:space="0" w:color="auto"/>
        <w:left w:val="none" w:sz="0" w:space="0" w:color="auto"/>
        <w:bottom w:val="none" w:sz="0" w:space="0" w:color="auto"/>
        <w:right w:val="none" w:sz="0" w:space="0" w:color="auto"/>
      </w:divBdr>
    </w:div>
    <w:div w:id="419907028">
      <w:bodyDiv w:val="1"/>
      <w:marLeft w:val="0"/>
      <w:marRight w:val="0"/>
      <w:marTop w:val="0"/>
      <w:marBottom w:val="0"/>
      <w:divBdr>
        <w:top w:val="none" w:sz="0" w:space="0" w:color="auto"/>
        <w:left w:val="none" w:sz="0" w:space="0" w:color="auto"/>
        <w:bottom w:val="none" w:sz="0" w:space="0" w:color="auto"/>
        <w:right w:val="none" w:sz="0" w:space="0" w:color="auto"/>
      </w:divBdr>
    </w:div>
    <w:div w:id="455637263">
      <w:bodyDiv w:val="1"/>
      <w:marLeft w:val="0"/>
      <w:marRight w:val="0"/>
      <w:marTop w:val="0"/>
      <w:marBottom w:val="0"/>
      <w:divBdr>
        <w:top w:val="none" w:sz="0" w:space="0" w:color="auto"/>
        <w:left w:val="none" w:sz="0" w:space="0" w:color="auto"/>
        <w:bottom w:val="none" w:sz="0" w:space="0" w:color="auto"/>
        <w:right w:val="none" w:sz="0" w:space="0" w:color="auto"/>
      </w:divBdr>
    </w:div>
    <w:div w:id="572739589">
      <w:bodyDiv w:val="1"/>
      <w:marLeft w:val="0"/>
      <w:marRight w:val="0"/>
      <w:marTop w:val="0"/>
      <w:marBottom w:val="0"/>
      <w:divBdr>
        <w:top w:val="none" w:sz="0" w:space="0" w:color="auto"/>
        <w:left w:val="none" w:sz="0" w:space="0" w:color="auto"/>
        <w:bottom w:val="none" w:sz="0" w:space="0" w:color="auto"/>
        <w:right w:val="none" w:sz="0" w:space="0" w:color="auto"/>
      </w:divBdr>
    </w:div>
    <w:div w:id="648171364">
      <w:bodyDiv w:val="1"/>
      <w:marLeft w:val="0"/>
      <w:marRight w:val="0"/>
      <w:marTop w:val="0"/>
      <w:marBottom w:val="0"/>
      <w:divBdr>
        <w:top w:val="none" w:sz="0" w:space="0" w:color="auto"/>
        <w:left w:val="none" w:sz="0" w:space="0" w:color="auto"/>
        <w:bottom w:val="none" w:sz="0" w:space="0" w:color="auto"/>
        <w:right w:val="none" w:sz="0" w:space="0" w:color="auto"/>
      </w:divBdr>
    </w:div>
    <w:div w:id="660431149">
      <w:bodyDiv w:val="1"/>
      <w:marLeft w:val="0"/>
      <w:marRight w:val="0"/>
      <w:marTop w:val="0"/>
      <w:marBottom w:val="0"/>
      <w:divBdr>
        <w:top w:val="none" w:sz="0" w:space="0" w:color="auto"/>
        <w:left w:val="none" w:sz="0" w:space="0" w:color="auto"/>
        <w:bottom w:val="none" w:sz="0" w:space="0" w:color="auto"/>
        <w:right w:val="none" w:sz="0" w:space="0" w:color="auto"/>
      </w:divBdr>
    </w:div>
    <w:div w:id="746995242">
      <w:bodyDiv w:val="1"/>
      <w:marLeft w:val="0"/>
      <w:marRight w:val="0"/>
      <w:marTop w:val="0"/>
      <w:marBottom w:val="0"/>
      <w:divBdr>
        <w:top w:val="none" w:sz="0" w:space="0" w:color="auto"/>
        <w:left w:val="none" w:sz="0" w:space="0" w:color="auto"/>
        <w:bottom w:val="none" w:sz="0" w:space="0" w:color="auto"/>
        <w:right w:val="none" w:sz="0" w:space="0" w:color="auto"/>
      </w:divBdr>
    </w:div>
    <w:div w:id="1150631067">
      <w:bodyDiv w:val="1"/>
      <w:marLeft w:val="0"/>
      <w:marRight w:val="0"/>
      <w:marTop w:val="0"/>
      <w:marBottom w:val="0"/>
      <w:divBdr>
        <w:top w:val="none" w:sz="0" w:space="0" w:color="auto"/>
        <w:left w:val="none" w:sz="0" w:space="0" w:color="auto"/>
        <w:bottom w:val="none" w:sz="0" w:space="0" w:color="auto"/>
        <w:right w:val="none" w:sz="0" w:space="0" w:color="auto"/>
      </w:divBdr>
    </w:div>
    <w:div w:id="1173253782">
      <w:bodyDiv w:val="1"/>
      <w:marLeft w:val="0"/>
      <w:marRight w:val="0"/>
      <w:marTop w:val="0"/>
      <w:marBottom w:val="0"/>
      <w:divBdr>
        <w:top w:val="none" w:sz="0" w:space="0" w:color="auto"/>
        <w:left w:val="none" w:sz="0" w:space="0" w:color="auto"/>
        <w:bottom w:val="none" w:sz="0" w:space="0" w:color="auto"/>
        <w:right w:val="none" w:sz="0" w:space="0" w:color="auto"/>
      </w:divBdr>
    </w:div>
    <w:div w:id="1444232211">
      <w:bodyDiv w:val="1"/>
      <w:marLeft w:val="0"/>
      <w:marRight w:val="0"/>
      <w:marTop w:val="0"/>
      <w:marBottom w:val="0"/>
      <w:divBdr>
        <w:top w:val="none" w:sz="0" w:space="0" w:color="auto"/>
        <w:left w:val="none" w:sz="0" w:space="0" w:color="auto"/>
        <w:bottom w:val="none" w:sz="0" w:space="0" w:color="auto"/>
        <w:right w:val="none" w:sz="0" w:space="0" w:color="auto"/>
      </w:divBdr>
    </w:div>
    <w:div w:id="1476146760">
      <w:bodyDiv w:val="1"/>
      <w:marLeft w:val="0"/>
      <w:marRight w:val="0"/>
      <w:marTop w:val="0"/>
      <w:marBottom w:val="0"/>
      <w:divBdr>
        <w:top w:val="none" w:sz="0" w:space="0" w:color="auto"/>
        <w:left w:val="none" w:sz="0" w:space="0" w:color="auto"/>
        <w:bottom w:val="none" w:sz="0" w:space="0" w:color="auto"/>
        <w:right w:val="none" w:sz="0" w:space="0" w:color="auto"/>
      </w:divBdr>
    </w:div>
    <w:div w:id="1510563274">
      <w:bodyDiv w:val="1"/>
      <w:marLeft w:val="0"/>
      <w:marRight w:val="0"/>
      <w:marTop w:val="0"/>
      <w:marBottom w:val="0"/>
      <w:divBdr>
        <w:top w:val="none" w:sz="0" w:space="0" w:color="auto"/>
        <w:left w:val="none" w:sz="0" w:space="0" w:color="auto"/>
        <w:bottom w:val="none" w:sz="0" w:space="0" w:color="auto"/>
        <w:right w:val="none" w:sz="0" w:space="0" w:color="auto"/>
      </w:divBdr>
    </w:div>
    <w:div w:id="1893494207">
      <w:bodyDiv w:val="1"/>
      <w:marLeft w:val="0"/>
      <w:marRight w:val="0"/>
      <w:marTop w:val="0"/>
      <w:marBottom w:val="0"/>
      <w:divBdr>
        <w:top w:val="none" w:sz="0" w:space="0" w:color="auto"/>
        <w:left w:val="none" w:sz="0" w:space="0" w:color="auto"/>
        <w:bottom w:val="none" w:sz="0" w:space="0" w:color="auto"/>
        <w:right w:val="none" w:sz="0" w:space="0" w:color="auto"/>
      </w:divBdr>
    </w:div>
    <w:div w:id="1928298171">
      <w:bodyDiv w:val="1"/>
      <w:marLeft w:val="0"/>
      <w:marRight w:val="0"/>
      <w:marTop w:val="0"/>
      <w:marBottom w:val="0"/>
      <w:divBdr>
        <w:top w:val="none" w:sz="0" w:space="0" w:color="auto"/>
        <w:left w:val="none" w:sz="0" w:space="0" w:color="auto"/>
        <w:bottom w:val="none" w:sz="0" w:space="0" w:color="auto"/>
        <w:right w:val="none" w:sz="0" w:space="0" w:color="auto"/>
      </w:divBdr>
    </w:div>
    <w:div w:id="1993562936">
      <w:bodyDiv w:val="1"/>
      <w:marLeft w:val="0"/>
      <w:marRight w:val="0"/>
      <w:marTop w:val="0"/>
      <w:marBottom w:val="0"/>
      <w:divBdr>
        <w:top w:val="none" w:sz="0" w:space="0" w:color="auto"/>
        <w:left w:val="none" w:sz="0" w:space="0" w:color="auto"/>
        <w:bottom w:val="none" w:sz="0" w:space="0" w:color="auto"/>
        <w:right w:val="none" w:sz="0" w:space="0" w:color="auto"/>
      </w:divBdr>
    </w:div>
    <w:div w:id="2053767997">
      <w:bodyDiv w:val="1"/>
      <w:marLeft w:val="0"/>
      <w:marRight w:val="0"/>
      <w:marTop w:val="0"/>
      <w:marBottom w:val="0"/>
      <w:divBdr>
        <w:top w:val="none" w:sz="0" w:space="0" w:color="auto"/>
        <w:left w:val="none" w:sz="0" w:space="0" w:color="auto"/>
        <w:bottom w:val="none" w:sz="0" w:space="0" w:color="auto"/>
        <w:right w:val="none" w:sz="0" w:space="0" w:color="auto"/>
      </w:divBdr>
    </w:div>
    <w:div w:id="209952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1046</Words>
  <Characters>5964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Martinez</dc:creator>
  <cp:keywords/>
  <dc:description/>
  <cp:lastModifiedBy>Sophie Hessey</cp:lastModifiedBy>
  <cp:revision>7</cp:revision>
  <cp:lastPrinted>2025-06-09T06:26:00Z</cp:lastPrinted>
  <dcterms:created xsi:type="dcterms:W3CDTF">2026-10-09T09:47:00Z</dcterms:created>
  <dcterms:modified xsi:type="dcterms:W3CDTF">2026-10-19T09:05:00Z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a57db2-20f3-43df-8fc8-c65692b47ff4_Enabled">
    <vt:lpwstr>true</vt:lpwstr>
  </property>
  <property fmtid="{D5CDD505-2E9C-101B-9397-08002B2CF9AE}" pid="3" name="MSIP_Label_e5a57db2-20f3-43df-8fc8-c65692b47ff4_SetDate">
    <vt:lpwstr>2026-10-07T09:00:28Z</vt:lpwstr>
  </property>
  <property fmtid="{D5CDD505-2E9C-101B-9397-08002B2CF9AE}" pid="4" name="MSIP_Label_e5a57db2-20f3-43df-8fc8-c65692b47ff4_Method">
    <vt:lpwstr>Standard</vt:lpwstr>
  </property>
  <property fmtid="{D5CDD505-2E9C-101B-9397-08002B2CF9AE}" pid="5" name="MSIP_Label_e5a57db2-20f3-43df-8fc8-c65692b47ff4_Name">
    <vt:lpwstr>EFCA Use</vt:lpwstr>
  </property>
  <property fmtid="{D5CDD505-2E9C-101B-9397-08002B2CF9AE}" pid="6" name="MSIP_Label_e5a57db2-20f3-43df-8fc8-c65692b47ff4_SiteId">
    <vt:lpwstr>460dba80-235d-4f26-a9be-d59d485fa662</vt:lpwstr>
  </property>
  <property fmtid="{D5CDD505-2E9C-101B-9397-08002B2CF9AE}" pid="7" name="MSIP_Label_e5a57db2-20f3-43df-8fc8-c65692b47ff4_ActionId">
    <vt:lpwstr>44d69fb7-e40e-4580-864e-f555970aa4ea</vt:lpwstr>
  </property>
  <property fmtid="{D5CDD505-2E9C-101B-9397-08002B2CF9AE}" pid="8" name="MSIP_Label_e5a57db2-20f3-43df-8fc8-c65692b47ff4_ContentBits">
    <vt:lpwstr>0</vt:lpwstr>
  </property>
  <property fmtid="{D5CDD505-2E9C-101B-9397-08002B2CF9AE}" pid="9" name="MSIP_Label_e5a57db2-20f3-43df-8fc8-c65692b47ff4_Tag">
    <vt:lpwstr>10, 3, 0, 1</vt:lpwstr>
  </property>
</Properties>
</file>