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6E4622" w14:textId="0B76CF3F" w:rsidR="00046127" w:rsidRPr="00AD5AD2" w:rsidRDefault="00046127" w:rsidP="00046127">
      <w:pPr>
        <w:jc w:val="right"/>
        <w:rPr>
          <w:rFonts w:asciiTheme="majorHAnsi" w:eastAsia="Calibri" w:hAnsiTheme="majorHAnsi"/>
          <w:bCs/>
          <w:sz w:val="20"/>
          <w:szCs w:val="20"/>
        </w:rPr>
      </w:pPr>
      <w:r w:rsidRPr="00AD5AD2">
        <w:rPr>
          <w:rFonts w:asciiTheme="majorHAnsi" w:hAnsiTheme="majorHAnsi"/>
          <w:b/>
          <w:sz w:val="20"/>
          <w:szCs w:val="20"/>
        </w:rPr>
        <w:t>Original: inglés y español</w:t>
      </w:r>
    </w:p>
    <w:p w14:paraId="50857146" w14:textId="77777777" w:rsidR="00046127" w:rsidRPr="00AD5AD2" w:rsidRDefault="00046127" w:rsidP="00046127">
      <w:pPr>
        <w:jc w:val="right"/>
        <w:rPr>
          <w:rFonts w:asciiTheme="majorHAnsi" w:eastAsia="Calibri" w:hAnsiTheme="majorHAnsi"/>
          <w:b/>
          <w:bCs/>
          <w:sz w:val="20"/>
          <w:szCs w:val="20"/>
        </w:rPr>
      </w:pPr>
    </w:p>
    <w:p w14:paraId="2A576C10" w14:textId="7FBB7D8C" w:rsidR="00046127" w:rsidRPr="00AD5AD2" w:rsidRDefault="00046127" w:rsidP="00046127">
      <w:pPr>
        <w:autoSpaceDE w:val="0"/>
        <w:autoSpaceDN w:val="0"/>
        <w:adjustRightInd w:val="0"/>
        <w:jc w:val="center"/>
        <w:rPr>
          <w:rFonts w:asciiTheme="majorHAnsi" w:eastAsia="Calibri" w:hAnsiTheme="majorHAnsi"/>
          <w:b/>
          <w:bCs/>
          <w:sz w:val="20"/>
          <w:szCs w:val="20"/>
        </w:rPr>
      </w:pPr>
      <w:bookmarkStart w:id="0" w:name="_Hlk119173661"/>
      <w:r w:rsidRPr="00AD5AD2">
        <w:rPr>
          <w:rFonts w:asciiTheme="majorHAnsi" w:hAnsiTheme="majorHAnsi"/>
          <w:b/>
          <w:bCs/>
          <w:sz w:val="20"/>
          <w:szCs w:val="20"/>
        </w:rPr>
        <w:t>Planes de pesca/ordenación del atún rojo del Atlántico occidental</w:t>
      </w:r>
      <w:bookmarkEnd w:id="0"/>
      <w:r w:rsidRPr="00AD5AD2">
        <w:rPr>
          <w:rFonts w:asciiTheme="majorHAnsi" w:hAnsiTheme="majorHAnsi"/>
          <w:b/>
          <w:bCs/>
          <w:sz w:val="20"/>
          <w:szCs w:val="20"/>
        </w:rPr>
        <w:t xml:space="preserve"> presentados en 2026</w:t>
      </w:r>
    </w:p>
    <w:p w14:paraId="76D96F49" w14:textId="77777777" w:rsidR="00046127" w:rsidRPr="00AD5AD2" w:rsidRDefault="00046127" w:rsidP="00046127">
      <w:pPr>
        <w:autoSpaceDE w:val="0"/>
        <w:autoSpaceDN w:val="0"/>
        <w:adjustRightInd w:val="0"/>
        <w:jc w:val="center"/>
        <w:rPr>
          <w:rFonts w:asciiTheme="majorHAnsi" w:eastAsia="Calibri" w:hAnsiTheme="majorHAnsi"/>
          <w:i/>
          <w:iCs/>
          <w:sz w:val="20"/>
          <w:szCs w:val="20"/>
        </w:rPr>
      </w:pPr>
    </w:p>
    <w:p w14:paraId="0E8F3CAF" w14:textId="77777777" w:rsidR="00046127" w:rsidRPr="00AD5AD2" w:rsidRDefault="00046127" w:rsidP="00046127">
      <w:pPr>
        <w:autoSpaceDE w:val="0"/>
        <w:autoSpaceDN w:val="0"/>
        <w:adjustRightInd w:val="0"/>
        <w:jc w:val="center"/>
        <w:rPr>
          <w:rFonts w:asciiTheme="majorHAnsi" w:eastAsia="Calibri" w:hAnsiTheme="majorHAnsi"/>
          <w:i/>
          <w:iCs/>
          <w:sz w:val="20"/>
          <w:szCs w:val="20"/>
        </w:rPr>
      </w:pPr>
      <w:r w:rsidRPr="00AD5AD2">
        <w:rPr>
          <w:rFonts w:asciiTheme="majorHAnsi" w:hAnsiTheme="majorHAnsi"/>
          <w:i/>
          <w:iCs/>
          <w:sz w:val="20"/>
          <w:szCs w:val="20"/>
        </w:rPr>
        <w:t>(Secretaría de ICCAT)</w:t>
      </w:r>
    </w:p>
    <w:p w14:paraId="19615F09" w14:textId="77777777" w:rsidR="006B4897" w:rsidRPr="00AD5AD2" w:rsidRDefault="006B4897" w:rsidP="006B4897">
      <w:pPr>
        <w:tabs>
          <w:tab w:val="left" w:pos="340"/>
          <w:tab w:val="left" w:pos="680"/>
          <w:tab w:val="left" w:pos="1020"/>
          <w:tab w:val="left" w:pos="1134"/>
          <w:tab w:val="left" w:pos="1760"/>
        </w:tabs>
        <w:ind w:left="1361" w:right="3" w:hanging="1361"/>
        <w:jc w:val="both"/>
        <w:rPr>
          <w:rFonts w:asciiTheme="majorHAnsi" w:hAnsiTheme="majorHAnsi"/>
          <w:b/>
          <w:bCs/>
          <w:i/>
          <w:sz w:val="20"/>
          <w:szCs w:val="20"/>
        </w:rPr>
      </w:pPr>
    </w:p>
    <w:p w14:paraId="1C24CA02" w14:textId="630EFC74" w:rsidR="00046127" w:rsidRPr="00AD5AD2" w:rsidRDefault="006B4897" w:rsidP="00046127">
      <w:pPr>
        <w:tabs>
          <w:tab w:val="left" w:pos="340"/>
          <w:tab w:val="left" w:pos="680"/>
          <w:tab w:val="left" w:pos="1020"/>
          <w:tab w:val="left" w:pos="1134"/>
          <w:tab w:val="left" w:pos="1760"/>
        </w:tabs>
        <w:ind w:right="6"/>
        <w:jc w:val="both"/>
        <w:rPr>
          <w:rFonts w:asciiTheme="majorHAnsi" w:hAnsiTheme="majorHAnsi"/>
          <w:sz w:val="20"/>
          <w:szCs w:val="20"/>
        </w:rPr>
      </w:pPr>
      <w:r w:rsidRPr="00AD5AD2">
        <w:rPr>
          <w:rFonts w:asciiTheme="majorHAnsi" w:hAnsiTheme="majorHAnsi"/>
          <w:sz w:val="20"/>
          <w:szCs w:val="20"/>
        </w:rPr>
        <w:t xml:space="preserve">El párrafo 3 de la </w:t>
      </w:r>
      <w:hyperlink r:id="rId8" w:tgtFrame="_blank" w:history="1">
        <w:r w:rsidRPr="00AD5AD2">
          <w:rPr>
            <w:rStyle w:val="Hyperlink"/>
            <w:rFonts w:asciiTheme="majorHAnsi" w:hAnsiTheme="majorHAnsi"/>
            <w:i/>
            <w:iCs/>
            <w:sz w:val="20"/>
            <w:szCs w:val="20"/>
            <w:u w:val="none"/>
          </w:rPr>
          <w:t>Recomendación de ICCAT que reemplaza la Recomendación 22-10 para un plan de conservación y ordenación para el atún rojo del Atlántico oeste</w:t>
        </w:r>
        <w:r w:rsidRPr="00AD5AD2">
          <w:rPr>
            <w:rStyle w:val="Hyperlink"/>
            <w:rFonts w:asciiTheme="majorHAnsi" w:hAnsiTheme="majorHAnsi"/>
            <w:sz w:val="20"/>
            <w:szCs w:val="20"/>
            <w:u w:val="none"/>
          </w:rPr>
          <w:t xml:space="preserve"> </w:t>
        </w:r>
        <w:hyperlink r:id="rId9" w:tgtFrame="_blank" w:history="1">
          <w:r w:rsidRPr="00AD5AD2">
            <w:rPr>
              <w:rStyle w:val="Hyperlink"/>
              <w:rFonts w:asciiTheme="majorHAnsi" w:hAnsiTheme="majorHAnsi"/>
              <w:sz w:val="20"/>
              <w:szCs w:val="20"/>
              <w:u w:val="none"/>
            </w:rPr>
            <w:t>(Rec. 25-05)</w:t>
          </w:r>
        </w:hyperlink>
      </w:hyperlink>
      <w:r w:rsidR="00AD5AD2">
        <w:rPr>
          <w:rFonts w:asciiTheme="majorHAnsi" w:hAnsiTheme="majorHAnsi"/>
          <w:sz w:val="20"/>
          <w:szCs w:val="20"/>
        </w:rPr>
        <w:t xml:space="preserve"> </w:t>
      </w:r>
      <w:r w:rsidRPr="00AD5AD2">
        <w:rPr>
          <w:rFonts w:asciiTheme="majorHAnsi" w:hAnsiTheme="majorHAnsi"/>
          <w:sz w:val="20"/>
          <w:szCs w:val="20"/>
        </w:rPr>
        <w:t>establece que «cada CPC con una cuota superior a 50 t para la pesca dirigida al atún rojo del Atlántico occidental deberá presentar un plan de pesca/ordenación a la Comisión antes del 15 de septiembre de cada año.»</w:t>
      </w:r>
    </w:p>
    <w:p w14:paraId="60125E21" w14:textId="77777777" w:rsidR="00FC26AC" w:rsidRPr="00AD5AD2" w:rsidRDefault="00FC26AC" w:rsidP="00046127">
      <w:pPr>
        <w:tabs>
          <w:tab w:val="left" w:pos="340"/>
          <w:tab w:val="left" w:pos="680"/>
          <w:tab w:val="left" w:pos="1020"/>
          <w:tab w:val="left" w:pos="1134"/>
          <w:tab w:val="left" w:pos="1760"/>
        </w:tabs>
        <w:ind w:right="6"/>
        <w:jc w:val="both"/>
        <w:rPr>
          <w:rFonts w:asciiTheme="majorHAnsi" w:hAnsiTheme="majorHAnsi"/>
          <w:sz w:val="20"/>
          <w:szCs w:val="20"/>
        </w:rPr>
      </w:pPr>
    </w:p>
    <w:p w14:paraId="742FD2CB" w14:textId="46FABCAB" w:rsidR="00046127" w:rsidRPr="00AD5AD2" w:rsidRDefault="00046127" w:rsidP="00046127">
      <w:pPr>
        <w:tabs>
          <w:tab w:val="left" w:pos="340"/>
          <w:tab w:val="left" w:pos="680"/>
          <w:tab w:val="left" w:pos="1020"/>
          <w:tab w:val="left" w:pos="1134"/>
          <w:tab w:val="left" w:pos="1760"/>
        </w:tabs>
        <w:ind w:right="6"/>
        <w:jc w:val="both"/>
        <w:rPr>
          <w:rFonts w:asciiTheme="majorHAnsi" w:hAnsiTheme="majorHAnsi"/>
          <w:sz w:val="20"/>
          <w:szCs w:val="20"/>
        </w:rPr>
      </w:pPr>
      <w:r w:rsidRPr="00AD5AD2">
        <w:rPr>
          <w:rFonts w:asciiTheme="majorHAnsi" w:hAnsiTheme="majorHAnsi"/>
          <w:sz w:val="20"/>
          <w:szCs w:val="20"/>
        </w:rPr>
        <w:t>Dicho plan incluirá los siguientes elementos, según proceda:</w:t>
      </w:r>
    </w:p>
    <w:p w14:paraId="3626B1B6" w14:textId="77777777" w:rsidR="00FC26AC" w:rsidRPr="00AD5AD2" w:rsidRDefault="00FC26AC" w:rsidP="00046127">
      <w:pPr>
        <w:tabs>
          <w:tab w:val="left" w:pos="340"/>
          <w:tab w:val="left" w:pos="680"/>
          <w:tab w:val="left" w:pos="1020"/>
          <w:tab w:val="left" w:pos="1134"/>
          <w:tab w:val="left" w:pos="1760"/>
        </w:tabs>
        <w:ind w:right="6"/>
        <w:jc w:val="both"/>
        <w:rPr>
          <w:rFonts w:asciiTheme="majorHAnsi" w:hAnsiTheme="majorHAnsi"/>
          <w:sz w:val="20"/>
          <w:szCs w:val="20"/>
        </w:rPr>
      </w:pPr>
    </w:p>
    <w:p w14:paraId="69B6AEC1" w14:textId="37D1AE70" w:rsidR="00046127" w:rsidRPr="00AD5AD2" w:rsidRDefault="00046127" w:rsidP="00046127">
      <w:pPr>
        <w:pStyle w:val="ListParagraph"/>
        <w:numPr>
          <w:ilvl w:val="0"/>
          <w:numId w:val="41"/>
        </w:numPr>
        <w:tabs>
          <w:tab w:val="left" w:pos="340"/>
          <w:tab w:val="left" w:pos="680"/>
          <w:tab w:val="left" w:pos="1020"/>
          <w:tab w:val="left" w:pos="1134"/>
          <w:tab w:val="left" w:pos="1760"/>
        </w:tabs>
        <w:ind w:right="6"/>
        <w:jc w:val="both"/>
        <w:rPr>
          <w:rFonts w:asciiTheme="majorHAnsi" w:hAnsiTheme="majorHAnsi"/>
          <w:sz w:val="20"/>
          <w:szCs w:val="20"/>
        </w:rPr>
      </w:pPr>
      <w:r w:rsidRPr="00AD5AD2">
        <w:rPr>
          <w:rFonts w:asciiTheme="majorHAnsi" w:hAnsiTheme="majorHAnsi"/>
          <w:sz w:val="20"/>
          <w:szCs w:val="20"/>
        </w:rPr>
        <w:t>Las cuotas de la flota para todos los sectores y el método utilizado para asignar y gestionar dichas cuotas;</w:t>
      </w:r>
    </w:p>
    <w:p w14:paraId="205B0971" w14:textId="14D277CF" w:rsidR="00046127" w:rsidRPr="00AD5AD2" w:rsidRDefault="00046127" w:rsidP="00046127">
      <w:pPr>
        <w:pStyle w:val="ListParagraph"/>
        <w:numPr>
          <w:ilvl w:val="0"/>
          <w:numId w:val="41"/>
        </w:numPr>
        <w:tabs>
          <w:tab w:val="left" w:pos="340"/>
          <w:tab w:val="left" w:pos="680"/>
          <w:tab w:val="left" w:pos="1020"/>
          <w:tab w:val="left" w:pos="1134"/>
          <w:tab w:val="left" w:pos="1760"/>
        </w:tabs>
        <w:ind w:right="6"/>
        <w:jc w:val="both"/>
        <w:rPr>
          <w:rFonts w:asciiTheme="majorHAnsi" w:hAnsiTheme="majorHAnsi"/>
          <w:sz w:val="20"/>
          <w:szCs w:val="20"/>
        </w:rPr>
      </w:pPr>
      <w:r w:rsidRPr="00AD5AD2">
        <w:rPr>
          <w:rFonts w:asciiTheme="majorHAnsi" w:hAnsiTheme="majorHAnsi"/>
          <w:sz w:val="20"/>
          <w:szCs w:val="20"/>
        </w:rPr>
        <w:t xml:space="preserve">Las medidas de control de las pesquerías y de las capturas fortuitas y </w:t>
      </w:r>
    </w:p>
    <w:p w14:paraId="47878FF8" w14:textId="33E2EE86" w:rsidR="006B4897" w:rsidRPr="00AD5AD2" w:rsidRDefault="00046127" w:rsidP="006F63AB">
      <w:pPr>
        <w:pStyle w:val="ListParagraph"/>
        <w:numPr>
          <w:ilvl w:val="0"/>
          <w:numId w:val="41"/>
        </w:numPr>
        <w:tabs>
          <w:tab w:val="left" w:pos="340"/>
          <w:tab w:val="left" w:pos="680"/>
          <w:tab w:val="left" w:pos="1020"/>
          <w:tab w:val="left" w:pos="1134"/>
          <w:tab w:val="left" w:pos="1760"/>
        </w:tabs>
        <w:ind w:right="6"/>
        <w:jc w:val="both"/>
        <w:rPr>
          <w:rFonts w:asciiTheme="majorHAnsi" w:hAnsiTheme="majorHAnsi"/>
          <w:sz w:val="20"/>
          <w:szCs w:val="20"/>
        </w:rPr>
      </w:pPr>
      <w:r w:rsidRPr="00AD5AD2">
        <w:rPr>
          <w:rFonts w:asciiTheme="majorHAnsi" w:hAnsiTheme="majorHAnsi"/>
          <w:sz w:val="20"/>
          <w:szCs w:val="20"/>
        </w:rPr>
        <w:t>Cualquier medida adicional utilizada con fines de ejecución o de seguimiento, control e inspección.</w:t>
      </w:r>
    </w:p>
    <w:p w14:paraId="36AB03AC" w14:textId="77777777" w:rsidR="006B4897" w:rsidRPr="00AD5AD2" w:rsidRDefault="006B4897" w:rsidP="006B4897">
      <w:pPr>
        <w:tabs>
          <w:tab w:val="left" w:pos="340"/>
          <w:tab w:val="left" w:pos="680"/>
          <w:tab w:val="left" w:pos="1020"/>
          <w:tab w:val="left" w:pos="1134"/>
          <w:tab w:val="left" w:pos="1760"/>
        </w:tabs>
        <w:ind w:right="6"/>
        <w:jc w:val="both"/>
        <w:rPr>
          <w:rFonts w:asciiTheme="majorHAnsi" w:hAnsiTheme="majorHAnsi"/>
          <w:sz w:val="20"/>
          <w:szCs w:val="20"/>
        </w:rPr>
      </w:pPr>
    </w:p>
    <w:p w14:paraId="59B8AA82" w14:textId="56BFC8B8" w:rsidR="006B4897" w:rsidRPr="00AD5AD2" w:rsidRDefault="006B4897" w:rsidP="006B4897">
      <w:pPr>
        <w:tabs>
          <w:tab w:val="left" w:pos="340"/>
          <w:tab w:val="left" w:pos="680"/>
          <w:tab w:val="left" w:pos="1020"/>
          <w:tab w:val="left" w:pos="1134"/>
          <w:tab w:val="left" w:pos="1760"/>
        </w:tabs>
        <w:ind w:right="6"/>
        <w:jc w:val="both"/>
        <w:rPr>
          <w:rFonts w:asciiTheme="majorHAnsi" w:hAnsiTheme="majorHAnsi"/>
          <w:sz w:val="20"/>
          <w:szCs w:val="20"/>
        </w:rPr>
      </w:pPr>
      <w:r w:rsidRPr="00AD5AD2">
        <w:rPr>
          <w:rFonts w:asciiTheme="majorHAnsi" w:hAnsiTheme="majorHAnsi"/>
          <w:sz w:val="20"/>
          <w:szCs w:val="20"/>
        </w:rPr>
        <w:t xml:space="preserve">La Secretaría de ICCAT recibió, dentro del plazo establecido, planes de pesca de Canadá, Estados Unidos, Japón y México. </w:t>
      </w:r>
    </w:p>
    <w:p w14:paraId="4490D25A" w14:textId="77777777" w:rsidR="006B4897" w:rsidRPr="00AD5AD2" w:rsidRDefault="006B4897" w:rsidP="006B4897">
      <w:pPr>
        <w:tabs>
          <w:tab w:val="left" w:pos="340"/>
          <w:tab w:val="left" w:pos="680"/>
          <w:tab w:val="left" w:pos="1020"/>
          <w:tab w:val="left" w:pos="1134"/>
          <w:tab w:val="left" w:pos="1760"/>
        </w:tabs>
        <w:ind w:right="3"/>
        <w:jc w:val="right"/>
        <w:rPr>
          <w:rFonts w:asciiTheme="majorHAnsi" w:hAnsiTheme="majorHAnsi"/>
          <w:b/>
          <w:bCs/>
          <w:sz w:val="20"/>
          <w:szCs w:val="20"/>
        </w:rPr>
      </w:pPr>
    </w:p>
    <w:p w14:paraId="49EDC82F" w14:textId="77777777" w:rsidR="006B4897" w:rsidRPr="00AD5AD2" w:rsidRDefault="006B4897" w:rsidP="006B4897">
      <w:pPr>
        <w:rPr>
          <w:rFonts w:asciiTheme="majorHAnsi" w:hAnsiTheme="majorHAnsi"/>
          <w:sz w:val="20"/>
          <w:szCs w:val="20"/>
        </w:rPr>
      </w:pPr>
    </w:p>
    <w:p w14:paraId="15BC70CB" w14:textId="77777777" w:rsidR="006B4897" w:rsidRPr="00AD5AD2" w:rsidRDefault="006B4897" w:rsidP="006B4897">
      <w:pPr>
        <w:rPr>
          <w:rFonts w:asciiTheme="majorHAnsi" w:hAnsiTheme="majorHAnsi"/>
          <w:sz w:val="20"/>
          <w:szCs w:val="20"/>
        </w:rPr>
      </w:pPr>
    </w:p>
    <w:p w14:paraId="241C7FEB" w14:textId="77777777" w:rsidR="006B4897" w:rsidRPr="00AD5AD2" w:rsidRDefault="006B4897" w:rsidP="006B4897">
      <w:pPr>
        <w:rPr>
          <w:rFonts w:asciiTheme="majorHAnsi" w:hAnsiTheme="majorHAnsi"/>
          <w:sz w:val="20"/>
          <w:szCs w:val="20"/>
        </w:rPr>
      </w:pPr>
    </w:p>
    <w:p w14:paraId="40B5AA00" w14:textId="77777777" w:rsidR="006B4897" w:rsidRPr="00AD5AD2" w:rsidRDefault="006B4897" w:rsidP="006B4897">
      <w:pPr>
        <w:rPr>
          <w:rFonts w:asciiTheme="majorHAnsi" w:hAnsiTheme="majorHAnsi"/>
          <w:sz w:val="20"/>
          <w:szCs w:val="20"/>
        </w:rPr>
      </w:pPr>
    </w:p>
    <w:p w14:paraId="1940E3A5" w14:textId="77777777" w:rsidR="006B4897" w:rsidRPr="00AD5AD2" w:rsidRDefault="006B4897" w:rsidP="006B4897">
      <w:pPr>
        <w:rPr>
          <w:rFonts w:asciiTheme="majorHAnsi" w:hAnsiTheme="majorHAnsi"/>
          <w:sz w:val="20"/>
          <w:szCs w:val="20"/>
        </w:rPr>
      </w:pPr>
    </w:p>
    <w:p w14:paraId="1E7DEDC5" w14:textId="77777777" w:rsidR="006B4897" w:rsidRPr="00AD5AD2" w:rsidRDefault="006B4897" w:rsidP="006B4897">
      <w:pPr>
        <w:rPr>
          <w:rFonts w:asciiTheme="majorHAnsi" w:hAnsiTheme="majorHAnsi"/>
          <w:sz w:val="20"/>
          <w:szCs w:val="20"/>
        </w:rPr>
      </w:pPr>
    </w:p>
    <w:p w14:paraId="7BAD2AE7" w14:textId="77777777" w:rsidR="006B4897" w:rsidRPr="00AD5AD2" w:rsidRDefault="006B4897" w:rsidP="006B4897">
      <w:pPr>
        <w:rPr>
          <w:rFonts w:asciiTheme="majorHAnsi" w:hAnsiTheme="majorHAnsi"/>
          <w:sz w:val="20"/>
          <w:szCs w:val="20"/>
        </w:rPr>
      </w:pPr>
    </w:p>
    <w:p w14:paraId="56429193" w14:textId="77777777" w:rsidR="006B4897" w:rsidRPr="00AD5AD2" w:rsidRDefault="006B4897" w:rsidP="006B4897">
      <w:pPr>
        <w:rPr>
          <w:rFonts w:asciiTheme="majorHAnsi" w:hAnsiTheme="majorHAnsi"/>
          <w:sz w:val="20"/>
          <w:szCs w:val="20"/>
        </w:rPr>
      </w:pPr>
    </w:p>
    <w:p w14:paraId="3641669D" w14:textId="77777777" w:rsidR="006B4897" w:rsidRPr="00AD5AD2" w:rsidRDefault="006B4897" w:rsidP="006B4897">
      <w:pPr>
        <w:rPr>
          <w:rFonts w:asciiTheme="majorHAnsi" w:hAnsiTheme="majorHAnsi"/>
          <w:sz w:val="20"/>
          <w:szCs w:val="20"/>
        </w:rPr>
      </w:pPr>
    </w:p>
    <w:p w14:paraId="58130724" w14:textId="77777777" w:rsidR="006B4897" w:rsidRPr="00AD5AD2" w:rsidRDefault="006B4897" w:rsidP="006B4897">
      <w:pPr>
        <w:rPr>
          <w:rFonts w:asciiTheme="majorHAnsi" w:hAnsiTheme="majorHAnsi"/>
          <w:sz w:val="20"/>
          <w:szCs w:val="20"/>
        </w:rPr>
      </w:pPr>
    </w:p>
    <w:p w14:paraId="16223FE0" w14:textId="77777777" w:rsidR="006B4897" w:rsidRPr="00AD5AD2" w:rsidRDefault="006B4897" w:rsidP="006B4897">
      <w:pPr>
        <w:rPr>
          <w:rFonts w:asciiTheme="majorHAnsi" w:hAnsiTheme="majorHAnsi"/>
          <w:sz w:val="20"/>
          <w:szCs w:val="20"/>
        </w:rPr>
      </w:pPr>
    </w:p>
    <w:p w14:paraId="07297D74" w14:textId="77777777" w:rsidR="006B4897" w:rsidRPr="00AD5AD2" w:rsidRDefault="006B4897" w:rsidP="006B4897">
      <w:pPr>
        <w:rPr>
          <w:rFonts w:asciiTheme="majorHAnsi" w:hAnsiTheme="majorHAnsi"/>
          <w:sz w:val="20"/>
          <w:szCs w:val="20"/>
        </w:rPr>
      </w:pPr>
    </w:p>
    <w:p w14:paraId="6EA2155D" w14:textId="77777777" w:rsidR="006B4897" w:rsidRPr="00AD5AD2" w:rsidRDefault="006B4897" w:rsidP="006B4897">
      <w:pPr>
        <w:rPr>
          <w:rFonts w:asciiTheme="majorHAnsi" w:hAnsiTheme="majorHAnsi"/>
          <w:sz w:val="20"/>
          <w:szCs w:val="20"/>
        </w:rPr>
      </w:pPr>
    </w:p>
    <w:p w14:paraId="227BAB37" w14:textId="77777777" w:rsidR="006B4897" w:rsidRPr="00AD5AD2" w:rsidRDefault="006B4897" w:rsidP="006B4897">
      <w:pPr>
        <w:rPr>
          <w:rFonts w:asciiTheme="majorHAnsi" w:hAnsiTheme="majorHAnsi"/>
          <w:sz w:val="20"/>
          <w:szCs w:val="20"/>
        </w:rPr>
      </w:pPr>
    </w:p>
    <w:p w14:paraId="0508B0F6" w14:textId="77777777" w:rsidR="006B4897" w:rsidRPr="00AD5AD2" w:rsidRDefault="006B4897" w:rsidP="006B4897">
      <w:pPr>
        <w:rPr>
          <w:rFonts w:asciiTheme="majorHAnsi" w:hAnsiTheme="majorHAnsi"/>
          <w:sz w:val="20"/>
          <w:szCs w:val="20"/>
        </w:rPr>
      </w:pPr>
    </w:p>
    <w:p w14:paraId="058FED4D" w14:textId="77777777" w:rsidR="006B4897" w:rsidRPr="00AD5AD2" w:rsidRDefault="006B4897" w:rsidP="006B4897">
      <w:pPr>
        <w:rPr>
          <w:rFonts w:asciiTheme="majorHAnsi" w:hAnsiTheme="majorHAnsi"/>
          <w:sz w:val="20"/>
          <w:szCs w:val="20"/>
        </w:rPr>
      </w:pPr>
    </w:p>
    <w:p w14:paraId="7CCC6447" w14:textId="77777777" w:rsidR="006B4897" w:rsidRPr="00AD5AD2" w:rsidRDefault="006B4897" w:rsidP="006B4897">
      <w:pPr>
        <w:rPr>
          <w:rFonts w:asciiTheme="majorHAnsi" w:hAnsiTheme="majorHAnsi"/>
          <w:sz w:val="20"/>
          <w:szCs w:val="20"/>
        </w:rPr>
      </w:pPr>
    </w:p>
    <w:p w14:paraId="71165CBB" w14:textId="77777777" w:rsidR="006B4897" w:rsidRPr="00AD5AD2" w:rsidRDefault="006B4897" w:rsidP="006B4897">
      <w:pPr>
        <w:rPr>
          <w:rFonts w:asciiTheme="majorHAnsi" w:hAnsiTheme="majorHAnsi"/>
          <w:sz w:val="20"/>
          <w:szCs w:val="20"/>
        </w:rPr>
      </w:pPr>
    </w:p>
    <w:p w14:paraId="7BE24DE0" w14:textId="77777777" w:rsidR="006B4897" w:rsidRPr="00AD5AD2" w:rsidRDefault="006B4897" w:rsidP="006B4897">
      <w:pPr>
        <w:rPr>
          <w:rFonts w:asciiTheme="majorHAnsi" w:hAnsiTheme="majorHAnsi"/>
          <w:sz w:val="20"/>
          <w:szCs w:val="20"/>
        </w:rPr>
      </w:pPr>
    </w:p>
    <w:p w14:paraId="2F1858A5" w14:textId="77777777" w:rsidR="006B4897" w:rsidRPr="00AD5AD2" w:rsidRDefault="006B4897" w:rsidP="006B4897">
      <w:pPr>
        <w:rPr>
          <w:rFonts w:asciiTheme="majorHAnsi" w:hAnsiTheme="majorHAnsi"/>
          <w:sz w:val="20"/>
          <w:szCs w:val="20"/>
        </w:rPr>
      </w:pPr>
    </w:p>
    <w:p w14:paraId="26F4A69D" w14:textId="77777777" w:rsidR="006B4897" w:rsidRPr="00AD5AD2" w:rsidRDefault="006B4897" w:rsidP="006B4897">
      <w:pPr>
        <w:rPr>
          <w:rFonts w:asciiTheme="majorHAnsi" w:hAnsiTheme="majorHAnsi"/>
          <w:sz w:val="20"/>
          <w:szCs w:val="20"/>
        </w:rPr>
      </w:pPr>
    </w:p>
    <w:p w14:paraId="6ABFCAC3" w14:textId="77777777" w:rsidR="006B4897" w:rsidRPr="00AD5AD2" w:rsidRDefault="006B4897" w:rsidP="006B4897">
      <w:pPr>
        <w:rPr>
          <w:rFonts w:asciiTheme="majorHAnsi" w:hAnsiTheme="majorHAnsi"/>
          <w:sz w:val="20"/>
          <w:szCs w:val="20"/>
        </w:rPr>
      </w:pPr>
    </w:p>
    <w:p w14:paraId="5AE0BA32" w14:textId="77777777" w:rsidR="006B4897" w:rsidRPr="00AD5AD2" w:rsidRDefault="006B4897" w:rsidP="006B4897">
      <w:pPr>
        <w:rPr>
          <w:rFonts w:asciiTheme="majorHAnsi" w:hAnsiTheme="majorHAnsi"/>
          <w:sz w:val="20"/>
          <w:szCs w:val="20"/>
        </w:rPr>
      </w:pPr>
    </w:p>
    <w:p w14:paraId="01788C34" w14:textId="77777777" w:rsidR="006B4897" w:rsidRPr="00AD5AD2" w:rsidRDefault="006B4897" w:rsidP="006B4897">
      <w:pPr>
        <w:rPr>
          <w:rFonts w:asciiTheme="majorHAnsi" w:hAnsiTheme="majorHAnsi"/>
          <w:sz w:val="20"/>
          <w:szCs w:val="20"/>
        </w:rPr>
      </w:pPr>
    </w:p>
    <w:p w14:paraId="145CFB31" w14:textId="77777777" w:rsidR="006B4897" w:rsidRPr="00AD5AD2" w:rsidRDefault="006B4897" w:rsidP="006B4897">
      <w:pPr>
        <w:rPr>
          <w:rFonts w:asciiTheme="majorHAnsi" w:hAnsiTheme="majorHAnsi"/>
          <w:sz w:val="20"/>
          <w:szCs w:val="20"/>
        </w:rPr>
      </w:pPr>
    </w:p>
    <w:p w14:paraId="5255D745" w14:textId="77777777" w:rsidR="006B4897" w:rsidRPr="00AD5AD2" w:rsidRDefault="006B4897" w:rsidP="006B4897">
      <w:pPr>
        <w:rPr>
          <w:rFonts w:asciiTheme="majorHAnsi" w:hAnsiTheme="majorHAnsi"/>
          <w:sz w:val="20"/>
          <w:szCs w:val="20"/>
        </w:rPr>
      </w:pPr>
    </w:p>
    <w:p w14:paraId="53BCDF5B" w14:textId="77777777" w:rsidR="006B4897" w:rsidRPr="00AD5AD2" w:rsidRDefault="006B4897" w:rsidP="006B4897">
      <w:pPr>
        <w:rPr>
          <w:rFonts w:asciiTheme="majorHAnsi" w:hAnsiTheme="majorHAnsi"/>
          <w:sz w:val="20"/>
          <w:szCs w:val="20"/>
        </w:rPr>
      </w:pPr>
    </w:p>
    <w:p w14:paraId="736C48FE" w14:textId="77777777" w:rsidR="006B4897" w:rsidRPr="00AD5AD2" w:rsidRDefault="006B4897" w:rsidP="006B4897">
      <w:pPr>
        <w:rPr>
          <w:rFonts w:asciiTheme="majorHAnsi" w:hAnsiTheme="majorHAnsi"/>
          <w:sz w:val="20"/>
          <w:szCs w:val="20"/>
        </w:rPr>
      </w:pPr>
    </w:p>
    <w:p w14:paraId="5636404F" w14:textId="77777777" w:rsidR="006B4897" w:rsidRPr="00AD5AD2" w:rsidRDefault="006B4897" w:rsidP="006B4897">
      <w:pPr>
        <w:rPr>
          <w:rFonts w:asciiTheme="majorHAnsi" w:hAnsiTheme="majorHAnsi"/>
          <w:sz w:val="20"/>
          <w:szCs w:val="20"/>
        </w:rPr>
      </w:pPr>
    </w:p>
    <w:p w14:paraId="1F19A161" w14:textId="77777777" w:rsidR="006B4897" w:rsidRPr="00AD5AD2" w:rsidRDefault="006B4897" w:rsidP="006B4897">
      <w:pPr>
        <w:rPr>
          <w:rFonts w:asciiTheme="majorHAnsi" w:hAnsiTheme="majorHAnsi"/>
          <w:sz w:val="20"/>
          <w:szCs w:val="20"/>
        </w:rPr>
      </w:pPr>
    </w:p>
    <w:p w14:paraId="776416F5" w14:textId="77777777" w:rsidR="006B4897" w:rsidRPr="00AD5AD2" w:rsidRDefault="006B4897" w:rsidP="006B4897">
      <w:pPr>
        <w:rPr>
          <w:rFonts w:asciiTheme="majorHAnsi" w:hAnsiTheme="majorHAnsi"/>
          <w:sz w:val="20"/>
          <w:szCs w:val="20"/>
        </w:rPr>
      </w:pPr>
    </w:p>
    <w:p w14:paraId="66A92073" w14:textId="77777777" w:rsidR="006B4897" w:rsidRPr="00AD5AD2" w:rsidRDefault="006B4897" w:rsidP="006B4897">
      <w:pPr>
        <w:rPr>
          <w:rFonts w:asciiTheme="majorHAnsi" w:hAnsiTheme="majorHAnsi"/>
          <w:sz w:val="20"/>
          <w:szCs w:val="20"/>
        </w:rPr>
      </w:pPr>
    </w:p>
    <w:p w14:paraId="4837AAEB" w14:textId="77777777" w:rsidR="006B4897" w:rsidRPr="00AD5AD2" w:rsidRDefault="006B4897" w:rsidP="006B4897">
      <w:pPr>
        <w:rPr>
          <w:rFonts w:asciiTheme="majorHAnsi" w:hAnsiTheme="majorHAnsi"/>
          <w:sz w:val="20"/>
          <w:szCs w:val="20"/>
        </w:rPr>
      </w:pPr>
    </w:p>
    <w:p w14:paraId="3F59067D" w14:textId="77777777" w:rsidR="006B4897" w:rsidRPr="00AD5AD2" w:rsidRDefault="006B4897" w:rsidP="006B4897">
      <w:pPr>
        <w:rPr>
          <w:rFonts w:asciiTheme="majorHAnsi" w:hAnsiTheme="majorHAnsi"/>
          <w:sz w:val="20"/>
          <w:szCs w:val="20"/>
        </w:rPr>
      </w:pPr>
    </w:p>
    <w:p w14:paraId="792D10D5" w14:textId="77777777" w:rsidR="006B4897" w:rsidRPr="008C1324" w:rsidRDefault="006B4897" w:rsidP="006B4897">
      <w:pPr>
        <w:tabs>
          <w:tab w:val="left" w:pos="340"/>
          <w:tab w:val="left" w:pos="680"/>
          <w:tab w:val="left" w:pos="1020"/>
          <w:tab w:val="left" w:pos="1134"/>
          <w:tab w:val="left" w:pos="1604"/>
          <w:tab w:val="left" w:pos="1760"/>
        </w:tabs>
        <w:ind w:right="3"/>
        <w:rPr>
          <w:rFonts w:asciiTheme="majorHAnsi" w:hAnsiTheme="majorHAnsi"/>
          <w:b/>
          <w:bCs/>
          <w:sz w:val="20"/>
          <w:szCs w:val="20"/>
        </w:rPr>
        <w:sectPr w:rsidR="006B4897" w:rsidRPr="008C1324" w:rsidSect="002604BE">
          <w:headerReference w:type="default" r:id="rId10"/>
          <w:footerReference w:type="default" r:id="rId11"/>
          <w:headerReference w:type="first" r:id="rId12"/>
          <w:footerReference w:type="first" r:id="rId13"/>
          <w:type w:val="continuous"/>
          <w:pgSz w:w="11906" w:h="16838" w:code="9"/>
          <w:pgMar w:top="1418" w:right="1418" w:bottom="1418" w:left="1418" w:header="851" w:footer="1134" w:gutter="0"/>
          <w:cols w:space="708"/>
          <w:titlePg/>
          <w:docGrid w:linePitch="360"/>
        </w:sectPr>
      </w:pPr>
      <w:r>
        <w:rPr>
          <w:rFonts w:asciiTheme="majorHAnsi" w:hAnsiTheme="majorHAnsi"/>
          <w:b/>
          <w:sz w:val="20"/>
        </w:rPr>
        <w:tab/>
      </w:r>
      <w:r>
        <w:rPr>
          <w:rFonts w:asciiTheme="majorHAnsi" w:hAnsiTheme="majorHAnsi"/>
          <w:b/>
          <w:sz w:val="20"/>
        </w:rPr>
        <w:tab/>
      </w:r>
      <w:r>
        <w:rPr>
          <w:rFonts w:asciiTheme="majorHAnsi" w:hAnsiTheme="majorHAnsi"/>
          <w:b/>
          <w:sz w:val="20"/>
        </w:rPr>
        <w:tab/>
      </w:r>
      <w:r>
        <w:rPr>
          <w:rFonts w:asciiTheme="majorHAnsi" w:hAnsiTheme="majorHAnsi"/>
          <w:b/>
          <w:sz w:val="20"/>
        </w:rPr>
        <w:tab/>
      </w:r>
      <w:r>
        <w:rPr>
          <w:rFonts w:asciiTheme="majorHAnsi" w:hAnsiTheme="majorHAnsi"/>
          <w:b/>
          <w:sz w:val="20"/>
        </w:rPr>
        <w:tab/>
      </w:r>
    </w:p>
    <w:p w14:paraId="358C8CB1" w14:textId="77777777" w:rsidR="00117DBC" w:rsidRDefault="00117DBC">
      <w:pPr>
        <w:rPr>
          <w:rFonts w:ascii="Cambria" w:hAnsi="Cambria"/>
          <w:b/>
          <w:sz w:val="20"/>
        </w:rPr>
      </w:pPr>
      <w:r>
        <w:rPr>
          <w:rFonts w:ascii="Cambria" w:hAnsi="Cambria"/>
          <w:b/>
          <w:sz w:val="20"/>
        </w:rPr>
        <w:br w:type="page"/>
      </w:r>
    </w:p>
    <w:p w14:paraId="4BD9ECED" w14:textId="77C401F8" w:rsidR="002B0D63" w:rsidRPr="008C1324" w:rsidRDefault="002B0D63" w:rsidP="002B0D63">
      <w:pPr>
        <w:widowControl w:val="0"/>
        <w:jc w:val="right"/>
        <w:rPr>
          <w:rFonts w:ascii="Cambria" w:eastAsia="MS Gothic" w:hAnsi="Cambria"/>
          <w:b/>
          <w:sz w:val="20"/>
          <w:szCs w:val="20"/>
        </w:rPr>
      </w:pPr>
      <w:r>
        <w:rPr>
          <w:rFonts w:ascii="Cambria" w:hAnsi="Cambria"/>
          <w:b/>
          <w:sz w:val="20"/>
        </w:rPr>
        <w:lastRenderedPageBreak/>
        <w:t>CP62-WBFTPlan</w:t>
      </w:r>
    </w:p>
    <w:p w14:paraId="722A1228" w14:textId="77777777" w:rsidR="003F1151" w:rsidRPr="00AD5AD2" w:rsidRDefault="003F1151" w:rsidP="002B0D63">
      <w:pPr>
        <w:widowControl w:val="0"/>
        <w:jc w:val="center"/>
        <w:rPr>
          <w:rFonts w:ascii="Cambria" w:eastAsia="MS Gothic" w:hAnsi="Cambria"/>
          <w:b/>
          <w:sz w:val="20"/>
          <w:szCs w:val="20"/>
          <w:lang w:eastAsia="fr-FR" w:bidi="fr-FR"/>
        </w:rPr>
      </w:pPr>
    </w:p>
    <w:p w14:paraId="0263196B" w14:textId="7371DCA1" w:rsidR="002B0D63" w:rsidRPr="008C1324" w:rsidRDefault="002B0D63" w:rsidP="002B0D63">
      <w:pPr>
        <w:widowControl w:val="0"/>
        <w:jc w:val="center"/>
        <w:rPr>
          <w:rFonts w:ascii="Cambria" w:eastAsia="MS Gothic" w:hAnsi="Cambria"/>
          <w:b/>
          <w:sz w:val="20"/>
          <w:szCs w:val="20"/>
        </w:rPr>
      </w:pPr>
      <w:r>
        <w:rPr>
          <w:rFonts w:ascii="Cambria" w:hAnsi="Cambria"/>
          <w:b/>
          <w:sz w:val="20"/>
        </w:rPr>
        <w:t>Plan de pesca/ordenación para el atún rojo del Atlántico occidental</w:t>
      </w:r>
    </w:p>
    <w:p w14:paraId="525666B6" w14:textId="77777777" w:rsidR="00803E67" w:rsidRPr="00803E67" w:rsidRDefault="00803E67" w:rsidP="00803E67">
      <w:pPr>
        <w:widowControl w:val="0"/>
        <w:jc w:val="center"/>
        <w:rPr>
          <w:rFonts w:ascii="Cambria" w:eastAsia="MS Gothic" w:hAnsi="Cambria"/>
          <w:b/>
          <w:sz w:val="22"/>
          <w:szCs w:val="22"/>
          <w:lang w:eastAsia="fr-FR" w:bidi="fr-FR"/>
        </w:rPr>
      </w:pPr>
    </w:p>
    <w:p w14:paraId="57AF3599" w14:textId="77777777" w:rsidR="00803E67" w:rsidRPr="00803E67" w:rsidRDefault="00803E67" w:rsidP="00803E67">
      <w:pPr>
        <w:widowControl w:val="0"/>
        <w:spacing w:line="259" w:lineRule="auto"/>
        <w:rPr>
          <w:rFonts w:ascii="Cambria" w:eastAsia="MS Gothic" w:hAnsi="Cambria"/>
          <w:b/>
          <w:sz w:val="20"/>
          <w:szCs w:val="20"/>
          <w:lang w:eastAsia="fr-FR" w:bidi="fr-FR"/>
        </w:rPr>
      </w:pPr>
      <w:r w:rsidRPr="00803E67">
        <w:rPr>
          <w:rFonts w:ascii="Cambria" w:eastAsia="MS Gothic" w:hAnsi="Cambria"/>
          <w:b/>
          <w:sz w:val="20"/>
          <w:lang w:eastAsia="fr-FR" w:bidi="fr-FR"/>
        </w:rPr>
        <w:t>Nombre de la CPC: Canadá</w:t>
      </w:r>
    </w:p>
    <w:p w14:paraId="77A81FF2" w14:textId="77777777" w:rsidR="00803E67" w:rsidRPr="00803E67" w:rsidRDefault="00803E67" w:rsidP="00803E67">
      <w:pPr>
        <w:widowControl w:val="0"/>
        <w:rPr>
          <w:rFonts w:ascii="Cambria" w:eastAsia="MS Gothic" w:hAnsi="Cambria"/>
          <w:b/>
          <w:sz w:val="20"/>
          <w:szCs w:val="20"/>
          <w:lang w:eastAsia="fr-FR" w:bidi="fr-FR"/>
        </w:rPr>
      </w:pPr>
      <w:r w:rsidRPr="00803E67">
        <w:rPr>
          <w:rFonts w:ascii="Cambria" w:eastAsia="MS Gothic" w:hAnsi="Cambria"/>
          <w:b/>
          <w:sz w:val="20"/>
          <w:lang w:eastAsia="fr-FR" w:bidi="fr-FR"/>
        </w:rPr>
        <w:t>Año del plan de pesca: 2025</w:t>
      </w:r>
    </w:p>
    <w:p w14:paraId="07DE804D" w14:textId="77777777" w:rsidR="00803E67" w:rsidRPr="00803E67" w:rsidRDefault="00803E67" w:rsidP="00803E67">
      <w:pPr>
        <w:widowControl w:val="0"/>
        <w:rPr>
          <w:rFonts w:ascii="Cambria" w:eastAsia="MS Gothic" w:hAnsi="Cambria"/>
          <w:b/>
          <w:bCs/>
          <w:sz w:val="20"/>
          <w:szCs w:val="20"/>
          <w:lang w:eastAsia="fr-FR" w:bidi="fr-FR"/>
        </w:rPr>
      </w:pPr>
    </w:p>
    <w:p w14:paraId="7DECC756" w14:textId="77777777" w:rsidR="00803E67" w:rsidRPr="00803E67" w:rsidRDefault="00803E67" w:rsidP="00803E67">
      <w:pPr>
        <w:widowControl w:val="0"/>
        <w:tabs>
          <w:tab w:val="left" w:pos="426"/>
        </w:tabs>
        <w:rPr>
          <w:rFonts w:ascii="Cambria" w:eastAsia="MS Gothic" w:hAnsi="Cambria"/>
          <w:b/>
          <w:sz w:val="20"/>
          <w:szCs w:val="20"/>
          <w:lang w:eastAsia="fr-FR" w:bidi="fr-FR"/>
        </w:rPr>
      </w:pPr>
      <w:r w:rsidRPr="00803E67">
        <w:rPr>
          <w:rFonts w:ascii="Cambria" w:eastAsia="MS Gothic" w:hAnsi="Cambria"/>
          <w:b/>
          <w:sz w:val="20"/>
          <w:lang w:eastAsia="fr-FR" w:bidi="fr-FR"/>
        </w:rPr>
        <w:t xml:space="preserve">1. </w:t>
      </w:r>
      <w:r w:rsidRPr="00803E67">
        <w:rPr>
          <w:rFonts w:ascii="Cambria" w:eastAsia="MS Gothic" w:hAnsi="Cambria"/>
          <w:b/>
          <w:sz w:val="20"/>
          <w:lang w:eastAsia="fr-FR" w:bidi="fr-FR"/>
        </w:rPr>
        <w:tab/>
        <w:t xml:space="preserve">Cuotas de flota para todos los sectores y método utilizado para asignar y gestionar dichas cuotas </w:t>
      </w:r>
    </w:p>
    <w:p w14:paraId="7FA82560" w14:textId="77777777" w:rsidR="00803E67" w:rsidRPr="00803E67" w:rsidRDefault="00803E67" w:rsidP="00803E67">
      <w:pPr>
        <w:widowControl w:val="0"/>
        <w:tabs>
          <w:tab w:val="left" w:pos="426"/>
        </w:tabs>
        <w:rPr>
          <w:rFonts w:ascii="Cambria" w:eastAsia="MS Gothic" w:hAnsi="Cambria"/>
          <w:i/>
          <w:sz w:val="20"/>
          <w:szCs w:val="20"/>
          <w:lang w:eastAsia="fr-FR" w:bidi="fr-FR"/>
        </w:rPr>
      </w:pPr>
    </w:p>
    <w:p w14:paraId="70AECCE2" w14:textId="77777777" w:rsidR="00803E67" w:rsidRPr="00803E67" w:rsidRDefault="00803E67" w:rsidP="00803E67">
      <w:pPr>
        <w:widowControl w:val="0"/>
        <w:rPr>
          <w:rFonts w:eastAsia="MS Gothic"/>
          <w:color w:val="000000"/>
          <w:sz w:val="20"/>
          <w:szCs w:val="20"/>
          <w:lang w:eastAsia="fr-FR" w:bidi="fr-FR"/>
        </w:rPr>
      </w:pPr>
      <w:r w:rsidRPr="00803E67">
        <w:rPr>
          <w:rFonts w:ascii="Cambria" w:eastAsia="MS Gothic" w:hAnsi="Cambria"/>
          <w:b/>
          <w:i/>
          <w:sz w:val="20"/>
          <w:lang w:eastAsia="fr-FR" w:bidi="fr-FR"/>
        </w:rPr>
        <w:t>1 a) Presentación</w:t>
      </w:r>
    </w:p>
    <w:p w14:paraId="7CF6E16D" w14:textId="77777777" w:rsidR="00803E67" w:rsidRPr="00803E67" w:rsidRDefault="00803E67" w:rsidP="00803E67">
      <w:pPr>
        <w:widowControl w:val="0"/>
        <w:rPr>
          <w:rFonts w:ascii="Cambria" w:eastAsia="MS Gothic" w:hAnsi="Cambria"/>
          <w:b/>
          <w:bCs/>
          <w:i/>
          <w:iCs/>
          <w:sz w:val="20"/>
          <w:szCs w:val="20"/>
          <w:lang w:eastAsia="fr-FR" w:bidi="fr-FR"/>
        </w:rPr>
      </w:pPr>
    </w:p>
    <w:p w14:paraId="2632FF05" w14:textId="77777777" w:rsidR="00803E67" w:rsidRPr="00803E67" w:rsidRDefault="00803E67" w:rsidP="00803E67">
      <w:pPr>
        <w:widowControl w:val="0"/>
        <w:jc w:val="both"/>
        <w:rPr>
          <w:rFonts w:eastAsia="MS Gothic"/>
          <w:color w:val="000000"/>
          <w:sz w:val="20"/>
          <w:szCs w:val="20"/>
          <w:lang w:eastAsia="fr-FR" w:bidi="fr-FR"/>
        </w:rPr>
      </w:pPr>
      <w:r w:rsidRPr="00803E67">
        <w:rPr>
          <w:rFonts w:ascii="Cambria" w:eastAsia="MS Gothic" w:hAnsi="Cambria"/>
          <w:sz w:val="20"/>
          <w:lang w:eastAsia="fr-FR" w:bidi="fr-FR"/>
        </w:rPr>
        <w:t xml:space="preserve">Canadá gestiona su pesquería de atún rojo del Atlántico occidental de conformidad con las medidas de ordenación de ICCAT y su legislación nacional, incluida la </w:t>
      </w:r>
      <w:r w:rsidRPr="00803E67">
        <w:rPr>
          <w:rFonts w:ascii="Cambria" w:eastAsia="MS Gothic" w:hAnsi="Cambria"/>
          <w:i/>
          <w:sz w:val="20"/>
          <w:lang w:eastAsia="fr-FR" w:bidi="fr-FR"/>
        </w:rPr>
        <w:t>Ley de pesca</w:t>
      </w:r>
      <w:r w:rsidRPr="00803E67">
        <w:rPr>
          <w:rFonts w:ascii="Cambria" w:eastAsia="MS Gothic" w:hAnsi="Cambria"/>
          <w:sz w:val="20"/>
          <w:lang w:eastAsia="fr-FR" w:bidi="fr-FR"/>
        </w:rPr>
        <w:t xml:space="preserve">. Esta pesquería opera en las zonas 3KLNOP, 4RSTVWX y 5YZ de la NAFO y comprende pesquerías comerciales dirigidas, una pesquería de captura y liberación, pesquerías de torneos con acceso limitado y pesquerías de capturas fortuitas autorizadas. </w:t>
      </w:r>
    </w:p>
    <w:p w14:paraId="0D6E365D" w14:textId="77777777" w:rsidR="00803E67" w:rsidRPr="00803E67" w:rsidRDefault="00803E67" w:rsidP="00803E67">
      <w:pPr>
        <w:widowControl w:val="0"/>
        <w:jc w:val="both"/>
        <w:rPr>
          <w:rFonts w:ascii="Cambria" w:eastAsia="MS Gothic" w:hAnsi="Cambria"/>
          <w:sz w:val="20"/>
          <w:szCs w:val="20"/>
          <w:lang w:eastAsia="fr-FR" w:bidi="fr-FR"/>
        </w:rPr>
      </w:pPr>
    </w:p>
    <w:p w14:paraId="58285591" w14:textId="77777777" w:rsidR="00803E67" w:rsidRPr="00803E67" w:rsidRDefault="00803E67" w:rsidP="00803E67">
      <w:pPr>
        <w:widowControl w:val="0"/>
        <w:jc w:val="both"/>
        <w:rPr>
          <w:rFonts w:eastAsia="MS Gothic"/>
          <w:color w:val="000000"/>
          <w:sz w:val="20"/>
          <w:szCs w:val="20"/>
          <w:lang w:eastAsia="fr-FR" w:bidi="fr-FR"/>
        </w:rPr>
      </w:pPr>
      <w:r w:rsidRPr="00803E67">
        <w:rPr>
          <w:rFonts w:ascii="Cambria" w:eastAsia="MS Gothic" w:hAnsi="Cambria"/>
          <w:sz w:val="20"/>
          <w:lang w:eastAsia="fr-FR" w:bidi="fr-FR"/>
        </w:rPr>
        <w:t>Las asignaciones de cuotas anuales se reparten entre siete sectores de la flota comercial, pero también se prevén asignaciones independientes para las capturas fortuitas autorizadas en la pesca con palangre pelágico —una pesquería de altura— y para las actividades científicas. Las asignaciones a cada flota se gestionan mediante una combinación de cuotas individuales transferibles (ITQ), participaciones en cuotas individuales y sistemas de asignación basados en marcas. Las medidas de ordenación específicas para cada flota se establecen mediante los Planes de conservación de capturas (CHP) anuales y las condiciones de concesión de licencias. El cumplimiento de las cuotas se controla mediante marcas expedidas por el DFO, los requisitos de notificación de capturas, la supervisión en los muelles y, cuando procede, medidas de conciliación de cuotas. Todo el atún rojo retenido debe marcarse inmediatamente tras su captura, desembarcarse mediante programas de seguimiento a pie de muelle, documentarse mediante los documentos de captura de atún rojo y registrarse en el sistema electrónico de documentación de capturas de atún rojo (eBCD) de ICCAT.</w:t>
      </w:r>
    </w:p>
    <w:p w14:paraId="1E6775F7" w14:textId="77777777" w:rsidR="00803E67" w:rsidRPr="00803E67" w:rsidRDefault="00803E67" w:rsidP="00803E67">
      <w:pPr>
        <w:widowControl w:val="0"/>
        <w:rPr>
          <w:rFonts w:ascii="Cambria" w:eastAsia="MS Gothic" w:hAnsi="Cambria"/>
          <w:i/>
          <w:iCs/>
          <w:sz w:val="22"/>
          <w:szCs w:val="22"/>
          <w:lang w:eastAsia="fr-FR" w:bidi="fr-FR"/>
        </w:rPr>
      </w:pPr>
    </w:p>
    <w:p w14:paraId="022559DA" w14:textId="77777777" w:rsidR="00803E67" w:rsidRPr="00803E67" w:rsidRDefault="00803E67" w:rsidP="00803E67">
      <w:pPr>
        <w:widowControl w:val="0"/>
        <w:rPr>
          <w:rFonts w:ascii="Cambria" w:eastAsia="MS Gothic" w:hAnsi="Cambria"/>
          <w:b/>
          <w:bCs/>
          <w:i/>
          <w:iCs/>
          <w:sz w:val="20"/>
          <w:szCs w:val="20"/>
          <w:lang w:eastAsia="fr-FR" w:bidi="fr-FR"/>
        </w:rPr>
      </w:pPr>
      <w:r w:rsidRPr="00803E67">
        <w:rPr>
          <w:rFonts w:ascii="Cambria" w:eastAsia="MS Gothic" w:hAnsi="Cambria"/>
          <w:b/>
          <w:i/>
          <w:sz w:val="20"/>
          <w:lang w:eastAsia="fr-FR" w:bidi="fr-FR"/>
        </w:rPr>
        <w:t>1 b) Cuotas de flota para todos los sectores</w:t>
      </w:r>
    </w:p>
    <w:p w14:paraId="6DF4C0DB" w14:textId="77777777" w:rsidR="00803E67" w:rsidRPr="00803E67" w:rsidRDefault="00803E67" w:rsidP="00803E67">
      <w:pPr>
        <w:widowControl w:val="0"/>
        <w:rPr>
          <w:rFonts w:ascii="Cambria" w:eastAsia="MS Gothic" w:hAnsi="Cambria"/>
          <w:b/>
          <w:bCs/>
          <w:i/>
          <w:iCs/>
          <w:sz w:val="22"/>
          <w:szCs w:val="22"/>
          <w:lang w:eastAsia="fr-FR" w:bidi="fr-FR"/>
        </w:rPr>
      </w:pPr>
    </w:p>
    <w:tbl>
      <w:tblPr>
        <w:tblStyle w:val="TableGrid"/>
        <w:tblW w:w="0" w:type="auto"/>
        <w:tblLook w:val="04A0" w:firstRow="1" w:lastRow="0" w:firstColumn="1" w:lastColumn="0" w:noHBand="0" w:noVBand="1"/>
      </w:tblPr>
      <w:tblGrid>
        <w:gridCol w:w="4225"/>
        <w:gridCol w:w="2250"/>
      </w:tblGrid>
      <w:tr w:rsidR="00803E67" w:rsidRPr="00803E67" w14:paraId="170399D1" w14:textId="77777777" w:rsidTr="00B23AAD">
        <w:tc>
          <w:tcPr>
            <w:tcW w:w="4225" w:type="dxa"/>
          </w:tcPr>
          <w:p w14:paraId="61978865" w14:textId="77777777" w:rsidR="00803E67" w:rsidRPr="00803E67" w:rsidRDefault="00803E67" w:rsidP="00803E67">
            <w:pPr>
              <w:widowControl w:val="0"/>
              <w:rPr>
                <w:rFonts w:ascii="Cambria" w:hAnsi="Cambria"/>
                <w:b/>
                <w:bCs/>
                <w:i/>
                <w:iCs/>
                <w:sz w:val="20"/>
                <w:szCs w:val="20"/>
                <w:lang w:eastAsia="fr-FR"/>
              </w:rPr>
            </w:pPr>
            <w:r w:rsidRPr="00803E67">
              <w:rPr>
                <w:rFonts w:ascii="Cambria" w:hAnsi="Cambria"/>
                <w:b/>
                <w:i/>
                <w:iCs/>
                <w:sz w:val="20"/>
                <w:lang w:eastAsia="fr-FR"/>
              </w:rPr>
              <w:t>Sector de flota</w:t>
            </w:r>
          </w:p>
        </w:tc>
        <w:tc>
          <w:tcPr>
            <w:tcW w:w="2250" w:type="dxa"/>
          </w:tcPr>
          <w:p w14:paraId="0D587EC2" w14:textId="77777777" w:rsidR="00803E67" w:rsidRPr="00803E67" w:rsidRDefault="00803E67" w:rsidP="00803E67">
            <w:pPr>
              <w:widowControl w:val="0"/>
              <w:jc w:val="center"/>
              <w:rPr>
                <w:rFonts w:ascii="Cambria" w:hAnsi="Cambria"/>
                <w:b/>
                <w:bCs/>
                <w:i/>
                <w:iCs/>
                <w:sz w:val="20"/>
                <w:szCs w:val="20"/>
                <w:lang w:eastAsia="fr-FR"/>
              </w:rPr>
            </w:pPr>
            <w:r w:rsidRPr="00803E67">
              <w:rPr>
                <w:rFonts w:ascii="Cambria" w:hAnsi="Cambria"/>
                <w:b/>
                <w:i/>
                <w:iCs/>
                <w:sz w:val="20"/>
                <w:lang w:eastAsia="fr-FR"/>
              </w:rPr>
              <w:t>Cuota (t)</w:t>
            </w:r>
          </w:p>
        </w:tc>
      </w:tr>
      <w:tr w:rsidR="00803E67" w:rsidRPr="00803E67" w14:paraId="3AD78CE1" w14:textId="77777777" w:rsidTr="00B23AAD">
        <w:tc>
          <w:tcPr>
            <w:tcW w:w="4225" w:type="dxa"/>
          </w:tcPr>
          <w:p w14:paraId="0030A964" w14:textId="77777777" w:rsidR="00803E67" w:rsidRPr="00803E67" w:rsidRDefault="00803E67" w:rsidP="00803E67">
            <w:pPr>
              <w:widowControl w:val="0"/>
              <w:rPr>
                <w:rFonts w:ascii="Cambria" w:hAnsi="Cambria"/>
                <w:sz w:val="20"/>
                <w:szCs w:val="20"/>
                <w:lang w:eastAsia="fr-FR"/>
              </w:rPr>
            </w:pPr>
            <w:r w:rsidRPr="00803E67">
              <w:rPr>
                <w:rFonts w:ascii="Cambria" w:hAnsi="Cambria"/>
                <w:sz w:val="20"/>
                <w:lang w:eastAsia="fr-FR"/>
              </w:rPr>
              <w:t>Isla del Príncipe Eduardo</w:t>
            </w:r>
          </w:p>
        </w:tc>
        <w:tc>
          <w:tcPr>
            <w:tcW w:w="2250" w:type="dxa"/>
          </w:tcPr>
          <w:p w14:paraId="65DF1939" w14:textId="77777777" w:rsidR="00803E67" w:rsidRPr="00803E67" w:rsidRDefault="00803E67" w:rsidP="00803E67">
            <w:pPr>
              <w:widowControl w:val="0"/>
              <w:jc w:val="center"/>
              <w:rPr>
                <w:rFonts w:ascii="Cambria" w:hAnsi="Cambria"/>
                <w:sz w:val="20"/>
                <w:szCs w:val="20"/>
                <w:lang w:eastAsia="fr-FR"/>
              </w:rPr>
            </w:pPr>
            <w:r w:rsidRPr="00803E67">
              <w:rPr>
                <w:rFonts w:ascii="Cambria" w:hAnsi="Cambria"/>
                <w:sz w:val="20"/>
                <w:lang w:eastAsia="fr-FR"/>
              </w:rPr>
              <w:t>148,57</w:t>
            </w:r>
          </w:p>
        </w:tc>
      </w:tr>
      <w:tr w:rsidR="00803E67" w:rsidRPr="00803E67" w14:paraId="19743ABC" w14:textId="77777777" w:rsidTr="00B23AAD">
        <w:tc>
          <w:tcPr>
            <w:tcW w:w="4225" w:type="dxa"/>
          </w:tcPr>
          <w:p w14:paraId="7A446E8C" w14:textId="77777777" w:rsidR="00803E67" w:rsidRPr="00803E67" w:rsidRDefault="00803E67" w:rsidP="00803E67">
            <w:pPr>
              <w:widowControl w:val="0"/>
              <w:rPr>
                <w:rFonts w:ascii="Cambria" w:hAnsi="Cambria"/>
                <w:sz w:val="20"/>
                <w:szCs w:val="20"/>
                <w:lang w:eastAsia="fr-FR"/>
              </w:rPr>
            </w:pPr>
            <w:r w:rsidRPr="00803E67">
              <w:rPr>
                <w:rFonts w:ascii="Cambria" w:hAnsi="Cambria"/>
                <w:sz w:val="20"/>
                <w:lang w:eastAsia="fr-FR"/>
              </w:rPr>
              <w:t>Terranova</w:t>
            </w:r>
          </w:p>
        </w:tc>
        <w:tc>
          <w:tcPr>
            <w:tcW w:w="2250" w:type="dxa"/>
          </w:tcPr>
          <w:p w14:paraId="2E51F6C2" w14:textId="77777777" w:rsidR="00803E67" w:rsidRPr="00803E67" w:rsidRDefault="00803E67" w:rsidP="00803E67">
            <w:pPr>
              <w:widowControl w:val="0"/>
              <w:jc w:val="center"/>
              <w:rPr>
                <w:rFonts w:ascii="Cambria" w:hAnsi="Cambria"/>
                <w:sz w:val="20"/>
                <w:szCs w:val="20"/>
                <w:lang w:eastAsia="fr-FR"/>
              </w:rPr>
            </w:pPr>
            <w:r w:rsidRPr="00803E67">
              <w:rPr>
                <w:rFonts w:ascii="Cambria" w:hAnsi="Cambria"/>
                <w:sz w:val="20"/>
                <w:lang w:eastAsia="fr-FR"/>
              </w:rPr>
              <w:t>63,54</w:t>
            </w:r>
          </w:p>
        </w:tc>
      </w:tr>
      <w:tr w:rsidR="00803E67" w:rsidRPr="00803E67" w14:paraId="0E43CD03" w14:textId="77777777" w:rsidTr="00B23AAD">
        <w:tc>
          <w:tcPr>
            <w:tcW w:w="4225" w:type="dxa"/>
          </w:tcPr>
          <w:p w14:paraId="1AFDF200" w14:textId="77777777" w:rsidR="00803E67" w:rsidRPr="00803E67" w:rsidRDefault="00803E67" w:rsidP="00803E67">
            <w:pPr>
              <w:widowControl w:val="0"/>
              <w:rPr>
                <w:rFonts w:ascii="Cambria" w:hAnsi="Cambria"/>
                <w:sz w:val="20"/>
                <w:szCs w:val="20"/>
                <w:lang w:eastAsia="fr-FR"/>
              </w:rPr>
            </w:pPr>
            <w:r w:rsidRPr="00803E67">
              <w:rPr>
                <w:rFonts w:ascii="Cambria" w:hAnsi="Cambria"/>
                <w:sz w:val="20"/>
                <w:lang w:eastAsia="fr-FR"/>
              </w:rPr>
              <w:t>Golfo de Nuevo Brunswick</w:t>
            </w:r>
          </w:p>
        </w:tc>
        <w:tc>
          <w:tcPr>
            <w:tcW w:w="2250" w:type="dxa"/>
          </w:tcPr>
          <w:p w14:paraId="1B39AA37" w14:textId="77777777" w:rsidR="00803E67" w:rsidRPr="00803E67" w:rsidRDefault="00803E67" w:rsidP="00803E67">
            <w:pPr>
              <w:widowControl w:val="0"/>
              <w:jc w:val="center"/>
              <w:rPr>
                <w:rFonts w:ascii="Cambria" w:hAnsi="Cambria"/>
                <w:sz w:val="20"/>
                <w:szCs w:val="20"/>
                <w:lang w:eastAsia="fr-FR"/>
              </w:rPr>
            </w:pPr>
            <w:r w:rsidRPr="00803E67">
              <w:rPr>
                <w:rFonts w:ascii="Cambria" w:hAnsi="Cambria"/>
                <w:sz w:val="20"/>
                <w:lang w:eastAsia="fr-FR"/>
              </w:rPr>
              <w:t>38,65</w:t>
            </w:r>
          </w:p>
        </w:tc>
      </w:tr>
      <w:tr w:rsidR="00803E67" w:rsidRPr="00803E67" w14:paraId="4BC8FA07" w14:textId="77777777" w:rsidTr="00B23AAD">
        <w:tc>
          <w:tcPr>
            <w:tcW w:w="4225" w:type="dxa"/>
          </w:tcPr>
          <w:p w14:paraId="5A1C9513" w14:textId="77777777" w:rsidR="00803E67" w:rsidRPr="00803E67" w:rsidRDefault="00803E67" w:rsidP="00803E67">
            <w:pPr>
              <w:widowControl w:val="0"/>
              <w:rPr>
                <w:rFonts w:ascii="Cambria" w:hAnsi="Cambria"/>
                <w:sz w:val="20"/>
                <w:szCs w:val="20"/>
                <w:lang w:eastAsia="fr-FR"/>
              </w:rPr>
            </w:pPr>
            <w:r w:rsidRPr="00803E67">
              <w:rPr>
                <w:rFonts w:ascii="Cambria" w:hAnsi="Cambria"/>
                <w:sz w:val="20"/>
                <w:lang w:eastAsia="fr-FR"/>
              </w:rPr>
              <w:t>Quebec</w:t>
            </w:r>
          </w:p>
        </w:tc>
        <w:tc>
          <w:tcPr>
            <w:tcW w:w="2250" w:type="dxa"/>
          </w:tcPr>
          <w:p w14:paraId="158FE175" w14:textId="77777777" w:rsidR="00803E67" w:rsidRPr="00803E67" w:rsidRDefault="00803E67" w:rsidP="00803E67">
            <w:pPr>
              <w:widowControl w:val="0"/>
              <w:jc w:val="center"/>
              <w:rPr>
                <w:rFonts w:ascii="Cambria" w:hAnsi="Cambria"/>
                <w:sz w:val="20"/>
                <w:szCs w:val="20"/>
                <w:lang w:eastAsia="fr-FR"/>
              </w:rPr>
            </w:pPr>
            <w:r w:rsidRPr="00803E67">
              <w:rPr>
                <w:rFonts w:ascii="Cambria" w:hAnsi="Cambria"/>
                <w:sz w:val="20"/>
                <w:lang w:eastAsia="fr-FR"/>
              </w:rPr>
              <w:t>25,19</w:t>
            </w:r>
          </w:p>
        </w:tc>
      </w:tr>
      <w:tr w:rsidR="00803E67" w:rsidRPr="00803E67" w14:paraId="7CAB936A" w14:textId="77777777" w:rsidTr="00B23AAD">
        <w:tc>
          <w:tcPr>
            <w:tcW w:w="4225" w:type="dxa"/>
          </w:tcPr>
          <w:p w14:paraId="782CC50B" w14:textId="77777777" w:rsidR="00803E67" w:rsidRPr="00803E67" w:rsidRDefault="00803E67" w:rsidP="00803E67">
            <w:pPr>
              <w:widowControl w:val="0"/>
              <w:rPr>
                <w:rFonts w:ascii="Cambria" w:hAnsi="Cambria"/>
                <w:sz w:val="20"/>
                <w:szCs w:val="20"/>
                <w:lang w:eastAsia="fr-FR"/>
              </w:rPr>
            </w:pPr>
            <w:r w:rsidRPr="00803E67">
              <w:rPr>
                <w:rFonts w:ascii="Cambria" w:hAnsi="Cambria"/>
                <w:sz w:val="20"/>
                <w:lang w:eastAsia="fr-FR"/>
              </w:rPr>
              <w:t>Golfo de Nueva Escocia</w:t>
            </w:r>
          </w:p>
        </w:tc>
        <w:tc>
          <w:tcPr>
            <w:tcW w:w="2250" w:type="dxa"/>
          </w:tcPr>
          <w:p w14:paraId="6890236A" w14:textId="77777777" w:rsidR="00803E67" w:rsidRPr="00803E67" w:rsidRDefault="00803E67" w:rsidP="00803E67">
            <w:pPr>
              <w:widowControl w:val="0"/>
              <w:jc w:val="center"/>
              <w:rPr>
                <w:rFonts w:ascii="Cambria" w:hAnsi="Cambria"/>
                <w:sz w:val="20"/>
                <w:szCs w:val="20"/>
                <w:lang w:eastAsia="fr-FR"/>
              </w:rPr>
            </w:pPr>
            <w:r w:rsidRPr="00803E67">
              <w:rPr>
                <w:rFonts w:ascii="Cambria" w:hAnsi="Cambria"/>
                <w:sz w:val="20"/>
                <w:lang w:eastAsia="fr-FR"/>
              </w:rPr>
              <w:t>55,77</w:t>
            </w:r>
          </w:p>
        </w:tc>
      </w:tr>
      <w:tr w:rsidR="00803E67" w:rsidRPr="00803E67" w14:paraId="799ADADC" w14:textId="77777777" w:rsidTr="00B23AAD">
        <w:tc>
          <w:tcPr>
            <w:tcW w:w="4225" w:type="dxa"/>
          </w:tcPr>
          <w:p w14:paraId="5D4337A7" w14:textId="77777777" w:rsidR="00803E67" w:rsidRPr="00803E67" w:rsidRDefault="00803E67" w:rsidP="00803E67">
            <w:pPr>
              <w:widowControl w:val="0"/>
              <w:rPr>
                <w:rFonts w:ascii="Cambria" w:hAnsi="Cambria"/>
                <w:sz w:val="20"/>
                <w:szCs w:val="20"/>
                <w:lang w:eastAsia="fr-FR"/>
              </w:rPr>
            </w:pPr>
            <w:r w:rsidRPr="00803E67">
              <w:rPr>
                <w:rFonts w:ascii="Cambria" w:hAnsi="Cambria"/>
                <w:sz w:val="20"/>
                <w:lang w:eastAsia="fr-FR"/>
              </w:rPr>
              <w:t>Suroeste de Nueva Escocia</w:t>
            </w:r>
          </w:p>
        </w:tc>
        <w:tc>
          <w:tcPr>
            <w:tcW w:w="2250" w:type="dxa"/>
          </w:tcPr>
          <w:p w14:paraId="76BADC1A" w14:textId="77777777" w:rsidR="00803E67" w:rsidRPr="00803E67" w:rsidRDefault="00803E67" w:rsidP="00803E67">
            <w:pPr>
              <w:widowControl w:val="0"/>
              <w:jc w:val="center"/>
              <w:rPr>
                <w:rFonts w:ascii="Cambria" w:hAnsi="Cambria"/>
                <w:sz w:val="20"/>
                <w:szCs w:val="20"/>
                <w:lang w:eastAsia="fr-FR"/>
              </w:rPr>
            </w:pPr>
            <w:r w:rsidRPr="00803E67">
              <w:rPr>
                <w:rFonts w:ascii="Cambria" w:hAnsi="Cambria"/>
                <w:sz w:val="20"/>
                <w:lang w:eastAsia="fr-FR"/>
              </w:rPr>
              <w:t>107,39</w:t>
            </w:r>
          </w:p>
        </w:tc>
      </w:tr>
      <w:tr w:rsidR="00803E67" w:rsidRPr="00803E67" w14:paraId="30094070" w14:textId="77777777" w:rsidTr="00B23AAD">
        <w:tc>
          <w:tcPr>
            <w:tcW w:w="4225" w:type="dxa"/>
          </w:tcPr>
          <w:p w14:paraId="44CB2F38" w14:textId="77777777" w:rsidR="00803E67" w:rsidRPr="00803E67" w:rsidRDefault="00803E67" w:rsidP="00803E67">
            <w:pPr>
              <w:widowControl w:val="0"/>
              <w:rPr>
                <w:rFonts w:ascii="Cambria" w:hAnsi="Cambria"/>
                <w:sz w:val="20"/>
                <w:szCs w:val="20"/>
                <w:lang w:eastAsia="fr-FR"/>
              </w:rPr>
            </w:pPr>
            <w:r w:rsidRPr="00803E67">
              <w:rPr>
                <w:rFonts w:ascii="Cambria" w:hAnsi="Cambria"/>
                <w:sz w:val="20"/>
                <w:lang w:eastAsia="fr-FR"/>
              </w:rPr>
              <w:t>Bahía de Santa Margarita</w:t>
            </w:r>
          </w:p>
        </w:tc>
        <w:tc>
          <w:tcPr>
            <w:tcW w:w="2250" w:type="dxa"/>
          </w:tcPr>
          <w:p w14:paraId="41DF5694" w14:textId="77777777" w:rsidR="00803E67" w:rsidRPr="00803E67" w:rsidRDefault="00803E67" w:rsidP="00803E67">
            <w:pPr>
              <w:widowControl w:val="0"/>
              <w:jc w:val="center"/>
              <w:rPr>
                <w:rFonts w:ascii="Cambria" w:hAnsi="Cambria"/>
                <w:sz w:val="20"/>
                <w:szCs w:val="20"/>
                <w:lang w:eastAsia="fr-FR"/>
              </w:rPr>
            </w:pPr>
            <w:r w:rsidRPr="00803E67">
              <w:rPr>
                <w:rFonts w:ascii="Cambria" w:hAnsi="Cambria"/>
                <w:sz w:val="20"/>
                <w:lang w:eastAsia="fr-FR"/>
              </w:rPr>
              <w:t>55,77</w:t>
            </w:r>
          </w:p>
        </w:tc>
      </w:tr>
      <w:tr w:rsidR="00803E67" w:rsidRPr="00803E67" w14:paraId="43EC11A3" w14:textId="77777777" w:rsidTr="00B23AAD">
        <w:tc>
          <w:tcPr>
            <w:tcW w:w="4225" w:type="dxa"/>
          </w:tcPr>
          <w:p w14:paraId="6DF9C5E7" w14:textId="77777777" w:rsidR="00803E67" w:rsidRPr="00803E67" w:rsidRDefault="00803E67" w:rsidP="00803E67">
            <w:pPr>
              <w:widowControl w:val="0"/>
              <w:rPr>
                <w:rFonts w:ascii="Cambria" w:hAnsi="Cambria"/>
                <w:sz w:val="20"/>
                <w:szCs w:val="20"/>
                <w:lang w:eastAsia="fr-FR"/>
              </w:rPr>
            </w:pPr>
          </w:p>
        </w:tc>
        <w:tc>
          <w:tcPr>
            <w:tcW w:w="2250" w:type="dxa"/>
          </w:tcPr>
          <w:p w14:paraId="222A181F" w14:textId="77777777" w:rsidR="00803E67" w:rsidRPr="00803E67" w:rsidRDefault="00803E67" w:rsidP="00803E67">
            <w:pPr>
              <w:widowControl w:val="0"/>
              <w:jc w:val="center"/>
              <w:rPr>
                <w:rFonts w:ascii="Cambria" w:hAnsi="Cambria"/>
                <w:sz w:val="20"/>
                <w:szCs w:val="20"/>
                <w:lang w:eastAsia="fr-FR"/>
              </w:rPr>
            </w:pPr>
          </w:p>
        </w:tc>
      </w:tr>
      <w:tr w:rsidR="00803E67" w:rsidRPr="00803E67" w14:paraId="6637F9B9" w14:textId="77777777" w:rsidTr="00B23AAD">
        <w:tc>
          <w:tcPr>
            <w:tcW w:w="4225" w:type="dxa"/>
          </w:tcPr>
          <w:p w14:paraId="526D72C7" w14:textId="77777777" w:rsidR="00803E67" w:rsidRPr="00803E67" w:rsidRDefault="00803E67" w:rsidP="00803E67">
            <w:pPr>
              <w:widowControl w:val="0"/>
              <w:rPr>
                <w:rFonts w:ascii="Cambria" w:hAnsi="Cambria"/>
                <w:sz w:val="20"/>
                <w:szCs w:val="20"/>
                <w:lang w:eastAsia="fr-FR"/>
              </w:rPr>
            </w:pPr>
            <w:r w:rsidRPr="00803E67">
              <w:rPr>
                <w:rFonts w:ascii="Cambria" w:hAnsi="Cambria"/>
                <w:sz w:val="20"/>
                <w:lang w:eastAsia="fr-FR"/>
              </w:rPr>
              <w:t>Palangre pelágico (asignación de capturas fortuitas)</w:t>
            </w:r>
          </w:p>
        </w:tc>
        <w:tc>
          <w:tcPr>
            <w:tcW w:w="2250" w:type="dxa"/>
          </w:tcPr>
          <w:p w14:paraId="4BD930F5" w14:textId="77777777" w:rsidR="00803E67" w:rsidRPr="00803E67" w:rsidRDefault="00803E67" w:rsidP="00803E67">
            <w:pPr>
              <w:widowControl w:val="0"/>
              <w:jc w:val="center"/>
              <w:rPr>
                <w:rFonts w:ascii="Cambria" w:hAnsi="Cambria"/>
                <w:sz w:val="20"/>
                <w:szCs w:val="20"/>
                <w:lang w:eastAsia="fr-FR"/>
              </w:rPr>
            </w:pPr>
            <w:r w:rsidRPr="00803E67">
              <w:rPr>
                <w:rFonts w:ascii="Cambria" w:hAnsi="Cambria"/>
                <w:sz w:val="20"/>
                <w:lang w:eastAsia="fr-FR"/>
              </w:rPr>
              <w:t>18,76</w:t>
            </w:r>
          </w:p>
        </w:tc>
      </w:tr>
      <w:tr w:rsidR="00803E67" w:rsidRPr="00803E67" w14:paraId="2EA43C8F" w14:textId="77777777" w:rsidTr="00B23AAD">
        <w:tc>
          <w:tcPr>
            <w:tcW w:w="4225" w:type="dxa"/>
          </w:tcPr>
          <w:p w14:paraId="0C741C6E" w14:textId="77777777" w:rsidR="00803E67" w:rsidRPr="00803E67" w:rsidRDefault="00803E67" w:rsidP="00803E67">
            <w:pPr>
              <w:widowControl w:val="0"/>
              <w:rPr>
                <w:rFonts w:ascii="Cambria" w:hAnsi="Cambria"/>
                <w:sz w:val="20"/>
                <w:szCs w:val="20"/>
                <w:lang w:eastAsia="fr-FR"/>
              </w:rPr>
            </w:pPr>
            <w:r w:rsidRPr="00803E67">
              <w:rPr>
                <w:rFonts w:ascii="Cambria" w:hAnsi="Cambria"/>
                <w:sz w:val="20"/>
                <w:lang w:eastAsia="fr-FR"/>
              </w:rPr>
              <w:t>Licencia de pesca de altura</w:t>
            </w:r>
          </w:p>
        </w:tc>
        <w:tc>
          <w:tcPr>
            <w:tcW w:w="2250" w:type="dxa"/>
          </w:tcPr>
          <w:p w14:paraId="5D7362DA" w14:textId="77777777" w:rsidR="00803E67" w:rsidRPr="00803E67" w:rsidRDefault="00803E67" w:rsidP="00803E67">
            <w:pPr>
              <w:widowControl w:val="0"/>
              <w:jc w:val="center"/>
              <w:rPr>
                <w:rFonts w:ascii="Cambria" w:hAnsi="Cambria"/>
                <w:sz w:val="20"/>
                <w:szCs w:val="20"/>
                <w:lang w:eastAsia="fr-FR"/>
              </w:rPr>
            </w:pPr>
            <w:r w:rsidRPr="00803E67">
              <w:rPr>
                <w:rFonts w:ascii="Cambria" w:hAnsi="Cambria"/>
                <w:sz w:val="20"/>
                <w:lang w:eastAsia="fr-FR"/>
              </w:rPr>
              <w:t>20</w:t>
            </w:r>
          </w:p>
        </w:tc>
      </w:tr>
      <w:tr w:rsidR="00803E67" w:rsidRPr="00803E67" w14:paraId="0B7F4EBF" w14:textId="77777777" w:rsidTr="00B23AAD">
        <w:tc>
          <w:tcPr>
            <w:tcW w:w="4225" w:type="dxa"/>
          </w:tcPr>
          <w:p w14:paraId="6DB3FAFC" w14:textId="77777777" w:rsidR="00803E67" w:rsidRPr="00803E67" w:rsidRDefault="00803E67" w:rsidP="00803E67">
            <w:pPr>
              <w:widowControl w:val="0"/>
              <w:rPr>
                <w:rFonts w:ascii="Cambria" w:hAnsi="Cambria"/>
                <w:sz w:val="20"/>
                <w:szCs w:val="20"/>
                <w:lang w:eastAsia="fr-FR"/>
              </w:rPr>
            </w:pPr>
            <w:r w:rsidRPr="00803E67">
              <w:rPr>
                <w:rFonts w:ascii="Cambria" w:hAnsi="Cambria"/>
                <w:sz w:val="20"/>
                <w:lang w:eastAsia="fr-FR"/>
              </w:rPr>
              <w:t>Reserva</w:t>
            </w:r>
          </w:p>
        </w:tc>
        <w:tc>
          <w:tcPr>
            <w:tcW w:w="2250" w:type="dxa"/>
          </w:tcPr>
          <w:p w14:paraId="2CB088DD" w14:textId="77777777" w:rsidR="00803E67" w:rsidRPr="00803E67" w:rsidRDefault="00803E67" w:rsidP="00803E67">
            <w:pPr>
              <w:widowControl w:val="0"/>
              <w:jc w:val="center"/>
              <w:rPr>
                <w:rFonts w:ascii="Cambria" w:hAnsi="Cambria"/>
                <w:sz w:val="20"/>
                <w:szCs w:val="20"/>
                <w:lang w:eastAsia="fr-FR"/>
              </w:rPr>
            </w:pPr>
            <w:r w:rsidRPr="00803E67">
              <w:rPr>
                <w:rFonts w:ascii="Cambria" w:hAnsi="Cambria"/>
                <w:sz w:val="20"/>
                <w:lang w:eastAsia="fr-FR"/>
              </w:rPr>
              <w:t>10</w:t>
            </w:r>
          </w:p>
        </w:tc>
      </w:tr>
      <w:tr w:rsidR="00803E67" w:rsidRPr="00803E67" w14:paraId="4FFA6D2F" w14:textId="77777777" w:rsidTr="00B23AAD">
        <w:tc>
          <w:tcPr>
            <w:tcW w:w="4225" w:type="dxa"/>
          </w:tcPr>
          <w:p w14:paraId="2DFC9B4D" w14:textId="77777777" w:rsidR="00803E67" w:rsidRPr="00803E67" w:rsidRDefault="00803E67" w:rsidP="00803E67">
            <w:pPr>
              <w:widowControl w:val="0"/>
              <w:rPr>
                <w:rFonts w:ascii="Cambria" w:hAnsi="Cambria"/>
                <w:sz w:val="20"/>
                <w:szCs w:val="20"/>
                <w:lang w:eastAsia="fr-FR"/>
              </w:rPr>
            </w:pPr>
            <w:r w:rsidRPr="00803E67">
              <w:rPr>
                <w:rFonts w:ascii="Cambria" w:hAnsi="Cambria"/>
                <w:sz w:val="20"/>
                <w:lang w:eastAsia="fr-FR"/>
              </w:rPr>
              <w:t>Cuota acumulada (asignada en virtud de la Rec. 22-10, párrafo 5 c))</w:t>
            </w:r>
          </w:p>
        </w:tc>
        <w:tc>
          <w:tcPr>
            <w:tcW w:w="2250" w:type="dxa"/>
          </w:tcPr>
          <w:p w14:paraId="4EDEAF5D" w14:textId="77777777" w:rsidR="00803E67" w:rsidRPr="00803E67" w:rsidRDefault="00803E67" w:rsidP="00803E67">
            <w:pPr>
              <w:widowControl w:val="0"/>
              <w:jc w:val="center"/>
              <w:rPr>
                <w:rFonts w:ascii="Cambria" w:hAnsi="Cambria"/>
                <w:sz w:val="20"/>
                <w:szCs w:val="20"/>
                <w:lang w:eastAsia="fr-FR"/>
              </w:rPr>
            </w:pPr>
            <w:r w:rsidRPr="00803E67">
              <w:rPr>
                <w:rFonts w:ascii="Cambria" w:hAnsi="Cambria"/>
                <w:sz w:val="20"/>
                <w:lang w:eastAsia="fr-FR"/>
              </w:rPr>
              <w:t>543,65</w:t>
            </w:r>
          </w:p>
        </w:tc>
      </w:tr>
      <w:tr w:rsidR="00803E67" w:rsidRPr="00803E67" w14:paraId="2F2F478A" w14:textId="77777777" w:rsidTr="00B23AAD">
        <w:trPr>
          <w:trHeight w:val="300"/>
        </w:trPr>
        <w:tc>
          <w:tcPr>
            <w:tcW w:w="4225" w:type="dxa"/>
          </w:tcPr>
          <w:p w14:paraId="553B7B37" w14:textId="77777777" w:rsidR="00803E67" w:rsidRPr="00803E67" w:rsidRDefault="00803E67" w:rsidP="00803E67">
            <w:pPr>
              <w:widowControl w:val="0"/>
              <w:rPr>
                <w:rFonts w:ascii="Cambria" w:hAnsi="Cambria"/>
                <w:sz w:val="20"/>
                <w:szCs w:val="20"/>
                <w:lang w:eastAsia="fr-FR"/>
              </w:rPr>
            </w:pPr>
          </w:p>
        </w:tc>
        <w:tc>
          <w:tcPr>
            <w:tcW w:w="2250" w:type="dxa"/>
          </w:tcPr>
          <w:p w14:paraId="65F2D055" w14:textId="77777777" w:rsidR="00803E67" w:rsidRPr="00803E67" w:rsidRDefault="00803E67" w:rsidP="00803E67">
            <w:pPr>
              <w:widowControl w:val="0"/>
              <w:jc w:val="center"/>
              <w:rPr>
                <w:rFonts w:ascii="Cambria" w:hAnsi="Cambria"/>
                <w:sz w:val="20"/>
                <w:szCs w:val="20"/>
                <w:lang w:eastAsia="fr-FR"/>
              </w:rPr>
            </w:pPr>
          </w:p>
        </w:tc>
      </w:tr>
      <w:tr w:rsidR="00803E67" w:rsidRPr="00803E67" w14:paraId="4691F601" w14:textId="77777777" w:rsidTr="00B23AAD">
        <w:tc>
          <w:tcPr>
            <w:tcW w:w="4225" w:type="dxa"/>
          </w:tcPr>
          <w:p w14:paraId="43D839DF" w14:textId="77777777" w:rsidR="00803E67" w:rsidRPr="00803E67" w:rsidRDefault="00803E67" w:rsidP="00803E67">
            <w:pPr>
              <w:widowControl w:val="0"/>
              <w:rPr>
                <w:rFonts w:ascii="Cambria" w:hAnsi="Cambria"/>
                <w:sz w:val="20"/>
                <w:szCs w:val="20"/>
                <w:lang w:eastAsia="fr-FR"/>
              </w:rPr>
            </w:pPr>
            <w:r w:rsidRPr="00803E67">
              <w:rPr>
                <w:rFonts w:ascii="Cambria" w:hAnsi="Cambria"/>
                <w:sz w:val="20"/>
                <w:lang w:eastAsia="fr-FR"/>
              </w:rPr>
              <w:t>Recreo</w:t>
            </w:r>
          </w:p>
        </w:tc>
        <w:tc>
          <w:tcPr>
            <w:tcW w:w="2250" w:type="dxa"/>
          </w:tcPr>
          <w:p w14:paraId="5930F774" w14:textId="77777777" w:rsidR="00803E67" w:rsidRPr="00803E67" w:rsidRDefault="00803E67" w:rsidP="00803E67">
            <w:pPr>
              <w:widowControl w:val="0"/>
              <w:jc w:val="center"/>
              <w:rPr>
                <w:rFonts w:ascii="Cambria" w:hAnsi="Cambria"/>
                <w:sz w:val="20"/>
                <w:szCs w:val="20"/>
                <w:lang w:eastAsia="fr-FR"/>
              </w:rPr>
            </w:pPr>
            <w:r w:rsidRPr="00803E67">
              <w:rPr>
                <w:rFonts w:ascii="Cambria" w:hAnsi="Cambria"/>
                <w:sz w:val="20"/>
                <w:lang w:eastAsia="fr-FR"/>
              </w:rPr>
              <w:t>N/A</w:t>
            </w:r>
          </w:p>
        </w:tc>
      </w:tr>
      <w:tr w:rsidR="00803E67" w:rsidRPr="00803E67" w14:paraId="69FC13DD" w14:textId="77777777" w:rsidTr="00B23AAD">
        <w:tc>
          <w:tcPr>
            <w:tcW w:w="4225" w:type="dxa"/>
          </w:tcPr>
          <w:p w14:paraId="68976E89" w14:textId="77777777" w:rsidR="00803E67" w:rsidRPr="00803E67" w:rsidRDefault="00803E67" w:rsidP="00803E67">
            <w:pPr>
              <w:widowControl w:val="0"/>
              <w:rPr>
                <w:rFonts w:ascii="Cambria" w:hAnsi="Cambria"/>
                <w:sz w:val="20"/>
                <w:szCs w:val="20"/>
                <w:lang w:eastAsia="fr-FR"/>
              </w:rPr>
            </w:pPr>
            <w:r w:rsidRPr="00803E67">
              <w:rPr>
                <w:rFonts w:ascii="Cambria" w:hAnsi="Cambria"/>
                <w:sz w:val="20"/>
                <w:lang w:eastAsia="fr-FR"/>
              </w:rPr>
              <w:t>Capturas fortuitas en la pesca con palangre</w:t>
            </w:r>
            <w:r w:rsidRPr="00803E67">
              <w:rPr>
                <w:rFonts w:ascii="Cambria" w:hAnsi="Cambria"/>
                <w:sz w:val="20"/>
                <w:lang w:eastAsia="fr-FR"/>
              </w:rPr>
              <w:br/>
              <w:t>(en virtud de la Rec. 22-10, párrafo 5 a))</w:t>
            </w:r>
          </w:p>
        </w:tc>
        <w:tc>
          <w:tcPr>
            <w:tcW w:w="2250" w:type="dxa"/>
          </w:tcPr>
          <w:p w14:paraId="1478665F" w14:textId="77777777" w:rsidR="00803E67" w:rsidRPr="00803E67" w:rsidRDefault="00803E67" w:rsidP="00803E67">
            <w:pPr>
              <w:widowControl w:val="0"/>
              <w:jc w:val="center"/>
              <w:rPr>
                <w:rFonts w:ascii="Cambria" w:hAnsi="Cambria"/>
                <w:sz w:val="20"/>
                <w:szCs w:val="20"/>
                <w:lang w:eastAsia="fr-FR"/>
              </w:rPr>
            </w:pPr>
            <w:r w:rsidRPr="00803E67">
              <w:rPr>
                <w:rFonts w:ascii="Cambria" w:hAnsi="Cambria"/>
                <w:sz w:val="20"/>
                <w:lang w:eastAsia="fr-FR"/>
              </w:rPr>
              <w:t>15 (flota de palangre pelágico para la pesca del pez espada)</w:t>
            </w:r>
          </w:p>
        </w:tc>
      </w:tr>
      <w:tr w:rsidR="00803E67" w:rsidRPr="00803E67" w14:paraId="3D1954C0" w14:textId="77777777" w:rsidTr="00B23AAD">
        <w:trPr>
          <w:trHeight w:val="300"/>
        </w:trPr>
        <w:tc>
          <w:tcPr>
            <w:tcW w:w="4225" w:type="dxa"/>
          </w:tcPr>
          <w:p w14:paraId="0692FED3" w14:textId="77777777" w:rsidR="00803E67" w:rsidRPr="00803E67" w:rsidRDefault="00803E67" w:rsidP="00803E67">
            <w:pPr>
              <w:widowControl w:val="0"/>
              <w:rPr>
                <w:rFonts w:ascii="Cambria" w:hAnsi="Cambria"/>
                <w:sz w:val="20"/>
                <w:szCs w:val="20"/>
                <w:lang w:eastAsia="fr-FR"/>
              </w:rPr>
            </w:pPr>
          </w:p>
        </w:tc>
        <w:tc>
          <w:tcPr>
            <w:tcW w:w="2250" w:type="dxa"/>
          </w:tcPr>
          <w:p w14:paraId="50468997" w14:textId="77777777" w:rsidR="00803E67" w:rsidRPr="00803E67" w:rsidRDefault="00803E67" w:rsidP="00803E67">
            <w:pPr>
              <w:widowControl w:val="0"/>
              <w:jc w:val="center"/>
              <w:rPr>
                <w:rFonts w:ascii="Cambria" w:hAnsi="Cambria"/>
                <w:sz w:val="20"/>
                <w:szCs w:val="20"/>
                <w:lang w:eastAsia="fr-FR"/>
              </w:rPr>
            </w:pPr>
          </w:p>
        </w:tc>
      </w:tr>
      <w:tr w:rsidR="00803E67" w:rsidRPr="00803E67" w14:paraId="37E8930E" w14:textId="77777777" w:rsidTr="00B23AAD">
        <w:trPr>
          <w:trHeight w:val="300"/>
        </w:trPr>
        <w:tc>
          <w:tcPr>
            <w:tcW w:w="4225" w:type="dxa"/>
          </w:tcPr>
          <w:p w14:paraId="0FD51D00" w14:textId="77777777" w:rsidR="00803E67" w:rsidRPr="00803E67" w:rsidRDefault="00803E67" w:rsidP="00803E67">
            <w:pPr>
              <w:widowControl w:val="0"/>
              <w:rPr>
                <w:rFonts w:ascii="Cambria" w:hAnsi="Cambria"/>
                <w:b/>
                <w:bCs/>
                <w:sz w:val="20"/>
                <w:szCs w:val="20"/>
                <w:lang w:eastAsia="fr-FR"/>
              </w:rPr>
            </w:pPr>
            <w:r w:rsidRPr="00803E67">
              <w:rPr>
                <w:rFonts w:ascii="Cambria" w:hAnsi="Cambria"/>
                <w:b/>
                <w:sz w:val="20"/>
                <w:lang w:eastAsia="fr-FR"/>
              </w:rPr>
              <w:t>Asignación total 2025</w:t>
            </w:r>
          </w:p>
        </w:tc>
        <w:tc>
          <w:tcPr>
            <w:tcW w:w="2250" w:type="dxa"/>
          </w:tcPr>
          <w:p w14:paraId="7DC634E8" w14:textId="77777777" w:rsidR="00803E67" w:rsidRPr="00803E67" w:rsidRDefault="00803E67" w:rsidP="00803E67">
            <w:pPr>
              <w:widowControl w:val="0"/>
              <w:jc w:val="center"/>
              <w:rPr>
                <w:rFonts w:ascii="Cambria" w:hAnsi="Cambria"/>
                <w:b/>
                <w:bCs/>
                <w:sz w:val="20"/>
                <w:szCs w:val="20"/>
                <w:lang w:eastAsia="fr-FR"/>
              </w:rPr>
            </w:pPr>
            <w:r w:rsidRPr="00803E67">
              <w:rPr>
                <w:rFonts w:ascii="Cambria" w:hAnsi="Cambria"/>
                <w:b/>
                <w:sz w:val="20"/>
                <w:lang w:eastAsia="fr-FR"/>
              </w:rPr>
              <w:t>558,65</w:t>
            </w:r>
          </w:p>
        </w:tc>
      </w:tr>
    </w:tbl>
    <w:p w14:paraId="6DC0F55F" w14:textId="7BCC1D04" w:rsidR="00803E67" w:rsidRPr="00803E67" w:rsidRDefault="00803E67" w:rsidP="00803E67">
      <w:pPr>
        <w:widowControl w:val="0"/>
        <w:rPr>
          <w:rFonts w:ascii="Cambria" w:eastAsia="MS Gothic" w:hAnsi="Cambria"/>
          <w:b/>
          <w:bCs/>
          <w:i/>
          <w:iCs/>
          <w:sz w:val="20"/>
          <w:szCs w:val="20"/>
          <w:lang w:eastAsia="fr-FR" w:bidi="fr-FR"/>
        </w:rPr>
      </w:pPr>
      <w:r w:rsidRPr="00803E67">
        <w:rPr>
          <w:rFonts w:ascii="Cambria" w:eastAsia="MS Gothic" w:hAnsi="Cambria"/>
          <w:b/>
          <w:bCs/>
          <w:i/>
          <w:iCs/>
          <w:sz w:val="20"/>
          <w:szCs w:val="20"/>
          <w:lang w:eastAsia="fr-FR" w:bidi="fr-FR"/>
        </w:rPr>
        <w:br w:type="page"/>
      </w:r>
      <w:r w:rsidRPr="00803E67">
        <w:rPr>
          <w:rFonts w:ascii="Cambria" w:eastAsia="MS Gothic" w:hAnsi="Cambria"/>
          <w:b/>
          <w:i/>
          <w:sz w:val="20"/>
          <w:lang w:eastAsia="fr-FR" w:bidi="fr-FR"/>
        </w:rPr>
        <w:lastRenderedPageBreak/>
        <w:t>1 c) Método utilizado para asignar y gestionar esas cuotas</w:t>
      </w:r>
    </w:p>
    <w:p w14:paraId="1E9235ED" w14:textId="77777777" w:rsidR="00803E67" w:rsidRPr="00803E67" w:rsidRDefault="00803E67" w:rsidP="00803E67">
      <w:pPr>
        <w:widowControl w:val="0"/>
        <w:rPr>
          <w:rFonts w:ascii="Cambria" w:eastAsia="MS Gothic" w:hAnsi="Cambria"/>
          <w:sz w:val="20"/>
          <w:szCs w:val="20"/>
          <w:lang w:eastAsia="fr-FR" w:bidi="fr-FR"/>
        </w:rPr>
      </w:pPr>
    </w:p>
    <w:p w14:paraId="6A2B74AD" w14:textId="77777777" w:rsidR="00803E67" w:rsidRPr="00803E67" w:rsidRDefault="00803E67" w:rsidP="00803E67">
      <w:pPr>
        <w:widowControl w:val="0"/>
        <w:jc w:val="both"/>
        <w:rPr>
          <w:rFonts w:ascii="Cambria" w:eastAsia="Cambria" w:hAnsi="Cambria" w:cs="Cambria"/>
          <w:color w:val="000000"/>
          <w:sz w:val="20"/>
          <w:szCs w:val="20"/>
          <w:lang w:eastAsia="fr-FR" w:bidi="fr-FR"/>
        </w:rPr>
      </w:pPr>
      <w:r w:rsidRPr="00803E67">
        <w:rPr>
          <w:rFonts w:ascii="Cambria" w:eastAsia="MS Gothic" w:hAnsi="Cambria"/>
          <w:color w:val="000000"/>
          <w:sz w:val="20"/>
          <w:lang w:eastAsia="fr-FR" w:bidi="fr-FR"/>
        </w:rPr>
        <w:t>Tras deducir una cantidad de 48,76 toneladas métricas de la asignación de Canadá de conformidad con lo dispuesto en el párrafo 5 c) de la Recomendación 22</w:t>
      </w:r>
      <w:r w:rsidRPr="00803E67">
        <w:rPr>
          <w:rFonts w:ascii="Cambria" w:eastAsia="MS Gothic" w:hAnsi="Cambria"/>
          <w:color w:val="000000"/>
          <w:sz w:val="20"/>
          <w:lang w:eastAsia="fr-FR" w:bidi="fr-FR"/>
        </w:rPr>
        <w:noBreakHyphen/>
        <w:t xml:space="preserve">10, correspondiente a las capturas fortuitas en la pesquería de palangre pelágico, al acceso dirigido de la flota con licencia de altura y a una reserva, el TAC canadiense se repartió entre las siete flotas costeras según la siguiente fórmula de reparto: </w:t>
      </w:r>
    </w:p>
    <w:p w14:paraId="2027F7CD" w14:textId="77777777" w:rsidR="00803E67" w:rsidRPr="00803E67" w:rsidRDefault="00803E67" w:rsidP="00803E67">
      <w:pPr>
        <w:widowControl w:val="0"/>
        <w:spacing w:line="259" w:lineRule="auto"/>
        <w:rPr>
          <w:rFonts w:ascii="Cambria" w:eastAsia="Cambria" w:hAnsi="Cambria" w:cs="Cambria"/>
          <w:color w:val="000000"/>
          <w:sz w:val="20"/>
          <w:szCs w:val="20"/>
          <w:lang w:eastAsia="fr-FR" w:bidi="fr-FR"/>
        </w:rPr>
      </w:pPr>
    </w:p>
    <w:tbl>
      <w:tblPr>
        <w:tblStyle w:val="TableGrid"/>
        <w:tblW w:w="0" w:type="auto"/>
        <w:tblLook w:val="06A0" w:firstRow="1" w:lastRow="0" w:firstColumn="1" w:lastColumn="0" w:noHBand="1" w:noVBand="1"/>
      </w:tblPr>
      <w:tblGrid>
        <w:gridCol w:w="4530"/>
        <w:gridCol w:w="4530"/>
      </w:tblGrid>
      <w:tr w:rsidR="00803E67" w:rsidRPr="00803E67" w14:paraId="16892486" w14:textId="77777777" w:rsidTr="00B23AAD">
        <w:trPr>
          <w:trHeight w:val="300"/>
        </w:trPr>
        <w:tc>
          <w:tcPr>
            <w:tcW w:w="4530" w:type="dxa"/>
          </w:tcPr>
          <w:p w14:paraId="385A3CFA" w14:textId="77777777" w:rsidR="00803E67" w:rsidRPr="00803E67" w:rsidRDefault="00803E67" w:rsidP="00803E67">
            <w:pPr>
              <w:widowControl w:val="0"/>
              <w:spacing w:line="276" w:lineRule="auto"/>
              <w:rPr>
                <w:rFonts w:ascii="Cambria" w:eastAsia="Cambria" w:hAnsi="Cambria" w:cs="Cambria"/>
                <w:sz w:val="20"/>
                <w:szCs w:val="20"/>
                <w:lang w:eastAsia="fr-FR"/>
              </w:rPr>
            </w:pPr>
            <w:r w:rsidRPr="00803E67">
              <w:rPr>
                <w:rFonts w:ascii="Cambria" w:hAnsi="Cambria"/>
                <w:b/>
                <w:bCs/>
                <w:i/>
                <w:iCs/>
                <w:sz w:val="20"/>
                <w:lang w:eastAsia="fr-FR"/>
              </w:rPr>
              <w:t>Flota</w:t>
            </w:r>
          </w:p>
        </w:tc>
        <w:tc>
          <w:tcPr>
            <w:tcW w:w="4530" w:type="dxa"/>
          </w:tcPr>
          <w:p w14:paraId="78E223ED" w14:textId="77777777" w:rsidR="00803E67" w:rsidRPr="00803E67" w:rsidRDefault="00803E67" w:rsidP="00803E67">
            <w:pPr>
              <w:widowControl w:val="0"/>
              <w:jc w:val="center"/>
              <w:rPr>
                <w:rFonts w:ascii="Cambria" w:eastAsia="Cambria" w:hAnsi="Cambria" w:cs="Cambria"/>
                <w:sz w:val="20"/>
                <w:szCs w:val="20"/>
                <w:lang w:eastAsia="fr-FR"/>
              </w:rPr>
            </w:pPr>
            <w:r w:rsidRPr="00803E67">
              <w:rPr>
                <w:rFonts w:ascii="Cambria" w:hAnsi="Cambria"/>
                <w:b/>
                <w:bCs/>
                <w:i/>
                <w:iCs/>
                <w:sz w:val="20"/>
                <w:lang w:eastAsia="fr-FR"/>
              </w:rPr>
              <w:t>Parte en % de la flota</w:t>
            </w:r>
          </w:p>
        </w:tc>
      </w:tr>
      <w:tr w:rsidR="00803E67" w:rsidRPr="00803E67" w14:paraId="7D4DB85A" w14:textId="77777777" w:rsidTr="00B23AAD">
        <w:trPr>
          <w:trHeight w:val="300"/>
        </w:trPr>
        <w:tc>
          <w:tcPr>
            <w:tcW w:w="4530" w:type="dxa"/>
          </w:tcPr>
          <w:p w14:paraId="264AF209" w14:textId="77777777" w:rsidR="00803E67" w:rsidRPr="00803E67" w:rsidRDefault="00803E67" w:rsidP="00803E67">
            <w:pPr>
              <w:widowControl w:val="0"/>
              <w:spacing w:line="276" w:lineRule="auto"/>
              <w:rPr>
                <w:rFonts w:ascii="Cambria" w:eastAsia="Cambria" w:hAnsi="Cambria" w:cs="Cambria"/>
                <w:sz w:val="20"/>
                <w:szCs w:val="20"/>
                <w:lang w:eastAsia="fr-FR"/>
              </w:rPr>
            </w:pPr>
            <w:r w:rsidRPr="00803E67">
              <w:rPr>
                <w:rFonts w:ascii="Cambria" w:hAnsi="Cambria"/>
                <w:sz w:val="20"/>
                <w:lang w:eastAsia="fr-FR"/>
              </w:rPr>
              <w:t>Isla del Príncipe Eduardo</w:t>
            </w:r>
          </w:p>
        </w:tc>
        <w:tc>
          <w:tcPr>
            <w:tcW w:w="4530" w:type="dxa"/>
          </w:tcPr>
          <w:p w14:paraId="24341671" w14:textId="77777777" w:rsidR="00803E67" w:rsidRPr="00803E67" w:rsidRDefault="00803E67" w:rsidP="00803E67">
            <w:pPr>
              <w:widowControl w:val="0"/>
              <w:jc w:val="center"/>
              <w:rPr>
                <w:rFonts w:ascii="Cambria" w:eastAsia="Cambria" w:hAnsi="Cambria" w:cs="Cambria"/>
                <w:sz w:val="20"/>
                <w:szCs w:val="20"/>
                <w:lang w:eastAsia="fr-FR"/>
              </w:rPr>
            </w:pPr>
            <w:r w:rsidRPr="00803E67">
              <w:rPr>
                <w:rFonts w:ascii="Cambria" w:hAnsi="Cambria"/>
                <w:sz w:val="20"/>
                <w:lang w:eastAsia="fr-FR"/>
              </w:rPr>
              <w:t>30,02</w:t>
            </w:r>
          </w:p>
        </w:tc>
      </w:tr>
      <w:tr w:rsidR="00803E67" w:rsidRPr="00803E67" w14:paraId="2A2B76B8" w14:textId="77777777" w:rsidTr="00B23AAD">
        <w:trPr>
          <w:trHeight w:val="300"/>
        </w:trPr>
        <w:tc>
          <w:tcPr>
            <w:tcW w:w="4530" w:type="dxa"/>
          </w:tcPr>
          <w:p w14:paraId="29A64397" w14:textId="77777777" w:rsidR="00803E67" w:rsidRPr="00803E67" w:rsidRDefault="00803E67" w:rsidP="00803E67">
            <w:pPr>
              <w:widowControl w:val="0"/>
              <w:spacing w:line="276" w:lineRule="auto"/>
              <w:rPr>
                <w:rFonts w:ascii="Cambria" w:eastAsia="Cambria" w:hAnsi="Cambria" w:cs="Cambria"/>
                <w:sz w:val="20"/>
                <w:szCs w:val="20"/>
                <w:lang w:eastAsia="fr-FR"/>
              </w:rPr>
            </w:pPr>
            <w:r w:rsidRPr="00803E67">
              <w:rPr>
                <w:rFonts w:ascii="Cambria" w:hAnsi="Cambria"/>
                <w:sz w:val="20"/>
                <w:lang w:eastAsia="fr-FR"/>
              </w:rPr>
              <w:t>Terranova</w:t>
            </w:r>
          </w:p>
        </w:tc>
        <w:tc>
          <w:tcPr>
            <w:tcW w:w="4530" w:type="dxa"/>
          </w:tcPr>
          <w:p w14:paraId="6A7BCB19" w14:textId="77777777" w:rsidR="00803E67" w:rsidRPr="00803E67" w:rsidRDefault="00803E67" w:rsidP="00803E67">
            <w:pPr>
              <w:widowControl w:val="0"/>
              <w:jc w:val="center"/>
              <w:rPr>
                <w:rFonts w:ascii="Cambria" w:eastAsia="Cambria" w:hAnsi="Cambria" w:cs="Cambria"/>
                <w:sz w:val="20"/>
                <w:szCs w:val="20"/>
                <w:lang w:eastAsia="fr-FR"/>
              </w:rPr>
            </w:pPr>
            <w:r w:rsidRPr="00803E67">
              <w:rPr>
                <w:rFonts w:ascii="Cambria" w:hAnsi="Cambria"/>
                <w:sz w:val="20"/>
                <w:lang w:eastAsia="fr-FR"/>
              </w:rPr>
              <w:t>12,84</w:t>
            </w:r>
          </w:p>
        </w:tc>
      </w:tr>
      <w:tr w:rsidR="00803E67" w:rsidRPr="00803E67" w14:paraId="58BF168C" w14:textId="77777777" w:rsidTr="00B23AAD">
        <w:trPr>
          <w:trHeight w:val="300"/>
        </w:trPr>
        <w:tc>
          <w:tcPr>
            <w:tcW w:w="4530" w:type="dxa"/>
          </w:tcPr>
          <w:p w14:paraId="60763540" w14:textId="77777777" w:rsidR="00803E67" w:rsidRPr="00803E67" w:rsidRDefault="00803E67" w:rsidP="00803E67">
            <w:pPr>
              <w:widowControl w:val="0"/>
              <w:rPr>
                <w:rFonts w:ascii="Cambria" w:eastAsia="Cambria" w:hAnsi="Cambria" w:cs="Cambria"/>
                <w:sz w:val="20"/>
                <w:szCs w:val="20"/>
                <w:lang w:eastAsia="fr-FR"/>
              </w:rPr>
            </w:pPr>
            <w:r w:rsidRPr="00803E67">
              <w:rPr>
                <w:rFonts w:ascii="Cambria" w:hAnsi="Cambria"/>
                <w:sz w:val="20"/>
                <w:lang w:eastAsia="fr-FR"/>
              </w:rPr>
              <w:t>Golfo de Nuevo Brunswick</w:t>
            </w:r>
          </w:p>
        </w:tc>
        <w:tc>
          <w:tcPr>
            <w:tcW w:w="4530" w:type="dxa"/>
          </w:tcPr>
          <w:p w14:paraId="31E5D23C" w14:textId="77777777" w:rsidR="00803E67" w:rsidRPr="00803E67" w:rsidRDefault="00803E67" w:rsidP="00803E67">
            <w:pPr>
              <w:widowControl w:val="0"/>
              <w:jc w:val="center"/>
              <w:rPr>
                <w:rFonts w:ascii="Cambria" w:eastAsia="Cambria" w:hAnsi="Cambria" w:cs="Cambria"/>
                <w:sz w:val="20"/>
                <w:szCs w:val="20"/>
                <w:lang w:eastAsia="fr-FR"/>
              </w:rPr>
            </w:pPr>
            <w:r w:rsidRPr="00803E67">
              <w:rPr>
                <w:rFonts w:ascii="Cambria" w:hAnsi="Cambria"/>
                <w:sz w:val="20"/>
                <w:lang w:eastAsia="fr-FR"/>
              </w:rPr>
              <w:t>7,81</w:t>
            </w:r>
          </w:p>
        </w:tc>
      </w:tr>
      <w:tr w:rsidR="00803E67" w:rsidRPr="00803E67" w14:paraId="596ADDC6" w14:textId="77777777" w:rsidTr="00B23AAD">
        <w:trPr>
          <w:trHeight w:val="300"/>
        </w:trPr>
        <w:tc>
          <w:tcPr>
            <w:tcW w:w="4530" w:type="dxa"/>
          </w:tcPr>
          <w:p w14:paraId="35D0CF07" w14:textId="77777777" w:rsidR="00803E67" w:rsidRPr="00803E67" w:rsidRDefault="00803E67" w:rsidP="00803E67">
            <w:pPr>
              <w:widowControl w:val="0"/>
              <w:rPr>
                <w:rFonts w:ascii="Cambria" w:eastAsia="Cambria" w:hAnsi="Cambria" w:cs="Cambria"/>
                <w:sz w:val="20"/>
                <w:szCs w:val="20"/>
                <w:lang w:eastAsia="fr-FR"/>
              </w:rPr>
            </w:pPr>
            <w:r w:rsidRPr="00803E67">
              <w:rPr>
                <w:rFonts w:ascii="Cambria" w:hAnsi="Cambria"/>
                <w:sz w:val="20"/>
                <w:lang w:eastAsia="fr-FR"/>
              </w:rPr>
              <w:t>Quebec</w:t>
            </w:r>
          </w:p>
        </w:tc>
        <w:tc>
          <w:tcPr>
            <w:tcW w:w="4530" w:type="dxa"/>
          </w:tcPr>
          <w:p w14:paraId="26A3150A" w14:textId="77777777" w:rsidR="00803E67" w:rsidRPr="00803E67" w:rsidRDefault="00803E67" w:rsidP="00803E67">
            <w:pPr>
              <w:widowControl w:val="0"/>
              <w:jc w:val="center"/>
              <w:rPr>
                <w:rFonts w:ascii="Cambria" w:eastAsia="Cambria" w:hAnsi="Cambria" w:cs="Cambria"/>
                <w:sz w:val="20"/>
                <w:szCs w:val="20"/>
                <w:lang w:eastAsia="fr-FR"/>
              </w:rPr>
            </w:pPr>
            <w:r w:rsidRPr="00803E67">
              <w:rPr>
                <w:rFonts w:ascii="Cambria" w:hAnsi="Cambria"/>
                <w:sz w:val="20"/>
                <w:lang w:eastAsia="fr-FR"/>
              </w:rPr>
              <w:t>5,09</w:t>
            </w:r>
          </w:p>
        </w:tc>
      </w:tr>
      <w:tr w:rsidR="00803E67" w:rsidRPr="00803E67" w14:paraId="5781AA74" w14:textId="77777777" w:rsidTr="00B23AAD">
        <w:trPr>
          <w:trHeight w:val="300"/>
        </w:trPr>
        <w:tc>
          <w:tcPr>
            <w:tcW w:w="4530" w:type="dxa"/>
          </w:tcPr>
          <w:p w14:paraId="73CAD728" w14:textId="77777777" w:rsidR="00803E67" w:rsidRPr="00803E67" w:rsidRDefault="00803E67" w:rsidP="00803E67">
            <w:pPr>
              <w:widowControl w:val="0"/>
              <w:rPr>
                <w:rFonts w:ascii="Cambria" w:eastAsia="Cambria" w:hAnsi="Cambria" w:cs="Cambria"/>
                <w:sz w:val="20"/>
                <w:szCs w:val="20"/>
                <w:lang w:eastAsia="fr-FR"/>
              </w:rPr>
            </w:pPr>
            <w:r w:rsidRPr="00803E67">
              <w:rPr>
                <w:rFonts w:ascii="Cambria" w:hAnsi="Cambria"/>
                <w:sz w:val="20"/>
                <w:lang w:eastAsia="fr-FR"/>
              </w:rPr>
              <w:t>Golfo de Nueva Escocia</w:t>
            </w:r>
          </w:p>
        </w:tc>
        <w:tc>
          <w:tcPr>
            <w:tcW w:w="4530" w:type="dxa"/>
          </w:tcPr>
          <w:p w14:paraId="47AD1EC1" w14:textId="77777777" w:rsidR="00803E67" w:rsidRPr="00803E67" w:rsidRDefault="00803E67" w:rsidP="00803E67">
            <w:pPr>
              <w:widowControl w:val="0"/>
              <w:jc w:val="center"/>
              <w:rPr>
                <w:rFonts w:ascii="Cambria" w:eastAsia="Cambria" w:hAnsi="Cambria" w:cs="Cambria"/>
                <w:sz w:val="20"/>
                <w:szCs w:val="20"/>
                <w:lang w:eastAsia="fr-FR"/>
              </w:rPr>
            </w:pPr>
            <w:r w:rsidRPr="00803E67">
              <w:rPr>
                <w:rFonts w:ascii="Cambria" w:hAnsi="Cambria"/>
                <w:sz w:val="20"/>
                <w:lang w:eastAsia="fr-FR"/>
              </w:rPr>
              <w:t>11,27</w:t>
            </w:r>
          </w:p>
        </w:tc>
      </w:tr>
      <w:tr w:rsidR="00803E67" w:rsidRPr="00803E67" w14:paraId="4231F350" w14:textId="77777777" w:rsidTr="00B23AAD">
        <w:trPr>
          <w:trHeight w:val="300"/>
        </w:trPr>
        <w:tc>
          <w:tcPr>
            <w:tcW w:w="4530" w:type="dxa"/>
          </w:tcPr>
          <w:p w14:paraId="247503E7" w14:textId="77777777" w:rsidR="00803E67" w:rsidRPr="00803E67" w:rsidRDefault="00803E67" w:rsidP="00803E67">
            <w:pPr>
              <w:widowControl w:val="0"/>
              <w:rPr>
                <w:rFonts w:ascii="Cambria" w:eastAsia="Cambria" w:hAnsi="Cambria" w:cs="Cambria"/>
                <w:sz w:val="20"/>
                <w:szCs w:val="20"/>
                <w:lang w:eastAsia="fr-FR"/>
              </w:rPr>
            </w:pPr>
            <w:r w:rsidRPr="00803E67">
              <w:rPr>
                <w:rFonts w:ascii="Cambria" w:hAnsi="Cambria"/>
                <w:sz w:val="20"/>
                <w:lang w:eastAsia="fr-FR"/>
              </w:rPr>
              <w:t>Suroeste de Nueva Escocia</w:t>
            </w:r>
          </w:p>
        </w:tc>
        <w:tc>
          <w:tcPr>
            <w:tcW w:w="4530" w:type="dxa"/>
          </w:tcPr>
          <w:p w14:paraId="38236DA4" w14:textId="77777777" w:rsidR="00803E67" w:rsidRPr="00803E67" w:rsidRDefault="00803E67" w:rsidP="00803E67">
            <w:pPr>
              <w:widowControl w:val="0"/>
              <w:jc w:val="center"/>
              <w:rPr>
                <w:rFonts w:ascii="Cambria" w:eastAsia="Cambria" w:hAnsi="Cambria" w:cs="Cambria"/>
                <w:sz w:val="20"/>
                <w:szCs w:val="20"/>
                <w:lang w:eastAsia="fr-FR"/>
              </w:rPr>
            </w:pPr>
            <w:r w:rsidRPr="00803E67">
              <w:rPr>
                <w:rFonts w:ascii="Cambria" w:hAnsi="Cambria"/>
                <w:sz w:val="20"/>
                <w:lang w:eastAsia="fr-FR"/>
              </w:rPr>
              <w:t>21,70</w:t>
            </w:r>
          </w:p>
        </w:tc>
      </w:tr>
      <w:tr w:rsidR="00803E67" w:rsidRPr="00803E67" w14:paraId="3B580FFC" w14:textId="77777777" w:rsidTr="00B23AAD">
        <w:trPr>
          <w:trHeight w:val="300"/>
        </w:trPr>
        <w:tc>
          <w:tcPr>
            <w:tcW w:w="4530" w:type="dxa"/>
          </w:tcPr>
          <w:p w14:paraId="11500986" w14:textId="77777777" w:rsidR="00803E67" w:rsidRPr="00803E67" w:rsidRDefault="00803E67" w:rsidP="00803E67">
            <w:pPr>
              <w:widowControl w:val="0"/>
              <w:rPr>
                <w:rFonts w:ascii="Cambria" w:eastAsia="Cambria" w:hAnsi="Cambria" w:cs="Cambria"/>
                <w:sz w:val="20"/>
                <w:szCs w:val="20"/>
                <w:lang w:eastAsia="fr-FR"/>
              </w:rPr>
            </w:pPr>
            <w:r w:rsidRPr="00803E67">
              <w:rPr>
                <w:rFonts w:ascii="Cambria" w:hAnsi="Cambria"/>
                <w:sz w:val="20"/>
                <w:lang w:eastAsia="fr-FR"/>
              </w:rPr>
              <w:t>Bahía de Santa Margarita</w:t>
            </w:r>
          </w:p>
        </w:tc>
        <w:tc>
          <w:tcPr>
            <w:tcW w:w="4530" w:type="dxa"/>
          </w:tcPr>
          <w:p w14:paraId="468A1BC4" w14:textId="77777777" w:rsidR="00803E67" w:rsidRPr="00803E67" w:rsidRDefault="00803E67" w:rsidP="00803E67">
            <w:pPr>
              <w:widowControl w:val="0"/>
              <w:jc w:val="center"/>
              <w:rPr>
                <w:rFonts w:ascii="Cambria" w:eastAsia="Cambria" w:hAnsi="Cambria" w:cs="Cambria"/>
                <w:sz w:val="20"/>
                <w:szCs w:val="20"/>
                <w:lang w:eastAsia="fr-FR"/>
              </w:rPr>
            </w:pPr>
            <w:r w:rsidRPr="00803E67">
              <w:rPr>
                <w:rFonts w:ascii="Cambria" w:hAnsi="Cambria"/>
                <w:sz w:val="20"/>
                <w:lang w:eastAsia="fr-FR"/>
              </w:rPr>
              <w:t>11,27</w:t>
            </w:r>
          </w:p>
        </w:tc>
      </w:tr>
    </w:tbl>
    <w:p w14:paraId="3C6A11F6" w14:textId="77777777" w:rsidR="00803E67" w:rsidRPr="00803E67" w:rsidRDefault="00803E67" w:rsidP="00803E67">
      <w:pPr>
        <w:widowControl w:val="0"/>
        <w:jc w:val="both"/>
        <w:rPr>
          <w:rFonts w:ascii="Cambria" w:eastAsia="MS Gothic" w:hAnsi="Cambria"/>
          <w:i/>
          <w:sz w:val="20"/>
          <w:szCs w:val="20"/>
          <w:lang w:eastAsia="fr-FR" w:bidi="fr-FR"/>
        </w:rPr>
      </w:pPr>
    </w:p>
    <w:p w14:paraId="4C3FD4EC" w14:textId="77777777" w:rsidR="00803E67" w:rsidRPr="00803E67" w:rsidRDefault="00803E67" w:rsidP="00803E67">
      <w:pPr>
        <w:widowControl w:val="0"/>
        <w:jc w:val="both"/>
        <w:rPr>
          <w:rFonts w:ascii="Cambria" w:eastAsia="MS Gothic" w:hAnsi="Cambria"/>
          <w:b/>
          <w:bCs/>
          <w:i/>
          <w:iCs/>
          <w:sz w:val="20"/>
          <w:szCs w:val="20"/>
          <w:lang w:eastAsia="fr-FR" w:bidi="fr-FR"/>
        </w:rPr>
      </w:pPr>
      <w:r w:rsidRPr="00803E67">
        <w:rPr>
          <w:rFonts w:ascii="Cambria" w:eastAsia="MS Gothic" w:hAnsi="Cambria"/>
          <w:b/>
          <w:i/>
          <w:sz w:val="20"/>
          <w:lang w:eastAsia="fr-FR" w:bidi="fr-FR"/>
        </w:rPr>
        <w:t>1 d) Ajuste en caso de exceso o de remanente de captura (párr. 8)</w:t>
      </w:r>
    </w:p>
    <w:p w14:paraId="47D8314F" w14:textId="77777777" w:rsidR="00803E67" w:rsidRPr="00803E67" w:rsidRDefault="00803E67" w:rsidP="00803E67">
      <w:pPr>
        <w:widowControl w:val="0"/>
        <w:jc w:val="both"/>
        <w:rPr>
          <w:rFonts w:ascii="Cambria" w:eastAsia="MS Gothic" w:hAnsi="Cambria"/>
          <w:sz w:val="20"/>
          <w:szCs w:val="20"/>
          <w:lang w:eastAsia="fr-FR" w:bidi="fr-FR"/>
        </w:rPr>
      </w:pPr>
    </w:p>
    <w:p w14:paraId="4BE879CB" w14:textId="77777777" w:rsidR="00803E67" w:rsidRPr="00803E67" w:rsidRDefault="00803E67" w:rsidP="00803E67">
      <w:pPr>
        <w:jc w:val="both"/>
        <w:rPr>
          <w:rFonts w:ascii="Cambria" w:eastAsia="MS Gothic" w:hAnsi="Cambria"/>
          <w:sz w:val="20"/>
          <w:szCs w:val="20"/>
          <w:lang w:eastAsia="fr-FR" w:bidi="fr-FR"/>
        </w:rPr>
      </w:pPr>
      <w:r w:rsidRPr="00803E67">
        <w:rPr>
          <w:rFonts w:ascii="Cambria" w:eastAsia="MS Gothic" w:hAnsi="Cambria"/>
          <w:sz w:val="20"/>
          <w:lang w:eastAsia="fr-FR" w:bidi="fr-FR"/>
        </w:rPr>
        <w:t>Canadá gestiona los casos de exceso y remanente de captura de conformidad con las recomendaciones pertinentes de ICCAT. Los ajustes de las cuotas, incluido el traspaso de las cuotas no capturadas y las deducciones derivadas del exceso de captura, se incorporan a los cálculos anuales de las cuotas según sea necesario. Cuando procede, se aplican medidas de conciliación de cuotas a nivel de flota o de licencia para dar cuenta de los excesos de cuota y garantizar que las capturas futuras se mantengan dentro de los límites autorizados.</w:t>
      </w:r>
    </w:p>
    <w:p w14:paraId="30952F46" w14:textId="77777777" w:rsidR="00803E67" w:rsidRPr="00803E67" w:rsidRDefault="00803E67" w:rsidP="00803E67">
      <w:pPr>
        <w:jc w:val="both"/>
        <w:rPr>
          <w:rFonts w:eastAsia="MS Gothic"/>
          <w:color w:val="000000"/>
          <w:sz w:val="20"/>
          <w:szCs w:val="20"/>
          <w:lang w:eastAsia="fr-FR" w:bidi="fr-FR"/>
        </w:rPr>
      </w:pPr>
    </w:p>
    <w:p w14:paraId="664351B1" w14:textId="77777777" w:rsidR="00803E67" w:rsidRPr="00803E67" w:rsidRDefault="00803E67" w:rsidP="00803E67">
      <w:pPr>
        <w:jc w:val="both"/>
        <w:rPr>
          <w:rFonts w:ascii="Cambria" w:eastAsia="MS Gothic" w:hAnsi="Cambria"/>
          <w:sz w:val="20"/>
          <w:szCs w:val="20"/>
          <w:lang w:eastAsia="fr-FR" w:bidi="fr-FR"/>
        </w:rPr>
      </w:pPr>
      <w:r w:rsidRPr="00803E67">
        <w:rPr>
          <w:rFonts w:ascii="Cambria" w:eastAsia="MS Gothic" w:hAnsi="Cambria"/>
          <w:sz w:val="20"/>
          <w:lang w:eastAsia="fr-FR" w:bidi="fr-FR"/>
        </w:rPr>
        <w:t>Tras las transferencias de cuotas y otros ajustes, la cuota final ajustada de atún rojo de Canadá para 2025 fue de 668,50 t. Las capturas reales ascendieron a 671,60 t, lo que supuso un exceso de captura de 3,09 t que se concilió en 2026.</w:t>
      </w:r>
    </w:p>
    <w:p w14:paraId="3FA1D528" w14:textId="77777777" w:rsidR="00803E67" w:rsidRPr="00803E67" w:rsidRDefault="00803E67" w:rsidP="00803E67">
      <w:pPr>
        <w:jc w:val="both"/>
        <w:rPr>
          <w:rFonts w:ascii="Cambria" w:eastAsia="MS Gothic" w:hAnsi="Cambria"/>
          <w:sz w:val="20"/>
          <w:szCs w:val="20"/>
          <w:lang w:eastAsia="fr-FR" w:bidi="fr-FR"/>
        </w:rPr>
      </w:pPr>
    </w:p>
    <w:p w14:paraId="3E7B41EA" w14:textId="77777777" w:rsidR="00803E67" w:rsidRPr="00803E67" w:rsidRDefault="00803E67" w:rsidP="00803E67">
      <w:pPr>
        <w:jc w:val="both"/>
        <w:rPr>
          <w:rFonts w:ascii="Cambria" w:eastAsia="MS Gothic" w:hAnsi="Cambria"/>
          <w:sz w:val="20"/>
          <w:szCs w:val="20"/>
          <w:lang w:eastAsia="fr-FR" w:bidi="fr-FR"/>
        </w:rPr>
      </w:pPr>
    </w:p>
    <w:p w14:paraId="199C7471" w14:textId="77777777" w:rsidR="00803E67" w:rsidRPr="00803E67" w:rsidRDefault="00803E67" w:rsidP="00803E67">
      <w:pPr>
        <w:tabs>
          <w:tab w:val="left" w:pos="426"/>
        </w:tabs>
        <w:jc w:val="both"/>
        <w:rPr>
          <w:rFonts w:ascii="Cambria" w:eastAsia="MS Gothic" w:hAnsi="Cambria"/>
          <w:b/>
          <w:sz w:val="20"/>
          <w:szCs w:val="20"/>
          <w:lang w:eastAsia="fr-FR" w:bidi="fr-FR"/>
        </w:rPr>
      </w:pPr>
      <w:r w:rsidRPr="00803E67">
        <w:rPr>
          <w:rFonts w:ascii="Cambria" w:eastAsia="MS Gothic" w:hAnsi="Cambria"/>
          <w:b/>
          <w:sz w:val="20"/>
          <w:lang w:eastAsia="fr-FR" w:bidi="fr-FR"/>
        </w:rPr>
        <w:t>2.</w:t>
      </w:r>
      <w:r w:rsidRPr="00803E67">
        <w:rPr>
          <w:rFonts w:ascii="Cambria" w:eastAsia="MS Gothic" w:hAnsi="Cambria"/>
          <w:b/>
          <w:sz w:val="20"/>
          <w:lang w:eastAsia="fr-FR" w:bidi="fr-FR"/>
        </w:rPr>
        <w:tab/>
        <w:t>Medidas de control de las pesquerías y de las capturas fortuitas (párr. 3)</w:t>
      </w:r>
    </w:p>
    <w:p w14:paraId="222BE300" w14:textId="77777777" w:rsidR="00803E67" w:rsidRPr="00803E67" w:rsidRDefault="00803E67" w:rsidP="00803E67">
      <w:pPr>
        <w:widowControl w:val="0"/>
        <w:rPr>
          <w:rFonts w:ascii="Cambria" w:eastAsia="MS Gothic" w:hAnsi="Cambria"/>
          <w:i/>
          <w:iCs/>
          <w:sz w:val="22"/>
          <w:szCs w:val="22"/>
          <w:lang w:eastAsia="fr-FR" w:bidi="fr-FR"/>
        </w:rPr>
      </w:pPr>
    </w:p>
    <w:tbl>
      <w:tblPr>
        <w:tblStyle w:val="TableGrid"/>
        <w:tblpPr w:leftFromText="180" w:rightFromText="180" w:vertAnchor="text" w:tblpXSpec="center" w:tblpY="1"/>
        <w:tblOverlap w:val="never"/>
        <w:tblW w:w="9036" w:type="dxa"/>
        <w:jc w:val="center"/>
        <w:tblLook w:val="04A0" w:firstRow="1" w:lastRow="0" w:firstColumn="1" w:lastColumn="0" w:noHBand="0" w:noVBand="1"/>
      </w:tblPr>
      <w:tblGrid>
        <w:gridCol w:w="492"/>
        <w:gridCol w:w="2023"/>
        <w:gridCol w:w="6521"/>
      </w:tblGrid>
      <w:tr w:rsidR="00803E67" w:rsidRPr="00803E67" w14:paraId="543B346F" w14:textId="77777777" w:rsidTr="00B23AAD">
        <w:trPr>
          <w:trHeight w:val="300"/>
          <w:tblHeader/>
          <w:jc w:val="center"/>
        </w:trPr>
        <w:tc>
          <w:tcPr>
            <w:tcW w:w="492" w:type="dxa"/>
          </w:tcPr>
          <w:p w14:paraId="08B04993" w14:textId="77777777" w:rsidR="00803E67" w:rsidRPr="00803E67" w:rsidRDefault="00803E67" w:rsidP="00803E67">
            <w:pPr>
              <w:widowControl w:val="0"/>
              <w:rPr>
                <w:rFonts w:ascii="Cambria" w:hAnsi="Cambria" w:cs="Calibri"/>
                <w:b/>
                <w:bCs/>
                <w:sz w:val="20"/>
                <w:szCs w:val="20"/>
                <w:lang w:eastAsia="fr-FR"/>
              </w:rPr>
            </w:pPr>
          </w:p>
        </w:tc>
        <w:tc>
          <w:tcPr>
            <w:tcW w:w="2023" w:type="dxa"/>
            <w:vAlign w:val="center"/>
          </w:tcPr>
          <w:p w14:paraId="6E034652" w14:textId="77777777" w:rsidR="00803E67" w:rsidRPr="00803E67" w:rsidRDefault="00803E67" w:rsidP="00803E67">
            <w:pPr>
              <w:widowControl w:val="0"/>
              <w:jc w:val="center"/>
              <w:rPr>
                <w:rFonts w:ascii="Cambria" w:hAnsi="Cambria" w:cs="Calibri"/>
                <w:b/>
                <w:bCs/>
                <w:i/>
                <w:sz w:val="20"/>
                <w:szCs w:val="20"/>
                <w:lang w:eastAsia="fr-FR"/>
              </w:rPr>
            </w:pPr>
            <w:r w:rsidRPr="00803E67">
              <w:rPr>
                <w:rFonts w:ascii="Cambria" w:hAnsi="Cambria"/>
                <w:b/>
                <w:i/>
                <w:sz w:val="20"/>
                <w:lang w:eastAsia="fr-FR"/>
              </w:rPr>
              <w:t>Requisito ICCAT</w:t>
            </w:r>
          </w:p>
          <w:p w14:paraId="0EADA14B" w14:textId="77777777" w:rsidR="00803E67" w:rsidRPr="00803E67" w:rsidRDefault="00803E67" w:rsidP="00803E67">
            <w:pPr>
              <w:widowControl w:val="0"/>
              <w:jc w:val="center"/>
              <w:rPr>
                <w:rFonts w:ascii="Cambria" w:hAnsi="Cambria" w:cs="Calibri"/>
                <w:b/>
                <w:bCs/>
                <w:i/>
                <w:sz w:val="20"/>
                <w:szCs w:val="20"/>
                <w:lang w:eastAsia="fr-FR"/>
              </w:rPr>
            </w:pPr>
            <w:r w:rsidRPr="00803E67">
              <w:rPr>
                <w:rFonts w:ascii="Cambria" w:hAnsi="Cambria"/>
                <w:b/>
                <w:i/>
                <w:sz w:val="20"/>
                <w:lang w:eastAsia="fr-FR"/>
              </w:rPr>
              <w:t>(en virtud de</w:t>
            </w:r>
            <w:r w:rsidRPr="00803E67">
              <w:rPr>
                <w:rFonts w:ascii="Cambria" w:hAnsi="Cambria"/>
                <w:b/>
                <w:i/>
                <w:sz w:val="20"/>
                <w:lang w:eastAsia="fr-FR"/>
              </w:rPr>
              <w:br/>
              <w:t xml:space="preserve">la </w:t>
            </w:r>
            <w:hyperlink r:id="rId14" w:history="1">
              <w:r w:rsidRPr="00803E67">
                <w:rPr>
                  <w:rFonts w:ascii="Cambria" w:hAnsi="Cambria"/>
                  <w:b/>
                  <w:i/>
                  <w:color w:val="0563C1"/>
                  <w:sz w:val="20"/>
                  <w:lang w:eastAsia="fr-FR"/>
                </w:rPr>
                <w:t>Rec.</w:t>
              </w:r>
            </w:hyperlink>
            <w:hyperlink r:id="rId15" w:history="1">
              <w:r w:rsidRPr="00803E67">
                <w:rPr>
                  <w:rFonts w:ascii="Cambria" w:hAnsi="Cambria"/>
                  <w:b/>
                  <w:i/>
                  <w:color w:val="0563C1"/>
                  <w:sz w:val="20"/>
                  <w:lang w:eastAsia="fr-FR"/>
                </w:rPr>
                <w:t xml:space="preserve"> 25-05</w:t>
              </w:r>
            </w:hyperlink>
            <w:r w:rsidRPr="00803E67">
              <w:rPr>
                <w:rFonts w:ascii="Cambria" w:hAnsi="Cambria"/>
                <w:b/>
                <w:i/>
                <w:sz w:val="20"/>
                <w:lang w:eastAsia="fr-FR"/>
              </w:rPr>
              <w:t>)</w:t>
            </w:r>
          </w:p>
        </w:tc>
        <w:tc>
          <w:tcPr>
            <w:tcW w:w="6521" w:type="dxa"/>
            <w:vAlign w:val="center"/>
          </w:tcPr>
          <w:p w14:paraId="36116422" w14:textId="77777777" w:rsidR="00803E67" w:rsidRPr="00803E67" w:rsidRDefault="00803E67" w:rsidP="00803E67">
            <w:pPr>
              <w:widowControl w:val="0"/>
              <w:jc w:val="center"/>
              <w:rPr>
                <w:rFonts w:ascii="Cambria" w:hAnsi="Cambria" w:cs="Calibri"/>
                <w:b/>
                <w:bCs/>
                <w:i/>
                <w:sz w:val="20"/>
                <w:szCs w:val="20"/>
                <w:lang w:eastAsia="fr-FR"/>
              </w:rPr>
            </w:pPr>
            <w:r w:rsidRPr="00803E67">
              <w:rPr>
                <w:rFonts w:ascii="Cambria" w:hAnsi="Cambria"/>
                <w:b/>
                <w:i/>
                <w:sz w:val="20"/>
                <w:lang w:eastAsia="fr-FR"/>
              </w:rPr>
              <w:t>Explicación de las medidas adoptadas por la CPC para su aplicación, incluida la legislación y la normativa nacional pertinentes</w:t>
            </w:r>
          </w:p>
        </w:tc>
      </w:tr>
      <w:tr w:rsidR="00803E67" w:rsidRPr="00803E67" w14:paraId="11AEF154" w14:textId="77777777" w:rsidTr="00B23AAD">
        <w:trPr>
          <w:trHeight w:val="300"/>
          <w:jc w:val="center"/>
        </w:trPr>
        <w:tc>
          <w:tcPr>
            <w:tcW w:w="492" w:type="dxa"/>
          </w:tcPr>
          <w:p w14:paraId="7E57561F" w14:textId="77777777" w:rsidR="00803E67" w:rsidRPr="00803E67" w:rsidRDefault="00803E67" w:rsidP="00803E67">
            <w:pPr>
              <w:widowControl w:val="0"/>
              <w:rPr>
                <w:rFonts w:ascii="Cambria" w:hAnsi="Cambria" w:cs="Calibri"/>
                <w:sz w:val="20"/>
                <w:szCs w:val="20"/>
                <w:lang w:eastAsia="fr-FR"/>
              </w:rPr>
            </w:pPr>
            <w:r w:rsidRPr="00803E67">
              <w:rPr>
                <w:rFonts w:ascii="Cambria" w:hAnsi="Cambria"/>
                <w:sz w:val="20"/>
                <w:lang w:eastAsia="fr-FR"/>
              </w:rPr>
              <w:t>1</w:t>
            </w:r>
          </w:p>
        </w:tc>
        <w:tc>
          <w:tcPr>
            <w:tcW w:w="2023" w:type="dxa"/>
            <w:vAlign w:val="center"/>
          </w:tcPr>
          <w:p w14:paraId="778FCE42" w14:textId="77777777" w:rsidR="00803E67" w:rsidRPr="00803E67" w:rsidDel="00C371CA" w:rsidRDefault="00803E67" w:rsidP="00803E67">
            <w:pPr>
              <w:widowControl w:val="0"/>
              <w:rPr>
                <w:rFonts w:ascii="Cambria" w:hAnsi="Cambria" w:cs="Calibri"/>
                <w:sz w:val="20"/>
                <w:szCs w:val="20"/>
                <w:lang w:eastAsia="fr-FR"/>
              </w:rPr>
            </w:pPr>
            <w:r w:rsidRPr="00803E67">
              <w:rPr>
                <w:rFonts w:ascii="Cambria" w:hAnsi="Cambria"/>
                <w:sz w:val="20"/>
                <w:lang w:eastAsia="fr-FR"/>
              </w:rPr>
              <w:t>Límites de capacidad y esfuerzo (párr. 2)</w:t>
            </w:r>
          </w:p>
        </w:tc>
        <w:tc>
          <w:tcPr>
            <w:tcW w:w="6521" w:type="dxa"/>
          </w:tcPr>
          <w:p w14:paraId="62E8A280" w14:textId="77777777" w:rsidR="00803E67" w:rsidRPr="00803E67" w:rsidRDefault="00803E67" w:rsidP="00803E67">
            <w:pPr>
              <w:widowControl w:val="0"/>
              <w:rPr>
                <w:rFonts w:ascii="Cambria" w:hAnsi="Cambria" w:cs="Calibri"/>
                <w:sz w:val="20"/>
                <w:szCs w:val="20"/>
                <w:lang w:eastAsia="fr-FR"/>
              </w:rPr>
            </w:pPr>
            <w:r w:rsidRPr="00803E67">
              <w:rPr>
                <w:rFonts w:ascii="Cambria" w:hAnsi="Cambria"/>
                <w:sz w:val="20"/>
                <w:lang w:eastAsia="fr-FR"/>
              </w:rPr>
              <w:t>N/A - Esta entrada no se aplica a las CPC que solo disponen de cuota en el Atlántico occidental.</w:t>
            </w:r>
          </w:p>
        </w:tc>
      </w:tr>
      <w:tr w:rsidR="00803E67" w:rsidRPr="00803E67" w14:paraId="26394F9D" w14:textId="77777777" w:rsidTr="00B23AAD">
        <w:trPr>
          <w:trHeight w:val="300"/>
          <w:jc w:val="center"/>
        </w:trPr>
        <w:tc>
          <w:tcPr>
            <w:tcW w:w="492" w:type="dxa"/>
          </w:tcPr>
          <w:p w14:paraId="7F6CDB69" w14:textId="77777777" w:rsidR="00803E67" w:rsidRPr="00803E67" w:rsidRDefault="00803E67" w:rsidP="00803E67">
            <w:pPr>
              <w:widowControl w:val="0"/>
              <w:rPr>
                <w:rFonts w:ascii="Cambria" w:hAnsi="Cambria" w:cs="Calibri"/>
                <w:sz w:val="20"/>
                <w:szCs w:val="20"/>
                <w:lang w:eastAsia="fr-FR"/>
              </w:rPr>
            </w:pPr>
            <w:r w:rsidRPr="00803E67">
              <w:rPr>
                <w:rFonts w:ascii="Cambria" w:hAnsi="Cambria"/>
                <w:sz w:val="20"/>
                <w:lang w:eastAsia="fr-FR"/>
              </w:rPr>
              <w:t>2</w:t>
            </w:r>
          </w:p>
        </w:tc>
        <w:tc>
          <w:tcPr>
            <w:tcW w:w="2023" w:type="dxa"/>
            <w:vAlign w:val="center"/>
          </w:tcPr>
          <w:p w14:paraId="0E2A3852" w14:textId="77777777" w:rsidR="00803E67" w:rsidRPr="00803E67" w:rsidRDefault="00803E67" w:rsidP="00803E67">
            <w:pPr>
              <w:widowControl w:val="0"/>
              <w:rPr>
                <w:rFonts w:ascii="Cambria" w:hAnsi="Cambria" w:cs="Calibri"/>
                <w:sz w:val="20"/>
                <w:szCs w:val="20"/>
                <w:lang w:eastAsia="fr-FR"/>
              </w:rPr>
            </w:pPr>
            <w:r w:rsidRPr="00803E67">
              <w:rPr>
                <w:rFonts w:ascii="Cambria" w:hAnsi="Cambria"/>
                <w:sz w:val="20"/>
                <w:lang w:eastAsia="fr-FR"/>
              </w:rPr>
              <w:t>Requisitos en materia de datos y comunicaciones</w:t>
            </w:r>
          </w:p>
          <w:p w14:paraId="04BF47EE" w14:textId="77777777" w:rsidR="00803E67" w:rsidRPr="00803E67" w:rsidRDefault="00803E67" w:rsidP="00803E67">
            <w:pPr>
              <w:widowControl w:val="0"/>
              <w:rPr>
                <w:rFonts w:ascii="Cambria" w:hAnsi="Cambria" w:cs="Calibri"/>
                <w:sz w:val="20"/>
                <w:szCs w:val="20"/>
                <w:lang w:eastAsia="fr-FR"/>
              </w:rPr>
            </w:pPr>
            <w:r w:rsidRPr="00803E67">
              <w:rPr>
                <w:rFonts w:ascii="Cambria" w:hAnsi="Cambria"/>
                <w:sz w:val="20"/>
                <w:lang w:eastAsia="fr-FR"/>
              </w:rPr>
              <w:t>(párrs. 18, 19, 21 y 23)</w:t>
            </w:r>
          </w:p>
        </w:tc>
        <w:tc>
          <w:tcPr>
            <w:tcW w:w="6521" w:type="dxa"/>
          </w:tcPr>
          <w:p w14:paraId="39373A65" w14:textId="77777777" w:rsidR="00803E67" w:rsidRPr="00803E67" w:rsidRDefault="00803E67" w:rsidP="00803E67">
            <w:pPr>
              <w:widowControl w:val="0"/>
              <w:rPr>
                <w:rFonts w:ascii="Cambria" w:eastAsia="Calibri" w:hAnsi="Cambria" w:cs="Calibri"/>
                <w:sz w:val="20"/>
                <w:szCs w:val="20"/>
                <w:lang w:eastAsia="fr-FR"/>
              </w:rPr>
            </w:pPr>
            <w:r w:rsidRPr="00803E67">
              <w:rPr>
                <w:rFonts w:ascii="Cambria" w:hAnsi="Cambria"/>
                <w:sz w:val="20"/>
                <w:lang w:eastAsia="fr-FR"/>
              </w:rPr>
              <w:t>1. Cuadernos de pesca obligatorios.</w:t>
            </w:r>
          </w:p>
          <w:p w14:paraId="16C812BB" w14:textId="77777777" w:rsidR="00803E67" w:rsidRPr="00803E67" w:rsidRDefault="00803E67" w:rsidP="00803E67">
            <w:pPr>
              <w:widowControl w:val="0"/>
              <w:rPr>
                <w:rFonts w:ascii="Cambria" w:eastAsia="Calibri" w:hAnsi="Cambria" w:cs="Calibri"/>
                <w:sz w:val="20"/>
                <w:szCs w:val="20"/>
                <w:lang w:eastAsia="fr-FR"/>
              </w:rPr>
            </w:pPr>
            <w:r w:rsidRPr="00803E67">
              <w:rPr>
                <w:rFonts w:ascii="Cambria" w:hAnsi="Cambria"/>
                <w:sz w:val="20"/>
                <w:lang w:eastAsia="fr-FR"/>
              </w:rPr>
              <w:t>2. Seguimiento al 100 % a pie de muelle de todos los desembarques.</w:t>
            </w:r>
          </w:p>
          <w:p w14:paraId="148341D7" w14:textId="77777777" w:rsidR="00803E67" w:rsidRPr="00803E67" w:rsidRDefault="00803E67" w:rsidP="00803E67">
            <w:pPr>
              <w:widowControl w:val="0"/>
              <w:rPr>
                <w:rFonts w:ascii="Cambria" w:eastAsia="Calibri" w:hAnsi="Cambria" w:cs="Calibri"/>
                <w:sz w:val="20"/>
                <w:szCs w:val="20"/>
                <w:lang w:eastAsia="fr-FR"/>
              </w:rPr>
            </w:pPr>
            <w:r w:rsidRPr="00803E67">
              <w:rPr>
                <w:rFonts w:ascii="Cambria" w:hAnsi="Cambria"/>
                <w:sz w:val="20"/>
                <w:lang w:eastAsia="fr-FR"/>
              </w:rPr>
              <w:t>3. Canadá comunica sus desembarques mensuales de conformidad con el párr. 21.</w:t>
            </w:r>
          </w:p>
          <w:p w14:paraId="0A818789" w14:textId="77777777" w:rsidR="00803E67" w:rsidRPr="00803E67" w:rsidRDefault="00803E67" w:rsidP="00803E67">
            <w:pPr>
              <w:widowControl w:val="0"/>
              <w:rPr>
                <w:rFonts w:ascii="Cambria" w:eastAsia="Calibri" w:hAnsi="Cambria" w:cs="Calibri"/>
                <w:sz w:val="20"/>
                <w:szCs w:val="20"/>
                <w:lang w:eastAsia="fr-FR"/>
              </w:rPr>
            </w:pPr>
            <w:r w:rsidRPr="00803E67">
              <w:rPr>
                <w:rFonts w:ascii="Cambria" w:hAnsi="Cambria"/>
                <w:sz w:val="20"/>
                <w:lang w:eastAsia="fr-FR"/>
              </w:rPr>
              <w:t>4. Las divisiones estadísticas regionales llevan a cabo auditorías nacionales tras la temporada para cotejar los datos recibidos de los cuadernos de pesca con los introducidos por las empresas de seguimiento a pie de muelle.</w:t>
            </w:r>
          </w:p>
        </w:tc>
      </w:tr>
      <w:tr w:rsidR="00803E67" w:rsidRPr="00803E67" w14:paraId="4445C06A" w14:textId="77777777" w:rsidTr="00B23AAD">
        <w:trPr>
          <w:trHeight w:val="300"/>
          <w:jc w:val="center"/>
        </w:trPr>
        <w:tc>
          <w:tcPr>
            <w:tcW w:w="492" w:type="dxa"/>
          </w:tcPr>
          <w:p w14:paraId="7FB00064" w14:textId="77777777" w:rsidR="00803E67" w:rsidRPr="00803E67" w:rsidRDefault="00803E67" w:rsidP="00803E67">
            <w:pPr>
              <w:widowControl w:val="0"/>
              <w:rPr>
                <w:rFonts w:ascii="Cambria" w:hAnsi="Cambria" w:cs="Calibri"/>
                <w:sz w:val="20"/>
                <w:szCs w:val="20"/>
                <w:lang w:eastAsia="fr-FR"/>
              </w:rPr>
            </w:pPr>
            <w:r w:rsidRPr="00803E67">
              <w:rPr>
                <w:rFonts w:ascii="Cambria" w:hAnsi="Cambria"/>
                <w:sz w:val="20"/>
                <w:lang w:eastAsia="fr-FR"/>
              </w:rPr>
              <w:t>3</w:t>
            </w:r>
          </w:p>
        </w:tc>
        <w:tc>
          <w:tcPr>
            <w:tcW w:w="2023" w:type="dxa"/>
            <w:vAlign w:val="center"/>
          </w:tcPr>
          <w:p w14:paraId="1E0BEBAD" w14:textId="77777777" w:rsidR="00803E67" w:rsidRPr="00803E67" w:rsidRDefault="00803E67" w:rsidP="00803E67">
            <w:pPr>
              <w:widowControl w:val="0"/>
              <w:rPr>
                <w:rFonts w:ascii="Cambria" w:hAnsi="Cambria" w:cs="Calibri"/>
                <w:sz w:val="20"/>
                <w:szCs w:val="20"/>
                <w:lang w:eastAsia="fr-FR"/>
              </w:rPr>
            </w:pPr>
            <w:r w:rsidRPr="00803E67">
              <w:rPr>
                <w:rFonts w:ascii="Cambria" w:hAnsi="Cambria"/>
                <w:sz w:val="20"/>
                <w:lang w:eastAsia="fr-FR"/>
              </w:rPr>
              <w:t xml:space="preserve">Restricciones de zona y tiempo </w:t>
            </w:r>
            <w:r w:rsidRPr="00803E67">
              <w:rPr>
                <w:rFonts w:ascii="Cambria" w:hAnsi="Cambria"/>
                <w:sz w:val="20"/>
                <w:lang w:eastAsia="fr-FR"/>
              </w:rPr>
              <w:lastRenderedPageBreak/>
              <w:t>(párr. 13)</w:t>
            </w:r>
          </w:p>
        </w:tc>
        <w:tc>
          <w:tcPr>
            <w:tcW w:w="6521" w:type="dxa"/>
          </w:tcPr>
          <w:p w14:paraId="4A5CFC53" w14:textId="77777777" w:rsidR="00803E67" w:rsidRPr="00803E67" w:rsidRDefault="00803E67" w:rsidP="00803E67">
            <w:pPr>
              <w:widowControl w:val="0"/>
              <w:rPr>
                <w:rFonts w:ascii="Cambria" w:hAnsi="Cambria" w:cs="Calibri"/>
                <w:sz w:val="20"/>
                <w:szCs w:val="20"/>
                <w:lang w:eastAsia="fr-FR"/>
              </w:rPr>
            </w:pPr>
            <w:r w:rsidRPr="00803E67">
              <w:rPr>
                <w:rFonts w:ascii="Cambria" w:hAnsi="Cambria"/>
                <w:sz w:val="20"/>
                <w:lang w:eastAsia="fr-FR"/>
              </w:rPr>
              <w:lastRenderedPageBreak/>
              <w:t>Las condiciones de la licencia para los buques de palangre pelágico prohíben la pesca en una zona conocida como «Hell Hole»</w:t>
            </w:r>
            <w:r w:rsidRPr="00803E67">
              <w:rPr>
                <w:rFonts w:ascii="Cambria" w:hAnsi="Cambria" w:cs="Calibri"/>
                <w:sz w:val="20"/>
                <w:szCs w:val="20"/>
                <w:vertAlign w:val="superscript"/>
                <w:lang w:eastAsia="fr-FR"/>
              </w:rPr>
              <w:footnoteReference w:id="1"/>
            </w:r>
            <w:r w:rsidRPr="00803E67">
              <w:rPr>
                <w:rFonts w:ascii="Cambria" w:hAnsi="Cambria"/>
                <w:sz w:val="20"/>
                <w:lang w:eastAsia="fr-FR"/>
              </w:rPr>
              <w:t xml:space="preserve">, debido a que </w:t>
            </w:r>
            <w:r w:rsidRPr="00803E67">
              <w:rPr>
                <w:rFonts w:ascii="Cambria" w:hAnsi="Cambria"/>
                <w:sz w:val="20"/>
                <w:lang w:eastAsia="fr-FR"/>
              </w:rPr>
              <w:lastRenderedPageBreak/>
              <w:t>en el pasado se han registrado numerosas interacciones con atún rojo.</w:t>
            </w:r>
          </w:p>
          <w:p w14:paraId="6C48E9FF" w14:textId="77777777" w:rsidR="00803E67" w:rsidRPr="00803E67" w:rsidRDefault="00803E67" w:rsidP="00803E67">
            <w:pPr>
              <w:widowControl w:val="0"/>
              <w:rPr>
                <w:rFonts w:ascii="Cambria" w:hAnsi="Cambria" w:cs="Calibri"/>
                <w:sz w:val="20"/>
                <w:szCs w:val="20"/>
                <w:lang w:eastAsia="fr-FR"/>
              </w:rPr>
            </w:pPr>
            <w:r w:rsidRPr="00803E67">
              <w:rPr>
                <w:rFonts w:ascii="Cambria" w:hAnsi="Cambria"/>
                <w:sz w:val="20"/>
                <w:lang w:eastAsia="fr-FR"/>
              </w:rPr>
              <w:t xml:space="preserve">Además, se prohíbe a los palangreros faenar a menos de 20 millas náuticas de la costa debido a posibles interacciones con atún rojo. </w:t>
            </w:r>
          </w:p>
        </w:tc>
      </w:tr>
      <w:tr w:rsidR="00803E67" w:rsidRPr="00803E67" w14:paraId="67098EA8" w14:textId="77777777" w:rsidTr="00B23AAD">
        <w:trPr>
          <w:trHeight w:val="300"/>
          <w:jc w:val="center"/>
        </w:trPr>
        <w:tc>
          <w:tcPr>
            <w:tcW w:w="492" w:type="dxa"/>
          </w:tcPr>
          <w:p w14:paraId="42F38830" w14:textId="77777777" w:rsidR="00803E67" w:rsidRPr="00803E67" w:rsidRDefault="00803E67" w:rsidP="00803E67">
            <w:pPr>
              <w:widowControl w:val="0"/>
              <w:rPr>
                <w:rFonts w:ascii="Cambria" w:hAnsi="Cambria" w:cs="Calibri"/>
                <w:sz w:val="20"/>
                <w:szCs w:val="20"/>
                <w:lang w:eastAsia="fr-FR"/>
              </w:rPr>
            </w:pPr>
            <w:r w:rsidRPr="00803E67">
              <w:rPr>
                <w:rFonts w:ascii="Cambria" w:hAnsi="Cambria"/>
                <w:sz w:val="20"/>
                <w:lang w:eastAsia="fr-FR"/>
              </w:rPr>
              <w:lastRenderedPageBreak/>
              <w:t>4</w:t>
            </w:r>
          </w:p>
        </w:tc>
        <w:tc>
          <w:tcPr>
            <w:tcW w:w="2023" w:type="dxa"/>
            <w:vAlign w:val="center"/>
          </w:tcPr>
          <w:p w14:paraId="13BC5F93" w14:textId="77777777" w:rsidR="00803E67" w:rsidRPr="00803E67" w:rsidRDefault="00803E67" w:rsidP="00803E67">
            <w:pPr>
              <w:widowControl w:val="0"/>
              <w:rPr>
                <w:rFonts w:ascii="Cambria" w:hAnsi="Cambria" w:cs="Calibri"/>
                <w:sz w:val="20"/>
                <w:szCs w:val="20"/>
                <w:lang w:eastAsia="fr-FR"/>
              </w:rPr>
            </w:pPr>
            <w:r w:rsidRPr="00803E67">
              <w:rPr>
                <w:rFonts w:ascii="Cambria" w:hAnsi="Cambria"/>
                <w:sz w:val="20"/>
                <w:lang w:eastAsia="fr-FR"/>
              </w:rPr>
              <w:t>Talla mínima de los peces y protección de los peces pequeños</w:t>
            </w:r>
          </w:p>
          <w:p w14:paraId="3CAB3E7A" w14:textId="77777777" w:rsidR="00803E67" w:rsidRPr="00803E67" w:rsidRDefault="00803E67" w:rsidP="00803E67">
            <w:pPr>
              <w:widowControl w:val="0"/>
              <w:rPr>
                <w:rFonts w:ascii="Cambria" w:hAnsi="Cambria" w:cs="Calibri"/>
                <w:sz w:val="20"/>
                <w:szCs w:val="20"/>
                <w:lang w:eastAsia="fr-FR"/>
              </w:rPr>
            </w:pPr>
            <w:r w:rsidRPr="00803E67">
              <w:rPr>
                <w:rFonts w:ascii="Cambria" w:hAnsi="Cambria"/>
                <w:sz w:val="20"/>
                <w:lang w:eastAsia="fr-FR"/>
              </w:rPr>
              <w:t>(párrs. 9 y 10)</w:t>
            </w:r>
          </w:p>
        </w:tc>
        <w:tc>
          <w:tcPr>
            <w:tcW w:w="6521" w:type="dxa"/>
          </w:tcPr>
          <w:p w14:paraId="1088B161" w14:textId="77777777" w:rsidR="00803E67" w:rsidRPr="00803E67" w:rsidRDefault="00803E67" w:rsidP="00803E67">
            <w:pPr>
              <w:widowControl w:val="0"/>
              <w:rPr>
                <w:rFonts w:ascii="Cambria" w:hAnsi="Cambria" w:cs="Calibri"/>
                <w:sz w:val="20"/>
                <w:szCs w:val="20"/>
                <w:lang w:eastAsia="fr-FR"/>
              </w:rPr>
            </w:pPr>
            <w:r w:rsidRPr="00803E67">
              <w:rPr>
                <w:rFonts w:ascii="Cambria" w:hAnsi="Cambria"/>
                <w:sz w:val="20"/>
                <w:lang w:eastAsia="fr-FR"/>
              </w:rPr>
              <w:t>La normativa canadiense recoge la talla mínima de 30 kg establecida por ICCAT.</w:t>
            </w:r>
          </w:p>
        </w:tc>
      </w:tr>
      <w:tr w:rsidR="00803E67" w:rsidRPr="00803E67" w14:paraId="6C588123" w14:textId="77777777" w:rsidTr="00B23AAD">
        <w:trPr>
          <w:trHeight w:val="300"/>
          <w:jc w:val="center"/>
        </w:trPr>
        <w:tc>
          <w:tcPr>
            <w:tcW w:w="492" w:type="dxa"/>
          </w:tcPr>
          <w:p w14:paraId="74B2BA9D" w14:textId="77777777" w:rsidR="00803E67" w:rsidRPr="00803E67" w:rsidRDefault="00803E67" w:rsidP="00803E67">
            <w:pPr>
              <w:widowControl w:val="0"/>
              <w:rPr>
                <w:rFonts w:ascii="Cambria" w:hAnsi="Cambria" w:cs="Calibri"/>
                <w:sz w:val="20"/>
                <w:szCs w:val="20"/>
                <w:lang w:eastAsia="fr-FR"/>
              </w:rPr>
            </w:pPr>
            <w:r w:rsidRPr="00803E67">
              <w:rPr>
                <w:rFonts w:ascii="Cambria" w:hAnsi="Cambria"/>
                <w:sz w:val="20"/>
                <w:lang w:eastAsia="fr-FR"/>
              </w:rPr>
              <w:t>5</w:t>
            </w:r>
          </w:p>
        </w:tc>
        <w:tc>
          <w:tcPr>
            <w:tcW w:w="2023" w:type="dxa"/>
            <w:vAlign w:val="center"/>
          </w:tcPr>
          <w:p w14:paraId="07AE1558" w14:textId="77777777" w:rsidR="00803E67" w:rsidRPr="00803E67" w:rsidRDefault="00803E67" w:rsidP="00803E67">
            <w:pPr>
              <w:widowControl w:val="0"/>
              <w:rPr>
                <w:rFonts w:ascii="Cambria" w:hAnsi="Cambria" w:cs="Calibri"/>
                <w:sz w:val="20"/>
                <w:szCs w:val="20"/>
                <w:lang w:eastAsia="fr-FR"/>
              </w:rPr>
            </w:pPr>
            <w:r w:rsidRPr="00803E67">
              <w:rPr>
                <w:rFonts w:ascii="Cambria" w:hAnsi="Cambria"/>
                <w:sz w:val="20"/>
                <w:lang w:eastAsia="fr-FR"/>
              </w:rPr>
              <w:t>Capturas fortuitas</w:t>
            </w:r>
          </w:p>
          <w:p w14:paraId="3C7591A2" w14:textId="77777777" w:rsidR="00803E67" w:rsidRPr="00803E67" w:rsidRDefault="00803E67" w:rsidP="00803E67">
            <w:pPr>
              <w:widowControl w:val="0"/>
              <w:rPr>
                <w:rFonts w:ascii="Cambria" w:hAnsi="Cambria" w:cs="Calibri"/>
                <w:sz w:val="20"/>
                <w:szCs w:val="20"/>
                <w:lang w:eastAsia="fr-FR"/>
              </w:rPr>
            </w:pPr>
            <w:r w:rsidRPr="00803E67">
              <w:rPr>
                <w:rFonts w:ascii="Cambria" w:hAnsi="Cambria"/>
                <w:sz w:val="20"/>
                <w:lang w:eastAsia="fr-FR"/>
              </w:rPr>
              <w:t>(párr. 6)</w:t>
            </w:r>
          </w:p>
        </w:tc>
        <w:tc>
          <w:tcPr>
            <w:tcW w:w="6521" w:type="dxa"/>
          </w:tcPr>
          <w:p w14:paraId="0560C454" w14:textId="77777777" w:rsidR="00803E67" w:rsidRPr="00803E67" w:rsidRDefault="00803E67" w:rsidP="00803E67">
            <w:pPr>
              <w:widowControl w:val="0"/>
              <w:rPr>
                <w:rFonts w:ascii="Cambria" w:hAnsi="Cambria" w:cs="Calibri"/>
                <w:sz w:val="20"/>
                <w:szCs w:val="20"/>
                <w:lang w:eastAsia="fr-FR"/>
              </w:rPr>
            </w:pPr>
            <w:r w:rsidRPr="00803E67">
              <w:rPr>
                <w:rFonts w:ascii="Cambria" w:hAnsi="Cambria"/>
                <w:sz w:val="20"/>
                <w:lang w:eastAsia="fr-FR"/>
              </w:rPr>
              <w:t>La campaña pesquera de 2025 se llevó a cabo con arreglo a la Recomendación 22-10, en virtud de cuyo párrafo 5 a) se asignaron 15 t a Canadá para tener en cuenta las capturas fortuitas relacionadas con los palangreros en las inmediaciones de la línea divisoria de la zona de ordenación. Esta cantidad se asignó a la flota de palangre pelágico (una flota dirigida a la pesca de pez espada, rabil, patudo y atún blanco) exclusivamente para la ordenación de las capturas fortuitas.</w:t>
            </w:r>
          </w:p>
        </w:tc>
      </w:tr>
      <w:tr w:rsidR="00803E67" w:rsidRPr="00803E67" w14:paraId="35333C8A" w14:textId="77777777" w:rsidTr="00B23AAD">
        <w:trPr>
          <w:trHeight w:val="300"/>
          <w:jc w:val="center"/>
        </w:trPr>
        <w:tc>
          <w:tcPr>
            <w:tcW w:w="492" w:type="dxa"/>
          </w:tcPr>
          <w:p w14:paraId="1A5F0584" w14:textId="77777777" w:rsidR="00803E67" w:rsidRPr="00803E67" w:rsidRDefault="00803E67" w:rsidP="00803E67">
            <w:pPr>
              <w:widowControl w:val="0"/>
              <w:rPr>
                <w:rFonts w:ascii="Cambria" w:hAnsi="Cambria" w:cs="Calibri"/>
                <w:sz w:val="20"/>
                <w:szCs w:val="20"/>
                <w:lang w:eastAsia="fr-FR"/>
              </w:rPr>
            </w:pPr>
            <w:r w:rsidRPr="00803E67">
              <w:rPr>
                <w:rFonts w:ascii="Cambria" w:hAnsi="Cambria"/>
                <w:sz w:val="20"/>
                <w:lang w:eastAsia="fr-FR"/>
              </w:rPr>
              <w:t>6</w:t>
            </w:r>
          </w:p>
        </w:tc>
        <w:tc>
          <w:tcPr>
            <w:tcW w:w="2023" w:type="dxa"/>
            <w:vAlign w:val="center"/>
          </w:tcPr>
          <w:p w14:paraId="4A635EB6" w14:textId="77777777" w:rsidR="00803E67" w:rsidRPr="00803E67" w:rsidRDefault="00803E67" w:rsidP="00803E67">
            <w:pPr>
              <w:widowControl w:val="0"/>
              <w:rPr>
                <w:rFonts w:ascii="Cambria" w:hAnsi="Cambria" w:cs="Calibri"/>
                <w:sz w:val="20"/>
                <w:szCs w:val="20"/>
                <w:lang w:eastAsia="fr-FR"/>
              </w:rPr>
            </w:pPr>
            <w:r w:rsidRPr="00803E67">
              <w:rPr>
                <w:rFonts w:ascii="Cambria" w:hAnsi="Cambria"/>
                <w:sz w:val="20"/>
                <w:lang w:eastAsia="fr-FR"/>
              </w:rPr>
              <w:t>Pesquerías [deportivas y] de recreo</w:t>
            </w:r>
          </w:p>
          <w:p w14:paraId="61354A13" w14:textId="77777777" w:rsidR="00803E67" w:rsidRPr="00803E67" w:rsidRDefault="00803E67" w:rsidP="00803E67">
            <w:pPr>
              <w:widowControl w:val="0"/>
              <w:rPr>
                <w:rFonts w:ascii="Cambria" w:hAnsi="Cambria" w:cs="Calibri"/>
                <w:sz w:val="20"/>
                <w:szCs w:val="20"/>
                <w:lang w:eastAsia="fr-FR"/>
              </w:rPr>
            </w:pPr>
            <w:r w:rsidRPr="00803E67">
              <w:rPr>
                <w:rFonts w:ascii="Cambria" w:hAnsi="Cambria"/>
                <w:sz w:val="20"/>
                <w:lang w:eastAsia="fr-FR"/>
              </w:rPr>
              <w:t>(párrafo 11)</w:t>
            </w:r>
          </w:p>
        </w:tc>
        <w:tc>
          <w:tcPr>
            <w:tcW w:w="6521" w:type="dxa"/>
          </w:tcPr>
          <w:p w14:paraId="5467B290" w14:textId="77777777" w:rsidR="00803E67" w:rsidRPr="00803E67" w:rsidRDefault="00803E67" w:rsidP="00803E67">
            <w:pPr>
              <w:widowControl w:val="0"/>
              <w:rPr>
                <w:rFonts w:ascii="Cambria" w:hAnsi="Cambria" w:cs="Calibri"/>
                <w:sz w:val="20"/>
                <w:szCs w:val="20"/>
                <w:lang w:eastAsia="fr-FR"/>
              </w:rPr>
            </w:pPr>
            <w:r w:rsidRPr="00803E67">
              <w:rPr>
                <w:rFonts w:ascii="Cambria" w:hAnsi="Cambria"/>
                <w:sz w:val="20"/>
                <w:lang w:eastAsia="fr-FR"/>
              </w:rPr>
              <w:t>Canadá no tiene pesquerías de recreo de atún rojo.</w:t>
            </w:r>
          </w:p>
          <w:p w14:paraId="293A1B3A" w14:textId="77777777" w:rsidR="00803E67" w:rsidRPr="00803E67" w:rsidRDefault="00803E67" w:rsidP="00803E67">
            <w:pPr>
              <w:widowControl w:val="0"/>
              <w:spacing w:line="259" w:lineRule="auto"/>
              <w:rPr>
                <w:rFonts w:ascii="Cambria" w:hAnsi="Cambria" w:cs="Calibri"/>
                <w:sz w:val="20"/>
                <w:szCs w:val="20"/>
                <w:lang w:eastAsia="fr-FR"/>
              </w:rPr>
            </w:pPr>
          </w:p>
        </w:tc>
      </w:tr>
      <w:tr w:rsidR="00803E67" w:rsidRPr="00803E67" w14:paraId="1BC3AC47" w14:textId="77777777" w:rsidTr="00B23AAD">
        <w:trPr>
          <w:trHeight w:val="302"/>
          <w:jc w:val="center"/>
        </w:trPr>
        <w:tc>
          <w:tcPr>
            <w:tcW w:w="492" w:type="dxa"/>
          </w:tcPr>
          <w:p w14:paraId="09A64404" w14:textId="77777777" w:rsidR="00803E67" w:rsidRPr="00803E67" w:rsidRDefault="00803E67" w:rsidP="00803E67">
            <w:pPr>
              <w:widowControl w:val="0"/>
              <w:rPr>
                <w:rFonts w:ascii="Cambria" w:hAnsi="Cambria" w:cs="Calibri"/>
                <w:sz w:val="20"/>
                <w:szCs w:val="20"/>
                <w:lang w:eastAsia="fr-FR"/>
              </w:rPr>
            </w:pPr>
            <w:r w:rsidRPr="00803E67">
              <w:rPr>
                <w:rFonts w:ascii="Cambria" w:hAnsi="Cambria"/>
                <w:sz w:val="20"/>
                <w:lang w:eastAsia="fr-FR"/>
              </w:rPr>
              <w:t>7</w:t>
            </w:r>
          </w:p>
        </w:tc>
        <w:tc>
          <w:tcPr>
            <w:tcW w:w="2023" w:type="dxa"/>
            <w:vAlign w:val="center"/>
          </w:tcPr>
          <w:p w14:paraId="4A8C04AD" w14:textId="77777777" w:rsidR="00803E67" w:rsidRPr="00803E67" w:rsidRDefault="00803E67" w:rsidP="00803E67">
            <w:pPr>
              <w:widowControl w:val="0"/>
              <w:rPr>
                <w:rFonts w:ascii="Cambria" w:hAnsi="Cambria" w:cs="Calibri"/>
                <w:sz w:val="20"/>
                <w:szCs w:val="20"/>
                <w:lang w:eastAsia="fr-FR"/>
              </w:rPr>
            </w:pPr>
            <w:r w:rsidRPr="00803E67">
              <w:rPr>
                <w:rFonts w:ascii="Cambria" w:hAnsi="Cambria"/>
                <w:sz w:val="20"/>
                <w:lang w:eastAsia="fr-FR"/>
              </w:rPr>
              <w:t>Transbordo en el mar (párrafo 14)</w:t>
            </w:r>
          </w:p>
        </w:tc>
        <w:tc>
          <w:tcPr>
            <w:tcW w:w="6521" w:type="dxa"/>
          </w:tcPr>
          <w:p w14:paraId="789C35AA" w14:textId="77777777" w:rsidR="00803E67" w:rsidRPr="00803E67" w:rsidRDefault="00803E67" w:rsidP="00803E67">
            <w:pPr>
              <w:widowControl w:val="0"/>
              <w:rPr>
                <w:rFonts w:ascii="Cambria" w:hAnsi="Cambria" w:cs="Calibri"/>
                <w:sz w:val="20"/>
                <w:szCs w:val="20"/>
                <w:lang w:eastAsia="fr-FR"/>
              </w:rPr>
            </w:pPr>
            <w:r w:rsidRPr="00803E67">
              <w:rPr>
                <w:rFonts w:ascii="Cambria" w:hAnsi="Cambria"/>
                <w:sz w:val="20"/>
                <w:lang w:eastAsia="fr-FR"/>
              </w:rPr>
              <w:t>En Canadá está prohibido el transbordo</w:t>
            </w:r>
          </w:p>
        </w:tc>
      </w:tr>
    </w:tbl>
    <w:p w14:paraId="3CB4DA76" w14:textId="77777777" w:rsidR="00803E67" w:rsidRPr="00803E67" w:rsidRDefault="00803E67" w:rsidP="00803E67">
      <w:pPr>
        <w:widowControl w:val="0"/>
        <w:tabs>
          <w:tab w:val="left" w:pos="426"/>
        </w:tabs>
        <w:ind w:left="426" w:hanging="426"/>
        <w:rPr>
          <w:rFonts w:ascii="Cambria" w:eastAsia="MS Gothic" w:hAnsi="Cambria"/>
          <w:b/>
          <w:bCs/>
          <w:sz w:val="22"/>
          <w:szCs w:val="22"/>
          <w:lang w:eastAsia="ja-JP" w:bidi="fr-FR"/>
        </w:rPr>
      </w:pPr>
    </w:p>
    <w:p w14:paraId="012DC354" w14:textId="77777777" w:rsidR="00803E67" w:rsidRPr="00803E67" w:rsidRDefault="00803E67" w:rsidP="00803E67">
      <w:pPr>
        <w:widowControl w:val="0"/>
        <w:tabs>
          <w:tab w:val="left" w:pos="426"/>
        </w:tabs>
        <w:ind w:left="426" w:hanging="426"/>
        <w:jc w:val="both"/>
        <w:rPr>
          <w:rFonts w:ascii="Cambria" w:eastAsia="MS Gothic" w:hAnsi="Cambria"/>
          <w:b/>
          <w:bCs/>
          <w:sz w:val="20"/>
          <w:szCs w:val="20"/>
          <w:lang w:eastAsia="ja-JP" w:bidi="fr-FR"/>
        </w:rPr>
      </w:pPr>
    </w:p>
    <w:p w14:paraId="53AB148D" w14:textId="77777777" w:rsidR="00803E67" w:rsidRPr="00803E67" w:rsidRDefault="00803E67" w:rsidP="00803E67">
      <w:pPr>
        <w:keepNext/>
        <w:widowControl w:val="0"/>
        <w:tabs>
          <w:tab w:val="left" w:pos="426"/>
        </w:tabs>
        <w:ind w:left="432" w:hanging="432"/>
        <w:jc w:val="both"/>
        <w:rPr>
          <w:rFonts w:ascii="Cambria" w:eastAsia="MS Gothic" w:hAnsi="Cambria"/>
          <w:b/>
          <w:sz w:val="20"/>
          <w:szCs w:val="20"/>
          <w:lang w:eastAsia="fr-FR" w:bidi="fr-FR"/>
        </w:rPr>
      </w:pPr>
      <w:r w:rsidRPr="00803E67">
        <w:rPr>
          <w:rFonts w:ascii="Cambria" w:eastAsia="MS Gothic" w:hAnsi="Cambria"/>
          <w:b/>
          <w:sz w:val="20"/>
          <w:lang w:eastAsia="fr-FR" w:bidi="fr-FR"/>
        </w:rPr>
        <w:t>3.</w:t>
      </w:r>
      <w:r w:rsidRPr="00803E67">
        <w:rPr>
          <w:rFonts w:ascii="Cambria" w:eastAsia="MS Gothic" w:hAnsi="Cambria"/>
          <w:color w:val="000000"/>
          <w:sz w:val="20"/>
          <w:lang w:eastAsia="fr-FR" w:bidi="fr-FR"/>
        </w:rPr>
        <w:tab/>
      </w:r>
      <w:r w:rsidRPr="00803E67">
        <w:rPr>
          <w:rFonts w:ascii="Cambria" w:eastAsia="MS Gothic" w:hAnsi="Cambria"/>
          <w:b/>
          <w:sz w:val="20"/>
          <w:lang w:eastAsia="fr-FR" w:bidi="fr-FR"/>
        </w:rPr>
        <w:t>Medidas adicionales utilizadas con fines de ejecución o de seguimiento, control e inspección (párr. 3)</w:t>
      </w:r>
    </w:p>
    <w:p w14:paraId="6540576A" w14:textId="77777777" w:rsidR="00803E67" w:rsidRPr="00803E67" w:rsidRDefault="00803E67" w:rsidP="00803E67">
      <w:pPr>
        <w:widowControl w:val="0"/>
        <w:jc w:val="both"/>
        <w:rPr>
          <w:rFonts w:ascii="Cambria" w:eastAsia="MS Gothic" w:hAnsi="Cambria"/>
          <w:b/>
          <w:bCs/>
          <w:sz w:val="20"/>
          <w:szCs w:val="20"/>
          <w:lang w:eastAsia="fr-FR" w:bidi="fr-FR"/>
        </w:rPr>
      </w:pPr>
    </w:p>
    <w:p w14:paraId="70665BEA" w14:textId="77777777" w:rsidR="00803E67" w:rsidRPr="00803E67" w:rsidRDefault="00803E67" w:rsidP="00803E67">
      <w:pPr>
        <w:widowControl w:val="0"/>
        <w:jc w:val="both"/>
        <w:rPr>
          <w:rFonts w:ascii="Cambria" w:eastAsia="Calibri" w:hAnsi="Cambria" w:cs="Calibri"/>
          <w:sz w:val="20"/>
          <w:szCs w:val="20"/>
          <w:lang w:eastAsia="fr-FR" w:bidi="fr-FR"/>
        </w:rPr>
      </w:pPr>
      <w:r w:rsidRPr="00803E67">
        <w:rPr>
          <w:rFonts w:ascii="Cambria" w:eastAsia="MS Gothic" w:hAnsi="Cambria"/>
          <w:sz w:val="20"/>
          <w:lang w:eastAsia="fr-FR" w:bidi="fr-FR"/>
        </w:rPr>
        <w:t>Canadá aplica una serie de medidas adicionales de seguimiento, control y ejecución para garantizar el cumplimiento de los requisitos de ICCAT y de la legislación nacional. Esta pesquería se gestiona como una pesquería de acceso restringido. Las flotas dirigidas y no dirigidas están sujetas a la presencia de observadores o de seguimiento electrónico (por vídeo) cuando así lo solicite el DFO (un 5 % en el caso de los buques de pesca costera con caña y carrete y un 10 % en el de los buques palangreros). Todo el atún rojo retenido deberá marcarse inmediatamente con una marca con un número único expedido por el DFO para garantizar su plena trazabilidad. Los titulares de licencias están obligados a ponerse en contacto con una empresa de seguimiento a pie de muelle inmediatamente después de la captura y el marcado de un ejemplar atún rojo, así como antes de la salida y el desembarque, mediante los procedimientos obligatorios de notificación de entrada y de salida. Además, Canadá aplica su Política de seguimiento de pesquerías, que integra medidas de notificación, seguimiento y verificación para facilitar una ordenación eficaz de las cuotas y la supervisión del cumplimiento.</w:t>
      </w:r>
    </w:p>
    <w:p w14:paraId="21E11B1E" w14:textId="77777777" w:rsidR="00803E67" w:rsidRPr="00803E67" w:rsidRDefault="00803E67" w:rsidP="00803E67">
      <w:pPr>
        <w:widowControl w:val="0"/>
        <w:jc w:val="both"/>
        <w:rPr>
          <w:rFonts w:ascii="Cambria" w:eastAsia="Calibri" w:hAnsi="Cambria" w:cs="Calibri"/>
          <w:b/>
          <w:bCs/>
          <w:sz w:val="20"/>
          <w:szCs w:val="20"/>
          <w:lang w:eastAsia="fr-FR" w:bidi="fr-FR"/>
        </w:rPr>
      </w:pPr>
    </w:p>
    <w:p w14:paraId="53DA1228" w14:textId="77777777" w:rsidR="00803E67" w:rsidRPr="00803E67" w:rsidRDefault="00803E67" w:rsidP="00803E67">
      <w:pPr>
        <w:widowControl w:val="0"/>
        <w:spacing w:line="300" w:lineRule="auto"/>
        <w:jc w:val="both"/>
        <w:rPr>
          <w:rFonts w:ascii="Cambria" w:eastAsia="Calibri" w:hAnsi="Cambria" w:cs="Calibri"/>
          <w:b/>
          <w:strike/>
          <w:sz w:val="20"/>
          <w:szCs w:val="20"/>
          <w:lang w:eastAsia="fr-FR" w:bidi="fr-FR"/>
        </w:rPr>
      </w:pPr>
    </w:p>
    <w:p w14:paraId="6FF77493" w14:textId="77777777" w:rsidR="00803E67" w:rsidRPr="00803E67" w:rsidRDefault="00803E67" w:rsidP="00803E67">
      <w:pPr>
        <w:widowControl w:val="0"/>
        <w:jc w:val="both"/>
        <w:rPr>
          <w:rFonts w:ascii="Cambria" w:eastAsia="Calibri" w:hAnsi="Cambria" w:cs="Calibri"/>
          <w:i/>
          <w:iCs/>
          <w:strike/>
          <w:sz w:val="20"/>
          <w:szCs w:val="20"/>
          <w:lang w:eastAsia="fr-FR" w:bidi="fr-FR"/>
        </w:rPr>
      </w:pPr>
    </w:p>
    <w:p w14:paraId="17A1D085" w14:textId="77777777" w:rsidR="00803E67" w:rsidRDefault="00803E67" w:rsidP="008C1324">
      <w:pPr>
        <w:widowControl w:val="0"/>
        <w:jc w:val="right"/>
        <w:rPr>
          <w:rFonts w:ascii="Cambria" w:hAnsi="Cambria"/>
          <w:b/>
          <w:sz w:val="22"/>
        </w:rPr>
        <w:sectPr w:rsidR="00803E67" w:rsidSect="00046127">
          <w:headerReference w:type="default" r:id="rId16"/>
          <w:type w:val="continuous"/>
          <w:pgSz w:w="11906" w:h="16838" w:code="9"/>
          <w:pgMar w:top="1418" w:right="1418" w:bottom="1418" w:left="1418" w:header="851" w:footer="1134" w:gutter="0"/>
          <w:cols w:space="708"/>
          <w:docGrid w:linePitch="360"/>
        </w:sectPr>
      </w:pPr>
    </w:p>
    <w:p w14:paraId="5AC16A9F" w14:textId="77777777" w:rsidR="00803E67" w:rsidRDefault="00803E67">
      <w:pPr>
        <w:rPr>
          <w:rFonts w:ascii="Cambria" w:hAnsi="Cambria"/>
          <w:b/>
          <w:sz w:val="22"/>
        </w:rPr>
      </w:pPr>
      <w:r>
        <w:rPr>
          <w:rFonts w:ascii="Cambria" w:hAnsi="Cambria"/>
          <w:b/>
          <w:sz w:val="22"/>
        </w:rPr>
        <w:br w:type="page"/>
      </w:r>
    </w:p>
    <w:p w14:paraId="2863CC3E" w14:textId="77777777" w:rsidR="00666921" w:rsidRPr="00666921" w:rsidRDefault="00666921" w:rsidP="00666921">
      <w:pPr>
        <w:widowControl w:val="0"/>
        <w:jc w:val="center"/>
        <w:rPr>
          <w:rFonts w:ascii="Cambria" w:eastAsia="MS Gothic" w:hAnsi="Cambria"/>
          <w:b/>
          <w:sz w:val="20"/>
          <w:szCs w:val="20"/>
          <w:lang w:eastAsia="fr-FR" w:bidi="fr-FR"/>
        </w:rPr>
      </w:pPr>
      <w:r w:rsidRPr="00666921">
        <w:rPr>
          <w:rFonts w:ascii="Cambria" w:eastAsia="MS Gothic" w:hAnsi="Cambria"/>
          <w:b/>
          <w:sz w:val="20"/>
          <w:lang w:eastAsia="fr-FR" w:bidi="fr-FR"/>
        </w:rPr>
        <w:lastRenderedPageBreak/>
        <w:t>Plan de pesca/ordenación para el atún rojo del Atlántico occidental</w:t>
      </w:r>
    </w:p>
    <w:p w14:paraId="179F405E" w14:textId="77777777" w:rsidR="00666921" w:rsidRPr="00666921" w:rsidRDefault="00666921" w:rsidP="00666921">
      <w:pPr>
        <w:widowControl w:val="0"/>
        <w:jc w:val="center"/>
        <w:rPr>
          <w:rFonts w:ascii="Cambria" w:eastAsia="MS Gothic" w:hAnsi="Cambria"/>
          <w:b/>
          <w:sz w:val="20"/>
          <w:szCs w:val="20"/>
          <w:lang w:eastAsia="fr-FR" w:bidi="fr-FR"/>
        </w:rPr>
      </w:pPr>
    </w:p>
    <w:p w14:paraId="53750175" w14:textId="46027178" w:rsidR="00666921" w:rsidRPr="00666921" w:rsidRDefault="00666921" w:rsidP="00666921">
      <w:pPr>
        <w:widowControl w:val="0"/>
        <w:jc w:val="both"/>
        <w:rPr>
          <w:rFonts w:ascii="Cambria" w:eastAsia="MS Gothic" w:hAnsi="Cambria"/>
          <w:b/>
          <w:bCs/>
          <w:sz w:val="20"/>
          <w:szCs w:val="20"/>
          <w:lang w:eastAsia="fr-FR" w:bidi="fr-FR"/>
        </w:rPr>
      </w:pPr>
      <w:r w:rsidRPr="00666921">
        <w:rPr>
          <w:rFonts w:ascii="Cambria" w:eastAsia="MS Gothic" w:hAnsi="Cambria"/>
          <w:b/>
          <w:sz w:val="20"/>
          <w:lang w:eastAsia="fr-FR" w:bidi="fr-FR"/>
        </w:rPr>
        <w:t xml:space="preserve">Nombre de la CPC: </w:t>
      </w:r>
      <w:r w:rsidR="00C52DC0" w:rsidRPr="00666921">
        <w:rPr>
          <w:rFonts w:ascii="Cambria" w:eastAsia="MS Gothic" w:hAnsi="Cambria"/>
          <w:b/>
          <w:sz w:val="20"/>
          <w:lang w:eastAsia="fr-FR" w:bidi="fr-FR"/>
        </w:rPr>
        <w:t>Japón</w:t>
      </w:r>
    </w:p>
    <w:p w14:paraId="4AC5BEE5" w14:textId="77777777" w:rsidR="00666921" w:rsidRPr="00666921" w:rsidRDefault="00666921" w:rsidP="00666921">
      <w:pPr>
        <w:widowControl w:val="0"/>
        <w:jc w:val="both"/>
        <w:rPr>
          <w:rFonts w:ascii="Cambria" w:eastAsia="MS Gothic" w:hAnsi="Cambria"/>
          <w:sz w:val="20"/>
          <w:szCs w:val="20"/>
          <w:lang w:eastAsia="fr-FR" w:bidi="fr-FR"/>
        </w:rPr>
      </w:pPr>
    </w:p>
    <w:p w14:paraId="1F39256B" w14:textId="77777777" w:rsidR="00666921" w:rsidRPr="00666921" w:rsidRDefault="00666921" w:rsidP="00666921">
      <w:pPr>
        <w:widowControl w:val="0"/>
        <w:jc w:val="both"/>
        <w:rPr>
          <w:rFonts w:ascii="Cambria" w:eastAsia="MS Gothic" w:hAnsi="Cambria"/>
          <w:b/>
          <w:sz w:val="20"/>
          <w:szCs w:val="20"/>
          <w:lang w:eastAsia="fr-FR" w:bidi="fr-FR"/>
        </w:rPr>
      </w:pPr>
      <w:r w:rsidRPr="00666921">
        <w:rPr>
          <w:rFonts w:ascii="Cambria" w:eastAsia="MS Gothic" w:hAnsi="Cambria"/>
          <w:b/>
          <w:sz w:val="20"/>
          <w:lang w:eastAsia="fr-FR" w:bidi="fr-FR"/>
        </w:rPr>
        <w:t>Año del plan de pesca: 2025</w:t>
      </w:r>
    </w:p>
    <w:p w14:paraId="6E5D459F" w14:textId="77777777" w:rsidR="00666921" w:rsidRPr="00666921" w:rsidRDefault="00666921" w:rsidP="00666921">
      <w:pPr>
        <w:widowControl w:val="0"/>
        <w:jc w:val="both"/>
        <w:rPr>
          <w:rFonts w:ascii="Cambria" w:eastAsia="MS Gothic" w:hAnsi="Cambria"/>
          <w:sz w:val="20"/>
          <w:szCs w:val="20"/>
          <w:lang w:eastAsia="ja-JP" w:bidi="fr-FR"/>
        </w:rPr>
      </w:pPr>
    </w:p>
    <w:p w14:paraId="0B44D71B" w14:textId="77777777" w:rsidR="00666921" w:rsidRPr="00666921" w:rsidRDefault="00666921" w:rsidP="00666921">
      <w:pPr>
        <w:widowControl w:val="0"/>
        <w:tabs>
          <w:tab w:val="left" w:pos="426"/>
        </w:tabs>
        <w:jc w:val="both"/>
        <w:rPr>
          <w:rFonts w:ascii="Cambria" w:eastAsia="MS Gothic" w:hAnsi="Cambria"/>
          <w:b/>
          <w:sz w:val="20"/>
          <w:szCs w:val="20"/>
          <w:lang w:eastAsia="fr-FR" w:bidi="fr-FR"/>
        </w:rPr>
      </w:pPr>
      <w:r w:rsidRPr="00666921">
        <w:rPr>
          <w:rFonts w:ascii="Cambria" w:eastAsia="MS Gothic" w:hAnsi="Cambria"/>
          <w:b/>
          <w:sz w:val="20"/>
          <w:lang w:eastAsia="fr-FR" w:bidi="fr-FR"/>
        </w:rPr>
        <w:t xml:space="preserve">1. </w:t>
      </w:r>
      <w:r w:rsidRPr="00666921">
        <w:rPr>
          <w:rFonts w:ascii="Cambria" w:eastAsia="MS Gothic" w:hAnsi="Cambria"/>
          <w:b/>
          <w:sz w:val="20"/>
          <w:lang w:eastAsia="fr-FR" w:bidi="fr-FR"/>
        </w:rPr>
        <w:tab/>
        <w:t xml:space="preserve">Cuotas de la flota para todos los sectores y método utilizado para asignar y gestionar dichas cuotas. </w:t>
      </w:r>
    </w:p>
    <w:p w14:paraId="6AFCE17A" w14:textId="77777777" w:rsidR="00666921" w:rsidRPr="00666921" w:rsidRDefault="00666921" w:rsidP="00666921">
      <w:pPr>
        <w:widowControl w:val="0"/>
        <w:tabs>
          <w:tab w:val="left" w:pos="426"/>
        </w:tabs>
        <w:jc w:val="both"/>
        <w:rPr>
          <w:rFonts w:ascii="Cambria" w:eastAsia="MS Gothic" w:hAnsi="Cambria"/>
          <w:i/>
          <w:sz w:val="20"/>
          <w:szCs w:val="20"/>
          <w:lang w:eastAsia="fr-FR" w:bidi="fr-FR"/>
        </w:rPr>
      </w:pPr>
    </w:p>
    <w:p w14:paraId="0262E7C8" w14:textId="77777777" w:rsidR="00666921" w:rsidRPr="00666921" w:rsidRDefault="00666921" w:rsidP="00666921">
      <w:pPr>
        <w:widowControl w:val="0"/>
        <w:jc w:val="both"/>
        <w:rPr>
          <w:rFonts w:ascii="Cambria" w:eastAsia="MS Gothic" w:hAnsi="Cambria"/>
          <w:b/>
          <w:bCs/>
          <w:i/>
          <w:iCs/>
          <w:sz w:val="20"/>
          <w:szCs w:val="20"/>
          <w:lang w:eastAsia="fr-FR" w:bidi="fr-FR"/>
        </w:rPr>
      </w:pPr>
      <w:r w:rsidRPr="00666921">
        <w:rPr>
          <w:rFonts w:ascii="Cambria" w:eastAsia="MS Gothic" w:hAnsi="Cambria"/>
          <w:b/>
          <w:i/>
          <w:sz w:val="20"/>
          <w:lang w:eastAsia="fr-FR" w:bidi="fr-FR"/>
        </w:rPr>
        <w:t>1 a) Presentación</w:t>
      </w:r>
    </w:p>
    <w:p w14:paraId="27628AD8" w14:textId="77777777" w:rsidR="00666921" w:rsidRPr="00666921" w:rsidRDefault="00666921" w:rsidP="00666921">
      <w:pPr>
        <w:widowControl w:val="0"/>
        <w:jc w:val="both"/>
        <w:rPr>
          <w:rFonts w:ascii="Cambria" w:eastAsia="MS Gothic" w:hAnsi="Cambria"/>
          <w:b/>
          <w:bCs/>
          <w:i/>
          <w:iCs/>
          <w:sz w:val="20"/>
          <w:szCs w:val="20"/>
          <w:lang w:eastAsia="fr-FR" w:bidi="fr-FR"/>
        </w:rPr>
      </w:pPr>
    </w:p>
    <w:p w14:paraId="0A755A3D" w14:textId="77777777" w:rsidR="00666921" w:rsidRPr="00666921" w:rsidRDefault="00666921" w:rsidP="00666921">
      <w:pPr>
        <w:widowControl w:val="0"/>
        <w:jc w:val="both"/>
        <w:rPr>
          <w:rFonts w:ascii="Cambria" w:eastAsia="MS Gothic" w:hAnsi="Cambria"/>
          <w:sz w:val="20"/>
          <w:szCs w:val="20"/>
          <w:lang w:eastAsia="fr-FR" w:bidi="fr-FR"/>
        </w:rPr>
      </w:pPr>
      <w:r w:rsidRPr="00666921">
        <w:rPr>
          <w:rFonts w:ascii="Cambria" w:eastAsia="MS Gothic" w:hAnsi="Cambria"/>
          <w:sz w:val="20"/>
          <w:lang w:eastAsia="fr-FR" w:bidi="fr-FR"/>
        </w:rPr>
        <w:t>La cuota inicial de Japón para la temporada pesquera de 2025 (del 1 de agosto de 2025 al 31 de julio de 2026) fue de 664,52 t. La cuota ajustada para 2025 fue de 683,66 t, lo que incluye la transferencia del 2,9% de su cuota inicial de 2024 a 2025. Además, se reserva la cuota reservada para descartes muertos así como la cuota de captura fortuita para buques sin cuota individual de atún rojo (2 t). Para concluir, la cuota disponible para la asignación en 2025 es de 681,66 t.</w:t>
      </w:r>
    </w:p>
    <w:p w14:paraId="53139181" w14:textId="77777777" w:rsidR="00666921" w:rsidRPr="00666921" w:rsidRDefault="00666921" w:rsidP="00666921">
      <w:pPr>
        <w:widowControl w:val="0"/>
        <w:jc w:val="both"/>
        <w:rPr>
          <w:rFonts w:ascii="Cambria" w:eastAsia="MS Gothic" w:hAnsi="Cambria"/>
          <w:sz w:val="20"/>
          <w:szCs w:val="20"/>
          <w:lang w:eastAsia="ja-JP" w:bidi="fr-FR"/>
        </w:rPr>
      </w:pPr>
    </w:p>
    <w:p w14:paraId="30C1D64F" w14:textId="77777777" w:rsidR="00666921" w:rsidRPr="00666921" w:rsidRDefault="00666921" w:rsidP="00666921">
      <w:pPr>
        <w:widowControl w:val="0"/>
        <w:jc w:val="both"/>
        <w:rPr>
          <w:rFonts w:ascii="Cambria" w:eastAsia="MS Gothic" w:hAnsi="Cambria"/>
          <w:iCs/>
          <w:sz w:val="20"/>
          <w:szCs w:val="20"/>
          <w:lang w:eastAsia="fr-FR" w:bidi="fr-FR"/>
        </w:rPr>
      </w:pPr>
      <w:r w:rsidRPr="00666921">
        <w:rPr>
          <w:rFonts w:ascii="Cambria" w:eastAsia="MS Gothic" w:hAnsi="Cambria"/>
          <w:sz w:val="20"/>
          <w:lang w:eastAsia="fr-FR" w:bidi="fr-FR"/>
        </w:rPr>
        <w:t>Todos los buques pesqueros japoneses que capturan atún rojo (BFT) en el Atlántico occidental son grandes palangreros atuneros (LSTLV). El Ministro de Agricultura, Silvicultura y Pesca, habiendo recibido competencias por la Ley de Pesca, ha introducido la Ordenanza Ministerial para establecer un sistema de ordenación legalmente vinculante que incluya cuotas individuales. La Agencia de Pesca de Japón (FAJ) es una oficina extraministerial del Ministerio de Agricultura, Silvicultura y Pesca de Japón, que hace cumplir la Ley de Pesca y la Ordenanza Ministerial sobre los pescadores japoneses.</w:t>
      </w:r>
    </w:p>
    <w:p w14:paraId="17476360" w14:textId="77777777" w:rsidR="00666921" w:rsidRPr="00666921" w:rsidRDefault="00666921" w:rsidP="00666921">
      <w:pPr>
        <w:widowControl w:val="0"/>
        <w:jc w:val="both"/>
        <w:rPr>
          <w:rFonts w:ascii="Cambria" w:eastAsia="MS Gothic" w:hAnsi="Cambria"/>
          <w:iCs/>
          <w:sz w:val="20"/>
          <w:szCs w:val="20"/>
          <w:lang w:eastAsia="ja-JP" w:bidi="fr-FR"/>
        </w:rPr>
      </w:pPr>
    </w:p>
    <w:p w14:paraId="28BC2913" w14:textId="77777777" w:rsidR="00666921" w:rsidRPr="00666921" w:rsidRDefault="00666921" w:rsidP="00666921">
      <w:pPr>
        <w:widowControl w:val="0"/>
        <w:jc w:val="both"/>
        <w:rPr>
          <w:rFonts w:ascii="Cambria" w:eastAsia="MS Gothic" w:hAnsi="Cambria"/>
          <w:iCs/>
          <w:sz w:val="20"/>
          <w:szCs w:val="20"/>
          <w:lang w:eastAsia="fr-FR" w:bidi="fr-FR"/>
        </w:rPr>
      </w:pPr>
      <w:r w:rsidRPr="00666921">
        <w:rPr>
          <w:rFonts w:ascii="Cambria" w:eastAsia="MS Gothic" w:hAnsi="Cambria"/>
          <w:sz w:val="20"/>
          <w:lang w:eastAsia="fr-FR" w:bidi="fr-FR"/>
        </w:rPr>
        <w:t>El Ministro asigna una cuota individual (IQ) de atún rojo atún rojo del Atlántico para cada buque. El Ministro exige que los operadores pesqueros comuniquen a la FAJ información diaria, incluyendo la fecha, hora, lugar, peso y número de atunes rojos capturados en el Atlántico occidental (incluyendo liberaciones y descartes de peces muertos por debajo de la talla mínima) cada dos días. Además, el Ministro también exige a los operadores que mantengan un cuaderno de pesca encuadernado o electrónico de sus operaciones.</w:t>
      </w:r>
    </w:p>
    <w:p w14:paraId="55809784" w14:textId="77777777" w:rsidR="00666921" w:rsidRPr="00666921" w:rsidRDefault="00666921" w:rsidP="00666921">
      <w:pPr>
        <w:widowControl w:val="0"/>
        <w:jc w:val="both"/>
        <w:rPr>
          <w:rFonts w:ascii="Cambria" w:eastAsia="MS Gothic" w:hAnsi="Cambria"/>
          <w:iCs/>
          <w:sz w:val="20"/>
          <w:szCs w:val="20"/>
          <w:lang w:eastAsia="ja-JP" w:bidi="fr-FR"/>
        </w:rPr>
      </w:pPr>
    </w:p>
    <w:p w14:paraId="41418615" w14:textId="77777777" w:rsidR="00666921" w:rsidRPr="00666921" w:rsidRDefault="00666921" w:rsidP="00666921">
      <w:pPr>
        <w:widowControl w:val="0"/>
        <w:jc w:val="both"/>
        <w:rPr>
          <w:rFonts w:ascii="Cambria" w:eastAsia="MS Gothic" w:hAnsi="Cambria"/>
          <w:sz w:val="20"/>
          <w:lang w:eastAsia="fr-FR" w:bidi="fr-FR"/>
        </w:rPr>
      </w:pPr>
      <w:r w:rsidRPr="00666921">
        <w:rPr>
          <w:rFonts w:ascii="Cambria" w:eastAsia="MS Gothic" w:hAnsi="Cambria"/>
          <w:sz w:val="20"/>
          <w:lang w:eastAsia="fr-FR" w:bidi="fr-FR"/>
        </w:rPr>
        <w:t>Además, el Ministro prohíbe a los operadores pesqueros capturar BFT que pesen menos de 30 kg.</w:t>
      </w:r>
    </w:p>
    <w:p w14:paraId="09C1B963" w14:textId="77777777" w:rsidR="00666921" w:rsidRPr="00666921" w:rsidRDefault="00666921" w:rsidP="00666921">
      <w:pPr>
        <w:widowControl w:val="0"/>
        <w:jc w:val="both"/>
        <w:rPr>
          <w:rFonts w:ascii="Cambria" w:eastAsia="MS Gothic" w:hAnsi="Cambria"/>
          <w:iCs/>
          <w:sz w:val="20"/>
          <w:szCs w:val="20"/>
          <w:lang w:eastAsia="ja-JP" w:bidi="fr-FR"/>
        </w:rPr>
      </w:pPr>
    </w:p>
    <w:p w14:paraId="67F1B1B3" w14:textId="77777777" w:rsidR="00666921" w:rsidRPr="00666921" w:rsidRDefault="00666921" w:rsidP="00666921">
      <w:pPr>
        <w:widowControl w:val="0"/>
        <w:jc w:val="both"/>
        <w:rPr>
          <w:rFonts w:ascii="Cambria" w:eastAsia="MS Gothic" w:hAnsi="Cambria"/>
          <w:iCs/>
          <w:sz w:val="20"/>
          <w:szCs w:val="20"/>
          <w:lang w:eastAsia="fr-FR" w:bidi="fr-FR"/>
        </w:rPr>
      </w:pPr>
      <w:r w:rsidRPr="00666921">
        <w:rPr>
          <w:rFonts w:ascii="Cambria" w:eastAsia="MS Gothic" w:hAnsi="Cambria"/>
          <w:sz w:val="20"/>
          <w:lang w:eastAsia="fr-FR" w:bidi="fr-FR"/>
        </w:rPr>
        <w:t xml:space="preserve">El buque pesquero deberá dejar de operar y alejarse de la zona pesquera cuando el peso total de los atunes rojos que pesen menos de 30 kg supere el 10% del peso total de los atunes rojos capturados ese día. El peso de los descartes muertos de atún rojo por debajo del peso mínimo se contabiliza en la cuota de Japón. </w:t>
      </w:r>
    </w:p>
    <w:p w14:paraId="3E3B1CB5" w14:textId="77777777" w:rsidR="00666921" w:rsidRPr="00666921" w:rsidRDefault="00666921" w:rsidP="00666921">
      <w:pPr>
        <w:widowControl w:val="0"/>
        <w:jc w:val="both"/>
        <w:rPr>
          <w:rFonts w:ascii="Cambria" w:eastAsia="MS Gothic" w:hAnsi="Cambria"/>
          <w:iCs/>
          <w:sz w:val="20"/>
          <w:szCs w:val="20"/>
          <w:lang w:eastAsia="fr-FR" w:bidi="fr-FR"/>
        </w:rPr>
      </w:pPr>
    </w:p>
    <w:p w14:paraId="7CC92F2E" w14:textId="77777777" w:rsidR="00666921" w:rsidRPr="00666921" w:rsidRDefault="00666921" w:rsidP="00666921">
      <w:pPr>
        <w:widowControl w:val="0"/>
        <w:jc w:val="both"/>
        <w:rPr>
          <w:rFonts w:ascii="Cambria" w:eastAsia="MS Gothic" w:hAnsi="Cambria"/>
          <w:iCs/>
          <w:sz w:val="20"/>
          <w:szCs w:val="20"/>
          <w:lang w:eastAsia="fr-FR" w:bidi="fr-FR"/>
        </w:rPr>
      </w:pPr>
      <w:r w:rsidRPr="00666921">
        <w:rPr>
          <w:rFonts w:ascii="Cambria" w:eastAsia="MS Gothic" w:hAnsi="Cambria"/>
          <w:sz w:val="20"/>
          <w:lang w:eastAsia="fr-FR" w:bidi="fr-FR"/>
        </w:rPr>
        <w:t xml:space="preserve">En cuanto a la captura fortuita, todos los buques de captura japoneses que dirigen su actividad a otros peces que no sean atún rojo operan alrededor del ecuador o más al sur, por lo que la posibilidad de captura fortuita de BFT es mínima. En 2025, no se comunicaron capturas fortuitas de peces. </w:t>
      </w:r>
    </w:p>
    <w:p w14:paraId="4D23F956" w14:textId="77777777" w:rsidR="00666921" w:rsidRPr="00666921" w:rsidRDefault="00666921" w:rsidP="00666921">
      <w:pPr>
        <w:widowControl w:val="0"/>
        <w:jc w:val="both"/>
        <w:rPr>
          <w:rFonts w:ascii="Cambria" w:eastAsia="MS Gothic" w:hAnsi="Cambria"/>
          <w:iCs/>
          <w:sz w:val="20"/>
          <w:szCs w:val="20"/>
          <w:lang w:eastAsia="fr-FR" w:bidi="fr-FR"/>
        </w:rPr>
      </w:pPr>
    </w:p>
    <w:p w14:paraId="78213B5F" w14:textId="77777777" w:rsidR="00666921" w:rsidRPr="00666921" w:rsidRDefault="00666921" w:rsidP="00666921">
      <w:pPr>
        <w:widowControl w:val="0"/>
        <w:jc w:val="both"/>
        <w:rPr>
          <w:rFonts w:ascii="Cambria" w:eastAsia="MS Gothic" w:hAnsi="Cambria"/>
          <w:iCs/>
          <w:sz w:val="20"/>
          <w:szCs w:val="20"/>
          <w:lang w:eastAsia="fr-FR" w:bidi="fr-FR"/>
        </w:rPr>
      </w:pPr>
      <w:r w:rsidRPr="00666921">
        <w:rPr>
          <w:rFonts w:ascii="Cambria" w:eastAsia="MS Gothic" w:hAnsi="Cambria"/>
          <w:sz w:val="20"/>
          <w:lang w:eastAsia="fr-FR" w:bidi="fr-FR"/>
        </w:rPr>
        <w:t xml:space="preserve">Los desembarques en puertos excepto en los puertos designados están prohibidos por la Ordenanza Ministerial. La Ordenanza Ministerial solo permite que los pescadores de BFT desembarquen en 10 puertos nacionales designados por la Ordenanza. En los 10 puertos, el 100% de los desembarques de BFT tanto por buques pesqueros como por buques de transporte serán inspeccionados por inspectores oficiales de la FAJ, que revisarán el peso total y las marcas, contarán el número de BFT y compararán la información recopilada con los datos previamente comunicados, incluidos los informes diarios. </w:t>
      </w:r>
    </w:p>
    <w:p w14:paraId="2DEF9144" w14:textId="77777777" w:rsidR="00666921" w:rsidRPr="00666921" w:rsidRDefault="00666921" w:rsidP="00666921">
      <w:pPr>
        <w:widowControl w:val="0"/>
        <w:jc w:val="both"/>
        <w:rPr>
          <w:rFonts w:ascii="Cambria" w:eastAsia="MS Gothic" w:hAnsi="Cambria"/>
          <w:iCs/>
          <w:sz w:val="20"/>
          <w:szCs w:val="20"/>
          <w:lang w:eastAsia="fr-FR" w:bidi="fr-FR"/>
        </w:rPr>
      </w:pPr>
    </w:p>
    <w:p w14:paraId="5AA4AAF4" w14:textId="77777777" w:rsidR="00666921" w:rsidRPr="00666921" w:rsidRDefault="00666921" w:rsidP="00666921">
      <w:pPr>
        <w:widowControl w:val="0"/>
        <w:jc w:val="both"/>
        <w:rPr>
          <w:rFonts w:ascii="Cambria" w:eastAsia="MS Gothic" w:hAnsi="Cambria"/>
          <w:b/>
          <w:bCs/>
          <w:i/>
          <w:iCs/>
          <w:sz w:val="20"/>
          <w:szCs w:val="20"/>
          <w:lang w:eastAsia="ja-JP" w:bidi="fr-FR"/>
        </w:rPr>
      </w:pPr>
    </w:p>
    <w:p w14:paraId="7A3F36E4" w14:textId="77777777" w:rsidR="00666921" w:rsidRPr="00666921" w:rsidRDefault="00666921" w:rsidP="00666921">
      <w:pPr>
        <w:widowControl w:val="0"/>
        <w:jc w:val="both"/>
        <w:rPr>
          <w:rFonts w:ascii="Cambria" w:eastAsia="MS Gothic" w:hAnsi="Cambria"/>
          <w:b/>
          <w:bCs/>
          <w:i/>
          <w:iCs/>
          <w:sz w:val="20"/>
          <w:szCs w:val="20"/>
          <w:lang w:eastAsia="ja-JP" w:bidi="fr-FR"/>
        </w:rPr>
      </w:pPr>
    </w:p>
    <w:p w14:paraId="6629CA61" w14:textId="77777777" w:rsidR="00666921" w:rsidRPr="00666921" w:rsidRDefault="00666921" w:rsidP="00666921">
      <w:pPr>
        <w:widowControl w:val="0"/>
        <w:jc w:val="both"/>
        <w:rPr>
          <w:rFonts w:ascii="Cambria" w:eastAsia="MS Gothic" w:hAnsi="Cambria"/>
          <w:b/>
          <w:bCs/>
          <w:i/>
          <w:iCs/>
          <w:sz w:val="20"/>
          <w:szCs w:val="20"/>
          <w:lang w:eastAsia="ja-JP" w:bidi="fr-FR"/>
        </w:rPr>
      </w:pPr>
    </w:p>
    <w:p w14:paraId="6C45C753" w14:textId="77777777" w:rsidR="00666921" w:rsidRPr="00666921" w:rsidRDefault="00666921" w:rsidP="00666921">
      <w:pPr>
        <w:widowControl w:val="0"/>
        <w:jc w:val="both"/>
        <w:rPr>
          <w:rFonts w:ascii="Cambria" w:eastAsia="MS Gothic" w:hAnsi="Cambria"/>
          <w:b/>
          <w:bCs/>
          <w:i/>
          <w:iCs/>
          <w:sz w:val="20"/>
          <w:szCs w:val="20"/>
          <w:lang w:eastAsia="ja-JP" w:bidi="fr-FR"/>
        </w:rPr>
      </w:pPr>
    </w:p>
    <w:p w14:paraId="4BFC9E0F" w14:textId="77777777" w:rsidR="00666921" w:rsidRPr="00666921" w:rsidRDefault="00666921" w:rsidP="00666921">
      <w:pPr>
        <w:widowControl w:val="0"/>
        <w:jc w:val="both"/>
        <w:rPr>
          <w:rFonts w:ascii="Cambria" w:eastAsia="MS Gothic" w:hAnsi="Cambria"/>
          <w:b/>
          <w:bCs/>
          <w:i/>
          <w:iCs/>
          <w:sz w:val="20"/>
          <w:szCs w:val="20"/>
          <w:lang w:eastAsia="ja-JP" w:bidi="fr-FR"/>
        </w:rPr>
      </w:pPr>
    </w:p>
    <w:p w14:paraId="3548764C" w14:textId="77777777" w:rsidR="00666921" w:rsidRPr="00666921" w:rsidRDefault="00666921" w:rsidP="00666921">
      <w:pPr>
        <w:widowControl w:val="0"/>
        <w:jc w:val="both"/>
        <w:rPr>
          <w:rFonts w:ascii="Cambria" w:eastAsia="MS Gothic" w:hAnsi="Cambria"/>
          <w:b/>
          <w:bCs/>
          <w:i/>
          <w:iCs/>
          <w:sz w:val="20"/>
          <w:szCs w:val="20"/>
          <w:lang w:eastAsia="ja-JP" w:bidi="fr-FR"/>
        </w:rPr>
      </w:pPr>
    </w:p>
    <w:p w14:paraId="37EF1B13" w14:textId="77777777" w:rsidR="00666921" w:rsidRPr="00666921" w:rsidRDefault="00666921" w:rsidP="00666921">
      <w:pPr>
        <w:widowControl w:val="0"/>
        <w:jc w:val="both"/>
        <w:rPr>
          <w:rFonts w:ascii="Cambria" w:eastAsia="MS Gothic" w:hAnsi="Cambria"/>
          <w:b/>
          <w:bCs/>
          <w:i/>
          <w:iCs/>
          <w:sz w:val="20"/>
          <w:szCs w:val="20"/>
          <w:lang w:eastAsia="ja-JP" w:bidi="fr-FR"/>
        </w:rPr>
      </w:pPr>
    </w:p>
    <w:p w14:paraId="6AEE7D18" w14:textId="77777777" w:rsidR="00666921" w:rsidRPr="00666921" w:rsidRDefault="00666921" w:rsidP="00666921">
      <w:pPr>
        <w:widowControl w:val="0"/>
        <w:jc w:val="both"/>
        <w:rPr>
          <w:rFonts w:ascii="Cambria" w:eastAsia="MS Gothic" w:hAnsi="Cambria"/>
          <w:b/>
          <w:bCs/>
          <w:i/>
          <w:iCs/>
          <w:sz w:val="20"/>
          <w:szCs w:val="20"/>
          <w:lang w:eastAsia="ja-JP" w:bidi="fr-FR"/>
        </w:rPr>
      </w:pPr>
    </w:p>
    <w:p w14:paraId="5A41EFB6" w14:textId="77777777" w:rsidR="00666921" w:rsidRPr="00666921" w:rsidRDefault="00666921" w:rsidP="00666921">
      <w:pPr>
        <w:widowControl w:val="0"/>
        <w:jc w:val="both"/>
        <w:rPr>
          <w:rFonts w:ascii="Cambria" w:eastAsia="MS Gothic" w:hAnsi="Cambria"/>
          <w:b/>
          <w:bCs/>
          <w:i/>
          <w:iCs/>
          <w:sz w:val="20"/>
          <w:szCs w:val="20"/>
          <w:lang w:eastAsia="ja-JP" w:bidi="fr-FR"/>
        </w:rPr>
      </w:pPr>
    </w:p>
    <w:p w14:paraId="2E960BD5" w14:textId="77777777" w:rsidR="00666921" w:rsidRPr="00666921" w:rsidRDefault="00666921" w:rsidP="00666921">
      <w:pPr>
        <w:widowControl w:val="0"/>
        <w:jc w:val="both"/>
        <w:rPr>
          <w:rFonts w:ascii="Cambria" w:eastAsia="MS Gothic" w:hAnsi="Cambria"/>
          <w:b/>
          <w:bCs/>
          <w:i/>
          <w:iCs/>
          <w:sz w:val="20"/>
          <w:szCs w:val="20"/>
          <w:lang w:eastAsia="ja-JP" w:bidi="fr-FR"/>
        </w:rPr>
      </w:pPr>
    </w:p>
    <w:p w14:paraId="4D50C7BD" w14:textId="77777777" w:rsidR="00666921" w:rsidRPr="00666921" w:rsidRDefault="00666921" w:rsidP="00666921">
      <w:pPr>
        <w:widowControl w:val="0"/>
        <w:jc w:val="both"/>
        <w:rPr>
          <w:rFonts w:ascii="Cambria" w:eastAsia="MS Gothic" w:hAnsi="Cambria"/>
          <w:b/>
          <w:bCs/>
          <w:i/>
          <w:iCs/>
          <w:sz w:val="20"/>
          <w:szCs w:val="20"/>
          <w:lang w:eastAsia="ja-JP" w:bidi="fr-FR"/>
        </w:rPr>
      </w:pPr>
    </w:p>
    <w:p w14:paraId="2F0B83F0" w14:textId="77777777" w:rsidR="00666921" w:rsidRPr="00666921" w:rsidRDefault="00666921" w:rsidP="00666921">
      <w:pPr>
        <w:widowControl w:val="0"/>
        <w:jc w:val="both"/>
        <w:rPr>
          <w:rFonts w:ascii="Cambria" w:eastAsia="MS Gothic" w:hAnsi="Cambria"/>
          <w:b/>
          <w:bCs/>
          <w:i/>
          <w:iCs/>
          <w:sz w:val="20"/>
          <w:szCs w:val="20"/>
          <w:lang w:eastAsia="ja-JP" w:bidi="fr-FR"/>
        </w:rPr>
      </w:pPr>
    </w:p>
    <w:p w14:paraId="67D165B4" w14:textId="77777777" w:rsidR="00666921" w:rsidRPr="00666921" w:rsidRDefault="00666921" w:rsidP="00666921">
      <w:pPr>
        <w:widowControl w:val="0"/>
        <w:jc w:val="both"/>
        <w:rPr>
          <w:rFonts w:ascii="Cambria" w:eastAsia="MS Gothic" w:hAnsi="Cambria"/>
          <w:sz w:val="20"/>
          <w:szCs w:val="20"/>
          <w:lang w:eastAsia="fr-FR" w:bidi="fr-FR"/>
        </w:rPr>
      </w:pPr>
      <w:r w:rsidRPr="00666921">
        <w:rPr>
          <w:rFonts w:ascii="Cambria" w:eastAsia="MS Gothic" w:hAnsi="Cambria"/>
          <w:b/>
          <w:i/>
          <w:sz w:val="20"/>
          <w:lang w:eastAsia="fr-FR" w:bidi="fr-FR"/>
        </w:rPr>
        <w:lastRenderedPageBreak/>
        <w:t>1 b) Cuotas de flota para todos los sectores (párrafo 3)</w:t>
      </w:r>
    </w:p>
    <w:tbl>
      <w:tblPr>
        <w:tblpPr w:leftFromText="180" w:rightFromText="180" w:vertAnchor="text" w:horzAnchor="margin" w:tblpXSpec="center" w:tblpY="37"/>
        <w:tblW w:w="454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gridCol w:w="3428"/>
      </w:tblGrid>
      <w:tr w:rsidR="00666921" w:rsidRPr="00666921" w14:paraId="58BE92C2" w14:textId="77777777" w:rsidTr="00B23AAD">
        <w:trPr>
          <w:gridAfter w:val="1"/>
          <w:wAfter w:w="2078" w:type="pct"/>
          <w:trHeight w:val="274"/>
        </w:trPr>
        <w:tc>
          <w:tcPr>
            <w:tcW w:w="2922" w:type="pct"/>
            <w:tcBorders>
              <w:top w:val="nil"/>
              <w:left w:val="nil"/>
              <w:bottom w:val="single" w:sz="4" w:space="0" w:color="auto"/>
              <w:right w:val="nil"/>
            </w:tcBorders>
            <w:noWrap/>
            <w:vAlign w:val="center"/>
          </w:tcPr>
          <w:p w14:paraId="67378A39" w14:textId="77777777" w:rsidR="00666921" w:rsidRPr="00666921" w:rsidRDefault="00666921" w:rsidP="00666921">
            <w:pPr>
              <w:widowControl w:val="0"/>
              <w:jc w:val="center"/>
              <w:rPr>
                <w:rFonts w:ascii="Cambria" w:eastAsia="MS Gothic" w:hAnsi="Cambria"/>
                <w:b/>
                <w:bCs/>
                <w:i/>
                <w:color w:val="000000"/>
                <w:sz w:val="20"/>
                <w:szCs w:val="20"/>
                <w:lang w:eastAsia="fr-FR" w:bidi="fr-FR"/>
              </w:rPr>
            </w:pPr>
          </w:p>
        </w:tc>
      </w:tr>
      <w:tr w:rsidR="00666921" w:rsidRPr="00666921" w14:paraId="79FE4D62" w14:textId="77777777" w:rsidTr="00B23AAD">
        <w:trPr>
          <w:trHeight w:val="268"/>
        </w:trPr>
        <w:tc>
          <w:tcPr>
            <w:tcW w:w="2922" w:type="pct"/>
            <w:noWrap/>
            <w:vAlign w:val="center"/>
          </w:tcPr>
          <w:p w14:paraId="22110574" w14:textId="77777777" w:rsidR="00666921" w:rsidRPr="00666921" w:rsidRDefault="00666921" w:rsidP="00666921">
            <w:pPr>
              <w:jc w:val="center"/>
              <w:rPr>
                <w:rFonts w:ascii="Cambria" w:eastAsia="MS Gothic" w:hAnsi="Cambria"/>
                <w:bCs/>
                <w:i/>
                <w:iCs/>
                <w:color w:val="000000"/>
                <w:sz w:val="20"/>
                <w:szCs w:val="20"/>
                <w:lang w:eastAsia="fr-FR" w:bidi="fr-FR"/>
              </w:rPr>
            </w:pPr>
            <w:r w:rsidRPr="00666921">
              <w:rPr>
                <w:rFonts w:ascii="Cambria" w:eastAsia="MS Gothic" w:hAnsi="Cambria"/>
                <w:i/>
                <w:color w:val="000000"/>
                <w:sz w:val="20"/>
                <w:lang w:eastAsia="fr-FR" w:bidi="fr-FR"/>
              </w:rPr>
              <w:t>Sector de la flota</w:t>
            </w:r>
          </w:p>
        </w:tc>
        <w:tc>
          <w:tcPr>
            <w:tcW w:w="2078" w:type="pct"/>
            <w:tcBorders>
              <w:bottom w:val="single" w:sz="4" w:space="0" w:color="auto"/>
            </w:tcBorders>
            <w:vAlign w:val="center"/>
          </w:tcPr>
          <w:p w14:paraId="020AF8FA" w14:textId="77777777" w:rsidR="00666921" w:rsidRPr="00666921" w:rsidRDefault="00666921" w:rsidP="00666921">
            <w:pPr>
              <w:jc w:val="center"/>
              <w:rPr>
                <w:rFonts w:ascii="Cambria" w:eastAsia="MS Gothic" w:hAnsi="Cambria"/>
                <w:bCs/>
                <w:i/>
                <w:iCs/>
                <w:color w:val="000000"/>
                <w:sz w:val="20"/>
                <w:szCs w:val="20"/>
                <w:lang w:eastAsia="fr-FR" w:bidi="fr-FR"/>
              </w:rPr>
            </w:pPr>
            <w:r w:rsidRPr="00666921">
              <w:rPr>
                <w:rFonts w:ascii="Cambria" w:eastAsia="MS Gothic" w:hAnsi="Cambria"/>
                <w:i/>
                <w:color w:val="000000"/>
                <w:sz w:val="20"/>
                <w:lang w:eastAsia="fr-FR" w:bidi="fr-FR"/>
              </w:rPr>
              <w:t>Cuota asignada (t)</w:t>
            </w:r>
          </w:p>
        </w:tc>
      </w:tr>
      <w:tr w:rsidR="00666921" w:rsidRPr="00666921" w14:paraId="7C279D42" w14:textId="77777777" w:rsidTr="00B23AAD">
        <w:trPr>
          <w:trHeight w:val="300"/>
        </w:trPr>
        <w:tc>
          <w:tcPr>
            <w:tcW w:w="2922" w:type="pct"/>
            <w:tcBorders>
              <w:right w:val="single" w:sz="4" w:space="0" w:color="auto"/>
            </w:tcBorders>
            <w:noWrap/>
            <w:vAlign w:val="center"/>
          </w:tcPr>
          <w:p w14:paraId="2BEB9C25" w14:textId="77777777" w:rsidR="00666921" w:rsidRPr="00666921" w:rsidRDefault="00666921" w:rsidP="00666921">
            <w:pPr>
              <w:jc w:val="both"/>
              <w:rPr>
                <w:rFonts w:ascii="Cambria" w:eastAsia="MS Gothic" w:hAnsi="Cambria"/>
                <w:color w:val="000000"/>
                <w:sz w:val="20"/>
                <w:szCs w:val="20"/>
                <w:lang w:eastAsia="fr-FR" w:bidi="fr-FR"/>
              </w:rPr>
            </w:pPr>
            <w:r w:rsidRPr="00666921">
              <w:rPr>
                <w:rFonts w:ascii="Cambria" w:eastAsia="MS Gothic" w:hAnsi="Cambria"/>
                <w:color w:val="000000"/>
                <w:sz w:val="20"/>
                <w:lang w:eastAsia="fr-FR" w:bidi="fr-FR"/>
              </w:rPr>
              <w:t>Grandes palangreros</w:t>
            </w:r>
          </w:p>
        </w:tc>
        <w:tc>
          <w:tcPr>
            <w:tcW w:w="2078" w:type="pct"/>
            <w:tcBorders>
              <w:top w:val="single" w:sz="4" w:space="0" w:color="auto"/>
              <w:left w:val="single" w:sz="4" w:space="0" w:color="auto"/>
              <w:bottom w:val="single" w:sz="4" w:space="0" w:color="auto"/>
              <w:right w:val="single" w:sz="4" w:space="0" w:color="auto"/>
            </w:tcBorders>
            <w:noWrap/>
          </w:tcPr>
          <w:p w14:paraId="08D20572" w14:textId="77777777" w:rsidR="00666921" w:rsidRPr="00666921" w:rsidRDefault="00666921" w:rsidP="00666921">
            <w:pPr>
              <w:widowControl w:val="0"/>
              <w:jc w:val="right"/>
              <w:rPr>
                <w:rFonts w:ascii="Cambria" w:eastAsia="MS Gothic" w:hAnsi="Cambria"/>
                <w:sz w:val="20"/>
                <w:lang w:eastAsia="fr-FR" w:bidi="fr-FR"/>
              </w:rPr>
            </w:pPr>
            <w:r w:rsidRPr="00666921">
              <w:rPr>
                <w:rFonts w:ascii="Cambria" w:eastAsia="MS Gothic" w:hAnsi="Cambria"/>
                <w:sz w:val="20"/>
                <w:lang w:eastAsia="fr-FR" w:bidi="fr-FR"/>
              </w:rPr>
              <w:t>681,66</w:t>
            </w:r>
          </w:p>
        </w:tc>
      </w:tr>
      <w:tr w:rsidR="00666921" w:rsidRPr="00666921" w14:paraId="548E11CF" w14:textId="77777777" w:rsidTr="00B23AAD">
        <w:trPr>
          <w:trHeight w:val="315"/>
        </w:trPr>
        <w:tc>
          <w:tcPr>
            <w:tcW w:w="2922" w:type="pct"/>
            <w:tcBorders>
              <w:right w:val="single" w:sz="4" w:space="0" w:color="auto"/>
            </w:tcBorders>
            <w:shd w:val="clear" w:color="auto" w:fill="BFBFBF"/>
            <w:noWrap/>
            <w:vAlign w:val="center"/>
          </w:tcPr>
          <w:p w14:paraId="508F619C" w14:textId="77777777" w:rsidR="00666921" w:rsidRPr="00666921" w:rsidRDefault="00666921" w:rsidP="00666921">
            <w:pPr>
              <w:rPr>
                <w:rFonts w:ascii="Cambria" w:eastAsia="MS Gothic" w:hAnsi="Cambria"/>
                <w:b/>
                <w:bCs/>
                <w:color w:val="000000"/>
                <w:sz w:val="20"/>
                <w:szCs w:val="20"/>
                <w:lang w:eastAsia="fr-FR" w:bidi="fr-FR"/>
              </w:rPr>
            </w:pPr>
            <w:r w:rsidRPr="00666921">
              <w:rPr>
                <w:rFonts w:ascii="Cambria" w:eastAsia="MS Gothic" w:hAnsi="Cambria"/>
                <w:b/>
                <w:color w:val="000000"/>
                <w:sz w:val="20"/>
                <w:lang w:eastAsia="fr-FR" w:bidi="fr-FR"/>
              </w:rPr>
              <w:t>Total</w:t>
            </w:r>
          </w:p>
        </w:tc>
        <w:tc>
          <w:tcPr>
            <w:tcW w:w="2078" w:type="pct"/>
            <w:tcBorders>
              <w:top w:val="single" w:sz="4" w:space="0" w:color="auto"/>
              <w:left w:val="single" w:sz="4" w:space="0" w:color="auto"/>
              <w:bottom w:val="single" w:sz="4" w:space="0" w:color="auto"/>
              <w:right w:val="single" w:sz="4" w:space="0" w:color="auto"/>
            </w:tcBorders>
            <w:shd w:val="clear" w:color="auto" w:fill="BFBFBF"/>
            <w:noWrap/>
          </w:tcPr>
          <w:p w14:paraId="27A087FF" w14:textId="77777777" w:rsidR="00666921" w:rsidRPr="00666921" w:rsidRDefault="00666921" w:rsidP="00666921">
            <w:pPr>
              <w:widowControl w:val="0"/>
              <w:jc w:val="right"/>
              <w:rPr>
                <w:rFonts w:ascii="Cambria" w:eastAsia="MS Gothic" w:hAnsi="Cambria"/>
                <w:b/>
                <w:color w:val="000000"/>
                <w:sz w:val="20"/>
                <w:lang w:eastAsia="fr-FR" w:bidi="fr-FR"/>
              </w:rPr>
            </w:pPr>
            <w:r w:rsidRPr="00666921">
              <w:rPr>
                <w:rFonts w:ascii="Cambria" w:eastAsia="MS Gothic" w:hAnsi="Cambria"/>
                <w:b/>
                <w:color w:val="000000"/>
                <w:sz w:val="20"/>
                <w:lang w:eastAsia="fr-FR" w:bidi="fr-FR"/>
              </w:rPr>
              <w:t>681,66</w:t>
            </w:r>
          </w:p>
        </w:tc>
      </w:tr>
      <w:tr w:rsidR="00666921" w:rsidRPr="00666921" w14:paraId="3684AAD4" w14:textId="77777777" w:rsidTr="00B23AAD">
        <w:trPr>
          <w:trHeight w:val="315"/>
        </w:trPr>
        <w:tc>
          <w:tcPr>
            <w:tcW w:w="2922" w:type="pct"/>
            <w:noWrap/>
            <w:vAlign w:val="center"/>
          </w:tcPr>
          <w:p w14:paraId="694E19AC" w14:textId="77777777" w:rsidR="00666921" w:rsidRPr="00666921" w:rsidRDefault="00666921" w:rsidP="00666921">
            <w:pPr>
              <w:jc w:val="both"/>
              <w:rPr>
                <w:rFonts w:ascii="Cambria" w:eastAsia="MS Gothic" w:hAnsi="Cambria"/>
                <w:b/>
                <w:color w:val="000000"/>
                <w:sz w:val="20"/>
                <w:szCs w:val="20"/>
                <w:lang w:eastAsia="fr-FR" w:bidi="fr-FR"/>
              </w:rPr>
            </w:pPr>
            <w:r w:rsidRPr="00666921">
              <w:rPr>
                <w:rFonts w:ascii="Cambria" w:eastAsia="MS Gothic" w:hAnsi="Cambria"/>
                <w:color w:val="000000"/>
                <w:sz w:val="20"/>
                <w:lang w:eastAsia="fr-FR" w:bidi="fr-FR"/>
              </w:rPr>
              <w:t xml:space="preserve">Cuota </w:t>
            </w:r>
          </w:p>
        </w:tc>
        <w:tc>
          <w:tcPr>
            <w:tcW w:w="2078" w:type="pct"/>
            <w:noWrap/>
            <w:vAlign w:val="center"/>
          </w:tcPr>
          <w:p w14:paraId="743BD5C4" w14:textId="77777777" w:rsidR="00666921" w:rsidRPr="00666921" w:rsidRDefault="00666921" w:rsidP="00666921">
            <w:pPr>
              <w:widowControl w:val="0"/>
              <w:jc w:val="right"/>
              <w:rPr>
                <w:rFonts w:ascii="Cambria" w:eastAsia="MS Gothic" w:hAnsi="Cambria"/>
                <w:bCs/>
                <w:color w:val="000000"/>
                <w:sz w:val="20"/>
                <w:lang w:eastAsia="fr-FR" w:bidi="fr-FR"/>
              </w:rPr>
            </w:pPr>
            <w:r w:rsidRPr="00666921">
              <w:rPr>
                <w:rFonts w:ascii="Cambria" w:eastAsia="MS Gothic" w:hAnsi="Cambria"/>
                <w:color w:val="000000"/>
                <w:sz w:val="20"/>
                <w:lang w:eastAsia="fr-FR" w:bidi="fr-FR"/>
              </w:rPr>
              <w:t>664,52</w:t>
            </w:r>
          </w:p>
        </w:tc>
      </w:tr>
      <w:tr w:rsidR="00666921" w:rsidRPr="00666921" w14:paraId="15D4079A" w14:textId="77777777" w:rsidTr="00B23AAD">
        <w:trPr>
          <w:trHeight w:val="315"/>
        </w:trPr>
        <w:tc>
          <w:tcPr>
            <w:tcW w:w="2922" w:type="pct"/>
            <w:noWrap/>
            <w:vAlign w:val="center"/>
          </w:tcPr>
          <w:p w14:paraId="1A9A4CC7" w14:textId="77777777" w:rsidR="00666921" w:rsidRPr="00666921" w:rsidRDefault="00666921" w:rsidP="00666921">
            <w:pPr>
              <w:jc w:val="both"/>
              <w:rPr>
                <w:rFonts w:ascii="Cambria" w:eastAsia="MS Gothic" w:hAnsi="Cambria"/>
                <w:color w:val="000000"/>
                <w:sz w:val="20"/>
                <w:szCs w:val="20"/>
                <w:lang w:eastAsia="fr-FR" w:bidi="fr-FR"/>
              </w:rPr>
            </w:pPr>
            <w:r w:rsidRPr="00666921">
              <w:rPr>
                <w:rFonts w:ascii="Cambria" w:eastAsia="MS Gothic" w:hAnsi="Cambria"/>
                <w:color w:val="000000"/>
                <w:sz w:val="20"/>
                <w:lang w:eastAsia="fr-FR" w:bidi="fr-FR"/>
              </w:rPr>
              <w:t xml:space="preserve">Cuota ajustada </w:t>
            </w:r>
          </w:p>
          <w:p w14:paraId="2C8025E4" w14:textId="77777777" w:rsidR="00666921" w:rsidRPr="00666921" w:rsidRDefault="00666921" w:rsidP="00666921">
            <w:pPr>
              <w:jc w:val="both"/>
              <w:rPr>
                <w:rFonts w:ascii="Cambria" w:eastAsia="MS Gothic" w:hAnsi="Cambria"/>
                <w:color w:val="000000"/>
                <w:sz w:val="20"/>
                <w:szCs w:val="20"/>
                <w:lang w:eastAsia="fr-FR" w:bidi="fr-FR"/>
              </w:rPr>
            </w:pPr>
            <w:r w:rsidRPr="00666921">
              <w:rPr>
                <w:rFonts w:ascii="Cambria" w:eastAsia="MS Gothic" w:hAnsi="Cambria"/>
                <w:color w:val="000000"/>
                <w:sz w:val="20"/>
                <w:lang w:eastAsia="fr-FR" w:bidi="fr-FR"/>
              </w:rPr>
              <w:t>(si procede, incluyendo traspasos,</w:t>
            </w:r>
          </w:p>
          <w:p w14:paraId="4B3A6D20" w14:textId="77777777" w:rsidR="00666921" w:rsidRPr="00666921" w:rsidRDefault="00666921" w:rsidP="00666921">
            <w:pPr>
              <w:jc w:val="both"/>
              <w:rPr>
                <w:rFonts w:ascii="Cambria" w:eastAsia="MS Gothic" w:hAnsi="Cambria"/>
                <w:color w:val="000000"/>
                <w:sz w:val="20"/>
                <w:szCs w:val="20"/>
                <w:lang w:eastAsia="fr-FR" w:bidi="fr-FR"/>
              </w:rPr>
            </w:pPr>
            <w:r w:rsidRPr="00666921">
              <w:rPr>
                <w:rFonts w:ascii="Cambria" w:eastAsia="MS Gothic" w:hAnsi="Cambria"/>
                <w:color w:val="000000"/>
                <w:sz w:val="20"/>
                <w:lang w:eastAsia="fr-FR" w:bidi="fr-FR"/>
              </w:rPr>
              <w:t>exceso de captura y transferencias)</w:t>
            </w:r>
          </w:p>
        </w:tc>
        <w:tc>
          <w:tcPr>
            <w:tcW w:w="2078" w:type="pct"/>
            <w:noWrap/>
            <w:vAlign w:val="center"/>
          </w:tcPr>
          <w:p w14:paraId="1B79418A" w14:textId="77777777" w:rsidR="00666921" w:rsidRPr="00666921" w:rsidRDefault="00666921" w:rsidP="00666921">
            <w:pPr>
              <w:widowControl w:val="0"/>
              <w:jc w:val="right"/>
              <w:rPr>
                <w:rFonts w:ascii="Cambria" w:eastAsia="MS Gothic" w:hAnsi="Cambria"/>
                <w:color w:val="000000"/>
                <w:sz w:val="20"/>
                <w:lang w:eastAsia="fr-FR" w:bidi="fr-FR"/>
              </w:rPr>
            </w:pPr>
            <w:r w:rsidRPr="00666921">
              <w:rPr>
                <w:rFonts w:ascii="Cambria" w:eastAsia="MS Gothic" w:hAnsi="Cambria"/>
                <w:color w:val="000000"/>
                <w:sz w:val="20"/>
                <w:lang w:eastAsia="fr-FR" w:bidi="fr-FR"/>
              </w:rPr>
              <w:t>683,66 (incluyendo 19,14 t de transferencia de 2024)</w:t>
            </w:r>
          </w:p>
        </w:tc>
      </w:tr>
      <w:tr w:rsidR="00666921" w:rsidRPr="00666921" w14:paraId="1894ACFC" w14:textId="77777777" w:rsidTr="00B23AAD">
        <w:trPr>
          <w:trHeight w:val="315"/>
        </w:trPr>
        <w:tc>
          <w:tcPr>
            <w:tcW w:w="2922" w:type="pct"/>
            <w:noWrap/>
            <w:vAlign w:val="center"/>
          </w:tcPr>
          <w:p w14:paraId="023468D4" w14:textId="77777777" w:rsidR="00666921" w:rsidRPr="00666921" w:rsidRDefault="00666921" w:rsidP="00666921">
            <w:pPr>
              <w:jc w:val="both"/>
              <w:rPr>
                <w:rFonts w:ascii="Cambria" w:eastAsia="MS Gothic" w:hAnsi="Cambria"/>
                <w:b/>
                <w:color w:val="000000"/>
                <w:sz w:val="20"/>
                <w:szCs w:val="20"/>
                <w:lang w:eastAsia="fr-FR" w:bidi="fr-FR"/>
              </w:rPr>
            </w:pPr>
            <w:r w:rsidRPr="00666921">
              <w:rPr>
                <w:rFonts w:ascii="Cambria" w:eastAsia="MS Gothic" w:hAnsi="Cambria"/>
                <w:color w:val="000000"/>
                <w:sz w:val="20"/>
                <w:lang w:eastAsia="fr-FR" w:bidi="fr-FR"/>
              </w:rPr>
              <w:t>Pesquería de recreo</w:t>
            </w:r>
          </w:p>
        </w:tc>
        <w:tc>
          <w:tcPr>
            <w:tcW w:w="2078" w:type="pct"/>
            <w:tcBorders>
              <w:top w:val="single" w:sz="4" w:space="0" w:color="auto"/>
              <w:left w:val="single" w:sz="4" w:space="0" w:color="auto"/>
              <w:bottom w:val="single" w:sz="4" w:space="0" w:color="auto"/>
              <w:right w:val="single" w:sz="4" w:space="0" w:color="auto"/>
            </w:tcBorders>
            <w:noWrap/>
            <w:vAlign w:val="center"/>
          </w:tcPr>
          <w:p w14:paraId="2FA6443D" w14:textId="77777777" w:rsidR="00666921" w:rsidRPr="00666921" w:rsidRDefault="00666921" w:rsidP="00666921">
            <w:pPr>
              <w:widowControl w:val="0"/>
              <w:jc w:val="right"/>
              <w:rPr>
                <w:rFonts w:ascii="Cambria" w:eastAsia="MS Gothic" w:hAnsi="Cambria"/>
                <w:color w:val="000000"/>
                <w:sz w:val="20"/>
                <w:lang w:eastAsia="fr-FR" w:bidi="fr-FR"/>
              </w:rPr>
            </w:pPr>
            <w:r w:rsidRPr="00666921">
              <w:rPr>
                <w:rFonts w:ascii="Cambria" w:eastAsia="MS Gothic" w:hAnsi="Cambria"/>
                <w:color w:val="000000"/>
                <w:sz w:val="20"/>
                <w:lang w:eastAsia="fr-FR" w:bidi="fr-FR"/>
              </w:rPr>
              <w:t>-</w:t>
            </w:r>
          </w:p>
        </w:tc>
      </w:tr>
      <w:tr w:rsidR="00666921" w:rsidRPr="00666921" w14:paraId="139CB474" w14:textId="77777777" w:rsidTr="00B23AAD">
        <w:trPr>
          <w:trHeight w:val="315"/>
        </w:trPr>
        <w:tc>
          <w:tcPr>
            <w:tcW w:w="2922" w:type="pct"/>
            <w:noWrap/>
            <w:vAlign w:val="center"/>
          </w:tcPr>
          <w:p w14:paraId="1ABCFB58" w14:textId="77777777" w:rsidR="00666921" w:rsidRPr="00666921" w:rsidRDefault="00666921" w:rsidP="00666921">
            <w:pPr>
              <w:jc w:val="both"/>
              <w:rPr>
                <w:rFonts w:ascii="Cambria" w:eastAsia="MS Gothic" w:hAnsi="Cambria"/>
                <w:b/>
                <w:color w:val="000000"/>
                <w:sz w:val="20"/>
                <w:szCs w:val="20"/>
                <w:lang w:eastAsia="fr-FR" w:bidi="fr-FR"/>
              </w:rPr>
            </w:pPr>
            <w:r w:rsidRPr="00666921">
              <w:rPr>
                <w:rFonts w:ascii="Cambria" w:eastAsia="MS Gothic" w:hAnsi="Cambria"/>
                <w:color w:val="000000"/>
                <w:sz w:val="20"/>
                <w:szCs w:val="20"/>
                <w:lang w:eastAsia="fr-FR" w:bidi="fr-FR"/>
              </w:rPr>
              <w:t>Reserva para capturas fortuitas (si la hay)</w:t>
            </w:r>
          </w:p>
        </w:tc>
        <w:tc>
          <w:tcPr>
            <w:tcW w:w="2078" w:type="pct"/>
            <w:tcBorders>
              <w:top w:val="single" w:sz="4" w:space="0" w:color="auto"/>
              <w:left w:val="single" w:sz="4" w:space="0" w:color="auto"/>
              <w:bottom w:val="single" w:sz="4" w:space="0" w:color="auto"/>
              <w:right w:val="single" w:sz="4" w:space="0" w:color="auto"/>
            </w:tcBorders>
            <w:noWrap/>
            <w:vAlign w:val="center"/>
          </w:tcPr>
          <w:p w14:paraId="5F03107F" w14:textId="77777777" w:rsidR="00666921" w:rsidRPr="00666921" w:rsidRDefault="00666921" w:rsidP="00666921">
            <w:pPr>
              <w:widowControl w:val="0"/>
              <w:jc w:val="right"/>
              <w:rPr>
                <w:rFonts w:ascii="Cambria" w:eastAsia="MS Gothic" w:hAnsi="Cambria"/>
                <w:color w:val="000000"/>
                <w:sz w:val="20"/>
                <w:lang w:eastAsia="fr-FR" w:bidi="fr-FR"/>
              </w:rPr>
            </w:pPr>
            <w:r w:rsidRPr="00666921">
              <w:rPr>
                <w:rFonts w:ascii="Cambria" w:eastAsia="MS Gothic" w:hAnsi="Cambria"/>
                <w:color w:val="000000"/>
                <w:sz w:val="20"/>
                <w:lang w:eastAsia="fr-FR" w:bidi="fr-FR"/>
              </w:rPr>
              <w:t>2</w:t>
            </w:r>
          </w:p>
        </w:tc>
      </w:tr>
    </w:tbl>
    <w:p w14:paraId="7DC37139" w14:textId="77777777" w:rsidR="00666921" w:rsidRPr="00666921" w:rsidRDefault="00666921" w:rsidP="00666921">
      <w:pPr>
        <w:widowControl w:val="0"/>
        <w:jc w:val="both"/>
        <w:rPr>
          <w:rFonts w:ascii="Cambria" w:eastAsia="MS Gothic" w:hAnsi="Cambria"/>
          <w:b/>
          <w:bCs/>
          <w:i/>
          <w:iCs/>
          <w:sz w:val="20"/>
          <w:szCs w:val="20"/>
          <w:lang w:eastAsia="fr-FR" w:bidi="fr-FR"/>
        </w:rPr>
      </w:pPr>
    </w:p>
    <w:p w14:paraId="4DDB828E" w14:textId="77777777" w:rsidR="00666921" w:rsidRPr="00666921" w:rsidRDefault="00666921" w:rsidP="00666921">
      <w:pPr>
        <w:widowControl w:val="0"/>
        <w:jc w:val="both"/>
        <w:rPr>
          <w:rFonts w:ascii="Cambria" w:eastAsia="MS Gothic" w:hAnsi="Cambria"/>
          <w:b/>
          <w:i/>
          <w:iCs/>
          <w:sz w:val="20"/>
          <w:szCs w:val="20"/>
          <w:lang w:eastAsia="fr-FR" w:bidi="fr-FR"/>
        </w:rPr>
      </w:pPr>
      <w:r w:rsidRPr="00666921">
        <w:rPr>
          <w:rFonts w:ascii="Cambria" w:eastAsia="MS Gothic" w:hAnsi="Cambria"/>
          <w:b/>
          <w:i/>
          <w:sz w:val="20"/>
          <w:lang w:eastAsia="fr-FR" w:bidi="fr-FR"/>
        </w:rPr>
        <w:t>1 c) Método utilizado para asignar y gestionar esas cuotas (párrafo 3)</w:t>
      </w:r>
    </w:p>
    <w:p w14:paraId="792C5C52" w14:textId="77777777" w:rsidR="00666921" w:rsidRPr="00666921" w:rsidRDefault="00666921" w:rsidP="00666921">
      <w:pPr>
        <w:widowControl w:val="0"/>
        <w:jc w:val="both"/>
        <w:rPr>
          <w:rFonts w:ascii="Cambria" w:eastAsia="MS Gothic" w:hAnsi="Cambria"/>
          <w:b/>
          <w:sz w:val="20"/>
          <w:szCs w:val="20"/>
          <w:lang w:eastAsia="fr-FR" w:bidi="fr-FR"/>
        </w:rPr>
      </w:pPr>
    </w:p>
    <w:p w14:paraId="35DEB4B8" w14:textId="77777777" w:rsidR="00666921" w:rsidRPr="00666921" w:rsidRDefault="00666921" w:rsidP="00666921">
      <w:pPr>
        <w:widowControl w:val="0"/>
        <w:jc w:val="both"/>
        <w:rPr>
          <w:rFonts w:ascii="Cambria" w:eastAsia="MS Gothic" w:hAnsi="Cambria"/>
          <w:sz w:val="20"/>
          <w:szCs w:val="20"/>
          <w:lang w:eastAsia="fr-FR" w:bidi="fr-FR"/>
        </w:rPr>
      </w:pPr>
      <w:r w:rsidRPr="00666921">
        <w:rPr>
          <w:rFonts w:ascii="Cambria" w:eastAsia="MS Gothic" w:hAnsi="Cambria"/>
          <w:sz w:val="20"/>
          <w:lang w:eastAsia="fr-FR" w:bidi="fr-FR"/>
        </w:rPr>
        <w:t xml:space="preserve">Además de la reserva, todas las cuotas se asignan a los LSTLV. La cuota individual de cada buque se asigna en función de la solicitud de los operadores pesqueros. No hay solapamiento entre los buques que poseen cuota y que realizan capturas en la zona oriental y aquellos que poseen cuota y realizan capturas en la zona occidental. </w:t>
      </w:r>
    </w:p>
    <w:p w14:paraId="3BC7C54B" w14:textId="77777777" w:rsidR="00666921" w:rsidRPr="00666921" w:rsidRDefault="00666921" w:rsidP="00666921">
      <w:pPr>
        <w:widowControl w:val="0"/>
        <w:jc w:val="both"/>
        <w:rPr>
          <w:rFonts w:ascii="Cambria" w:eastAsia="MS Gothic" w:hAnsi="Cambria"/>
          <w:i/>
          <w:sz w:val="20"/>
          <w:szCs w:val="20"/>
          <w:lang w:eastAsia="ja-JP" w:bidi="fr-FR"/>
        </w:rPr>
      </w:pPr>
    </w:p>
    <w:p w14:paraId="79E8AEE6" w14:textId="77777777" w:rsidR="00666921" w:rsidRPr="00666921" w:rsidRDefault="00666921" w:rsidP="00666921">
      <w:pPr>
        <w:widowControl w:val="0"/>
        <w:jc w:val="both"/>
        <w:rPr>
          <w:rFonts w:ascii="Cambria" w:eastAsia="MS Gothic" w:hAnsi="Cambria"/>
          <w:b/>
          <w:bCs/>
          <w:i/>
          <w:iCs/>
          <w:sz w:val="20"/>
          <w:szCs w:val="20"/>
          <w:lang w:eastAsia="fr-FR" w:bidi="fr-FR"/>
        </w:rPr>
      </w:pPr>
      <w:r w:rsidRPr="00666921">
        <w:rPr>
          <w:rFonts w:ascii="Cambria" w:eastAsia="MS Gothic" w:hAnsi="Cambria"/>
          <w:b/>
          <w:i/>
          <w:sz w:val="20"/>
          <w:lang w:eastAsia="fr-FR" w:bidi="fr-FR"/>
        </w:rPr>
        <w:t>1 d) Ajuste en caso de exceso o de remanente de captura (párr. 8)</w:t>
      </w:r>
    </w:p>
    <w:p w14:paraId="6E8AB9E5" w14:textId="77777777" w:rsidR="00666921" w:rsidRPr="00666921" w:rsidRDefault="00666921" w:rsidP="00666921">
      <w:pPr>
        <w:widowControl w:val="0"/>
        <w:jc w:val="both"/>
        <w:rPr>
          <w:rFonts w:ascii="Cambria" w:eastAsia="MS Gothic" w:hAnsi="Cambria"/>
          <w:b/>
          <w:bCs/>
          <w:i/>
          <w:iCs/>
          <w:sz w:val="20"/>
          <w:szCs w:val="20"/>
          <w:lang w:eastAsia="fr-FR" w:bidi="fr-FR"/>
        </w:rPr>
      </w:pPr>
    </w:p>
    <w:p w14:paraId="5B0A6845" w14:textId="77777777" w:rsidR="00666921" w:rsidRPr="00666921" w:rsidRDefault="00666921" w:rsidP="00666921">
      <w:pPr>
        <w:widowControl w:val="0"/>
        <w:jc w:val="both"/>
        <w:rPr>
          <w:rFonts w:ascii="Cambria" w:eastAsia="MS Gothic" w:hAnsi="Cambria"/>
          <w:iCs/>
          <w:sz w:val="20"/>
          <w:szCs w:val="20"/>
          <w:lang w:eastAsia="fr-FR" w:bidi="fr-FR"/>
        </w:rPr>
      </w:pPr>
      <w:r w:rsidRPr="00666921">
        <w:rPr>
          <w:rFonts w:ascii="Cambria" w:eastAsia="MS Gothic" w:hAnsi="Cambria"/>
          <w:sz w:val="20"/>
          <w:lang w:eastAsia="fr-FR" w:bidi="fr-FR"/>
        </w:rPr>
        <w:t>De acuerdo con el párrafo 6 de la Recomendación 22-10, Japón transfirió su remanente de capturas de 2024 a 2025. La captura de BFT-W en la temporada de pesca de 2024 fue de 692,66 t, que incluye 1,57 t de descartes muertos. Como resultado, 19,14 t (2,8%) (711,80 t (cuota ajustada 2024) menos 692,66) se transfieren a la temporada de pesca de 2025 como remanente. Además, se reserva la cuota reservada para capturas fortuitas para buques sin cuota individual de atún rojo (2 t).</w:t>
      </w:r>
    </w:p>
    <w:p w14:paraId="394F166E" w14:textId="77777777" w:rsidR="00666921" w:rsidRPr="00666921" w:rsidRDefault="00666921" w:rsidP="00666921">
      <w:pPr>
        <w:widowControl w:val="0"/>
        <w:jc w:val="both"/>
        <w:rPr>
          <w:rFonts w:ascii="Cambria" w:eastAsia="MS Gothic" w:hAnsi="Cambria"/>
          <w:iCs/>
          <w:sz w:val="20"/>
          <w:szCs w:val="20"/>
          <w:lang w:eastAsia="ja-JP" w:bidi="fr-FR"/>
        </w:rPr>
      </w:pPr>
    </w:p>
    <w:p w14:paraId="2A1C3B00" w14:textId="77777777" w:rsidR="00666921" w:rsidRPr="00666921" w:rsidRDefault="00666921" w:rsidP="00666921">
      <w:pPr>
        <w:widowControl w:val="0"/>
        <w:jc w:val="both"/>
        <w:rPr>
          <w:rFonts w:ascii="Cambria" w:eastAsia="MS Gothic" w:hAnsi="Cambria"/>
          <w:sz w:val="20"/>
          <w:szCs w:val="20"/>
          <w:lang w:eastAsia="fr-FR" w:bidi="fr-FR"/>
        </w:rPr>
      </w:pPr>
      <w:r w:rsidRPr="00666921">
        <w:rPr>
          <w:rFonts w:ascii="Cambria" w:eastAsia="MS Gothic" w:hAnsi="Cambria"/>
          <w:sz w:val="20"/>
          <w:lang w:eastAsia="fr-FR" w:bidi="fr-FR"/>
        </w:rPr>
        <w:t xml:space="preserve">Para concluir, </w:t>
      </w:r>
      <w:r w:rsidRPr="00666921">
        <w:rPr>
          <w:rFonts w:ascii="Cambria" w:eastAsia="MS Gothic" w:hAnsi="Cambria"/>
          <w:color w:val="000000"/>
          <w:sz w:val="18"/>
          <w:lang w:eastAsia="fr-FR" w:bidi="fr-FR"/>
        </w:rPr>
        <w:t>la</w:t>
      </w:r>
      <w:r w:rsidRPr="00666921">
        <w:rPr>
          <w:rFonts w:ascii="Cambria" w:eastAsia="MS Gothic" w:hAnsi="Cambria"/>
          <w:sz w:val="20"/>
          <w:lang w:eastAsia="fr-FR" w:bidi="fr-FR"/>
        </w:rPr>
        <w:t xml:space="preserve"> cuota disponible para 2025 fue de 681,66 t en consecuencia.</w:t>
      </w:r>
    </w:p>
    <w:p w14:paraId="18103BF4" w14:textId="77777777" w:rsidR="00666921" w:rsidRPr="00666921" w:rsidRDefault="00666921" w:rsidP="00666921">
      <w:pPr>
        <w:widowControl w:val="0"/>
        <w:jc w:val="both"/>
        <w:rPr>
          <w:rFonts w:ascii="Cambria" w:eastAsia="MS Gothic" w:hAnsi="Cambria"/>
          <w:iCs/>
          <w:sz w:val="20"/>
          <w:szCs w:val="20"/>
          <w:lang w:eastAsia="ja-JP" w:bidi="fr-FR"/>
        </w:rPr>
      </w:pPr>
    </w:p>
    <w:p w14:paraId="41D8C806" w14:textId="77777777" w:rsidR="00666921" w:rsidRPr="00666921" w:rsidRDefault="00666921" w:rsidP="00666921">
      <w:pPr>
        <w:widowControl w:val="0"/>
        <w:jc w:val="both"/>
        <w:rPr>
          <w:rFonts w:ascii="Cambria" w:eastAsia="MS Gothic" w:hAnsi="Cambria"/>
          <w:sz w:val="20"/>
          <w:szCs w:val="20"/>
          <w:lang w:eastAsia="fr-FR" w:bidi="fr-FR"/>
        </w:rPr>
      </w:pPr>
      <w:r w:rsidRPr="00666921">
        <w:rPr>
          <w:rFonts w:ascii="Cambria" w:eastAsia="MS Gothic" w:hAnsi="Cambria"/>
          <w:sz w:val="20"/>
          <w:lang w:eastAsia="fr-FR" w:bidi="fr-FR"/>
        </w:rPr>
        <w:t>AQ: Cuota ajustada (IQ ± Transferencias + Transferencia + Traspaso – Exceso de captura) = 664,52 + 0 + 19,14 – 0 = 683,66 t.</w:t>
      </w:r>
    </w:p>
    <w:p w14:paraId="347E537D" w14:textId="77777777" w:rsidR="00666921" w:rsidRPr="00666921" w:rsidRDefault="00666921" w:rsidP="00666921">
      <w:pPr>
        <w:widowControl w:val="0"/>
        <w:jc w:val="both"/>
        <w:rPr>
          <w:rFonts w:ascii="Cambria" w:eastAsia="MS Gothic" w:hAnsi="Cambria"/>
          <w:sz w:val="20"/>
          <w:szCs w:val="20"/>
          <w:lang w:eastAsia="ja-JP" w:bidi="fr-FR"/>
        </w:rPr>
      </w:pPr>
    </w:p>
    <w:p w14:paraId="6D55BCEC" w14:textId="77777777" w:rsidR="00666921" w:rsidRPr="00666921" w:rsidRDefault="00666921" w:rsidP="00666921">
      <w:pPr>
        <w:widowControl w:val="0"/>
        <w:jc w:val="both"/>
        <w:rPr>
          <w:rFonts w:ascii="Cambria" w:eastAsia="MS Gothic" w:hAnsi="Cambria"/>
          <w:sz w:val="20"/>
          <w:szCs w:val="20"/>
          <w:lang w:eastAsia="fr-FR" w:bidi="fr-FR"/>
        </w:rPr>
      </w:pPr>
      <w:r w:rsidRPr="00666921">
        <w:rPr>
          <w:rFonts w:ascii="Cambria" w:eastAsia="MS Gothic" w:hAnsi="Cambria"/>
          <w:sz w:val="20"/>
          <w:lang w:eastAsia="fr-FR" w:bidi="fr-FR"/>
        </w:rPr>
        <w:t>Cuota disponible (AQ) – (descartes muertos y capturas fortuitas + tolerancia para pesca deportiva/recreativa)) = 683,66 – (2 + 0) = 681,66 t.</w:t>
      </w:r>
    </w:p>
    <w:p w14:paraId="0D3D93C3" w14:textId="77777777" w:rsidR="00666921" w:rsidRPr="00666921" w:rsidRDefault="00666921" w:rsidP="00666921">
      <w:pPr>
        <w:rPr>
          <w:rFonts w:ascii="Cambria" w:eastAsia="MS Gothic" w:hAnsi="Cambria"/>
          <w:i/>
          <w:sz w:val="20"/>
          <w:szCs w:val="20"/>
          <w:lang w:eastAsia="ja-JP" w:bidi="fr-FR"/>
        </w:rPr>
      </w:pPr>
      <w:r w:rsidRPr="00666921">
        <w:rPr>
          <w:rFonts w:ascii="Cambria" w:eastAsia="MS Gothic" w:hAnsi="Cambria"/>
          <w:i/>
          <w:sz w:val="20"/>
          <w:szCs w:val="20"/>
          <w:lang w:eastAsia="ja-JP" w:bidi="fr-FR"/>
        </w:rPr>
        <w:br w:type="page"/>
      </w:r>
    </w:p>
    <w:p w14:paraId="0E5A5438" w14:textId="77777777" w:rsidR="00666921" w:rsidRPr="00666921" w:rsidRDefault="00666921" w:rsidP="00666921">
      <w:pPr>
        <w:tabs>
          <w:tab w:val="left" w:pos="426"/>
        </w:tabs>
        <w:spacing w:after="160" w:line="259" w:lineRule="auto"/>
        <w:rPr>
          <w:rFonts w:ascii="Cambria" w:eastAsia="MS Gothic" w:hAnsi="Cambria"/>
          <w:b/>
          <w:sz w:val="20"/>
          <w:szCs w:val="20"/>
          <w:lang w:eastAsia="fr-FR" w:bidi="fr-FR"/>
        </w:rPr>
      </w:pPr>
      <w:r w:rsidRPr="00666921">
        <w:rPr>
          <w:rFonts w:ascii="Cambria" w:eastAsia="MS Gothic" w:hAnsi="Cambria"/>
          <w:b/>
          <w:sz w:val="20"/>
          <w:lang w:eastAsia="fr-FR" w:bidi="fr-FR"/>
        </w:rPr>
        <w:lastRenderedPageBreak/>
        <w:t>2.</w:t>
      </w:r>
      <w:r w:rsidRPr="00666921">
        <w:rPr>
          <w:rFonts w:ascii="Cambria" w:eastAsia="MS Gothic" w:hAnsi="Cambria"/>
          <w:b/>
          <w:sz w:val="20"/>
          <w:lang w:eastAsia="fr-FR" w:bidi="fr-FR"/>
        </w:rPr>
        <w:tab/>
        <w:t>Medidas de control de las pesquerías y de las capturas fortuitas (párr. 3)</w:t>
      </w:r>
    </w:p>
    <w:p w14:paraId="3A5D9A8C" w14:textId="77777777" w:rsidR="00666921" w:rsidRPr="00666921" w:rsidRDefault="00666921" w:rsidP="00666921">
      <w:pPr>
        <w:widowControl w:val="0"/>
        <w:jc w:val="both"/>
        <w:rPr>
          <w:rFonts w:ascii="Cambria" w:eastAsia="MS Gothic" w:hAnsi="Cambria"/>
          <w:i/>
          <w:sz w:val="20"/>
          <w:szCs w:val="20"/>
          <w:lang w:eastAsia="fr-FR" w:bidi="fr-FR"/>
        </w:rPr>
      </w:pPr>
    </w:p>
    <w:tbl>
      <w:tblPr>
        <w:tblStyle w:val="TableGrid"/>
        <w:tblpPr w:leftFromText="180" w:rightFromText="180" w:vertAnchor="text" w:tblpXSpec="center" w:tblpY="1"/>
        <w:tblOverlap w:val="never"/>
        <w:tblW w:w="0" w:type="auto"/>
        <w:jc w:val="center"/>
        <w:tblLook w:val="04A0" w:firstRow="1" w:lastRow="0" w:firstColumn="1" w:lastColumn="0" w:noHBand="0" w:noVBand="1"/>
      </w:tblPr>
      <w:tblGrid>
        <w:gridCol w:w="507"/>
        <w:gridCol w:w="2577"/>
        <w:gridCol w:w="2014"/>
        <w:gridCol w:w="1872"/>
        <w:gridCol w:w="2090"/>
      </w:tblGrid>
      <w:tr w:rsidR="00666921" w:rsidRPr="00666921" w14:paraId="15A947F1" w14:textId="77777777" w:rsidTr="00B23AAD">
        <w:trPr>
          <w:tblHeader/>
          <w:jc w:val="center"/>
        </w:trPr>
        <w:tc>
          <w:tcPr>
            <w:tcW w:w="507" w:type="dxa"/>
          </w:tcPr>
          <w:p w14:paraId="33FEBB29" w14:textId="77777777" w:rsidR="00666921" w:rsidRPr="00666921" w:rsidRDefault="00666921" w:rsidP="00666921">
            <w:pPr>
              <w:widowControl w:val="0"/>
              <w:rPr>
                <w:rFonts w:ascii="Cambria" w:hAnsi="Cambria"/>
                <w:sz w:val="20"/>
                <w:szCs w:val="20"/>
                <w:lang w:eastAsia="fr-FR"/>
              </w:rPr>
            </w:pPr>
          </w:p>
        </w:tc>
        <w:tc>
          <w:tcPr>
            <w:tcW w:w="2577" w:type="dxa"/>
            <w:vAlign w:val="center"/>
          </w:tcPr>
          <w:p w14:paraId="4E5EE69D" w14:textId="77777777" w:rsidR="00666921" w:rsidRPr="00666921" w:rsidRDefault="00666921" w:rsidP="00666921">
            <w:pPr>
              <w:widowControl w:val="0"/>
              <w:jc w:val="center"/>
              <w:rPr>
                <w:rFonts w:ascii="Cambria" w:hAnsi="Cambria"/>
                <w:i/>
                <w:sz w:val="20"/>
                <w:szCs w:val="20"/>
                <w:lang w:eastAsia="fr-FR"/>
              </w:rPr>
            </w:pPr>
            <w:r w:rsidRPr="00666921">
              <w:rPr>
                <w:rFonts w:ascii="Cambria" w:hAnsi="Cambria"/>
                <w:i/>
                <w:sz w:val="20"/>
                <w:lang w:eastAsia="fr-FR"/>
              </w:rPr>
              <w:t xml:space="preserve">Requisito ICCAT </w:t>
            </w:r>
          </w:p>
          <w:p w14:paraId="29C20342" w14:textId="77777777" w:rsidR="00666921" w:rsidRPr="00666921" w:rsidRDefault="00666921" w:rsidP="00666921">
            <w:pPr>
              <w:widowControl w:val="0"/>
              <w:jc w:val="center"/>
              <w:rPr>
                <w:rFonts w:ascii="Cambria" w:hAnsi="Cambria"/>
                <w:i/>
                <w:sz w:val="20"/>
                <w:szCs w:val="20"/>
                <w:lang w:eastAsia="fr-FR"/>
              </w:rPr>
            </w:pPr>
            <w:r w:rsidRPr="00666921">
              <w:rPr>
                <w:rFonts w:ascii="Cambria" w:hAnsi="Cambria"/>
                <w:i/>
                <w:sz w:val="20"/>
                <w:lang w:eastAsia="fr-FR"/>
              </w:rPr>
              <w:t xml:space="preserve">(según </w:t>
            </w:r>
            <w:hyperlink r:id="rId17" w:history="1">
              <w:r w:rsidRPr="00666921">
                <w:rPr>
                  <w:rFonts w:ascii="Cambria" w:hAnsi="Cambria"/>
                  <w:i/>
                  <w:color w:val="0563C1"/>
                  <w:sz w:val="20"/>
                  <w:lang w:eastAsia="fr-FR"/>
                </w:rPr>
                <w:t>Rec. 25-05</w:t>
              </w:r>
            </w:hyperlink>
            <w:r w:rsidRPr="00666921">
              <w:rPr>
                <w:rFonts w:ascii="Cambria" w:hAnsi="Cambria"/>
                <w:i/>
                <w:sz w:val="20"/>
                <w:lang w:eastAsia="fr-FR"/>
              </w:rPr>
              <w:t>)</w:t>
            </w:r>
          </w:p>
        </w:tc>
        <w:tc>
          <w:tcPr>
            <w:tcW w:w="2014" w:type="dxa"/>
            <w:vAlign w:val="center"/>
          </w:tcPr>
          <w:p w14:paraId="1303B5E0" w14:textId="77777777" w:rsidR="00666921" w:rsidRPr="00666921" w:rsidRDefault="00666921" w:rsidP="00666921">
            <w:pPr>
              <w:widowControl w:val="0"/>
              <w:jc w:val="center"/>
              <w:rPr>
                <w:rFonts w:ascii="Cambria" w:hAnsi="Cambria"/>
                <w:i/>
                <w:sz w:val="20"/>
                <w:szCs w:val="20"/>
                <w:lang w:eastAsia="fr-FR"/>
              </w:rPr>
            </w:pPr>
            <w:r w:rsidRPr="00666921">
              <w:rPr>
                <w:rFonts w:ascii="Cambria" w:hAnsi="Cambria"/>
                <w:i/>
                <w:sz w:val="20"/>
                <w:lang w:eastAsia="fr-FR"/>
              </w:rPr>
              <w:t>Explicación de las acciones emprendidas por la CPC con fines de implementación</w:t>
            </w:r>
          </w:p>
        </w:tc>
        <w:tc>
          <w:tcPr>
            <w:tcW w:w="1872" w:type="dxa"/>
            <w:vAlign w:val="center"/>
          </w:tcPr>
          <w:p w14:paraId="1064FD03" w14:textId="77777777" w:rsidR="00666921" w:rsidRPr="00666921" w:rsidRDefault="00666921" w:rsidP="00666921">
            <w:pPr>
              <w:widowControl w:val="0"/>
              <w:jc w:val="center"/>
              <w:rPr>
                <w:rFonts w:ascii="Cambria" w:hAnsi="Cambria"/>
                <w:i/>
                <w:sz w:val="20"/>
                <w:szCs w:val="20"/>
                <w:lang w:eastAsia="fr-FR"/>
              </w:rPr>
            </w:pPr>
            <w:r w:rsidRPr="00666921">
              <w:rPr>
                <w:rFonts w:ascii="Cambria" w:hAnsi="Cambria"/>
                <w:i/>
                <w:sz w:val="20"/>
                <w:lang w:eastAsia="fr-FR"/>
              </w:rPr>
              <w:t>Leyes o reglamentos internos pertinentes (si procede)</w:t>
            </w:r>
          </w:p>
        </w:tc>
        <w:tc>
          <w:tcPr>
            <w:tcW w:w="2090" w:type="dxa"/>
            <w:vAlign w:val="center"/>
          </w:tcPr>
          <w:p w14:paraId="0D4B1D22" w14:textId="77777777" w:rsidR="00666921" w:rsidRPr="00666921" w:rsidRDefault="00666921" w:rsidP="00666921">
            <w:pPr>
              <w:widowControl w:val="0"/>
              <w:jc w:val="center"/>
              <w:rPr>
                <w:rFonts w:ascii="Cambria" w:hAnsi="Cambria"/>
                <w:i/>
                <w:sz w:val="20"/>
                <w:szCs w:val="20"/>
                <w:lang w:eastAsia="fr-FR"/>
              </w:rPr>
            </w:pPr>
            <w:r w:rsidRPr="00666921">
              <w:rPr>
                <w:rFonts w:ascii="Cambria" w:hAnsi="Cambria"/>
                <w:i/>
                <w:sz w:val="20"/>
                <w:lang w:eastAsia="fr-FR"/>
              </w:rPr>
              <w:t>Notas</w:t>
            </w:r>
          </w:p>
        </w:tc>
      </w:tr>
      <w:tr w:rsidR="00666921" w:rsidRPr="00666921" w14:paraId="38659887" w14:textId="77777777" w:rsidTr="00B23AAD">
        <w:trPr>
          <w:jc w:val="center"/>
        </w:trPr>
        <w:tc>
          <w:tcPr>
            <w:tcW w:w="507" w:type="dxa"/>
          </w:tcPr>
          <w:p w14:paraId="1A39B0EF" w14:textId="77777777" w:rsidR="00666921" w:rsidRPr="00666921" w:rsidRDefault="00666921" w:rsidP="00666921">
            <w:pPr>
              <w:widowControl w:val="0"/>
              <w:rPr>
                <w:rFonts w:ascii="Cambria" w:hAnsi="Cambria"/>
                <w:b/>
                <w:sz w:val="20"/>
                <w:szCs w:val="20"/>
                <w:lang w:eastAsia="fr-FR"/>
              </w:rPr>
            </w:pPr>
            <w:r w:rsidRPr="00666921">
              <w:rPr>
                <w:rFonts w:ascii="Cambria" w:hAnsi="Cambria"/>
                <w:b/>
                <w:sz w:val="20"/>
                <w:lang w:eastAsia="fr-FR"/>
              </w:rPr>
              <w:t>1</w:t>
            </w:r>
          </w:p>
        </w:tc>
        <w:tc>
          <w:tcPr>
            <w:tcW w:w="2577" w:type="dxa"/>
          </w:tcPr>
          <w:p w14:paraId="32458622" w14:textId="77777777" w:rsidR="00666921" w:rsidRPr="00666921" w:rsidDel="00C371CA" w:rsidRDefault="00666921" w:rsidP="00666921">
            <w:pPr>
              <w:widowControl w:val="0"/>
              <w:rPr>
                <w:rFonts w:ascii="Cambria" w:hAnsi="Cambria"/>
                <w:b/>
                <w:sz w:val="20"/>
                <w:szCs w:val="20"/>
                <w:lang w:eastAsia="fr-FR"/>
              </w:rPr>
            </w:pPr>
            <w:r w:rsidRPr="00666921">
              <w:rPr>
                <w:rFonts w:ascii="Cambria" w:hAnsi="Cambria"/>
                <w:b/>
                <w:sz w:val="20"/>
                <w:lang w:eastAsia="fr-FR"/>
              </w:rPr>
              <w:t>Límites de capacidad y esfuerzo (párrafo 2)</w:t>
            </w:r>
          </w:p>
        </w:tc>
        <w:tc>
          <w:tcPr>
            <w:tcW w:w="2014" w:type="dxa"/>
          </w:tcPr>
          <w:p w14:paraId="3037A0DE" w14:textId="77777777" w:rsidR="00666921" w:rsidRPr="00666921" w:rsidRDefault="00666921" w:rsidP="00666921">
            <w:pPr>
              <w:widowControl w:val="0"/>
              <w:rPr>
                <w:rFonts w:ascii="Cambria" w:hAnsi="Cambria"/>
                <w:bCs/>
                <w:sz w:val="20"/>
                <w:szCs w:val="20"/>
                <w:lang w:eastAsia="fr-FR"/>
              </w:rPr>
            </w:pPr>
            <w:r w:rsidRPr="00666921">
              <w:rPr>
                <w:rFonts w:ascii="Cambria" w:hAnsi="Cambria"/>
                <w:sz w:val="20"/>
                <w:lang w:eastAsia="fr-FR"/>
              </w:rPr>
              <w:t xml:space="preserve">El Ministro asigna una cuota individual (IQ) para cada buque en el Atlántico occidental, separada del IQ asignado para el Atlántico este y Mediterráneo. </w:t>
            </w:r>
          </w:p>
          <w:p w14:paraId="6123284F" w14:textId="77777777" w:rsidR="00666921" w:rsidRPr="00666921" w:rsidRDefault="00666921" w:rsidP="00666921">
            <w:pPr>
              <w:widowControl w:val="0"/>
              <w:rPr>
                <w:rFonts w:ascii="Cambria" w:hAnsi="Cambria"/>
                <w:bCs/>
                <w:sz w:val="20"/>
                <w:szCs w:val="20"/>
                <w:lang w:eastAsia="ja-JP"/>
              </w:rPr>
            </w:pPr>
          </w:p>
          <w:p w14:paraId="1CCE395D" w14:textId="77777777" w:rsidR="00666921" w:rsidRPr="00666921" w:rsidRDefault="00666921" w:rsidP="00666921">
            <w:pPr>
              <w:widowControl w:val="0"/>
              <w:rPr>
                <w:rFonts w:ascii="Cambria" w:hAnsi="Cambria"/>
                <w:bCs/>
                <w:sz w:val="20"/>
                <w:szCs w:val="20"/>
                <w:lang w:eastAsia="ja-JP"/>
              </w:rPr>
            </w:pPr>
          </w:p>
        </w:tc>
        <w:tc>
          <w:tcPr>
            <w:tcW w:w="1872" w:type="dxa"/>
          </w:tcPr>
          <w:p w14:paraId="2E7B7662" w14:textId="77777777" w:rsidR="00666921" w:rsidRPr="00666921" w:rsidRDefault="00666921" w:rsidP="00666921">
            <w:pPr>
              <w:widowControl w:val="0"/>
              <w:rPr>
                <w:rFonts w:ascii="Cambria" w:hAnsi="Cambria"/>
                <w:sz w:val="20"/>
                <w:szCs w:val="20"/>
                <w:lang w:eastAsia="fr-FR"/>
              </w:rPr>
            </w:pPr>
            <w:r w:rsidRPr="00666921">
              <w:rPr>
                <w:rFonts w:ascii="Cambria" w:hAnsi="Cambria"/>
                <w:sz w:val="20"/>
                <w:lang w:eastAsia="fr-FR"/>
              </w:rPr>
              <w:t>Ley de Pesca, Artículos 17, 19 y 25</w:t>
            </w:r>
          </w:p>
        </w:tc>
        <w:tc>
          <w:tcPr>
            <w:tcW w:w="2090" w:type="dxa"/>
          </w:tcPr>
          <w:p w14:paraId="51796006" w14:textId="77777777" w:rsidR="00666921" w:rsidRPr="00666921" w:rsidRDefault="00666921" w:rsidP="00666921">
            <w:pPr>
              <w:widowControl w:val="0"/>
              <w:jc w:val="both"/>
              <w:rPr>
                <w:rFonts w:ascii="Cambria" w:hAnsi="Cambria"/>
                <w:i/>
                <w:iCs/>
                <w:sz w:val="20"/>
                <w:szCs w:val="20"/>
                <w:lang w:eastAsia="fr-FR"/>
              </w:rPr>
            </w:pPr>
          </w:p>
        </w:tc>
      </w:tr>
      <w:tr w:rsidR="00666921" w:rsidRPr="00666921" w14:paraId="4BADE637" w14:textId="77777777" w:rsidTr="00B23AAD">
        <w:trPr>
          <w:jc w:val="center"/>
        </w:trPr>
        <w:tc>
          <w:tcPr>
            <w:tcW w:w="507" w:type="dxa"/>
          </w:tcPr>
          <w:p w14:paraId="2C993E6C" w14:textId="77777777" w:rsidR="00666921" w:rsidRPr="00666921" w:rsidRDefault="00666921" w:rsidP="00666921">
            <w:pPr>
              <w:widowControl w:val="0"/>
              <w:rPr>
                <w:rFonts w:ascii="Cambria" w:hAnsi="Cambria"/>
                <w:b/>
                <w:sz w:val="20"/>
                <w:szCs w:val="20"/>
                <w:lang w:eastAsia="fr-FR"/>
              </w:rPr>
            </w:pPr>
            <w:r w:rsidRPr="00666921">
              <w:rPr>
                <w:rFonts w:ascii="Cambria" w:hAnsi="Cambria"/>
                <w:b/>
                <w:sz w:val="20"/>
                <w:lang w:eastAsia="fr-FR"/>
              </w:rPr>
              <w:t>2</w:t>
            </w:r>
          </w:p>
        </w:tc>
        <w:tc>
          <w:tcPr>
            <w:tcW w:w="2577" w:type="dxa"/>
          </w:tcPr>
          <w:p w14:paraId="0DFC84BD" w14:textId="77777777" w:rsidR="00666921" w:rsidRPr="00666921" w:rsidRDefault="00666921" w:rsidP="00666921">
            <w:pPr>
              <w:widowControl w:val="0"/>
              <w:rPr>
                <w:rFonts w:ascii="Cambria" w:hAnsi="Cambria"/>
                <w:b/>
                <w:sz w:val="20"/>
                <w:szCs w:val="20"/>
                <w:lang w:eastAsia="fr-FR"/>
              </w:rPr>
            </w:pPr>
            <w:r w:rsidRPr="00666921">
              <w:rPr>
                <w:rFonts w:ascii="Cambria" w:hAnsi="Cambria"/>
                <w:b/>
                <w:sz w:val="20"/>
                <w:lang w:eastAsia="fr-FR"/>
              </w:rPr>
              <w:t>Requisitos de datos y de comunicación de información</w:t>
            </w:r>
          </w:p>
          <w:p w14:paraId="2B7CEF6C" w14:textId="77777777" w:rsidR="00666921" w:rsidRPr="00666921" w:rsidRDefault="00666921" w:rsidP="00666921">
            <w:pPr>
              <w:widowControl w:val="0"/>
              <w:rPr>
                <w:rFonts w:ascii="Cambria" w:hAnsi="Cambria"/>
                <w:b/>
                <w:sz w:val="20"/>
                <w:szCs w:val="20"/>
                <w:lang w:eastAsia="fr-FR"/>
              </w:rPr>
            </w:pPr>
            <w:r w:rsidRPr="00666921">
              <w:rPr>
                <w:rFonts w:ascii="Cambria" w:hAnsi="Cambria"/>
                <w:b/>
                <w:sz w:val="20"/>
                <w:lang w:eastAsia="fr-FR"/>
              </w:rPr>
              <w:t>(párrs. 18- 9, 21, 23)</w:t>
            </w:r>
          </w:p>
        </w:tc>
        <w:tc>
          <w:tcPr>
            <w:tcW w:w="2014" w:type="dxa"/>
          </w:tcPr>
          <w:p w14:paraId="72F9D4E1" w14:textId="77777777" w:rsidR="00666921" w:rsidRPr="00666921" w:rsidRDefault="00666921" w:rsidP="00666921">
            <w:pPr>
              <w:widowControl w:val="0"/>
              <w:rPr>
                <w:rFonts w:ascii="Cambria" w:hAnsi="Cambria"/>
                <w:sz w:val="20"/>
                <w:szCs w:val="20"/>
                <w:lang w:eastAsia="fr-FR"/>
              </w:rPr>
            </w:pPr>
            <w:r w:rsidRPr="00666921">
              <w:rPr>
                <w:rFonts w:ascii="Cambria" w:hAnsi="Cambria"/>
                <w:sz w:val="20"/>
                <w:lang w:eastAsia="fr-FR"/>
              </w:rPr>
              <w:t xml:space="preserve">El </w:t>
            </w:r>
            <w:proofErr w:type="gramStart"/>
            <w:r w:rsidRPr="00666921">
              <w:rPr>
                <w:rFonts w:ascii="Cambria" w:hAnsi="Cambria"/>
                <w:sz w:val="20"/>
                <w:lang w:eastAsia="fr-FR"/>
              </w:rPr>
              <w:t>Ministro</w:t>
            </w:r>
            <w:proofErr w:type="gramEnd"/>
            <w:r w:rsidRPr="00666921">
              <w:rPr>
                <w:rFonts w:ascii="Cambria" w:hAnsi="Cambria"/>
                <w:sz w:val="20"/>
                <w:lang w:eastAsia="fr-FR"/>
              </w:rPr>
              <w:t xml:space="preserve"> exige que los operadores pesqueros comuniquen a la FAJ información diaria, incluyendo la fecha, hora, lugar, peso y número de atunes rojos capturados </w:t>
            </w:r>
            <w:proofErr w:type="gramStart"/>
            <w:r w:rsidRPr="00666921">
              <w:rPr>
                <w:rFonts w:ascii="Cambria" w:hAnsi="Cambria"/>
                <w:sz w:val="20"/>
                <w:lang w:eastAsia="fr-FR"/>
              </w:rPr>
              <w:t>en  el</w:t>
            </w:r>
            <w:proofErr w:type="gramEnd"/>
            <w:r w:rsidRPr="00666921">
              <w:rPr>
                <w:rFonts w:ascii="Cambria" w:hAnsi="Cambria"/>
                <w:sz w:val="20"/>
                <w:lang w:eastAsia="fr-FR"/>
              </w:rPr>
              <w:t xml:space="preserve"> Atlántico occidental (incluyendo liberaciones y descartes de peces muertos por debajo de la talla mínima) cada dos días. Además, el Ministro también exige a los operadores que mantengan un cuaderno de pesca encuadernado o electrónico de sus operaciones.</w:t>
            </w:r>
          </w:p>
        </w:tc>
        <w:tc>
          <w:tcPr>
            <w:tcW w:w="1872" w:type="dxa"/>
          </w:tcPr>
          <w:p w14:paraId="7568A2FD" w14:textId="77777777" w:rsidR="00666921" w:rsidRPr="00666921" w:rsidRDefault="00666921" w:rsidP="00666921">
            <w:pPr>
              <w:widowControl w:val="0"/>
              <w:rPr>
                <w:rFonts w:ascii="Cambria" w:hAnsi="Cambria"/>
                <w:sz w:val="20"/>
                <w:szCs w:val="20"/>
                <w:lang w:eastAsia="fr-FR"/>
              </w:rPr>
            </w:pPr>
            <w:r w:rsidRPr="00666921">
              <w:rPr>
                <w:rFonts w:ascii="Cambria" w:hAnsi="Cambria"/>
                <w:sz w:val="20"/>
                <w:lang w:eastAsia="fr-FR"/>
              </w:rPr>
              <w:t>Ley pesquera, artículo 26, 52.</w:t>
            </w:r>
          </w:p>
          <w:p w14:paraId="4A41A970" w14:textId="77777777" w:rsidR="00666921" w:rsidRPr="00666921" w:rsidRDefault="00666921" w:rsidP="00666921">
            <w:pPr>
              <w:widowControl w:val="0"/>
              <w:rPr>
                <w:rFonts w:ascii="Cambria" w:hAnsi="Cambria"/>
                <w:sz w:val="20"/>
                <w:szCs w:val="20"/>
                <w:lang w:eastAsia="ja-JP"/>
              </w:rPr>
            </w:pPr>
          </w:p>
          <w:p w14:paraId="540E0C52" w14:textId="77777777" w:rsidR="00666921" w:rsidRPr="00666921" w:rsidRDefault="00666921" w:rsidP="00666921">
            <w:pPr>
              <w:widowControl w:val="0"/>
              <w:rPr>
                <w:rFonts w:ascii="Cambria" w:hAnsi="Cambria"/>
                <w:sz w:val="20"/>
                <w:szCs w:val="20"/>
                <w:lang w:eastAsia="fr-FR"/>
              </w:rPr>
            </w:pPr>
            <w:r w:rsidRPr="00666921">
              <w:rPr>
                <w:rFonts w:ascii="Cambria" w:hAnsi="Cambria"/>
                <w:sz w:val="20"/>
                <w:lang w:eastAsia="fr-FR"/>
              </w:rPr>
              <w:t>Ordenanza ministerial del Ministro de Agricultura, Silvicultura y Pesca, artículos 14 y 26.</w:t>
            </w:r>
          </w:p>
          <w:p w14:paraId="39FB8F70" w14:textId="77777777" w:rsidR="00666921" w:rsidRPr="00666921" w:rsidRDefault="00666921" w:rsidP="00666921">
            <w:pPr>
              <w:widowControl w:val="0"/>
              <w:rPr>
                <w:rFonts w:ascii="Cambria" w:hAnsi="Cambria"/>
                <w:sz w:val="20"/>
                <w:szCs w:val="20"/>
                <w:lang w:eastAsia="fr-FR"/>
              </w:rPr>
            </w:pPr>
          </w:p>
        </w:tc>
        <w:tc>
          <w:tcPr>
            <w:tcW w:w="2090" w:type="dxa"/>
            <w:vAlign w:val="center"/>
          </w:tcPr>
          <w:p w14:paraId="02BA99E0" w14:textId="77777777" w:rsidR="00666921" w:rsidRPr="00666921" w:rsidRDefault="00666921" w:rsidP="00666921">
            <w:pPr>
              <w:widowControl w:val="0"/>
              <w:jc w:val="center"/>
              <w:rPr>
                <w:rFonts w:ascii="Cambria" w:hAnsi="Cambria"/>
                <w:i/>
                <w:iCs/>
                <w:sz w:val="20"/>
                <w:szCs w:val="20"/>
                <w:lang w:eastAsia="fr-FR"/>
              </w:rPr>
            </w:pPr>
          </w:p>
        </w:tc>
      </w:tr>
      <w:tr w:rsidR="00666921" w:rsidRPr="00666921" w14:paraId="402FC29F" w14:textId="77777777" w:rsidTr="00B23AAD">
        <w:trPr>
          <w:jc w:val="center"/>
        </w:trPr>
        <w:tc>
          <w:tcPr>
            <w:tcW w:w="507" w:type="dxa"/>
          </w:tcPr>
          <w:p w14:paraId="69659C87" w14:textId="77777777" w:rsidR="00666921" w:rsidRPr="00666921" w:rsidRDefault="00666921" w:rsidP="00666921">
            <w:pPr>
              <w:widowControl w:val="0"/>
              <w:rPr>
                <w:rFonts w:ascii="Cambria" w:hAnsi="Cambria"/>
                <w:b/>
                <w:sz w:val="20"/>
                <w:szCs w:val="20"/>
                <w:lang w:eastAsia="fr-FR"/>
              </w:rPr>
            </w:pPr>
            <w:r w:rsidRPr="00666921">
              <w:rPr>
                <w:rFonts w:ascii="Cambria" w:hAnsi="Cambria"/>
                <w:b/>
                <w:sz w:val="20"/>
                <w:lang w:eastAsia="fr-FR"/>
              </w:rPr>
              <w:t>3</w:t>
            </w:r>
          </w:p>
        </w:tc>
        <w:tc>
          <w:tcPr>
            <w:tcW w:w="2577" w:type="dxa"/>
          </w:tcPr>
          <w:p w14:paraId="7A32E1FF" w14:textId="77777777" w:rsidR="00666921" w:rsidRPr="00666921" w:rsidRDefault="00666921" w:rsidP="00666921">
            <w:pPr>
              <w:widowControl w:val="0"/>
              <w:rPr>
                <w:rFonts w:ascii="Cambria" w:hAnsi="Cambria"/>
                <w:b/>
                <w:sz w:val="20"/>
                <w:szCs w:val="20"/>
                <w:lang w:eastAsia="fr-FR"/>
              </w:rPr>
            </w:pPr>
            <w:r w:rsidRPr="00666921">
              <w:rPr>
                <w:rFonts w:ascii="Cambria" w:hAnsi="Cambria"/>
                <w:b/>
                <w:sz w:val="20"/>
                <w:lang w:eastAsia="fr-FR"/>
              </w:rPr>
              <w:t>Restricciones de zona y tiempo</w:t>
            </w:r>
          </w:p>
          <w:p w14:paraId="0D14F69D" w14:textId="77777777" w:rsidR="00666921" w:rsidRPr="00666921" w:rsidRDefault="00666921" w:rsidP="00666921">
            <w:pPr>
              <w:widowControl w:val="0"/>
              <w:rPr>
                <w:rFonts w:ascii="Cambria" w:hAnsi="Cambria"/>
                <w:b/>
                <w:sz w:val="20"/>
                <w:szCs w:val="20"/>
                <w:lang w:eastAsia="fr-FR"/>
              </w:rPr>
            </w:pPr>
            <w:r w:rsidRPr="00666921">
              <w:rPr>
                <w:rFonts w:ascii="Cambria" w:hAnsi="Cambria"/>
                <w:b/>
                <w:sz w:val="20"/>
                <w:lang w:eastAsia="fr-FR"/>
              </w:rPr>
              <w:t>(párr. 13)</w:t>
            </w:r>
          </w:p>
        </w:tc>
        <w:tc>
          <w:tcPr>
            <w:tcW w:w="2014" w:type="dxa"/>
          </w:tcPr>
          <w:p w14:paraId="7845ABFD" w14:textId="77777777" w:rsidR="00666921" w:rsidRPr="00666921" w:rsidRDefault="00666921" w:rsidP="00666921">
            <w:pPr>
              <w:widowControl w:val="0"/>
              <w:rPr>
                <w:rFonts w:ascii="Cambria" w:hAnsi="Cambria"/>
                <w:sz w:val="20"/>
                <w:szCs w:val="20"/>
                <w:lang w:eastAsia="fr-FR"/>
              </w:rPr>
            </w:pPr>
            <w:r w:rsidRPr="00666921">
              <w:rPr>
                <w:rFonts w:ascii="Cambria" w:hAnsi="Cambria"/>
                <w:sz w:val="20"/>
                <w:lang w:eastAsia="fr-FR"/>
              </w:rPr>
              <w:t>El Ministro prohíbe las operaciones pesqueras en la zona del golfo de México al norte de 20°N y al oeste de 81°W durante el periodo del 1 de enero al 30 de junio de cada año.</w:t>
            </w:r>
          </w:p>
        </w:tc>
        <w:tc>
          <w:tcPr>
            <w:tcW w:w="1872" w:type="dxa"/>
          </w:tcPr>
          <w:p w14:paraId="23E409A4" w14:textId="77777777" w:rsidR="00666921" w:rsidRPr="00666921" w:rsidRDefault="00666921" w:rsidP="00666921">
            <w:pPr>
              <w:widowControl w:val="0"/>
              <w:rPr>
                <w:rFonts w:ascii="Cambria" w:hAnsi="Cambria"/>
                <w:sz w:val="20"/>
                <w:szCs w:val="20"/>
                <w:lang w:eastAsia="fr-FR"/>
              </w:rPr>
            </w:pPr>
            <w:r w:rsidRPr="00666921">
              <w:rPr>
                <w:rFonts w:ascii="Cambria" w:hAnsi="Cambria"/>
                <w:sz w:val="20"/>
                <w:lang w:eastAsia="fr-FR"/>
              </w:rPr>
              <w:t>Ordenanza Ministerial del Ministro de Agricultura, Silvicultura y Pesca, Artículo 23</w:t>
            </w:r>
          </w:p>
        </w:tc>
        <w:tc>
          <w:tcPr>
            <w:tcW w:w="2090" w:type="dxa"/>
          </w:tcPr>
          <w:p w14:paraId="7E528E73" w14:textId="77777777" w:rsidR="00666921" w:rsidRPr="00666921" w:rsidRDefault="00666921" w:rsidP="00666921">
            <w:pPr>
              <w:widowControl w:val="0"/>
              <w:jc w:val="both"/>
              <w:rPr>
                <w:rFonts w:ascii="Cambria" w:hAnsi="Cambria"/>
                <w:sz w:val="20"/>
                <w:szCs w:val="20"/>
                <w:lang w:eastAsia="fr-FR"/>
              </w:rPr>
            </w:pPr>
          </w:p>
        </w:tc>
      </w:tr>
      <w:tr w:rsidR="00666921" w:rsidRPr="00666921" w14:paraId="79453FDD" w14:textId="77777777" w:rsidTr="00B23AAD">
        <w:trPr>
          <w:jc w:val="center"/>
        </w:trPr>
        <w:tc>
          <w:tcPr>
            <w:tcW w:w="507" w:type="dxa"/>
          </w:tcPr>
          <w:p w14:paraId="034A1685" w14:textId="77777777" w:rsidR="00666921" w:rsidRPr="00666921" w:rsidRDefault="00666921" w:rsidP="00666921">
            <w:pPr>
              <w:widowControl w:val="0"/>
              <w:rPr>
                <w:rFonts w:ascii="Cambria" w:hAnsi="Cambria"/>
                <w:b/>
                <w:sz w:val="20"/>
                <w:szCs w:val="20"/>
                <w:lang w:eastAsia="fr-FR"/>
              </w:rPr>
            </w:pPr>
            <w:r w:rsidRPr="00666921">
              <w:rPr>
                <w:rFonts w:ascii="Cambria" w:hAnsi="Cambria"/>
                <w:b/>
                <w:sz w:val="20"/>
                <w:lang w:eastAsia="fr-FR"/>
              </w:rPr>
              <w:t>4</w:t>
            </w:r>
          </w:p>
        </w:tc>
        <w:tc>
          <w:tcPr>
            <w:tcW w:w="2577" w:type="dxa"/>
          </w:tcPr>
          <w:p w14:paraId="4C4EAE1A" w14:textId="77777777" w:rsidR="00666921" w:rsidRPr="00666921" w:rsidRDefault="00666921" w:rsidP="00666921">
            <w:pPr>
              <w:widowControl w:val="0"/>
              <w:rPr>
                <w:rFonts w:ascii="Cambria" w:hAnsi="Cambria"/>
                <w:b/>
                <w:sz w:val="20"/>
                <w:szCs w:val="20"/>
                <w:lang w:eastAsia="fr-FR"/>
              </w:rPr>
            </w:pPr>
            <w:r w:rsidRPr="00666921">
              <w:rPr>
                <w:rFonts w:ascii="Cambria" w:hAnsi="Cambria"/>
                <w:sz w:val="20"/>
                <w:lang w:eastAsia="fr-FR"/>
              </w:rPr>
              <w:t>Talla mínima de los peces y protección de los peces pequeños</w:t>
            </w:r>
            <w:r w:rsidRPr="00666921">
              <w:rPr>
                <w:rFonts w:ascii="Cambria" w:hAnsi="Cambria"/>
                <w:b/>
                <w:sz w:val="20"/>
                <w:lang w:eastAsia="fr-FR"/>
              </w:rPr>
              <w:t xml:space="preserve">  </w:t>
            </w:r>
          </w:p>
          <w:p w14:paraId="017A07B9" w14:textId="77777777" w:rsidR="00666921" w:rsidRPr="00666921" w:rsidRDefault="00666921" w:rsidP="00666921">
            <w:pPr>
              <w:widowControl w:val="0"/>
              <w:rPr>
                <w:rFonts w:ascii="Cambria" w:hAnsi="Cambria"/>
                <w:b/>
                <w:sz w:val="20"/>
                <w:szCs w:val="20"/>
                <w:lang w:eastAsia="fr-FR"/>
              </w:rPr>
            </w:pPr>
            <w:r w:rsidRPr="00666921">
              <w:rPr>
                <w:rFonts w:ascii="Cambria" w:hAnsi="Cambria"/>
                <w:b/>
                <w:sz w:val="20"/>
                <w:lang w:eastAsia="fr-FR"/>
              </w:rPr>
              <w:t>(</w:t>
            </w:r>
            <w:proofErr w:type="spellStart"/>
            <w:r w:rsidRPr="00666921">
              <w:rPr>
                <w:rFonts w:ascii="Cambria" w:hAnsi="Cambria"/>
                <w:b/>
                <w:sz w:val="20"/>
                <w:lang w:eastAsia="fr-FR"/>
              </w:rPr>
              <w:t>oñarra</w:t>
            </w:r>
            <w:proofErr w:type="spellEnd"/>
            <w:r w:rsidRPr="00666921">
              <w:rPr>
                <w:rFonts w:ascii="Cambria" w:hAnsi="Cambria"/>
                <w:b/>
                <w:sz w:val="20"/>
                <w:lang w:eastAsia="fr-FR"/>
              </w:rPr>
              <w:t>. 9-10)</w:t>
            </w:r>
          </w:p>
        </w:tc>
        <w:tc>
          <w:tcPr>
            <w:tcW w:w="2014" w:type="dxa"/>
          </w:tcPr>
          <w:p w14:paraId="4186FA61" w14:textId="77777777" w:rsidR="00666921" w:rsidRPr="00666921" w:rsidRDefault="00666921" w:rsidP="00666921">
            <w:pPr>
              <w:widowControl w:val="0"/>
              <w:rPr>
                <w:rFonts w:ascii="Cambria" w:hAnsi="Cambria"/>
                <w:sz w:val="20"/>
                <w:szCs w:val="20"/>
                <w:lang w:eastAsia="fr-FR"/>
              </w:rPr>
            </w:pPr>
            <w:r w:rsidRPr="00666921">
              <w:rPr>
                <w:rFonts w:ascii="Cambria" w:hAnsi="Cambria"/>
                <w:sz w:val="20"/>
                <w:lang w:eastAsia="fr-FR"/>
              </w:rPr>
              <w:t>El Ministro prohíbe a los operadores pesqueros capturar BFT que pesen menos de 30 kg.</w:t>
            </w:r>
          </w:p>
          <w:p w14:paraId="72404197" w14:textId="77777777" w:rsidR="00666921" w:rsidRPr="00666921" w:rsidRDefault="00666921" w:rsidP="00666921">
            <w:pPr>
              <w:widowControl w:val="0"/>
              <w:rPr>
                <w:rFonts w:ascii="Cambria" w:hAnsi="Cambria"/>
                <w:sz w:val="20"/>
                <w:szCs w:val="20"/>
                <w:lang w:eastAsia="fr-FR"/>
              </w:rPr>
            </w:pPr>
            <w:r w:rsidRPr="00666921">
              <w:rPr>
                <w:rFonts w:ascii="Cambria" w:hAnsi="Cambria"/>
                <w:sz w:val="20"/>
                <w:lang w:eastAsia="fr-FR"/>
              </w:rPr>
              <w:t xml:space="preserve">El buque pesquero </w:t>
            </w:r>
            <w:r w:rsidRPr="00666921">
              <w:rPr>
                <w:rFonts w:ascii="Cambria" w:hAnsi="Cambria"/>
                <w:sz w:val="20"/>
                <w:lang w:eastAsia="fr-FR"/>
              </w:rPr>
              <w:lastRenderedPageBreak/>
              <w:t xml:space="preserve">deberá dejar de operar y alejarse de la zona pesquera cuando el peso total de los atunes rojos que pesen menos de 30 kg supere el 10% del peso total de los atunes rojos capturados ese día. El peso de los descartes muertos de atún rojo por debajo del peso mínimo se contabiliza en la cuota de Japón. </w:t>
            </w:r>
          </w:p>
        </w:tc>
        <w:tc>
          <w:tcPr>
            <w:tcW w:w="1872" w:type="dxa"/>
          </w:tcPr>
          <w:p w14:paraId="262127CE" w14:textId="77777777" w:rsidR="00666921" w:rsidRPr="00666921" w:rsidRDefault="00666921" w:rsidP="00666921">
            <w:pPr>
              <w:widowControl w:val="0"/>
              <w:rPr>
                <w:rFonts w:ascii="Cambria" w:hAnsi="Cambria"/>
                <w:sz w:val="20"/>
                <w:szCs w:val="20"/>
                <w:lang w:eastAsia="fr-FR"/>
              </w:rPr>
            </w:pPr>
            <w:r w:rsidRPr="00666921">
              <w:rPr>
                <w:rFonts w:ascii="Cambria" w:hAnsi="Cambria"/>
                <w:sz w:val="20"/>
                <w:lang w:eastAsia="fr-FR"/>
              </w:rPr>
              <w:lastRenderedPageBreak/>
              <w:t>Ordenanza Ministerial del Ministerio de Agricultura, Silvicultura y Pesca, Artículo 23</w:t>
            </w:r>
          </w:p>
        </w:tc>
        <w:tc>
          <w:tcPr>
            <w:tcW w:w="2090" w:type="dxa"/>
          </w:tcPr>
          <w:p w14:paraId="6100DDAE" w14:textId="77777777" w:rsidR="00666921" w:rsidRPr="00666921" w:rsidRDefault="00666921" w:rsidP="00666921">
            <w:pPr>
              <w:widowControl w:val="0"/>
              <w:jc w:val="both"/>
              <w:rPr>
                <w:rFonts w:ascii="Cambria" w:hAnsi="Cambria"/>
                <w:sz w:val="20"/>
                <w:szCs w:val="20"/>
                <w:lang w:eastAsia="fr-FR"/>
              </w:rPr>
            </w:pPr>
          </w:p>
        </w:tc>
      </w:tr>
      <w:tr w:rsidR="00666921" w:rsidRPr="00666921" w14:paraId="7BD836D2" w14:textId="77777777" w:rsidTr="00B23AAD">
        <w:trPr>
          <w:jc w:val="center"/>
        </w:trPr>
        <w:tc>
          <w:tcPr>
            <w:tcW w:w="507" w:type="dxa"/>
          </w:tcPr>
          <w:p w14:paraId="70AFF173" w14:textId="77777777" w:rsidR="00666921" w:rsidRPr="00666921" w:rsidRDefault="00666921" w:rsidP="00666921">
            <w:pPr>
              <w:widowControl w:val="0"/>
              <w:rPr>
                <w:rFonts w:ascii="Cambria" w:hAnsi="Cambria"/>
                <w:b/>
                <w:sz w:val="20"/>
                <w:szCs w:val="20"/>
                <w:lang w:eastAsia="fr-FR"/>
              </w:rPr>
            </w:pPr>
            <w:r w:rsidRPr="00666921">
              <w:rPr>
                <w:rFonts w:ascii="Cambria" w:hAnsi="Cambria"/>
                <w:b/>
                <w:sz w:val="20"/>
                <w:lang w:eastAsia="fr-FR"/>
              </w:rPr>
              <w:t>5</w:t>
            </w:r>
          </w:p>
        </w:tc>
        <w:tc>
          <w:tcPr>
            <w:tcW w:w="2577" w:type="dxa"/>
          </w:tcPr>
          <w:p w14:paraId="28CEC5D6" w14:textId="77777777" w:rsidR="00666921" w:rsidRPr="00666921" w:rsidRDefault="00666921" w:rsidP="00666921">
            <w:pPr>
              <w:widowControl w:val="0"/>
              <w:rPr>
                <w:rFonts w:ascii="Cambria" w:hAnsi="Cambria"/>
                <w:b/>
                <w:sz w:val="20"/>
                <w:szCs w:val="20"/>
                <w:lang w:eastAsia="fr-FR"/>
              </w:rPr>
            </w:pPr>
            <w:r w:rsidRPr="00666921">
              <w:rPr>
                <w:rFonts w:ascii="Cambria" w:hAnsi="Cambria"/>
                <w:b/>
                <w:sz w:val="20"/>
                <w:lang w:eastAsia="fr-FR"/>
              </w:rPr>
              <w:t xml:space="preserve">Capturas fortuitas </w:t>
            </w:r>
          </w:p>
          <w:p w14:paraId="1F885C5D" w14:textId="77777777" w:rsidR="00666921" w:rsidRPr="00666921" w:rsidRDefault="00666921" w:rsidP="00666921">
            <w:pPr>
              <w:widowControl w:val="0"/>
              <w:rPr>
                <w:rFonts w:ascii="Cambria" w:hAnsi="Cambria"/>
                <w:b/>
                <w:sz w:val="20"/>
                <w:szCs w:val="20"/>
                <w:lang w:eastAsia="fr-FR"/>
              </w:rPr>
            </w:pPr>
            <w:r w:rsidRPr="00666921">
              <w:rPr>
                <w:rFonts w:ascii="Cambria" w:hAnsi="Cambria"/>
                <w:b/>
                <w:sz w:val="20"/>
                <w:lang w:eastAsia="fr-FR"/>
              </w:rPr>
              <w:t xml:space="preserve">(párr. 6) </w:t>
            </w:r>
          </w:p>
        </w:tc>
        <w:tc>
          <w:tcPr>
            <w:tcW w:w="2014" w:type="dxa"/>
          </w:tcPr>
          <w:p w14:paraId="4D4C2969" w14:textId="77777777" w:rsidR="00666921" w:rsidRPr="00666921" w:rsidRDefault="00666921" w:rsidP="00666921">
            <w:pPr>
              <w:widowControl w:val="0"/>
              <w:rPr>
                <w:rFonts w:ascii="Cambria" w:hAnsi="Cambria"/>
                <w:sz w:val="20"/>
                <w:szCs w:val="20"/>
                <w:lang w:eastAsia="fr-FR"/>
              </w:rPr>
            </w:pPr>
            <w:r w:rsidRPr="00666921">
              <w:rPr>
                <w:rFonts w:ascii="Cambria" w:hAnsi="Cambria"/>
                <w:sz w:val="20"/>
                <w:lang w:eastAsia="fr-FR"/>
              </w:rPr>
              <w:t>El Ministro prohíbe que los buques sin cuota de BFT capturen, transborden o desembarquen BFT. Todos los buques japoneses que capturan peces distintos de BFT operan alrededor del ecuador o más al sur, por lo que la posibilidad de captura fortuita de atún rojo es mínima. En 2025, no se comunicaron capturas fortuitas de peces.</w:t>
            </w:r>
          </w:p>
        </w:tc>
        <w:tc>
          <w:tcPr>
            <w:tcW w:w="1872" w:type="dxa"/>
          </w:tcPr>
          <w:p w14:paraId="7DDD81E0" w14:textId="77777777" w:rsidR="00666921" w:rsidRPr="00666921" w:rsidRDefault="00666921" w:rsidP="00666921">
            <w:pPr>
              <w:widowControl w:val="0"/>
              <w:rPr>
                <w:rFonts w:ascii="Cambria" w:hAnsi="Cambria"/>
                <w:sz w:val="20"/>
                <w:szCs w:val="20"/>
                <w:lang w:eastAsia="fr-FR"/>
              </w:rPr>
            </w:pPr>
            <w:r w:rsidRPr="00666921">
              <w:rPr>
                <w:rFonts w:ascii="Cambria" w:hAnsi="Cambria"/>
                <w:sz w:val="20"/>
                <w:lang w:eastAsia="fr-FR"/>
              </w:rPr>
              <w:t>Derecho pesquero, artículos 17, 19 y 25</w:t>
            </w:r>
          </w:p>
        </w:tc>
        <w:tc>
          <w:tcPr>
            <w:tcW w:w="2090" w:type="dxa"/>
          </w:tcPr>
          <w:p w14:paraId="35CC5B52" w14:textId="77777777" w:rsidR="00666921" w:rsidRPr="00666921" w:rsidRDefault="00666921" w:rsidP="00666921">
            <w:pPr>
              <w:widowControl w:val="0"/>
              <w:jc w:val="both"/>
              <w:rPr>
                <w:rFonts w:ascii="Cambria" w:hAnsi="Cambria"/>
                <w:i/>
                <w:iCs/>
                <w:sz w:val="20"/>
                <w:szCs w:val="20"/>
                <w:lang w:eastAsia="fr-FR"/>
              </w:rPr>
            </w:pPr>
          </w:p>
        </w:tc>
      </w:tr>
      <w:tr w:rsidR="00666921" w:rsidRPr="00666921" w14:paraId="50065D32" w14:textId="77777777" w:rsidTr="00B23AAD">
        <w:trPr>
          <w:jc w:val="center"/>
        </w:trPr>
        <w:tc>
          <w:tcPr>
            <w:tcW w:w="507" w:type="dxa"/>
          </w:tcPr>
          <w:p w14:paraId="30BC14EB" w14:textId="77777777" w:rsidR="00666921" w:rsidRPr="00666921" w:rsidRDefault="00666921" w:rsidP="00666921">
            <w:pPr>
              <w:widowControl w:val="0"/>
              <w:rPr>
                <w:rFonts w:ascii="Cambria" w:hAnsi="Cambria"/>
                <w:b/>
                <w:sz w:val="20"/>
                <w:szCs w:val="20"/>
                <w:lang w:eastAsia="fr-FR"/>
              </w:rPr>
            </w:pPr>
            <w:r w:rsidRPr="00666921">
              <w:rPr>
                <w:rFonts w:ascii="Cambria" w:hAnsi="Cambria"/>
                <w:b/>
                <w:sz w:val="20"/>
                <w:lang w:eastAsia="fr-FR"/>
              </w:rPr>
              <w:t>6</w:t>
            </w:r>
          </w:p>
        </w:tc>
        <w:tc>
          <w:tcPr>
            <w:tcW w:w="2577" w:type="dxa"/>
          </w:tcPr>
          <w:p w14:paraId="3A7B5450" w14:textId="77777777" w:rsidR="00666921" w:rsidRPr="00666921" w:rsidRDefault="00666921" w:rsidP="00666921">
            <w:pPr>
              <w:widowControl w:val="0"/>
              <w:rPr>
                <w:rFonts w:ascii="Cambria" w:hAnsi="Cambria"/>
                <w:b/>
                <w:sz w:val="20"/>
                <w:szCs w:val="20"/>
                <w:lang w:eastAsia="fr-FR"/>
              </w:rPr>
            </w:pPr>
            <w:r w:rsidRPr="00666921">
              <w:rPr>
                <w:rFonts w:ascii="Cambria" w:hAnsi="Cambria"/>
                <w:b/>
                <w:sz w:val="20"/>
                <w:lang w:eastAsia="fr-FR"/>
              </w:rPr>
              <w:t xml:space="preserve">Pesquerías [deportivas y] de recreo </w:t>
            </w:r>
          </w:p>
          <w:p w14:paraId="285E4BD8" w14:textId="77777777" w:rsidR="00666921" w:rsidRPr="00666921" w:rsidRDefault="00666921" w:rsidP="00666921">
            <w:pPr>
              <w:widowControl w:val="0"/>
              <w:rPr>
                <w:rFonts w:ascii="Cambria" w:hAnsi="Cambria"/>
                <w:b/>
                <w:sz w:val="20"/>
                <w:szCs w:val="20"/>
                <w:lang w:eastAsia="fr-FR"/>
              </w:rPr>
            </w:pPr>
            <w:r w:rsidRPr="00666921">
              <w:rPr>
                <w:rFonts w:ascii="Cambria" w:hAnsi="Cambria"/>
                <w:b/>
                <w:sz w:val="20"/>
                <w:lang w:eastAsia="fr-FR"/>
              </w:rPr>
              <w:t>(párrafo 11)</w:t>
            </w:r>
          </w:p>
        </w:tc>
        <w:tc>
          <w:tcPr>
            <w:tcW w:w="2014" w:type="dxa"/>
          </w:tcPr>
          <w:p w14:paraId="44905B96" w14:textId="77777777" w:rsidR="00666921" w:rsidRPr="00666921" w:rsidRDefault="00666921" w:rsidP="00666921">
            <w:pPr>
              <w:widowControl w:val="0"/>
              <w:rPr>
                <w:rFonts w:ascii="Cambria" w:hAnsi="Cambria"/>
                <w:sz w:val="20"/>
                <w:szCs w:val="20"/>
                <w:lang w:eastAsia="fr-FR"/>
              </w:rPr>
            </w:pPr>
            <w:r w:rsidRPr="00666921">
              <w:rPr>
                <w:rFonts w:ascii="Cambria" w:hAnsi="Cambria"/>
                <w:sz w:val="20"/>
                <w:lang w:eastAsia="fr-FR"/>
              </w:rPr>
              <w:t>No se permiten barcos de pesca recreativa o deportiva en la zona de ICCAT.</w:t>
            </w:r>
          </w:p>
        </w:tc>
        <w:tc>
          <w:tcPr>
            <w:tcW w:w="1872" w:type="dxa"/>
          </w:tcPr>
          <w:p w14:paraId="71165338" w14:textId="77777777" w:rsidR="00666921" w:rsidRPr="00666921" w:rsidRDefault="00666921" w:rsidP="00666921">
            <w:pPr>
              <w:widowControl w:val="0"/>
              <w:rPr>
                <w:rFonts w:ascii="Cambria" w:hAnsi="Cambria"/>
                <w:sz w:val="20"/>
                <w:szCs w:val="20"/>
                <w:lang w:eastAsia="fr-FR"/>
              </w:rPr>
            </w:pPr>
            <w:r w:rsidRPr="00666921">
              <w:rPr>
                <w:rFonts w:ascii="Cambria" w:hAnsi="Cambria"/>
                <w:sz w:val="20"/>
                <w:lang w:eastAsia="fr-FR"/>
              </w:rPr>
              <w:t>N/A</w:t>
            </w:r>
          </w:p>
        </w:tc>
        <w:tc>
          <w:tcPr>
            <w:tcW w:w="2090" w:type="dxa"/>
          </w:tcPr>
          <w:p w14:paraId="0083815C" w14:textId="77777777" w:rsidR="00666921" w:rsidRPr="00666921" w:rsidRDefault="00666921" w:rsidP="00666921">
            <w:pPr>
              <w:widowControl w:val="0"/>
              <w:jc w:val="both"/>
              <w:rPr>
                <w:rFonts w:ascii="Cambria" w:hAnsi="Cambria"/>
                <w:i/>
                <w:iCs/>
                <w:sz w:val="20"/>
                <w:szCs w:val="20"/>
                <w:lang w:eastAsia="fr-FR"/>
              </w:rPr>
            </w:pPr>
          </w:p>
        </w:tc>
      </w:tr>
      <w:tr w:rsidR="00666921" w:rsidRPr="00666921" w14:paraId="3FAC6DF6" w14:textId="77777777" w:rsidTr="00B23AAD">
        <w:trPr>
          <w:trHeight w:val="302"/>
          <w:jc w:val="center"/>
        </w:trPr>
        <w:tc>
          <w:tcPr>
            <w:tcW w:w="507" w:type="dxa"/>
          </w:tcPr>
          <w:p w14:paraId="1F32188A" w14:textId="77777777" w:rsidR="00666921" w:rsidRPr="00666921" w:rsidRDefault="00666921" w:rsidP="00666921">
            <w:pPr>
              <w:widowControl w:val="0"/>
              <w:rPr>
                <w:rFonts w:ascii="Cambria" w:hAnsi="Cambria"/>
                <w:b/>
                <w:sz w:val="20"/>
                <w:szCs w:val="20"/>
                <w:lang w:eastAsia="fr-FR"/>
              </w:rPr>
            </w:pPr>
            <w:r w:rsidRPr="00666921">
              <w:rPr>
                <w:rFonts w:ascii="Cambria" w:hAnsi="Cambria"/>
                <w:b/>
                <w:sz w:val="20"/>
                <w:lang w:eastAsia="fr-FR"/>
              </w:rPr>
              <w:t>7</w:t>
            </w:r>
          </w:p>
        </w:tc>
        <w:tc>
          <w:tcPr>
            <w:tcW w:w="2577" w:type="dxa"/>
          </w:tcPr>
          <w:p w14:paraId="5FE42F1D" w14:textId="77777777" w:rsidR="00666921" w:rsidRPr="00666921" w:rsidRDefault="00666921" w:rsidP="00666921">
            <w:pPr>
              <w:widowControl w:val="0"/>
              <w:rPr>
                <w:rFonts w:ascii="Cambria" w:hAnsi="Cambria"/>
                <w:b/>
                <w:sz w:val="20"/>
                <w:szCs w:val="20"/>
                <w:lang w:eastAsia="fr-FR"/>
              </w:rPr>
            </w:pPr>
            <w:r w:rsidRPr="00666921">
              <w:rPr>
                <w:rFonts w:ascii="Cambria" w:hAnsi="Cambria"/>
                <w:b/>
                <w:sz w:val="20"/>
                <w:lang w:eastAsia="fr-FR"/>
              </w:rPr>
              <w:t>Transbordo en el mar (párrafo 14)</w:t>
            </w:r>
          </w:p>
        </w:tc>
        <w:tc>
          <w:tcPr>
            <w:tcW w:w="2014" w:type="dxa"/>
          </w:tcPr>
          <w:p w14:paraId="4FF0423A" w14:textId="77777777" w:rsidR="00666921" w:rsidRPr="00666921" w:rsidRDefault="00666921" w:rsidP="00666921">
            <w:pPr>
              <w:widowControl w:val="0"/>
              <w:rPr>
                <w:rFonts w:ascii="Cambria" w:hAnsi="Cambria"/>
                <w:sz w:val="20"/>
                <w:szCs w:val="20"/>
                <w:lang w:eastAsia="fr-FR"/>
              </w:rPr>
            </w:pPr>
            <w:r w:rsidRPr="00666921">
              <w:rPr>
                <w:rFonts w:ascii="Cambria" w:hAnsi="Cambria"/>
                <w:sz w:val="20"/>
                <w:lang w:eastAsia="fr-FR"/>
              </w:rPr>
              <w:t>El Ministro prohíbe el transbordo de BFT en el mar y solo permite el transbordo en puertos registrados en la página web de ICCAT con autorización previa.</w:t>
            </w:r>
          </w:p>
        </w:tc>
        <w:tc>
          <w:tcPr>
            <w:tcW w:w="1872" w:type="dxa"/>
          </w:tcPr>
          <w:p w14:paraId="4F298AFA" w14:textId="77777777" w:rsidR="00666921" w:rsidRPr="00666921" w:rsidRDefault="00666921" w:rsidP="00666921">
            <w:pPr>
              <w:widowControl w:val="0"/>
              <w:rPr>
                <w:rFonts w:ascii="Cambria" w:hAnsi="Cambria"/>
                <w:sz w:val="20"/>
                <w:szCs w:val="20"/>
                <w:lang w:eastAsia="fr-FR"/>
              </w:rPr>
            </w:pPr>
            <w:r w:rsidRPr="00666921">
              <w:rPr>
                <w:rFonts w:ascii="Cambria" w:hAnsi="Cambria"/>
                <w:sz w:val="20"/>
                <w:lang w:eastAsia="fr-FR"/>
              </w:rPr>
              <w:t>Ordenanza Ministerial del Ministro de Agricultura, Silvicultura y Pesca, Artículo 59</w:t>
            </w:r>
          </w:p>
        </w:tc>
        <w:tc>
          <w:tcPr>
            <w:tcW w:w="2090" w:type="dxa"/>
          </w:tcPr>
          <w:p w14:paraId="07C585D8" w14:textId="77777777" w:rsidR="00666921" w:rsidRPr="00666921" w:rsidRDefault="00666921" w:rsidP="00666921">
            <w:pPr>
              <w:widowControl w:val="0"/>
              <w:jc w:val="both"/>
              <w:rPr>
                <w:rFonts w:ascii="Cambria" w:hAnsi="Cambria"/>
                <w:i/>
                <w:iCs/>
                <w:sz w:val="20"/>
                <w:szCs w:val="20"/>
                <w:lang w:eastAsia="fr-FR"/>
              </w:rPr>
            </w:pPr>
          </w:p>
        </w:tc>
      </w:tr>
    </w:tbl>
    <w:p w14:paraId="55033C93" w14:textId="77777777" w:rsidR="00666921" w:rsidRPr="00666921" w:rsidRDefault="00666921" w:rsidP="00666921">
      <w:pPr>
        <w:widowControl w:val="0"/>
        <w:rPr>
          <w:rFonts w:ascii="Cambria" w:eastAsia="MS Gothic" w:hAnsi="Cambria"/>
          <w:i/>
          <w:sz w:val="20"/>
          <w:szCs w:val="20"/>
          <w:lang w:eastAsia="fr-FR" w:bidi="fr-FR"/>
        </w:rPr>
      </w:pPr>
      <w:r w:rsidRPr="00666921">
        <w:rPr>
          <w:rFonts w:eastAsia="MS Gothic"/>
          <w:color w:val="000000"/>
          <w:lang w:eastAsia="fr-FR" w:bidi="fr-FR"/>
        </w:rPr>
        <w:br/>
      </w:r>
    </w:p>
    <w:p w14:paraId="7837B4CE" w14:textId="77777777" w:rsidR="00666921" w:rsidRPr="00666921" w:rsidRDefault="00666921" w:rsidP="00666921">
      <w:pPr>
        <w:widowControl w:val="0"/>
        <w:rPr>
          <w:rFonts w:ascii="Cambria" w:eastAsia="MS Gothic" w:hAnsi="Cambria"/>
          <w:i/>
          <w:sz w:val="20"/>
          <w:szCs w:val="20"/>
          <w:lang w:eastAsia="fr-FR" w:bidi="fr-FR"/>
        </w:rPr>
      </w:pPr>
    </w:p>
    <w:p w14:paraId="0C204823" w14:textId="77777777" w:rsidR="00666921" w:rsidRPr="00666921" w:rsidRDefault="00666921" w:rsidP="00666921">
      <w:pPr>
        <w:widowControl w:val="0"/>
        <w:rPr>
          <w:rFonts w:ascii="Cambria" w:eastAsia="MS Gothic" w:hAnsi="Cambria"/>
          <w:i/>
          <w:sz w:val="20"/>
          <w:szCs w:val="20"/>
          <w:lang w:eastAsia="fr-FR" w:bidi="fr-FR"/>
        </w:rPr>
      </w:pPr>
    </w:p>
    <w:p w14:paraId="4D7C1F96" w14:textId="77777777" w:rsidR="00666921" w:rsidRPr="00666921" w:rsidRDefault="00666921" w:rsidP="00666921">
      <w:pPr>
        <w:widowControl w:val="0"/>
        <w:tabs>
          <w:tab w:val="left" w:pos="426"/>
        </w:tabs>
        <w:ind w:left="426" w:hanging="426"/>
        <w:jc w:val="both"/>
        <w:rPr>
          <w:rFonts w:ascii="Cambria" w:eastAsia="MS Gothic" w:hAnsi="Cambria"/>
          <w:b/>
          <w:sz w:val="20"/>
          <w:szCs w:val="20"/>
          <w:lang w:eastAsia="fr-FR" w:bidi="fr-FR"/>
        </w:rPr>
      </w:pPr>
      <w:r w:rsidRPr="00666921">
        <w:rPr>
          <w:rFonts w:ascii="Cambria" w:eastAsia="MS Gothic" w:hAnsi="Cambria"/>
          <w:b/>
          <w:sz w:val="20"/>
          <w:lang w:eastAsia="fr-FR" w:bidi="fr-FR"/>
        </w:rPr>
        <w:t>3.</w:t>
      </w:r>
      <w:r w:rsidRPr="00666921">
        <w:rPr>
          <w:rFonts w:ascii="Cambria" w:eastAsia="MS Gothic" w:hAnsi="Cambria"/>
          <w:b/>
          <w:sz w:val="20"/>
          <w:lang w:eastAsia="fr-FR" w:bidi="fr-FR"/>
        </w:rPr>
        <w:tab/>
        <w:t>Medidas adicionales utilizadas con fines de ejecución o de seguimiento, control e inspección (párr. 3)</w:t>
      </w:r>
    </w:p>
    <w:p w14:paraId="2DD4922A" w14:textId="77777777" w:rsidR="00666921" w:rsidRPr="00666921" w:rsidRDefault="00666921" w:rsidP="00666921">
      <w:pPr>
        <w:widowControl w:val="0"/>
        <w:jc w:val="both"/>
        <w:rPr>
          <w:rFonts w:ascii="Cambria" w:eastAsia="MS Gothic" w:hAnsi="Cambria"/>
          <w:color w:val="000000"/>
          <w:sz w:val="20"/>
          <w:lang w:eastAsia="ja-JP" w:bidi="fr-FR"/>
        </w:rPr>
      </w:pPr>
    </w:p>
    <w:p w14:paraId="4EF81279" w14:textId="77777777" w:rsidR="00666921" w:rsidRPr="00666921" w:rsidRDefault="00666921" w:rsidP="00666921">
      <w:pPr>
        <w:widowControl w:val="0"/>
        <w:jc w:val="both"/>
        <w:rPr>
          <w:rFonts w:ascii="Cambria" w:eastAsia="MS Gothic" w:hAnsi="Cambria"/>
          <w:color w:val="000000"/>
          <w:sz w:val="20"/>
          <w:lang w:eastAsia="fr-FR" w:bidi="fr-FR"/>
        </w:rPr>
      </w:pPr>
      <w:r w:rsidRPr="00666921">
        <w:rPr>
          <w:rFonts w:ascii="Cambria" w:eastAsia="MS Gothic" w:hAnsi="Cambria"/>
          <w:color w:val="000000"/>
          <w:sz w:val="20"/>
          <w:lang w:eastAsia="fr-FR" w:bidi="fr-FR"/>
        </w:rPr>
        <w:t xml:space="preserve">La FAJ supervisa constantemente la ubicación de los LSTLV en todo el océano Atlántico a través del VMS. La FAJ asegura a través del VMS que los LSTLV sin autorización ni cuota no operen en la zona de pesca de BFT-W. </w:t>
      </w:r>
    </w:p>
    <w:p w14:paraId="1DE99529" w14:textId="77777777" w:rsidR="00666921" w:rsidRPr="00666921" w:rsidRDefault="00666921" w:rsidP="00666921">
      <w:pPr>
        <w:widowControl w:val="0"/>
        <w:rPr>
          <w:rFonts w:ascii="Cambria" w:eastAsia="MS Gothic" w:hAnsi="Cambria"/>
          <w:color w:val="000000"/>
          <w:sz w:val="20"/>
          <w:lang w:eastAsia="fr-FR" w:bidi="fr-FR"/>
        </w:rPr>
      </w:pPr>
    </w:p>
    <w:p w14:paraId="250BFA45" w14:textId="77777777" w:rsidR="00666921" w:rsidRPr="00666921" w:rsidRDefault="00666921" w:rsidP="00666921">
      <w:pPr>
        <w:widowControl w:val="0"/>
        <w:jc w:val="both"/>
        <w:rPr>
          <w:rFonts w:ascii="Cambria" w:eastAsia="MS Gothic" w:hAnsi="Cambria"/>
          <w:color w:val="000000"/>
          <w:sz w:val="20"/>
          <w:lang w:eastAsia="fr-FR" w:bidi="fr-FR"/>
        </w:rPr>
      </w:pPr>
      <w:r w:rsidRPr="00666921">
        <w:rPr>
          <w:rFonts w:ascii="Cambria" w:eastAsia="MS Gothic" w:hAnsi="Cambria"/>
          <w:color w:val="000000"/>
          <w:sz w:val="20"/>
          <w:lang w:eastAsia="fr-FR" w:bidi="fr-FR"/>
        </w:rPr>
        <w:t xml:space="preserve">La FAJ distribuye marcas oficiales solo a los LSTLV que tengan cuotas BFT-W. La Ordenanza Ministerial exige que los pescadores japoneses coloquen la marca en cada BFT capturado por ellos. El desembarque de cualquier BFT-W sin la marca constituye una violación de la Ordenanza Ministerial. Los requisitos de comunicación sobre el transbordo también están establecidos por la Ordenanza Ministerial. </w:t>
      </w:r>
    </w:p>
    <w:p w14:paraId="578D01A1" w14:textId="77777777" w:rsidR="00666921" w:rsidRPr="00666921" w:rsidRDefault="00666921" w:rsidP="00666921">
      <w:pPr>
        <w:widowControl w:val="0"/>
        <w:jc w:val="both"/>
        <w:rPr>
          <w:rFonts w:ascii="Cambria" w:eastAsia="MS Gothic" w:hAnsi="Cambria"/>
          <w:color w:val="000000"/>
          <w:sz w:val="20"/>
          <w:lang w:eastAsia="fr-FR" w:bidi="fr-FR"/>
        </w:rPr>
      </w:pPr>
    </w:p>
    <w:p w14:paraId="57847227" w14:textId="77777777" w:rsidR="00666921" w:rsidRPr="00666921" w:rsidRDefault="00666921" w:rsidP="00666921">
      <w:pPr>
        <w:widowControl w:val="0"/>
        <w:jc w:val="both"/>
        <w:rPr>
          <w:rFonts w:ascii="Cambria" w:eastAsia="MS Gothic" w:hAnsi="Cambria"/>
          <w:color w:val="000000"/>
          <w:sz w:val="20"/>
          <w:lang w:eastAsia="fr-FR" w:bidi="fr-FR"/>
        </w:rPr>
      </w:pPr>
      <w:r w:rsidRPr="00666921">
        <w:rPr>
          <w:rFonts w:ascii="Cambria" w:eastAsia="MS Gothic" w:hAnsi="Cambria"/>
          <w:color w:val="000000"/>
          <w:sz w:val="20"/>
          <w:lang w:eastAsia="fr-FR" w:bidi="fr-FR"/>
        </w:rPr>
        <w:t xml:space="preserve">Los LSTLV deberán obtener autorización de la FAJ antes del transbordo en puertos. La FAJ también recibe la declaración de transbordo. La FAJ examina dicha información y verifica la coherencia con la cantidad acumulada de capturas. La FAJ también recibe la declaración de transbordo. La FAJ examina dicha información y comprueba su coherencia con el volumen de capturas acumulado. Esta información es verificada mediante inspecciones de desembarque por parte de los inspectores de la FAJ cuando el BFT se desembarque en Japón.  </w:t>
      </w:r>
    </w:p>
    <w:p w14:paraId="0F1C14E4" w14:textId="77777777" w:rsidR="00666921" w:rsidRPr="00666921" w:rsidRDefault="00666921" w:rsidP="00666921">
      <w:pPr>
        <w:widowControl w:val="0"/>
        <w:rPr>
          <w:rFonts w:ascii="Cambria" w:eastAsia="MS Gothic" w:hAnsi="Cambria"/>
          <w:b/>
          <w:color w:val="000000"/>
          <w:sz w:val="20"/>
          <w:lang w:eastAsia="fr-FR" w:bidi="fr-FR"/>
        </w:rPr>
      </w:pPr>
    </w:p>
    <w:p w14:paraId="6FEA501B" w14:textId="77777777" w:rsidR="00666921" w:rsidRDefault="00666921" w:rsidP="00666921">
      <w:pPr>
        <w:widowControl w:val="0"/>
        <w:jc w:val="both"/>
        <w:rPr>
          <w:rFonts w:ascii="Cambria" w:eastAsia="MS Gothic" w:hAnsi="Cambria"/>
          <w:color w:val="000000"/>
          <w:sz w:val="20"/>
          <w:lang w:eastAsia="fr-FR" w:bidi="fr-FR"/>
        </w:rPr>
        <w:sectPr w:rsidR="00666921" w:rsidSect="00046127">
          <w:headerReference w:type="default" r:id="rId18"/>
          <w:type w:val="continuous"/>
          <w:pgSz w:w="11906" w:h="16838" w:code="9"/>
          <w:pgMar w:top="1418" w:right="1418" w:bottom="1418" w:left="1418" w:header="851" w:footer="1134" w:gutter="0"/>
          <w:cols w:space="708"/>
          <w:docGrid w:linePitch="360"/>
        </w:sectPr>
      </w:pPr>
      <w:r w:rsidRPr="00666921">
        <w:rPr>
          <w:rFonts w:ascii="Cambria" w:eastAsia="MS Gothic" w:hAnsi="Cambria"/>
          <w:color w:val="000000"/>
          <w:sz w:val="20"/>
          <w:lang w:eastAsia="fr-FR" w:bidi="fr-FR"/>
        </w:rPr>
        <w:t xml:space="preserve">La Ordenanza Ministerial prohíbe el desembarque de BFT en cualquier puerto extranjero. Todos los BFT capturados por pescadores japoneses, incluidos los traídos por buques de transporte, deben ser desembarcados en los 10 puertos designados en Japón. Esos puertos son el destino final de los BFT capturados por pescadores japoneses; este esquema permite a la FAJ realizar inspecciones directas de los desembarques de los BFT-W desembarcados. De hecho, la FAJ lleva implementando inspecciones de desembarques de 100% del BFT-W capturado por LSTLV japoneses desde 2009. Se utiliza una variedad de información recopilada a través de las medidas MCS mencionadas anteriormente (por ejemplo, peso y número de BFT-W, fijación de marcas de plástico) en las inspecciones de desembarques. </w:t>
      </w:r>
    </w:p>
    <w:p w14:paraId="435A36AF" w14:textId="77777777" w:rsidR="00666921" w:rsidRPr="00666921" w:rsidRDefault="00666921" w:rsidP="00666921">
      <w:pPr>
        <w:widowControl w:val="0"/>
        <w:jc w:val="both"/>
        <w:rPr>
          <w:rFonts w:ascii="Cambria" w:eastAsia="MS Gothic" w:hAnsi="Cambria"/>
          <w:color w:val="000000"/>
          <w:sz w:val="20"/>
          <w:lang w:eastAsia="fr-FR" w:bidi="fr-FR"/>
        </w:rPr>
      </w:pPr>
    </w:p>
    <w:p w14:paraId="4CB1F177" w14:textId="77777777" w:rsidR="00316C09" w:rsidRPr="00316C09" w:rsidRDefault="00316C09" w:rsidP="00316C09">
      <w:pPr>
        <w:widowControl w:val="0"/>
        <w:jc w:val="center"/>
        <w:rPr>
          <w:rFonts w:ascii="Cambria" w:eastAsia="MS Gothic" w:hAnsi="Cambria"/>
          <w:b/>
          <w:sz w:val="20"/>
          <w:szCs w:val="20"/>
          <w:lang w:val="es-MX" w:eastAsia="fr-FR" w:bidi="fr-FR"/>
        </w:rPr>
      </w:pPr>
      <w:r w:rsidRPr="00316C09">
        <w:rPr>
          <w:rFonts w:ascii="Cambria" w:eastAsia="MS Gothic" w:hAnsi="Cambria"/>
          <w:b/>
          <w:sz w:val="20"/>
          <w:szCs w:val="20"/>
          <w:lang w:val="es-MX" w:eastAsia="fr-FR" w:bidi="fr-FR"/>
        </w:rPr>
        <w:t>Plan de pesca/ordenación para el atún rojo del Atlántico occidental</w:t>
      </w:r>
    </w:p>
    <w:p w14:paraId="618932C7" w14:textId="77777777" w:rsidR="00316C09" w:rsidRPr="00316C09" w:rsidRDefault="00316C09" w:rsidP="00316C09">
      <w:pPr>
        <w:widowControl w:val="0"/>
        <w:jc w:val="center"/>
        <w:rPr>
          <w:rFonts w:ascii="Cambria" w:eastAsia="MS Gothic" w:hAnsi="Cambria"/>
          <w:b/>
          <w:sz w:val="20"/>
          <w:szCs w:val="20"/>
          <w:lang w:val="es-MX" w:eastAsia="fr-FR" w:bidi="fr-FR"/>
        </w:rPr>
      </w:pPr>
    </w:p>
    <w:p w14:paraId="676DE03F" w14:textId="77777777" w:rsidR="00316C09" w:rsidRPr="00316C09" w:rsidRDefault="00316C09" w:rsidP="00316C09">
      <w:pPr>
        <w:widowControl w:val="0"/>
        <w:jc w:val="center"/>
        <w:rPr>
          <w:rFonts w:ascii="Cambria" w:eastAsia="MS Gothic" w:hAnsi="Cambria"/>
          <w:b/>
          <w:sz w:val="20"/>
          <w:szCs w:val="20"/>
          <w:lang w:val="es-MX" w:eastAsia="fr-FR" w:bidi="fr-FR"/>
        </w:rPr>
      </w:pPr>
    </w:p>
    <w:p w14:paraId="7D40B690" w14:textId="41D9A802" w:rsidR="00316C09" w:rsidRPr="00316C09" w:rsidRDefault="00316C09" w:rsidP="00316C09">
      <w:pPr>
        <w:widowControl w:val="0"/>
        <w:jc w:val="both"/>
        <w:rPr>
          <w:rFonts w:ascii="Cambria" w:eastAsia="MS Gothic" w:hAnsi="Cambria"/>
          <w:b/>
          <w:bCs/>
          <w:sz w:val="20"/>
          <w:szCs w:val="20"/>
          <w:lang w:val="es-MX" w:eastAsia="fr-FR" w:bidi="fr-FR"/>
        </w:rPr>
      </w:pPr>
      <w:r w:rsidRPr="00316C09">
        <w:rPr>
          <w:rFonts w:ascii="Cambria" w:eastAsia="MS Gothic" w:hAnsi="Cambria"/>
          <w:b/>
          <w:sz w:val="20"/>
          <w:szCs w:val="20"/>
          <w:lang w:val="es-MX" w:eastAsia="fr-FR" w:bidi="fr-FR"/>
        </w:rPr>
        <w:t xml:space="preserve">Nombre de la CPC: </w:t>
      </w:r>
      <w:r w:rsidR="00C52DC0" w:rsidRPr="00316C09">
        <w:rPr>
          <w:rFonts w:ascii="Cambria" w:eastAsia="MS Gothic" w:hAnsi="Cambria"/>
          <w:b/>
          <w:sz w:val="20"/>
          <w:szCs w:val="20"/>
          <w:lang w:val="es-MX" w:eastAsia="fr-FR" w:bidi="fr-FR"/>
        </w:rPr>
        <w:t>México</w:t>
      </w:r>
    </w:p>
    <w:p w14:paraId="36A89ECF" w14:textId="77777777" w:rsidR="00316C09" w:rsidRPr="00316C09" w:rsidRDefault="00316C09" w:rsidP="00316C09">
      <w:pPr>
        <w:widowControl w:val="0"/>
        <w:jc w:val="both"/>
        <w:rPr>
          <w:rFonts w:ascii="Cambria" w:eastAsia="MS Gothic" w:hAnsi="Cambria"/>
          <w:sz w:val="20"/>
          <w:szCs w:val="20"/>
          <w:lang w:val="es-MX" w:eastAsia="fr-FR" w:bidi="fr-FR"/>
        </w:rPr>
      </w:pPr>
    </w:p>
    <w:p w14:paraId="7DE145A2" w14:textId="77777777" w:rsidR="00316C09" w:rsidRPr="00316C09" w:rsidRDefault="00316C09" w:rsidP="00316C09">
      <w:pPr>
        <w:widowControl w:val="0"/>
        <w:jc w:val="both"/>
        <w:rPr>
          <w:rFonts w:ascii="Cambria" w:eastAsia="MS Gothic" w:hAnsi="Cambria"/>
          <w:b/>
          <w:sz w:val="20"/>
          <w:szCs w:val="20"/>
          <w:lang w:val="es-MX" w:eastAsia="fr-FR" w:bidi="fr-FR"/>
        </w:rPr>
      </w:pPr>
      <w:r w:rsidRPr="00316C09">
        <w:rPr>
          <w:rFonts w:ascii="Cambria" w:eastAsia="MS Gothic" w:hAnsi="Cambria"/>
          <w:b/>
          <w:sz w:val="20"/>
          <w:szCs w:val="20"/>
          <w:lang w:val="es-MX" w:eastAsia="fr-FR" w:bidi="fr-FR"/>
        </w:rPr>
        <w:t>Año del plan de pesca: 2025</w:t>
      </w:r>
    </w:p>
    <w:p w14:paraId="46396145" w14:textId="77777777" w:rsidR="00316C09" w:rsidRPr="00316C09" w:rsidRDefault="00316C09" w:rsidP="00316C09">
      <w:pPr>
        <w:widowControl w:val="0"/>
        <w:jc w:val="both"/>
        <w:rPr>
          <w:rFonts w:ascii="Cambria" w:eastAsia="MS Gothic" w:hAnsi="Cambria"/>
          <w:b/>
          <w:sz w:val="20"/>
          <w:szCs w:val="20"/>
          <w:lang w:val="es-MX" w:eastAsia="fr-FR" w:bidi="fr-FR"/>
        </w:rPr>
      </w:pPr>
    </w:p>
    <w:p w14:paraId="22557301" w14:textId="77777777" w:rsidR="00316C09" w:rsidRPr="00316C09" w:rsidRDefault="00316C09" w:rsidP="00316C09">
      <w:pPr>
        <w:widowControl w:val="0"/>
        <w:tabs>
          <w:tab w:val="left" w:pos="426"/>
        </w:tabs>
        <w:ind w:left="284" w:hanging="284"/>
        <w:jc w:val="both"/>
        <w:rPr>
          <w:rFonts w:ascii="Cambria" w:eastAsia="MS Gothic" w:hAnsi="Cambria"/>
          <w:b/>
          <w:sz w:val="20"/>
          <w:szCs w:val="20"/>
          <w:lang w:val="es-MX" w:eastAsia="fr-FR" w:bidi="fr-FR"/>
        </w:rPr>
      </w:pPr>
      <w:r w:rsidRPr="00316C09">
        <w:rPr>
          <w:rFonts w:ascii="Cambria" w:eastAsia="MS Gothic" w:hAnsi="Cambria"/>
          <w:b/>
          <w:sz w:val="20"/>
          <w:szCs w:val="20"/>
          <w:lang w:val="es-MX" w:eastAsia="fr-FR" w:bidi="fr-FR"/>
        </w:rPr>
        <w:t xml:space="preserve">1. </w:t>
      </w:r>
      <w:r w:rsidRPr="00316C09">
        <w:rPr>
          <w:rFonts w:ascii="Cambria" w:eastAsia="MS Gothic" w:hAnsi="Cambria"/>
          <w:b/>
          <w:sz w:val="20"/>
          <w:szCs w:val="20"/>
          <w:lang w:val="es-MX" w:eastAsia="fr-FR" w:bidi="fr-FR"/>
        </w:rPr>
        <w:tab/>
        <w:t>Cuotas de la flota para todos los sectores y método utilizado para asignar y gestionar dichas cuotas</w:t>
      </w:r>
    </w:p>
    <w:p w14:paraId="4329A629" w14:textId="77777777" w:rsidR="00316C09" w:rsidRPr="00316C09" w:rsidRDefault="00316C09" w:rsidP="00316C09">
      <w:pPr>
        <w:widowControl w:val="0"/>
        <w:tabs>
          <w:tab w:val="left" w:pos="426"/>
        </w:tabs>
        <w:jc w:val="both"/>
        <w:rPr>
          <w:rFonts w:ascii="Cambria" w:eastAsia="MS Gothic" w:hAnsi="Cambria"/>
          <w:i/>
          <w:sz w:val="20"/>
          <w:szCs w:val="20"/>
          <w:lang w:val="es-MX" w:eastAsia="fr-FR" w:bidi="fr-FR"/>
        </w:rPr>
      </w:pPr>
    </w:p>
    <w:p w14:paraId="2FD84099" w14:textId="77777777" w:rsidR="00316C09" w:rsidRPr="00316C09" w:rsidRDefault="00316C09" w:rsidP="00316C09">
      <w:pPr>
        <w:widowControl w:val="0"/>
        <w:jc w:val="both"/>
        <w:rPr>
          <w:rFonts w:ascii="Cambria" w:eastAsia="MS Gothic" w:hAnsi="Cambria"/>
          <w:b/>
          <w:i/>
          <w:sz w:val="20"/>
          <w:szCs w:val="20"/>
          <w:lang w:val="es-MX" w:eastAsia="fr-FR" w:bidi="fr-FR"/>
        </w:rPr>
      </w:pPr>
      <w:r w:rsidRPr="00316C09">
        <w:rPr>
          <w:rFonts w:ascii="Cambria" w:eastAsia="MS Gothic" w:hAnsi="Cambria"/>
          <w:b/>
          <w:i/>
          <w:sz w:val="20"/>
          <w:szCs w:val="20"/>
          <w:lang w:val="es-MX" w:eastAsia="fr-FR" w:bidi="fr-FR"/>
        </w:rPr>
        <w:t>1 a) Presentación</w:t>
      </w:r>
    </w:p>
    <w:p w14:paraId="1632EEEC" w14:textId="77777777" w:rsidR="00316C09" w:rsidRPr="00316C09" w:rsidRDefault="00316C09" w:rsidP="00316C09">
      <w:pPr>
        <w:widowControl w:val="0"/>
        <w:jc w:val="both"/>
        <w:rPr>
          <w:rFonts w:ascii="Cambria" w:eastAsia="MS Gothic" w:hAnsi="Cambria"/>
          <w:b/>
          <w:i/>
          <w:sz w:val="20"/>
          <w:szCs w:val="20"/>
          <w:lang w:val="es-MX" w:eastAsia="fr-FR" w:bidi="fr-FR"/>
        </w:rPr>
      </w:pPr>
    </w:p>
    <w:p w14:paraId="3B049632" w14:textId="77777777" w:rsidR="00316C09" w:rsidRDefault="00316C09" w:rsidP="00316C09">
      <w:pPr>
        <w:widowControl w:val="0"/>
        <w:jc w:val="both"/>
        <w:rPr>
          <w:rFonts w:ascii="Cambria" w:eastAsia="MS Gothic" w:hAnsi="Cambria"/>
          <w:bCs/>
          <w:iCs/>
          <w:sz w:val="20"/>
          <w:szCs w:val="20"/>
          <w:lang w:val="es-MX" w:eastAsia="fr-FR" w:bidi="fr-FR"/>
        </w:rPr>
      </w:pPr>
      <w:r w:rsidRPr="00316C09">
        <w:rPr>
          <w:rFonts w:ascii="Cambria" w:eastAsia="MS Gothic" w:hAnsi="Cambria"/>
          <w:bCs/>
          <w:iCs/>
          <w:sz w:val="20"/>
          <w:szCs w:val="20"/>
          <w:lang w:val="es-MX" w:eastAsia="fr-FR" w:bidi="fr-FR"/>
        </w:rPr>
        <w:t>Dado que la Rec. 22-10 prohíbe explícitamente la pesca dirigida al atún rojo en las zonas de desove del Atlántico oeste (específicamente en el golfo de México), el plan de pesca de México se presenta como un plan de gestión y monitoreo de captura incidental, pero no como pesca comercial dirigida. México no autoriza ni desarrolla la pesca dirigida de atún rojo en su zona económica exclusiva (ZEE) del golfo de México, si bien la Rec. 22-10 incluía una cuota asignada a México de 149,34 t anuales en 2023-2025 y luego la Rec. 25-05 establece una cuota de 171,34 t anuales para 2026-2028. Esta cuota se utiliza única y exclusivamente para amparar las capturas incidentales que ocurren en la pesca con palangre en el golfo de México.</w:t>
      </w:r>
    </w:p>
    <w:p w14:paraId="21121680" w14:textId="77777777" w:rsidR="00C52DC0" w:rsidRPr="00316C09" w:rsidRDefault="00C52DC0" w:rsidP="00316C09">
      <w:pPr>
        <w:widowControl w:val="0"/>
        <w:jc w:val="both"/>
        <w:rPr>
          <w:rFonts w:ascii="Cambria" w:eastAsia="MS Gothic" w:hAnsi="Cambria"/>
          <w:bCs/>
          <w:iCs/>
          <w:sz w:val="20"/>
          <w:szCs w:val="20"/>
          <w:lang w:val="es-MX" w:eastAsia="fr-FR" w:bidi="fr-FR"/>
        </w:rPr>
      </w:pPr>
    </w:p>
    <w:tbl>
      <w:tblPr>
        <w:tblpPr w:leftFromText="180" w:rightFromText="180" w:vertAnchor="text" w:horzAnchor="margin" w:tblpXSpec="center" w:tblpY="35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47"/>
        <w:gridCol w:w="4813"/>
      </w:tblGrid>
      <w:tr w:rsidR="00316C09" w:rsidRPr="00316C09" w14:paraId="1406B836" w14:textId="77777777" w:rsidTr="00B23AAD">
        <w:trPr>
          <w:trHeight w:val="268"/>
        </w:trPr>
        <w:tc>
          <w:tcPr>
            <w:tcW w:w="2344" w:type="pct"/>
            <w:noWrap/>
            <w:vAlign w:val="center"/>
          </w:tcPr>
          <w:p w14:paraId="3A02DA6D" w14:textId="77777777" w:rsidR="00316C09" w:rsidRPr="00316C09" w:rsidRDefault="00316C09" w:rsidP="00316C09">
            <w:pPr>
              <w:jc w:val="center"/>
              <w:rPr>
                <w:rFonts w:ascii="Cambria" w:eastAsia="MS Gothic" w:hAnsi="Cambria"/>
                <w:bCs/>
                <w:i/>
                <w:iCs/>
                <w:color w:val="000000"/>
                <w:sz w:val="20"/>
                <w:szCs w:val="20"/>
                <w:lang w:val="es-MX" w:eastAsia="fr-FR" w:bidi="fr-FR"/>
              </w:rPr>
            </w:pPr>
            <w:r w:rsidRPr="00316C09">
              <w:rPr>
                <w:rFonts w:ascii="Cambria" w:eastAsia="MS Gothic" w:hAnsi="Cambria"/>
                <w:i/>
                <w:iCs/>
                <w:color w:val="000000"/>
                <w:sz w:val="20"/>
                <w:szCs w:val="20"/>
                <w:lang w:val="es-MX" w:eastAsia="fr-FR" w:bidi="fr-FR"/>
              </w:rPr>
              <w:t>Sector de la flota</w:t>
            </w:r>
          </w:p>
        </w:tc>
        <w:tc>
          <w:tcPr>
            <w:tcW w:w="2656" w:type="pct"/>
            <w:tcBorders>
              <w:bottom w:val="single" w:sz="4" w:space="0" w:color="auto"/>
            </w:tcBorders>
            <w:vAlign w:val="center"/>
          </w:tcPr>
          <w:p w14:paraId="1A824E68" w14:textId="77777777" w:rsidR="00316C09" w:rsidRPr="00316C09" w:rsidRDefault="00316C09" w:rsidP="00316C09">
            <w:pPr>
              <w:jc w:val="center"/>
              <w:rPr>
                <w:rFonts w:ascii="Cambria" w:eastAsia="MS Gothic" w:hAnsi="Cambria"/>
                <w:bCs/>
                <w:i/>
                <w:iCs/>
                <w:sz w:val="20"/>
                <w:szCs w:val="20"/>
                <w:lang w:val="es-MX" w:eastAsia="fr-FR" w:bidi="fr-FR"/>
              </w:rPr>
            </w:pPr>
            <w:r w:rsidRPr="00316C09">
              <w:rPr>
                <w:rFonts w:ascii="Cambria" w:eastAsia="MS Gothic" w:hAnsi="Cambria"/>
                <w:i/>
                <w:color w:val="000000"/>
                <w:sz w:val="20"/>
                <w:szCs w:val="20"/>
                <w:lang w:val="es-MX" w:eastAsia="fr-FR" w:bidi="fr-FR"/>
              </w:rPr>
              <w:t xml:space="preserve">   Cuota asignada (t)</w:t>
            </w:r>
          </w:p>
        </w:tc>
      </w:tr>
      <w:tr w:rsidR="00316C09" w:rsidRPr="00316C09" w14:paraId="0C643B6A" w14:textId="77777777" w:rsidTr="00B23AAD">
        <w:trPr>
          <w:trHeight w:val="703"/>
        </w:trPr>
        <w:tc>
          <w:tcPr>
            <w:tcW w:w="2344" w:type="pct"/>
            <w:vMerge w:val="restart"/>
            <w:tcBorders>
              <w:right w:val="single" w:sz="4" w:space="0" w:color="auto"/>
            </w:tcBorders>
            <w:noWrap/>
            <w:vAlign w:val="center"/>
          </w:tcPr>
          <w:p w14:paraId="60D5AD95" w14:textId="77777777" w:rsidR="00316C09" w:rsidRPr="00316C09" w:rsidRDefault="00316C09" w:rsidP="00316C09">
            <w:pPr>
              <w:jc w:val="both"/>
              <w:rPr>
                <w:rFonts w:ascii="Cambria" w:eastAsia="MS Gothic" w:hAnsi="Cambria"/>
                <w:sz w:val="20"/>
                <w:szCs w:val="20"/>
                <w:lang w:val="es-MX" w:eastAsia="fr-FR" w:bidi="fr-FR"/>
              </w:rPr>
            </w:pPr>
            <w:r w:rsidRPr="00316C09">
              <w:rPr>
                <w:rFonts w:ascii="Cambria" w:eastAsia="MS Gothic" w:hAnsi="Cambria"/>
                <w:sz w:val="20"/>
                <w:szCs w:val="20"/>
                <w:lang w:val="es-MX" w:eastAsia="fr-FR" w:bidi="fr-FR"/>
              </w:rPr>
              <w:t>Flota comercial de altura de palangre de deriva dedicada a la captura dirigida de atún aleta amarilla (</w:t>
            </w:r>
            <w:r w:rsidRPr="00316C09">
              <w:rPr>
                <w:rFonts w:ascii="Cambria" w:eastAsia="MS Gothic" w:hAnsi="Cambria"/>
                <w:i/>
                <w:sz w:val="20"/>
                <w:szCs w:val="20"/>
                <w:lang w:val="es-MX" w:eastAsia="fr-FR" w:bidi="fr-FR"/>
              </w:rPr>
              <w:t>Thunnus albacares</w:t>
            </w:r>
            <w:r w:rsidRPr="00316C09">
              <w:rPr>
                <w:rFonts w:ascii="Cambria" w:eastAsia="MS Gothic" w:hAnsi="Cambria"/>
                <w:sz w:val="20"/>
                <w:szCs w:val="20"/>
                <w:lang w:val="es-MX" w:eastAsia="fr-FR" w:bidi="fr-FR"/>
              </w:rPr>
              <w:t>) y especies afines.</w:t>
            </w:r>
          </w:p>
        </w:tc>
        <w:tc>
          <w:tcPr>
            <w:tcW w:w="2656" w:type="pct"/>
            <w:tcBorders>
              <w:top w:val="single" w:sz="4" w:space="0" w:color="auto"/>
              <w:left w:val="single" w:sz="4" w:space="0" w:color="auto"/>
              <w:bottom w:val="single" w:sz="4" w:space="0" w:color="auto"/>
              <w:right w:val="single" w:sz="4" w:space="0" w:color="auto"/>
            </w:tcBorders>
          </w:tcPr>
          <w:p w14:paraId="00710F4A" w14:textId="77777777" w:rsidR="00316C09" w:rsidRPr="00316C09" w:rsidRDefault="00316C09" w:rsidP="00316C09">
            <w:pPr>
              <w:widowControl w:val="0"/>
              <w:jc w:val="center"/>
              <w:rPr>
                <w:rFonts w:ascii="Cambria" w:eastAsia="MS Gothic" w:hAnsi="Cambria"/>
                <w:sz w:val="20"/>
                <w:szCs w:val="20"/>
                <w:lang w:val="es-MX" w:eastAsia="fr-FR" w:bidi="fr-FR"/>
              </w:rPr>
            </w:pPr>
            <w:r w:rsidRPr="00316C09">
              <w:rPr>
                <w:rFonts w:ascii="Cambria" w:eastAsia="MS Gothic" w:hAnsi="Cambria"/>
                <w:sz w:val="20"/>
                <w:szCs w:val="20"/>
                <w:lang w:val="es-MX" w:eastAsia="fr-FR" w:bidi="fr-FR"/>
              </w:rPr>
              <w:t>TAC anual para 2023-2025: 149,34 t (México), utilizado única y exclusivamente para amparar las capturas incidentales.</w:t>
            </w:r>
          </w:p>
        </w:tc>
      </w:tr>
      <w:tr w:rsidR="00316C09" w:rsidRPr="00316C09" w14:paraId="72DF6562" w14:textId="77777777" w:rsidTr="00B23AAD">
        <w:trPr>
          <w:trHeight w:val="698"/>
        </w:trPr>
        <w:tc>
          <w:tcPr>
            <w:tcW w:w="2344" w:type="pct"/>
            <w:vMerge/>
            <w:tcBorders>
              <w:right w:val="single" w:sz="4" w:space="0" w:color="auto"/>
            </w:tcBorders>
            <w:noWrap/>
            <w:vAlign w:val="center"/>
          </w:tcPr>
          <w:p w14:paraId="7C480774" w14:textId="77777777" w:rsidR="00316C09" w:rsidRPr="00316C09" w:rsidRDefault="00316C09" w:rsidP="00316C09">
            <w:pPr>
              <w:jc w:val="both"/>
              <w:rPr>
                <w:rFonts w:ascii="Cambria" w:eastAsia="MS Gothic" w:hAnsi="Cambria"/>
                <w:sz w:val="20"/>
                <w:szCs w:val="20"/>
                <w:lang w:val="es-MX" w:eastAsia="fr-FR" w:bidi="fr-FR"/>
              </w:rPr>
            </w:pPr>
          </w:p>
        </w:tc>
        <w:tc>
          <w:tcPr>
            <w:tcW w:w="2656" w:type="pct"/>
            <w:tcBorders>
              <w:top w:val="single" w:sz="4" w:space="0" w:color="auto"/>
              <w:left w:val="single" w:sz="4" w:space="0" w:color="auto"/>
              <w:bottom w:val="single" w:sz="4" w:space="0" w:color="auto"/>
              <w:right w:val="single" w:sz="4" w:space="0" w:color="auto"/>
            </w:tcBorders>
          </w:tcPr>
          <w:p w14:paraId="7252F073" w14:textId="77777777" w:rsidR="00316C09" w:rsidRPr="00316C09" w:rsidRDefault="00316C09" w:rsidP="00316C09">
            <w:pPr>
              <w:widowControl w:val="0"/>
              <w:jc w:val="center"/>
              <w:rPr>
                <w:rFonts w:ascii="Cambria" w:eastAsia="MS Gothic" w:hAnsi="Cambria"/>
                <w:sz w:val="20"/>
                <w:szCs w:val="20"/>
                <w:lang w:val="es-MX" w:eastAsia="fr-FR" w:bidi="fr-FR"/>
              </w:rPr>
            </w:pPr>
            <w:r w:rsidRPr="00316C09">
              <w:rPr>
                <w:rFonts w:ascii="Cambria" w:eastAsia="MS Gothic" w:hAnsi="Cambria"/>
                <w:sz w:val="20"/>
                <w:szCs w:val="20"/>
                <w:lang w:val="es-MX" w:eastAsia="fr-FR" w:bidi="fr-FR"/>
              </w:rPr>
              <w:t>TAC anual para 2026-2028: 171,34 t (México), utilizado única y exclusivamente para amparar las capturas incidentales.</w:t>
            </w:r>
          </w:p>
        </w:tc>
      </w:tr>
      <w:tr w:rsidR="00316C09" w:rsidRPr="00316C09" w14:paraId="6CE1D95D" w14:textId="77777777" w:rsidTr="00B23AAD">
        <w:trPr>
          <w:trHeight w:val="315"/>
        </w:trPr>
        <w:tc>
          <w:tcPr>
            <w:tcW w:w="2344" w:type="pct"/>
            <w:tcBorders>
              <w:right w:val="single" w:sz="4" w:space="0" w:color="auto"/>
            </w:tcBorders>
            <w:shd w:val="clear" w:color="auto" w:fill="BFBFBF"/>
            <w:noWrap/>
            <w:vAlign w:val="center"/>
          </w:tcPr>
          <w:p w14:paraId="65D1C723" w14:textId="77777777" w:rsidR="00316C09" w:rsidRPr="00316C09" w:rsidRDefault="00316C09" w:rsidP="00316C09">
            <w:pPr>
              <w:rPr>
                <w:rFonts w:ascii="Cambria" w:eastAsia="MS Gothic" w:hAnsi="Cambria"/>
                <w:b/>
                <w:bCs/>
                <w:color w:val="000000"/>
                <w:sz w:val="20"/>
                <w:szCs w:val="20"/>
                <w:lang w:val="es-MX" w:eastAsia="fr-FR" w:bidi="fr-FR"/>
              </w:rPr>
            </w:pPr>
            <w:r w:rsidRPr="00316C09">
              <w:rPr>
                <w:rFonts w:ascii="Cambria" w:eastAsia="MS Gothic" w:hAnsi="Cambria"/>
                <w:b/>
                <w:color w:val="000000"/>
                <w:sz w:val="20"/>
                <w:szCs w:val="20"/>
                <w:lang w:val="es-MX" w:eastAsia="fr-FR" w:bidi="fr-FR"/>
              </w:rPr>
              <w:t xml:space="preserve">Total </w:t>
            </w:r>
            <w:r w:rsidRPr="00316C09">
              <w:rPr>
                <w:rFonts w:ascii="Cambria" w:eastAsia="MS Gothic" w:hAnsi="Cambria"/>
                <w:b/>
                <w:sz w:val="20"/>
                <w:szCs w:val="20"/>
                <w:lang w:val="es-MX" w:eastAsia="fr-FR" w:bidi="fr-FR"/>
              </w:rPr>
              <w:t>(2026)</w:t>
            </w:r>
          </w:p>
        </w:tc>
        <w:tc>
          <w:tcPr>
            <w:tcW w:w="2656" w:type="pct"/>
            <w:tcBorders>
              <w:top w:val="single" w:sz="4" w:space="0" w:color="auto"/>
              <w:left w:val="single" w:sz="4" w:space="0" w:color="auto"/>
              <w:bottom w:val="single" w:sz="4" w:space="0" w:color="auto"/>
              <w:right w:val="single" w:sz="4" w:space="0" w:color="auto"/>
            </w:tcBorders>
            <w:shd w:val="clear" w:color="auto" w:fill="BFBFBF"/>
          </w:tcPr>
          <w:p w14:paraId="3BD170D1" w14:textId="77777777" w:rsidR="00316C09" w:rsidRPr="00316C09" w:rsidRDefault="00316C09" w:rsidP="00316C09">
            <w:pPr>
              <w:widowControl w:val="0"/>
              <w:jc w:val="right"/>
              <w:rPr>
                <w:rFonts w:ascii="Cambria" w:eastAsia="MS Gothic" w:hAnsi="Cambria"/>
                <w:b/>
                <w:color w:val="FF0000"/>
                <w:sz w:val="20"/>
                <w:szCs w:val="20"/>
                <w:lang w:val="es-MX" w:eastAsia="fr-FR" w:bidi="fr-FR"/>
              </w:rPr>
            </w:pPr>
            <w:r w:rsidRPr="00316C09">
              <w:rPr>
                <w:rFonts w:ascii="Cambria" w:eastAsia="MS Gothic" w:hAnsi="Cambria"/>
                <w:b/>
                <w:sz w:val="20"/>
                <w:szCs w:val="20"/>
                <w:lang w:val="es-MX" w:eastAsia="fr-FR" w:bidi="fr-FR"/>
              </w:rPr>
              <w:t>171,34 t</w:t>
            </w:r>
          </w:p>
        </w:tc>
      </w:tr>
      <w:tr w:rsidR="00316C09" w:rsidRPr="00316C09" w14:paraId="534F5FAE" w14:textId="77777777" w:rsidTr="00B23AAD">
        <w:trPr>
          <w:trHeight w:val="315"/>
        </w:trPr>
        <w:tc>
          <w:tcPr>
            <w:tcW w:w="2344" w:type="pct"/>
            <w:noWrap/>
            <w:vAlign w:val="center"/>
          </w:tcPr>
          <w:p w14:paraId="2F5CC404" w14:textId="77777777" w:rsidR="00316C09" w:rsidRPr="00316C09" w:rsidRDefault="00316C09" w:rsidP="00316C09">
            <w:pPr>
              <w:jc w:val="both"/>
              <w:rPr>
                <w:rFonts w:ascii="Cambria" w:eastAsia="MS Gothic" w:hAnsi="Cambria"/>
                <w:b/>
                <w:color w:val="000000"/>
                <w:sz w:val="20"/>
                <w:szCs w:val="20"/>
                <w:lang w:val="es-MX" w:eastAsia="fr-FR" w:bidi="fr-FR"/>
              </w:rPr>
            </w:pPr>
            <w:r w:rsidRPr="00316C09">
              <w:rPr>
                <w:rFonts w:ascii="Cambria" w:eastAsia="MS Gothic" w:hAnsi="Cambria"/>
                <w:color w:val="000000"/>
                <w:sz w:val="20"/>
                <w:szCs w:val="20"/>
                <w:lang w:val="es-MX" w:eastAsia="fr-FR" w:bidi="fr-FR"/>
              </w:rPr>
              <w:t xml:space="preserve">Cuota </w:t>
            </w:r>
          </w:p>
        </w:tc>
        <w:tc>
          <w:tcPr>
            <w:tcW w:w="2656" w:type="pct"/>
            <w:vAlign w:val="center"/>
          </w:tcPr>
          <w:p w14:paraId="14D8916B" w14:textId="77777777" w:rsidR="00316C09" w:rsidRPr="00316C09" w:rsidRDefault="00316C09" w:rsidP="00316C09">
            <w:pPr>
              <w:widowControl w:val="0"/>
              <w:jc w:val="right"/>
              <w:rPr>
                <w:rFonts w:ascii="Cambria" w:eastAsia="MS Gothic" w:hAnsi="Cambria"/>
                <w:b/>
                <w:color w:val="FF0000"/>
                <w:sz w:val="20"/>
                <w:szCs w:val="20"/>
                <w:lang w:val="es-MX" w:eastAsia="fr-FR" w:bidi="fr-FR"/>
              </w:rPr>
            </w:pPr>
            <w:r w:rsidRPr="00316C09">
              <w:rPr>
                <w:rFonts w:ascii="Cambria" w:eastAsia="MS Gothic" w:hAnsi="Cambria"/>
                <w:sz w:val="20"/>
                <w:szCs w:val="20"/>
                <w:lang w:val="es-MX" w:eastAsia="fr-FR" w:bidi="fr-FR"/>
              </w:rPr>
              <w:t>171,34 t</w:t>
            </w:r>
          </w:p>
        </w:tc>
      </w:tr>
      <w:tr w:rsidR="00316C09" w:rsidRPr="00316C09" w14:paraId="57EE682E" w14:textId="77777777" w:rsidTr="00B23AAD">
        <w:trPr>
          <w:trHeight w:val="315"/>
        </w:trPr>
        <w:tc>
          <w:tcPr>
            <w:tcW w:w="2344" w:type="pct"/>
            <w:noWrap/>
            <w:vAlign w:val="center"/>
          </w:tcPr>
          <w:p w14:paraId="27167DB0" w14:textId="77777777" w:rsidR="00316C09" w:rsidRPr="00316C09" w:rsidRDefault="00316C09" w:rsidP="00316C09">
            <w:pPr>
              <w:jc w:val="both"/>
              <w:rPr>
                <w:rFonts w:ascii="Cambria" w:eastAsia="MS Gothic" w:hAnsi="Cambria"/>
                <w:color w:val="000000"/>
                <w:sz w:val="20"/>
                <w:szCs w:val="20"/>
                <w:lang w:val="es-MX" w:eastAsia="fr-FR" w:bidi="fr-FR"/>
              </w:rPr>
            </w:pPr>
            <w:r w:rsidRPr="00316C09">
              <w:rPr>
                <w:rFonts w:ascii="Cambria" w:eastAsia="MS Gothic" w:hAnsi="Cambria"/>
                <w:color w:val="000000"/>
                <w:sz w:val="20"/>
                <w:szCs w:val="20"/>
                <w:lang w:val="es-MX" w:eastAsia="fr-FR" w:bidi="fr-FR"/>
              </w:rPr>
              <w:t>Cuota ajustada (si procede, incluyendo traspasos, exceso de captura y transferencias)</w:t>
            </w:r>
          </w:p>
        </w:tc>
        <w:tc>
          <w:tcPr>
            <w:tcW w:w="2656" w:type="pct"/>
            <w:vAlign w:val="center"/>
          </w:tcPr>
          <w:p w14:paraId="24E09CDC" w14:textId="77777777" w:rsidR="00316C09" w:rsidRPr="00316C09" w:rsidRDefault="00316C09" w:rsidP="00316C09">
            <w:pPr>
              <w:widowControl w:val="0"/>
              <w:jc w:val="right"/>
              <w:rPr>
                <w:rFonts w:ascii="Cambria" w:eastAsia="MS Gothic" w:hAnsi="Cambria"/>
                <w:color w:val="FF0000"/>
                <w:sz w:val="20"/>
                <w:szCs w:val="20"/>
                <w:lang w:val="es-MX" w:eastAsia="fr-FR" w:bidi="fr-FR"/>
              </w:rPr>
            </w:pPr>
            <w:r w:rsidRPr="00316C09">
              <w:rPr>
                <w:rFonts w:ascii="Cambria" w:eastAsia="MS Gothic" w:hAnsi="Cambria"/>
                <w:sz w:val="20"/>
                <w:szCs w:val="20"/>
                <w:lang w:val="es-MX" w:eastAsia="fr-FR" w:bidi="fr-FR"/>
              </w:rPr>
              <w:t>0 t</w:t>
            </w:r>
          </w:p>
        </w:tc>
      </w:tr>
      <w:tr w:rsidR="00316C09" w:rsidRPr="00316C09" w14:paraId="75F4CE15" w14:textId="77777777" w:rsidTr="00B23AAD">
        <w:trPr>
          <w:trHeight w:val="315"/>
        </w:trPr>
        <w:tc>
          <w:tcPr>
            <w:tcW w:w="2344" w:type="pct"/>
            <w:noWrap/>
            <w:vAlign w:val="center"/>
          </w:tcPr>
          <w:p w14:paraId="701F98C1" w14:textId="77777777" w:rsidR="00316C09" w:rsidRPr="00316C09" w:rsidRDefault="00316C09" w:rsidP="00316C09">
            <w:pPr>
              <w:jc w:val="both"/>
              <w:rPr>
                <w:rFonts w:ascii="Cambria" w:eastAsia="MS Gothic" w:hAnsi="Cambria"/>
                <w:b/>
                <w:color w:val="000000"/>
                <w:sz w:val="20"/>
                <w:szCs w:val="20"/>
                <w:lang w:val="es-MX" w:eastAsia="fr-FR" w:bidi="fr-FR"/>
              </w:rPr>
            </w:pPr>
            <w:r w:rsidRPr="00316C09">
              <w:rPr>
                <w:rFonts w:ascii="Cambria" w:eastAsia="MS Gothic" w:hAnsi="Cambria"/>
                <w:color w:val="000000"/>
                <w:sz w:val="20"/>
                <w:szCs w:val="20"/>
                <w:lang w:val="es-MX" w:eastAsia="fr-FR" w:bidi="fr-FR"/>
              </w:rPr>
              <w:t>Pesquería de recreo</w:t>
            </w:r>
          </w:p>
        </w:tc>
        <w:tc>
          <w:tcPr>
            <w:tcW w:w="2656" w:type="pct"/>
            <w:tcBorders>
              <w:right w:val="single" w:sz="4" w:space="0" w:color="auto"/>
            </w:tcBorders>
            <w:vAlign w:val="center"/>
          </w:tcPr>
          <w:p w14:paraId="07342179" w14:textId="77777777" w:rsidR="00316C09" w:rsidRPr="00316C09" w:rsidRDefault="00316C09" w:rsidP="00316C09">
            <w:pPr>
              <w:widowControl w:val="0"/>
              <w:jc w:val="right"/>
              <w:rPr>
                <w:rFonts w:ascii="Cambria" w:eastAsia="MS Gothic" w:hAnsi="Cambria"/>
                <w:color w:val="FF0000"/>
                <w:sz w:val="20"/>
                <w:szCs w:val="20"/>
                <w:lang w:val="es-MX" w:eastAsia="fr-FR" w:bidi="fr-FR"/>
              </w:rPr>
            </w:pPr>
            <w:r w:rsidRPr="00316C09">
              <w:rPr>
                <w:rFonts w:ascii="Cambria" w:eastAsia="MS Gothic" w:hAnsi="Cambria"/>
                <w:sz w:val="20"/>
                <w:szCs w:val="20"/>
                <w:lang w:val="es-MX" w:eastAsia="fr-FR" w:bidi="fr-FR"/>
              </w:rPr>
              <w:t>0 t</w:t>
            </w:r>
          </w:p>
        </w:tc>
      </w:tr>
      <w:tr w:rsidR="00316C09" w:rsidRPr="00316C09" w14:paraId="4E8EE402" w14:textId="77777777" w:rsidTr="00B23AAD">
        <w:trPr>
          <w:trHeight w:val="315"/>
        </w:trPr>
        <w:tc>
          <w:tcPr>
            <w:tcW w:w="2344" w:type="pct"/>
            <w:noWrap/>
            <w:vAlign w:val="center"/>
          </w:tcPr>
          <w:p w14:paraId="4B93057F" w14:textId="77777777" w:rsidR="00316C09" w:rsidRPr="00316C09" w:rsidRDefault="00316C09" w:rsidP="00316C09">
            <w:pPr>
              <w:jc w:val="both"/>
              <w:rPr>
                <w:rFonts w:ascii="Cambria" w:eastAsia="MS Gothic" w:hAnsi="Cambria"/>
                <w:b/>
                <w:color w:val="000000"/>
                <w:sz w:val="20"/>
                <w:szCs w:val="20"/>
                <w:lang w:val="es-MX" w:eastAsia="fr-FR" w:bidi="fr-FR"/>
              </w:rPr>
            </w:pPr>
            <w:r w:rsidRPr="00316C09">
              <w:rPr>
                <w:rFonts w:ascii="Cambria" w:eastAsia="MS Gothic" w:hAnsi="Cambria"/>
                <w:color w:val="000000"/>
                <w:sz w:val="20"/>
                <w:szCs w:val="20"/>
                <w:lang w:val="es-MX" w:eastAsia="fr-FR" w:bidi="fr-FR"/>
              </w:rPr>
              <w:t>Reserva para capturas fortuitas (si la hay)</w:t>
            </w:r>
          </w:p>
        </w:tc>
        <w:tc>
          <w:tcPr>
            <w:tcW w:w="2656" w:type="pct"/>
            <w:tcBorders>
              <w:top w:val="single" w:sz="4" w:space="0" w:color="auto"/>
              <w:right w:val="single" w:sz="4" w:space="0" w:color="auto"/>
            </w:tcBorders>
            <w:vAlign w:val="center"/>
          </w:tcPr>
          <w:p w14:paraId="6246BB5E" w14:textId="77777777" w:rsidR="00316C09" w:rsidRPr="00316C09" w:rsidRDefault="00316C09" w:rsidP="00316C09">
            <w:pPr>
              <w:widowControl w:val="0"/>
              <w:jc w:val="right"/>
              <w:rPr>
                <w:rFonts w:ascii="Cambria" w:eastAsia="MS Gothic" w:hAnsi="Cambria"/>
                <w:color w:val="FF0000"/>
                <w:sz w:val="20"/>
                <w:szCs w:val="20"/>
                <w:lang w:val="es-MX" w:eastAsia="fr-FR" w:bidi="fr-FR"/>
              </w:rPr>
            </w:pPr>
            <w:r w:rsidRPr="00316C09">
              <w:rPr>
                <w:rFonts w:ascii="Cambria" w:eastAsia="MS Gothic" w:hAnsi="Cambria"/>
                <w:sz w:val="20"/>
                <w:szCs w:val="20"/>
                <w:lang w:val="es-MX" w:eastAsia="fr-FR" w:bidi="fr-FR"/>
              </w:rPr>
              <w:t>0 t</w:t>
            </w:r>
          </w:p>
        </w:tc>
      </w:tr>
    </w:tbl>
    <w:p w14:paraId="1C7DA4C0" w14:textId="77777777" w:rsidR="00C52DC0" w:rsidRPr="00666921" w:rsidRDefault="00C52DC0" w:rsidP="00C52DC0">
      <w:pPr>
        <w:widowControl w:val="0"/>
        <w:jc w:val="both"/>
        <w:rPr>
          <w:rFonts w:ascii="Cambria" w:eastAsia="MS Gothic" w:hAnsi="Cambria"/>
          <w:sz w:val="20"/>
          <w:szCs w:val="20"/>
          <w:lang w:eastAsia="fr-FR" w:bidi="fr-FR"/>
        </w:rPr>
      </w:pPr>
      <w:r w:rsidRPr="00666921">
        <w:rPr>
          <w:rFonts w:ascii="Cambria" w:eastAsia="MS Gothic" w:hAnsi="Cambria"/>
          <w:b/>
          <w:i/>
          <w:sz w:val="20"/>
          <w:lang w:eastAsia="fr-FR" w:bidi="fr-FR"/>
        </w:rPr>
        <w:t>1 b) Cuotas de flota para todos los sectores (párrafo 3)</w:t>
      </w:r>
    </w:p>
    <w:p w14:paraId="5ACDF8EA" w14:textId="77777777" w:rsidR="00316C09" w:rsidRPr="00C52DC0" w:rsidRDefault="00316C09" w:rsidP="00316C09">
      <w:pPr>
        <w:widowControl w:val="0"/>
        <w:jc w:val="both"/>
        <w:rPr>
          <w:rFonts w:ascii="Cambria" w:eastAsia="MS Gothic" w:hAnsi="Cambria"/>
          <w:b/>
          <w:bCs/>
          <w:i/>
          <w:iCs/>
          <w:sz w:val="20"/>
          <w:szCs w:val="20"/>
          <w:lang w:eastAsia="fr-FR" w:bidi="fr-FR"/>
        </w:rPr>
      </w:pPr>
    </w:p>
    <w:p w14:paraId="10E883F9" w14:textId="77777777" w:rsidR="00316C09" w:rsidRPr="00316C09" w:rsidRDefault="00316C09" w:rsidP="00316C09">
      <w:pPr>
        <w:widowControl w:val="0"/>
        <w:jc w:val="both"/>
        <w:rPr>
          <w:rFonts w:ascii="Cambria" w:eastAsia="MS Gothic" w:hAnsi="Cambria"/>
          <w:b/>
          <w:i/>
          <w:sz w:val="20"/>
          <w:szCs w:val="20"/>
          <w:lang w:val="es-MX" w:eastAsia="fr-FR" w:bidi="fr-FR"/>
        </w:rPr>
      </w:pPr>
      <w:r w:rsidRPr="00316C09">
        <w:rPr>
          <w:rFonts w:ascii="Cambria" w:eastAsia="MS Gothic" w:hAnsi="Cambria"/>
          <w:b/>
          <w:i/>
          <w:sz w:val="20"/>
          <w:szCs w:val="20"/>
          <w:lang w:val="es-MX" w:eastAsia="fr-FR" w:bidi="fr-FR"/>
        </w:rPr>
        <w:t>1 c) Método utilizado para asignar y gestionar dichas cuotas (párr. 3)</w:t>
      </w:r>
    </w:p>
    <w:p w14:paraId="431BB3F6" w14:textId="77777777" w:rsidR="00316C09" w:rsidRPr="00316C09" w:rsidRDefault="00316C09" w:rsidP="00316C09">
      <w:pPr>
        <w:widowControl w:val="0"/>
        <w:jc w:val="both"/>
        <w:rPr>
          <w:rFonts w:ascii="Cambria" w:eastAsia="MS Gothic" w:hAnsi="Cambria"/>
          <w:sz w:val="20"/>
          <w:szCs w:val="20"/>
          <w:lang w:val="es-MX" w:eastAsia="fr-FR" w:bidi="fr-FR"/>
        </w:rPr>
      </w:pPr>
    </w:p>
    <w:p w14:paraId="18D3B4CE" w14:textId="77777777" w:rsidR="00316C09" w:rsidRPr="00316C09" w:rsidRDefault="00316C09" w:rsidP="00316C09">
      <w:pPr>
        <w:widowControl w:val="0"/>
        <w:jc w:val="both"/>
        <w:rPr>
          <w:rFonts w:ascii="Cambria" w:eastAsia="MS Gothic" w:hAnsi="Cambria"/>
          <w:sz w:val="20"/>
          <w:szCs w:val="20"/>
          <w:lang w:val="es-MX" w:eastAsia="fr-FR" w:bidi="fr-FR"/>
        </w:rPr>
      </w:pPr>
      <w:r w:rsidRPr="00316C09">
        <w:rPr>
          <w:rFonts w:ascii="Cambria" w:eastAsia="MS Gothic" w:hAnsi="Cambria"/>
          <w:sz w:val="20"/>
          <w:szCs w:val="20"/>
          <w:lang w:val="es-MX" w:eastAsia="fr-FR" w:bidi="fr-FR"/>
        </w:rPr>
        <w:t>México lleva a cabo el monitoreo de las capturas y del esfuerzo pesquero de la flota palangrera en el Golfo de México. La gestión de las capturas incidentales de atún rojo se encuentra establecida en la NORMA Oficial Mexicana NOM-023-SAG/PESC-2014, Que regula el aprovechamiento de las especies de túnidos con embarcaciones palangreras en aguas de jurisdicción federal del Golfo de México y Mar Caribe”, y en la cual establece que, para cada embarcación, la tasa anual de captura incidental de atún rojo del Atlántico occidental (</w:t>
      </w:r>
      <w:r w:rsidRPr="00316C09">
        <w:rPr>
          <w:rFonts w:ascii="Cambria" w:eastAsia="MS Gothic" w:hAnsi="Cambria"/>
          <w:i/>
          <w:sz w:val="20"/>
          <w:szCs w:val="20"/>
          <w:lang w:val="es-MX" w:eastAsia="fr-FR" w:bidi="fr-FR"/>
        </w:rPr>
        <w:t>Thunnus thynnus</w:t>
      </w:r>
      <w:r w:rsidRPr="00316C09">
        <w:rPr>
          <w:rFonts w:ascii="Cambria" w:eastAsia="MS Gothic" w:hAnsi="Cambria"/>
          <w:sz w:val="20"/>
          <w:szCs w:val="20"/>
          <w:lang w:val="es-MX" w:eastAsia="fr-FR" w:bidi="fr-FR"/>
        </w:rPr>
        <w:t>), marlín (de los géneros Makaira y Tetrapturus), pez espada (</w:t>
      </w:r>
      <w:r w:rsidRPr="00316C09">
        <w:rPr>
          <w:rFonts w:ascii="Cambria" w:eastAsia="MS Gothic" w:hAnsi="Cambria"/>
          <w:i/>
          <w:sz w:val="20"/>
          <w:szCs w:val="20"/>
          <w:lang w:val="es-MX" w:eastAsia="fr-FR" w:bidi="fr-FR"/>
        </w:rPr>
        <w:t>Xiphias gladius</w:t>
      </w:r>
      <w:r w:rsidRPr="00316C09">
        <w:rPr>
          <w:rFonts w:ascii="Cambria" w:eastAsia="MS Gothic" w:hAnsi="Cambria"/>
          <w:sz w:val="20"/>
          <w:szCs w:val="20"/>
          <w:lang w:val="es-MX" w:eastAsia="fr-FR" w:bidi="fr-FR"/>
        </w:rPr>
        <w:t>), pez vela (</w:t>
      </w:r>
      <w:r w:rsidRPr="00316C09">
        <w:rPr>
          <w:rFonts w:ascii="Cambria" w:eastAsia="MS Gothic" w:hAnsi="Cambria"/>
          <w:i/>
          <w:sz w:val="20"/>
          <w:szCs w:val="20"/>
          <w:lang w:val="es-MX" w:eastAsia="fr-FR" w:bidi="fr-FR"/>
        </w:rPr>
        <w:t>Istiophorus albicans</w:t>
      </w:r>
      <w:r w:rsidRPr="00316C09">
        <w:rPr>
          <w:rFonts w:ascii="Cambria" w:eastAsia="MS Gothic" w:hAnsi="Cambria"/>
          <w:sz w:val="20"/>
          <w:szCs w:val="20"/>
          <w:lang w:val="es-MX" w:eastAsia="fr-FR" w:bidi="fr-FR"/>
        </w:rPr>
        <w:t>) y tiburones, en conjunto, no debe ser mayor del 20% de su captura nominal (captura total que incluye los peces liberados vivos), obtenida durante un año calendario. Para llevar a cabo el monitoreo y la gestión de la pesquería se utiliza como fuente principal de información el programa de observadores a bordo, quienes proveen la información obtenida en cada uno de los viajes de pesca, con una cobertura es el 100% de observadores a bordo. Además, se recopila número de ejemplares, peso, talla, condición de liberación, posiciones (latitud y longitud) y esfuerzo.</w:t>
      </w:r>
    </w:p>
    <w:p w14:paraId="0CCC091F" w14:textId="77777777" w:rsidR="00316C09" w:rsidRPr="00316C09" w:rsidRDefault="00316C09" w:rsidP="00316C09">
      <w:pPr>
        <w:spacing w:after="160" w:line="259" w:lineRule="auto"/>
        <w:rPr>
          <w:rFonts w:ascii="Cambria" w:eastAsia="MS Gothic" w:hAnsi="Cambria"/>
          <w:sz w:val="20"/>
          <w:szCs w:val="20"/>
          <w:lang w:val="es-MX" w:eastAsia="fr-FR" w:bidi="fr-FR"/>
        </w:rPr>
      </w:pPr>
      <w:r w:rsidRPr="00316C09">
        <w:rPr>
          <w:rFonts w:ascii="Cambria" w:eastAsia="MS Gothic" w:hAnsi="Cambria"/>
          <w:sz w:val="20"/>
          <w:szCs w:val="20"/>
          <w:lang w:val="es-MX" w:eastAsia="fr-FR" w:bidi="fr-FR"/>
        </w:rPr>
        <w:br w:type="page"/>
      </w:r>
    </w:p>
    <w:p w14:paraId="0A86AC47" w14:textId="77777777" w:rsidR="00316C09" w:rsidRPr="00316C09" w:rsidRDefault="00316C09" w:rsidP="00316C09">
      <w:pPr>
        <w:widowControl w:val="0"/>
        <w:jc w:val="both"/>
        <w:rPr>
          <w:rFonts w:ascii="Cambria" w:eastAsia="MS Gothic" w:hAnsi="Cambria"/>
          <w:b/>
          <w:bCs/>
          <w:i/>
          <w:iCs/>
          <w:sz w:val="20"/>
          <w:szCs w:val="20"/>
          <w:lang w:val="es-MX" w:eastAsia="fr-FR" w:bidi="fr-FR"/>
        </w:rPr>
      </w:pPr>
      <w:r w:rsidRPr="00316C09">
        <w:rPr>
          <w:rFonts w:ascii="Cambria" w:eastAsia="MS Gothic" w:hAnsi="Cambria"/>
          <w:b/>
          <w:i/>
          <w:sz w:val="20"/>
          <w:szCs w:val="20"/>
          <w:lang w:val="es-MX" w:eastAsia="fr-FR" w:bidi="fr-FR"/>
        </w:rPr>
        <w:lastRenderedPageBreak/>
        <w:t>1 d) Ajuste en caso de exceso o de remanente de captura (párr. 8)</w:t>
      </w:r>
    </w:p>
    <w:p w14:paraId="6B8BD43E" w14:textId="77777777" w:rsidR="00316C09" w:rsidRPr="00316C09" w:rsidRDefault="00316C09" w:rsidP="00316C09">
      <w:pPr>
        <w:widowControl w:val="0"/>
        <w:jc w:val="both"/>
        <w:rPr>
          <w:rFonts w:ascii="Cambria" w:eastAsia="MS Gothic" w:hAnsi="Cambria"/>
          <w:sz w:val="20"/>
          <w:szCs w:val="20"/>
          <w:lang w:val="es-MX" w:eastAsia="fr-FR" w:bidi="fr-FR"/>
        </w:rPr>
      </w:pPr>
    </w:p>
    <w:p w14:paraId="6E5A2E0E" w14:textId="77777777" w:rsidR="00316C09" w:rsidRPr="00316C09" w:rsidRDefault="00316C09" w:rsidP="00316C09">
      <w:pPr>
        <w:widowControl w:val="0"/>
        <w:jc w:val="both"/>
        <w:rPr>
          <w:rFonts w:ascii="Cambria" w:eastAsia="MS Gothic" w:hAnsi="Cambria"/>
          <w:sz w:val="20"/>
          <w:szCs w:val="20"/>
          <w:lang w:val="es-MX" w:eastAsia="fr-FR" w:bidi="fr-FR"/>
        </w:rPr>
      </w:pPr>
      <w:r w:rsidRPr="00316C09">
        <w:rPr>
          <w:rFonts w:ascii="Cambria" w:eastAsia="MS Gothic" w:hAnsi="Cambria"/>
          <w:sz w:val="20"/>
          <w:szCs w:val="20"/>
          <w:lang w:val="es-MX" w:eastAsia="fr-FR" w:bidi="fr-FR"/>
        </w:rPr>
        <w:t xml:space="preserve">No se registraron excesos de captura. Los ajustes correspondientes a los remanentes de captura y, cuando procedió, las transferencias a </w:t>
      </w:r>
      <w:proofErr w:type="gramStart"/>
      <w:r w:rsidRPr="00316C09">
        <w:rPr>
          <w:rFonts w:ascii="Cambria" w:eastAsia="MS Gothic" w:hAnsi="Cambria"/>
          <w:sz w:val="20"/>
          <w:szCs w:val="20"/>
          <w:lang w:val="es-MX" w:eastAsia="fr-FR" w:bidi="fr-FR"/>
        </w:rPr>
        <w:t>Canadá,</w:t>
      </w:r>
      <w:proofErr w:type="gramEnd"/>
      <w:r w:rsidRPr="00316C09">
        <w:rPr>
          <w:rFonts w:ascii="Cambria" w:eastAsia="MS Gothic" w:hAnsi="Cambria"/>
          <w:sz w:val="20"/>
          <w:szCs w:val="20"/>
          <w:lang w:val="es-MX" w:eastAsia="fr-FR" w:bidi="fr-FR"/>
        </w:rPr>
        <w:t xml:space="preserve"> fueron calculados de conformidad con las Recomendaciones de ICCAT aplicables en cada periodo. Las tablas de cumplimiento y de cálculo de los límites ajustados fueron remitidas a la Comisión junto con la información pertinente.</w:t>
      </w:r>
    </w:p>
    <w:p w14:paraId="14A5BFB5" w14:textId="77777777" w:rsidR="00316C09" w:rsidRPr="00316C09" w:rsidRDefault="00316C09" w:rsidP="00316C09">
      <w:pPr>
        <w:widowControl w:val="0"/>
        <w:jc w:val="both"/>
        <w:rPr>
          <w:rFonts w:ascii="Cambria" w:eastAsia="MS Gothic" w:hAnsi="Cambria"/>
          <w:i/>
          <w:iCs/>
          <w:sz w:val="20"/>
          <w:szCs w:val="20"/>
          <w:lang w:val="es-MX" w:eastAsia="fr-FR" w:bidi="fr-FR"/>
        </w:rPr>
      </w:pPr>
    </w:p>
    <w:p w14:paraId="35B83688" w14:textId="77777777" w:rsidR="00316C09" w:rsidRPr="00316C09" w:rsidRDefault="00316C09" w:rsidP="00316C09">
      <w:pPr>
        <w:widowControl w:val="0"/>
        <w:jc w:val="both"/>
        <w:rPr>
          <w:rFonts w:ascii="Cambria" w:eastAsia="MS Gothic" w:hAnsi="Cambria"/>
          <w:i/>
          <w:iCs/>
          <w:sz w:val="20"/>
          <w:szCs w:val="20"/>
          <w:lang w:val="es-MX" w:eastAsia="fr-FR" w:bidi="fr-FR"/>
        </w:rPr>
      </w:pPr>
    </w:p>
    <w:p w14:paraId="7710C696" w14:textId="77777777" w:rsidR="00316C09" w:rsidRPr="00316C09" w:rsidRDefault="00316C09" w:rsidP="00316C09">
      <w:pPr>
        <w:widowControl w:val="0"/>
        <w:tabs>
          <w:tab w:val="left" w:pos="426"/>
        </w:tabs>
        <w:ind w:left="426" w:hanging="426"/>
        <w:jc w:val="both"/>
        <w:rPr>
          <w:rFonts w:ascii="Cambria" w:eastAsia="MS Gothic" w:hAnsi="Cambria"/>
          <w:b/>
          <w:sz w:val="20"/>
          <w:szCs w:val="20"/>
          <w:lang w:val="es-MX" w:eastAsia="fr-FR" w:bidi="fr-FR"/>
        </w:rPr>
      </w:pPr>
      <w:r w:rsidRPr="00316C09">
        <w:rPr>
          <w:rFonts w:ascii="Cambria" w:eastAsia="MS Gothic" w:hAnsi="Cambria"/>
          <w:b/>
          <w:sz w:val="20"/>
          <w:szCs w:val="20"/>
          <w:lang w:val="es-MX" w:eastAsia="fr-FR" w:bidi="fr-FR"/>
        </w:rPr>
        <w:t>2.</w:t>
      </w:r>
      <w:r w:rsidRPr="00316C09">
        <w:rPr>
          <w:rFonts w:ascii="Cambria" w:eastAsia="MS Gothic" w:hAnsi="Cambria"/>
          <w:b/>
          <w:sz w:val="20"/>
          <w:szCs w:val="20"/>
          <w:lang w:val="es-MX" w:eastAsia="fr-FR" w:bidi="fr-FR"/>
        </w:rPr>
        <w:tab/>
        <w:t xml:space="preserve">Medidas de control de las pesquerías y de las capturas fortuitas </w:t>
      </w:r>
      <w:r w:rsidRPr="00316C09">
        <w:rPr>
          <w:rFonts w:ascii="Cambria" w:eastAsia="MS Gothic" w:hAnsi="Cambria"/>
          <w:b/>
          <w:iCs/>
          <w:sz w:val="20"/>
          <w:szCs w:val="20"/>
          <w:lang w:val="es-MX" w:eastAsia="fr-FR" w:bidi="fr-FR"/>
        </w:rPr>
        <w:t>(párr. 3)</w:t>
      </w:r>
    </w:p>
    <w:p w14:paraId="599F57C2" w14:textId="77777777" w:rsidR="00316C09" w:rsidRPr="00316C09" w:rsidRDefault="00316C09" w:rsidP="00316C09">
      <w:pPr>
        <w:widowControl w:val="0"/>
        <w:jc w:val="both"/>
        <w:rPr>
          <w:rFonts w:ascii="Cambria" w:eastAsia="MS Gothic" w:hAnsi="Cambria"/>
          <w:i/>
          <w:sz w:val="20"/>
          <w:szCs w:val="20"/>
          <w:lang w:val="es-MX" w:eastAsia="fr-FR" w:bidi="fr-FR"/>
        </w:rPr>
      </w:pPr>
    </w:p>
    <w:p w14:paraId="50F6A3A3" w14:textId="77777777" w:rsidR="00316C09" w:rsidRPr="00316C09" w:rsidRDefault="00316C09" w:rsidP="00316C09">
      <w:pPr>
        <w:rPr>
          <w:rFonts w:ascii="Cambria" w:eastAsia="MS Gothic" w:hAnsi="Cambria"/>
          <w:i/>
          <w:sz w:val="20"/>
          <w:szCs w:val="20"/>
          <w:lang w:val="es-MX" w:eastAsia="fr-FR" w:bidi="fr-FR"/>
        </w:rPr>
      </w:pPr>
    </w:p>
    <w:tbl>
      <w:tblPr>
        <w:tblStyle w:val="TableGrid"/>
        <w:tblpPr w:leftFromText="180" w:rightFromText="180" w:vertAnchor="text" w:tblpY="1"/>
        <w:tblOverlap w:val="never"/>
        <w:tblW w:w="0" w:type="auto"/>
        <w:tblLook w:val="04A0" w:firstRow="1" w:lastRow="0" w:firstColumn="1" w:lastColumn="0" w:noHBand="0" w:noVBand="1"/>
      </w:tblPr>
      <w:tblGrid>
        <w:gridCol w:w="506"/>
        <w:gridCol w:w="2575"/>
        <w:gridCol w:w="1949"/>
        <w:gridCol w:w="1941"/>
        <w:gridCol w:w="2089"/>
      </w:tblGrid>
      <w:tr w:rsidR="00316C09" w:rsidRPr="00316C09" w14:paraId="08909AFD" w14:textId="77777777" w:rsidTr="00B23AAD">
        <w:trPr>
          <w:tblHeader/>
        </w:trPr>
        <w:tc>
          <w:tcPr>
            <w:tcW w:w="507" w:type="dxa"/>
          </w:tcPr>
          <w:p w14:paraId="20F08F37" w14:textId="77777777" w:rsidR="00316C09" w:rsidRPr="00316C09" w:rsidRDefault="00316C09" w:rsidP="00316C09">
            <w:pPr>
              <w:widowControl w:val="0"/>
              <w:rPr>
                <w:rFonts w:ascii="Cambria" w:hAnsi="Cambria"/>
                <w:sz w:val="20"/>
                <w:szCs w:val="20"/>
                <w:lang w:val="es-MX" w:eastAsia="fr-FR"/>
              </w:rPr>
            </w:pPr>
          </w:p>
        </w:tc>
        <w:tc>
          <w:tcPr>
            <w:tcW w:w="2575" w:type="dxa"/>
            <w:vAlign w:val="center"/>
          </w:tcPr>
          <w:p w14:paraId="47B2F324" w14:textId="77777777" w:rsidR="00316C09" w:rsidRPr="00316C09" w:rsidRDefault="00316C09" w:rsidP="00316C09">
            <w:pPr>
              <w:widowControl w:val="0"/>
              <w:jc w:val="center"/>
              <w:rPr>
                <w:rFonts w:ascii="Cambria" w:hAnsi="Cambria"/>
                <w:i/>
                <w:sz w:val="20"/>
                <w:szCs w:val="20"/>
                <w:lang w:val="es-MX" w:eastAsia="fr-FR"/>
              </w:rPr>
            </w:pPr>
            <w:r w:rsidRPr="00316C09">
              <w:rPr>
                <w:rFonts w:ascii="Cambria" w:hAnsi="Cambria"/>
                <w:i/>
                <w:sz w:val="20"/>
                <w:szCs w:val="20"/>
                <w:lang w:val="es-MX" w:eastAsia="fr-FR"/>
              </w:rPr>
              <w:t xml:space="preserve">Requisito ICCAT </w:t>
            </w:r>
          </w:p>
          <w:p w14:paraId="372694D4" w14:textId="77777777" w:rsidR="00316C09" w:rsidRPr="00316C09" w:rsidRDefault="00316C09" w:rsidP="00316C09">
            <w:pPr>
              <w:widowControl w:val="0"/>
              <w:jc w:val="center"/>
              <w:rPr>
                <w:rFonts w:ascii="Cambria" w:hAnsi="Cambria"/>
                <w:i/>
                <w:sz w:val="20"/>
                <w:szCs w:val="20"/>
                <w:lang w:val="es-MX" w:eastAsia="fr-FR"/>
              </w:rPr>
            </w:pPr>
            <w:r w:rsidRPr="00316C09">
              <w:rPr>
                <w:rFonts w:ascii="Cambria" w:hAnsi="Cambria"/>
                <w:i/>
                <w:sz w:val="20"/>
                <w:szCs w:val="20"/>
                <w:lang w:val="es-MX" w:eastAsia="fr-FR"/>
              </w:rPr>
              <w:t xml:space="preserve">(según la </w:t>
            </w:r>
            <w:hyperlink r:id="rId19" w:history="1">
              <w:r w:rsidRPr="00316C09">
                <w:rPr>
                  <w:rFonts w:ascii="Cambria" w:hAnsi="Cambria"/>
                  <w:i/>
                  <w:color w:val="0563C1"/>
                  <w:sz w:val="20"/>
                  <w:szCs w:val="20"/>
                  <w:lang w:val="es-MX" w:eastAsia="fr-FR"/>
                </w:rPr>
                <w:t>Rec. 25-05</w:t>
              </w:r>
            </w:hyperlink>
            <w:r w:rsidRPr="00316C09">
              <w:rPr>
                <w:rFonts w:ascii="Cambria" w:hAnsi="Cambria"/>
                <w:i/>
                <w:sz w:val="20"/>
                <w:szCs w:val="20"/>
                <w:lang w:val="es-MX" w:eastAsia="fr-FR"/>
              </w:rPr>
              <w:t>)</w:t>
            </w:r>
          </w:p>
        </w:tc>
        <w:tc>
          <w:tcPr>
            <w:tcW w:w="1949" w:type="dxa"/>
            <w:vAlign w:val="center"/>
          </w:tcPr>
          <w:p w14:paraId="5E28604E" w14:textId="77777777" w:rsidR="00316C09" w:rsidRPr="00316C09" w:rsidRDefault="00316C09" w:rsidP="00316C09">
            <w:pPr>
              <w:widowControl w:val="0"/>
              <w:jc w:val="center"/>
              <w:rPr>
                <w:rFonts w:ascii="Cambria" w:hAnsi="Cambria"/>
                <w:i/>
                <w:sz w:val="20"/>
                <w:szCs w:val="20"/>
                <w:lang w:val="es-MX" w:eastAsia="fr-FR"/>
              </w:rPr>
            </w:pPr>
            <w:r w:rsidRPr="00316C09">
              <w:rPr>
                <w:rFonts w:ascii="Cambria" w:hAnsi="Cambria"/>
                <w:i/>
                <w:sz w:val="20"/>
                <w:szCs w:val="20"/>
                <w:lang w:val="es-MX" w:eastAsia="fr-FR"/>
              </w:rPr>
              <w:t>Explicación de las acciones emprendidas por la CPC con fines de implementación</w:t>
            </w:r>
          </w:p>
        </w:tc>
        <w:tc>
          <w:tcPr>
            <w:tcW w:w="1941" w:type="dxa"/>
            <w:vAlign w:val="center"/>
          </w:tcPr>
          <w:p w14:paraId="4E0381A1" w14:textId="77777777" w:rsidR="00316C09" w:rsidRPr="00316C09" w:rsidRDefault="00316C09" w:rsidP="00316C09">
            <w:pPr>
              <w:widowControl w:val="0"/>
              <w:jc w:val="center"/>
              <w:rPr>
                <w:rFonts w:ascii="Cambria" w:hAnsi="Cambria"/>
                <w:i/>
                <w:sz w:val="20"/>
                <w:szCs w:val="20"/>
                <w:lang w:val="es-MX" w:eastAsia="fr-FR"/>
              </w:rPr>
            </w:pPr>
            <w:r w:rsidRPr="00316C09">
              <w:rPr>
                <w:rFonts w:ascii="Cambria" w:hAnsi="Cambria"/>
                <w:i/>
                <w:sz w:val="20"/>
                <w:szCs w:val="20"/>
                <w:lang w:val="es-MX" w:eastAsia="fr-FR"/>
              </w:rPr>
              <w:t>Leyes o reglamentos internos pertinentes (si procede)</w:t>
            </w:r>
          </w:p>
        </w:tc>
        <w:tc>
          <w:tcPr>
            <w:tcW w:w="2089" w:type="dxa"/>
            <w:vAlign w:val="center"/>
          </w:tcPr>
          <w:p w14:paraId="7790C98A" w14:textId="77777777" w:rsidR="00316C09" w:rsidRPr="00316C09" w:rsidRDefault="00316C09" w:rsidP="00316C09">
            <w:pPr>
              <w:widowControl w:val="0"/>
              <w:jc w:val="center"/>
              <w:rPr>
                <w:rFonts w:ascii="Cambria" w:hAnsi="Cambria"/>
                <w:i/>
                <w:sz w:val="20"/>
                <w:szCs w:val="20"/>
                <w:lang w:val="es-MX" w:eastAsia="fr-FR"/>
              </w:rPr>
            </w:pPr>
            <w:r w:rsidRPr="00316C09">
              <w:rPr>
                <w:rFonts w:ascii="Cambria" w:hAnsi="Cambria"/>
                <w:i/>
                <w:sz w:val="20"/>
                <w:szCs w:val="20"/>
                <w:lang w:val="es-MX" w:eastAsia="fr-FR"/>
              </w:rPr>
              <w:t>Notas</w:t>
            </w:r>
          </w:p>
        </w:tc>
      </w:tr>
      <w:tr w:rsidR="00316C09" w:rsidRPr="00316C09" w14:paraId="516965E9" w14:textId="77777777" w:rsidTr="00B23AAD">
        <w:tc>
          <w:tcPr>
            <w:tcW w:w="507" w:type="dxa"/>
          </w:tcPr>
          <w:p w14:paraId="2E968619" w14:textId="77777777" w:rsidR="00316C09" w:rsidRPr="00316C09" w:rsidRDefault="00316C09" w:rsidP="00316C09">
            <w:pPr>
              <w:widowControl w:val="0"/>
              <w:rPr>
                <w:rFonts w:ascii="Cambria" w:hAnsi="Cambria"/>
                <w:b/>
                <w:sz w:val="20"/>
                <w:szCs w:val="20"/>
                <w:lang w:val="es-MX" w:eastAsia="fr-FR"/>
              </w:rPr>
            </w:pPr>
            <w:r w:rsidRPr="00316C09">
              <w:rPr>
                <w:rFonts w:ascii="Cambria" w:hAnsi="Cambria"/>
                <w:b/>
                <w:sz w:val="20"/>
                <w:szCs w:val="20"/>
                <w:lang w:val="es-MX" w:eastAsia="fr-FR"/>
              </w:rPr>
              <w:t>1</w:t>
            </w:r>
          </w:p>
        </w:tc>
        <w:tc>
          <w:tcPr>
            <w:tcW w:w="2575" w:type="dxa"/>
          </w:tcPr>
          <w:p w14:paraId="5FA32AAC" w14:textId="77777777" w:rsidR="00316C09" w:rsidRPr="00316C09" w:rsidDel="00C371CA" w:rsidRDefault="00316C09" w:rsidP="00316C09">
            <w:pPr>
              <w:widowControl w:val="0"/>
              <w:rPr>
                <w:rFonts w:ascii="Cambria" w:hAnsi="Cambria"/>
                <w:b/>
                <w:sz w:val="20"/>
                <w:szCs w:val="20"/>
                <w:lang w:val="es-MX" w:eastAsia="fr-FR"/>
              </w:rPr>
            </w:pPr>
            <w:r w:rsidRPr="00316C09">
              <w:rPr>
                <w:rFonts w:ascii="Cambria" w:hAnsi="Cambria"/>
                <w:b/>
                <w:sz w:val="20"/>
                <w:szCs w:val="20"/>
                <w:lang w:val="es-MX" w:eastAsia="fr-FR"/>
              </w:rPr>
              <w:t>Límites de capacidad y esfuerzo (párr. 2)</w:t>
            </w:r>
          </w:p>
        </w:tc>
        <w:tc>
          <w:tcPr>
            <w:tcW w:w="1949" w:type="dxa"/>
          </w:tcPr>
          <w:p w14:paraId="11A8EE2A" w14:textId="77777777" w:rsidR="00316C09" w:rsidRPr="00316C09" w:rsidRDefault="00316C09" w:rsidP="00316C09">
            <w:pPr>
              <w:widowControl w:val="0"/>
              <w:rPr>
                <w:rFonts w:ascii="Cambria" w:hAnsi="Cambria"/>
                <w:sz w:val="20"/>
                <w:szCs w:val="20"/>
                <w:lang w:val="es-MX" w:eastAsia="fr-FR"/>
              </w:rPr>
            </w:pPr>
            <w:r w:rsidRPr="00316C09">
              <w:rPr>
                <w:rFonts w:ascii="Cambria" w:hAnsi="Cambria"/>
                <w:sz w:val="20"/>
                <w:szCs w:val="20"/>
                <w:lang w:val="es-MX" w:eastAsia="fr-FR"/>
              </w:rPr>
              <w:t>Se establece un límite máximo permisible de 34 unidades de esfuerzo pesquero para la pesquería de túnidos con palangre en las aguas de jurisdicción federal del golfo de México y mar Caribe.</w:t>
            </w:r>
          </w:p>
          <w:p w14:paraId="18C58765" w14:textId="77777777" w:rsidR="00316C09" w:rsidRPr="00316C09" w:rsidRDefault="00316C09" w:rsidP="00316C09">
            <w:pPr>
              <w:widowControl w:val="0"/>
              <w:rPr>
                <w:rFonts w:ascii="Cambria" w:hAnsi="Cambria"/>
                <w:color w:val="FF0000"/>
                <w:sz w:val="20"/>
                <w:szCs w:val="20"/>
                <w:lang w:val="es-MX" w:eastAsia="fr-FR"/>
              </w:rPr>
            </w:pPr>
            <w:r w:rsidRPr="00316C09">
              <w:rPr>
                <w:rFonts w:ascii="Cambria" w:hAnsi="Cambria"/>
                <w:sz w:val="20"/>
                <w:szCs w:val="20"/>
                <w:lang w:val="es-MX" w:eastAsia="fr-FR"/>
              </w:rPr>
              <w:t>Esta cifra será revisada periódicamente con base en los resultados de la investigación científica y tecnológica sobre el desarrollo de la pesquería. El esfuerzo permisible se notificará mediante Acuerdo que será publicado en el Diario Oficial de la Federación.</w:t>
            </w:r>
          </w:p>
        </w:tc>
        <w:tc>
          <w:tcPr>
            <w:tcW w:w="1941" w:type="dxa"/>
          </w:tcPr>
          <w:p w14:paraId="6CE7E1C4" w14:textId="77777777" w:rsidR="00316C09" w:rsidRPr="00316C09" w:rsidRDefault="00316C09" w:rsidP="00316C09">
            <w:pPr>
              <w:widowControl w:val="0"/>
              <w:rPr>
                <w:rFonts w:ascii="Cambria" w:hAnsi="Cambria"/>
                <w:sz w:val="20"/>
                <w:szCs w:val="20"/>
                <w:lang w:val="es-MX" w:eastAsia="fr-FR"/>
              </w:rPr>
            </w:pPr>
            <w:r w:rsidRPr="00316C09">
              <w:rPr>
                <w:rFonts w:ascii="Cambria" w:hAnsi="Cambria"/>
                <w:sz w:val="20"/>
                <w:szCs w:val="20"/>
                <w:lang w:val="es-MX" w:eastAsia="fr-FR"/>
              </w:rPr>
              <w:t>NORMA Oficial Mexicana NOM-023-SAG/PESC-2014, que regula el aprovechamiento de las especies de túnidos con embarcaciones palangreras en aguas de jurisdicción federal del golfo de México y mar Caribe</w:t>
            </w:r>
            <w:r w:rsidRPr="00316C09">
              <w:rPr>
                <w:rFonts w:ascii="Cambria" w:hAnsi="Cambria"/>
                <w:sz w:val="20"/>
                <w:szCs w:val="20"/>
                <w:vertAlign w:val="superscript"/>
                <w:lang w:val="es-MX" w:eastAsia="fr-FR"/>
              </w:rPr>
              <w:footnoteReference w:id="2"/>
            </w:r>
          </w:p>
        </w:tc>
        <w:tc>
          <w:tcPr>
            <w:tcW w:w="2089" w:type="dxa"/>
          </w:tcPr>
          <w:p w14:paraId="16CCFF43" w14:textId="77777777" w:rsidR="00316C09" w:rsidRPr="00316C09" w:rsidRDefault="00316C09" w:rsidP="00316C09">
            <w:pPr>
              <w:widowControl w:val="0"/>
              <w:jc w:val="both"/>
              <w:rPr>
                <w:rFonts w:ascii="Cambria" w:hAnsi="Cambria"/>
                <w:sz w:val="20"/>
                <w:szCs w:val="20"/>
                <w:lang w:val="es-MX" w:eastAsia="fr-FR"/>
              </w:rPr>
            </w:pPr>
            <w:r w:rsidRPr="00316C09">
              <w:rPr>
                <w:rFonts w:ascii="Cambria" w:hAnsi="Cambria"/>
                <w:sz w:val="20"/>
                <w:szCs w:val="20"/>
                <w:lang w:val="es-MX" w:eastAsia="fr-FR"/>
              </w:rPr>
              <w:t>Ninguna</w:t>
            </w:r>
          </w:p>
        </w:tc>
      </w:tr>
      <w:tr w:rsidR="00316C09" w:rsidRPr="00316C09" w14:paraId="7B570A1D" w14:textId="77777777" w:rsidTr="00B23AAD">
        <w:tc>
          <w:tcPr>
            <w:tcW w:w="507" w:type="dxa"/>
          </w:tcPr>
          <w:p w14:paraId="53777ACD" w14:textId="77777777" w:rsidR="00316C09" w:rsidRPr="00316C09" w:rsidRDefault="00316C09" w:rsidP="00316C09">
            <w:pPr>
              <w:widowControl w:val="0"/>
              <w:rPr>
                <w:rFonts w:ascii="Cambria" w:hAnsi="Cambria"/>
                <w:b/>
                <w:sz w:val="20"/>
                <w:szCs w:val="20"/>
                <w:lang w:val="es-MX" w:eastAsia="fr-FR"/>
              </w:rPr>
            </w:pPr>
            <w:r w:rsidRPr="00316C09">
              <w:rPr>
                <w:rFonts w:ascii="Cambria" w:hAnsi="Cambria"/>
                <w:b/>
                <w:sz w:val="20"/>
                <w:szCs w:val="20"/>
                <w:lang w:val="es-MX" w:eastAsia="fr-FR"/>
              </w:rPr>
              <w:t>2</w:t>
            </w:r>
          </w:p>
        </w:tc>
        <w:tc>
          <w:tcPr>
            <w:tcW w:w="2575" w:type="dxa"/>
          </w:tcPr>
          <w:p w14:paraId="29AEFE8A" w14:textId="77777777" w:rsidR="00316C09" w:rsidRPr="00316C09" w:rsidRDefault="00316C09" w:rsidP="00316C09">
            <w:pPr>
              <w:widowControl w:val="0"/>
              <w:rPr>
                <w:rFonts w:ascii="Cambria" w:hAnsi="Cambria"/>
                <w:b/>
                <w:sz w:val="20"/>
                <w:szCs w:val="20"/>
                <w:lang w:val="es-MX" w:eastAsia="fr-FR"/>
              </w:rPr>
            </w:pPr>
            <w:r w:rsidRPr="00316C09">
              <w:rPr>
                <w:rFonts w:ascii="Cambria" w:hAnsi="Cambria"/>
                <w:b/>
                <w:sz w:val="20"/>
                <w:szCs w:val="20"/>
                <w:lang w:val="es-MX" w:eastAsia="fr-FR"/>
              </w:rPr>
              <w:t>Requisitos de datos y de comunicación de información</w:t>
            </w:r>
          </w:p>
          <w:p w14:paraId="3967B579" w14:textId="77777777" w:rsidR="00316C09" w:rsidRPr="00316C09" w:rsidRDefault="00316C09" w:rsidP="00316C09">
            <w:pPr>
              <w:widowControl w:val="0"/>
              <w:rPr>
                <w:rFonts w:ascii="Cambria" w:hAnsi="Cambria"/>
                <w:b/>
                <w:sz w:val="20"/>
                <w:szCs w:val="20"/>
                <w:lang w:val="es-MX" w:eastAsia="fr-FR"/>
              </w:rPr>
            </w:pPr>
            <w:r w:rsidRPr="00316C09">
              <w:rPr>
                <w:rFonts w:ascii="Cambria" w:hAnsi="Cambria"/>
                <w:b/>
                <w:sz w:val="20"/>
                <w:szCs w:val="20"/>
                <w:lang w:val="es-MX" w:eastAsia="fr-FR"/>
              </w:rPr>
              <w:t>(párrs. 18- 19, 21, 23)</w:t>
            </w:r>
          </w:p>
        </w:tc>
        <w:tc>
          <w:tcPr>
            <w:tcW w:w="1949" w:type="dxa"/>
          </w:tcPr>
          <w:p w14:paraId="5AA9A56B" w14:textId="77777777" w:rsidR="00316C09" w:rsidRPr="00316C09" w:rsidRDefault="00316C09" w:rsidP="00316C09">
            <w:pPr>
              <w:widowControl w:val="0"/>
              <w:rPr>
                <w:rFonts w:ascii="Cambria" w:hAnsi="Cambria"/>
                <w:sz w:val="20"/>
                <w:szCs w:val="20"/>
                <w:lang w:val="es-MX" w:eastAsia="fr-FR"/>
              </w:rPr>
            </w:pPr>
            <w:r w:rsidRPr="00316C09">
              <w:rPr>
                <w:rFonts w:ascii="Cambria" w:hAnsi="Cambria"/>
                <w:sz w:val="20"/>
                <w:szCs w:val="20"/>
                <w:lang w:val="es-MX" w:eastAsia="fr-FR"/>
              </w:rPr>
              <w:t xml:space="preserve">México realizará el seguimiento y la obtención de información de capturas desembarcadas, liberadas vivas y descartadas muertas, por lo que se cuenta con un sistema de recopilación de datos a través del </w:t>
            </w:r>
            <w:r w:rsidRPr="00316C09">
              <w:rPr>
                <w:rFonts w:ascii="Cambria" w:hAnsi="Cambria"/>
                <w:sz w:val="20"/>
                <w:szCs w:val="20"/>
                <w:lang w:val="es-MX" w:eastAsia="fr-FR"/>
              </w:rPr>
              <w:lastRenderedPageBreak/>
              <w:t>programa de observadores a bordo. Además, se lleva a cabo la notificación mensual de capturas de atún rojo. Por otra parte se documenta que se provee a la Secretaría de la mejor evidencia científica disponible para contribuir a la evaluación del stock, particularmente en la elaboración de los índices de abundancia combinados, entre México y Estados Unidos en el golfo de México.</w:t>
            </w:r>
          </w:p>
        </w:tc>
        <w:tc>
          <w:tcPr>
            <w:tcW w:w="1941" w:type="dxa"/>
          </w:tcPr>
          <w:p w14:paraId="393BD822" w14:textId="77777777" w:rsidR="00316C09" w:rsidRPr="00316C09" w:rsidRDefault="00316C09" w:rsidP="00316C09">
            <w:pPr>
              <w:widowControl w:val="0"/>
              <w:rPr>
                <w:rFonts w:ascii="Cambria" w:hAnsi="Cambria"/>
                <w:sz w:val="20"/>
                <w:szCs w:val="20"/>
                <w:lang w:val="es-MX" w:eastAsia="fr-FR"/>
              </w:rPr>
            </w:pPr>
            <w:r w:rsidRPr="00316C09">
              <w:rPr>
                <w:rFonts w:ascii="Cambria" w:hAnsi="Cambria"/>
                <w:sz w:val="20"/>
                <w:szCs w:val="20"/>
                <w:lang w:val="es-MX" w:eastAsia="fr-FR"/>
              </w:rPr>
              <w:lastRenderedPageBreak/>
              <w:t>NORMA Oficial Mexicana NOM-023-SAG/PESC-2014, que regula el aprovechamiento de las especies de túnidos con embarcaciones palangreras en aguas de jurisdicción federal del golfo de México y mar Caribe</w:t>
            </w:r>
          </w:p>
          <w:p w14:paraId="47DF5729" w14:textId="77777777" w:rsidR="00316C09" w:rsidRPr="00316C09" w:rsidRDefault="00316C09" w:rsidP="00316C09">
            <w:pPr>
              <w:widowControl w:val="0"/>
              <w:rPr>
                <w:rFonts w:ascii="Cambria" w:hAnsi="Cambria"/>
                <w:sz w:val="20"/>
                <w:szCs w:val="20"/>
                <w:lang w:val="es-MX" w:eastAsia="fr-FR"/>
              </w:rPr>
            </w:pPr>
          </w:p>
        </w:tc>
        <w:tc>
          <w:tcPr>
            <w:tcW w:w="2089" w:type="dxa"/>
            <w:vAlign w:val="center"/>
          </w:tcPr>
          <w:p w14:paraId="5E1F8C52" w14:textId="77777777" w:rsidR="00316C09" w:rsidRPr="00316C09" w:rsidRDefault="00316C09" w:rsidP="00316C09">
            <w:pPr>
              <w:widowControl w:val="0"/>
              <w:jc w:val="center"/>
              <w:rPr>
                <w:rFonts w:ascii="Cambria" w:hAnsi="Cambria"/>
                <w:sz w:val="20"/>
                <w:szCs w:val="20"/>
                <w:lang w:val="es-MX" w:eastAsia="fr-FR"/>
              </w:rPr>
            </w:pPr>
          </w:p>
        </w:tc>
      </w:tr>
      <w:tr w:rsidR="00316C09" w:rsidRPr="00316C09" w14:paraId="4F5EEAB1" w14:textId="77777777" w:rsidTr="00B23AAD">
        <w:tc>
          <w:tcPr>
            <w:tcW w:w="507" w:type="dxa"/>
          </w:tcPr>
          <w:p w14:paraId="552C030E" w14:textId="77777777" w:rsidR="00316C09" w:rsidRPr="00316C09" w:rsidRDefault="00316C09" w:rsidP="00316C09">
            <w:pPr>
              <w:widowControl w:val="0"/>
              <w:rPr>
                <w:rFonts w:ascii="Cambria" w:hAnsi="Cambria"/>
                <w:b/>
                <w:sz w:val="20"/>
                <w:szCs w:val="20"/>
                <w:lang w:val="es-MX" w:eastAsia="fr-FR"/>
              </w:rPr>
            </w:pPr>
            <w:r w:rsidRPr="00316C09">
              <w:rPr>
                <w:rFonts w:ascii="Cambria" w:hAnsi="Cambria"/>
                <w:b/>
                <w:sz w:val="20"/>
                <w:szCs w:val="20"/>
                <w:lang w:val="es-MX" w:eastAsia="fr-FR"/>
              </w:rPr>
              <w:t>3</w:t>
            </w:r>
          </w:p>
        </w:tc>
        <w:tc>
          <w:tcPr>
            <w:tcW w:w="2575" w:type="dxa"/>
          </w:tcPr>
          <w:p w14:paraId="147E0821" w14:textId="77777777" w:rsidR="00316C09" w:rsidRPr="00316C09" w:rsidRDefault="00316C09" w:rsidP="00316C09">
            <w:pPr>
              <w:widowControl w:val="0"/>
              <w:rPr>
                <w:rFonts w:ascii="Cambria" w:hAnsi="Cambria"/>
                <w:b/>
                <w:sz w:val="20"/>
                <w:szCs w:val="20"/>
                <w:lang w:val="es-MX" w:eastAsia="fr-FR"/>
              </w:rPr>
            </w:pPr>
            <w:r w:rsidRPr="00316C09">
              <w:rPr>
                <w:rFonts w:ascii="Cambria" w:hAnsi="Cambria"/>
                <w:b/>
                <w:sz w:val="20"/>
                <w:szCs w:val="20"/>
                <w:lang w:val="es-MX" w:eastAsia="fr-FR"/>
              </w:rPr>
              <w:t>Restricciones de zona y tiempo</w:t>
            </w:r>
          </w:p>
          <w:p w14:paraId="420A9DE0" w14:textId="77777777" w:rsidR="00316C09" w:rsidRPr="00316C09" w:rsidRDefault="00316C09" w:rsidP="00316C09">
            <w:pPr>
              <w:widowControl w:val="0"/>
              <w:rPr>
                <w:rFonts w:ascii="Cambria" w:hAnsi="Cambria"/>
                <w:b/>
                <w:sz w:val="20"/>
                <w:szCs w:val="20"/>
                <w:lang w:val="es-MX" w:eastAsia="fr-FR"/>
              </w:rPr>
            </w:pPr>
            <w:r w:rsidRPr="00316C09">
              <w:rPr>
                <w:rFonts w:ascii="Cambria" w:hAnsi="Cambria"/>
                <w:b/>
                <w:sz w:val="20"/>
                <w:szCs w:val="20"/>
                <w:lang w:val="es-MX" w:eastAsia="fr-FR"/>
              </w:rPr>
              <w:t>(párr. 13)</w:t>
            </w:r>
          </w:p>
        </w:tc>
        <w:tc>
          <w:tcPr>
            <w:tcW w:w="1949" w:type="dxa"/>
          </w:tcPr>
          <w:p w14:paraId="2C576395" w14:textId="77777777" w:rsidR="00316C09" w:rsidRPr="00316C09" w:rsidRDefault="00316C09" w:rsidP="00316C09">
            <w:pPr>
              <w:widowControl w:val="0"/>
              <w:rPr>
                <w:rFonts w:ascii="Cambria" w:hAnsi="Cambria"/>
                <w:color w:val="FF0000"/>
                <w:sz w:val="20"/>
                <w:szCs w:val="20"/>
                <w:lang w:val="es-MX" w:eastAsia="fr-FR"/>
              </w:rPr>
            </w:pPr>
            <w:r w:rsidRPr="00316C09">
              <w:rPr>
                <w:rFonts w:ascii="Cambria" w:hAnsi="Cambria"/>
                <w:sz w:val="20"/>
                <w:szCs w:val="20"/>
                <w:lang w:val="es-MX" w:eastAsia="fr-FR"/>
              </w:rPr>
              <w:t>La normatividad mexicana establece los términos y condiciones para el aprovechamiento del atún aleta amarilla o rabil (</w:t>
            </w:r>
            <w:r w:rsidRPr="00316C09">
              <w:rPr>
                <w:rFonts w:ascii="Cambria" w:hAnsi="Cambria"/>
                <w:i/>
                <w:sz w:val="20"/>
                <w:szCs w:val="20"/>
                <w:lang w:val="es-MX" w:eastAsia="fr-FR"/>
              </w:rPr>
              <w:t>Thunnus albacares</w:t>
            </w:r>
            <w:r w:rsidRPr="00316C09">
              <w:rPr>
                <w:rFonts w:ascii="Cambria" w:hAnsi="Cambria"/>
                <w:sz w:val="20"/>
                <w:szCs w:val="20"/>
                <w:lang w:val="es-MX" w:eastAsia="fr-FR"/>
              </w:rPr>
              <w:t>) en aguas marinas de jurisdicción federal del golfo de México y mar Caribe de los Estados Unidos Mexicanos. No existe pesca dirigida al atún rojo en el golfo de México.</w:t>
            </w:r>
          </w:p>
        </w:tc>
        <w:tc>
          <w:tcPr>
            <w:tcW w:w="1941" w:type="dxa"/>
          </w:tcPr>
          <w:p w14:paraId="2F94105D" w14:textId="77777777" w:rsidR="00316C09" w:rsidRPr="00316C09" w:rsidRDefault="00316C09" w:rsidP="00316C09">
            <w:pPr>
              <w:widowControl w:val="0"/>
              <w:rPr>
                <w:rFonts w:ascii="Cambria" w:hAnsi="Cambria"/>
                <w:sz w:val="20"/>
                <w:szCs w:val="20"/>
                <w:lang w:val="es-MX" w:eastAsia="fr-FR"/>
              </w:rPr>
            </w:pPr>
            <w:r w:rsidRPr="00316C09">
              <w:rPr>
                <w:rFonts w:ascii="Cambria" w:hAnsi="Cambria"/>
                <w:sz w:val="20"/>
                <w:szCs w:val="20"/>
                <w:lang w:val="es-MX" w:eastAsia="fr-FR"/>
              </w:rPr>
              <w:t>NORMA Oficial Mexicana NOM-023-SAG/PESC-2014, que regula el aprovechamiento de las especies de túnidos con embarcaciones palangreras en aguas de jurisdicción federal del golfo de México y mar Caribe</w:t>
            </w:r>
          </w:p>
          <w:p w14:paraId="5E449354" w14:textId="77777777" w:rsidR="00316C09" w:rsidRPr="00316C09" w:rsidRDefault="00316C09" w:rsidP="00316C09">
            <w:pPr>
              <w:widowControl w:val="0"/>
              <w:rPr>
                <w:rFonts w:ascii="Cambria" w:hAnsi="Cambria"/>
                <w:sz w:val="20"/>
                <w:szCs w:val="20"/>
                <w:lang w:val="es-MX" w:eastAsia="fr-FR"/>
              </w:rPr>
            </w:pPr>
          </w:p>
          <w:p w14:paraId="07D4EBAA" w14:textId="77777777" w:rsidR="00316C09" w:rsidRPr="00316C09" w:rsidRDefault="00316C09" w:rsidP="00316C09">
            <w:pPr>
              <w:widowControl w:val="0"/>
              <w:rPr>
                <w:rFonts w:ascii="Cambria" w:hAnsi="Cambria"/>
                <w:sz w:val="20"/>
                <w:szCs w:val="20"/>
                <w:lang w:val="es-MX" w:eastAsia="fr-FR"/>
              </w:rPr>
            </w:pPr>
            <w:r w:rsidRPr="00316C09">
              <w:rPr>
                <w:rFonts w:ascii="Cambria" w:hAnsi="Cambria"/>
                <w:sz w:val="20"/>
                <w:szCs w:val="20"/>
                <w:lang w:val="es-MX" w:eastAsia="fr-FR"/>
              </w:rPr>
              <w:t>Ley General de Pesca y Acuacultura Sustentables</w:t>
            </w:r>
            <w:r w:rsidRPr="00316C09">
              <w:rPr>
                <w:rFonts w:ascii="Cambria" w:hAnsi="Cambria"/>
                <w:sz w:val="20"/>
                <w:szCs w:val="20"/>
                <w:vertAlign w:val="superscript"/>
                <w:lang w:val="es-MX" w:eastAsia="fr-FR"/>
              </w:rPr>
              <w:footnoteReference w:id="3"/>
            </w:r>
          </w:p>
        </w:tc>
        <w:tc>
          <w:tcPr>
            <w:tcW w:w="2089" w:type="dxa"/>
          </w:tcPr>
          <w:p w14:paraId="0E618CB0" w14:textId="77777777" w:rsidR="00316C09" w:rsidRPr="00316C09" w:rsidRDefault="00316C09" w:rsidP="00316C09">
            <w:pPr>
              <w:widowControl w:val="0"/>
              <w:jc w:val="both"/>
              <w:rPr>
                <w:rFonts w:ascii="Cambria" w:hAnsi="Cambria"/>
                <w:sz w:val="20"/>
                <w:szCs w:val="20"/>
                <w:lang w:val="es-MX" w:eastAsia="fr-FR"/>
              </w:rPr>
            </w:pPr>
          </w:p>
        </w:tc>
      </w:tr>
      <w:tr w:rsidR="00316C09" w:rsidRPr="00316C09" w14:paraId="5EBFF8F2" w14:textId="77777777" w:rsidTr="00B23AAD">
        <w:tc>
          <w:tcPr>
            <w:tcW w:w="507" w:type="dxa"/>
          </w:tcPr>
          <w:p w14:paraId="075E6F55" w14:textId="77777777" w:rsidR="00316C09" w:rsidRPr="00316C09" w:rsidRDefault="00316C09" w:rsidP="00316C09">
            <w:pPr>
              <w:widowControl w:val="0"/>
              <w:rPr>
                <w:rFonts w:ascii="Cambria" w:hAnsi="Cambria"/>
                <w:b/>
                <w:sz w:val="20"/>
                <w:szCs w:val="20"/>
                <w:lang w:val="es-MX" w:eastAsia="fr-FR"/>
              </w:rPr>
            </w:pPr>
            <w:r w:rsidRPr="00316C09">
              <w:rPr>
                <w:rFonts w:ascii="Cambria" w:hAnsi="Cambria"/>
                <w:b/>
                <w:sz w:val="20"/>
                <w:szCs w:val="20"/>
                <w:lang w:val="es-MX" w:eastAsia="fr-FR"/>
              </w:rPr>
              <w:t>4</w:t>
            </w:r>
          </w:p>
        </w:tc>
        <w:tc>
          <w:tcPr>
            <w:tcW w:w="2575" w:type="dxa"/>
          </w:tcPr>
          <w:p w14:paraId="4CE1B9FD" w14:textId="77777777" w:rsidR="00316C09" w:rsidRPr="00316C09" w:rsidRDefault="00316C09" w:rsidP="00316C09">
            <w:pPr>
              <w:widowControl w:val="0"/>
              <w:rPr>
                <w:rFonts w:ascii="Cambria" w:hAnsi="Cambria"/>
                <w:b/>
                <w:sz w:val="20"/>
                <w:szCs w:val="20"/>
                <w:lang w:val="es-MX" w:eastAsia="fr-FR"/>
              </w:rPr>
            </w:pPr>
            <w:r w:rsidRPr="00316C09">
              <w:rPr>
                <w:rFonts w:ascii="Cambria" w:hAnsi="Cambria"/>
                <w:b/>
                <w:bCs/>
                <w:sz w:val="20"/>
                <w:szCs w:val="20"/>
                <w:lang w:val="es-MX" w:eastAsia="fr-FR"/>
              </w:rPr>
              <w:t>Talla mínima de los peces y protección de los peces pequeños</w:t>
            </w:r>
            <w:r w:rsidRPr="00316C09">
              <w:rPr>
                <w:rFonts w:ascii="Cambria" w:hAnsi="Cambria"/>
                <w:b/>
                <w:sz w:val="20"/>
                <w:szCs w:val="20"/>
                <w:lang w:val="es-MX" w:eastAsia="fr-FR"/>
              </w:rPr>
              <w:t xml:space="preserve">  </w:t>
            </w:r>
          </w:p>
          <w:p w14:paraId="0AA8FBE6" w14:textId="77777777" w:rsidR="00316C09" w:rsidRPr="00316C09" w:rsidRDefault="00316C09" w:rsidP="00316C09">
            <w:pPr>
              <w:widowControl w:val="0"/>
              <w:rPr>
                <w:rFonts w:ascii="Cambria" w:hAnsi="Cambria"/>
                <w:b/>
                <w:sz w:val="20"/>
                <w:szCs w:val="20"/>
                <w:lang w:val="es-MX" w:eastAsia="fr-FR"/>
              </w:rPr>
            </w:pPr>
            <w:r w:rsidRPr="00316C09">
              <w:rPr>
                <w:rFonts w:ascii="Cambria" w:hAnsi="Cambria"/>
                <w:b/>
                <w:sz w:val="20"/>
                <w:szCs w:val="20"/>
                <w:lang w:val="es-MX" w:eastAsia="fr-FR"/>
              </w:rPr>
              <w:t>(párrs. 9-10)</w:t>
            </w:r>
          </w:p>
        </w:tc>
        <w:tc>
          <w:tcPr>
            <w:tcW w:w="1949" w:type="dxa"/>
          </w:tcPr>
          <w:p w14:paraId="0FD469FE" w14:textId="77777777" w:rsidR="00316C09" w:rsidRPr="00316C09" w:rsidRDefault="00316C09" w:rsidP="00316C09">
            <w:pPr>
              <w:widowControl w:val="0"/>
              <w:rPr>
                <w:rFonts w:ascii="Cambria" w:hAnsi="Cambria"/>
                <w:color w:val="FF0000"/>
                <w:sz w:val="20"/>
                <w:szCs w:val="20"/>
                <w:lang w:val="es-MX" w:eastAsia="fr-FR"/>
              </w:rPr>
            </w:pPr>
            <w:r w:rsidRPr="00316C09">
              <w:rPr>
                <w:rFonts w:ascii="Cambria" w:hAnsi="Cambria"/>
                <w:sz w:val="20"/>
                <w:szCs w:val="20"/>
                <w:lang w:val="es-MX" w:eastAsia="fr-FR"/>
              </w:rPr>
              <w:t>Las capturas que incidentalmente se obtengan de atún rojo del Atlántico occidental (</w:t>
            </w:r>
            <w:r w:rsidRPr="00316C09">
              <w:rPr>
                <w:rFonts w:ascii="Cambria" w:hAnsi="Cambria"/>
                <w:i/>
                <w:sz w:val="20"/>
                <w:szCs w:val="20"/>
                <w:lang w:val="es-MX" w:eastAsia="fr-FR"/>
              </w:rPr>
              <w:t>Thunnus thynnus</w:t>
            </w:r>
            <w:r w:rsidRPr="00316C09">
              <w:rPr>
                <w:rFonts w:ascii="Cambria" w:hAnsi="Cambria"/>
                <w:sz w:val="20"/>
                <w:szCs w:val="20"/>
                <w:lang w:val="es-MX" w:eastAsia="fr-FR"/>
              </w:rPr>
              <w:t xml:space="preserve">) únicamente podrán retenerse si los organismos tienen, </w:t>
            </w:r>
            <w:r w:rsidRPr="00316C09">
              <w:rPr>
                <w:rFonts w:ascii="Cambria" w:hAnsi="Cambria"/>
                <w:sz w:val="20"/>
                <w:szCs w:val="20"/>
                <w:lang w:val="es-MX" w:eastAsia="fr-FR"/>
              </w:rPr>
              <w:lastRenderedPageBreak/>
              <w:t xml:space="preserve">como mínimo, un peso de 30 kg o bien, una longitud </w:t>
            </w:r>
            <w:proofErr w:type="spellStart"/>
            <w:r w:rsidRPr="00316C09">
              <w:rPr>
                <w:rFonts w:ascii="Cambria" w:hAnsi="Cambria"/>
                <w:sz w:val="20"/>
                <w:szCs w:val="20"/>
                <w:lang w:val="es-MX" w:eastAsia="fr-FR"/>
              </w:rPr>
              <w:t>furcal</w:t>
            </w:r>
            <w:proofErr w:type="spellEnd"/>
            <w:r w:rsidRPr="00316C09">
              <w:rPr>
                <w:rFonts w:ascii="Cambria" w:hAnsi="Cambria"/>
                <w:sz w:val="20"/>
                <w:szCs w:val="20"/>
                <w:lang w:val="es-MX" w:eastAsia="fr-FR"/>
              </w:rPr>
              <w:t xml:space="preserve"> de 115 cm. Los ejemplares con peso o talla inferior a la establecida deben ser liberados en buenas condiciones de supervivencia.</w:t>
            </w:r>
          </w:p>
        </w:tc>
        <w:tc>
          <w:tcPr>
            <w:tcW w:w="1941" w:type="dxa"/>
          </w:tcPr>
          <w:p w14:paraId="62F2FB08" w14:textId="77777777" w:rsidR="00316C09" w:rsidRPr="00316C09" w:rsidRDefault="00316C09" w:rsidP="00316C09">
            <w:pPr>
              <w:widowControl w:val="0"/>
              <w:rPr>
                <w:rFonts w:ascii="Cambria" w:hAnsi="Cambria"/>
                <w:sz w:val="20"/>
                <w:szCs w:val="20"/>
                <w:lang w:val="es-MX" w:eastAsia="fr-FR"/>
              </w:rPr>
            </w:pPr>
            <w:r w:rsidRPr="00316C09">
              <w:rPr>
                <w:rFonts w:ascii="Cambria" w:hAnsi="Cambria"/>
                <w:sz w:val="20"/>
                <w:szCs w:val="20"/>
                <w:lang w:val="es-MX" w:eastAsia="fr-FR"/>
              </w:rPr>
              <w:lastRenderedPageBreak/>
              <w:t xml:space="preserve">NORMA Oficial Mexicana NOM-023-SAG/PESC-2014, Que regula el aprovechamiento de las especies de túnidos con embarcaciones palangreras en </w:t>
            </w:r>
            <w:r w:rsidRPr="00316C09">
              <w:rPr>
                <w:rFonts w:ascii="Cambria" w:hAnsi="Cambria"/>
                <w:sz w:val="20"/>
                <w:szCs w:val="20"/>
                <w:lang w:val="es-MX" w:eastAsia="fr-FR"/>
              </w:rPr>
              <w:lastRenderedPageBreak/>
              <w:t>aguas de jurisdicción federal del golfo de México y mar Caribe</w:t>
            </w:r>
          </w:p>
        </w:tc>
        <w:tc>
          <w:tcPr>
            <w:tcW w:w="2089" w:type="dxa"/>
          </w:tcPr>
          <w:p w14:paraId="1E953FDE" w14:textId="77777777" w:rsidR="00316C09" w:rsidRPr="00316C09" w:rsidRDefault="00316C09" w:rsidP="00316C09">
            <w:pPr>
              <w:widowControl w:val="0"/>
              <w:jc w:val="both"/>
              <w:rPr>
                <w:rFonts w:ascii="Cambria" w:hAnsi="Cambria"/>
                <w:sz w:val="20"/>
                <w:szCs w:val="20"/>
                <w:lang w:val="es-MX" w:eastAsia="fr-FR"/>
              </w:rPr>
            </w:pPr>
          </w:p>
        </w:tc>
      </w:tr>
      <w:tr w:rsidR="00316C09" w:rsidRPr="00316C09" w14:paraId="3D493E93" w14:textId="77777777" w:rsidTr="00B23AAD">
        <w:tc>
          <w:tcPr>
            <w:tcW w:w="507" w:type="dxa"/>
          </w:tcPr>
          <w:p w14:paraId="05BE38D4" w14:textId="77777777" w:rsidR="00316C09" w:rsidRPr="00316C09" w:rsidRDefault="00316C09" w:rsidP="00316C09">
            <w:pPr>
              <w:widowControl w:val="0"/>
              <w:rPr>
                <w:rFonts w:ascii="Cambria" w:hAnsi="Cambria"/>
                <w:b/>
                <w:sz w:val="20"/>
                <w:szCs w:val="20"/>
                <w:lang w:val="es-MX" w:eastAsia="fr-FR"/>
              </w:rPr>
            </w:pPr>
            <w:r w:rsidRPr="00316C09">
              <w:rPr>
                <w:rFonts w:ascii="Cambria" w:hAnsi="Cambria"/>
                <w:b/>
                <w:sz w:val="20"/>
                <w:szCs w:val="20"/>
                <w:lang w:val="es-MX" w:eastAsia="fr-FR"/>
              </w:rPr>
              <w:t>5</w:t>
            </w:r>
          </w:p>
        </w:tc>
        <w:tc>
          <w:tcPr>
            <w:tcW w:w="2575" w:type="dxa"/>
          </w:tcPr>
          <w:p w14:paraId="6D96D97B" w14:textId="77777777" w:rsidR="00316C09" w:rsidRPr="00316C09" w:rsidRDefault="00316C09" w:rsidP="00316C09">
            <w:pPr>
              <w:widowControl w:val="0"/>
              <w:rPr>
                <w:rFonts w:ascii="Cambria" w:hAnsi="Cambria"/>
                <w:b/>
                <w:sz w:val="20"/>
                <w:szCs w:val="20"/>
                <w:lang w:val="es-MX" w:eastAsia="fr-FR"/>
              </w:rPr>
            </w:pPr>
            <w:r w:rsidRPr="00316C09">
              <w:rPr>
                <w:rFonts w:ascii="Cambria" w:hAnsi="Cambria"/>
                <w:b/>
                <w:sz w:val="20"/>
                <w:szCs w:val="20"/>
                <w:lang w:val="es-MX" w:eastAsia="fr-FR"/>
              </w:rPr>
              <w:t xml:space="preserve">Capturas fortuitas </w:t>
            </w:r>
          </w:p>
          <w:p w14:paraId="4F2233ED" w14:textId="77777777" w:rsidR="00316C09" w:rsidRPr="00316C09" w:rsidRDefault="00316C09" w:rsidP="00316C09">
            <w:pPr>
              <w:widowControl w:val="0"/>
              <w:rPr>
                <w:rFonts w:ascii="Cambria" w:hAnsi="Cambria"/>
                <w:b/>
                <w:sz w:val="20"/>
                <w:szCs w:val="20"/>
                <w:lang w:val="es-MX" w:eastAsia="fr-FR"/>
              </w:rPr>
            </w:pPr>
            <w:r w:rsidRPr="00316C09">
              <w:rPr>
                <w:rFonts w:ascii="Cambria" w:hAnsi="Cambria"/>
                <w:b/>
                <w:sz w:val="20"/>
                <w:szCs w:val="20"/>
                <w:lang w:val="es-MX" w:eastAsia="fr-FR"/>
              </w:rPr>
              <w:t xml:space="preserve">(párr. 6) </w:t>
            </w:r>
          </w:p>
        </w:tc>
        <w:tc>
          <w:tcPr>
            <w:tcW w:w="1949" w:type="dxa"/>
          </w:tcPr>
          <w:p w14:paraId="6E2EE8D5" w14:textId="77777777" w:rsidR="00316C09" w:rsidRPr="00316C09" w:rsidRDefault="00316C09" w:rsidP="00316C09">
            <w:pPr>
              <w:widowControl w:val="0"/>
              <w:rPr>
                <w:rFonts w:ascii="Cambria" w:hAnsi="Cambria"/>
                <w:color w:val="FF0000"/>
                <w:sz w:val="20"/>
                <w:szCs w:val="20"/>
                <w:lang w:val="es-MX" w:eastAsia="fr-FR"/>
              </w:rPr>
            </w:pPr>
            <w:r w:rsidRPr="00316C09">
              <w:rPr>
                <w:rFonts w:ascii="Cambria" w:hAnsi="Cambria"/>
                <w:sz w:val="20"/>
                <w:szCs w:val="20"/>
                <w:lang w:val="es-MX" w:eastAsia="fr-FR"/>
              </w:rPr>
              <w:t>Las capturas incidentales de atún rojo registradas por la flota palangrera se deducen directamente del Total Admisible de Capturas asignado a México.</w:t>
            </w:r>
          </w:p>
        </w:tc>
        <w:tc>
          <w:tcPr>
            <w:tcW w:w="1941" w:type="dxa"/>
          </w:tcPr>
          <w:p w14:paraId="18A71623" w14:textId="77777777" w:rsidR="00316C09" w:rsidRPr="00316C09" w:rsidRDefault="00316C09" w:rsidP="00316C09">
            <w:pPr>
              <w:widowControl w:val="0"/>
              <w:rPr>
                <w:rFonts w:ascii="Cambria" w:hAnsi="Cambria"/>
                <w:sz w:val="20"/>
                <w:szCs w:val="20"/>
                <w:lang w:val="es-MX" w:eastAsia="fr-FR"/>
              </w:rPr>
            </w:pPr>
            <w:r w:rsidRPr="00316C09">
              <w:rPr>
                <w:rFonts w:ascii="Cambria" w:hAnsi="Cambria"/>
                <w:sz w:val="20"/>
                <w:szCs w:val="20"/>
                <w:lang w:val="es-MX" w:eastAsia="fr-FR"/>
              </w:rPr>
              <w:t>NORMA Oficial Mexicana NOM-023-SAG/PESC-2014, Que regula el aprovechamiento de las especies de túnidos con embarcaciones palangreras en aguas de jurisdicción federal del golfo de México y mar Caribe</w:t>
            </w:r>
          </w:p>
        </w:tc>
        <w:tc>
          <w:tcPr>
            <w:tcW w:w="2089" w:type="dxa"/>
          </w:tcPr>
          <w:p w14:paraId="5D08FFC6" w14:textId="77777777" w:rsidR="00316C09" w:rsidRPr="00316C09" w:rsidRDefault="00316C09" w:rsidP="00316C09">
            <w:pPr>
              <w:widowControl w:val="0"/>
              <w:rPr>
                <w:rFonts w:ascii="Cambria" w:hAnsi="Cambria"/>
                <w:color w:val="FF0000"/>
                <w:sz w:val="20"/>
                <w:szCs w:val="20"/>
                <w:lang w:val="es-MX" w:eastAsia="fr-FR"/>
              </w:rPr>
            </w:pPr>
            <w:r w:rsidRPr="00316C09">
              <w:rPr>
                <w:rFonts w:ascii="Cambria" w:hAnsi="Cambria"/>
                <w:sz w:val="20"/>
                <w:szCs w:val="20"/>
                <w:lang w:val="es-MX" w:eastAsia="fr-FR"/>
              </w:rPr>
              <w:t>Cuando se produce una captura incidental de atún rojo, esta es registrada y monitoreada; la retención o liberación se determina de conformidad con las disposiciones aplicables en materia de talla mínima y condición del ejemplar. Las capturas retenidas se contabilizan con respecto a la cuota correspondiente y se documentan en el desembarque.</w:t>
            </w:r>
          </w:p>
        </w:tc>
      </w:tr>
      <w:tr w:rsidR="00316C09" w:rsidRPr="00316C09" w14:paraId="36D6E131" w14:textId="77777777" w:rsidTr="00B23AAD">
        <w:tc>
          <w:tcPr>
            <w:tcW w:w="507" w:type="dxa"/>
          </w:tcPr>
          <w:p w14:paraId="3DF2599B" w14:textId="77777777" w:rsidR="00316C09" w:rsidRPr="00316C09" w:rsidRDefault="00316C09" w:rsidP="00316C09">
            <w:pPr>
              <w:widowControl w:val="0"/>
              <w:rPr>
                <w:rFonts w:ascii="Cambria" w:hAnsi="Cambria"/>
                <w:b/>
                <w:sz w:val="20"/>
                <w:szCs w:val="20"/>
                <w:lang w:val="es-MX" w:eastAsia="fr-FR"/>
              </w:rPr>
            </w:pPr>
            <w:r w:rsidRPr="00316C09">
              <w:rPr>
                <w:rFonts w:ascii="Cambria" w:hAnsi="Cambria"/>
                <w:b/>
                <w:sz w:val="20"/>
                <w:szCs w:val="20"/>
                <w:lang w:val="es-MX" w:eastAsia="fr-FR"/>
              </w:rPr>
              <w:t>6</w:t>
            </w:r>
          </w:p>
        </w:tc>
        <w:tc>
          <w:tcPr>
            <w:tcW w:w="2575" w:type="dxa"/>
          </w:tcPr>
          <w:p w14:paraId="15645EBC" w14:textId="77777777" w:rsidR="00316C09" w:rsidRPr="00316C09" w:rsidRDefault="00316C09" w:rsidP="00316C09">
            <w:pPr>
              <w:widowControl w:val="0"/>
              <w:rPr>
                <w:rFonts w:ascii="Cambria" w:hAnsi="Cambria"/>
                <w:b/>
                <w:sz w:val="20"/>
                <w:szCs w:val="20"/>
                <w:lang w:val="es-MX" w:eastAsia="fr-FR"/>
              </w:rPr>
            </w:pPr>
            <w:r w:rsidRPr="00316C09">
              <w:rPr>
                <w:rFonts w:ascii="Cambria" w:hAnsi="Cambria"/>
                <w:b/>
                <w:sz w:val="20"/>
                <w:szCs w:val="20"/>
                <w:lang w:val="es-MX" w:eastAsia="fr-FR"/>
              </w:rPr>
              <w:t xml:space="preserve">Pesquerías [deportivas y] de recreo </w:t>
            </w:r>
          </w:p>
          <w:p w14:paraId="46931A74" w14:textId="77777777" w:rsidR="00316C09" w:rsidRPr="00316C09" w:rsidRDefault="00316C09" w:rsidP="00316C09">
            <w:pPr>
              <w:widowControl w:val="0"/>
              <w:rPr>
                <w:rFonts w:ascii="Cambria" w:hAnsi="Cambria"/>
                <w:b/>
                <w:sz w:val="20"/>
                <w:szCs w:val="20"/>
                <w:lang w:val="es-MX" w:eastAsia="fr-FR"/>
              </w:rPr>
            </w:pPr>
            <w:r w:rsidRPr="00316C09">
              <w:rPr>
                <w:rFonts w:ascii="Cambria" w:hAnsi="Cambria"/>
                <w:b/>
                <w:sz w:val="20"/>
                <w:szCs w:val="20"/>
                <w:lang w:val="es-MX" w:eastAsia="fr-FR"/>
              </w:rPr>
              <w:t>(párr. 11)</w:t>
            </w:r>
          </w:p>
        </w:tc>
        <w:tc>
          <w:tcPr>
            <w:tcW w:w="1949" w:type="dxa"/>
          </w:tcPr>
          <w:p w14:paraId="146AAAE9" w14:textId="77777777" w:rsidR="00316C09" w:rsidRPr="00316C09" w:rsidRDefault="00316C09" w:rsidP="00316C09">
            <w:pPr>
              <w:widowControl w:val="0"/>
              <w:rPr>
                <w:rFonts w:ascii="Cambria" w:hAnsi="Cambria"/>
                <w:color w:val="FF0000"/>
                <w:sz w:val="20"/>
                <w:szCs w:val="20"/>
                <w:lang w:val="es-MX" w:eastAsia="fr-FR"/>
              </w:rPr>
            </w:pPr>
            <w:r w:rsidRPr="00316C09">
              <w:rPr>
                <w:rFonts w:ascii="Cambria" w:hAnsi="Cambria"/>
                <w:sz w:val="20"/>
                <w:szCs w:val="20"/>
                <w:lang w:val="es-MX" w:eastAsia="fr-FR"/>
              </w:rPr>
              <w:t xml:space="preserve">La normatividad mexicana prohíbe la pesca deportiva dirigida al atún rojo en el golfo de México, pues la pesca deportiva es única y exclusivamente marlín, pez vela, pez espada, sábalo o chiro, pez gallo y dorado, se encuentran destinadas exclusivamente para la pesca deportivo-recreativa, dentro de una franja de 50 millas náuticas, </w:t>
            </w:r>
            <w:r w:rsidRPr="00316C09">
              <w:rPr>
                <w:rFonts w:ascii="Cambria" w:hAnsi="Cambria"/>
                <w:sz w:val="20"/>
                <w:szCs w:val="20"/>
                <w:lang w:val="es-MX" w:eastAsia="fr-FR"/>
              </w:rPr>
              <w:lastRenderedPageBreak/>
              <w:t>contadas a partir de la línea de base desde la cual se mide el mar territorial.</w:t>
            </w:r>
          </w:p>
        </w:tc>
        <w:tc>
          <w:tcPr>
            <w:tcW w:w="1941" w:type="dxa"/>
          </w:tcPr>
          <w:p w14:paraId="5B2B6D28" w14:textId="77777777" w:rsidR="00316C09" w:rsidRPr="00316C09" w:rsidRDefault="00316C09" w:rsidP="00316C09">
            <w:pPr>
              <w:widowControl w:val="0"/>
              <w:rPr>
                <w:rFonts w:ascii="Cambria" w:hAnsi="Cambria"/>
                <w:color w:val="FF0000"/>
                <w:sz w:val="20"/>
                <w:szCs w:val="20"/>
                <w:lang w:val="es-MX" w:eastAsia="fr-FR"/>
              </w:rPr>
            </w:pPr>
            <w:r w:rsidRPr="00316C09">
              <w:rPr>
                <w:rFonts w:ascii="Cambria" w:hAnsi="Cambria"/>
                <w:sz w:val="20"/>
                <w:szCs w:val="20"/>
                <w:lang w:val="es-MX" w:eastAsia="fr-FR"/>
              </w:rPr>
              <w:lastRenderedPageBreak/>
              <w:t>MODIFICACIÓN a la Norma Oficial Mexicana NOM-017-PESC-1994, Para regular las actividades de pesca deportivo-recreativa en las aguas de jurisdicción federal de los Estados Unidos Mexicanos, publicada el 9 de mayo de 1995</w:t>
            </w:r>
            <w:r w:rsidRPr="00316C09">
              <w:rPr>
                <w:rFonts w:ascii="Cambria" w:hAnsi="Cambria"/>
                <w:sz w:val="20"/>
                <w:szCs w:val="20"/>
                <w:vertAlign w:val="superscript"/>
                <w:lang w:val="es-MX" w:eastAsia="fr-FR"/>
              </w:rPr>
              <w:footnoteReference w:id="4"/>
            </w:r>
          </w:p>
        </w:tc>
        <w:tc>
          <w:tcPr>
            <w:tcW w:w="2089" w:type="dxa"/>
          </w:tcPr>
          <w:p w14:paraId="2C07806F" w14:textId="77777777" w:rsidR="00316C09" w:rsidRPr="00316C09" w:rsidRDefault="00316C09" w:rsidP="00316C09">
            <w:pPr>
              <w:widowControl w:val="0"/>
              <w:jc w:val="both"/>
              <w:rPr>
                <w:rFonts w:ascii="Cambria" w:hAnsi="Cambria"/>
                <w:sz w:val="20"/>
                <w:szCs w:val="20"/>
                <w:lang w:val="es-MX" w:eastAsia="fr-FR"/>
              </w:rPr>
            </w:pPr>
          </w:p>
        </w:tc>
      </w:tr>
      <w:tr w:rsidR="00316C09" w:rsidRPr="00316C09" w14:paraId="09EA4AD7" w14:textId="77777777" w:rsidTr="00B23AAD">
        <w:tc>
          <w:tcPr>
            <w:tcW w:w="507" w:type="dxa"/>
          </w:tcPr>
          <w:p w14:paraId="6C89D77C" w14:textId="77777777" w:rsidR="00316C09" w:rsidRPr="00316C09" w:rsidRDefault="00316C09" w:rsidP="00316C09">
            <w:pPr>
              <w:widowControl w:val="0"/>
              <w:rPr>
                <w:rFonts w:ascii="Cambria" w:hAnsi="Cambria"/>
                <w:b/>
                <w:sz w:val="20"/>
                <w:szCs w:val="20"/>
                <w:lang w:val="es-MX" w:eastAsia="fr-FR"/>
              </w:rPr>
            </w:pPr>
            <w:r w:rsidRPr="00316C09">
              <w:rPr>
                <w:rFonts w:ascii="Cambria" w:hAnsi="Cambria"/>
                <w:b/>
                <w:sz w:val="20"/>
                <w:szCs w:val="20"/>
                <w:lang w:val="es-MX" w:eastAsia="fr-FR"/>
              </w:rPr>
              <w:t>7</w:t>
            </w:r>
          </w:p>
        </w:tc>
        <w:tc>
          <w:tcPr>
            <w:tcW w:w="2575" w:type="dxa"/>
          </w:tcPr>
          <w:p w14:paraId="7F1CA335" w14:textId="77777777" w:rsidR="00316C09" w:rsidRPr="00316C09" w:rsidRDefault="00316C09" w:rsidP="00316C09">
            <w:pPr>
              <w:widowControl w:val="0"/>
              <w:rPr>
                <w:rFonts w:ascii="Cambria" w:hAnsi="Cambria"/>
                <w:b/>
                <w:sz w:val="20"/>
                <w:szCs w:val="20"/>
                <w:lang w:val="es-MX" w:eastAsia="fr-FR"/>
              </w:rPr>
            </w:pPr>
            <w:r w:rsidRPr="00316C09">
              <w:rPr>
                <w:rFonts w:ascii="Cambria" w:hAnsi="Cambria"/>
                <w:b/>
                <w:sz w:val="20"/>
                <w:szCs w:val="20"/>
                <w:lang w:val="es-MX" w:eastAsia="fr-FR"/>
              </w:rPr>
              <w:t>Transbordo en el mar (párr. 14)</w:t>
            </w:r>
          </w:p>
        </w:tc>
        <w:tc>
          <w:tcPr>
            <w:tcW w:w="1949" w:type="dxa"/>
          </w:tcPr>
          <w:p w14:paraId="08AE2F81" w14:textId="77777777" w:rsidR="00316C09" w:rsidRPr="00316C09" w:rsidRDefault="00316C09" w:rsidP="00316C09">
            <w:pPr>
              <w:widowControl w:val="0"/>
              <w:rPr>
                <w:rFonts w:ascii="Cambria" w:hAnsi="Cambria"/>
                <w:color w:val="FF0000"/>
                <w:sz w:val="20"/>
                <w:szCs w:val="20"/>
                <w:lang w:val="es-MX" w:eastAsia="fr-FR"/>
              </w:rPr>
            </w:pPr>
            <w:r w:rsidRPr="00316C09">
              <w:rPr>
                <w:rFonts w:ascii="Cambria" w:hAnsi="Cambria"/>
                <w:sz w:val="20"/>
                <w:szCs w:val="20"/>
                <w:lang w:val="es-MX" w:eastAsia="fr-FR"/>
              </w:rPr>
              <w:t>No se permiten los transbordos de atún rojo en el mar.</w:t>
            </w:r>
          </w:p>
        </w:tc>
        <w:tc>
          <w:tcPr>
            <w:tcW w:w="1941" w:type="dxa"/>
          </w:tcPr>
          <w:p w14:paraId="1D611619" w14:textId="77777777" w:rsidR="00316C09" w:rsidRPr="00316C09" w:rsidRDefault="00316C09" w:rsidP="00316C09">
            <w:pPr>
              <w:widowControl w:val="0"/>
              <w:rPr>
                <w:rFonts w:ascii="Cambria" w:hAnsi="Cambria"/>
                <w:sz w:val="20"/>
                <w:szCs w:val="20"/>
                <w:lang w:val="es-MX" w:eastAsia="fr-FR"/>
              </w:rPr>
            </w:pPr>
            <w:r w:rsidRPr="00316C09">
              <w:rPr>
                <w:rFonts w:ascii="Cambria" w:hAnsi="Cambria"/>
                <w:sz w:val="20"/>
                <w:szCs w:val="20"/>
                <w:lang w:val="es-MX" w:eastAsia="fr-FR"/>
              </w:rPr>
              <w:t>NORMA Oficial Mexicana NOM-023-SAG/PESC-2014, Que regula el aprovechamiento de las especies de túnidos con embarcaciones palangreras en aguas de jurisdicción federal del golfo de México y mar Caribe</w:t>
            </w:r>
          </w:p>
        </w:tc>
        <w:tc>
          <w:tcPr>
            <w:tcW w:w="2089" w:type="dxa"/>
          </w:tcPr>
          <w:p w14:paraId="30997355" w14:textId="77777777" w:rsidR="00316C09" w:rsidRPr="00316C09" w:rsidRDefault="00316C09" w:rsidP="00316C09">
            <w:pPr>
              <w:widowControl w:val="0"/>
              <w:jc w:val="both"/>
              <w:rPr>
                <w:rFonts w:ascii="Cambria" w:hAnsi="Cambria"/>
                <w:sz w:val="20"/>
                <w:szCs w:val="20"/>
                <w:lang w:val="es-MX" w:eastAsia="fr-FR"/>
              </w:rPr>
            </w:pPr>
          </w:p>
        </w:tc>
      </w:tr>
    </w:tbl>
    <w:p w14:paraId="7C45CE1A" w14:textId="77777777" w:rsidR="00316C09" w:rsidRPr="00316C09" w:rsidRDefault="00316C09" w:rsidP="00316C09">
      <w:pPr>
        <w:widowControl w:val="0"/>
        <w:jc w:val="both"/>
        <w:rPr>
          <w:rFonts w:ascii="Cambria" w:eastAsia="MS Gothic" w:hAnsi="Cambria"/>
          <w:i/>
          <w:sz w:val="20"/>
          <w:szCs w:val="20"/>
          <w:lang w:val="es-MX" w:eastAsia="ja-JP" w:bidi="fr-FR"/>
        </w:rPr>
      </w:pPr>
    </w:p>
    <w:p w14:paraId="1D00BDE6" w14:textId="77777777" w:rsidR="00316C09" w:rsidRPr="00316C09" w:rsidRDefault="00316C09" w:rsidP="00316C09">
      <w:pPr>
        <w:widowControl w:val="0"/>
        <w:jc w:val="both"/>
        <w:rPr>
          <w:rFonts w:ascii="Cambria" w:eastAsia="MS Gothic" w:hAnsi="Cambria"/>
          <w:i/>
          <w:sz w:val="20"/>
          <w:szCs w:val="20"/>
          <w:lang w:val="es-MX" w:eastAsia="ja-JP" w:bidi="fr-FR"/>
        </w:rPr>
      </w:pPr>
    </w:p>
    <w:p w14:paraId="4081DD2C" w14:textId="77777777" w:rsidR="00316C09" w:rsidRPr="00316C09" w:rsidRDefault="00316C09" w:rsidP="00316C09">
      <w:pPr>
        <w:widowControl w:val="0"/>
        <w:tabs>
          <w:tab w:val="left" w:pos="426"/>
        </w:tabs>
        <w:ind w:left="426" w:hanging="426"/>
        <w:jc w:val="both"/>
        <w:rPr>
          <w:rFonts w:ascii="Cambria" w:eastAsia="MS Gothic" w:hAnsi="Cambria"/>
          <w:b/>
          <w:sz w:val="20"/>
          <w:szCs w:val="20"/>
          <w:lang w:val="es-MX" w:eastAsia="fr-FR" w:bidi="fr-FR"/>
        </w:rPr>
      </w:pPr>
      <w:r w:rsidRPr="00316C09">
        <w:rPr>
          <w:rFonts w:ascii="Cambria" w:eastAsia="MS Gothic" w:hAnsi="Cambria"/>
          <w:b/>
          <w:sz w:val="20"/>
          <w:szCs w:val="20"/>
          <w:lang w:val="es-MX" w:eastAsia="fr-FR" w:bidi="fr-FR"/>
        </w:rPr>
        <w:t>3.</w:t>
      </w:r>
      <w:r w:rsidRPr="00316C09">
        <w:rPr>
          <w:rFonts w:ascii="Cambria" w:eastAsia="MS Gothic" w:hAnsi="Cambria"/>
          <w:b/>
          <w:sz w:val="20"/>
          <w:szCs w:val="20"/>
          <w:lang w:val="es-MX" w:eastAsia="fr-FR" w:bidi="fr-FR"/>
        </w:rPr>
        <w:tab/>
        <w:t>Medidas adicionales utilizadas con fines de ejecución o de seguimiento, control e inspección (párr. 3)</w:t>
      </w:r>
    </w:p>
    <w:p w14:paraId="510EB8CD" w14:textId="77777777" w:rsidR="00316C09" w:rsidRPr="00316C09" w:rsidRDefault="00316C09" w:rsidP="00316C09">
      <w:pPr>
        <w:widowControl w:val="0"/>
        <w:tabs>
          <w:tab w:val="left" w:pos="426"/>
        </w:tabs>
        <w:ind w:left="426" w:hanging="426"/>
        <w:jc w:val="both"/>
        <w:rPr>
          <w:rFonts w:ascii="Cambria" w:eastAsia="MS Gothic" w:hAnsi="Cambria"/>
          <w:b/>
          <w:sz w:val="20"/>
          <w:szCs w:val="20"/>
          <w:lang w:val="es-MX" w:eastAsia="fr-FR" w:bidi="fr-FR"/>
        </w:rPr>
      </w:pPr>
    </w:p>
    <w:p w14:paraId="3CD465D1" w14:textId="77777777" w:rsidR="00316C09" w:rsidRPr="00316C09" w:rsidRDefault="00316C09" w:rsidP="00316C09">
      <w:pPr>
        <w:widowControl w:val="0"/>
        <w:jc w:val="both"/>
        <w:rPr>
          <w:rFonts w:ascii="Cambria" w:eastAsia="MS Gothic" w:hAnsi="Cambria"/>
          <w:sz w:val="20"/>
          <w:szCs w:val="20"/>
          <w:lang w:val="es-MX" w:eastAsia="fr-FR" w:bidi="fr-FR"/>
        </w:rPr>
      </w:pPr>
      <w:r w:rsidRPr="00316C09">
        <w:rPr>
          <w:rFonts w:ascii="Cambria" w:eastAsia="MS Gothic" w:hAnsi="Cambria"/>
          <w:sz w:val="20"/>
          <w:szCs w:val="20"/>
          <w:lang w:val="es-MX" w:eastAsia="fr-FR" w:bidi="fr-FR"/>
        </w:rPr>
        <w:t>No se aplican medidas adicionales con fines de ejecución o de seguimiento, control e inspección distintas de las señaladas en el presente plan de pesca/ordenación.</w:t>
      </w:r>
    </w:p>
    <w:p w14:paraId="37094CD6" w14:textId="77777777" w:rsidR="00316C09" w:rsidRDefault="00316C09">
      <w:pPr>
        <w:rPr>
          <w:rFonts w:ascii="Cambria" w:hAnsi="Cambria"/>
          <w:b/>
          <w:sz w:val="22"/>
          <w:lang w:val="es-MX"/>
        </w:rPr>
        <w:sectPr w:rsidR="00316C09" w:rsidSect="00666921">
          <w:headerReference w:type="default" r:id="rId20"/>
          <w:pgSz w:w="11906" w:h="16838" w:code="9"/>
          <w:pgMar w:top="1418" w:right="1418" w:bottom="1418" w:left="1418" w:header="851" w:footer="1134" w:gutter="0"/>
          <w:cols w:space="708"/>
          <w:docGrid w:linePitch="360"/>
        </w:sectPr>
      </w:pPr>
    </w:p>
    <w:p w14:paraId="6C2D4E89" w14:textId="77777777" w:rsidR="00993EB7" w:rsidRPr="00993EB7" w:rsidRDefault="00993EB7" w:rsidP="00993EB7">
      <w:pPr>
        <w:widowControl w:val="0"/>
        <w:jc w:val="right"/>
        <w:rPr>
          <w:rFonts w:ascii="Cambria" w:eastAsia="Cambria" w:hAnsi="Cambria" w:cs="Cambria"/>
          <w:b/>
          <w:bCs/>
          <w:color w:val="000000"/>
          <w:sz w:val="20"/>
          <w:szCs w:val="20"/>
        </w:rPr>
      </w:pPr>
    </w:p>
    <w:p w14:paraId="212ACEC3" w14:textId="77777777" w:rsidR="00993EB7" w:rsidRPr="00993EB7" w:rsidRDefault="00993EB7" w:rsidP="00993EB7">
      <w:pPr>
        <w:widowControl w:val="0"/>
        <w:jc w:val="center"/>
        <w:rPr>
          <w:rFonts w:ascii="Cambria" w:eastAsia="Cambria" w:hAnsi="Cambria" w:cs="Cambria"/>
          <w:b/>
          <w:bCs/>
          <w:color w:val="000000"/>
          <w:sz w:val="20"/>
          <w:szCs w:val="20"/>
        </w:rPr>
      </w:pPr>
      <w:r w:rsidRPr="00993EB7">
        <w:rPr>
          <w:rFonts w:ascii="Cambria" w:hAnsi="Cambria"/>
          <w:b/>
          <w:color w:val="000000"/>
          <w:sz w:val="20"/>
        </w:rPr>
        <w:t xml:space="preserve">Plan de pesca/ordenación para el atún rojo del Atlántico occidental </w:t>
      </w:r>
    </w:p>
    <w:p w14:paraId="024AE563" w14:textId="77777777" w:rsidR="00993EB7" w:rsidRPr="00993EB7" w:rsidRDefault="00993EB7" w:rsidP="00993EB7">
      <w:pPr>
        <w:widowControl w:val="0"/>
        <w:jc w:val="center"/>
        <w:rPr>
          <w:rFonts w:ascii="Cambria" w:eastAsia="Cambria" w:hAnsi="Cambria" w:cs="Cambria"/>
          <w:b/>
          <w:bCs/>
          <w:color w:val="000000"/>
          <w:sz w:val="20"/>
          <w:szCs w:val="20"/>
        </w:rPr>
      </w:pPr>
    </w:p>
    <w:p w14:paraId="0E4EB294" w14:textId="77777777" w:rsidR="00993EB7" w:rsidRPr="00993EB7" w:rsidRDefault="00993EB7" w:rsidP="00993EB7">
      <w:pPr>
        <w:widowControl w:val="0"/>
        <w:jc w:val="both"/>
        <w:rPr>
          <w:rFonts w:ascii="Cambria" w:eastAsia="Cambria" w:hAnsi="Cambria" w:cs="Cambria"/>
          <w:b/>
          <w:bCs/>
          <w:color w:val="000000"/>
          <w:sz w:val="20"/>
          <w:szCs w:val="20"/>
        </w:rPr>
      </w:pPr>
      <w:r w:rsidRPr="00993EB7">
        <w:rPr>
          <w:rFonts w:ascii="Cambria" w:hAnsi="Cambria"/>
          <w:b/>
          <w:color w:val="000000"/>
          <w:sz w:val="20"/>
        </w:rPr>
        <w:t>Nombre de la CPC: Estados Unidos</w:t>
      </w:r>
    </w:p>
    <w:p w14:paraId="7C25804D" w14:textId="77777777" w:rsidR="00993EB7" w:rsidRPr="00993EB7" w:rsidRDefault="00993EB7" w:rsidP="00993EB7">
      <w:pPr>
        <w:widowControl w:val="0"/>
        <w:jc w:val="both"/>
        <w:rPr>
          <w:rFonts w:ascii="Cambria" w:eastAsia="Cambria" w:hAnsi="Cambria" w:cs="Cambria"/>
          <w:color w:val="000000"/>
          <w:sz w:val="20"/>
          <w:szCs w:val="20"/>
        </w:rPr>
      </w:pPr>
    </w:p>
    <w:p w14:paraId="45B80514" w14:textId="77777777" w:rsidR="00993EB7" w:rsidRPr="00993EB7" w:rsidRDefault="00993EB7" w:rsidP="00993EB7">
      <w:pPr>
        <w:widowControl w:val="0"/>
        <w:jc w:val="both"/>
        <w:rPr>
          <w:rFonts w:ascii="Cambria" w:eastAsia="Cambria" w:hAnsi="Cambria" w:cs="Cambria"/>
          <w:b/>
          <w:bCs/>
          <w:color w:val="000000"/>
          <w:sz w:val="20"/>
          <w:szCs w:val="20"/>
        </w:rPr>
      </w:pPr>
      <w:r w:rsidRPr="00993EB7">
        <w:rPr>
          <w:rFonts w:ascii="Cambria" w:hAnsi="Cambria"/>
          <w:b/>
          <w:color w:val="000000"/>
          <w:sz w:val="20"/>
        </w:rPr>
        <w:t>Año del plan de pesca: 2025</w:t>
      </w:r>
    </w:p>
    <w:p w14:paraId="3FA7BAE4" w14:textId="77777777" w:rsidR="00993EB7" w:rsidRPr="00993EB7" w:rsidRDefault="00993EB7" w:rsidP="00993EB7">
      <w:pPr>
        <w:widowControl w:val="0"/>
        <w:jc w:val="both"/>
        <w:rPr>
          <w:rFonts w:ascii="Cambria" w:eastAsia="Cambria" w:hAnsi="Cambria" w:cs="Cambria"/>
          <w:b/>
          <w:bCs/>
          <w:color w:val="000000"/>
          <w:sz w:val="20"/>
          <w:szCs w:val="20"/>
        </w:rPr>
      </w:pPr>
    </w:p>
    <w:p w14:paraId="20B98284" w14:textId="77777777" w:rsidR="00993EB7" w:rsidRPr="00993EB7" w:rsidRDefault="00993EB7" w:rsidP="00993EB7">
      <w:pPr>
        <w:widowControl w:val="0"/>
        <w:tabs>
          <w:tab w:val="left" w:pos="426"/>
        </w:tabs>
        <w:jc w:val="both"/>
        <w:rPr>
          <w:rFonts w:ascii="Cambria" w:eastAsia="Cambria" w:hAnsi="Cambria" w:cs="Cambria"/>
          <w:b/>
          <w:bCs/>
          <w:color w:val="000000"/>
          <w:sz w:val="20"/>
          <w:szCs w:val="20"/>
        </w:rPr>
      </w:pPr>
      <w:r w:rsidRPr="00993EB7">
        <w:rPr>
          <w:rFonts w:ascii="Cambria" w:hAnsi="Cambria"/>
          <w:b/>
          <w:color w:val="000000"/>
          <w:sz w:val="20"/>
        </w:rPr>
        <w:t xml:space="preserve">1. </w:t>
      </w:r>
      <w:r w:rsidRPr="00993EB7">
        <w:rPr>
          <w:rFonts w:ascii="Cambria" w:hAnsi="Cambria"/>
          <w:b/>
          <w:color w:val="000000"/>
          <w:sz w:val="20"/>
        </w:rPr>
        <w:tab/>
        <w:t xml:space="preserve">Cuotas de flota para todos los sectores y método utilizado para asignar y gestionar dichas cuotas </w:t>
      </w:r>
    </w:p>
    <w:p w14:paraId="07D0B296" w14:textId="77777777" w:rsidR="00993EB7" w:rsidRPr="00993EB7" w:rsidRDefault="00993EB7" w:rsidP="00993EB7">
      <w:pPr>
        <w:widowControl w:val="0"/>
        <w:tabs>
          <w:tab w:val="left" w:pos="426"/>
        </w:tabs>
        <w:jc w:val="both"/>
        <w:rPr>
          <w:rFonts w:ascii="Cambria" w:eastAsia="Cambria" w:hAnsi="Cambria" w:cs="Cambria"/>
          <w:i/>
          <w:iCs/>
          <w:color w:val="000000"/>
          <w:sz w:val="20"/>
          <w:szCs w:val="20"/>
        </w:rPr>
      </w:pPr>
    </w:p>
    <w:p w14:paraId="6C5FD38B" w14:textId="77777777" w:rsidR="00993EB7" w:rsidRPr="00993EB7" w:rsidRDefault="00993EB7" w:rsidP="00993EB7">
      <w:pPr>
        <w:widowControl w:val="0"/>
        <w:jc w:val="both"/>
        <w:rPr>
          <w:rFonts w:ascii="Cambria" w:eastAsia="Cambria" w:hAnsi="Cambria" w:cs="Cambria"/>
          <w:b/>
          <w:bCs/>
          <w:i/>
          <w:iCs/>
          <w:color w:val="000000"/>
          <w:sz w:val="20"/>
          <w:szCs w:val="20"/>
        </w:rPr>
      </w:pPr>
      <w:r w:rsidRPr="00993EB7">
        <w:rPr>
          <w:rFonts w:ascii="Cambria" w:hAnsi="Cambria"/>
          <w:b/>
          <w:i/>
          <w:color w:val="000000"/>
          <w:sz w:val="20"/>
        </w:rPr>
        <w:t>1 a) Presentación</w:t>
      </w:r>
    </w:p>
    <w:p w14:paraId="33437E66" w14:textId="77777777" w:rsidR="00993EB7" w:rsidRPr="00993EB7" w:rsidRDefault="00993EB7" w:rsidP="00993EB7">
      <w:pPr>
        <w:widowControl w:val="0"/>
        <w:jc w:val="both"/>
        <w:rPr>
          <w:rFonts w:ascii="Cambria" w:eastAsia="Cambria" w:hAnsi="Cambria" w:cs="Cambria"/>
          <w:b/>
          <w:bCs/>
          <w:i/>
          <w:iCs/>
          <w:color w:val="000000"/>
          <w:sz w:val="20"/>
          <w:szCs w:val="20"/>
        </w:rPr>
      </w:pPr>
    </w:p>
    <w:p w14:paraId="3F54CF1E" w14:textId="77777777" w:rsidR="00993EB7" w:rsidRPr="00993EB7" w:rsidRDefault="00993EB7" w:rsidP="00993EB7">
      <w:pPr>
        <w:widowControl w:val="0"/>
        <w:jc w:val="both"/>
        <w:rPr>
          <w:rFonts w:ascii="Cambria" w:eastAsia="Cambria" w:hAnsi="Cambria" w:cs="Cambria"/>
          <w:sz w:val="20"/>
          <w:szCs w:val="20"/>
        </w:rPr>
      </w:pPr>
      <w:r w:rsidRPr="00993EB7">
        <w:rPr>
          <w:rFonts w:ascii="Cambria" w:hAnsi="Cambria"/>
          <w:sz w:val="20"/>
        </w:rPr>
        <w:t xml:space="preserve">Las acciones de conservación y ordenación para el atún rojo (BFT) del Atlántico en Estados Unidos se desarrollan, coordinan y aplican a través del Plan consolidado de ordenación de la pesca de especies altamente migratorias (HMS) del Atlántico de 2006, y se publican bajo la jurisdicción del Servicio Nacional de Pesquerías Marinas (NMFS; véase http://www.nmfs.noaa.gov/sfa/hms/documents/fmp/consolidated/index.html). Estados Unidos aplica las recomendaciones adoptadas por ICCAT mediante reglamentos en virtud de la Ley del Convenio del Atún Atlántico (ATCA). Las pesquerías de HMS del Atlántico también están sujetas a regulación de conformidad con otras leyes estadounidenses aplicables, como la Ley Magnuson-Stevens de conservación y ordenación de la pesca, la Ley de especies en peligro y la Ley de protección de mamíferos marinos. La normativa que regula la conservación y la ordenación del BFT, así como de otras HMS del Atlántico, se recoge en el </w:t>
      </w:r>
      <w:hyperlink r:id="rId21">
        <w:r w:rsidRPr="00993EB7">
          <w:rPr>
            <w:rFonts w:ascii="Cambria" w:hAnsi="Cambria"/>
            <w:color w:val="1155CC"/>
            <w:sz w:val="20"/>
          </w:rPr>
          <w:t>Código de Reglamentos Federales (CFR), título 50, parte 635</w:t>
        </w:r>
      </w:hyperlink>
      <w:r w:rsidRPr="00993EB7">
        <w:rPr>
          <w:rFonts w:ascii="Cambria" w:hAnsi="Cambria"/>
          <w:sz w:val="20"/>
        </w:rPr>
        <w:t>.</w:t>
      </w:r>
    </w:p>
    <w:p w14:paraId="339A975A" w14:textId="77777777" w:rsidR="00993EB7" w:rsidRPr="00993EB7" w:rsidRDefault="00993EB7" w:rsidP="00993EB7">
      <w:pPr>
        <w:widowControl w:val="0"/>
        <w:jc w:val="both"/>
        <w:rPr>
          <w:rFonts w:ascii="Cambria" w:eastAsia="Cambria" w:hAnsi="Cambria" w:cs="Cambria"/>
          <w:sz w:val="20"/>
          <w:szCs w:val="20"/>
        </w:rPr>
      </w:pPr>
    </w:p>
    <w:p w14:paraId="4CAD2F49" w14:textId="77777777" w:rsidR="00993EB7" w:rsidRPr="00993EB7" w:rsidRDefault="00993EB7" w:rsidP="00993EB7">
      <w:pPr>
        <w:widowControl w:val="0"/>
        <w:jc w:val="both"/>
        <w:rPr>
          <w:rFonts w:ascii="Cambria" w:eastAsia="Cambria" w:hAnsi="Cambria" w:cs="Cambria"/>
          <w:sz w:val="20"/>
          <w:szCs w:val="20"/>
        </w:rPr>
      </w:pPr>
      <w:r w:rsidRPr="00993EB7">
        <w:t>Todos los años, e</w:t>
      </w:r>
      <w:r w:rsidRPr="00993EB7">
        <w:rPr>
          <w:rFonts w:ascii="Cambria" w:hAnsi="Cambria"/>
          <w:sz w:val="20"/>
        </w:rPr>
        <w:t xml:space="preserve">l NMFS elabora un </w:t>
      </w:r>
      <w:hyperlink r:id="rId22">
        <w:r w:rsidRPr="00993EB7">
          <w:rPr>
            <w:rFonts w:ascii="Cambria" w:hAnsi="Cambria"/>
            <w:color w:val="1155CC"/>
            <w:sz w:val="20"/>
          </w:rPr>
          <w:t>informe de evaluación de stocks y de las pesquerías (SAFE)</w:t>
        </w:r>
      </w:hyperlink>
      <w:r w:rsidRPr="00993EB7">
        <w:t>,</w:t>
      </w:r>
      <w:r w:rsidRPr="00993EB7">
        <w:rPr>
          <w:rFonts w:ascii="Cambria" w:hAnsi="Cambria"/>
          <w:sz w:val="20"/>
        </w:rPr>
        <w:t xml:space="preserve"> en el que se examina la situación actual de los stocks de peces HMS del Atlántico (túnidos, pez espada, istiofóridos y tiburones) y se describen los logros del año en materia de ordenación pesquera. El informe —exigido en virtud de la Ley Magnuson-Stevens de conservación y ordenación pesquera— ofrece a la ciudadanía información sobre las últimas novedades en materia de ordenación de HMS del Atlántico e incluye datos resumidos de interés para las pesquerías de BFT de Estados Unidos.</w:t>
      </w:r>
    </w:p>
    <w:p w14:paraId="2AFBEA53" w14:textId="77777777" w:rsidR="00993EB7" w:rsidRPr="00993EB7" w:rsidRDefault="00993EB7" w:rsidP="00993EB7">
      <w:pPr>
        <w:widowControl w:val="0"/>
        <w:jc w:val="both"/>
        <w:rPr>
          <w:rFonts w:ascii="Cambria" w:eastAsia="Cambria" w:hAnsi="Cambria" w:cs="Cambria"/>
          <w:sz w:val="20"/>
          <w:szCs w:val="20"/>
        </w:rPr>
      </w:pPr>
    </w:p>
    <w:p w14:paraId="1D592DB9" w14:textId="77777777" w:rsidR="00993EB7" w:rsidRPr="00993EB7" w:rsidRDefault="00993EB7" w:rsidP="00993EB7">
      <w:pPr>
        <w:widowControl w:val="0"/>
        <w:jc w:val="both"/>
        <w:rPr>
          <w:rFonts w:ascii="Cambria" w:eastAsia="Cambria" w:hAnsi="Cambria" w:cs="Cambria"/>
          <w:sz w:val="20"/>
          <w:szCs w:val="20"/>
        </w:rPr>
      </w:pPr>
      <w:r w:rsidRPr="00993EB7">
        <w:rPr>
          <w:rFonts w:ascii="Cambria" w:hAnsi="Cambria"/>
          <w:sz w:val="20"/>
        </w:rPr>
        <w:t xml:space="preserve">Estados Unidos utiliza diversas herramientas y enfoques para gestionar de manera efectiva sus pesquerías de HMS del Atlántico, entre los que figuran los requisitos de concesión de licencias y de comunicación de datos, los límites de talla, los límites de retención y restricciones a los artes. Estas medidas reflejan los resultados y el asesoramiento de estudios científicos y tienen como objetivo desarrollar y mantener una pesca sostenible y un ecosistema sano. La conservación y ordenación de las pesquerías de BFT de Estados Unidos se han definido mediante un amplio conjunto de medidas basadas en el ecosistema que se han implantado en consonancia con los requisitos nacionales y que van más allá de los requisitos de las Recomendaciones de ICCAT. Por ejemplo, la talla mínima comercial vigente en Estados Unidos (73 pulgadas [185 cm de longitud curva a la horquilla o 178 cm de longitud recta a la horquilla]) se estableció en 1992 para ayudar a reducir la tasa de mortalidad por pesca del BFT inmaduro. Esta talla mínima figura en la normativa relativa a las licencias de pesca comercial de túnidos y a las categorías de cuotas comerciales de BFT (véase </w:t>
      </w:r>
      <w:hyperlink r:id="rId23">
        <w:r w:rsidRPr="00993EB7">
          <w:rPr>
            <w:rFonts w:ascii="Cambria" w:hAnsi="Cambria"/>
            <w:color w:val="1155CC"/>
            <w:sz w:val="20"/>
          </w:rPr>
          <w:t>§ 635.27</w:t>
        </w:r>
        <w:r w:rsidRPr="00993EB7">
          <w:rPr>
            <w:rFonts w:ascii="Cambria" w:hAnsi="Cambria"/>
            <w:sz w:val="20"/>
          </w:rPr>
          <w:t>)</w:t>
        </w:r>
      </w:hyperlink>
      <w:r w:rsidRPr="00993EB7">
        <w:rPr>
          <w:rFonts w:ascii="Cambria" w:hAnsi="Cambria"/>
          <w:sz w:val="20"/>
        </w:rPr>
        <w:t xml:space="preserve">. </w:t>
      </w:r>
    </w:p>
    <w:p w14:paraId="013BD532" w14:textId="77777777" w:rsidR="00993EB7" w:rsidRPr="00993EB7" w:rsidRDefault="00993EB7" w:rsidP="00993EB7">
      <w:pPr>
        <w:widowControl w:val="0"/>
        <w:jc w:val="both"/>
        <w:rPr>
          <w:rFonts w:ascii="Cambria" w:eastAsia="Cambria" w:hAnsi="Cambria" w:cs="Cambria"/>
          <w:sz w:val="20"/>
          <w:szCs w:val="20"/>
        </w:rPr>
      </w:pPr>
    </w:p>
    <w:p w14:paraId="6F6EA179" w14:textId="77777777" w:rsidR="00993EB7" w:rsidRPr="00993EB7" w:rsidRDefault="00993EB7" w:rsidP="00993EB7">
      <w:pPr>
        <w:widowControl w:val="0"/>
        <w:jc w:val="both"/>
        <w:rPr>
          <w:rFonts w:ascii="Cambria" w:eastAsia="Cambria" w:hAnsi="Cambria" w:cs="Cambria"/>
          <w:sz w:val="20"/>
          <w:szCs w:val="20"/>
        </w:rPr>
      </w:pPr>
      <w:r w:rsidRPr="00993EB7">
        <w:rPr>
          <w:rFonts w:ascii="Cambria" w:hAnsi="Cambria"/>
          <w:sz w:val="20"/>
        </w:rPr>
        <w:t>Estados Unidos emplea medios eficaces para garantizar la recopilación de datos fiables sobre las pesquerías con fines de ordenación y evaluación de los stocks, incluido el uso de cuadernos de pesca y observadores. Además, los científicos estadounidenses participan activamente en el proceso de evaluación de stocks y realizan investigaciones innovadoras sobre la biología, el ciclo vital y las técnicas de pesca de BFT, así como sobre la tecnología para reducir la captura fortuita de BFT en las pesquerías no objetivo. Las actividades de investigación y ordenación emprendidas por Estados Unidos garantizan la aplicación efectiva y el cumplimiento de las medidas de ICCAT y apoyan el proceso de evaluación de la estrategia de ordenación (MSE). También apoyan los esfuerzos de ICCAT y de Estados Unidos para evitar la sobrepesca y mantener la biomasa de los stocks de BFT al nivel que pueda permitir el rendimiento máximo sostenible (RMS), en consonancia con el objetivo del Convenio.</w:t>
      </w:r>
    </w:p>
    <w:p w14:paraId="023595A6" w14:textId="77777777" w:rsidR="00993EB7" w:rsidRPr="00993EB7" w:rsidRDefault="00993EB7" w:rsidP="00993EB7">
      <w:pPr>
        <w:widowControl w:val="0"/>
        <w:jc w:val="both"/>
        <w:rPr>
          <w:rFonts w:ascii="Cambria" w:eastAsia="Cambria" w:hAnsi="Cambria" w:cs="Cambria"/>
          <w:sz w:val="20"/>
          <w:szCs w:val="20"/>
        </w:rPr>
      </w:pPr>
    </w:p>
    <w:p w14:paraId="5CBAB587" w14:textId="77777777" w:rsidR="00993EB7" w:rsidRPr="00993EB7" w:rsidRDefault="00993EB7" w:rsidP="00993EB7">
      <w:pPr>
        <w:widowControl w:val="0"/>
        <w:jc w:val="both"/>
        <w:rPr>
          <w:rFonts w:ascii="Cambria" w:hAnsi="Cambria"/>
          <w:sz w:val="20"/>
        </w:rPr>
      </w:pPr>
      <w:r w:rsidRPr="00993EB7">
        <w:rPr>
          <w:rFonts w:ascii="Cambria" w:hAnsi="Cambria"/>
          <w:sz w:val="20"/>
        </w:rPr>
        <w:t>La cuota inicial de Estados Unidos para la campaña pesquera de 2025 (del 1 de enero al 31 de diciembre de 2025) fue de 1.316,14 t. La cuota ajustada de Estados Unidos fue de 1.199,96 t (véase el párrafo 1 d)).</w:t>
      </w:r>
    </w:p>
    <w:p w14:paraId="01D2ED0B" w14:textId="77777777" w:rsidR="00993EB7" w:rsidRPr="00993EB7" w:rsidRDefault="00993EB7" w:rsidP="00993EB7">
      <w:pPr>
        <w:widowControl w:val="0"/>
        <w:jc w:val="both"/>
        <w:rPr>
          <w:rFonts w:ascii="Cambria" w:hAnsi="Cambria"/>
          <w:sz w:val="20"/>
        </w:rPr>
      </w:pPr>
      <w:r w:rsidRPr="00993EB7">
        <w:rPr>
          <w:rFonts w:ascii="Cambria" w:hAnsi="Cambria"/>
          <w:sz w:val="20"/>
        </w:rPr>
        <w:br w:type="page"/>
      </w:r>
    </w:p>
    <w:p w14:paraId="13DC5FD1" w14:textId="77777777" w:rsidR="00993EB7" w:rsidRPr="00993EB7" w:rsidRDefault="00993EB7" w:rsidP="00993EB7">
      <w:pPr>
        <w:widowControl w:val="0"/>
        <w:jc w:val="both"/>
        <w:rPr>
          <w:rFonts w:ascii="Cambria" w:eastAsia="Cambria" w:hAnsi="Cambria" w:cs="Cambria"/>
          <w:sz w:val="20"/>
          <w:szCs w:val="20"/>
        </w:rPr>
      </w:pPr>
      <w:r w:rsidRPr="00993EB7">
        <w:rPr>
          <w:rFonts w:ascii="Cambria" w:hAnsi="Cambria"/>
          <w:sz w:val="20"/>
        </w:rPr>
        <w:lastRenderedPageBreak/>
        <w:t>La pesca de recreo de BFT es una pesquería de acceso abierto sujeta al permiso de los buques pesqueros. Hay dos tipos de permisos recreativos para los pescadores de BFT: pesca con caña de HMS y pesca con</w:t>
      </w:r>
      <w:r w:rsidRPr="00993EB7">
        <w:rPr>
          <w:rFonts w:ascii="Cambria" w:hAnsi="Cambria"/>
          <w:b/>
          <w:bCs/>
          <w:sz w:val="20"/>
          <w:u w:val="single"/>
        </w:rPr>
        <w:t xml:space="preserve"> </w:t>
      </w:r>
      <w:r w:rsidRPr="00993EB7">
        <w:rPr>
          <w:rFonts w:ascii="Cambria" w:hAnsi="Cambria"/>
          <w:sz w:val="20"/>
        </w:rPr>
        <w:t>barcos deportivos fletados/barcos de pesca colectiva de HMS. La normativa vigente para los buques de recreo establece una talla mínima de los peces, una cuota, límites de retención (por buque, por día o por marea) y la prohibición de la venta. Las restricciones sobre la transformación del pescado en el mar para garantizar la correcta identificación de las especies durante las acciones de ejecución en el mar y a pie de muelle también se aplican a nivel de recreo y comercial.</w:t>
      </w:r>
    </w:p>
    <w:p w14:paraId="08549DD6" w14:textId="77777777" w:rsidR="00993EB7" w:rsidRPr="00993EB7" w:rsidRDefault="00993EB7" w:rsidP="00993EB7">
      <w:pPr>
        <w:widowControl w:val="0"/>
        <w:rPr>
          <w:rFonts w:ascii="Cambria" w:eastAsia="Cambria" w:hAnsi="Cambria" w:cs="Cambria"/>
          <w:sz w:val="20"/>
          <w:szCs w:val="20"/>
        </w:rPr>
      </w:pPr>
    </w:p>
    <w:p w14:paraId="3137DB1B" w14:textId="77777777" w:rsidR="00993EB7" w:rsidRPr="00993EB7" w:rsidRDefault="00993EB7" w:rsidP="00993EB7">
      <w:pPr>
        <w:widowControl w:val="0"/>
        <w:rPr>
          <w:rFonts w:ascii="Cambria" w:eastAsia="Cambria" w:hAnsi="Cambria" w:cs="Cambria"/>
          <w:i/>
          <w:iCs/>
          <w:sz w:val="20"/>
          <w:szCs w:val="20"/>
        </w:rPr>
      </w:pPr>
      <w:r w:rsidRPr="00993EB7">
        <w:rPr>
          <w:rFonts w:ascii="Cambria" w:hAnsi="Cambria"/>
          <w:i/>
          <w:sz w:val="20"/>
        </w:rPr>
        <w:t>Categorías de permisos y sectores de flota</w:t>
      </w:r>
    </w:p>
    <w:p w14:paraId="46DD75C5" w14:textId="77777777" w:rsidR="00993EB7" w:rsidRPr="00993EB7" w:rsidRDefault="00993EB7" w:rsidP="00993EB7">
      <w:pPr>
        <w:widowControl w:val="0"/>
        <w:rPr>
          <w:rFonts w:ascii="Cambria" w:eastAsia="Cambria" w:hAnsi="Cambria" w:cs="Cambria"/>
          <w:i/>
          <w:iCs/>
          <w:sz w:val="20"/>
          <w:szCs w:val="20"/>
        </w:rPr>
      </w:pPr>
    </w:p>
    <w:p w14:paraId="38FBF40A" w14:textId="77777777" w:rsidR="00993EB7" w:rsidRPr="00993EB7" w:rsidRDefault="00993EB7" w:rsidP="00993EB7">
      <w:pPr>
        <w:widowControl w:val="0"/>
        <w:jc w:val="both"/>
        <w:rPr>
          <w:rFonts w:ascii="Cambria" w:eastAsia="Cambria" w:hAnsi="Cambria" w:cs="Cambria"/>
          <w:sz w:val="20"/>
          <w:szCs w:val="20"/>
        </w:rPr>
      </w:pPr>
      <w:r w:rsidRPr="00993EB7">
        <w:rPr>
          <w:rFonts w:ascii="Cambria" w:hAnsi="Cambria"/>
          <w:sz w:val="20"/>
        </w:rPr>
        <w:t>Los pescadores de BFT disponen de cuatro tipos de permisos comerciales para pescar túnidos: túnidos del Atlántico con palangre, túnidos del Atlántico en general, túnidos del Atlántico con arpón y permiso de barcos deportivos fletados/barcos de pesca colectiva para HMS. Los titulares de un permiso comercial de HMS solo pueden vender a comerciantes autorizados. Los comerciantes en túnidos del Atlántico deben obtener un permiso de comerciante de túnidos del Atlántico para recibir, adquirir, comerciar o intercambiar túnidos del Atlántico de un buque.</w:t>
      </w:r>
    </w:p>
    <w:p w14:paraId="34CDE592" w14:textId="77777777" w:rsidR="00993EB7" w:rsidRPr="00993EB7" w:rsidRDefault="00993EB7" w:rsidP="00993EB7">
      <w:pPr>
        <w:widowControl w:val="0"/>
        <w:rPr>
          <w:rFonts w:ascii="Cambria" w:eastAsia="Cambria" w:hAnsi="Cambria" w:cs="Cambria"/>
          <w:sz w:val="20"/>
          <w:szCs w:val="20"/>
        </w:rPr>
      </w:pPr>
    </w:p>
    <w:p w14:paraId="59ECE5E2" w14:textId="77777777" w:rsidR="00993EB7" w:rsidRPr="00993EB7" w:rsidRDefault="00993EB7" w:rsidP="00993EB7">
      <w:pPr>
        <w:widowControl w:val="0"/>
        <w:jc w:val="both"/>
        <w:rPr>
          <w:rFonts w:ascii="Cambria" w:eastAsia="Cambria" w:hAnsi="Cambria" w:cs="Cambria"/>
          <w:sz w:val="20"/>
          <w:szCs w:val="20"/>
        </w:rPr>
      </w:pPr>
      <w:r w:rsidRPr="00993EB7">
        <w:rPr>
          <w:rFonts w:ascii="Cambria" w:hAnsi="Cambria"/>
          <w:sz w:val="20"/>
        </w:rPr>
        <w:t xml:space="preserve">La pesquería de palangre pelágico de Estados Unidos se gestiona mediante un programa de permisos de acceso limitado, en virtud del cual no se expiden nuevos permisos, pero estos pueden transferirse entre buques previa autorización. </w:t>
      </w:r>
    </w:p>
    <w:p w14:paraId="703BF2C1" w14:textId="77777777" w:rsidR="00993EB7" w:rsidRPr="00993EB7" w:rsidRDefault="00993EB7" w:rsidP="00993EB7">
      <w:pPr>
        <w:widowControl w:val="0"/>
        <w:jc w:val="both"/>
        <w:rPr>
          <w:rFonts w:ascii="Cambria" w:eastAsia="Cambria" w:hAnsi="Cambria" w:cs="Cambria"/>
          <w:sz w:val="20"/>
          <w:szCs w:val="20"/>
        </w:rPr>
      </w:pPr>
    </w:p>
    <w:p w14:paraId="46DCC648" w14:textId="77777777" w:rsidR="00993EB7" w:rsidRPr="00993EB7" w:rsidRDefault="00993EB7" w:rsidP="00993EB7">
      <w:pPr>
        <w:widowControl w:val="0"/>
        <w:jc w:val="both"/>
        <w:rPr>
          <w:rFonts w:ascii="Cambria" w:eastAsia="Cambria" w:hAnsi="Cambria" w:cs="Cambria"/>
          <w:sz w:val="20"/>
          <w:szCs w:val="20"/>
        </w:rPr>
      </w:pPr>
      <w:r w:rsidRPr="00993EB7">
        <w:rPr>
          <w:rFonts w:ascii="Cambria" w:hAnsi="Cambria"/>
          <w:sz w:val="20"/>
        </w:rPr>
        <w:t xml:space="preserve">Los BFT solo podrán capturarse con los artes autorizados en cada tipo de permiso, conforme se indica a continuación (véase </w:t>
      </w:r>
      <w:r w:rsidRPr="00993EB7">
        <w:rPr>
          <w:rFonts w:ascii="Cambria" w:hAnsi="Cambria"/>
          <w:color w:val="1155CC"/>
          <w:sz w:val="20"/>
        </w:rPr>
        <w:t xml:space="preserve">§ </w:t>
      </w:r>
      <w:hyperlink r:id="rId24" w:anchor="p-635.19(b)(1)">
        <w:r w:rsidRPr="00993EB7">
          <w:rPr>
            <w:rFonts w:ascii="Cambria" w:hAnsi="Cambria"/>
            <w:color w:val="1155CC"/>
            <w:sz w:val="20"/>
          </w:rPr>
          <w:t>635.19(b)(1)</w:t>
        </w:r>
      </w:hyperlink>
      <w:r w:rsidRPr="00993EB7">
        <w:rPr>
          <w:rFonts w:ascii="Cambria" w:hAnsi="Cambria"/>
          <w:sz w:val="20"/>
        </w:rPr>
        <w:t>):</w:t>
      </w:r>
    </w:p>
    <w:p w14:paraId="1EAF8EDA" w14:textId="77777777" w:rsidR="00993EB7" w:rsidRPr="00993EB7" w:rsidRDefault="00993EB7" w:rsidP="00993EB7">
      <w:pPr>
        <w:widowControl w:val="0"/>
        <w:jc w:val="both"/>
        <w:rPr>
          <w:rFonts w:ascii="Cambria" w:eastAsia="Cambria" w:hAnsi="Cambria" w:cs="Cambria"/>
          <w:sz w:val="20"/>
          <w:szCs w:val="20"/>
        </w:rPr>
      </w:pPr>
    </w:p>
    <w:p w14:paraId="5007FABD" w14:textId="77777777" w:rsidR="00993EB7" w:rsidRPr="00993EB7" w:rsidRDefault="00993EB7" w:rsidP="00993EB7">
      <w:pPr>
        <w:widowControl w:val="0"/>
        <w:numPr>
          <w:ilvl w:val="0"/>
          <w:numId w:val="42"/>
        </w:numPr>
        <w:ind w:left="851" w:hanging="425"/>
        <w:jc w:val="both"/>
        <w:rPr>
          <w:rFonts w:ascii="Cambria" w:eastAsia="Cambria" w:hAnsi="Cambria" w:cs="Cambria"/>
          <w:sz w:val="20"/>
          <w:szCs w:val="20"/>
        </w:rPr>
      </w:pPr>
      <w:r w:rsidRPr="00993EB7">
        <w:rPr>
          <w:rFonts w:ascii="Cambria" w:hAnsi="Cambria"/>
          <w:sz w:val="20"/>
        </w:rPr>
        <w:t xml:space="preserve">Categoría general: caña y carrete (incluidos los profundizadores), línea de mano, arpón, arte </w:t>
      </w:r>
      <w:proofErr w:type="spellStart"/>
      <w:r w:rsidRPr="00993EB7">
        <w:rPr>
          <w:rFonts w:ascii="Cambria" w:hAnsi="Cambria"/>
          <w:i/>
          <w:iCs/>
          <w:sz w:val="20"/>
        </w:rPr>
        <w:t>bandit</w:t>
      </w:r>
      <w:proofErr w:type="spellEnd"/>
      <w:r w:rsidRPr="00993EB7">
        <w:rPr>
          <w:rFonts w:ascii="Cambria" w:hAnsi="Cambria"/>
          <w:sz w:val="20"/>
        </w:rPr>
        <w:t xml:space="preserve"> y arte </w:t>
      </w:r>
      <w:r w:rsidRPr="00993EB7">
        <w:rPr>
          <w:rFonts w:ascii="Cambria" w:hAnsi="Cambria"/>
          <w:i/>
          <w:iCs/>
          <w:sz w:val="20"/>
        </w:rPr>
        <w:t>green-</w:t>
      </w:r>
      <w:proofErr w:type="spellStart"/>
      <w:r w:rsidRPr="00993EB7">
        <w:rPr>
          <w:rFonts w:ascii="Cambria" w:hAnsi="Cambria"/>
          <w:i/>
          <w:iCs/>
          <w:sz w:val="20"/>
        </w:rPr>
        <w:t>stick</w:t>
      </w:r>
      <w:proofErr w:type="spellEnd"/>
      <w:r w:rsidRPr="00993EB7">
        <w:rPr>
          <w:rFonts w:ascii="Cambria" w:hAnsi="Cambria"/>
          <w:sz w:val="20"/>
        </w:rPr>
        <w:t>.</w:t>
      </w:r>
    </w:p>
    <w:p w14:paraId="5D2B11AE" w14:textId="77777777" w:rsidR="00993EB7" w:rsidRPr="00993EB7" w:rsidRDefault="00993EB7" w:rsidP="00993EB7">
      <w:pPr>
        <w:widowControl w:val="0"/>
        <w:numPr>
          <w:ilvl w:val="0"/>
          <w:numId w:val="42"/>
        </w:numPr>
        <w:ind w:left="851" w:hanging="425"/>
        <w:jc w:val="both"/>
        <w:rPr>
          <w:rFonts w:ascii="Cambria" w:eastAsia="Cambria" w:hAnsi="Cambria" w:cs="Cambria"/>
          <w:sz w:val="20"/>
          <w:szCs w:val="20"/>
        </w:rPr>
      </w:pPr>
      <w:r w:rsidRPr="00993EB7">
        <w:rPr>
          <w:rFonts w:ascii="Cambria" w:hAnsi="Cambria"/>
          <w:sz w:val="20"/>
        </w:rPr>
        <w:t xml:space="preserve">Categoría de barcos deportivos fletados/barcos de pesca colectiva: caña y carrete (incluidos los profundizadores), arte </w:t>
      </w:r>
      <w:proofErr w:type="spellStart"/>
      <w:r w:rsidRPr="00993EB7">
        <w:rPr>
          <w:rFonts w:ascii="Cambria" w:hAnsi="Cambria"/>
          <w:i/>
          <w:iCs/>
          <w:sz w:val="20"/>
        </w:rPr>
        <w:t>bandit</w:t>
      </w:r>
      <w:proofErr w:type="spellEnd"/>
      <w:r w:rsidRPr="00993EB7">
        <w:rPr>
          <w:rFonts w:ascii="Cambria" w:hAnsi="Cambria"/>
          <w:sz w:val="20"/>
        </w:rPr>
        <w:t xml:space="preserve">, línea de mano y arte </w:t>
      </w:r>
      <w:r w:rsidRPr="00993EB7">
        <w:rPr>
          <w:rFonts w:ascii="Cambria" w:hAnsi="Cambria"/>
          <w:i/>
          <w:iCs/>
          <w:sz w:val="20"/>
        </w:rPr>
        <w:t>green-</w:t>
      </w:r>
      <w:proofErr w:type="spellStart"/>
      <w:r w:rsidRPr="00993EB7">
        <w:rPr>
          <w:rFonts w:ascii="Cambria" w:hAnsi="Cambria"/>
          <w:i/>
          <w:iCs/>
          <w:sz w:val="20"/>
        </w:rPr>
        <w:t>stick</w:t>
      </w:r>
      <w:proofErr w:type="spellEnd"/>
      <w:r w:rsidRPr="00993EB7">
        <w:rPr>
          <w:rFonts w:ascii="Cambria" w:hAnsi="Cambria"/>
          <w:sz w:val="20"/>
        </w:rPr>
        <w:t>.</w:t>
      </w:r>
    </w:p>
    <w:p w14:paraId="58522510" w14:textId="77777777" w:rsidR="00993EB7" w:rsidRPr="00993EB7" w:rsidRDefault="00993EB7" w:rsidP="00993EB7">
      <w:pPr>
        <w:widowControl w:val="0"/>
        <w:numPr>
          <w:ilvl w:val="0"/>
          <w:numId w:val="42"/>
        </w:numPr>
        <w:ind w:left="851" w:hanging="425"/>
        <w:jc w:val="both"/>
        <w:rPr>
          <w:rFonts w:ascii="Cambria" w:eastAsia="Cambria" w:hAnsi="Cambria" w:cs="Cambria"/>
          <w:sz w:val="20"/>
          <w:szCs w:val="20"/>
        </w:rPr>
      </w:pPr>
      <w:r w:rsidRPr="00993EB7">
        <w:rPr>
          <w:rFonts w:ascii="Cambria" w:hAnsi="Cambria"/>
          <w:sz w:val="20"/>
        </w:rPr>
        <w:t>Categoría de arpón: arpón.</w:t>
      </w:r>
    </w:p>
    <w:p w14:paraId="6264C362" w14:textId="77777777" w:rsidR="00993EB7" w:rsidRPr="00993EB7" w:rsidRDefault="00993EB7" w:rsidP="00993EB7">
      <w:pPr>
        <w:widowControl w:val="0"/>
        <w:numPr>
          <w:ilvl w:val="0"/>
          <w:numId w:val="42"/>
        </w:numPr>
        <w:ind w:left="851" w:hanging="425"/>
        <w:jc w:val="both"/>
        <w:rPr>
          <w:rFonts w:ascii="Cambria" w:eastAsia="Cambria" w:hAnsi="Cambria" w:cs="Cambria"/>
          <w:sz w:val="20"/>
          <w:szCs w:val="20"/>
        </w:rPr>
      </w:pPr>
      <w:r w:rsidRPr="00993EB7">
        <w:rPr>
          <w:rFonts w:ascii="Cambria" w:hAnsi="Cambria"/>
          <w:sz w:val="20"/>
        </w:rPr>
        <w:t xml:space="preserve">Categoría de palangre: palangre y arte </w:t>
      </w:r>
      <w:r w:rsidRPr="00993EB7">
        <w:rPr>
          <w:rFonts w:ascii="Cambria" w:hAnsi="Cambria"/>
          <w:i/>
          <w:iCs/>
          <w:sz w:val="20"/>
        </w:rPr>
        <w:t>green-</w:t>
      </w:r>
      <w:proofErr w:type="spellStart"/>
      <w:r w:rsidRPr="00993EB7">
        <w:rPr>
          <w:rFonts w:ascii="Cambria" w:hAnsi="Cambria"/>
          <w:i/>
          <w:iCs/>
          <w:sz w:val="20"/>
        </w:rPr>
        <w:t>stick</w:t>
      </w:r>
      <w:proofErr w:type="spellEnd"/>
      <w:r w:rsidRPr="00993EB7">
        <w:rPr>
          <w:rFonts w:ascii="Cambria" w:hAnsi="Cambria"/>
          <w:sz w:val="20"/>
        </w:rPr>
        <w:t>.</w:t>
      </w:r>
    </w:p>
    <w:p w14:paraId="4EA86802" w14:textId="77777777" w:rsidR="00993EB7" w:rsidRPr="00993EB7" w:rsidRDefault="00993EB7" w:rsidP="00993EB7">
      <w:pPr>
        <w:widowControl w:val="0"/>
        <w:numPr>
          <w:ilvl w:val="0"/>
          <w:numId w:val="42"/>
        </w:numPr>
        <w:ind w:left="851" w:hanging="425"/>
        <w:jc w:val="both"/>
        <w:rPr>
          <w:rFonts w:ascii="Cambria" w:eastAsia="Cambria" w:hAnsi="Cambria" w:cs="Cambria"/>
          <w:sz w:val="20"/>
          <w:szCs w:val="20"/>
        </w:rPr>
      </w:pPr>
      <w:r w:rsidRPr="00993EB7">
        <w:rPr>
          <w:rFonts w:ascii="Cambria" w:hAnsi="Cambria"/>
          <w:sz w:val="20"/>
        </w:rPr>
        <w:t>Categoría de almadraba</w:t>
      </w:r>
      <w:r w:rsidRPr="00993EB7">
        <w:rPr>
          <w:rFonts w:ascii="Cambria" w:eastAsia="Cambria" w:hAnsi="Cambria" w:cs="Cambria"/>
          <w:sz w:val="20"/>
          <w:szCs w:val="20"/>
          <w:vertAlign w:val="superscript"/>
        </w:rPr>
        <w:footnoteReference w:id="5"/>
      </w:r>
      <w:r w:rsidRPr="00993EB7">
        <w:rPr>
          <w:rFonts w:ascii="Cambria" w:hAnsi="Cambria"/>
          <w:sz w:val="20"/>
        </w:rPr>
        <w:t>: red de trampa fija y corral de pesca.</w:t>
      </w:r>
    </w:p>
    <w:p w14:paraId="2DAAF3AA" w14:textId="77777777" w:rsidR="00993EB7" w:rsidRPr="00993EB7" w:rsidRDefault="00993EB7" w:rsidP="00993EB7">
      <w:pPr>
        <w:widowControl w:val="0"/>
        <w:numPr>
          <w:ilvl w:val="0"/>
          <w:numId w:val="42"/>
        </w:numPr>
        <w:ind w:left="851" w:hanging="425"/>
        <w:jc w:val="both"/>
        <w:rPr>
          <w:rFonts w:ascii="Cambria" w:eastAsia="Cambria" w:hAnsi="Cambria" w:cs="Cambria"/>
          <w:sz w:val="20"/>
          <w:szCs w:val="20"/>
        </w:rPr>
      </w:pPr>
      <w:r w:rsidRPr="00993EB7">
        <w:rPr>
          <w:rFonts w:ascii="Cambria" w:hAnsi="Cambria"/>
          <w:sz w:val="20"/>
        </w:rPr>
        <w:t>Categoría de pesca con caña: caña y carrete (incluidos los profundizadores) y línea de mano.</w:t>
      </w:r>
    </w:p>
    <w:p w14:paraId="1252798E" w14:textId="77777777" w:rsidR="00993EB7" w:rsidRPr="00993EB7" w:rsidRDefault="00993EB7" w:rsidP="00993EB7">
      <w:pPr>
        <w:widowControl w:val="0"/>
        <w:jc w:val="both"/>
        <w:rPr>
          <w:rFonts w:ascii="Cambria" w:eastAsia="Cambria" w:hAnsi="Cambria" w:cs="Cambria"/>
          <w:sz w:val="20"/>
          <w:szCs w:val="20"/>
        </w:rPr>
      </w:pPr>
    </w:p>
    <w:p w14:paraId="010E0A4A" w14:textId="77777777" w:rsidR="00993EB7" w:rsidRPr="00993EB7" w:rsidRDefault="00993EB7" w:rsidP="00993EB7">
      <w:pPr>
        <w:widowControl w:val="0"/>
        <w:jc w:val="both"/>
        <w:rPr>
          <w:rFonts w:ascii="Cambria" w:eastAsia="Cambria" w:hAnsi="Cambria" w:cs="Cambria"/>
          <w:i/>
          <w:iCs/>
          <w:sz w:val="20"/>
          <w:szCs w:val="20"/>
        </w:rPr>
      </w:pPr>
      <w:r w:rsidRPr="00993EB7">
        <w:rPr>
          <w:rFonts w:ascii="Cambria" w:hAnsi="Cambria"/>
          <w:i/>
          <w:sz w:val="20"/>
        </w:rPr>
        <w:t>Programa de observadores pelágicos de Estados Unidos y otras medidas de seguimiento</w:t>
      </w:r>
    </w:p>
    <w:p w14:paraId="12AD7A39" w14:textId="77777777" w:rsidR="00993EB7" w:rsidRPr="00993EB7" w:rsidRDefault="00993EB7" w:rsidP="00993EB7">
      <w:pPr>
        <w:widowControl w:val="0"/>
        <w:jc w:val="both"/>
        <w:rPr>
          <w:rFonts w:ascii="Cambria" w:eastAsia="Cambria" w:hAnsi="Cambria" w:cs="Cambria"/>
          <w:i/>
          <w:iCs/>
          <w:sz w:val="20"/>
          <w:szCs w:val="20"/>
        </w:rPr>
      </w:pPr>
    </w:p>
    <w:p w14:paraId="24369F2C" w14:textId="77777777" w:rsidR="00993EB7" w:rsidRPr="00993EB7" w:rsidRDefault="00993EB7" w:rsidP="00993EB7">
      <w:pPr>
        <w:widowControl w:val="0"/>
        <w:jc w:val="both"/>
        <w:rPr>
          <w:rFonts w:ascii="Cambria" w:eastAsia="Cambria" w:hAnsi="Cambria" w:cs="Cambria"/>
          <w:sz w:val="20"/>
          <w:szCs w:val="20"/>
        </w:rPr>
      </w:pPr>
      <w:r w:rsidRPr="00993EB7">
        <w:rPr>
          <w:rFonts w:ascii="Cambria" w:hAnsi="Cambria"/>
          <w:sz w:val="20"/>
        </w:rPr>
        <w:t xml:space="preserve">De acuerdo con las recomendaciones de ICCAT, el muestreo aleatorio de observadores de la flota palangrera pelágica de Estados Unidos se lleva a cabo a través del Programa de observadores pelágicos de Estados Unidos. Desde 1992 se viene realizando un muestreo por observadores científicos representativo de esta flota. Los datos recogidos a través de este programa se han utilizado para cuantificar la composición, disposición y cantidad de las capturas totales (tanto retenidas como descartadas en el mar) de esta flota, que faena en aguas del océano Atlántico noroccidental, el golfo de América y el mar Caribe. En 2025, la cobertura de observadores lograda en la flota de palangre de Estados Unidos fue del 10,7 % de los lances de pesca realizados. Si se les notifica que han sido seleccionados para llevar un observador a bordo de su buque, los pescadores deben informar al NMFS cuando vayan a realizar una marea, y un observador del NMFS debe estar a bordo para que dicho buque pueda salir a pescar. </w:t>
      </w:r>
    </w:p>
    <w:p w14:paraId="5E851E61" w14:textId="77777777" w:rsidR="00993EB7" w:rsidRPr="00993EB7" w:rsidRDefault="00993EB7" w:rsidP="00993EB7">
      <w:pPr>
        <w:widowControl w:val="0"/>
        <w:jc w:val="both"/>
        <w:rPr>
          <w:rFonts w:ascii="Cambria" w:eastAsia="Cambria" w:hAnsi="Cambria" w:cs="Cambria"/>
          <w:sz w:val="20"/>
          <w:szCs w:val="20"/>
        </w:rPr>
      </w:pPr>
    </w:p>
    <w:p w14:paraId="33EB6B0F" w14:textId="77777777" w:rsidR="00993EB7" w:rsidRPr="00993EB7" w:rsidRDefault="00993EB7" w:rsidP="00993EB7">
      <w:pPr>
        <w:widowControl w:val="0"/>
        <w:jc w:val="both"/>
        <w:rPr>
          <w:rFonts w:ascii="Cambria" w:hAnsi="Cambria"/>
          <w:spacing w:val="-2"/>
          <w:sz w:val="20"/>
        </w:rPr>
      </w:pPr>
      <w:r w:rsidRPr="00993EB7">
        <w:rPr>
          <w:rFonts w:ascii="Cambria" w:hAnsi="Cambria"/>
          <w:spacing w:val="-2"/>
          <w:sz w:val="20"/>
        </w:rPr>
        <w:t>Los buques palangreros de Estados Unidos están obligados, a través de un programa obligatorio de cuadernos de pesca, a presentar información detallada sobre cada lance de palangre realizado, incluida la configuración del arte de pesca, el número total de anzuelos utilizados, la hora del día en que se llevan a cabo las operaciones de pesca, la ubicación, el número de peces objetivo capturados por especie y de capturas fortuitas, especificando el destino de estas últimas (por ejemplo, si se liberan vivas o se descartan muertas).</w:t>
      </w:r>
    </w:p>
    <w:p w14:paraId="6976EB53" w14:textId="77777777" w:rsidR="00993EB7" w:rsidRPr="00993EB7" w:rsidRDefault="00993EB7" w:rsidP="00993EB7">
      <w:pPr>
        <w:widowControl w:val="0"/>
        <w:jc w:val="both"/>
        <w:rPr>
          <w:rFonts w:ascii="Cambria" w:eastAsia="Cambria" w:hAnsi="Cambria" w:cs="Cambria"/>
          <w:b/>
          <w:bCs/>
          <w:spacing w:val="-2"/>
          <w:sz w:val="20"/>
          <w:szCs w:val="20"/>
        </w:rPr>
      </w:pPr>
    </w:p>
    <w:p w14:paraId="122EB6EE" w14:textId="77777777" w:rsidR="00993EB7" w:rsidRPr="00993EB7" w:rsidRDefault="00993EB7" w:rsidP="00993EB7">
      <w:pPr>
        <w:widowControl w:val="0"/>
        <w:jc w:val="both"/>
        <w:rPr>
          <w:rFonts w:ascii="Cambria" w:eastAsia="Cambria" w:hAnsi="Cambria" w:cs="Cambria"/>
          <w:spacing w:val="-2"/>
          <w:sz w:val="20"/>
          <w:szCs w:val="20"/>
        </w:rPr>
      </w:pPr>
      <w:r w:rsidRPr="00993EB7">
        <w:rPr>
          <w:rFonts w:ascii="Cambria" w:hAnsi="Cambria"/>
          <w:spacing w:val="-2"/>
          <w:sz w:val="20"/>
        </w:rPr>
        <w:lastRenderedPageBreak/>
        <w:t>Los palangreros pelágicos del Atlántico estadounidense también deben tener instaladas unidades de sistema de seguimiento de buques (VMS) homologadas y en funcionamiento 24 horas al día, 7 días a la semana. Además, desde 2015, Estados Unidos exige a los buques de la categoría de túnidos del Atlántico con palangre que instalen, pongan en funcionamiento y mantengan un sistema de seguimiento electrónico (EM) a bordo, con el fin de permitir la auditoría de los informes obligatorios sobre las interacciones con BFT, como parte del programa nacional de ordenación de cuotas llamado Programa de cuota individual de atún rojo (IBQ). En virtud de dicho Programa, los buques de palangre pelágico deben registrar los desembarques incidentales de BFT, así como los descartes de ejemplares muertos, para cada buque a nivel individual.</w:t>
      </w:r>
    </w:p>
    <w:p w14:paraId="252C91E5" w14:textId="77777777" w:rsidR="00993EB7" w:rsidRPr="00993EB7" w:rsidRDefault="00993EB7" w:rsidP="00993EB7">
      <w:pPr>
        <w:widowControl w:val="0"/>
        <w:jc w:val="both"/>
        <w:rPr>
          <w:rFonts w:ascii="Cambria" w:eastAsia="Cambria" w:hAnsi="Cambria" w:cs="Cambria"/>
          <w:sz w:val="20"/>
          <w:szCs w:val="20"/>
        </w:rPr>
      </w:pPr>
    </w:p>
    <w:p w14:paraId="39E5B1F8" w14:textId="77777777" w:rsidR="00993EB7" w:rsidRPr="00993EB7" w:rsidRDefault="00993EB7" w:rsidP="00993EB7">
      <w:pPr>
        <w:widowControl w:val="0"/>
        <w:jc w:val="both"/>
        <w:rPr>
          <w:rFonts w:ascii="Cambria" w:eastAsia="Cambria" w:hAnsi="Cambria" w:cs="Cambria"/>
          <w:i/>
          <w:iCs/>
          <w:sz w:val="20"/>
          <w:szCs w:val="20"/>
        </w:rPr>
      </w:pPr>
      <w:r w:rsidRPr="00993EB7">
        <w:rPr>
          <w:rFonts w:ascii="Cambria" w:hAnsi="Cambria"/>
          <w:i/>
          <w:sz w:val="20"/>
        </w:rPr>
        <w:t>Ordenación de las capturas fortuitas</w:t>
      </w:r>
    </w:p>
    <w:p w14:paraId="3BE93E47" w14:textId="77777777" w:rsidR="00993EB7" w:rsidRPr="00993EB7" w:rsidRDefault="00993EB7" w:rsidP="00993EB7">
      <w:pPr>
        <w:widowControl w:val="0"/>
        <w:jc w:val="both"/>
        <w:rPr>
          <w:rFonts w:ascii="Cambria" w:eastAsia="Cambria" w:hAnsi="Cambria" w:cs="Cambria"/>
          <w:i/>
          <w:iCs/>
          <w:sz w:val="20"/>
          <w:szCs w:val="20"/>
        </w:rPr>
      </w:pPr>
    </w:p>
    <w:p w14:paraId="7E06F2B2" w14:textId="77777777" w:rsidR="00993EB7" w:rsidRPr="00993EB7" w:rsidRDefault="00993EB7" w:rsidP="00993EB7">
      <w:pPr>
        <w:widowControl w:val="0"/>
        <w:jc w:val="both"/>
        <w:rPr>
          <w:rFonts w:ascii="Cambria" w:eastAsia="Cambria" w:hAnsi="Cambria" w:cs="Cambria"/>
          <w:spacing w:val="-4"/>
          <w:sz w:val="20"/>
          <w:szCs w:val="20"/>
        </w:rPr>
      </w:pPr>
      <w:r w:rsidRPr="00993EB7">
        <w:rPr>
          <w:rFonts w:ascii="Cambria" w:hAnsi="Cambria"/>
          <w:spacing w:val="-4"/>
          <w:sz w:val="20"/>
        </w:rPr>
        <w:t>Desde 1999, Estados Unidos ha adoptado numerosas medidas para reducir las interacciones con especies no objetivo, peces de talla inferior a la reglamentaria y especies protegidas, como las tortugas y los mamíferos marinos. Algunas de estas acciones incluyen vedas temporales/zonales, restricciones de artes de pesca (incluidos el uso obligatorio de anzuelos circulares, cebos, longitud de la brazolada y una longitud máxima para los palangres en determinadas zonas) y la exigencia de que todos los armadores y patrones de buques palangreros pelágicos asistan a talleres de manipulación segura, liberación e identificación de especies protegidas.</w:t>
      </w:r>
    </w:p>
    <w:p w14:paraId="6B998CC0" w14:textId="77777777" w:rsidR="00993EB7" w:rsidRPr="00993EB7" w:rsidRDefault="00993EB7" w:rsidP="00993EB7">
      <w:pPr>
        <w:widowControl w:val="0"/>
        <w:rPr>
          <w:rFonts w:ascii="Cambria" w:eastAsia="Cambria" w:hAnsi="Cambria" w:cs="Cambria"/>
          <w:sz w:val="20"/>
          <w:szCs w:val="20"/>
        </w:rPr>
      </w:pPr>
    </w:p>
    <w:p w14:paraId="7CB985C7" w14:textId="77777777" w:rsidR="00993EB7" w:rsidRPr="00993EB7" w:rsidRDefault="00993EB7" w:rsidP="00D9208D">
      <w:pPr>
        <w:widowControl w:val="0"/>
        <w:jc w:val="both"/>
        <w:rPr>
          <w:rFonts w:ascii="Cambria" w:eastAsia="Cambria" w:hAnsi="Cambria" w:cs="Cambria"/>
          <w:i/>
          <w:iCs/>
          <w:sz w:val="20"/>
          <w:szCs w:val="20"/>
        </w:rPr>
      </w:pPr>
      <w:r w:rsidRPr="00993EB7">
        <w:rPr>
          <w:rFonts w:ascii="Cambria" w:hAnsi="Cambria"/>
          <w:sz w:val="20"/>
        </w:rPr>
        <w:t>En la tabla de la sección 2 se presentan, con las referencias normativas correspondientes, los detalles sobre cómo Estados Unidos cumple sus obligaciones en materia de control pesquero y capturas fortuitas, de conformidad con la Recomendación 25-05 (BFT-W).</w:t>
      </w:r>
    </w:p>
    <w:p w14:paraId="744E1003" w14:textId="77777777" w:rsidR="00993EB7" w:rsidRPr="00993EB7" w:rsidRDefault="00993EB7" w:rsidP="00993EB7">
      <w:pPr>
        <w:widowControl w:val="0"/>
        <w:jc w:val="both"/>
        <w:rPr>
          <w:rFonts w:ascii="Cambria" w:eastAsia="Cambria" w:hAnsi="Cambria" w:cs="Cambria"/>
          <w:b/>
          <w:bCs/>
          <w:i/>
          <w:iCs/>
          <w:sz w:val="20"/>
          <w:szCs w:val="20"/>
        </w:rPr>
      </w:pPr>
    </w:p>
    <w:p w14:paraId="71C93281" w14:textId="77777777" w:rsidR="00993EB7" w:rsidRPr="00993EB7" w:rsidRDefault="00993EB7" w:rsidP="00993EB7">
      <w:pPr>
        <w:widowControl w:val="0"/>
        <w:jc w:val="both"/>
        <w:rPr>
          <w:rFonts w:ascii="Cambria" w:eastAsia="Cambria" w:hAnsi="Cambria" w:cs="Cambria"/>
          <w:b/>
          <w:bCs/>
          <w:i/>
          <w:iCs/>
          <w:color w:val="000000"/>
          <w:sz w:val="20"/>
          <w:szCs w:val="20"/>
        </w:rPr>
      </w:pPr>
      <w:r w:rsidRPr="00993EB7">
        <w:rPr>
          <w:rFonts w:ascii="Cambria" w:hAnsi="Cambria"/>
          <w:b/>
          <w:i/>
          <w:color w:val="000000"/>
          <w:sz w:val="20"/>
        </w:rPr>
        <w:t>1 b) Cuotas de flota para todos los sectores (párr. 3)</w:t>
      </w:r>
    </w:p>
    <w:p w14:paraId="4EA382F6" w14:textId="77777777" w:rsidR="00993EB7" w:rsidRPr="00993EB7" w:rsidRDefault="00993EB7" w:rsidP="00993EB7">
      <w:pPr>
        <w:widowControl w:val="0"/>
        <w:jc w:val="both"/>
        <w:rPr>
          <w:rFonts w:ascii="Cambria" w:eastAsia="Cambria" w:hAnsi="Cambria" w:cs="Cambria"/>
          <w:sz w:val="20"/>
          <w:szCs w:val="20"/>
        </w:rPr>
      </w:pPr>
    </w:p>
    <w:p w14:paraId="71E3FA32" w14:textId="77777777" w:rsidR="00993EB7" w:rsidRPr="00993EB7" w:rsidRDefault="00993EB7" w:rsidP="00993EB7">
      <w:pPr>
        <w:widowControl w:val="0"/>
        <w:jc w:val="both"/>
        <w:rPr>
          <w:rFonts w:ascii="Cambria" w:eastAsia="Cambria" w:hAnsi="Cambria" w:cs="Cambria"/>
          <w:sz w:val="20"/>
          <w:szCs w:val="20"/>
        </w:rPr>
      </w:pPr>
      <w:r w:rsidRPr="00993EB7">
        <w:rPr>
          <w:rFonts w:ascii="Cambria" w:hAnsi="Cambria"/>
          <w:sz w:val="20"/>
        </w:rPr>
        <w:t xml:space="preserve">Estados Unidos distribuye su cuota entre seis «categorías de cuota» (es decir, los sectores de flota que figuran en la tabla siguiente), que se corresponden con las categorías de permisos descritas anteriormente; entre ellas se incluyen cinco categorías de pesca y una categoría de reserva (véase </w:t>
      </w:r>
      <w:hyperlink r:id="rId25">
        <w:r w:rsidRPr="00993EB7">
          <w:rPr>
            <w:rFonts w:ascii="Cambria" w:hAnsi="Cambria"/>
            <w:color w:val="1155CC"/>
            <w:sz w:val="20"/>
          </w:rPr>
          <w:t>§ 635.27</w:t>
        </w:r>
      </w:hyperlink>
      <w:r w:rsidRPr="00993EB7">
        <w:rPr>
          <w:rFonts w:ascii="Cambria" w:hAnsi="Cambria"/>
          <w:sz w:val="20"/>
        </w:rPr>
        <w:t xml:space="preserve">). Los buques de la categoría de barcos deportivos fletados/barcos de pesca colectiva pescan </w:t>
      </w:r>
      <w:r w:rsidRPr="00993EB7">
        <w:rPr>
          <w:rFonts w:ascii="Cambria" w:hAnsi="Cambria"/>
          <w:b/>
          <w:sz w:val="20"/>
        </w:rPr>
        <w:t>o bien</w:t>
      </w:r>
      <w:r w:rsidRPr="00993EB7">
        <w:rPr>
          <w:rFonts w:ascii="Cambria" w:hAnsi="Cambria"/>
          <w:sz w:val="20"/>
        </w:rPr>
        <w:t xml:space="preserve"> al amparo de la cuota de la categoría de pesca con caña y la normativa recreativa correspondiente </w:t>
      </w:r>
      <w:r w:rsidRPr="00993EB7">
        <w:rPr>
          <w:rFonts w:ascii="Cambria" w:hAnsi="Cambria"/>
          <w:b/>
          <w:sz w:val="20"/>
        </w:rPr>
        <w:t>o bien</w:t>
      </w:r>
      <w:r w:rsidRPr="00993EB7">
        <w:rPr>
          <w:rFonts w:ascii="Cambria" w:hAnsi="Cambria"/>
          <w:sz w:val="20"/>
        </w:rPr>
        <w:t xml:space="preserve"> al amparo de la cuota de la categoría general y la normativa comercial correspondiente.</w:t>
      </w:r>
    </w:p>
    <w:p w14:paraId="52024068" w14:textId="77777777" w:rsidR="00993EB7" w:rsidRPr="00993EB7" w:rsidRDefault="00993EB7" w:rsidP="00993EB7">
      <w:pPr>
        <w:widowControl w:val="0"/>
        <w:rPr>
          <w:rFonts w:ascii="Cambria" w:eastAsia="Cambria" w:hAnsi="Cambria" w:cs="Cambria"/>
          <w:sz w:val="20"/>
          <w:szCs w:val="20"/>
        </w:rPr>
      </w:pPr>
    </w:p>
    <w:p w14:paraId="3B6DB384" w14:textId="77777777" w:rsidR="00993EB7" w:rsidRPr="00993EB7" w:rsidRDefault="00993EB7" w:rsidP="00993EB7">
      <w:pPr>
        <w:widowControl w:val="0"/>
        <w:rPr>
          <w:rFonts w:ascii="Cambria" w:eastAsia="Cambria" w:hAnsi="Cambria" w:cs="Cambria"/>
          <w:sz w:val="20"/>
          <w:szCs w:val="20"/>
        </w:rPr>
      </w:pPr>
      <w:r w:rsidRPr="00993EB7">
        <w:rPr>
          <w:rFonts w:ascii="Cambria" w:hAnsi="Cambria"/>
          <w:sz w:val="20"/>
        </w:rPr>
        <w:t>Las cuotas de referencia para 2025 son las que se muestran en la tabla siguiente.</w:t>
      </w:r>
    </w:p>
    <w:p w14:paraId="7A8CB1B5" w14:textId="77777777" w:rsidR="00993EB7" w:rsidRPr="00993EB7" w:rsidRDefault="00993EB7" w:rsidP="00993EB7">
      <w:pPr>
        <w:widowControl w:val="0"/>
        <w:rPr>
          <w:rFonts w:ascii="Cambria" w:eastAsia="Cambria" w:hAnsi="Cambria" w:cs="Cambria"/>
          <w:sz w:val="20"/>
          <w:szCs w:val="20"/>
        </w:rPr>
      </w:pPr>
    </w:p>
    <w:tbl>
      <w:tblPr>
        <w:tblpPr w:leftFromText="180" w:rightFromText="180" w:vertAnchor="text" w:tblpX="1048" w:tblpY="37"/>
        <w:tblW w:w="69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44"/>
        <w:gridCol w:w="3429"/>
      </w:tblGrid>
      <w:tr w:rsidR="00993EB7" w:rsidRPr="00993EB7" w14:paraId="4A984791" w14:textId="77777777" w:rsidTr="00B23AAD">
        <w:trPr>
          <w:trHeight w:val="268"/>
        </w:trPr>
        <w:tc>
          <w:tcPr>
            <w:tcW w:w="3544" w:type="dxa"/>
            <w:vAlign w:val="center"/>
          </w:tcPr>
          <w:p w14:paraId="028A5608" w14:textId="77777777" w:rsidR="00993EB7" w:rsidRPr="00993EB7" w:rsidRDefault="00993EB7" w:rsidP="00993EB7">
            <w:pPr>
              <w:jc w:val="center"/>
              <w:rPr>
                <w:rFonts w:ascii="Cambria" w:eastAsia="Cambria" w:hAnsi="Cambria" w:cs="Cambria"/>
                <w:i/>
                <w:iCs/>
                <w:sz w:val="18"/>
                <w:szCs w:val="18"/>
              </w:rPr>
            </w:pPr>
            <w:r w:rsidRPr="00993EB7">
              <w:rPr>
                <w:rFonts w:ascii="Cambria" w:hAnsi="Cambria"/>
                <w:i/>
                <w:sz w:val="18"/>
                <w:szCs w:val="18"/>
              </w:rPr>
              <w:t>Sector de flota</w:t>
            </w:r>
          </w:p>
        </w:tc>
        <w:tc>
          <w:tcPr>
            <w:tcW w:w="3429" w:type="dxa"/>
            <w:tcBorders>
              <w:bottom w:val="single" w:sz="4" w:space="0" w:color="000000"/>
            </w:tcBorders>
            <w:vAlign w:val="center"/>
          </w:tcPr>
          <w:p w14:paraId="10132C54" w14:textId="77777777" w:rsidR="00993EB7" w:rsidRPr="00993EB7" w:rsidRDefault="00993EB7" w:rsidP="00993EB7">
            <w:pPr>
              <w:jc w:val="center"/>
              <w:rPr>
                <w:rFonts w:ascii="Cambria" w:eastAsia="Cambria" w:hAnsi="Cambria" w:cs="Cambria"/>
                <w:i/>
                <w:iCs/>
                <w:sz w:val="18"/>
                <w:szCs w:val="18"/>
                <w:vertAlign w:val="superscript"/>
              </w:rPr>
            </w:pPr>
            <w:r w:rsidRPr="00993EB7">
              <w:rPr>
                <w:rFonts w:ascii="Cambria" w:hAnsi="Cambria"/>
                <w:i/>
                <w:sz w:val="18"/>
                <w:szCs w:val="18"/>
              </w:rPr>
              <w:t>Cuota asignada (t)</w:t>
            </w:r>
            <w:r w:rsidRPr="00993EB7">
              <w:rPr>
                <w:rFonts w:ascii="Cambria" w:hAnsi="Cambria"/>
                <w:i/>
                <w:sz w:val="18"/>
                <w:szCs w:val="18"/>
                <w:vertAlign w:val="superscript"/>
              </w:rPr>
              <w:t>1</w:t>
            </w:r>
          </w:p>
        </w:tc>
      </w:tr>
      <w:tr w:rsidR="00993EB7" w:rsidRPr="00993EB7" w14:paraId="5DE29A40" w14:textId="77777777" w:rsidTr="00B23AAD">
        <w:trPr>
          <w:trHeight w:val="300"/>
        </w:trPr>
        <w:tc>
          <w:tcPr>
            <w:tcW w:w="3544" w:type="dxa"/>
            <w:tcBorders>
              <w:right w:val="single" w:sz="4" w:space="0" w:color="000000"/>
            </w:tcBorders>
            <w:vAlign w:val="center"/>
          </w:tcPr>
          <w:p w14:paraId="4EFE673B" w14:textId="77777777" w:rsidR="00993EB7" w:rsidRPr="00993EB7" w:rsidRDefault="00993EB7" w:rsidP="00993EB7">
            <w:pPr>
              <w:jc w:val="both"/>
              <w:rPr>
                <w:rFonts w:ascii="Cambria" w:eastAsia="Cambria" w:hAnsi="Cambria" w:cs="Cambria"/>
                <w:sz w:val="18"/>
                <w:szCs w:val="18"/>
              </w:rPr>
            </w:pPr>
            <w:r w:rsidRPr="00993EB7">
              <w:rPr>
                <w:rFonts w:ascii="Cambria" w:hAnsi="Cambria"/>
                <w:sz w:val="18"/>
                <w:szCs w:val="18"/>
              </w:rPr>
              <w:t>Categoría general</w:t>
            </w:r>
          </w:p>
        </w:tc>
        <w:tc>
          <w:tcPr>
            <w:tcW w:w="3429" w:type="dxa"/>
            <w:tcBorders>
              <w:top w:val="single" w:sz="4" w:space="0" w:color="000000"/>
              <w:left w:val="single" w:sz="4" w:space="0" w:color="000000"/>
              <w:bottom w:val="single" w:sz="4" w:space="0" w:color="000000"/>
              <w:right w:val="single" w:sz="4" w:space="0" w:color="000000"/>
            </w:tcBorders>
          </w:tcPr>
          <w:p w14:paraId="10CB2F4F" w14:textId="77777777" w:rsidR="00993EB7" w:rsidRPr="00993EB7" w:rsidRDefault="00993EB7" w:rsidP="00993EB7">
            <w:pPr>
              <w:widowControl w:val="0"/>
              <w:jc w:val="right"/>
              <w:rPr>
                <w:rFonts w:ascii="Cambria" w:eastAsia="Cambria" w:hAnsi="Cambria" w:cs="Cambria"/>
                <w:sz w:val="18"/>
                <w:szCs w:val="18"/>
              </w:rPr>
            </w:pPr>
            <w:r w:rsidRPr="00993EB7">
              <w:rPr>
                <w:rFonts w:ascii="Cambria" w:hAnsi="Cambria"/>
                <w:sz w:val="18"/>
                <w:szCs w:val="18"/>
              </w:rPr>
              <w:t>710,7</w:t>
            </w:r>
          </w:p>
        </w:tc>
      </w:tr>
      <w:tr w:rsidR="00993EB7" w:rsidRPr="00993EB7" w14:paraId="5DDC3D92" w14:textId="77777777" w:rsidTr="00B23AAD">
        <w:trPr>
          <w:trHeight w:val="300"/>
        </w:trPr>
        <w:tc>
          <w:tcPr>
            <w:tcW w:w="3544" w:type="dxa"/>
            <w:tcBorders>
              <w:right w:val="single" w:sz="4" w:space="0" w:color="000000"/>
            </w:tcBorders>
            <w:vAlign w:val="center"/>
          </w:tcPr>
          <w:p w14:paraId="59447E10" w14:textId="77777777" w:rsidR="00993EB7" w:rsidRPr="00993EB7" w:rsidRDefault="00993EB7" w:rsidP="00993EB7">
            <w:pPr>
              <w:jc w:val="both"/>
              <w:rPr>
                <w:rFonts w:ascii="Cambria" w:eastAsia="Cambria" w:hAnsi="Cambria" w:cs="Cambria"/>
                <w:sz w:val="18"/>
                <w:szCs w:val="18"/>
              </w:rPr>
            </w:pPr>
            <w:r w:rsidRPr="00993EB7">
              <w:rPr>
                <w:rFonts w:ascii="Cambria" w:hAnsi="Cambria"/>
                <w:sz w:val="18"/>
                <w:szCs w:val="18"/>
              </w:rPr>
              <w:t xml:space="preserve">Categoría de arpón </w:t>
            </w:r>
          </w:p>
        </w:tc>
        <w:tc>
          <w:tcPr>
            <w:tcW w:w="3429" w:type="dxa"/>
            <w:tcBorders>
              <w:top w:val="single" w:sz="4" w:space="0" w:color="000000"/>
              <w:left w:val="single" w:sz="4" w:space="0" w:color="000000"/>
              <w:bottom w:val="single" w:sz="4" w:space="0" w:color="000000"/>
              <w:right w:val="single" w:sz="4" w:space="0" w:color="000000"/>
            </w:tcBorders>
          </w:tcPr>
          <w:p w14:paraId="33A50C79" w14:textId="77777777" w:rsidR="00993EB7" w:rsidRPr="00993EB7" w:rsidRDefault="00993EB7" w:rsidP="00993EB7">
            <w:pPr>
              <w:widowControl w:val="0"/>
              <w:jc w:val="right"/>
              <w:rPr>
                <w:rFonts w:ascii="Cambria" w:eastAsia="Cambria" w:hAnsi="Cambria" w:cs="Cambria"/>
                <w:sz w:val="18"/>
                <w:szCs w:val="18"/>
              </w:rPr>
            </w:pPr>
            <w:r w:rsidRPr="00993EB7">
              <w:rPr>
                <w:rFonts w:ascii="Cambria" w:hAnsi="Cambria"/>
                <w:sz w:val="18"/>
                <w:szCs w:val="18"/>
              </w:rPr>
              <w:t>59,2</w:t>
            </w:r>
          </w:p>
        </w:tc>
      </w:tr>
      <w:tr w:rsidR="00993EB7" w:rsidRPr="00993EB7" w14:paraId="3AE0AB9E" w14:textId="77777777" w:rsidTr="00B23AAD">
        <w:trPr>
          <w:trHeight w:val="300"/>
        </w:trPr>
        <w:tc>
          <w:tcPr>
            <w:tcW w:w="3544" w:type="dxa"/>
            <w:tcBorders>
              <w:right w:val="single" w:sz="4" w:space="0" w:color="000000"/>
            </w:tcBorders>
            <w:vAlign w:val="center"/>
          </w:tcPr>
          <w:p w14:paraId="6532EC0B" w14:textId="77777777" w:rsidR="00993EB7" w:rsidRPr="00993EB7" w:rsidRDefault="00993EB7" w:rsidP="00993EB7">
            <w:pPr>
              <w:jc w:val="both"/>
              <w:rPr>
                <w:rFonts w:ascii="Cambria" w:eastAsia="Cambria" w:hAnsi="Cambria" w:cs="Cambria"/>
                <w:sz w:val="18"/>
                <w:szCs w:val="18"/>
              </w:rPr>
            </w:pPr>
            <w:r w:rsidRPr="00993EB7">
              <w:rPr>
                <w:rFonts w:ascii="Cambria" w:hAnsi="Cambria"/>
                <w:sz w:val="18"/>
                <w:szCs w:val="18"/>
              </w:rPr>
              <w:t>Categoría de palangre</w:t>
            </w:r>
            <w:r w:rsidRPr="00993EB7">
              <w:rPr>
                <w:rFonts w:ascii="Cambria" w:hAnsi="Cambria"/>
                <w:sz w:val="18"/>
                <w:szCs w:val="18"/>
                <w:vertAlign w:val="superscript"/>
              </w:rPr>
              <w:t>2</w:t>
            </w:r>
            <w:r w:rsidRPr="00993EB7">
              <w:rPr>
                <w:rFonts w:ascii="Cambria" w:hAnsi="Cambria"/>
                <w:sz w:val="18"/>
                <w:szCs w:val="18"/>
              </w:rPr>
              <w:t xml:space="preserve"> </w:t>
            </w:r>
          </w:p>
        </w:tc>
        <w:tc>
          <w:tcPr>
            <w:tcW w:w="3429" w:type="dxa"/>
            <w:tcBorders>
              <w:top w:val="single" w:sz="4" w:space="0" w:color="000000"/>
              <w:left w:val="single" w:sz="4" w:space="0" w:color="000000"/>
              <w:bottom w:val="single" w:sz="4" w:space="0" w:color="000000"/>
              <w:right w:val="single" w:sz="4" w:space="0" w:color="000000"/>
            </w:tcBorders>
          </w:tcPr>
          <w:p w14:paraId="6D965250" w14:textId="77777777" w:rsidR="00993EB7" w:rsidRPr="00993EB7" w:rsidRDefault="00993EB7" w:rsidP="00993EB7">
            <w:pPr>
              <w:widowControl w:val="0"/>
              <w:jc w:val="right"/>
              <w:rPr>
                <w:rFonts w:ascii="Cambria" w:eastAsia="Cambria" w:hAnsi="Cambria" w:cs="Cambria"/>
                <w:sz w:val="18"/>
                <w:szCs w:val="18"/>
              </w:rPr>
            </w:pPr>
            <w:r w:rsidRPr="00993EB7">
              <w:rPr>
                <w:rFonts w:ascii="Cambria" w:hAnsi="Cambria"/>
                <w:sz w:val="18"/>
                <w:szCs w:val="18"/>
              </w:rPr>
              <w:t>209,3</w:t>
            </w:r>
          </w:p>
        </w:tc>
      </w:tr>
      <w:tr w:rsidR="00993EB7" w:rsidRPr="00993EB7" w14:paraId="20D778E4" w14:textId="77777777" w:rsidTr="00B23AAD">
        <w:trPr>
          <w:trHeight w:val="300"/>
        </w:trPr>
        <w:tc>
          <w:tcPr>
            <w:tcW w:w="3544" w:type="dxa"/>
            <w:tcBorders>
              <w:right w:val="single" w:sz="4" w:space="0" w:color="000000"/>
            </w:tcBorders>
            <w:vAlign w:val="center"/>
          </w:tcPr>
          <w:p w14:paraId="58249D3F" w14:textId="77777777" w:rsidR="00993EB7" w:rsidRPr="00993EB7" w:rsidRDefault="00993EB7" w:rsidP="00993EB7">
            <w:pPr>
              <w:jc w:val="both"/>
              <w:rPr>
                <w:rFonts w:ascii="Cambria" w:eastAsia="Cambria" w:hAnsi="Cambria" w:cs="Cambria"/>
                <w:sz w:val="18"/>
                <w:szCs w:val="18"/>
              </w:rPr>
            </w:pPr>
            <w:r w:rsidRPr="00993EB7">
              <w:rPr>
                <w:rFonts w:ascii="Cambria" w:hAnsi="Cambria"/>
                <w:sz w:val="18"/>
                <w:szCs w:val="18"/>
              </w:rPr>
              <w:t xml:space="preserve">Categoría de almadraba </w:t>
            </w:r>
          </w:p>
        </w:tc>
        <w:tc>
          <w:tcPr>
            <w:tcW w:w="3429" w:type="dxa"/>
            <w:tcBorders>
              <w:top w:val="single" w:sz="4" w:space="0" w:color="000000"/>
              <w:left w:val="single" w:sz="4" w:space="0" w:color="000000"/>
              <w:bottom w:val="single" w:sz="4" w:space="0" w:color="000000"/>
              <w:right w:val="single" w:sz="4" w:space="0" w:color="000000"/>
            </w:tcBorders>
          </w:tcPr>
          <w:p w14:paraId="0FB1535B" w14:textId="77777777" w:rsidR="00993EB7" w:rsidRPr="00993EB7" w:rsidRDefault="00993EB7" w:rsidP="00993EB7">
            <w:pPr>
              <w:widowControl w:val="0"/>
              <w:jc w:val="right"/>
              <w:rPr>
                <w:rFonts w:ascii="Cambria" w:eastAsia="Cambria" w:hAnsi="Cambria" w:cs="Cambria"/>
                <w:sz w:val="18"/>
                <w:szCs w:val="18"/>
              </w:rPr>
            </w:pPr>
            <w:r w:rsidRPr="00993EB7">
              <w:rPr>
                <w:rFonts w:ascii="Cambria" w:hAnsi="Cambria"/>
                <w:sz w:val="18"/>
                <w:szCs w:val="18"/>
              </w:rPr>
              <w:t>1,3</w:t>
            </w:r>
          </w:p>
        </w:tc>
      </w:tr>
      <w:tr w:rsidR="00993EB7" w:rsidRPr="00993EB7" w14:paraId="6BE54AB4" w14:textId="77777777" w:rsidTr="00B23AAD">
        <w:trPr>
          <w:trHeight w:val="315"/>
        </w:trPr>
        <w:tc>
          <w:tcPr>
            <w:tcW w:w="3544" w:type="dxa"/>
            <w:tcBorders>
              <w:right w:val="single" w:sz="4" w:space="0" w:color="000000"/>
            </w:tcBorders>
            <w:vAlign w:val="center"/>
          </w:tcPr>
          <w:p w14:paraId="05458A77" w14:textId="77777777" w:rsidR="00993EB7" w:rsidRPr="00993EB7" w:rsidRDefault="00993EB7" w:rsidP="00993EB7">
            <w:pPr>
              <w:rPr>
                <w:rFonts w:ascii="Cambria" w:eastAsia="Cambria" w:hAnsi="Cambria" w:cs="Cambria"/>
                <w:sz w:val="18"/>
                <w:szCs w:val="18"/>
                <w:highlight w:val="cyan"/>
              </w:rPr>
            </w:pPr>
            <w:r w:rsidRPr="00993EB7">
              <w:rPr>
                <w:rFonts w:ascii="Cambria" w:hAnsi="Cambria"/>
                <w:sz w:val="18"/>
                <w:szCs w:val="18"/>
              </w:rPr>
              <w:t>Categoría de pesca con caña (recreativa)</w:t>
            </w:r>
          </w:p>
        </w:tc>
        <w:tc>
          <w:tcPr>
            <w:tcW w:w="3429" w:type="dxa"/>
            <w:tcBorders>
              <w:top w:val="single" w:sz="4" w:space="0" w:color="000000"/>
              <w:left w:val="single" w:sz="4" w:space="0" w:color="000000"/>
              <w:bottom w:val="single" w:sz="4" w:space="0" w:color="000000"/>
              <w:right w:val="single" w:sz="4" w:space="0" w:color="000000"/>
            </w:tcBorders>
          </w:tcPr>
          <w:p w14:paraId="57DD9D38" w14:textId="77777777" w:rsidR="00993EB7" w:rsidRPr="00993EB7" w:rsidRDefault="00993EB7" w:rsidP="00993EB7">
            <w:pPr>
              <w:widowControl w:val="0"/>
              <w:jc w:val="right"/>
              <w:rPr>
                <w:rFonts w:ascii="Cambria" w:eastAsia="Cambria" w:hAnsi="Cambria" w:cs="Cambria"/>
                <w:sz w:val="18"/>
                <w:szCs w:val="18"/>
              </w:rPr>
            </w:pPr>
            <w:r w:rsidRPr="00993EB7">
              <w:rPr>
                <w:rFonts w:ascii="Cambria" w:hAnsi="Cambria"/>
                <w:sz w:val="18"/>
                <w:szCs w:val="18"/>
              </w:rPr>
              <w:t>297,4</w:t>
            </w:r>
          </w:p>
        </w:tc>
      </w:tr>
      <w:tr w:rsidR="00993EB7" w:rsidRPr="00993EB7" w14:paraId="0C06F0EC" w14:textId="77777777" w:rsidTr="00B23AAD">
        <w:trPr>
          <w:trHeight w:val="315"/>
        </w:trPr>
        <w:tc>
          <w:tcPr>
            <w:tcW w:w="3544" w:type="dxa"/>
            <w:tcBorders>
              <w:right w:val="single" w:sz="4" w:space="0" w:color="000000"/>
            </w:tcBorders>
            <w:vAlign w:val="center"/>
          </w:tcPr>
          <w:p w14:paraId="566FC1AB" w14:textId="77777777" w:rsidR="00993EB7" w:rsidRPr="00993EB7" w:rsidRDefault="00993EB7" w:rsidP="00993EB7">
            <w:pPr>
              <w:rPr>
                <w:rFonts w:ascii="Cambria" w:eastAsia="Cambria" w:hAnsi="Cambria" w:cs="Cambria"/>
                <w:sz w:val="18"/>
                <w:szCs w:val="18"/>
              </w:rPr>
            </w:pPr>
            <w:r w:rsidRPr="00993EB7">
              <w:rPr>
                <w:rFonts w:ascii="Cambria" w:hAnsi="Cambria"/>
                <w:sz w:val="18"/>
                <w:szCs w:val="18"/>
              </w:rPr>
              <w:t>Categoría de reserva</w:t>
            </w:r>
          </w:p>
        </w:tc>
        <w:tc>
          <w:tcPr>
            <w:tcW w:w="3429" w:type="dxa"/>
            <w:tcBorders>
              <w:top w:val="single" w:sz="4" w:space="0" w:color="000000"/>
              <w:left w:val="single" w:sz="4" w:space="0" w:color="000000"/>
              <w:bottom w:val="single" w:sz="4" w:space="0" w:color="000000"/>
              <w:right w:val="single" w:sz="4" w:space="0" w:color="000000"/>
            </w:tcBorders>
          </w:tcPr>
          <w:p w14:paraId="186594B7" w14:textId="77777777" w:rsidR="00993EB7" w:rsidRPr="00993EB7" w:rsidRDefault="00993EB7" w:rsidP="00993EB7">
            <w:pPr>
              <w:widowControl w:val="0"/>
              <w:jc w:val="right"/>
              <w:rPr>
                <w:rFonts w:ascii="Cambria" w:eastAsia="Cambria" w:hAnsi="Cambria" w:cs="Cambria"/>
                <w:sz w:val="18"/>
                <w:szCs w:val="18"/>
              </w:rPr>
            </w:pPr>
            <w:r w:rsidRPr="00993EB7">
              <w:rPr>
                <w:rFonts w:ascii="Cambria" w:hAnsi="Cambria"/>
                <w:sz w:val="18"/>
                <w:szCs w:val="18"/>
              </w:rPr>
              <w:t>38,2</w:t>
            </w:r>
          </w:p>
        </w:tc>
      </w:tr>
      <w:tr w:rsidR="00993EB7" w:rsidRPr="00993EB7" w14:paraId="0DE84A78" w14:textId="77777777" w:rsidTr="00B23AAD">
        <w:trPr>
          <w:trHeight w:val="315"/>
        </w:trPr>
        <w:tc>
          <w:tcPr>
            <w:tcW w:w="3544" w:type="dxa"/>
            <w:tcBorders>
              <w:right w:val="single" w:sz="4" w:space="0" w:color="000000"/>
            </w:tcBorders>
            <w:shd w:val="clear" w:color="auto" w:fill="BFBFBF"/>
            <w:vAlign w:val="center"/>
          </w:tcPr>
          <w:p w14:paraId="0155494E" w14:textId="77777777" w:rsidR="00993EB7" w:rsidRPr="00993EB7" w:rsidRDefault="00993EB7" w:rsidP="00993EB7">
            <w:pPr>
              <w:rPr>
                <w:rFonts w:ascii="Cambria" w:eastAsia="Cambria" w:hAnsi="Cambria" w:cs="Cambria"/>
                <w:b/>
                <w:bCs/>
                <w:sz w:val="18"/>
                <w:szCs w:val="18"/>
              </w:rPr>
            </w:pPr>
            <w:r w:rsidRPr="00993EB7">
              <w:rPr>
                <w:rFonts w:ascii="Cambria" w:hAnsi="Cambria"/>
                <w:b/>
                <w:sz w:val="18"/>
                <w:szCs w:val="18"/>
              </w:rPr>
              <w:t>Total</w:t>
            </w:r>
          </w:p>
        </w:tc>
        <w:tc>
          <w:tcPr>
            <w:tcW w:w="3429" w:type="dxa"/>
            <w:tcBorders>
              <w:top w:val="single" w:sz="4" w:space="0" w:color="000000"/>
              <w:left w:val="single" w:sz="4" w:space="0" w:color="000000"/>
              <w:bottom w:val="single" w:sz="4" w:space="0" w:color="000000"/>
              <w:right w:val="single" w:sz="4" w:space="0" w:color="000000"/>
            </w:tcBorders>
            <w:shd w:val="clear" w:color="auto" w:fill="BFBFBF"/>
          </w:tcPr>
          <w:p w14:paraId="3FE9F852" w14:textId="77777777" w:rsidR="00993EB7" w:rsidRPr="00993EB7" w:rsidRDefault="00993EB7" w:rsidP="00993EB7">
            <w:pPr>
              <w:widowControl w:val="0"/>
              <w:jc w:val="right"/>
              <w:rPr>
                <w:rFonts w:ascii="Cambria" w:eastAsia="Cambria" w:hAnsi="Cambria" w:cs="Cambria"/>
                <w:b/>
                <w:bCs/>
                <w:sz w:val="18"/>
                <w:szCs w:val="18"/>
              </w:rPr>
            </w:pPr>
          </w:p>
        </w:tc>
      </w:tr>
      <w:tr w:rsidR="00993EB7" w:rsidRPr="00993EB7" w14:paraId="311A7F2A" w14:textId="77777777" w:rsidTr="00B23AAD">
        <w:trPr>
          <w:trHeight w:val="315"/>
        </w:trPr>
        <w:tc>
          <w:tcPr>
            <w:tcW w:w="3544" w:type="dxa"/>
            <w:vAlign w:val="center"/>
          </w:tcPr>
          <w:p w14:paraId="237D9305" w14:textId="77777777" w:rsidR="00993EB7" w:rsidRPr="00993EB7" w:rsidRDefault="00993EB7" w:rsidP="00993EB7">
            <w:pPr>
              <w:jc w:val="both"/>
              <w:rPr>
                <w:rFonts w:ascii="Cambria" w:eastAsia="Cambria" w:hAnsi="Cambria" w:cs="Cambria"/>
                <w:b/>
                <w:bCs/>
                <w:sz w:val="18"/>
                <w:szCs w:val="18"/>
              </w:rPr>
            </w:pPr>
            <w:r w:rsidRPr="00993EB7">
              <w:rPr>
                <w:rFonts w:ascii="Cambria" w:hAnsi="Cambria"/>
                <w:sz w:val="18"/>
                <w:szCs w:val="18"/>
              </w:rPr>
              <w:t xml:space="preserve">Cuota </w:t>
            </w:r>
          </w:p>
        </w:tc>
        <w:tc>
          <w:tcPr>
            <w:tcW w:w="3429" w:type="dxa"/>
            <w:vAlign w:val="center"/>
          </w:tcPr>
          <w:p w14:paraId="237DEDDA" w14:textId="77777777" w:rsidR="00993EB7" w:rsidRPr="00993EB7" w:rsidRDefault="00993EB7" w:rsidP="00993EB7">
            <w:pPr>
              <w:widowControl w:val="0"/>
              <w:jc w:val="right"/>
              <w:rPr>
                <w:rFonts w:ascii="Cambria" w:eastAsia="Cambria" w:hAnsi="Cambria" w:cs="Cambria"/>
                <w:b/>
                <w:bCs/>
                <w:sz w:val="18"/>
                <w:szCs w:val="18"/>
              </w:rPr>
            </w:pPr>
            <w:r w:rsidRPr="00993EB7">
              <w:rPr>
                <w:rFonts w:ascii="Cambria" w:hAnsi="Cambria"/>
                <w:b/>
                <w:sz w:val="18"/>
                <w:szCs w:val="18"/>
              </w:rPr>
              <w:t>1.316,1</w:t>
            </w:r>
          </w:p>
        </w:tc>
      </w:tr>
      <w:tr w:rsidR="00993EB7" w:rsidRPr="00993EB7" w14:paraId="0D9931F6" w14:textId="77777777" w:rsidTr="00B23AAD">
        <w:trPr>
          <w:trHeight w:val="315"/>
        </w:trPr>
        <w:tc>
          <w:tcPr>
            <w:tcW w:w="3544" w:type="dxa"/>
            <w:vAlign w:val="center"/>
          </w:tcPr>
          <w:p w14:paraId="608D4639" w14:textId="77777777" w:rsidR="00993EB7" w:rsidRPr="00993EB7" w:rsidRDefault="00993EB7" w:rsidP="00993EB7">
            <w:pPr>
              <w:jc w:val="both"/>
              <w:rPr>
                <w:rFonts w:ascii="Cambria" w:eastAsia="Cambria" w:hAnsi="Cambria" w:cs="Cambria"/>
                <w:sz w:val="18"/>
                <w:szCs w:val="18"/>
              </w:rPr>
            </w:pPr>
            <w:r w:rsidRPr="00993EB7">
              <w:rPr>
                <w:rFonts w:ascii="Cambria" w:hAnsi="Cambria"/>
                <w:sz w:val="18"/>
                <w:szCs w:val="18"/>
              </w:rPr>
              <w:t xml:space="preserve">Cuota ajustada </w:t>
            </w:r>
          </w:p>
          <w:p w14:paraId="26CBDBFD" w14:textId="77777777" w:rsidR="00993EB7" w:rsidRPr="00993EB7" w:rsidRDefault="00993EB7" w:rsidP="00993EB7">
            <w:pPr>
              <w:jc w:val="both"/>
              <w:rPr>
                <w:rFonts w:ascii="Cambria" w:eastAsia="Cambria" w:hAnsi="Cambria" w:cs="Cambria"/>
                <w:sz w:val="18"/>
                <w:szCs w:val="18"/>
              </w:rPr>
            </w:pPr>
            <w:r w:rsidRPr="00993EB7">
              <w:rPr>
                <w:rFonts w:ascii="Cambria" w:hAnsi="Cambria"/>
                <w:sz w:val="18"/>
                <w:szCs w:val="18"/>
              </w:rPr>
              <w:t>(si procede, incluyendo traspasos,</w:t>
            </w:r>
          </w:p>
          <w:p w14:paraId="75C3463C" w14:textId="77777777" w:rsidR="00993EB7" w:rsidRPr="00993EB7" w:rsidRDefault="00993EB7" w:rsidP="00993EB7">
            <w:pPr>
              <w:jc w:val="both"/>
              <w:rPr>
                <w:rFonts w:ascii="Cambria" w:eastAsia="Cambria" w:hAnsi="Cambria" w:cs="Cambria"/>
                <w:sz w:val="18"/>
                <w:szCs w:val="18"/>
              </w:rPr>
            </w:pPr>
            <w:r w:rsidRPr="00993EB7">
              <w:rPr>
                <w:rFonts w:ascii="Cambria" w:hAnsi="Cambria"/>
                <w:sz w:val="18"/>
                <w:szCs w:val="18"/>
              </w:rPr>
              <w:t>exceso de captura y transferencias)</w:t>
            </w:r>
          </w:p>
        </w:tc>
        <w:tc>
          <w:tcPr>
            <w:tcW w:w="3429" w:type="dxa"/>
            <w:vAlign w:val="center"/>
          </w:tcPr>
          <w:p w14:paraId="5F6A5705" w14:textId="77777777" w:rsidR="00993EB7" w:rsidRPr="00993EB7" w:rsidRDefault="00993EB7" w:rsidP="00993EB7">
            <w:pPr>
              <w:widowControl w:val="0"/>
              <w:jc w:val="right"/>
              <w:rPr>
                <w:rFonts w:ascii="Cambria" w:eastAsia="Cambria" w:hAnsi="Cambria" w:cs="Cambria"/>
                <w:sz w:val="18"/>
                <w:szCs w:val="18"/>
              </w:rPr>
            </w:pPr>
            <w:r w:rsidRPr="00993EB7">
              <w:rPr>
                <w:rFonts w:ascii="Cambria" w:hAnsi="Cambria"/>
                <w:sz w:val="18"/>
                <w:szCs w:val="18"/>
              </w:rPr>
              <w:t>1.199,9</w:t>
            </w:r>
          </w:p>
        </w:tc>
      </w:tr>
      <w:tr w:rsidR="00993EB7" w:rsidRPr="00993EB7" w14:paraId="1B0B3B96" w14:textId="77777777" w:rsidTr="00B23AAD">
        <w:trPr>
          <w:trHeight w:val="315"/>
        </w:trPr>
        <w:tc>
          <w:tcPr>
            <w:tcW w:w="3544" w:type="dxa"/>
            <w:vAlign w:val="center"/>
          </w:tcPr>
          <w:p w14:paraId="491E675C" w14:textId="77777777" w:rsidR="00993EB7" w:rsidRPr="00993EB7" w:rsidRDefault="00993EB7" w:rsidP="00993EB7">
            <w:pPr>
              <w:jc w:val="both"/>
              <w:rPr>
                <w:rFonts w:ascii="Cambria" w:eastAsia="Cambria" w:hAnsi="Cambria" w:cs="Cambria"/>
                <w:b/>
                <w:bCs/>
                <w:sz w:val="18"/>
                <w:szCs w:val="18"/>
              </w:rPr>
            </w:pPr>
            <w:r w:rsidRPr="00993EB7">
              <w:rPr>
                <w:rFonts w:ascii="Cambria" w:hAnsi="Cambria"/>
                <w:sz w:val="18"/>
                <w:szCs w:val="18"/>
              </w:rPr>
              <w:t>Recreo</w:t>
            </w:r>
          </w:p>
        </w:tc>
        <w:tc>
          <w:tcPr>
            <w:tcW w:w="3429" w:type="dxa"/>
            <w:tcBorders>
              <w:top w:val="single" w:sz="4" w:space="0" w:color="000000"/>
              <w:left w:val="single" w:sz="4" w:space="0" w:color="000000"/>
              <w:bottom w:val="single" w:sz="4" w:space="0" w:color="000000"/>
              <w:right w:val="single" w:sz="4" w:space="0" w:color="000000"/>
            </w:tcBorders>
            <w:vAlign w:val="center"/>
          </w:tcPr>
          <w:p w14:paraId="2E7008B8" w14:textId="77777777" w:rsidR="00993EB7" w:rsidRPr="00993EB7" w:rsidRDefault="00993EB7" w:rsidP="00993EB7">
            <w:pPr>
              <w:widowControl w:val="0"/>
              <w:jc w:val="right"/>
              <w:rPr>
                <w:rFonts w:ascii="Cambria" w:eastAsia="Cambria" w:hAnsi="Cambria" w:cs="Cambria"/>
                <w:sz w:val="18"/>
                <w:szCs w:val="18"/>
              </w:rPr>
            </w:pPr>
            <w:r w:rsidRPr="00993EB7">
              <w:rPr>
                <w:rFonts w:ascii="Cambria" w:hAnsi="Cambria"/>
                <w:sz w:val="18"/>
                <w:szCs w:val="18"/>
              </w:rPr>
              <w:t>(Véase la categoría de pesca con caña, más arriba)</w:t>
            </w:r>
          </w:p>
        </w:tc>
      </w:tr>
      <w:tr w:rsidR="00993EB7" w:rsidRPr="00993EB7" w14:paraId="678009AA" w14:textId="77777777" w:rsidTr="00B23AAD">
        <w:trPr>
          <w:trHeight w:val="315"/>
        </w:trPr>
        <w:tc>
          <w:tcPr>
            <w:tcW w:w="3544" w:type="dxa"/>
            <w:vAlign w:val="center"/>
          </w:tcPr>
          <w:p w14:paraId="18F99A93" w14:textId="77777777" w:rsidR="00993EB7" w:rsidRPr="00993EB7" w:rsidRDefault="00993EB7" w:rsidP="00993EB7">
            <w:pPr>
              <w:rPr>
                <w:rFonts w:ascii="Cambria" w:eastAsia="Cambria" w:hAnsi="Cambria" w:cs="Cambria"/>
                <w:sz w:val="18"/>
                <w:szCs w:val="18"/>
              </w:rPr>
            </w:pPr>
            <w:r w:rsidRPr="00993EB7">
              <w:rPr>
                <w:rFonts w:ascii="Cambria" w:hAnsi="Cambria"/>
                <w:sz w:val="18"/>
                <w:szCs w:val="18"/>
              </w:rPr>
              <w:t>Reserva de capturas fortuitas (si la hubiera)</w:t>
            </w:r>
            <w:r w:rsidRPr="00993EB7">
              <w:rPr>
                <w:rFonts w:ascii="Cambria" w:hAnsi="Cambria"/>
                <w:sz w:val="18"/>
                <w:szCs w:val="18"/>
                <w:vertAlign w:val="superscript"/>
              </w:rPr>
              <w:t>3</w:t>
            </w:r>
          </w:p>
          <w:p w14:paraId="3AABABE8" w14:textId="77777777" w:rsidR="00993EB7" w:rsidRPr="00993EB7" w:rsidRDefault="00993EB7" w:rsidP="00993EB7">
            <w:pPr>
              <w:rPr>
                <w:rFonts w:ascii="Cambria" w:eastAsia="Cambria" w:hAnsi="Cambria" w:cs="Cambria"/>
                <w:sz w:val="18"/>
                <w:szCs w:val="18"/>
              </w:rPr>
            </w:pPr>
          </w:p>
          <w:p w14:paraId="66EEA717" w14:textId="77777777" w:rsidR="00993EB7" w:rsidRPr="00993EB7" w:rsidRDefault="00993EB7" w:rsidP="00993EB7">
            <w:pPr>
              <w:rPr>
                <w:rFonts w:ascii="Cambria" w:eastAsia="Cambria" w:hAnsi="Cambria" w:cs="Cambria"/>
                <w:sz w:val="18"/>
                <w:szCs w:val="18"/>
              </w:rPr>
            </w:pPr>
            <w:r w:rsidRPr="00993EB7">
              <w:rPr>
                <w:rFonts w:ascii="Cambria" w:hAnsi="Cambria"/>
                <w:i/>
                <w:sz w:val="18"/>
                <w:szCs w:val="18"/>
              </w:rPr>
              <w:t>(Asignación relacionada con las pesquerías de palangre en las proximidades del límite de la zona de ordenación y en las zonas adyacentes)</w:t>
            </w:r>
          </w:p>
          <w:p w14:paraId="6C8D05F4" w14:textId="77777777" w:rsidR="00993EB7" w:rsidRPr="00993EB7" w:rsidRDefault="00993EB7" w:rsidP="00993EB7">
            <w:pPr>
              <w:rPr>
                <w:rFonts w:ascii="Cambria" w:eastAsia="Cambria" w:hAnsi="Cambria" w:cs="Cambria"/>
                <w:sz w:val="18"/>
                <w:szCs w:val="18"/>
              </w:rPr>
            </w:pPr>
          </w:p>
        </w:tc>
        <w:tc>
          <w:tcPr>
            <w:tcW w:w="3429" w:type="dxa"/>
            <w:tcBorders>
              <w:top w:val="single" w:sz="4" w:space="0" w:color="000000"/>
              <w:left w:val="single" w:sz="4" w:space="0" w:color="000000"/>
              <w:bottom w:val="single" w:sz="4" w:space="0" w:color="000000"/>
              <w:right w:val="single" w:sz="4" w:space="0" w:color="000000"/>
            </w:tcBorders>
            <w:vAlign w:val="center"/>
          </w:tcPr>
          <w:p w14:paraId="792A515B" w14:textId="77777777" w:rsidR="00993EB7" w:rsidRPr="00993EB7" w:rsidRDefault="00993EB7" w:rsidP="00993EB7">
            <w:pPr>
              <w:widowControl w:val="0"/>
              <w:jc w:val="right"/>
              <w:rPr>
                <w:rFonts w:ascii="Cambria" w:eastAsia="Cambria" w:hAnsi="Cambria" w:cs="Cambria"/>
                <w:sz w:val="18"/>
                <w:szCs w:val="18"/>
              </w:rPr>
            </w:pPr>
            <w:r w:rsidRPr="00993EB7">
              <w:rPr>
                <w:rFonts w:ascii="Cambria" w:hAnsi="Cambria"/>
                <w:sz w:val="18"/>
                <w:szCs w:val="18"/>
              </w:rPr>
              <w:t>25</w:t>
            </w:r>
          </w:p>
        </w:tc>
      </w:tr>
    </w:tbl>
    <w:p w14:paraId="35FFB778" w14:textId="77777777" w:rsidR="00993EB7" w:rsidRPr="00993EB7" w:rsidRDefault="00993EB7" w:rsidP="00993EB7">
      <w:pPr>
        <w:widowControl w:val="0"/>
        <w:jc w:val="both"/>
        <w:rPr>
          <w:rFonts w:ascii="Cambria" w:eastAsia="Cambria" w:hAnsi="Cambria" w:cs="Cambria"/>
          <w:b/>
          <w:bCs/>
          <w:i/>
          <w:iCs/>
          <w:color w:val="000000"/>
          <w:sz w:val="20"/>
          <w:szCs w:val="20"/>
        </w:rPr>
      </w:pPr>
    </w:p>
    <w:p w14:paraId="2E2E41F9" w14:textId="77777777" w:rsidR="00993EB7" w:rsidRPr="00993EB7" w:rsidRDefault="00993EB7" w:rsidP="00993EB7">
      <w:pPr>
        <w:widowControl w:val="0"/>
        <w:jc w:val="both"/>
        <w:rPr>
          <w:rFonts w:ascii="Cambria" w:eastAsia="Cambria" w:hAnsi="Cambria" w:cs="Cambria"/>
          <w:b/>
          <w:bCs/>
          <w:i/>
          <w:iCs/>
          <w:color w:val="000000"/>
          <w:sz w:val="20"/>
          <w:szCs w:val="20"/>
        </w:rPr>
      </w:pPr>
    </w:p>
    <w:p w14:paraId="3FA5BCF5" w14:textId="77777777" w:rsidR="00993EB7" w:rsidRPr="00993EB7" w:rsidRDefault="00993EB7" w:rsidP="00993EB7">
      <w:pPr>
        <w:widowControl w:val="0"/>
        <w:jc w:val="both"/>
        <w:rPr>
          <w:rFonts w:ascii="Cambria" w:eastAsia="Cambria" w:hAnsi="Cambria" w:cs="Cambria"/>
          <w:b/>
          <w:bCs/>
          <w:i/>
          <w:iCs/>
          <w:color w:val="000000"/>
          <w:sz w:val="20"/>
          <w:szCs w:val="20"/>
        </w:rPr>
      </w:pPr>
    </w:p>
    <w:p w14:paraId="544ED221" w14:textId="77777777" w:rsidR="00993EB7" w:rsidRPr="00993EB7" w:rsidRDefault="00993EB7" w:rsidP="00993EB7">
      <w:pPr>
        <w:widowControl w:val="0"/>
        <w:jc w:val="both"/>
        <w:rPr>
          <w:rFonts w:ascii="Cambria" w:eastAsia="Cambria" w:hAnsi="Cambria" w:cs="Cambria"/>
          <w:b/>
          <w:bCs/>
          <w:i/>
          <w:iCs/>
          <w:color w:val="000000"/>
          <w:sz w:val="20"/>
          <w:szCs w:val="20"/>
        </w:rPr>
      </w:pPr>
    </w:p>
    <w:p w14:paraId="6EE00EA2" w14:textId="77777777" w:rsidR="00993EB7" w:rsidRPr="00993EB7" w:rsidRDefault="00993EB7" w:rsidP="00993EB7">
      <w:pPr>
        <w:widowControl w:val="0"/>
        <w:jc w:val="both"/>
        <w:rPr>
          <w:rFonts w:ascii="Cambria" w:eastAsia="Cambria" w:hAnsi="Cambria" w:cs="Cambria"/>
          <w:b/>
          <w:bCs/>
          <w:i/>
          <w:iCs/>
          <w:color w:val="000000"/>
          <w:sz w:val="20"/>
          <w:szCs w:val="20"/>
        </w:rPr>
      </w:pPr>
    </w:p>
    <w:p w14:paraId="249E441B" w14:textId="77777777" w:rsidR="00993EB7" w:rsidRPr="00993EB7" w:rsidRDefault="00993EB7" w:rsidP="00993EB7">
      <w:pPr>
        <w:widowControl w:val="0"/>
        <w:jc w:val="both"/>
        <w:rPr>
          <w:rFonts w:ascii="Cambria" w:eastAsia="Cambria" w:hAnsi="Cambria" w:cs="Cambria"/>
          <w:b/>
          <w:bCs/>
          <w:i/>
          <w:iCs/>
          <w:color w:val="000000"/>
          <w:sz w:val="20"/>
          <w:szCs w:val="20"/>
        </w:rPr>
      </w:pPr>
    </w:p>
    <w:p w14:paraId="66A77EF9" w14:textId="77777777" w:rsidR="00993EB7" w:rsidRPr="00993EB7" w:rsidRDefault="00993EB7" w:rsidP="00993EB7">
      <w:pPr>
        <w:widowControl w:val="0"/>
        <w:jc w:val="both"/>
        <w:rPr>
          <w:rFonts w:ascii="Cambria" w:eastAsia="Cambria" w:hAnsi="Cambria" w:cs="Cambria"/>
          <w:b/>
          <w:bCs/>
          <w:i/>
          <w:iCs/>
          <w:color w:val="000000"/>
          <w:sz w:val="20"/>
          <w:szCs w:val="20"/>
        </w:rPr>
      </w:pPr>
    </w:p>
    <w:p w14:paraId="42BEF504" w14:textId="77777777" w:rsidR="00993EB7" w:rsidRPr="00993EB7" w:rsidRDefault="00993EB7" w:rsidP="00993EB7">
      <w:pPr>
        <w:widowControl w:val="0"/>
        <w:jc w:val="both"/>
        <w:rPr>
          <w:rFonts w:ascii="Cambria" w:eastAsia="Cambria" w:hAnsi="Cambria" w:cs="Cambria"/>
          <w:b/>
          <w:bCs/>
          <w:i/>
          <w:iCs/>
          <w:color w:val="000000"/>
          <w:sz w:val="20"/>
          <w:szCs w:val="20"/>
        </w:rPr>
      </w:pPr>
    </w:p>
    <w:p w14:paraId="32CA7D23" w14:textId="77777777" w:rsidR="00993EB7" w:rsidRPr="00993EB7" w:rsidRDefault="00993EB7" w:rsidP="00993EB7">
      <w:pPr>
        <w:widowControl w:val="0"/>
        <w:jc w:val="both"/>
        <w:rPr>
          <w:rFonts w:ascii="Cambria" w:eastAsia="Cambria" w:hAnsi="Cambria" w:cs="Cambria"/>
          <w:b/>
          <w:bCs/>
          <w:i/>
          <w:iCs/>
          <w:color w:val="000000"/>
          <w:sz w:val="20"/>
          <w:szCs w:val="20"/>
        </w:rPr>
      </w:pPr>
    </w:p>
    <w:p w14:paraId="1D2F63A9" w14:textId="77777777" w:rsidR="00993EB7" w:rsidRPr="00993EB7" w:rsidRDefault="00993EB7" w:rsidP="00993EB7">
      <w:pPr>
        <w:widowControl w:val="0"/>
        <w:jc w:val="both"/>
        <w:rPr>
          <w:rFonts w:ascii="Cambria" w:eastAsia="Cambria" w:hAnsi="Cambria" w:cs="Cambria"/>
          <w:b/>
          <w:bCs/>
          <w:i/>
          <w:iCs/>
          <w:color w:val="000000"/>
          <w:sz w:val="20"/>
          <w:szCs w:val="20"/>
        </w:rPr>
      </w:pPr>
    </w:p>
    <w:p w14:paraId="3E0F09DC" w14:textId="77777777" w:rsidR="00993EB7" w:rsidRPr="00993EB7" w:rsidRDefault="00993EB7" w:rsidP="00993EB7">
      <w:pPr>
        <w:widowControl w:val="0"/>
        <w:jc w:val="both"/>
        <w:rPr>
          <w:rFonts w:ascii="Cambria" w:eastAsia="Cambria" w:hAnsi="Cambria" w:cs="Cambria"/>
          <w:b/>
          <w:bCs/>
          <w:i/>
          <w:iCs/>
          <w:color w:val="000000"/>
          <w:sz w:val="20"/>
          <w:szCs w:val="20"/>
        </w:rPr>
      </w:pPr>
    </w:p>
    <w:p w14:paraId="61FA10FD" w14:textId="77777777" w:rsidR="00993EB7" w:rsidRPr="00993EB7" w:rsidRDefault="00993EB7" w:rsidP="00993EB7">
      <w:pPr>
        <w:widowControl w:val="0"/>
        <w:jc w:val="both"/>
        <w:rPr>
          <w:rFonts w:ascii="Cambria" w:eastAsia="Cambria" w:hAnsi="Cambria" w:cs="Cambria"/>
          <w:b/>
          <w:bCs/>
          <w:i/>
          <w:iCs/>
          <w:color w:val="000000"/>
          <w:sz w:val="20"/>
          <w:szCs w:val="20"/>
        </w:rPr>
      </w:pPr>
    </w:p>
    <w:p w14:paraId="516AB278" w14:textId="77777777" w:rsidR="00993EB7" w:rsidRPr="00993EB7" w:rsidRDefault="00993EB7" w:rsidP="00993EB7">
      <w:pPr>
        <w:widowControl w:val="0"/>
        <w:jc w:val="both"/>
        <w:rPr>
          <w:rFonts w:ascii="Cambria" w:eastAsia="Cambria" w:hAnsi="Cambria" w:cs="Cambria"/>
          <w:b/>
          <w:bCs/>
          <w:i/>
          <w:iCs/>
          <w:color w:val="000000"/>
          <w:sz w:val="20"/>
          <w:szCs w:val="20"/>
        </w:rPr>
      </w:pPr>
    </w:p>
    <w:p w14:paraId="054D8967" w14:textId="77777777" w:rsidR="00993EB7" w:rsidRPr="00993EB7" w:rsidRDefault="00993EB7" w:rsidP="00993EB7">
      <w:pPr>
        <w:widowControl w:val="0"/>
        <w:jc w:val="both"/>
        <w:rPr>
          <w:rFonts w:ascii="Cambria" w:eastAsia="Cambria" w:hAnsi="Cambria" w:cs="Cambria"/>
          <w:b/>
          <w:bCs/>
          <w:i/>
          <w:iCs/>
          <w:color w:val="000000"/>
          <w:sz w:val="20"/>
          <w:szCs w:val="20"/>
        </w:rPr>
      </w:pPr>
    </w:p>
    <w:p w14:paraId="0A9CE5CD" w14:textId="77777777" w:rsidR="00993EB7" w:rsidRPr="00993EB7" w:rsidRDefault="00993EB7" w:rsidP="00993EB7">
      <w:pPr>
        <w:widowControl w:val="0"/>
        <w:jc w:val="both"/>
        <w:rPr>
          <w:rFonts w:ascii="Cambria" w:eastAsia="Cambria" w:hAnsi="Cambria" w:cs="Cambria"/>
          <w:b/>
          <w:bCs/>
          <w:i/>
          <w:iCs/>
          <w:color w:val="000000"/>
          <w:sz w:val="20"/>
          <w:szCs w:val="20"/>
        </w:rPr>
      </w:pPr>
    </w:p>
    <w:p w14:paraId="4028917C" w14:textId="77777777" w:rsidR="00993EB7" w:rsidRPr="00993EB7" w:rsidRDefault="00993EB7" w:rsidP="00993EB7">
      <w:pPr>
        <w:widowControl w:val="0"/>
        <w:jc w:val="both"/>
        <w:rPr>
          <w:rFonts w:ascii="Cambria" w:eastAsia="Cambria" w:hAnsi="Cambria" w:cs="Cambria"/>
          <w:b/>
          <w:bCs/>
          <w:i/>
          <w:iCs/>
          <w:color w:val="000000"/>
          <w:sz w:val="20"/>
          <w:szCs w:val="20"/>
        </w:rPr>
      </w:pPr>
    </w:p>
    <w:p w14:paraId="6F621BBC" w14:textId="77777777" w:rsidR="00993EB7" w:rsidRPr="00993EB7" w:rsidRDefault="00993EB7" w:rsidP="00993EB7">
      <w:pPr>
        <w:widowControl w:val="0"/>
        <w:jc w:val="both"/>
        <w:rPr>
          <w:rFonts w:ascii="Cambria" w:eastAsia="Cambria" w:hAnsi="Cambria" w:cs="Cambria"/>
          <w:b/>
          <w:bCs/>
          <w:i/>
          <w:iCs/>
          <w:color w:val="000000"/>
          <w:sz w:val="20"/>
          <w:szCs w:val="20"/>
        </w:rPr>
      </w:pPr>
    </w:p>
    <w:p w14:paraId="21CEE566" w14:textId="77777777" w:rsidR="00993EB7" w:rsidRPr="00993EB7" w:rsidRDefault="00993EB7" w:rsidP="00993EB7">
      <w:pPr>
        <w:widowControl w:val="0"/>
        <w:jc w:val="both"/>
        <w:rPr>
          <w:rFonts w:ascii="Cambria" w:eastAsia="Cambria" w:hAnsi="Cambria" w:cs="Cambria"/>
          <w:b/>
          <w:bCs/>
          <w:i/>
          <w:iCs/>
          <w:color w:val="000000"/>
          <w:sz w:val="20"/>
          <w:szCs w:val="20"/>
        </w:rPr>
      </w:pPr>
    </w:p>
    <w:p w14:paraId="19433553" w14:textId="77777777" w:rsidR="00993EB7" w:rsidRPr="00993EB7" w:rsidRDefault="00993EB7" w:rsidP="00993EB7">
      <w:pPr>
        <w:widowControl w:val="0"/>
        <w:jc w:val="both"/>
        <w:rPr>
          <w:rFonts w:ascii="Cambria" w:eastAsia="Cambria" w:hAnsi="Cambria" w:cs="Cambria"/>
          <w:b/>
          <w:bCs/>
          <w:i/>
          <w:iCs/>
          <w:color w:val="000000"/>
          <w:sz w:val="20"/>
          <w:szCs w:val="20"/>
        </w:rPr>
      </w:pPr>
    </w:p>
    <w:p w14:paraId="42617EA1" w14:textId="77777777" w:rsidR="00993EB7" w:rsidRPr="00993EB7" w:rsidRDefault="00993EB7" w:rsidP="00993EB7">
      <w:pPr>
        <w:widowControl w:val="0"/>
        <w:jc w:val="both"/>
        <w:rPr>
          <w:rFonts w:ascii="Cambria" w:eastAsia="Cambria" w:hAnsi="Cambria" w:cs="Cambria"/>
          <w:b/>
          <w:bCs/>
          <w:i/>
          <w:iCs/>
          <w:sz w:val="20"/>
          <w:szCs w:val="20"/>
        </w:rPr>
      </w:pPr>
    </w:p>
    <w:p w14:paraId="3143B949" w14:textId="77777777" w:rsidR="00993EB7" w:rsidRPr="00993EB7" w:rsidRDefault="00993EB7" w:rsidP="00993EB7">
      <w:pPr>
        <w:widowControl w:val="0"/>
        <w:jc w:val="both"/>
        <w:rPr>
          <w:rFonts w:ascii="Cambria" w:eastAsia="Cambria" w:hAnsi="Cambria" w:cs="Cambria"/>
          <w:b/>
          <w:bCs/>
          <w:i/>
          <w:iCs/>
          <w:sz w:val="20"/>
          <w:szCs w:val="20"/>
        </w:rPr>
      </w:pPr>
    </w:p>
    <w:p w14:paraId="0E27F459" w14:textId="77777777" w:rsidR="00993EB7" w:rsidRPr="00993EB7" w:rsidRDefault="00993EB7" w:rsidP="00993EB7">
      <w:pPr>
        <w:widowControl w:val="0"/>
        <w:jc w:val="both"/>
        <w:rPr>
          <w:rFonts w:ascii="Cambria" w:eastAsia="Cambria" w:hAnsi="Cambria" w:cs="Cambria"/>
          <w:b/>
          <w:bCs/>
          <w:i/>
          <w:iCs/>
          <w:sz w:val="20"/>
          <w:szCs w:val="20"/>
        </w:rPr>
      </w:pPr>
    </w:p>
    <w:p w14:paraId="2DD5B11B" w14:textId="77777777" w:rsidR="00993EB7" w:rsidRPr="00993EB7" w:rsidRDefault="00993EB7" w:rsidP="00993EB7">
      <w:pPr>
        <w:widowControl w:val="0"/>
        <w:jc w:val="both"/>
        <w:rPr>
          <w:rFonts w:ascii="Cambria" w:eastAsia="Cambria" w:hAnsi="Cambria" w:cs="Cambria"/>
          <w:b/>
          <w:bCs/>
          <w:i/>
          <w:iCs/>
          <w:sz w:val="20"/>
          <w:szCs w:val="20"/>
        </w:rPr>
      </w:pPr>
    </w:p>
    <w:p w14:paraId="79F82A2D" w14:textId="77777777" w:rsidR="00993EB7" w:rsidRPr="00993EB7" w:rsidRDefault="00993EB7" w:rsidP="00993EB7">
      <w:pPr>
        <w:widowControl w:val="0"/>
        <w:jc w:val="both"/>
        <w:rPr>
          <w:rFonts w:ascii="Cambria" w:eastAsia="Cambria" w:hAnsi="Cambria" w:cs="Cambria"/>
          <w:sz w:val="20"/>
          <w:szCs w:val="20"/>
        </w:rPr>
      </w:pPr>
    </w:p>
    <w:p w14:paraId="40770A97" w14:textId="77777777" w:rsidR="00993EB7" w:rsidRPr="00993EB7" w:rsidRDefault="00993EB7" w:rsidP="00993EB7">
      <w:pPr>
        <w:widowControl w:val="0"/>
        <w:rPr>
          <w:rFonts w:ascii="Cambria" w:eastAsia="Cambria" w:hAnsi="Cambria" w:cs="Cambria"/>
          <w:sz w:val="20"/>
          <w:szCs w:val="20"/>
        </w:rPr>
      </w:pPr>
    </w:p>
    <w:p w14:paraId="31DE21A4" w14:textId="77777777" w:rsidR="00993EB7" w:rsidRPr="00993EB7" w:rsidRDefault="00993EB7" w:rsidP="00993EB7">
      <w:pPr>
        <w:widowControl w:val="0"/>
        <w:rPr>
          <w:rFonts w:ascii="Cambria" w:eastAsia="Cambria" w:hAnsi="Cambria" w:cs="Cambria"/>
          <w:sz w:val="20"/>
          <w:szCs w:val="20"/>
          <w:vertAlign w:val="superscript"/>
        </w:rPr>
      </w:pPr>
    </w:p>
    <w:p w14:paraId="31BD61CD" w14:textId="77777777" w:rsidR="00993EB7" w:rsidRPr="00993EB7" w:rsidRDefault="00993EB7" w:rsidP="00993EB7">
      <w:pPr>
        <w:widowControl w:val="0"/>
        <w:jc w:val="both"/>
        <w:rPr>
          <w:rFonts w:ascii="Cambria" w:eastAsia="Cambria" w:hAnsi="Cambria" w:cs="Cambria"/>
          <w:sz w:val="16"/>
          <w:szCs w:val="16"/>
        </w:rPr>
      </w:pPr>
      <w:r w:rsidRPr="00993EB7">
        <w:rPr>
          <w:rFonts w:ascii="Cambria" w:hAnsi="Cambria"/>
          <w:sz w:val="16"/>
          <w:vertAlign w:val="superscript"/>
        </w:rPr>
        <w:lastRenderedPageBreak/>
        <w:t xml:space="preserve">1 </w:t>
      </w:r>
      <w:r w:rsidRPr="00993EB7">
        <w:rPr>
          <w:rFonts w:ascii="Cambria" w:hAnsi="Cambria"/>
          <w:sz w:val="16"/>
        </w:rPr>
        <w:t xml:space="preserve">Las cantidades que figuran en esta tabla reflejan las cuotas de referencia establecidas en §635.27(a); las cuotas pueden ajustarse durante la campaña pesquera mediante ajustes en temporada, como las transferencias entre sectores de la flota (es decir, categorías de cuota); el NMFS publica las actualizaciones en </w:t>
      </w:r>
      <w:hyperlink r:id="rId26">
        <w:r w:rsidRPr="00993EB7">
          <w:rPr>
            <w:rFonts w:ascii="Cambria" w:hAnsi="Cambria"/>
            <w:color w:val="1155CC"/>
            <w:sz w:val="16"/>
          </w:rPr>
          <w:t>https://www.fisheries.noaa.gov/atlantic-highly-migratory-species/atlantic-highly-migratory-species-landings-updates</w:t>
        </w:r>
      </w:hyperlink>
      <w:r w:rsidRPr="00993EB7">
        <w:t>.</w:t>
      </w:r>
    </w:p>
    <w:p w14:paraId="495DCB6A" w14:textId="77777777" w:rsidR="00993EB7" w:rsidRPr="00993EB7" w:rsidRDefault="00993EB7" w:rsidP="00993EB7">
      <w:pPr>
        <w:widowControl w:val="0"/>
        <w:jc w:val="both"/>
        <w:rPr>
          <w:rFonts w:ascii="Cambria" w:eastAsia="Cambria" w:hAnsi="Cambria" w:cs="Cambria"/>
          <w:sz w:val="16"/>
          <w:szCs w:val="16"/>
        </w:rPr>
      </w:pPr>
      <w:r w:rsidRPr="00993EB7">
        <w:rPr>
          <w:rFonts w:ascii="Cambria" w:hAnsi="Cambria"/>
          <w:sz w:val="16"/>
          <w:vertAlign w:val="superscript"/>
        </w:rPr>
        <w:t>2</w:t>
      </w:r>
      <w:r w:rsidRPr="00993EB7">
        <w:rPr>
          <w:rFonts w:ascii="Cambria" w:hAnsi="Cambria"/>
          <w:sz w:val="16"/>
        </w:rPr>
        <w:t xml:space="preserve"> La cuota de la categoría de palangre se asigna a los titulares de permisos de la categoría de túnidos del Atlántico con palangre que cumplan los requisitos, en forma de cuota individual de atún rojo (IBQ). </w:t>
      </w:r>
    </w:p>
    <w:p w14:paraId="2E518876" w14:textId="77777777" w:rsidR="00993EB7" w:rsidRPr="00993EB7" w:rsidRDefault="00993EB7" w:rsidP="00993EB7">
      <w:pPr>
        <w:widowControl w:val="0"/>
        <w:jc w:val="both"/>
        <w:rPr>
          <w:rFonts w:ascii="Cambria" w:eastAsia="Cambria" w:hAnsi="Cambria" w:cs="Cambria"/>
          <w:sz w:val="16"/>
          <w:szCs w:val="16"/>
        </w:rPr>
      </w:pPr>
      <w:r w:rsidRPr="00993EB7">
        <w:rPr>
          <w:rFonts w:ascii="Cambria" w:hAnsi="Cambria"/>
          <w:sz w:val="16"/>
          <w:vertAlign w:val="superscript"/>
        </w:rPr>
        <w:t xml:space="preserve">3 </w:t>
      </w:r>
      <w:r w:rsidRPr="00993EB7">
        <w:rPr>
          <w:rFonts w:ascii="Cambria" w:hAnsi="Cambria"/>
          <w:sz w:val="16"/>
        </w:rPr>
        <w:t xml:space="preserve">Aunque el modelo recoge el texto relativo a la zona de reserva para capturas fortuitas de la Rec. 25-05, la cantidad de cuota asignada refleja la cantidad correspondiente a la campaña pesquera de 2025, de conformidad con el párrafo 5 a) de la Rec. 22-10. </w:t>
      </w:r>
    </w:p>
    <w:p w14:paraId="08ECE060" w14:textId="77777777" w:rsidR="00993EB7" w:rsidRPr="00993EB7" w:rsidRDefault="00993EB7" w:rsidP="00993EB7">
      <w:pPr>
        <w:widowControl w:val="0"/>
        <w:jc w:val="both"/>
        <w:rPr>
          <w:rFonts w:ascii="Cambria" w:eastAsia="Cambria" w:hAnsi="Cambria" w:cs="Cambria"/>
          <w:b/>
          <w:bCs/>
          <w:i/>
          <w:iCs/>
          <w:sz w:val="20"/>
          <w:szCs w:val="20"/>
        </w:rPr>
      </w:pPr>
    </w:p>
    <w:p w14:paraId="02687D9F" w14:textId="77777777" w:rsidR="00993EB7" w:rsidRPr="00993EB7" w:rsidRDefault="00993EB7" w:rsidP="00993EB7">
      <w:pPr>
        <w:widowControl w:val="0"/>
        <w:jc w:val="both"/>
        <w:rPr>
          <w:rFonts w:ascii="Cambria" w:eastAsia="Cambria" w:hAnsi="Cambria" w:cs="Cambria"/>
          <w:b/>
          <w:bCs/>
          <w:color w:val="000000"/>
          <w:sz w:val="20"/>
          <w:szCs w:val="20"/>
        </w:rPr>
      </w:pPr>
      <w:r w:rsidRPr="00993EB7">
        <w:rPr>
          <w:rFonts w:ascii="Cambria" w:hAnsi="Cambria"/>
          <w:b/>
          <w:i/>
          <w:color w:val="000000"/>
          <w:sz w:val="20"/>
        </w:rPr>
        <w:t>1 c) Método utilizado para asignar y gestionar esas cuotas (párr. 3)</w:t>
      </w:r>
    </w:p>
    <w:p w14:paraId="7DA7FFD2" w14:textId="77777777" w:rsidR="00993EB7" w:rsidRPr="00993EB7" w:rsidRDefault="00993EB7" w:rsidP="00993EB7">
      <w:pPr>
        <w:widowControl w:val="0"/>
        <w:jc w:val="both"/>
        <w:rPr>
          <w:rFonts w:ascii="Cambria" w:eastAsia="Cambria" w:hAnsi="Cambria" w:cs="Cambria"/>
          <w:color w:val="000000"/>
          <w:sz w:val="20"/>
          <w:szCs w:val="20"/>
        </w:rPr>
      </w:pPr>
    </w:p>
    <w:p w14:paraId="310E0AF0" w14:textId="77777777" w:rsidR="00993EB7" w:rsidRPr="00993EB7" w:rsidRDefault="00993EB7" w:rsidP="00993EB7">
      <w:pPr>
        <w:widowControl w:val="0"/>
        <w:jc w:val="both"/>
        <w:rPr>
          <w:rFonts w:ascii="Cambria" w:eastAsia="Cambria" w:hAnsi="Cambria" w:cs="Cambria"/>
          <w:sz w:val="20"/>
          <w:szCs w:val="20"/>
        </w:rPr>
      </w:pPr>
      <w:r w:rsidRPr="00993EB7">
        <w:rPr>
          <w:rFonts w:ascii="Cambria" w:hAnsi="Cambria"/>
          <w:sz w:val="20"/>
        </w:rPr>
        <w:t xml:space="preserve">La asignación de la cuota anual de Estados Unidos se ajusta a las asignaciones establecidas en el Plan de ordenación de la pesca de HMS y sus modificaciones, recogidas en el reglamento sobre cuotas en § 635.27(a). </w:t>
      </w:r>
    </w:p>
    <w:p w14:paraId="02C6561C" w14:textId="77777777" w:rsidR="00993EB7" w:rsidRPr="00993EB7" w:rsidRDefault="00993EB7" w:rsidP="00993EB7">
      <w:pPr>
        <w:widowControl w:val="0"/>
        <w:jc w:val="both"/>
        <w:rPr>
          <w:rFonts w:ascii="Cambria" w:eastAsia="Cambria" w:hAnsi="Cambria" w:cs="Cambria"/>
          <w:sz w:val="20"/>
          <w:szCs w:val="20"/>
        </w:rPr>
      </w:pPr>
    </w:p>
    <w:p w14:paraId="0DE21723" w14:textId="77777777" w:rsidR="00993EB7" w:rsidRPr="00993EB7" w:rsidRDefault="00993EB7" w:rsidP="00993EB7">
      <w:pPr>
        <w:widowControl w:val="0"/>
        <w:jc w:val="both"/>
        <w:rPr>
          <w:rFonts w:ascii="Cambria" w:eastAsia="Cambria" w:hAnsi="Cambria" w:cs="Cambria"/>
          <w:sz w:val="20"/>
          <w:szCs w:val="20"/>
        </w:rPr>
      </w:pPr>
      <w:r w:rsidRPr="00993EB7">
        <w:rPr>
          <w:rFonts w:ascii="Cambria" w:hAnsi="Cambria"/>
          <w:sz w:val="20"/>
        </w:rPr>
        <w:t xml:space="preserve">El proceso de asignación de IBQ se describe en § 635.15. </w:t>
      </w:r>
    </w:p>
    <w:p w14:paraId="359E5E94" w14:textId="77777777" w:rsidR="00993EB7" w:rsidRPr="00993EB7" w:rsidRDefault="00993EB7" w:rsidP="00993EB7">
      <w:pPr>
        <w:widowControl w:val="0"/>
        <w:jc w:val="both"/>
        <w:rPr>
          <w:rFonts w:ascii="Cambria" w:eastAsia="Cambria" w:hAnsi="Cambria" w:cs="Cambria"/>
          <w:sz w:val="20"/>
          <w:szCs w:val="20"/>
        </w:rPr>
      </w:pPr>
    </w:p>
    <w:p w14:paraId="179F1B7A" w14:textId="77777777" w:rsidR="00993EB7" w:rsidRPr="00993EB7" w:rsidRDefault="00993EB7" w:rsidP="00993EB7">
      <w:pPr>
        <w:widowControl w:val="0"/>
        <w:jc w:val="both"/>
        <w:rPr>
          <w:rFonts w:ascii="Cambria" w:eastAsia="Cambria" w:hAnsi="Cambria" w:cs="Cambria"/>
          <w:sz w:val="20"/>
          <w:szCs w:val="20"/>
        </w:rPr>
      </w:pPr>
      <w:r w:rsidRPr="00993EB7">
        <w:rPr>
          <w:rFonts w:ascii="Cambria" w:hAnsi="Cambria"/>
          <w:sz w:val="20"/>
        </w:rPr>
        <w:t>El NMFS veda las pesquerías cuando se ha alcanzado, o se prevé que se alcance, la cuota de BFT correspondiente a una categoría concreta. A partir de la fecha y hora de entrada en vigor de la veda, y durante el resto del año pesquero o durante un período determinado, queda prohibido pescar, retener, poseer o desembarcar BFT en el marco de dicha cuota hasta la apertura del período de cuota siguiente o hasta la fecha que se especifique.</w:t>
      </w:r>
    </w:p>
    <w:p w14:paraId="4DEDC447" w14:textId="77777777" w:rsidR="00993EB7" w:rsidRPr="00993EB7" w:rsidRDefault="00993EB7" w:rsidP="00993EB7">
      <w:pPr>
        <w:widowControl w:val="0"/>
        <w:jc w:val="both"/>
        <w:rPr>
          <w:rFonts w:ascii="Cambria" w:eastAsia="Cambria" w:hAnsi="Cambria" w:cs="Cambria"/>
          <w:sz w:val="20"/>
          <w:szCs w:val="20"/>
        </w:rPr>
      </w:pPr>
    </w:p>
    <w:p w14:paraId="358FB109" w14:textId="77777777" w:rsidR="00993EB7" w:rsidRPr="00993EB7" w:rsidRDefault="00993EB7" w:rsidP="00993EB7">
      <w:pPr>
        <w:widowControl w:val="0"/>
        <w:jc w:val="both"/>
        <w:rPr>
          <w:rFonts w:ascii="Cambria" w:eastAsia="Cambria" w:hAnsi="Cambria" w:cs="Cambria"/>
          <w:sz w:val="20"/>
          <w:szCs w:val="20"/>
        </w:rPr>
      </w:pPr>
      <w:r w:rsidRPr="00993EB7">
        <w:rPr>
          <w:rFonts w:ascii="Cambria" w:hAnsi="Cambria"/>
          <w:sz w:val="20"/>
        </w:rPr>
        <w:t>Si el NMFS determina que las variaciones en la distribución estacional, la abundancia o los patrones migratorios del BFT, o la tasa de captura en una zona, impiden que los participantes de otra zona tengan una oportunidad razonable de aprovechar cualquier cuota asignada a las categorías nacionales, tal y como se establece en</w:t>
      </w:r>
      <w:hyperlink r:id="rId27" w:anchor="p-635.27(a)">
        <w:r w:rsidRPr="00993EB7">
          <w:rPr>
            <w:rFonts w:ascii="Cambria" w:hAnsi="Cambria"/>
            <w:sz w:val="20"/>
          </w:rPr>
          <w:t xml:space="preserve"> </w:t>
        </w:r>
      </w:hyperlink>
      <w:hyperlink r:id="rId28" w:anchor="p-635.27(a)">
        <w:r w:rsidRPr="00993EB7">
          <w:rPr>
            <w:rFonts w:ascii="Cambria" w:hAnsi="Cambria"/>
            <w:color w:val="1155CC"/>
            <w:sz w:val="20"/>
          </w:rPr>
          <w:t>§ 635.27(a)</w:t>
        </w:r>
      </w:hyperlink>
      <w:r w:rsidRPr="00993EB7">
        <w:rPr>
          <w:rFonts w:ascii="Cambria" w:hAnsi="Cambria"/>
          <w:sz w:val="20"/>
        </w:rPr>
        <w:t>, el NMFS podrá establecer la veda total o parcial de la pesquería correspondiente a dicha categoría. El NMFS podrá reabrir la pesquería en una fecha posterior si determina que existen oportunidades de pesca razonables, por ejemplo, si el BFT ha migrado a la zona o si las condiciones meteorológicas son propicias para la pesca. Para determinar la necesidad de una veda provisional o espacial, el NMFS también tendrá en cuenta varios criterios que se consideran asimismo para las transferencias de cuotas entre categorías de cuota y para el ajuste de los límites de retención (véase</w:t>
      </w:r>
      <w:hyperlink r:id="rId29" w:anchor="p-635.27(a)(7)">
        <w:r w:rsidRPr="00993EB7">
          <w:rPr>
            <w:rFonts w:ascii="Cambria" w:hAnsi="Cambria"/>
            <w:sz w:val="20"/>
          </w:rPr>
          <w:t> </w:t>
        </w:r>
      </w:hyperlink>
      <w:hyperlink r:id="rId30" w:anchor="p-635.27(a)(7)">
        <w:r w:rsidRPr="00993EB7">
          <w:rPr>
            <w:rFonts w:ascii="Cambria" w:hAnsi="Cambria"/>
            <w:color w:val="1155CC"/>
            <w:sz w:val="20"/>
          </w:rPr>
          <w:t>§ 635.27(a)(7)</w:t>
        </w:r>
      </w:hyperlink>
      <w:r w:rsidRPr="00993EB7">
        <w:rPr>
          <w:rFonts w:ascii="Cambria" w:hAnsi="Cambria"/>
          <w:sz w:val="20"/>
        </w:rPr>
        <w:t>).</w:t>
      </w:r>
    </w:p>
    <w:p w14:paraId="6487668E" w14:textId="77777777" w:rsidR="00993EB7" w:rsidRPr="00993EB7" w:rsidRDefault="00993EB7" w:rsidP="00993EB7">
      <w:pPr>
        <w:widowControl w:val="0"/>
        <w:jc w:val="both"/>
        <w:rPr>
          <w:rFonts w:ascii="Cambria" w:eastAsia="Cambria" w:hAnsi="Cambria" w:cs="Cambria"/>
          <w:i/>
          <w:iCs/>
          <w:color w:val="000000"/>
          <w:sz w:val="20"/>
          <w:szCs w:val="20"/>
        </w:rPr>
      </w:pPr>
    </w:p>
    <w:p w14:paraId="39764FF2" w14:textId="77777777" w:rsidR="00993EB7" w:rsidRPr="00993EB7" w:rsidRDefault="00993EB7" w:rsidP="00993EB7">
      <w:pPr>
        <w:widowControl w:val="0"/>
        <w:jc w:val="both"/>
        <w:rPr>
          <w:rFonts w:ascii="Cambria" w:eastAsia="Cambria" w:hAnsi="Cambria" w:cs="Cambria"/>
          <w:b/>
          <w:bCs/>
          <w:i/>
          <w:iCs/>
          <w:color w:val="000000"/>
          <w:sz w:val="20"/>
          <w:szCs w:val="20"/>
        </w:rPr>
      </w:pPr>
      <w:r w:rsidRPr="00993EB7">
        <w:rPr>
          <w:rFonts w:ascii="Cambria" w:hAnsi="Cambria"/>
          <w:b/>
          <w:i/>
          <w:color w:val="000000"/>
          <w:sz w:val="20"/>
        </w:rPr>
        <w:t>1 d) Ajuste en caso de exceso o de remanente de captura (párr. 8)</w:t>
      </w:r>
    </w:p>
    <w:p w14:paraId="0AE5C225" w14:textId="77777777" w:rsidR="00993EB7" w:rsidRPr="00993EB7" w:rsidRDefault="00993EB7" w:rsidP="00993EB7">
      <w:pPr>
        <w:widowControl w:val="0"/>
        <w:jc w:val="both"/>
        <w:rPr>
          <w:rFonts w:ascii="Cambria" w:eastAsia="Cambria" w:hAnsi="Cambria" w:cs="Cambria"/>
          <w:color w:val="000000"/>
          <w:sz w:val="20"/>
          <w:szCs w:val="20"/>
        </w:rPr>
      </w:pPr>
    </w:p>
    <w:p w14:paraId="2B55C701" w14:textId="77777777" w:rsidR="00993EB7" w:rsidRPr="00993EB7" w:rsidRDefault="00993EB7" w:rsidP="00993EB7">
      <w:pPr>
        <w:jc w:val="both"/>
        <w:rPr>
          <w:rFonts w:ascii="Cambria" w:eastAsia="Cambria" w:hAnsi="Cambria" w:cs="Cambria"/>
          <w:spacing w:val="-6"/>
          <w:sz w:val="20"/>
          <w:szCs w:val="20"/>
        </w:rPr>
      </w:pPr>
      <w:r w:rsidRPr="00993EB7">
        <w:rPr>
          <w:rFonts w:ascii="Cambria" w:hAnsi="Cambria"/>
          <w:spacing w:val="-6"/>
          <w:sz w:val="20"/>
        </w:rPr>
        <w:t>Para la campaña pesquera de 2025, Estados Unidos ajustó su cuota por exceso de capturas de la siguiente manera:</w:t>
      </w:r>
    </w:p>
    <w:p w14:paraId="14C048BC" w14:textId="77777777" w:rsidR="00993EB7" w:rsidRPr="00993EB7" w:rsidRDefault="00993EB7" w:rsidP="00993EB7">
      <w:pPr>
        <w:jc w:val="both"/>
        <w:rPr>
          <w:rFonts w:ascii="Cambria" w:eastAsia="Cambria" w:hAnsi="Cambria" w:cs="Cambria"/>
          <w:sz w:val="20"/>
          <w:szCs w:val="20"/>
        </w:rPr>
      </w:pPr>
    </w:p>
    <w:p w14:paraId="2FB2FFD5" w14:textId="77777777" w:rsidR="00993EB7" w:rsidRPr="00993EB7" w:rsidRDefault="00993EB7" w:rsidP="00993EB7">
      <w:pPr>
        <w:jc w:val="both"/>
        <w:rPr>
          <w:rFonts w:ascii="Cambria" w:eastAsia="Cambria" w:hAnsi="Cambria" w:cs="Cambria"/>
          <w:sz w:val="20"/>
          <w:szCs w:val="20"/>
        </w:rPr>
      </w:pPr>
      <w:r w:rsidRPr="00993EB7">
        <w:rPr>
          <w:rFonts w:ascii="Cambria" w:hAnsi="Cambria"/>
          <w:sz w:val="20"/>
        </w:rPr>
        <w:t>Cuota inicial de 2025: 1.341,14 t (1.316,14 t + 25 t de capturas fortuitas, de conformidad con el párrafo 5 a) de la Rec. 22-10).</w:t>
      </w:r>
    </w:p>
    <w:p w14:paraId="010D5650" w14:textId="77777777" w:rsidR="00993EB7" w:rsidRPr="00993EB7" w:rsidRDefault="00993EB7" w:rsidP="00993EB7">
      <w:pPr>
        <w:jc w:val="both"/>
        <w:rPr>
          <w:rFonts w:ascii="Cambria" w:eastAsia="Cambria" w:hAnsi="Cambria" w:cs="Cambria"/>
          <w:sz w:val="20"/>
          <w:szCs w:val="20"/>
        </w:rPr>
      </w:pPr>
    </w:p>
    <w:p w14:paraId="77B4FCEC" w14:textId="77777777" w:rsidR="00993EB7" w:rsidRPr="00993EB7" w:rsidRDefault="00993EB7" w:rsidP="00993EB7">
      <w:pPr>
        <w:jc w:val="both"/>
        <w:rPr>
          <w:rFonts w:ascii="Cambria" w:hAnsi="Cambria"/>
          <w:sz w:val="20"/>
          <w:szCs w:val="20"/>
        </w:rPr>
      </w:pPr>
      <w:r w:rsidRPr="00993EB7">
        <w:rPr>
          <w:rFonts w:ascii="Cambria" w:hAnsi="Cambria"/>
          <w:sz w:val="20"/>
        </w:rPr>
        <w:t>Exceso o remanente de capturas en 2024 (cuota ajustada de 2024 – capturas de 2024):</w:t>
      </w:r>
      <w:r w:rsidRPr="00993EB7">
        <w:rPr>
          <w:rFonts w:ascii="Cambria" w:hAnsi="Cambria"/>
          <w:sz w:val="20"/>
        </w:rPr>
        <w:br/>
        <w:t>1.475,25 t – 1.616,43 t = –141,18 t (es decir, un exceso de captura de 141,18 t).</w:t>
      </w:r>
    </w:p>
    <w:p w14:paraId="7557DCF9" w14:textId="77777777" w:rsidR="00993EB7" w:rsidRPr="00993EB7" w:rsidRDefault="00993EB7" w:rsidP="00993EB7">
      <w:pPr>
        <w:jc w:val="both"/>
        <w:rPr>
          <w:rFonts w:ascii="Cambria" w:hAnsi="Cambria"/>
          <w:sz w:val="20"/>
          <w:szCs w:val="20"/>
        </w:rPr>
      </w:pPr>
    </w:p>
    <w:p w14:paraId="46C52FC6" w14:textId="77777777" w:rsidR="00993EB7" w:rsidRPr="00993EB7" w:rsidRDefault="00993EB7" w:rsidP="00993EB7">
      <w:pPr>
        <w:jc w:val="both"/>
        <w:rPr>
          <w:rFonts w:ascii="Cambria" w:eastAsia="Cambria" w:hAnsi="Cambria" w:cs="Cambria"/>
          <w:sz w:val="20"/>
          <w:szCs w:val="20"/>
        </w:rPr>
      </w:pPr>
      <w:r w:rsidRPr="00993EB7">
        <w:rPr>
          <w:rFonts w:ascii="Cambria" w:hAnsi="Cambria"/>
          <w:sz w:val="20"/>
        </w:rPr>
        <w:t>Cuota ajustada para 2025 (cuota inicial para 2025 – exceso de captura): 1.341,14 t – 141,18 t= 1.199,96 t.</w:t>
      </w:r>
    </w:p>
    <w:p w14:paraId="15C68763" w14:textId="77777777" w:rsidR="00993EB7" w:rsidRPr="00993EB7" w:rsidRDefault="00993EB7" w:rsidP="00993EB7">
      <w:pPr>
        <w:jc w:val="both"/>
        <w:rPr>
          <w:rFonts w:ascii="Cambria" w:eastAsia="Cambria" w:hAnsi="Cambria" w:cs="Cambria"/>
          <w:sz w:val="20"/>
          <w:szCs w:val="20"/>
        </w:rPr>
      </w:pPr>
    </w:p>
    <w:p w14:paraId="7C44AD3D" w14:textId="77777777" w:rsidR="00993EB7" w:rsidRPr="00993EB7" w:rsidRDefault="00993EB7" w:rsidP="00993EB7">
      <w:pPr>
        <w:jc w:val="both"/>
        <w:rPr>
          <w:rFonts w:ascii="Cambria" w:hAnsi="Cambria"/>
          <w:sz w:val="20"/>
        </w:rPr>
      </w:pPr>
      <w:r w:rsidRPr="00993EB7">
        <w:rPr>
          <w:rFonts w:ascii="Cambria" w:hAnsi="Cambria"/>
          <w:sz w:val="20"/>
        </w:rPr>
        <w:t>En cuanto al BFT de menos de 115 cm, la tolerancia inicial para esta talla de BFT, tanto para 2024 como para 2025, fue de 134,1 t (el 10 % de la cuota inicial total, 1.341,41 t). En 2024 se superó el límite de exceso de captura en 18,5 t (es decir, 152,6 t - 134,1 t). De conformidad con el párrafo 10, el límite ajustado para el BFT de menos de 115 cm para 2025 fue de 115,6 t (es decir, 134,14 t - 18,5 t). La captura de BFT de menos de 115 cm en 2025 fue de 100,78 t (es decir, el 87 % del límite de tolerancia ajustado para 2025 y el 8,4 % de la cuota ajustada para 2025).</w:t>
      </w:r>
    </w:p>
    <w:p w14:paraId="71B6F9EA" w14:textId="77777777" w:rsidR="00993EB7" w:rsidRPr="00993EB7" w:rsidRDefault="00993EB7" w:rsidP="00993EB7">
      <w:pPr>
        <w:widowControl w:val="0"/>
        <w:jc w:val="both"/>
        <w:rPr>
          <w:rFonts w:ascii="Cambria" w:hAnsi="Cambria"/>
          <w:sz w:val="20"/>
        </w:rPr>
      </w:pPr>
      <w:r w:rsidRPr="00993EB7">
        <w:rPr>
          <w:rFonts w:ascii="Cambria" w:hAnsi="Cambria"/>
          <w:sz w:val="20"/>
        </w:rPr>
        <w:br w:type="page"/>
      </w:r>
    </w:p>
    <w:p w14:paraId="139E707C" w14:textId="77777777" w:rsidR="00993EB7" w:rsidRPr="00993EB7" w:rsidRDefault="00993EB7" w:rsidP="00993EB7">
      <w:pPr>
        <w:tabs>
          <w:tab w:val="left" w:pos="426"/>
        </w:tabs>
        <w:rPr>
          <w:rFonts w:ascii="Cambria" w:eastAsia="Cambria" w:hAnsi="Cambria" w:cs="Cambria"/>
          <w:b/>
          <w:bCs/>
          <w:color w:val="000000"/>
          <w:sz w:val="20"/>
          <w:szCs w:val="20"/>
        </w:rPr>
      </w:pPr>
      <w:r w:rsidRPr="00993EB7">
        <w:rPr>
          <w:rFonts w:ascii="Cambria" w:hAnsi="Cambria"/>
          <w:b/>
          <w:color w:val="000000"/>
          <w:sz w:val="20"/>
        </w:rPr>
        <w:lastRenderedPageBreak/>
        <w:t>2.</w:t>
      </w:r>
      <w:r w:rsidRPr="00993EB7">
        <w:rPr>
          <w:rFonts w:ascii="Cambria" w:hAnsi="Cambria"/>
          <w:b/>
          <w:color w:val="000000"/>
          <w:sz w:val="20"/>
        </w:rPr>
        <w:tab/>
        <w:t>Medidas de control de las pesquerías y de las capturas fortuitas (párr. 3)</w:t>
      </w:r>
    </w:p>
    <w:p w14:paraId="404DFCDE" w14:textId="77777777" w:rsidR="00993EB7" w:rsidRPr="00993EB7" w:rsidRDefault="00993EB7" w:rsidP="00993EB7">
      <w:pPr>
        <w:tabs>
          <w:tab w:val="left" w:pos="426"/>
        </w:tabs>
        <w:rPr>
          <w:rFonts w:ascii="Cambria" w:eastAsia="Cambria" w:hAnsi="Cambria" w:cs="Cambria"/>
          <w:color w:val="000000"/>
          <w:sz w:val="20"/>
          <w:szCs w:val="20"/>
        </w:rPr>
      </w:pPr>
    </w:p>
    <w:tbl>
      <w:tblPr>
        <w:tblpPr w:leftFromText="180" w:rightFromText="180" w:vertAnchor="text" w:tblpXSpec="center" w:tblpY="1"/>
        <w:tblW w:w="90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07"/>
        <w:gridCol w:w="2577"/>
        <w:gridCol w:w="1945"/>
        <w:gridCol w:w="1941"/>
        <w:gridCol w:w="2090"/>
      </w:tblGrid>
      <w:tr w:rsidR="00993EB7" w:rsidRPr="00993EB7" w14:paraId="6A9417F0" w14:textId="77777777" w:rsidTr="00B23AAD">
        <w:trPr>
          <w:tblHeader/>
          <w:jc w:val="center"/>
        </w:trPr>
        <w:tc>
          <w:tcPr>
            <w:tcW w:w="507" w:type="dxa"/>
          </w:tcPr>
          <w:p w14:paraId="0AEAB6DB" w14:textId="77777777" w:rsidR="00993EB7" w:rsidRPr="00993EB7" w:rsidRDefault="00993EB7" w:rsidP="00993EB7">
            <w:pPr>
              <w:widowControl w:val="0"/>
              <w:rPr>
                <w:rFonts w:ascii="Cambria" w:eastAsia="Cambria" w:hAnsi="Cambria" w:cs="Cambria"/>
                <w:sz w:val="20"/>
                <w:szCs w:val="20"/>
              </w:rPr>
            </w:pPr>
          </w:p>
        </w:tc>
        <w:tc>
          <w:tcPr>
            <w:tcW w:w="2577" w:type="dxa"/>
            <w:vAlign w:val="center"/>
          </w:tcPr>
          <w:p w14:paraId="697599BE" w14:textId="77777777" w:rsidR="00993EB7" w:rsidRPr="00993EB7" w:rsidRDefault="00993EB7" w:rsidP="00993EB7">
            <w:pPr>
              <w:widowControl w:val="0"/>
              <w:jc w:val="center"/>
              <w:rPr>
                <w:rFonts w:ascii="Cambria" w:eastAsia="Cambria" w:hAnsi="Cambria" w:cs="Cambria"/>
                <w:i/>
                <w:iCs/>
                <w:sz w:val="18"/>
                <w:szCs w:val="18"/>
              </w:rPr>
            </w:pPr>
            <w:r w:rsidRPr="00993EB7">
              <w:rPr>
                <w:rFonts w:ascii="Cambria" w:hAnsi="Cambria"/>
                <w:i/>
                <w:sz w:val="18"/>
                <w:szCs w:val="18"/>
              </w:rPr>
              <w:t xml:space="preserve">Requisito ICCAT </w:t>
            </w:r>
          </w:p>
          <w:p w14:paraId="5F97F1FA" w14:textId="77777777" w:rsidR="00993EB7" w:rsidRPr="00993EB7" w:rsidRDefault="00993EB7" w:rsidP="00993EB7">
            <w:pPr>
              <w:widowControl w:val="0"/>
              <w:jc w:val="center"/>
              <w:rPr>
                <w:rFonts w:ascii="Cambria" w:eastAsia="Cambria" w:hAnsi="Cambria" w:cs="Cambria"/>
                <w:i/>
                <w:iCs/>
                <w:sz w:val="18"/>
                <w:szCs w:val="18"/>
              </w:rPr>
            </w:pPr>
            <w:r w:rsidRPr="00993EB7">
              <w:rPr>
                <w:rFonts w:ascii="Cambria" w:hAnsi="Cambria"/>
                <w:i/>
                <w:sz w:val="18"/>
                <w:szCs w:val="18"/>
              </w:rPr>
              <w:t xml:space="preserve">(en virtud de la </w:t>
            </w:r>
            <w:hyperlink r:id="rId31">
              <w:r w:rsidRPr="00993EB7">
                <w:rPr>
                  <w:rFonts w:ascii="Cambria" w:hAnsi="Cambria"/>
                  <w:i/>
                  <w:color w:val="0563C1"/>
                  <w:sz w:val="18"/>
                  <w:szCs w:val="18"/>
                </w:rPr>
                <w:t>Rec.</w:t>
              </w:r>
            </w:hyperlink>
            <w:hyperlink r:id="rId32">
              <w:r w:rsidRPr="00993EB7">
                <w:rPr>
                  <w:rFonts w:ascii="Cambria" w:hAnsi="Cambria"/>
                  <w:i/>
                  <w:color w:val="0563C1"/>
                  <w:sz w:val="18"/>
                  <w:szCs w:val="18"/>
                </w:rPr>
                <w:t xml:space="preserve"> 25-05</w:t>
              </w:r>
            </w:hyperlink>
            <w:r w:rsidRPr="00993EB7">
              <w:rPr>
                <w:rFonts w:ascii="Cambria" w:hAnsi="Cambria"/>
                <w:i/>
                <w:sz w:val="18"/>
                <w:szCs w:val="18"/>
              </w:rPr>
              <w:t>)</w:t>
            </w:r>
          </w:p>
        </w:tc>
        <w:tc>
          <w:tcPr>
            <w:tcW w:w="1945" w:type="dxa"/>
            <w:vAlign w:val="center"/>
          </w:tcPr>
          <w:p w14:paraId="632AE97F" w14:textId="77777777" w:rsidR="00993EB7" w:rsidRPr="00993EB7" w:rsidRDefault="00993EB7" w:rsidP="00993EB7">
            <w:pPr>
              <w:widowControl w:val="0"/>
              <w:jc w:val="center"/>
              <w:rPr>
                <w:rFonts w:ascii="Cambria" w:eastAsia="Cambria" w:hAnsi="Cambria" w:cs="Cambria"/>
                <w:i/>
                <w:iCs/>
                <w:spacing w:val="-4"/>
                <w:sz w:val="18"/>
                <w:szCs w:val="18"/>
              </w:rPr>
            </w:pPr>
            <w:r w:rsidRPr="00993EB7">
              <w:rPr>
                <w:rFonts w:ascii="Cambria" w:hAnsi="Cambria"/>
                <w:i/>
                <w:spacing w:val="-4"/>
                <w:sz w:val="18"/>
                <w:szCs w:val="18"/>
              </w:rPr>
              <w:t>Explicación de las acciones emprendidas por la CPC con fines de implementación</w:t>
            </w:r>
          </w:p>
        </w:tc>
        <w:tc>
          <w:tcPr>
            <w:tcW w:w="1941" w:type="dxa"/>
            <w:vAlign w:val="center"/>
          </w:tcPr>
          <w:p w14:paraId="004C99A3" w14:textId="77777777" w:rsidR="00993EB7" w:rsidRPr="00993EB7" w:rsidRDefault="00993EB7" w:rsidP="00993EB7">
            <w:pPr>
              <w:widowControl w:val="0"/>
              <w:jc w:val="center"/>
              <w:rPr>
                <w:rFonts w:ascii="Cambria" w:eastAsia="Cambria" w:hAnsi="Cambria" w:cs="Cambria"/>
                <w:i/>
                <w:iCs/>
                <w:sz w:val="18"/>
                <w:szCs w:val="18"/>
              </w:rPr>
            </w:pPr>
            <w:r w:rsidRPr="00993EB7">
              <w:rPr>
                <w:rFonts w:ascii="Cambria" w:hAnsi="Cambria"/>
                <w:i/>
                <w:sz w:val="18"/>
                <w:szCs w:val="18"/>
              </w:rPr>
              <w:t>Leyes o reglamentos internos pertinentes (si procede)</w:t>
            </w:r>
          </w:p>
        </w:tc>
        <w:tc>
          <w:tcPr>
            <w:tcW w:w="2090" w:type="dxa"/>
            <w:vAlign w:val="center"/>
          </w:tcPr>
          <w:p w14:paraId="15AEB64B" w14:textId="77777777" w:rsidR="00993EB7" w:rsidRPr="00993EB7" w:rsidRDefault="00993EB7" w:rsidP="00993EB7">
            <w:pPr>
              <w:widowControl w:val="0"/>
              <w:jc w:val="center"/>
              <w:rPr>
                <w:rFonts w:ascii="Cambria" w:eastAsia="Cambria" w:hAnsi="Cambria" w:cs="Cambria"/>
                <w:i/>
                <w:iCs/>
                <w:sz w:val="18"/>
                <w:szCs w:val="18"/>
              </w:rPr>
            </w:pPr>
            <w:r w:rsidRPr="00993EB7">
              <w:rPr>
                <w:rFonts w:ascii="Cambria" w:hAnsi="Cambria"/>
                <w:i/>
                <w:sz w:val="18"/>
                <w:szCs w:val="18"/>
              </w:rPr>
              <w:t>Notas</w:t>
            </w:r>
          </w:p>
        </w:tc>
      </w:tr>
      <w:tr w:rsidR="00993EB7" w:rsidRPr="00993EB7" w14:paraId="5194EE76" w14:textId="77777777" w:rsidTr="00B23AAD">
        <w:trPr>
          <w:jc w:val="center"/>
        </w:trPr>
        <w:tc>
          <w:tcPr>
            <w:tcW w:w="507" w:type="dxa"/>
          </w:tcPr>
          <w:p w14:paraId="4E673F57" w14:textId="77777777" w:rsidR="00993EB7" w:rsidRPr="00993EB7" w:rsidRDefault="00993EB7" w:rsidP="00993EB7">
            <w:pPr>
              <w:widowControl w:val="0"/>
              <w:rPr>
                <w:rFonts w:ascii="Cambria" w:eastAsia="Cambria" w:hAnsi="Cambria" w:cs="Cambria"/>
                <w:b/>
                <w:bCs/>
                <w:sz w:val="20"/>
                <w:szCs w:val="20"/>
              </w:rPr>
            </w:pPr>
            <w:r w:rsidRPr="00993EB7">
              <w:rPr>
                <w:rFonts w:ascii="Cambria" w:hAnsi="Cambria"/>
                <w:b/>
                <w:sz w:val="20"/>
              </w:rPr>
              <w:t>1</w:t>
            </w:r>
          </w:p>
        </w:tc>
        <w:tc>
          <w:tcPr>
            <w:tcW w:w="2577" w:type="dxa"/>
          </w:tcPr>
          <w:p w14:paraId="69F5C0E6" w14:textId="77777777" w:rsidR="00993EB7" w:rsidRPr="00993EB7" w:rsidRDefault="00993EB7" w:rsidP="00993EB7">
            <w:pPr>
              <w:widowControl w:val="0"/>
              <w:rPr>
                <w:rFonts w:ascii="Cambria" w:eastAsia="Cambria" w:hAnsi="Cambria" w:cs="Cambria"/>
                <w:b/>
                <w:bCs/>
                <w:sz w:val="18"/>
                <w:szCs w:val="18"/>
              </w:rPr>
            </w:pPr>
            <w:r w:rsidRPr="00993EB7">
              <w:rPr>
                <w:rFonts w:ascii="Cambria" w:hAnsi="Cambria"/>
                <w:b/>
                <w:sz w:val="18"/>
                <w:szCs w:val="18"/>
              </w:rPr>
              <w:t>Límites de capacidad y esfuerzo (párr. 2)</w:t>
            </w:r>
          </w:p>
        </w:tc>
        <w:tc>
          <w:tcPr>
            <w:tcW w:w="1945" w:type="dxa"/>
          </w:tcPr>
          <w:p w14:paraId="13F61EA9" w14:textId="77777777" w:rsidR="00993EB7" w:rsidRPr="00993EB7" w:rsidRDefault="00993EB7" w:rsidP="00993EB7">
            <w:pPr>
              <w:widowControl w:val="0"/>
              <w:jc w:val="both"/>
              <w:rPr>
                <w:rFonts w:ascii="Cambria" w:eastAsia="Cambria" w:hAnsi="Cambria" w:cs="Cambria"/>
                <w:spacing w:val="-4"/>
                <w:sz w:val="18"/>
                <w:szCs w:val="18"/>
              </w:rPr>
            </w:pPr>
            <w:r w:rsidRPr="00993EB7">
              <w:rPr>
                <w:rFonts w:ascii="Cambria" w:hAnsi="Cambria"/>
                <w:spacing w:val="-4"/>
                <w:sz w:val="18"/>
                <w:szCs w:val="18"/>
              </w:rPr>
              <w:t>No es aplicable para Estados Unidos.</w:t>
            </w:r>
          </w:p>
        </w:tc>
        <w:tc>
          <w:tcPr>
            <w:tcW w:w="1941" w:type="dxa"/>
          </w:tcPr>
          <w:p w14:paraId="6402EA78" w14:textId="77777777" w:rsidR="00993EB7" w:rsidRPr="00993EB7" w:rsidRDefault="00993EB7" w:rsidP="00993EB7">
            <w:pPr>
              <w:widowControl w:val="0"/>
              <w:jc w:val="both"/>
              <w:rPr>
                <w:rFonts w:ascii="Cambria" w:eastAsia="Cambria" w:hAnsi="Cambria" w:cs="Cambria"/>
                <w:sz w:val="18"/>
                <w:szCs w:val="18"/>
              </w:rPr>
            </w:pPr>
          </w:p>
        </w:tc>
        <w:tc>
          <w:tcPr>
            <w:tcW w:w="2090" w:type="dxa"/>
          </w:tcPr>
          <w:p w14:paraId="5EE9FCD2" w14:textId="77777777" w:rsidR="00993EB7" w:rsidRPr="00993EB7" w:rsidRDefault="00993EB7" w:rsidP="00993EB7">
            <w:pPr>
              <w:widowControl w:val="0"/>
              <w:jc w:val="both"/>
              <w:rPr>
                <w:rFonts w:ascii="Cambria" w:eastAsia="Cambria" w:hAnsi="Cambria" w:cs="Cambria"/>
                <w:sz w:val="18"/>
                <w:szCs w:val="18"/>
              </w:rPr>
            </w:pPr>
          </w:p>
        </w:tc>
      </w:tr>
      <w:tr w:rsidR="00993EB7" w:rsidRPr="00993EB7" w14:paraId="38B3BB8E" w14:textId="77777777" w:rsidTr="00B23AAD">
        <w:trPr>
          <w:jc w:val="center"/>
        </w:trPr>
        <w:tc>
          <w:tcPr>
            <w:tcW w:w="507" w:type="dxa"/>
          </w:tcPr>
          <w:p w14:paraId="598D0D77" w14:textId="77777777" w:rsidR="00993EB7" w:rsidRPr="00993EB7" w:rsidRDefault="00993EB7" w:rsidP="00993EB7">
            <w:pPr>
              <w:widowControl w:val="0"/>
              <w:rPr>
                <w:rFonts w:ascii="Cambria" w:eastAsia="Cambria" w:hAnsi="Cambria" w:cs="Cambria"/>
                <w:b/>
                <w:bCs/>
                <w:sz w:val="20"/>
                <w:szCs w:val="20"/>
              </w:rPr>
            </w:pPr>
            <w:r w:rsidRPr="00993EB7">
              <w:rPr>
                <w:rFonts w:ascii="Cambria" w:hAnsi="Cambria"/>
                <w:b/>
                <w:sz w:val="20"/>
              </w:rPr>
              <w:t>2</w:t>
            </w:r>
          </w:p>
        </w:tc>
        <w:tc>
          <w:tcPr>
            <w:tcW w:w="2577" w:type="dxa"/>
          </w:tcPr>
          <w:p w14:paraId="134A7DF4" w14:textId="77777777" w:rsidR="00993EB7" w:rsidRPr="00993EB7" w:rsidRDefault="00993EB7" w:rsidP="00993EB7">
            <w:pPr>
              <w:widowControl w:val="0"/>
              <w:rPr>
                <w:rFonts w:ascii="Cambria" w:eastAsia="Cambria" w:hAnsi="Cambria" w:cs="Cambria"/>
                <w:b/>
                <w:bCs/>
                <w:sz w:val="18"/>
                <w:szCs w:val="18"/>
              </w:rPr>
            </w:pPr>
            <w:r w:rsidRPr="00993EB7">
              <w:rPr>
                <w:rFonts w:ascii="Cambria" w:hAnsi="Cambria"/>
                <w:b/>
                <w:sz w:val="18"/>
                <w:szCs w:val="18"/>
              </w:rPr>
              <w:t>Requisitos en materia de datos y comunicaciones</w:t>
            </w:r>
          </w:p>
          <w:p w14:paraId="2BCEA673" w14:textId="77777777" w:rsidR="00993EB7" w:rsidRPr="00993EB7" w:rsidRDefault="00993EB7" w:rsidP="00993EB7">
            <w:pPr>
              <w:widowControl w:val="0"/>
              <w:rPr>
                <w:rFonts w:ascii="Cambria" w:eastAsia="Cambria" w:hAnsi="Cambria" w:cs="Cambria"/>
                <w:b/>
                <w:bCs/>
                <w:sz w:val="18"/>
                <w:szCs w:val="18"/>
              </w:rPr>
            </w:pPr>
            <w:r w:rsidRPr="00993EB7">
              <w:rPr>
                <w:rFonts w:ascii="Cambria" w:hAnsi="Cambria"/>
                <w:b/>
                <w:sz w:val="18"/>
                <w:szCs w:val="18"/>
              </w:rPr>
              <w:t>(párrs. 18, 19, 21 y 23)</w:t>
            </w:r>
          </w:p>
        </w:tc>
        <w:tc>
          <w:tcPr>
            <w:tcW w:w="1945" w:type="dxa"/>
          </w:tcPr>
          <w:p w14:paraId="31D45515" w14:textId="77777777" w:rsidR="00993EB7" w:rsidRPr="00993EB7" w:rsidRDefault="00993EB7" w:rsidP="00993EB7">
            <w:pPr>
              <w:widowControl w:val="0"/>
              <w:jc w:val="both"/>
              <w:rPr>
                <w:rFonts w:ascii="Cambria" w:eastAsia="Cambria" w:hAnsi="Cambria" w:cs="Cambria"/>
                <w:spacing w:val="-6"/>
                <w:sz w:val="18"/>
                <w:szCs w:val="18"/>
              </w:rPr>
            </w:pPr>
            <w:r w:rsidRPr="00993EB7">
              <w:rPr>
                <w:rFonts w:ascii="Cambria" w:hAnsi="Cambria"/>
                <w:spacing w:val="-6"/>
                <w:sz w:val="18"/>
                <w:szCs w:val="18"/>
              </w:rPr>
              <w:t>Estados Unidos exige que todos los buques con licencia para la pesca de HMS comuniquen las capturas de BFT (desembarques y descartes de ejemplares muertos). Esto comprende:</w:t>
            </w:r>
          </w:p>
          <w:p w14:paraId="39D0CF29" w14:textId="77777777" w:rsidR="00993EB7" w:rsidRPr="00993EB7" w:rsidRDefault="00993EB7" w:rsidP="00993EB7">
            <w:pPr>
              <w:widowControl w:val="0"/>
              <w:jc w:val="both"/>
              <w:rPr>
                <w:rFonts w:ascii="Cambria" w:eastAsia="Cambria" w:hAnsi="Cambria" w:cs="Cambria"/>
                <w:spacing w:val="-6"/>
                <w:sz w:val="18"/>
                <w:szCs w:val="18"/>
              </w:rPr>
            </w:pPr>
            <w:r w:rsidRPr="00993EB7">
              <w:rPr>
                <w:rFonts w:ascii="Cambria" w:hAnsi="Cambria"/>
                <w:spacing w:val="-6"/>
                <w:sz w:val="18"/>
                <w:szCs w:val="18"/>
              </w:rPr>
              <w:t>- La autodeclaración diaria de las capturas a través de un sistema electrónico de declaración de capturas en un plazo de 24 horas tras el desembarque (sector de artes manuales);</w:t>
            </w:r>
          </w:p>
          <w:p w14:paraId="1AA82B24" w14:textId="77777777" w:rsidR="00993EB7" w:rsidRPr="00993EB7" w:rsidRDefault="00993EB7" w:rsidP="00993EB7">
            <w:pPr>
              <w:widowControl w:val="0"/>
              <w:jc w:val="both"/>
              <w:rPr>
                <w:rFonts w:ascii="Cambria" w:eastAsia="Cambria" w:hAnsi="Cambria" w:cs="Cambria"/>
                <w:spacing w:val="-6"/>
                <w:sz w:val="18"/>
                <w:szCs w:val="18"/>
              </w:rPr>
            </w:pPr>
            <w:r w:rsidRPr="00993EB7">
              <w:rPr>
                <w:rFonts w:ascii="Cambria" w:hAnsi="Cambria"/>
                <w:spacing w:val="-6"/>
                <w:sz w:val="18"/>
                <w:szCs w:val="18"/>
              </w:rPr>
              <w:t>- Informes de IBQ, cuadernos de pesca, VMS, EM y observadores (sector de pesca con palangre);</w:t>
            </w:r>
          </w:p>
          <w:p w14:paraId="408BD65A" w14:textId="77777777" w:rsidR="00993EB7" w:rsidRPr="00993EB7" w:rsidRDefault="00993EB7" w:rsidP="00993EB7">
            <w:pPr>
              <w:widowControl w:val="0"/>
              <w:jc w:val="both"/>
              <w:rPr>
                <w:rFonts w:ascii="Cambria" w:eastAsia="Cambria" w:hAnsi="Cambria" w:cs="Cambria"/>
                <w:spacing w:val="-6"/>
                <w:sz w:val="18"/>
                <w:szCs w:val="18"/>
              </w:rPr>
            </w:pPr>
            <w:r w:rsidRPr="00993EB7">
              <w:rPr>
                <w:rFonts w:ascii="Cambria" w:hAnsi="Cambria"/>
                <w:spacing w:val="-6"/>
                <w:sz w:val="18"/>
                <w:szCs w:val="18"/>
              </w:rPr>
              <w:t xml:space="preserve">- Marcas de los peces y comprobantes de pesaje de cada ejemplar vendido, informes de IBQ e informes quincenales e informes quincenales (comerciantes); </w:t>
            </w:r>
          </w:p>
          <w:p w14:paraId="4FAAFF1B" w14:textId="77777777" w:rsidR="00993EB7" w:rsidRPr="00993EB7" w:rsidRDefault="00993EB7" w:rsidP="00993EB7">
            <w:pPr>
              <w:widowControl w:val="0"/>
              <w:jc w:val="both"/>
              <w:rPr>
                <w:rFonts w:ascii="Cambria" w:eastAsia="Cambria" w:hAnsi="Cambria" w:cs="Cambria"/>
                <w:spacing w:val="-6"/>
                <w:sz w:val="18"/>
                <w:szCs w:val="18"/>
              </w:rPr>
            </w:pPr>
            <w:r w:rsidRPr="00993EB7">
              <w:rPr>
                <w:rFonts w:ascii="Cambria" w:hAnsi="Cambria"/>
                <w:spacing w:val="-6"/>
                <w:sz w:val="18"/>
                <w:szCs w:val="18"/>
              </w:rPr>
              <w:t xml:space="preserve">-Procedimientos alternativos de declaración de capturas de recreo (incluidas encuestas telefónicas, en el muelle y/o por correo); </w:t>
            </w:r>
          </w:p>
          <w:p w14:paraId="6E09826D" w14:textId="77777777" w:rsidR="00993EB7" w:rsidRPr="00993EB7" w:rsidRDefault="00993EB7" w:rsidP="00993EB7">
            <w:pPr>
              <w:widowControl w:val="0"/>
              <w:spacing w:after="100"/>
              <w:jc w:val="both"/>
              <w:rPr>
                <w:rFonts w:ascii="Cambria" w:eastAsia="Cambria" w:hAnsi="Cambria" w:cs="Cambria"/>
                <w:spacing w:val="-6"/>
                <w:sz w:val="18"/>
                <w:szCs w:val="18"/>
              </w:rPr>
            </w:pPr>
            <w:r w:rsidRPr="00993EB7">
              <w:rPr>
                <w:rFonts w:ascii="Cambria" w:hAnsi="Cambria"/>
                <w:spacing w:val="-6"/>
                <w:sz w:val="18"/>
                <w:szCs w:val="18"/>
              </w:rPr>
              <w:t>-Informes de desembarques presentados por los organizadores de torneos de pesca.</w:t>
            </w:r>
          </w:p>
          <w:p w14:paraId="7DDD84B5" w14:textId="77777777" w:rsidR="00993EB7" w:rsidRPr="00993EB7" w:rsidRDefault="00993EB7" w:rsidP="00993EB7">
            <w:pPr>
              <w:widowControl w:val="0"/>
              <w:spacing w:after="100"/>
              <w:jc w:val="both"/>
              <w:rPr>
                <w:rFonts w:ascii="Cambria" w:eastAsia="Cambria" w:hAnsi="Cambria" w:cs="Cambria"/>
                <w:spacing w:val="-6"/>
                <w:sz w:val="18"/>
                <w:szCs w:val="18"/>
              </w:rPr>
            </w:pPr>
            <w:r w:rsidRPr="00993EB7">
              <w:rPr>
                <w:rFonts w:ascii="Cambria" w:hAnsi="Cambria"/>
                <w:spacing w:val="-6"/>
                <w:sz w:val="18"/>
                <w:szCs w:val="18"/>
              </w:rPr>
              <w:t>Todos los desembarques y los descartes de ejemplares muertos se deducen de la cuota.</w:t>
            </w:r>
          </w:p>
          <w:p w14:paraId="3639105C" w14:textId="77777777" w:rsidR="00993EB7" w:rsidRPr="00993EB7" w:rsidRDefault="00993EB7" w:rsidP="00993EB7">
            <w:pPr>
              <w:widowControl w:val="0"/>
              <w:jc w:val="both"/>
              <w:rPr>
                <w:rFonts w:ascii="Cambria" w:eastAsia="Cambria" w:hAnsi="Cambria" w:cs="Cambria"/>
                <w:spacing w:val="-6"/>
                <w:sz w:val="18"/>
                <w:szCs w:val="18"/>
              </w:rPr>
            </w:pPr>
            <w:r w:rsidRPr="00993EB7">
              <w:rPr>
                <w:rFonts w:ascii="Cambria" w:hAnsi="Cambria"/>
                <w:spacing w:val="-6"/>
                <w:sz w:val="18"/>
                <w:szCs w:val="18"/>
              </w:rPr>
              <w:t>Estados Unidos declara a la Secretaría sus capturas mensuales provisionales.</w:t>
            </w:r>
          </w:p>
        </w:tc>
        <w:tc>
          <w:tcPr>
            <w:tcW w:w="1941" w:type="dxa"/>
          </w:tcPr>
          <w:p w14:paraId="463575F5" w14:textId="77777777" w:rsidR="00993EB7" w:rsidRPr="00993EB7" w:rsidRDefault="00993EB7" w:rsidP="00993EB7">
            <w:pPr>
              <w:widowControl w:val="0"/>
              <w:jc w:val="both"/>
              <w:rPr>
                <w:rFonts w:ascii="Cambria" w:eastAsia="Cambria" w:hAnsi="Cambria" w:cs="Cambria"/>
                <w:color w:val="1155CC"/>
                <w:sz w:val="18"/>
                <w:szCs w:val="18"/>
              </w:rPr>
            </w:pPr>
            <w:hyperlink r:id="rId33" w:anchor="635.5">
              <w:r w:rsidRPr="00993EB7">
                <w:rPr>
                  <w:rFonts w:ascii="Cambria" w:hAnsi="Cambria"/>
                  <w:color w:val="1155CC"/>
                  <w:sz w:val="18"/>
                  <w:szCs w:val="18"/>
                </w:rPr>
                <w:t>CFR, título 50, 635.5</w:t>
              </w:r>
            </w:hyperlink>
            <w:r w:rsidRPr="00993EB7">
              <w:rPr>
                <w:rFonts w:ascii="Cambria" w:hAnsi="Cambria"/>
                <w:sz w:val="18"/>
                <w:szCs w:val="18"/>
              </w:rPr>
              <w:t>: Mantenimiento de registros y comunicación de datos</w:t>
            </w:r>
          </w:p>
          <w:p w14:paraId="0BFB1E5C" w14:textId="77777777" w:rsidR="00993EB7" w:rsidRPr="00993EB7" w:rsidRDefault="00993EB7" w:rsidP="00993EB7">
            <w:pPr>
              <w:widowControl w:val="0"/>
              <w:jc w:val="both"/>
              <w:rPr>
                <w:rFonts w:ascii="Cambria" w:eastAsia="Cambria" w:hAnsi="Cambria" w:cs="Cambria"/>
                <w:color w:val="1155CC"/>
                <w:sz w:val="18"/>
                <w:szCs w:val="18"/>
              </w:rPr>
            </w:pPr>
          </w:p>
          <w:p w14:paraId="3BC8678B" w14:textId="77777777" w:rsidR="00993EB7" w:rsidRPr="00993EB7" w:rsidRDefault="00993EB7" w:rsidP="00993EB7">
            <w:pPr>
              <w:widowControl w:val="0"/>
              <w:jc w:val="both"/>
              <w:rPr>
                <w:rFonts w:ascii="Cambria" w:eastAsia="Cambria" w:hAnsi="Cambria" w:cs="Cambria"/>
                <w:sz w:val="18"/>
                <w:szCs w:val="18"/>
              </w:rPr>
            </w:pPr>
            <w:r w:rsidRPr="00993EB7">
              <w:rPr>
                <w:rFonts w:ascii="Cambria" w:hAnsi="Cambria"/>
                <w:color w:val="1155CC"/>
                <w:sz w:val="18"/>
                <w:szCs w:val="18"/>
              </w:rPr>
              <w:t xml:space="preserve">§ 635.7: </w:t>
            </w:r>
            <w:r w:rsidRPr="00993EB7">
              <w:rPr>
                <w:rFonts w:ascii="Cambria" w:hAnsi="Cambria"/>
                <w:sz w:val="18"/>
                <w:szCs w:val="18"/>
              </w:rPr>
              <w:t>Cobertura de los observadores en el mar</w:t>
            </w:r>
          </w:p>
          <w:p w14:paraId="12391B36" w14:textId="77777777" w:rsidR="00993EB7" w:rsidRPr="00993EB7" w:rsidRDefault="00993EB7" w:rsidP="00993EB7">
            <w:pPr>
              <w:widowControl w:val="0"/>
              <w:jc w:val="both"/>
              <w:rPr>
                <w:rFonts w:ascii="Cambria" w:eastAsia="Cambria" w:hAnsi="Cambria" w:cs="Cambria"/>
                <w:sz w:val="18"/>
                <w:szCs w:val="18"/>
              </w:rPr>
            </w:pPr>
          </w:p>
          <w:p w14:paraId="33D5A6AF" w14:textId="77777777" w:rsidR="00993EB7" w:rsidRPr="00993EB7" w:rsidRDefault="00993EB7" w:rsidP="00993EB7">
            <w:pPr>
              <w:widowControl w:val="0"/>
              <w:jc w:val="both"/>
              <w:rPr>
                <w:rFonts w:ascii="Cambria" w:eastAsia="Cambria" w:hAnsi="Cambria" w:cs="Cambria"/>
                <w:sz w:val="18"/>
                <w:szCs w:val="18"/>
              </w:rPr>
            </w:pPr>
            <w:hyperlink r:id="rId34">
              <w:r w:rsidRPr="00993EB7">
                <w:rPr>
                  <w:rFonts w:ascii="Cambria" w:hAnsi="Cambria"/>
                  <w:color w:val="1155CC"/>
                  <w:sz w:val="18"/>
                  <w:szCs w:val="18"/>
                </w:rPr>
                <w:t>§ 635.9</w:t>
              </w:r>
            </w:hyperlink>
            <w:r w:rsidRPr="00993EB7">
              <w:rPr>
                <w:rFonts w:ascii="Cambria" w:hAnsi="Cambria"/>
                <w:sz w:val="18"/>
                <w:szCs w:val="18"/>
              </w:rPr>
              <w:t>: EM (Nota: se utiliza con fines de auditoría interna, y no para cumplir los requisitos de ICCAT en materia de observadores)</w:t>
            </w:r>
          </w:p>
          <w:p w14:paraId="266846AA" w14:textId="77777777" w:rsidR="00993EB7" w:rsidRPr="00993EB7" w:rsidRDefault="00993EB7" w:rsidP="00993EB7">
            <w:pPr>
              <w:widowControl w:val="0"/>
              <w:jc w:val="both"/>
              <w:rPr>
                <w:rFonts w:ascii="Cambria" w:eastAsia="Cambria" w:hAnsi="Cambria" w:cs="Cambria"/>
                <w:sz w:val="18"/>
                <w:szCs w:val="18"/>
              </w:rPr>
            </w:pPr>
          </w:p>
          <w:p w14:paraId="096BBF5A" w14:textId="77777777" w:rsidR="00993EB7" w:rsidRPr="00993EB7" w:rsidRDefault="00993EB7" w:rsidP="00993EB7">
            <w:pPr>
              <w:widowControl w:val="0"/>
              <w:jc w:val="both"/>
              <w:rPr>
                <w:rFonts w:ascii="Cambria" w:eastAsia="Cambria" w:hAnsi="Cambria" w:cs="Cambria"/>
                <w:sz w:val="18"/>
                <w:szCs w:val="18"/>
              </w:rPr>
            </w:pPr>
            <w:hyperlink r:id="rId35">
              <w:r w:rsidRPr="00993EB7">
                <w:rPr>
                  <w:rFonts w:ascii="Cambria" w:hAnsi="Cambria"/>
                  <w:color w:val="1155CC"/>
                  <w:sz w:val="18"/>
                  <w:szCs w:val="18"/>
                </w:rPr>
                <w:t>§ 635.15</w:t>
              </w:r>
            </w:hyperlink>
            <w:r w:rsidRPr="00993EB7">
              <w:rPr>
                <w:rFonts w:ascii="Cambria" w:hAnsi="Cambria"/>
                <w:sz w:val="18"/>
                <w:szCs w:val="18"/>
              </w:rPr>
              <w:t>: IBQ</w:t>
            </w:r>
          </w:p>
          <w:p w14:paraId="0598A023" w14:textId="77777777" w:rsidR="00993EB7" w:rsidRPr="00993EB7" w:rsidRDefault="00993EB7" w:rsidP="00993EB7">
            <w:pPr>
              <w:widowControl w:val="0"/>
              <w:jc w:val="both"/>
              <w:rPr>
                <w:rFonts w:ascii="Cambria" w:eastAsia="Cambria" w:hAnsi="Cambria" w:cs="Cambria"/>
                <w:sz w:val="18"/>
                <w:szCs w:val="18"/>
              </w:rPr>
            </w:pPr>
          </w:p>
          <w:p w14:paraId="4B441A48" w14:textId="77777777" w:rsidR="00993EB7" w:rsidRPr="00993EB7" w:rsidRDefault="00993EB7" w:rsidP="00993EB7">
            <w:pPr>
              <w:widowControl w:val="0"/>
              <w:jc w:val="both"/>
              <w:rPr>
                <w:rFonts w:ascii="Cambria" w:eastAsia="Cambria" w:hAnsi="Cambria" w:cs="Cambria"/>
                <w:sz w:val="18"/>
                <w:szCs w:val="18"/>
              </w:rPr>
            </w:pPr>
            <w:hyperlink r:id="rId36">
              <w:r w:rsidRPr="00993EB7">
                <w:rPr>
                  <w:rFonts w:ascii="Cambria" w:hAnsi="Cambria"/>
                  <w:color w:val="1155CC"/>
                  <w:sz w:val="18"/>
                  <w:szCs w:val="18"/>
                </w:rPr>
                <w:t>§ 635.19</w:t>
              </w:r>
            </w:hyperlink>
            <w:r w:rsidRPr="00993EB7">
              <w:rPr>
                <w:rFonts w:ascii="Cambria" w:hAnsi="Cambria"/>
                <w:sz w:val="18"/>
                <w:szCs w:val="18"/>
              </w:rPr>
              <w:t>: Artes autorizados</w:t>
            </w:r>
          </w:p>
          <w:p w14:paraId="0EB12582" w14:textId="77777777" w:rsidR="00993EB7" w:rsidRPr="00993EB7" w:rsidRDefault="00993EB7" w:rsidP="00993EB7">
            <w:pPr>
              <w:widowControl w:val="0"/>
              <w:jc w:val="both"/>
              <w:rPr>
                <w:rFonts w:ascii="Cambria" w:eastAsia="Cambria" w:hAnsi="Cambria" w:cs="Cambria"/>
                <w:sz w:val="18"/>
                <w:szCs w:val="18"/>
              </w:rPr>
            </w:pPr>
          </w:p>
          <w:p w14:paraId="3CF8AE8A" w14:textId="77777777" w:rsidR="00993EB7" w:rsidRPr="00993EB7" w:rsidRDefault="00993EB7" w:rsidP="00993EB7">
            <w:pPr>
              <w:widowControl w:val="0"/>
              <w:jc w:val="both"/>
              <w:rPr>
                <w:rFonts w:ascii="Cambria" w:eastAsia="Cambria" w:hAnsi="Cambria" w:cs="Cambria"/>
                <w:sz w:val="18"/>
                <w:szCs w:val="18"/>
              </w:rPr>
            </w:pPr>
            <w:hyperlink r:id="rId37">
              <w:r w:rsidRPr="00993EB7">
                <w:rPr>
                  <w:rFonts w:ascii="Cambria" w:hAnsi="Cambria"/>
                  <w:color w:val="1155CC"/>
                  <w:sz w:val="18"/>
                  <w:szCs w:val="18"/>
                </w:rPr>
                <w:t>§ 635.69</w:t>
              </w:r>
            </w:hyperlink>
            <w:r w:rsidRPr="00993EB7">
              <w:rPr>
                <w:rFonts w:ascii="Cambria" w:hAnsi="Cambria"/>
                <w:sz w:val="18"/>
                <w:szCs w:val="18"/>
              </w:rPr>
              <w:t>: VMS</w:t>
            </w:r>
          </w:p>
        </w:tc>
        <w:tc>
          <w:tcPr>
            <w:tcW w:w="2090" w:type="dxa"/>
            <w:vAlign w:val="center"/>
          </w:tcPr>
          <w:p w14:paraId="2B4CB475" w14:textId="77777777" w:rsidR="00993EB7" w:rsidRPr="00993EB7" w:rsidRDefault="00993EB7" w:rsidP="00993EB7">
            <w:pPr>
              <w:widowControl w:val="0"/>
              <w:jc w:val="both"/>
              <w:rPr>
                <w:rFonts w:ascii="Cambria" w:eastAsia="Cambria" w:hAnsi="Cambria" w:cs="Cambria"/>
                <w:i/>
                <w:iCs/>
                <w:sz w:val="18"/>
                <w:szCs w:val="18"/>
              </w:rPr>
            </w:pPr>
          </w:p>
        </w:tc>
      </w:tr>
      <w:tr w:rsidR="00993EB7" w:rsidRPr="00993EB7" w14:paraId="2ECB7EE2" w14:textId="77777777" w:rsidTr="00B23AAD">
        <w:trPr>
          <w:jc w:val="center"/>
        </w:trPr>
        <w:tc>
          <w:tcPr>
            <w:tcW w:w="507" w:type="dxa"/>
          </w:tcPr>
          <w:p w14:paraId="622F0243" w14:textId="77777777" w:rsidR="00993EB7" w:rsidRPr="00993EB7" w:rsidRDefault="00993EB7" w:rsidP="00993EB7">
            <w:pPr>
              <w:widowControl w:val="0"/>
              <w:rPr>
                <w:rFonts w:ascii="Cambria" w:eastAsia="Cambria" w:hAnsi="Cambria" w:cs="Cambria"/>
                <w:b/>
                <w:bCs/>
                <w:sz w:val="20"/>
                <w:szCs w:val="20"/>
              </w:rPr>
            </w:pPr>
            <w:r w:rsidRPr="00993EB7">
              <w:rPr>
                <w:rFonts w:ascii="Cambria" w:hAnsi="Cambria"/>
                <w:b/>
                <w:sz w:val="20"/>
              </w:rPr>
              <w:t>3</w:t>
            </w:r>
          </w:p>
        </w:tc>
        <w:tc>
          <w:tcPr>
            <w:tcW w:w="2577" w:type="dxa"/>
          </w:tcPr>
          <w:p w14:paraId="4076AFB6" w14:textId="77777777" w:rsidR="00993EB7" w:rsidRPr="00993EB7" w:rsidRDefault="00993EB7" w:rsidP="00993EB7">
            <w:pPr>
              <w:widowControl w:val="0"/>
              <w:rPr>
                <w:rFonts w:ascii="Cambria" w:eastAsia="Cambria" w:hAnsi="Cambria" w:cs="Cambria"/>
                <w:b/>
                <w:bCs/>
                <w:spacing w:val="-6"/>
                <w:sz w:val="18"/>
                <w:szCs w:val="18"/>
              </w:rPr>
            </w:pPr>
            <w:r w:rsidRPr="00993EB7">
              <w:rPr>
                <w:rFonts w:ascii="Cambria" w:hAnsi="Cambria"/>
                <w:b/>
                <w:spacing w:val="-6"/>
                <w:sz w:val="18"/>
                <w:szCs w:val="18"/>
              </w:rPr>
              <w:t>Restricciones de zona y tiempo</w:t>
            </w:r>
          </w:p>
          <w:p w14:paraId="243FBE1F" w14:textId="77777777" w:rsidR="00993EB7" w:rsidRPr="00993EB7" w:rsidRDefault="00993EB7" w:rsidP="00993EB7">
            <w:pPr>
              <w:widowControl w:val="0"/>
              <w:rPr>
                <w:rFonts w:ascii="Cambria" w:eastAsia="Cambria" w:hAnsi="Cambria" w:cs="Cambria"/>
                <w:b/>
                <w:bCs/>
                <w:spacing w:val="-6"/>
                <w:sz w:val="18"/>
                <w:szCs w:val="18"/>
              </w:rPr>
            </w:pPr>
            <w:r w:rsidRPr="00993EB7">
              <w:rPr>
                <w:rFonts w:ascii="Cambria" w:hAnsi="Cambria"/>
                <w:b/>
                <w:spacing w:val="-6"/>
                <w:sz w:val="18"/>
                <w:szCs w:val="18"/>
              </w:rPr>
              <w:t>(párr. 13)</w:t>
            </w:r>
          </w:p>
        </w:tc>
        <w:tc>
          <w:tcPr>
            <w:tcW w:w="1945" w:type="dxa"/>
          </w:tcPr>
          <w:p w14:paraId="3C6D7F68" w14:textId="77777777" w:rsidR="00993EB7" w:rsidRPr="00993EB7" w:rsidRDefault="00993EB7" w:rsidP="00993EB7">
            <w:pPr>
              <w:widowControl w:val="0"/>
              <w:jc w:val="both"/>
              <w:rPr>
                <w:rFonts w:ascii="Cambria" w:eastAsia="Cambria" w:hAnsi="Cambria" w:cs="Cambria"/>
                <w:spacing w:val="-6"/>
                <w:sz w:val="18"/>
                <w:szCs w:val="18"/>
              </w:rPr>
            </w:pPr>
            <w:r w:rsidRPr="00993EB7">
              <w:rPr>
                <w:rFonts w:ascii="Cambria" w:hAnsi="Cambria"/>
                <w:spacing w:val="-6"/>
                <w:sz w:val="18"/>
                <w:szCs w:val="18"/>
              </w:rPr>
              <w:t>Estados Unidos prohíbe la pesca dirigida en el golfo de América.</w:t>
            </w:r>
          </w:p>
        </w:tc>
        <w:tc>
          <w:tcPr>
            <w:tcW w:w="1941" w:type="dxa"/>
          </w:tcPr>
          <w:p w14:paraId="4FBD91F2" w14:textId="77777777" w:rsidR="00993EB7" w:rsidRPr="00993EB7" w:rsidRDefault="00993EB7" w:rsidP="00993EB7">
            <w:pPr>
              <w:widowControl w:val="0"/>
              <w:jc w:val="both"/>
              <w:rPr>
                <w:rFonts w:ascii="Cambria" w:eastAsia="Cambria" w:hAnsi="Cambria" w:cs="Cambria"/>
                <w:spacing w:val="-6"/>
                <w:sz w:val="18"/>
                <w:szCs w:val="18"/>
              </w:rPr>
            </w:pPr>
            <w:hyperlink r:id="rId38">
              <w:r w:rsidRPr="00993EB7">
                <w:rPr>
                  <w:rFonts w:ascii="Cambria" w:hAnsi="Cambria"/>
                  <w:color w:val="1155CC"/>
                  <w:spacing w:val="-6"/>
                  <w:sz w:val="18"/>
                  <w:szCs w:val="18"/>
                </w:rPr>
                <w:t>§ 635.23</w:t>
              </w:r>
            </w:hyperlink>
            <w:r w:rsidRPr="00993EB7">
              <w:rPr>
                <w:spacing w:val="-6"/>
                <w:sz w:val="18"/>
                <w:szCs w:val="18"/>
              </w:rPr>
              <w:t>:</w:t>
            </w:r>
            <w:r w:rsidRPr="00993EB7">
              <w:rPr>
                <w:rFonts w:ascii="Cambria" w:hAnsi="Cambria"/>
                <w:spacing w:val="-6"/>
                <w:sz w:val="18"/>
                <w:szCs w:val="18"/>
              </w:rPr>
              <w:t xml:space="preserve"> Límites de retención para el BFT.</w:t>
            </w:r>
          </w:p>
          <w:p w14:paraId="3694D099" w14:textId="77777777" w:rsidR="00993EB7" w:rsidRPr="00993EB7" w:rsidRDefault="00993EB7" w:rsidP="00993EB7">
            <w:pPr>
              <w:widowControl w:val="0"/>
              <w:jc w:val="both"/>
              <w:rPr>
                <w:rFonts w:ascii="Cambria" w:eastAsia="Cambria" w:hAnsi="Cambria" w:cs="Cambria"/>
                <w:spacing w:val="-6"/>
                <w:sz w:val="18"/>
                <w:szCs w:val="18"/>
              </w:rPr>
            </w:pPr>
          </w:p>
        </w:tc>
        <w:tc>
          <w:tcPr>
            <w:tcW w:w="2090" w:type="dxa"/>
          </w:tcPr>
          <w:p w14:paraId="061355B4" w14:textId="77777777" w:rsidR="00993EB7" w:rsidRPr="00993EB7" w:rsidRDefault="00993EB7" w:rsidP="00993EB7">
            <w:pPr>
              <w:widowControl w:val="0"/>
              <w:jc w:val="both"/>
              <w:rPr>
                <w:rFonts w:ascii="Cambria" w:eastAsia="Cambria" w:hAnsi="Cambria" w:cs="Cambria"/>
                <w:spacing w:val="-6"/>
                <w:sz w:val="18"/>
                <w:szCs w:val="18"/>
              </w:rPr>
            </w:pPr>
          </w:p>
        </w:tc>
      </w:tr>
      <w:tr w:rsidR="00993EB7" w:rsidRPr="00993EB7" w14:paraId="12C59D4D" w14:textId="77777777" w:rsidTr="00B23AAD">
        <w:trPr>
          <w:jc w:val="center"/>
        </w:trPr>
        <w:tc>
          <w:tcPr>
            <w:tcW w:w="507" w:type="dxa"/>
          </w:tcPr>
          <w:p w14:paraId="4FCF692F" w14:textId="77777777" w:rsidR="00993EB7" w:rsidRPr="00993EB7" w:rsidRDefault="00993EB7" w:rsidP="00993EB7">
            <w:pPr>
              <w:widowControl w:val="0"/>
              <w:rPr>
                <w:rFonts w:ascii="Cambria" w:eastAsia="Cambria" w:hAnsi="Cambria" w:cs="Cambria"/>
                <w:b/>
                <w:bCs/>
                <w:sz w:val="20"/>
                <w:szCs w:val="20"/>
              </w:rPr>
            </w:pPr>
            <w:r w:rsidRPr="00993EB7">
              <w:rPr>
                <w:rFonts w:ascii="Cambria" w:hAnsi="Cambria"/>
                <w:b/>
                <w:sz w:val="20"/>
              </w:rPr>
              <w:lastRenderedPageBreak/>
              <w:t>4</w:t>
            </w:r>
          </w:p>
        </w:tc>
        <w:tc>
          <w:tcPr>
            <w:tcW w:w="2577" w:type="dxa"/>
          </w:tcPr>
          <w:p w14:paraId="63031C0B" w14:textId="77777777" w:rsidR="00993EB7" w:rsidRPr="00993EB7" w:rsidRDefault="00993EB7" w:rsidP="00993EB7">
            <w:pPr>
              <w:widowControl w:val="0"/>
              <w:rPr>
                <w:rFonts w:ascii="Cambria" w:eastAsia="Cambria" w:hAnsi="Cambria" w:cs="Cambria"/>
                <w:b/>
                <w:bCs/>
                <w:sz w:val="18"/>
                <w:szCs w:val="18"/>
              </w:rPr>
            </w:pPr>
            <w:r w:rsidRPr="00993EB7">
              <w:rPr>
                <w:b/>
                <w:bCs/>
                <w:sz w:val="18"/>
                <w:szCs w:val="18"/>
              </w:rPr>
              <w:t>Talla mínima de los peces y protección de los peces pequeños</w:t>
            </w:r>
          </w:p>
          <w:p w14:paraId="0957C863" w14:textId="77777777" w:rsidR="00993EB7" w:rsidRPr="00993EB7" w:rsidRDefault="00993EB7" w:rsidP="00993EB7">
            <w:pPr>
              <w:widowControl w:val="0"/>
              <w:rPr>
                <w:rFonts w:ascii="Cambria" w:eastAsia="Cambria" w:hAnsi="Cambria" w:cs="Cambria"/>
                <w:b/>
                <w:bCs/>
                <w:sz w:val="18"/>
                <w:szCs w:val="18"/>
              </w:rPr>
            </w:pPr>
            <w:r w:rsidRPr="00993EB7">
              <w:rPr>
                <w:rFonts w:ascii="Cambria" w:hAnsi="Cambria"/>
                <w:b/>
                <w:sz w:val="18"/>
                <w:szCs w:val="18"/>
              </w:rPr>
              <w:t>(párrs. 9 y 10)</w:t>
            </w:r>
          </w:p>
        </w:tc>
        <w:tc>
          <w:tcPr>
            <w:tcW w:w="1945" w:type="dxa"/>
          </w:tcPr>
          <w:p w14:paraId="07AF3125" w14:textId="77777777" w:rsidR="00993EB7" w:rsidRPr="00993EB7" w:rsidRDefault="00993EB7" w:rsidP="00993EB7">
            <w:pPr>
              <w:widowControl w:val="0"/>
              <w:spacing w:after="100"/>
              <w:jc w:val="both"/>
              <w:rPr>
                <w:rFonts w:ascii="Cambria" w:eastAsia="Cambria" w:hAnsi="Cambria" w:cs="Cambria"/>
                <w:spacing w:val="-4"/>
                <w:sz w:val="18"/>
                <w:szCs w:val="18"/>
              </w:rPr>
            </w:pPr>
            <w:r w:rsidRPr="00993EB7">
              <w:rPr>
                <w:rFonts w:ascii="Cambria" w:hAnsi="Cambria"/>
                <w:spacing w:val="-4"/>
                <w:sz w:val="18"/>
                <w:szCs w:val="18"/>
              </w:rPr>
              <w:t>Estados Unidos prohíbe la retención de BFT con una longitud curva a la horquilla inferior a 27 pulgadas (69 cm) (66 cm de longitud recta a la horquilla).</w:t>
            </w:r>
          </w:p>
          <w:p w14:paraId="66FD0E3D" w14:textId="77777777" w:rsidR="00993EB7" w:rsidRPr="00993EB7" w:rsidRDefault="00993EB7" w:rsidP="00993EB7">
            <w:pPr>
              <w:widowControl w:val="0"/>
              <w:spacing w:after="100"/>
              <w:jc w:val="both"/>
              <w:rPr>
                <w:rFonts w:ascii="Cambria" w:eastAsia="Cambria" w:hAnsi="Cambria" w:cs="Cambria"/>
                <w:spacing w:val="-4"/>
                <w:sz w:val="18"/>
                <w:szCs w:val="18"/>
              </w:rPr>
            </w:pPr>
            <w:r w:rsidRPr="00993EB7">
              <w:rPr>
                <w:rFonts w:ascii="Cambria" w:hAnsi="Cambria"/>
                <w:spacing w:val="-4"/>
                <w:sz w:val="18"/>
                <w:szCs w:val="18"/>
              </w:rPr>
              <w:t>Estados Unidos gestiona la pesquería del BFT de longitud recta inferior a 115 cm (equivalente a 47 pulgadas o 119 cm de longitud curva a la horquilla) de conformidad con el nivel de tolerancia establecido en el párrafo 8 de la Rec. 22-10 del 10 % en peso de la cuota total de BFT de Estados Unidos.</w:t>
            </w:r>
          </w:p>
          <w:p w14:paraId="15182409" w14:textId="77777777" w:rsidR="00993EB7" w:rsidRPr="00993EB7" w:rsidRDefault="00993EB7" w:rsidP="00993EB7">
            <w:pPr>
              <w:widowControl w:val="0"/>
              <w:jc w:val="both"/>
              <w:rPr>
                <w:rFonts w:ascii="Cambria" w:eastAsia="Cambria" w:hAnsi="Cambria" w:cs="Cambria"/>
                <w:spacing w:val="-4"/>
                <w:sz w:val="18"/>
                <w:szCs w:val="18"/>
              </w:rPr>
            </w:pPr>
            <w:r w:rsidRPr="00993EB7">
              <w:rPr>
                <w:rFonts w:ascii="Cambria" w:hAnsi="Cambria"/>
                <w:spacing w:val="-4"/>
                <w:sz w:val="18"/>
                <w:szCs w:val="18"/>
              </w:rPr>
              <w:t>Estados Unidos prohíbe la venta de BFT de menos de 73 pulgadas (185 cm de longitud curva a la horquilla o 178 cm de longitud recta a la horquilla).</w:t>
            </w:r>
          </w:p>
        </w:tc>
        <w:tc>
          <w:tcPr>
            <w:tcW w:w="1941" w:type="dxa"/>
          </w:tcPr>
          <w:p w14:paraId="5A2B39FF" w14:textId="77777777" w:rsidR="00993EB7" w:rsidRPr="00993EB7" w:rsidRDefault="00993EB7" w:rsidP="00993EB7">
            <w:pPr>
              <w:widowControl w:val="0"/>
              <w:jc w:val="both"/>
              <w:rPr>
                <w:rFonts w:ascii="Cambria" w:eastAsia="Cambria" w:hAnsi="Cambria" w:cs="Cambria"/>
                <w:sz w:val="18"/>
                <w:szCs w:val="18"/>
              </w:rPr>
            </w:pPr>
            <w:hyperlink r:id="rId39">
              <w:r w:rsidRPr="00993EB7">
                <w:rPr>
                  <w:rFonts w:ascii="Cambria" w:hAnsi="Cambria"/>
                  <w:color w:val="1155CC"/>
                  <w:sz w:val="18"/>
                  <w:szCs w:val="18"/>
                </w:rPr>
                <w:t>§ 635.20</w:t>
              </w:r>
            </w:hyperlink>
            <w:r w:rsidRPr="00993EB7">
              <w:rPr>
                <w:rFonts w:ascii="Cambria" w:hAnsi="Cambria"/>
                <w:sz w:val="18"/>
                <w:szCs w:val="18"/>
              </w:rPr>
              <w:t>: Límites de talla</w:t>
            </w:r>
          </w:p>
          <w:p w14:paraId="475CC57A" w14:textId="77777777" w:rsidR="00993EB7" w:rsidRPr="00993EB7" w:rsidRDefault="00993EB7" w:rsidP="00993EB7">
            <w:pPr>
              <w:widowControl w:val="0"/>
              <w:jc w:val="both"/>
              <w:rPr>
                <w:rFonts w:ascii="Cambria" w:eastAsia="Cambria" w:hAnsi="Cambria" w:cs="Cambria"/>
                <w:sz w:val="18"/>
                <w:szCs w:val="18"/>
              </w:rPr>
            </w:pPr>
          </w:p>
          <w:p w14:paraId="4D10AAFE" w14:textId="77777777" w:rsidR="00993EB7" w:rsidRPr="00993EB7" w:rsidRDefault="00993EB7" w:rsidP="00993EB7">
            <w:pPr>
              <w:widowControl w:val="0"/>
              <w:jc w:val="both"/>
              <w:rPr>
                <w:rFonts w:ascii="Cambria" w:eastAsia="Cambria" w:hAnsi="Cambria" w:cs="Cambria"/>
                <w:sz w:val="18"/>
                <w:szCs w:val="18"/>
              </w:rPr>
            </w:pPr>
            <w:hyperlink r:id="rId40">
              <w:r w:rsidRPr="00993EB7">
                <w:rPr>
                  <w:rFonts w:ascii="Cambria" w:hAnsi="Cambria"/>
                  <w:color w:val="1155CC"/>
                  <w:sz w:val="18"/>
                  <w:szCs w:val="18"/>
                </w:rPr>
                <w:t>§ 635.27</w:t>
              </w:r>
            </w:hyperlink>
            <w:r w:rsidRPr="00993EB7">
              <w:rPr>
                <w:rFonts w:ascii="Cambria" w:hAnsi="Cambria"/>
                <w:sz w:val="18"/>
                <w:szCs w:val="18"/>
              </w:rPr>
              <w:t xml:space="preserve">: Cuotas </w:t>
            </w:r>
          </w:p>
          <w:p w14:paraId="137CABAA" w14:textId="77777777" w:rsidR="00993EB7" w:rsidRPr="00993EB7" w:rsidRDefault="00993EB7" w:rsidP="00993EB7">
            <w:pPr>
              <w:widowControl w:val="0"/>
              <w:jc w:val="both"/>
              <w:rPr>
                <w:rFonts w:ascii="Cambria" w:eastAsia="Cambria" w:hAnsi="Cambria" w:cs="Cambria"/>
                <w:sz w:val="18"/>
                <w:szCs w:val="18"/>
              </w:rPr>
            </w:pPr>
          </w:p>
        </w:tc>
        <w:tc>
          <w:tcPr>
            <w:tcW w:w="2090" w:type="dxa"/>
          </w:tcPr>
          <w:p w14:paraId="30D266FC" w14:textId="77777777" w:rsidR="00993EB7" w:rsidRPr="00993EB7" w:rsidRDefault="00993EB7" w:rsidP="00993EB7">
            <w:pPr>
              <w:widowControl w:val="0"/>
              <w:jc w:val="both"/>
              <w:rPr>
                <w:rFonts w:ascii="Cambria" w:eastAsia="Cambria" w:hAnsi="Cambria" w:cs="Cambria"/>
                <w:sz w:val="18"/>
                <w:szCs w:val="18"/>
              </w:rPr>
            </w:pPr>
          </w:p>
        </w:tc>
      </w:tr>
      <w:tr w:rsidR="00993EB7" w:rsidRPr="00993EB7" w14:paraId="537CA2A3" w14:textId="77777777" w:rsidTr="00B23AAD">
        <w:trPr>
          <w:jc w:val="center"/>
        </w:trPr>
        <w:tc>
          <w:tcPr>
            <w:tcW w:w="507" w:type="dxa"/>
          </w:tcPr>
          <w:p w14:paraId="42305EF3" w14:textId="77777777" w:rsidR="00993EB7" w:rsidRPr="00993EB7" w:rsidRDefault="00993EB7" w:rsidP="00993EB7">
            <w:pPr>
              <w:widowControl w:val="0"/>
              <w:rPr>
                <w:rFonts w:ascii="Cambria" w:eastAsia="Cambria" w:hAnsi="Cambria" w:cs="Cambria"/>
                <w:b/>
                <w:bCs/>
                <w:sz w:val="20"/>
                <w:szCs w:val="20"/>
              </w:rPr>
            </w:pPr>
            <w:r w:rsidRPr="00993EB7">
              <w:rPr>
                <w:rFonts w:ascii="Cambria" w:hAnsi="Cambria"/>
                <w:b/>
                <w:sz w:val="20"/>
              </w:rPr>
              <w:t>5</w:t>
            </w:r>
          </w:p>
        </w:tc>
        <w:tc>
          <w:tcPr>
            <w:tcW w:w="2577" w:type="dxa"/>
          </w:tcPr>
          <w:p w14:paraId="54B77129" w14:textId="77777777" w:rsidR="00993EB7" w:rsidRPr="00993EB7" w:rsidRDefault="00993EB7" w:rsidP="00993EB7">
            <w:pPr>
              <w:widowControl w:val="0"/>
              <w:rPr>
                <w:rFonts w:ascii="Cambria" w:eastAsia="Cambria" w:hAnsi="Cambria" w:cs="Cambria"/>
                <w:b/>
                <w:bCs/>
                <w:sz w:val="18"/>
                <w:szCs w:val="18"/>
              </w:rPr>
            </w:pPr>
            <w:r w:rsidRPr="00993EB7">
              <w:rPr>
                <w:rFonts w:ascii="Cambria" w:hAnsi="Cambria"/>
                <w:b/>
                <w:sz w:val="18"/>
                <w:szCs w:val="18"/>
              </w:rPr>
              <w:t xml:space="preserve">Capturas fortuitas </w:t>
            </w:r>
          </w:p>
          <w:p w14:paraId="1C7D066B" w14:textId="77777777" w:rsidR="00993EB7" w:rsidRPr="00993EB7" w:rsidRDefault="00993EB7" w:rsidP="00993EB7">
            <w:pPr>
              <w:widowControl w:val="0"/>
              <w:rPr>
                <w:rFonts w:ascii="Cambria" w:eastAsia="Cambria" w:hAnsi="Cambria" w:cs="Cambria"/>
                <w:b/>
                <w:bCs/>
                <w:sz w:val="18"/>
                <w:szCs w:val="18"/>
              </w:rPr>
            </w:pPr>
            <w:r w:rsidRPr="00993EB7">
              <w:rPr>
                <w:rFonts w:ascii="Cambria" w:hAnsi="Cambria"/>
                <w:b/>
                <w:sz w:val="18"/>
                <w:szCs w:val="18"/>
              </w:rPr>
              <w:t xml:space="preserve">(párr. 6) </w:t>
            </w:r>
          </w:p>
        </w:tc>
        <w:tc>
          <w:tcPr>
            <w:tcW w:w="1945" w:type="dxa"/>
          </w:tcPr>
          <w:p w14:paraId="036BE628" w14:textId="77777777" w:rsidR="00993EB7" w:rsidRPr="00993EB7" w:rsidRDefault="00993EB7" w:rsidP="00993EB7">
            <w:pPr>
              <w:widowControl w:val="0"/>
              <w:jc w:val="both"/>
              <w:rPr>
                <w:rFonts w:ascii="Cambria" w:eastAsia="Cambria" w:hAnsi="Cambria" w:cs="Cambria"/>
                <w:spacing w:val="-4"/>
                <w:sz w:val="18"/>
                <w:szCs w:val="18"/>
              </w:rPr>
            </w:pPr>
            <w:r w:rsidRPr="00993EB7">
              <w:rPr>
                <w:rFonts w:ascii="Cambria" w:hAnsi="Cambria"/>
                <w:spacing w:val="-4"/>
                <w:sz w:val="18"/>
                <w:szCs w:val="18"/>
              </w:rPr>
              <w:t xml:space="preserve">Para 2025 y años anteriores, Estados Unidos ha aplicado la cuota de 25 t en la zona de restricción para los artes de pesca del noreste distante (la zona del océano Atlántico delimitada por líneas rectas que unen las siguientes coordenadas en el orden indicado: 35°00′ de latitud norte, 60°00′ de longitud oeste; 55°00′ de latitud norte, 60°00′ de longitud oeste; 55°00′ de latitud norte, 20°00′ de longitud oeste; 35°00′ de latitud norte, 20°00′ de longitud oeste; 35°00′ de latitud norte, 60°00′ de longitud oeste), y sujetos a las restricciones del programa IBQ. </w:t>
            </w:r>
          </w:p>
        </w:tc>
        <w:tc>
          <w:tcPr>
            <w:tcW w:w="1941" w:type="dxa"/>
          </w:tcPr>
          <w:p w14:paraId="5D69313F" w14:textId="77777777" w:rsidR="00993EB7" w:rsidRPr="00993EB7" w:rsidRDefault="00993EB7" w:rsidP="00993EB7">
            <w:pPr>
              <w:widowControl w:val="0"/>
              <w:jc w:val="both"/>
              <w:rPr>
                <w:rFonts w:ascii="Cambria" w:eastAsia="Cambria" w:hAnsi="Cambria" w:cs="Cambria"/>
                <w:sz w:val="18"/>
                <w:szCs w:val="18"/>
              </w:rPr>
            </w:pPr>
            <w:hyperlink r:id="rId41">
              <w:r w:rsidRPr="00993EB7">
                <w:rPr>
                  <w:rFonts w:ascii="Cambria" w:hAnsi="Cambria"/>
                  <w:color w:val="1155CC"/>
                  <w:sz w:val="18"/>
                  <w:szCs w:val="18"/>
                </w:rPr>
                <w:t>§ 635.15</w:t>
              </w:r>
            </w:hyperlink>
            <w:r w:rsidRPr="00993EB7">
              <w:rPr>
                <w:rFonts w:ascii="Cambria" w:hAnsi="Cambria"/>
                <w:sz w:val="18"/>
                <w:szCs w:val="18"/>
              </w:rPr>
              <w:t>: IBQ</w:t>
            </w:r>
          </w:p>
          <w:p w14:paraId="279317E1" w14:textId="77777777" w:rsidR="00993EB7" w:rsidRPr="00993EB7" w:rsidRDefault="00993EB7" w:rsidP="00993EB7">
            <w:pPr>
              <w:widowControl w:val="0"/>
              <w:jc w:val="both"/>
              <w:rPr>
                <w:rFonts w:ascii="Cambria" w:eastAsia="Cambria" w:hAnsi="Cambria" w:cs="Cambria"/>
                <w:sz w:val="18"/>
                <w:szCs w:val="18"/>
              </w:rPr>
            </w:pPr>
          </w:p>
          <w:p w14:paraId="5107CBFC" w14:textId="77777777" w:rsidR="00993EB7" w:rsidRPr="00993EB7" w:rsidRDefault="00993EB7" w:rsidP="00993EB7">
            <w:pPr>
              <w:widowControl w:val="0"/>
              <w:jc w:val="both"/>
              <w:rPr>
                <w:rFonts w:ascii="Cambria" w:eastAsia="Cambria" w:hAnsi="Cambria" w:cs="Cambria"/>
                <w:sz w:val="18"/>
                <w:szCs w:val="18"/>
              </w:rPr>
            </w:pPr>
            <w:hyperlink r:id="rId42">
              <w:r w:rsidRPr="00993EB7">
                <w:rPr>
                  <w:rFonts w:ascii="Cambria" w:hAnsi="Cambria"/>
                  <w:color w:val="1155CC"/>
                  <w:sz w:val="18"/>
                  <w:szCs w:val="18"/>
                </w:rPr>
                <w:t>§ 635.21</w:t>
              </w:r>
            </w:hyperlink>
            <w:r w:rsidRPr="00993EB7">
              <w:rPr>
                <w:rFonts w:ascii="Cambria" w:hAnsi="Cambria"/>
                <w:sz w:val="18"/>
                <w:szCs w:val="18"/>
              </w:rPr>
              <w:t>: Restricciones relativas al funcionamiento y al despliegue de artes</w:t>
            </w:r>
          </w:p>
        </w:tc>
        <w:tc>
          <w:tcPr>
            <w:tcW w:w="2090" w:type="dxa"/>
          </w:tcPr>
          <w:p w14:paraId="332953B2" w14:textId="77777777" w:rsidR="00993EB7" w:rsidRPr="00993EB7" w:rsidRDefault="00993EB7" w:rsidP="00993EB7">
            <w:pPr>
              <w:widowControl w:val="0"/>
              <w:jc w:val="both"/>
              <w:rPr>
                <w:rFonts w:ascii="Cambria" w:eastAsia="Cambria" w:hAnsi="Cambria" w:cs="Cambria"/>
                <w:i/>
                <w:iCs/>
                <w:sz w:val="18"/>
                <w:szCs w:val="18"/>
              </w:rPr>
            </w:pPr>
          </w:p>
        </w:tc>
      </w:tr>
      <w:tr w:rsidR="00993EB7" w:rsidRPr="00993EB7" w14:paraId="15A09658" w14:textId="77777777" w:rsidTr="00B23AAD">
        <w:trPr>
          <w:trHeight w:val="718"/>
          <w:jc w:val="center"/>
        </w:trPr>
        <w:tc>
          <w:tcPr>
            <w:tcW w:w="507" w:type="dxa"/>
          </w:tcPr>
          <w:p w14:paraId="6F783249" w14:textId="77777777" w:rsidR="00993EB7" w:rsidRPr="00993EB7" w:rsidRDefault="00993EB7" w:rsidP="00993EB7">
            <w:pPr>
              <w:widowControl w:val="0"/>
              <w:rPr>
                <w:rFonts w:ascii="Cambria" w:eastAsia="Cambria" w:hAnsi="Cambria" w:cs="Cambria"/>
                <w:b/>
                <w:bCs/>
                <w:sz w:val="20"/>
                <w:szCs w:val="20"/>
              </w:rPr>
            </w:pPr>
            <w:r w:rsidRPr="00993EB7">
              <w:rPr>
                <w:rFonts w:ascii="Cambria" w:hAnsi="Cambria"/>
                <w:b/>
                <w:sz w:val="20"/>
              </w:rPr>
              <w:t>6</w:t>
            </w:r>
          </w:p>
        </w:tc>
        <w:tc>
          <w:tcPr>
            <w:tcW w:w="2577" w:type="dxa"/>
          </w:tcPr>
          <w:p w14:paraId="712E0A03" w14:textId="77777777" w:rsidR="00993EB7" w:rsidRPr="00993EB7" w:rsidRDefault="00993EB7" w:rsidP="00993EB7">
            <w:pPr>
              <w:widowControl w:val="0"/>
              <w:rPr>
                <w:rFonts w:ascii="Cambria" w:eastAsia="Cambria" w:hAnsi="Cambria" w:cs="Cambria"/>
                <w:b/>
                <w:bCs/>
                <w:sz w:val="18"/>
                <w:szCs w:val="18"/>
              </w:rPr>
            </w:pPr>
            <w:r w:rsidRPr="00993EB7">
              <w:rPr>
                <w:rFonts w:ascii="Cambria" w:hAnsi="Cambria"/>
                <w:b/>
                <w:sz w:val="18"/>
                <w:szCs w:val="18"/>
              </w:rPr>
              <w:t xml:space="preserve">Pesquerías [deportivas y] de recreo </w:t>
            </w:r>
          </w:p>
          <w:p w14:paraId="0E42F9B9" w14:textId="77777777" w:rsidR="00993EB7" w:rsidRPr="00993EB7" w:rsidRDefault="00993EB7" w:rsidP="00993EB7">
            <w:pPr>
              <w:widowControl w:val="0"/>
              <w:rPr>
                <w:rFonts w:ascii="Cambria" w:eastAsia="Cambria" w:hAnsi="Cambria" w:cs="Cambria"/>
                <w:b/>
                <w:bCs/>
                <w:sz w:val="18"/>
                <w:szCs w:val="18"/>
              </w:rPr>
            </w:pPr>
            <w:r w:rsidRPr="00993EB7">
              <w:rPr>
                <w:rFonts w:ascii="Cambria" w:hAnsi="Cambria"/>
                <w:b/>
                <w:sz w:val="18"/>
                <w:szCs w:val="18"/>
              </w:rPr>
              <w:t>(párr. 11)</w:t>
            </w:r>
          </w:p>
        </w:tc>
        <w:tc>
          <w:tcPr>
            <w:tcW w:w="1945" w:type="dxa"/>
          </w:tcPr>
          <w:p w14:paraId="3A72DF96" w14:textId="77777777" w:rsidR="00993EB7" w:rsidRPr="00993EB7" w:rsidRDefault="00993EB7" w:rsidP="00993EB7">
            <w:pPr>
              <w:widowControl w:val="0"/>
              <w:jc w:val="both"/>
              <w:rPr>
                <w:rFonts w:ascii="Cambria" w:eastAsia="Cambria" w:hAnsi="Cambria" w:cs="Cambria"/>
                <w:sz w:val="18"/>
                <w:szCs w:val="18"/>
              </w:rPr>
            </w:pPr>
            <w:r w:rsidRPr="00993EB7">
              <w:rPr>
                <w:rFonts w:ascii="Cambria" w:hAnsi="Cambria"/>
                <w:sz w:val="18"/>
                <w:szCs w:val="18"/>
              </w:rPr>
              <w:t>Estados Unidos prohíbe la venta de BFT capturados por pesquerías de recreo.</w:t>
            </w:r>
          </w:p>
        </w:tc>
        <w:tc>
          <w:tcPr>
            <w:tcW w:w="1941" w:type="dxa"/>
          </w:tcPr>
          <w:p w14:paraId="63F84BDE" w14:textId="77777777" w:rsidR="00993EB7" w:rsidRPr="00993EB7" w:rsidRDefault="00993EB7" w:rsidP="00993EB7">
            <w:pPr>
              <w:widowControl w:val="0"/>
              <w:rPr>
                <w:rFonts w:ascii="Cambria" w:eastAsia="Cambria" w:hAnsi="Cambria" w:cs="Cambria"/>
                <w:sz w:val="18"/>
                <w:szCs w:val="18"/>
              </w:rPr>
            </w:pPr>
            <w:hyperlink r:id="rId43">
              <w:r w:rsidRPr="00993EB7">
                <w:rPr>
                  <w:rFonts w:ascii="Cambria" w:hAnsi="Cambria"/>
                  <w:color w:val="1155CC"/>
                  <w:sz w:val="18"/>
                  <w:szCs w:val="18"/>
                </w:rPr>
                <w:t>§ 635.31</w:t>
              </w:r>
            </w:hyperlink>
            <w:r w:rsidRPr="00993EB7">
              <w:rPr>
                <w:rFonts w:ascii="Cambria" w:hAnsi="Cambria"/>
                <w:sz w:val="18"/>
                <w:szCs w:val="18"/>
              </w:rPr>
              <w:t>: Restricciones a la compraventa</w:t>
            </w:r>
          </w:p>
        </w:tc>
        <w:tc>
          <w:tcPr>
            <w:tcW w:w="2090" w:type="dxa"/>
          </w:tcPr>
          <w:p w14:paraId="47835D56" w14:textId="77777777" w:rsidR="00993EB7" w:rsidRPr="00993EB7" w:rsidRDefault="00993EB7" w:rsidP="00993EB7">
            <w:pPr>
              <w:widowControl w:val="0"/>
              <w:jc w:val="both"/>
              <w:rPr>
                <w:rFonts w:ascii="Cambria" w:eastAsia="Cambria" w:hAnsi="Cambria" w:cs="Cambria"/>
                <w:i/>
                <w:iCs/>
                <w:sz w:val="18"/>
                <w:szCs w:val="18"/>
              </w:rPr>
            </w:pPr>
          </w:p>
        </w:tc>
      </w:tr>
      <w:tr w:rsidR="00993EB7" w:rsidRPr="00993EB7" w14:paraId="6EF111D0" w14:textId="77777777" w:rsidTr="00B23AAD">
        <w:trPr>
          <w:trHeight w:val="302"/>
          <w:jc w:val="center"/>
        </w:trPr>
        <w:tc>
          <w:tcPr>
            <w:tcW w:w="507" w:type="dxa"/>
          </w:tcPr>
          <w:p w14:paraId="4CB4693D" w14:textId="77777777" w:rsidR="00993EB7" w:rsidRPr="00993EB7" w:rsidRDefault="00993EB7" w:rsidP="00993EB7">
            <w:pPr>
              <w:widowControl w:val="0"/>
              <w:rPr>
                <w:rFonts w:ascii="Cambria" w:eastAsia="Cambria" w:hAnsi="Cambria" w:cs="Cambria"/>
                <w:b/>
                <w:bCs/>
                <w:sz w:val="20"/>
                <w:szCs w:val="20"/>
              </w:rPr>
            </w:pPr>
            <w:r w:rsidRPr="00993EB7">
              <w:rPr>
                <w:rFonts w:ascii="Cambria" w:hAnsi="Cambria"/>
                <w:b/>
                <w:sz w:val="20"/>
              </w:rPr>
              <w:lastRenderedPageBreak/>
              <w:t>7</w:t>
            </w:r>
          </w:p>
        </w:tc>
        <w:tc>
          <w:tcPr>
            <w:tcW w:w="2577" w:type="dxa"/>
          </w:tcPr>
          <w:p w14:paraId="403616A3" w14:textId="77777777" w:rsidR="00993EB7" w:rsidRPr="00993EB7" w:rsidRDefault="00993EB7" w:rsidP="00993EB7">
            <w:pPr>
              <w:widowControl w:val="0"/>
              <w:rPr>
                <w:rFonts w:ascii="Cambria" w:eastAsia="Cambria" w:hAnsi="Cambria" w:cs="Cambria"/>
                <w:b/>
                <w:bCs/>
                <w:sz w:val="18"/>
                <w:szCs w:val="18"/>
              </w:rPr>
            </w:pPr>
            <w:r w:rsidRPr="00993EB7">
              <w:rPr>
                <w:rFonts w:ascii="Cambria" w:hAnsi="Cambria"/>
                <w:b/>
                <w:sz w:val="18"/>
                <w:szCs w:val="18"/>
              </w:rPr>
              <w:t>Transbordo en el mar</w:t>
            </w:r>
            <w:r w:rsidRPr="00993EB7">
              <w:rPr>
                <w:rFonts w:ascii="Cambria" w:hAnsi="Cambria"/>
                <w:b/>
                <w:sz w:val="18"/>
                <w:szCs w:val="18"/>
              </w:rPr>
              <w:br/>
              <w:t>(párr. 14)</w:t>
            </w:r>
          </w:p>
        </w:tc>
        <w:tc>
          <w:tcPr>
            <w:tcW w:w="1945" w:type="dxa"/>
          </w:tcPr>
          <w:p w14:paraId="760F3E02" w14:textId="77777777" w:rsidR="00993EB7" w:rsidRPr="00993EB7" w:rsidRDefault="00993EB7" w:rsidP="00993EB7">
            <w:pPr>
              <w:widowControl w:val="0"/>
              <w:jc w:val="both"/>
              <w:rPr>
                <w:rFonts w:ascii="Cambria" w:eastAsia="Cambria" w:hAnsi="Cambria" w:cs="Cambria"/>
                <w:sz w:val="18"/>
                <w:szCs w:val="18"/>
              </w:rPr>
            </w:pPr>
            <w:r w:rsidRPr="00993EB7">
              <w:rPr>
                <w:rFonts w:ascii="Cambria" w:hAnsi="Cambria"/>
                <w:sz w:val="18"/>
                <w:szCs w:val="18"/>
              </w:rPr>
              <w:t>Estados Unidos prohíbe el transbordo en el mar de especies de ICCAT.</w:t>
            </w:r>
          </w:p>
        </w:tc>
        <w:tc>
          <w:tcPr>
            <w:tcW w:w="1941" w:type="dxa"/>
          </w:tcPr>
          <w:p w14:paraId="41CAC7EA" w14:textId="77777777" w:rsidR="00993EB7" w:rsidRPr="00993EB7" w:rsidRDefault="00993EB7" w:rsidP="00993EB7">
            <w:pPr>
              <w:widowControl w:val="0"/>
              <w:rPr>
                <w:rFonts w:ascii="Cambria" w:eastAsia="Cambria" w:hAnsi="Cambria" w:cs="Cambria"/>
                <w:sz w:val="18"/>
                <w:szCs w:val="18"/>
              </w:rPr>
            </w:pPr>
            <w:hyperlink r:id="rId44">
              <w:r w:rsidRPr="00993EB7">
                <w:rPr>
                  <w:rFonts w:ascii="Cambria" w:hAnsi="Cambria"/>
                  <w:color w:val="1155CC"/>
                  <w:sz w:val="18"/>
                  <w:szCs w:val="18"/>
                </w:rPr>
                <w:t>§ 635.29</w:t>
              </w:r>
            </w:hyperlink>
            <w:r w:rsidRPr="00993EB7">
              <w:rPr>
                <w:rFonts w:ascii="Cambria" w:hAnsi="Cambria"/>
                <w:sz w:val="18"/>
                <w:szCs w:val="18"/>
              </w:rPr>
              <w:t xml:space="preserve">: Trasferencias en el mar y transbordos </w:t>
            </w:r>
          </w:p>
        </w:tc>
        <w:tc>
          <w:tcPr>
            <w:tcW w:w="2090" w:type="dxa"/>
          </w:tcPr>
          <w:p w14:paraId="1B643925" w14:textId="77777777" w:rsidR="00993EB7" w:rsidRPr="00993EB7" w:rsidRDefault="00993EB7" w:rsidP="00993EB7">
            <w:pPr>
              <w:widowControl w:val="0"/>
              <w:jc w:val="both"/>
              <w:rPr>
                <w:rFonts w:ascii="Cambria" w:eastAsia="Cambria" w:hAnsi="Cambria" w:cs="Cambria"/>
                <w:i/>
                <w:iCs/>
                <w:sz w:val="18"/>
                <w:szCs w:val="18"/>
              </w:rPr>
            </w:pPr>
          </w:p>
        </w:tc>
      </w:tr>
    </w:tbl>
    <w:p w14:paraId="31453C71" w14:textId="77777777" w:rsidR="00993EB7" w:rsidRPr="00993EB7" w:rsidRDefault="00993EB7" w:rsidP="00993EB7">
      <w:pPr>
        <w:widowControl w:val="0"/>
        <w:rPr>
          <w:rFonts w:ascii="Cambria" w:eastAsia="Cambria" w:hAnsi="Cambria" w:cs="Cambria"/>
          <w:i/>
          <w:iCs/>
          <w:color w:val="000000"/>
          <w:sz w:val="20"/>
          <w:szCs w:val="20"/>
        </w:rPr>
      </w:pPr>
    </w:p>
    <w:p w14:paraId="482C99D6" w14:textId="77777777" w:rsidR="00993EB7" w:rsidRPr="00993EB7" w:rsidRDefault="00993EB7" w:rsidP="00993EB7">
      <w:pPr>
        <w:widowControl w:val="0"/>
        <w:jc w:val="both"/>
        <w:rPr>
          <w:rFonts w:ascii="Cambria" w:eastAsia="Cambria" w:hAnsi="Cambria" w:cs="Cambria"/>
          <w:i/>
          <w:iCs/>
          <w:color w:val="000000"/>
          <w:sz w:val="20"/>
          <w:szCs w:val="20"/>
        </w:rPr>
      </w:pPr>
    </w:p>
    <w:p w14:paraId="721677F6" w14:textId="77777777" w:rsidR="00993EB7" w:rsidRPr="00993EB7" w:rsidRDefault="00993EB7" w:rsidP="00993EB7">
      <w:pPr>
        <w:widowControl w:val="0"/>
        <w:tabs>
          <w:tab w:val="left" w:pos="426"/>
        </w:tabs>
        <w:ind w:left="426" w:hanging="426"/>
        <w:jc w:val="both"/>
        <w:rPr>
          <w:rFonts w:ascii="Cambria" w:eastAsia="Cambria" w:hAnsi="Cambria" w:cs="Cambria"/>
          <w:b/>
          <w:bCs/>
          <w:color w:val="000000"/>
          <w:sz w:val="20"/>
          <w:szCs w:val="20"/>
        </w:rPr>
      </w:pPr>
      <w:r w:rsidRPr="00993EB7">
        <w:rPr>
          <w:rFonts w:ascii="Cambria" w:hAnsi="Cambria"/>
          <w:b/>
          <w:color w:val="000000"/>
          <w:sz w:val="20"/>
        </w:rPr>
        <w:t>3.</w:t>
      </w:r>
      <w:r w:rsidRPr="00993EB7">
        <w:rPr>
          <w:rFonts w:ascii="Cambria" w:hAnsi="Cambria"/>
          <w:b/>
          <w:color w:val="000000"/>
          <w:sz w:val="20"/>
        </w:rPr>
        <w:tab/>
        <w:t>Medidas adicionales utilizadas con fines de ejecución o de seguimiento, control e inspección (párr. 3)</w:t>
      </w:r>
    </w:p>
    <w:p w14:paraId="630514AC" w14:textId="77777777" w:rsidR="00993EB7" w:rsidRPr="00993EB7" w:rsidRDefault="00993EB7" w:rsidP="00993EB7">
      <w:pPr>
        <w:widowControl w:val="0"/>
        <w:jc w:val="both"/>
        <w:rPr>
          <w:rFonts w:ascii="Cambria" w:eastAsia="Cambria" w:hAnsi="Cambria" w:cs="Cambria"/>
          <w:b/>
          <w:bCs/>
          <w:color w:val="000000"/>
          <w:sz w:val="20"/>
          <w:szCs w:val="20"/>
        </w:rPr>
      </w:pPr>
    </w:p>
    <w:p w14:paraId="54F6F183" w14:textId="77777777" w:rsidR="00993EB7" w:rsidRPr="00993EB7" w:rsidRDefault="00993EB7" w:rsidP="00993EB7">
      <w:pPr>
        <w:widowControl w:val="0"/>
        <w:jc w:val="both"/>
        <w:rPr>
          <w:rFonts w:ascii="Cambria" w:eastAsia="Cambria" w:hAnsi="Cambria" w:cs="Cambria"/>
          <w:sz w:val="20"/>
          <w:szCs w:val="20"/>
        </w:rPr>
      </w:pPr>
      <w:r w:rsidRPr="00993EB7">
        <w:rPr>
          <w:rFonts w:ascii="Cambria" w:hAnsi="Cambria"/>
          <w:sz w:val="20"/>
        </w:rPr>
        <w:t>La aplicación de la normativa pesquera en Estados Unidos incumbe a la Oficina de Aplicación de la Ley (OLE) de la NOAA, la Guardia Costera de Estados Unidos y, en virtud de acuerdos de cooperación en materia de aplicación de la ley, a los estados y territorios de Estados Unidos con fronteras marítimas en el océano Atlántico, el golfo de América y/o el mar Caribe. Las actividades de control de la aplicación de la normativa comprenden la supervisión e inspección de las descargas en las instalaciones de desembarque y los puertos deportivos, junto con la comprobación de los registros de los comerciantes y las visitas e inspecciones en el mar. La Guardia Costera de Estados Unidos es el principal organismo federal encargado de supervisar el cumplimiento de la normativa estadounidense en los caladeros.</w:t>
      </w:r>
    </w:p>
    <w:p w14:paraId="209BFF11" w14:textId="77777777" w:rsidR="00993EB7" w:rsidRPr="00993EB7" w:rsidRDefault="00993EB7" w:rsidP="00993EB7">
      <w:pPr>
        <w:widowControl w:val="0"/>
        <w:jc w:val="both"/>
        <w:rPr>
          <w:rFonts w:ascii="Cambria" w:eastAsia="Cambria" w:hAnsi="Cambria" w:cs="Cambria"/>
          <w:sz w:val="20"/>
          <w:szCs w:val="20"/>
        </w:rPr>
      </w:pPr>
    </w:p>
    <w:p w14:paraId="1B94E5CD" w14:textId="77777777" w:rsidR="00993EB7" w:rsidRPr="00993EB7" w:rsidRDefault="00993EB7" w:rsidP="00993EB7">
      <w:pPr>
        <w:widowControl w:val="0"/>
        <w:jc w:val="both"/>
        <w:rPr>
          <w:rFonts w:ascii="Cambria" w:eastAsia="Cambria" w:hAnsi="Cambria" w:cs="Cambria"/>
          <w:sz w:val="20"/>
          <w:szCs w:val="20"/>
        </w:rPr>
      </w:pPr>
      <w:r w:rsidRPr="00993EB7">
        <w:rPr>
          <w:rFonts w:ascii="Cambria" w:hAnsi="Cambria"/>
          <w:sz w:val="20"/>
        </w:rPr>
        <w:t xml:space="preserve">Tal y como se ha expuesto en la sección 1 (Presentación), Estados Unidos cuenta con un sistema sólido para supervisar su pesquería de BFT, que prevé requisitos de cobertura de observadores, así como requisitos relativos a los cuadernos de pesca y a la comunicación de datos para todas las categorías de cuotas y todos los titulares de permisos. Además, los buques palangreros pelágicos deben estar equipados con un sistema VMS operativo a tiempo completo, que transmita datos de posición al NMFS cada hora, y con un sistema de seguimiento electrónico (EM) compuesto por cámaras de vídeo y el equipo de grabación y detección correspondiente, que permita al NMFS auditar los informes sobre las interacciones con BFT en el marco de su programa nacional de IBQ. Véase la sección 1 para obtener información detallada sobre los requisitos relacionados con estos programas. </w:t>
      </w:r>
    </w:p>
    <w:p w14:paraId="3A40ACE9" w14:textId="77777777" w:rsidR="00993EB7" w:rsidRPr="00993EB7" w:rsidRDefault="00993EB7" w:rsidP="00993EB7">
      <w:pPr>
        <w:widowControl w:val="0"/>
        <w:jc w:val="both"/>
        <w:rPr>
          <w:rFonts w:ascii="Cambria" w:eastAsia="Cambria" w:hAnsi="Cambria" w:cs="Cambria"/>
          <w:sz w:val="20"/>
          <w:szCs w:val="20"/>
        </w:rPr>
      </w:pPr>
    </w:p>
    <w:p w14:paraId="5E362C67" w14:textId="77777777" w:rsidR="00993EB7" w:rsidRPr="00993EB7" w:rsidRDefault="00993EB7" w:rsidP="00993EB7">
      <w:pPr>
        <w:widowControl w:val="0"/>
        <w:jc w:val="both"/>
        <w:rPr>
          <w:rFonts w:ascii="Cambria" w:eastAsia="Cambria" w:hAnsi="Cambria" w:cs="Cambria"/>
          <w:sz w:val="20"/>
          <w:szCs w:val="20"/>
        </w:rPr>
      </w:pPr>
      <w:r w:rsidRPr="00993EB7">
        <w:rPr>
          <w:rFonts w:ascii="Cambria" w:hAnsi="Cambria"/>
          <w:sz w:val="20"/>
        </w:rPr>
        <w:t>Estados Unidos también ha establecido la obligación de que todos los comerciantes marquen cada ejemplar de BFT que se venda, con el fin de permitir el seguimiento de su comercialización. También existen restricciones en cuanto a la transformación del pescado (por ejemplo, está prohibido cortar la cola) para garantizar una identificación correcta de las especies, tanto en el mar como en el muelle.</w:t>
      </w:r>
    </w:p>
    <w:p w14:paraId="5F524960" w14:textId="77777777" w:rsidR="00993EB7" w:rsidRPr="00993EB7" w:rsidRDefault="00993EB7" w:rsidP="00993EB7">
      <w:pPr>
        <w:widowControl w:val="0"/>
        <w:jc w:val="both"/>
        <w:rPr>
          <w:rFonts w:ascii="Cambria" w:eastAsia="Cambria" w:hAnsi="Cambria" w:cs="Cambria"/>
          <w:sz w:val="20"/>
          <w:szCs w:val="20"/>
        </w:rPr>
      </w:pPr>
    </w:p>
    <w:p w14:paraId="72D5DF88" w14:textId="77777777" w:rsidR="00993EB7" w:rsidRPr="00993EB7" w:rsidRDefault="00993EB7" w:rsidP="00993EB7">
      <w:pPr>
        <w:widowControl w:val="0"/>
        <w:jc w:val="both"/>
        <w:rPr>
          <w:rFonts w:ascii="Cambria" w:eastAsia="Cambria" w:hAnsi="Cambria" w:cs="Cambria"/>
          <w:sz w:val="20"/>
          <w:szCs w:val="20"/>
        </w:rPr>
      </w:pPr>
      <w:r w:rsidRPr="00993EB7">
        <w:rPr>
          <w:rFonts w:ascii="Cambria" w:hAnsi="Cambria"/>
          <w:sz w:val="20"/>
        </w:rPr>
        <w:t xml:space="preserve">Para obtener más información y consultar la lista completa de prohibiciones y condiciones aplicables a los titulares de permisos, véase </w:t>
      </w:r>
      <w:hyperlink r:id="rId45">
        <w:r w:rsidRPr="00993EB7">
          <w:rPr>
            <w:rFonts w:ascii="Cambria" w:hAnsi="Cambria"/>
            <w:color w:val="1155CC"/>
            <w:sz w:val="20"/>
          </w:rPr>
          <w:t>§ 635.71</w:t>
        </w:r>
      </w:hyperlink>
      <w:r w:rsidRPr="00993EB7">
        <w:rPr>
          <w:rFonts w:ascii="Cambria" w:hAnsi="Cambria"/>
          <w:sz w:val="20"/>
        </w:rPr>
        <w:t xml:space="preserve"> del reglamento de Estados Unidos.</w:t>
      </w:r>
    </w:p>
    <w:p w14:paraId="6FA69C08" w14:textId="77777777" w:rsidR="00803E67" w:rsidRPr="00993EB7" w:rsidRDefault="00803E67">
      <w:pPr>
        <w:rPr>
          <w:rFonts w:ascii="Cambria" w:hAnsi="Cambria"/>
          <w:b/>
          <w:sz w:val="22"/>
        </w:rPr>
      </w:pPr>
    </w:p>
    <w:sectPr w:rsidR="00803E67" w:rsidRPr="00993EB7" w:rsidSect="00117DBC">
      <w:headerReference w:type="default" r:id="rId46"/>
      <w:pgSz w:w="11906" w:h="16838"/>
      <w:pgMar w:top="1418" w:right="1418" w:bottom="1418" w:left="1418" w:header="851" w:footer="113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4EC8C2" w14:textId="77777777" w:rsidR="007160F7" w:rsidRDefault="007160F7">
      <w:r>
        <w:separator/>
      </w:r>
    </w:p>
  </w:endnote>
  <w:endnote w:type="continuationSeparator" w:id="0">
    <w:p w14:paraId="247B22B0" w14:textId="77777777" w:rsidR="007160F7" w:rsidRDefault="007160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00"/>
    <w:family w:val="roman"/>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3CBA15" w14:textId="2B60080D" w:rsidR="001F5D7D" w:rsidRPr="001F5D7D" w:rsidRDefault="007160F7" w:rsidP="001F5D7D">
    <w:pPr>
      <w:tabs>
        <w:tab w:val="center" w:pos="4535"/>
        <w:tab w:val="center" w:pos="4680"/>
        <w:tab w:val="left" w:pos="6150"/>
        <w:tab w:val="right" w:pos="9360"/>
      </w:tabs>
      <w:jc w:val="center"/>
      <w:rPr>
        <w:rFonts w:ascii="Cambria" w:eastAsia="Calibri" w:hAnsi="Cambria" w:cs="Calibri"/>
        <w:sz w:val="20"/>
        <w:szCs w:val="22"/>
      </w:rPr>
    </w:pPr>
    <w:sdt>
      <w:sdtPr>
        <w:rPr>
          <w:rFonts w:ascii="Calibri" w:eastAsia="Calibri" w:hAnsi="Calibri" w:cs="Calibri"/>
          <w:sz w:val="20"/>
          <w:szCs w:val="20"/>
        </w:rPr>
        <w:id w:val="-695158210"/>
        <w:docPartObj>
          <w:docPartGallery w:val="Page Numbers (Top of Page)"/>
          <w:docPartUnique/>
        </w:docPartObj>
      </w:sdtPr>
      <w:sdtEndPr/>
      <w:sdtContent>
        <w:r w:rsidR="001F5D7D" w:rsidRPr="00713AD4">
          <w:rPr>
            <w:rFonts w:ascii="Cambria" w:eastAsia="Calibri" w:hAnsi="Cambria" w:cs="Calibri"/>
            <w:sz w:val="20"/>
          </w:rPr>
          <w:fldChar w:fldCharType="begin"/>
        </w:r>
        <w:r w:rsidR="001F5D7D" w:rsidRPr="00713AD4">
          <w:rPr>
            <w:rFonts w:ascii="Cambria" w:eastAsia="Calibri" w:hAnsi="Cambria" w:cs="Calibri"/>
            <w:sz w:val="20"/>
          </w:rPr>
          <w:instrText xml:space="preserve"> PAGE </w:instrText>
        </w:r>
        <w:r w:rsidR="001F5D7D" w:rsidRPr="00713AD4">
          <w:rPr>
            <w:rFonts w:ascii="Cambria" w:eastAsia="Calibri" w:hAnsi="Cambria" w:cs="Calibri"/>
            <w:sz w:val="20"/>
          </w:rPr>
          <w:fldChar w:fldCharType="separate"/>
        </w:r>
        <w:r w:rsidR="001F5D7D">
          <w:rPr>
            <w:rFonts w:eastAsia="Calibri" w:cs="Calibri"/>
          </w:rPr>
          <w:t>1</w:t>
        </w:r>
        <w:r w:rsidR="001F5D7D" w:rsidRPr="00713AD4">
          <w:rPr>
            <w:rFonts w:ascii="Cambria" w:eastAsia="Calibri" w:hAnsi="Cambria" w:cs="Calibri"/>
            <w:sz w:val="20"/>
          </w:rPr>
          <w:fldChar w:fldCharType="end"/>
        </w:r>
        <w:r w:rsidR="00CF7A5A">
          <w:rPr>
            <w:rFonts w:ascii="Cambria" w:hAnsi="Cambria"/>
            <w:sz w:val="20"/>
          </w:rPr>
          <w:t xml:space="preserve"> / </w:t>
        </w:r>
        <w:r w:rsidR="001F5D7D" w:rsidRPr="00713AD4">
          <w:rPr>
            <w:rFonts w:ascii="Cambria" w:eastAsia="Calibri" w:hAnsi="Cambria" w:cs="Calibri"/>
            <w:sz w:val="20"/>
          </w:rPr>
          <w:fldChar w:fldCharType="begin"/>
        </w:r>
        <w:r w:rsidR="001F5D7D" w:rsidRPr="00713AD4">
          <w:rPr>
            <w:rFonts w:ascii="Cambria" w:eastAsia="Calibri" w:hAnsi="Cambria" w:cs="Calibri"/>
            <w:sz w:val="20"/>
          </w:rPr>
          <w:instrText xml:space="preserve"> NUMPAGES  </w:instrText>
        </w:r>
        <w:r w:rsidR="001F5D7D" w:rsidRPr="00713AD4">
          <w:rPr>
            <w:rFonts w:ascii="Cambria" w:eastAsia="Calibri" w:hAnsi="Cambria" w:cs="Calibri"/>
            <w:sz w:val="20"/>
          </w:rPr>
          <w:fldChar w:fldCharType="separate"/>
        </w:r>
        <w:r w:rsidR="001F5D7D">
          <w:rPr>
            <w:rFonts w:eastAsia="Calibri" w:cs="Calibri"/>
          </w:rPr>
          <w:t>1</w:t>
        </w:r>
        <w:r w:rsidR="001F5D7D" w:rsidRPr="00713AD4">
          <w:rPr>
            <w:rFonts w:ascii="Cambria" w:eastAsia="Calibri" w:hAnsi="Cambria" w:cs="Calibri"/>
            <w:sz w:val="20"/>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BC4C1A" w14:textId="05E52C0C" w:rsidR="00117DBC" w:rsidRPr="00117DBC" w:rsidRDefault="00117DBC" w:rsidP="00117DBC">
    <w:pPr>
      <w:tabs>
        <w:tab w:val="center" w:pos="4535"/>
        <w:tab w:val="center" w:pos="4680"/>
        <w:tab w:val="left" w:pos="6150"/>
        <w:tab w:val="right" w:pos="9360"/>
      </w:tabs>
      <w:jc w:val="center"/>
      <w:rPr>
        <w:rFonts w:ascii="Cambria" w:eastAsia="Calibri" w:hAnsi="Cambria" w:cs="Calibri"/>
        <w:sz w:val="20"/>
        <w:szCs w:val="22"/>
      </w:rPr>
    </w:pPr>
    <w:r w:rsidRPr="0067469F">
      <w:rPr>
        <w:rFonts w:ascii="Cambria" w:eastAsia="Calibri" w:hAnsi="Cambria" w:cs="Calibri"/>
        <w:sz w:val="20"/>
      </w:rPr>
      <w:fldChar w:fldCharType="begin"/>
    </w:r>
    <w:r w:rsidRPr="0067469F">
      <w:rPr>
        <w:rFonts w:ascii="Cambria" w:eastAsia="Calibri" w:hAnsi="Cambria" w:cs="Calibri"/>
        <w:sz w:val="20"/>
      </w:rPr>
      <w:instrText xml:space="preserve"> PAGE </w:instrText>
    </w:r>
    <w:r w:rsidRPr="0067469F">
      <w:rPr>
        <w:rFonts w:ascii="Cambria" w:eastAsia="Calibri" w:hAnsi="Cambria" w:cs="Calibri"/>
        <w:sz w:val="20"/>
      </w:rPr>
      <w:fldChar w:fldCharType="separate"/>
    </w:r>
    <w:r>
      <w:rPr>
        <w:rFonts w:ascii="Cambria" w:eastAsia="Calibri" w:hAnsi="Cambria" w:cs="Calibri"/>
        <w:sz w:val="20"/>
      </w:rPr>
      <w:t>1</w:t>
    </w:r>
    <w:r w:rsidRPr="0067469F">
      <w:rPr>
        <w:rFonts w:ascii="Cambria" w:eastAsia="Calibri" w:hAnsi="Cambria" w:cs="Calibri"/>
        <w:sz w:val="20"/>
      </w:rPr>
      <w:fldChar w:fldCharType="end"/>
    </w:r>
    <w:r>
      <w:rPr>
        <w:rFonts w:ascii="Cambria" w:hAnsi="Cambria"/>
        <w:sz w:val="20"/>
      </w:rPr>
      <w:t xml:space="preserve"> / </w:t>
    </w:r>
    <w:r w:rsidRPr="0067469F">
      <w:rPr>
        <w:rFonts w:ascii="Cambria" w:eastAsia="Calibri" w:hAnsi="Cambria" w:cs="Calibri"/>
        <w:sz w:val="20"/>
      </w:rPr>
      <w:fldChar w:fldCharType="begin"/>
    </w:r>
    <w:r w:rsidRPr="0067469F">
      <w:rPr>
        <w:rFonts w:ascii="Cambria" w:eastAsia="Calibri" w:hAnsi="Cambria" w:cs="Calibri"/>
        <w:sz w:val="20"/>
      </w:rPr>
      <w:instrText xml:space="preserve"> NUMPAGES </w:instrText>
    </w:r>
    <w:r w:rsidRPr="0067469F">
      <w:rPr>
        <w:rFonts w:ascii="Cambria" w:eastAsia="Calibri" w:hAnsi="Cambria" w:cs="Calibri"/>
        <w:sz w:val="20"/>
      </w:rPr>
      <w:fldChar w:fldCharType="separate"/>
    </w:r>
    <w:r>
      <w:rPr>
        <w:rFonts w:ascii="Cambria" w:eastAsia="Calibri" w:hAnsi="Cambria" w:cs="Calibri"/>
        <w:sz w:val="20"/>
      </w:rPr>
      <w:t>3</w:t>
    </w:r>
    <w:r w:rsidRPr="0067469F">
      <w:rPr>
        <w:rFonts w:ascii="Cambria" w:eastAsia="Calibri" w:hAnsi="Cambria" w:cs="Calibri"/>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0C7E18" w14:textId="77777777" w:rsidR="007160F7" w:rsidRDefault="007160F7">
      <w:r>
        <w:separator/>
      </w:r>
    </w:p>
  </w:footnote>
  <w:footnote w:type="continuationSeparator" w:id="0">
    <w:p w14:paraId="7AC5EFAC" w14:textId="77777777" w:rsidR="007160F7" w:rsidRDefault="007160F7">
      <w:r>
        <w:continuationSeparator/>
      </w:r>
    </w:p>
  </w:footnote>
  <w:footnote w:id="1">
    <w:p w14:paraId="034028C3" w14:textId="77777777" w:rsidR="00803E67" w:rsidRPr="00B432EC" w:rsidRDefault="00803E67" w:rsidP="00803E67">
      <w:pPr>
        <w:pStyle w:val="FootnoteText"/>
        <w:rPr>
          <w:sz w:val="16"/>
          <w:szCs w:val="16"/>
        </w:rPr>
      </w:pPr>
      <w:r>
        <w:rPr>
          <w:rStyle w:val="FootnoteReference"/>
          <w:sz w:val="16"/>
          <w:szCs w:val="16"/>
        </w:rPr>
        <w:footnoteRef/>
      </w:r>
      <w:r>
        <w:rPr>
          <w:sz w:val="16"/>
        </w:rPr>
        <w:t xml:space="preserve"> Una parte de las divisiones 4X y 5Z de la NAFO conocida como «Hell Hole», definida como la zona delimitada por las líneas rectas que unen los siguientes puntos, en el orden en que se enumeran, durante el periodo comprendido entre el 1 de julio y el 30 de noviembre:</w:t>
      </w:r>
    </w:p>
    <w:p w14:paraId="4F686FF8" w14:textId="77777777" w:rsidR="00803E67" w:rsidRPr="00B432EC" w:rsidRDefault="00803E67" w:rsidP="00803E67">
      <w:pPr>
        <w:pStyle w:val="FootnoteText"/>
        <w:rPr>
          <w:sz w:val="16"/>
          <w:szCs w:val="16"/>
        </w:rPr>
      </w:pPr>
    </w:p>
    <w:p w14:paraId="749C6099" w14:textId="77777777" w:rsidR="00803E67" w:rsidRPr="00BE0195" w:rsidRDefault="00803E67" w:rsidP="00803E67">
      <w:pPr>
        <w:pStyle w:val="FootnoteText"/>
        <w:rPr>
          <w:sz w:val="16"/>
          <w:szCs w:val="16"/>
        </w:rPr>
      </w:pPr>
      <w:r>
        <w:rPr>
          <w:sz w:val="16"/>
        </w:rPr>
        <w:t>Punto</w:t>
      </w:r>
      <w:r>
        <w:rPr>
          <w:sz w:val="16"/>
        </w:rPr>
        <w:tab/>
        <w:t>Latitud (</w:t>
      </w:r>
      <w:proofErr w:type="gramStart"/>
      <w:r>
        <w:rPr>
          <w:sz w:val="16"/>
        </w:rPr>
        <w:t xml:space="preserve">N)   </w:t>
      </w:r>
      <w:proofErr w:type="gramEnd"/>
      <w:r>
        <w:rPr>
          <w:sz w:val="16"/>
        </w:rPr>
        <w:t>Longitud (W)</w:t>
      </w:r>
    </w:p>
    <w:p w14:paraId="2E32C6D1" w14:textId="77777777" w:rsidR="00803E67" w:rsidRPr="00B432EC" w:rsidRDefault="00803E67" w:rsidP="00803E67">
      <w:pPr>
        <w:pStyle w:val="FootnoteText"/>
        <w:rPr>
          <w:sz w:val="16"/>
          <w:szCs w:val="16"/>
        </w:rPr>
      </w:pPr>
      <w:r>
        <w:rPr>
          <w:sz w:val="16"/>
        </w:rPr>
        <w:t>1.</w:t>
      </w:r>
      <w:r>
        <w:rPr>
          <w:sz w:val="16"/>
        </w:rPr>
        <w:tab/>
        <w:t>42°06'00''    65°41'24''</w:t>
      </w:r>
    </w:p>
    <w:p w14:paraId="6D0215DE" w14:textId="77777777" w:rsidR="00803E67" w:rsidRPr="00B432EC" w:rsidRDefault="00803E67" w:rsidP="00803E67">
      <w:pPr>
        <w:pStyle w:val="FootnoteText"/>
        <w:rPr>
          <w:sz w:val="16"/>
          <w:szCs w:val="16"/>
        </w:rPr>
      </w:pPr>
      <w:r>
        <w:rPr>
          <w:sz w:val="16"/>
        </w:rPr>
        <w:t>2.</w:t>
      </w:r>
      <w:r>
        <w:rPr>
          <w:sz w:val="16"/>
        </w:rPr>
        <w:tab/>
        <w:t>42°06'00''    65°27'30''</w:t>
      </w:r>
    </w:p>
    <w:p w14:paraId="040DCC9B" w14:textId="77777777" w:rsidR="00803E67" w:rsidRPr="00B432EC" w:rsidRDefault="00803E67" w:rsidP="00803E67">
      <w:pPr>
        <w:pStyle w:val="FootnoteText"/>
        <w:rPr>
          <w:sz w:val="16"/>
          <w:szCs w:val="16"/>
        </w:rPr>
      </w:pPr>
      <w:r>
        <w:rPr>
          <w:sz w:val="16"/>
        </w:rPr>
        <w:t>3.</w:t>
      </w:r>
      <w:r>
        <w:rPr>
          <w:sz w:val="16"/>
        </w:rPr>
        <w:tab/>
        <w:t>41°55'48''    65°27'30''</w:t>
      </w:r>
    </w:p>
    <w:p w14:paraId="206EF99A" w14:textId="77777777" w:rsidR="00803E67" w:rsidRPr="00B432EC" w:rsidRDefault="00803E67" w:rsidP="00803E67">
      <w:pPr>
        <w:pStyle w:val="FootnoteText"/>
        <w:rPr>
          <w:sz w:val="16"/>
          <w:szCs w:val="16"/>
        </w:rPr>
      </w:pPr>
      <w:r>
        <w:rPr>
          <w:sz w:val="16"/>
        </w:rPr>
        <w:t>4.</w:t>
      </w:r>
      <w:r>
        <w:rPr>
          <w:sz w:val="16"/>
        </w:rPr>
        <w:tab/>
        <w:t>41°55'48''    65°41'24''</w:t>
      </w:r>
    </w:p>
    <w:p w14:paraId="5C6A51A0" w14:textId="77777777" w:rsidR="00803E67" w:rsidRPr="00B432EC" w:rsidRDefault="00803E67" w:rsidP="00803E67">
      <w:pPr>
        <w:pStyle w:val="FootnoteText"/>
        <w:rPr>
          <w:sz w:val="16"/>
          <w:szCs w:val="16"/>
        </w:rPr>
      </w:pPr>
      <w:r>
        <w:rPr>
          <w:sz w:val="16"/>
        </w:rPr>
        <w:t>5.</w:t>
      </w:r>
      <w:r>
        <w:rPr>
          <w:sz w:val="16"/>
        </w:rPr>
        <w:tab/>
        <w:t>42°06'00''    65°41'24''</w:t>
      </w:r>
    </w:p>
  </w:footnote>
  <w:footnote w:id="2">
    <w:p w14:paraId="3B52D87F" w14:textId="77777777" w:rsidR="00316C09" w:rsidRPr="00685D48" w:rsidRDefault="00316C09" w:rsidP="00316C09">
      <w:pPr>
        <w:pStyle w:val="FootnoteText"/>
        <w:rPr>
          <w:sz w:val="18"/>
        </w:rPr>
      </w:pPr>
      <w:r w:rsidRPr="00685D48">
        <w:rPr>
          <w:rStyle w:val="FootnoteReference"/>
          <w:sz w:val="18"/>
        </w:rPr>
        <w:footnoteRef/>
      </w:r>
      <w:r w:rsidRPr="00685D48">
        <w:rPr>
          <w:sz w:val="18"/>
        </w:rPr>
        <w:t xml:space="preserve"> https://dof.gob.mx/normasOficiales/5356/sagarpa11_C/sagarpa11_C.html</w:t>
      </w:r>
    </w:p>
  </w:footnote>
  <w:footnote w:id="3">
    <w:p w14:paraId="7448443E" w14:textId="77777777" w:rsidR="00316C09" w:rsidRPr="00A24713" w:rsidRDefault="00316C09" w:rsidP="00316C09">
      <w:pPr>
        <w:pStyle w:val="FootnoteText"/>
        <w:rPr>
          <w:lang w:val="es-MX"/>
        </w:rPr>
      </w:pPr>
      <w:r w:rsidRPr="00A24713">
        <w:rPr>
          <w:rStyle w:val="FootnoteReference"/>
          <w:sz w:val="16"/>
          <w:szCs w:val="16"/>
        </w:rPr>
        <w:footnoteRef/>
      </w:r>
      <w:r w:rsidRPr="00A24713">
        <w:rPr>
          <w:sz w:val="16"/>
          <w:szCs w:val="16"/>
        </w:rPr>
        <w:t xml:space="preserve"> https://www.diputados.gob.mx/LeyesBiblio/pdf/LGPAS.pdf</w:t>
      </w:r>
    </w:p>
  </w:footnote>
  <w:footnote w:id="4">
    <w:p w14:paraId="136F0300" w14:textId="77777777" w:rsidR="00316C09" w:rsidRPr="001D139C" w:rsidRDefault="00316C09" w:rsidP="00316C09">
      <w:pPr>
        <w:pStyle w:val="FootnoteText"/>
        <w:rPr>
          <w:lang w:val="es-MX"/>
        </w:rPr>
      </w:pPr>
      <w:r w:rsidRPr="001D139C">
        <w:rPr>
          <w:rStyle w:val="FootnoteReference"/>
          <w:sz w:val="16"/>
          <w:szCs w:val="16"/>
        </w:rPr>
        <w:footnoteRef/>
      </w:r>
      <w:r w:rsidRPr="001D139C">
        <w:rPr>
          <w:sz w:val="16"/>
          <w:szCs w:val="16"/>
        </w:rPr>
        <w:t xml:space="preserve"> https://dof.gob.mx/nota_detalle_popup.php?codigo=5323155</w:t>
      </w:r>
    </w:p>
  </w:footnote>
  <w:footnote w:id="5">
    <w:p w14:paraId="11ED67AF" w14:textId="77777777" w:rsidR="00993EB7" w:rsidRPr="00231DB6" w:rsidRDefault="00993EB7" w:rsidP="00D9208D">
      <w:pPr>
        <w:jc w:val="both"/>
        <w:rPr>
          <w:rFonts w:ascii="Cambria" w:hAnsi="Cambria"/>
          <w:sz w:val="16"/>
          <w:szCs w:val="16"/>
        </w:rPr>
      </w:pPr>
      <w:r>
        <w:rPr>
          <w:rFonts w:ascii="Cambria" w:hAnsi="Cambria"/>
          <w:sz w:val="16"/>
          <w:szCs w:val="16"/>
          <w:vertAlign w:val="superscript"/>
        </w:rPr>
        <w:footnoteRef/>
      </w:r>
      <w:r>
        <w:rPr>
          <w:rFonts w:ascii="Cambria" w:hAnsi="Cambria"/>
          <w:sz w:val="16"/>
        </w:rPr>
        <w:t xml:space="preserve"> El término «almadraba» (</w:t>
      </w:r>
      <w:proofErr w:type="spellStart"/>
      <w:r>
        <w:rPr>
          <w:rFonts w:ascii="Cambria" w:hAnsi="Cambria"/>
          <w:i/>
          <w:iCs/>
          <w:sz w:val="16"/>
        </w:rPr>
        <w:t>trap</w:t>
      </w:r>
      <w:proofErr w:type="spellEnd"/>
      <w:r>
        <w:rPr>
          <w:rFonts w:ascii="Cambria" w:hAnsi="Cambria"/>
          <w:sz w:val="16"/>
        </w:rPr>
        <w:t>) en la normativa nacional de Estados Unidos es totalmente distinto de las pesquerías con almadraba para túnidos que se utilizan ampliamente en el Mediterráneo, a menudo relacionadas con operaciones de cría y engorde. En Estados Unidos, la categoría de almadraba se utiliza para la pesca de especies distintas del atún (por ejemplo, la lubina negra) y cualquier BFT capturado se considera captura fortuita. Las personas a bordo de un buque autorizado en la categoría de túnidos del Atlántico con almadraba podrán retener, poseer, desembarcar y vender, en cada campaña pesquera, únicamente un BFT grande, mediano o gigante capturado de forma fortuita mientras pescan otras especies con redes de trampa fija o corrales de pesca. No se podrá conservar ningún otro túnido del Atlántico capturado con redes de trampa fija o con corrales.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505774" w14:textId="14462BDD" w:rsidR="006B4897" w:rsidRPr="00793F38" w:rsidRDefault="006B4897" w:rsidP="006B4897">
    <w:pPr>
      <w:tabs>
        <w:tab w:val="center" w:pos="4680"/>
        <w:tab w:val="left" w:pos="6520"/>
        <w:tab w:val="right" w:pos="9360"/>
        <w:tab w:val="right" w:pos="14240"/>
      </w:tabs>
      <w:jc w:val="right"/>
      <w:rPr>
        <w:rFonts w:ascii="Cambria" w:eastAsia="Calibri" w:hAnsi="Cambria"/>
        <w:b/>
        <w:bCs/>
        <w:sz w:val="20"/>
        <w:szCs w:val="20"/>
      </w:rPr>
    </w:pPr>
    <w:bookmarkStart w:id="1" w:name="_Hlk107908354"/>
    <w:bookmarkStart w:id="2" w:name="_Hlk107908355"/>
    <w:bookmarkStart w:id="3" w:name="_Hlk107908359"/>
    <w:bookmarkStart w:id="4" w:name="_Hlk107908360"/>
    <w:bookmarkStart w:id="5" w:name="_Hlk107908361"/>
    <w:bookmarkStart w:id="6" w:name="_Hlk107908362"/>
    <w:r>
      <w:rPr>
        <w:rFonts w:ascii="Cambria" w:hAnsi="Cambria"/>
        <w:b/>
        <w:sz w:val="20"/>
      </w:rPr>
      <w:t>PA1_605/2026</w:t>
    </w:r>
  </w:p>
  <w:p w14:paraId="7B37E19E" w14:textId="1AB12F86" w:rsidR="006B4897" w:rsidRPr="00793F38" w:rsidRDefault="006B4897" w:rsidP="006B4897">
    <w:pPr>
      <w:tabs>
        <w:tab w:val="left" w:pos="7320"/>
      </w:tabs>
      <w:spacing w:line="240" w:lineRule="exact"/>
      <w:jc w:val="right"/>
      <w:rPr>
        <w:rFonts w:ascii="Cambria" w:hAnsi="Cambria"/>
        <w:b/>
        <w:bCs/>
        <w:sz w:val="16"/>
        <w:szCs w:val="16"/>
      </w:rPr>
    </w:pPr>
    <w:r w:rsidRPr="00793F38">
      <w:rPr>
        <w:rFonts w:ascii="Cambria" w:hAnsi="Cambria"/>
        <w:b/>
        <w:sz w:val="16"/>
      </w:rPr>
      <w:fldChar w:fldCharType="begin"/>
    </w:r>
    <w:r w:rsidRPr="00793F38">
      <w:rPr>
        <w:rFonts w:ascii="Cambria" w:hAnsi="Cambria"/>
        <w:b/>
        <w:sz w:val="16"/>
      </w:rPr>
      <w:instrText xml:space="preserve"> TIME \@ "dd/MM/yyyy H:mm" </w:instrText>
    </w:r>
    <w:r w:rsidRPr="00793F38">
      <w:rPr>
        <w:rFonts w:ascii="Cambria" w:hAnsi="Cambria"/>
        <w:b/>
        <w:sz w:val="16"/>
      </w:rPr>
      <w:fldChar w:fldCharType="separate"/>
    </w:r>
    <w:r w:rsidR="00C52DC0">
      <w:rPr>
        <w:rFonts w:ascii="Cambria" w:hAnsi="Cambria"/>
        <w:b/>
        <w:noProof/>
        <w:sz w:val="16"/>
      </w:rPr>
      <w:t>27/10/2026 15:17</w:t>
    </w:r>
    <w:r w:rsidRPr="00793F38">
      <w:rPr>
        <w:rFonts w:ascii="Cambria" w:hAnsi="Cambria"/>
        <w:b/>
        <w:bCs/>
        <w:sz w:val="16"/>
        <w:szCs w:val="16"/>
        <w:lang w:val="es-ES_tradnl"/>
      </w:rPr>
      <w:fldChar w:fldCharType="end"/>
    </w:r>
    <w:bookmarkEnd w:id="1"/>
    <w:bookmarkEnd w:id="2"/>
    <w:bookmarkEnd w:id="3"/>
    <w:bookmarkEnd w:id="4"/>
    <w:bookmarkEnd w:id="5"/>
    <w:bookmarkEnd w:id="6"/>
  </w:p>
  <w:p w14:paraId="0DD2DBBD" w14:textId="77777777" w:rsidR="006B4897" w:rsidRDefault="006B489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9A30B3" w14:textId="37726E70" w:rsidR="002604BE" w:rsidRPr="00793F38" w:rsidRDefault="002604BE" w:rsidP="002604BE">
    <w:pPr>
      <w:tabs>
        <w:tab w:val="center" w:pos="4680"/>
        <w:tab w:val="left" w:pos="6520"/>
        <w:tab w:val="right" w:pos="9360"/>
        <w:tab w:val="right" w:pos="14240"/>
      </w:tabs>
      <w:jc w:val="right"/>
      <w:rPr>
        <w:rFonts w:ascii="Cambria" w:eastAsia="Calibri" w:hAnsi="Cambria"/>
        <w:b/>
        <w:bCs/>
        <w:sz w:val="20"/>
        <w:szCs w:val="20"/>
      </w:rPr>
    </w:pPr>
    <w:r>
      <w:rPr>
        <w:rFonts w:ascii="Cambria" w:hAnsi="Cambria"/>
        <w:b/>
        <w:sz w:val="20"/>
      </w:rPr>
      <w:t>PA2_605/2026</w:t>
    </w:r>
  </w:p>
  <w:p w14:paraId="124AFB27" w14:textId="5EF944A9" w:rsidR="002604BE" w:rsidRPr="00793F38" w:rsidRDefault="002604BE" w:rsidP="002604BE">
    <w:pPr>
      <w:tabs>
        <w:tab w:val="left" w:pos="7320"/>
      </w:tabs>
      <w:spacing w:line="240" w:lineRule="exact"/>
      <w:jc w:val="right"/>
      <w:rPr>
        <w:rFonts w:ascii="Cambria" w:hAnsi="Cambria"/>
        <w:b/>
        <w:bCs/>
        <w:sz w:val="16"/>
        <w:szCs w:val="16"/>
      </w:rPr>
    </w:pPr>
    <w:r w:rsidRPr="00793F38">
      <w:rPr>
        <w:rFonts w:ascii="Cambria" w:hAnsi="Cambria"/>
        <w:b/>
        <w:sz w:val="16"/>
      </w:rPr>
      <w:fldChar w:fldCharType="begin"/>
    </w:r>
    <w:r w:rsidRPr="00793F38">
      <w:rPr>
        <w:rFonts w:ascii="Cambria" w:hAnsi="Cambria"/>
        <w:b/>
        <w:sz w:val="16"/>
      </w:rPr>
      <w:instrText xml:space="preserve"> TIME \@ "dd/MM/yyyy H:mm" </w:instrText>
    </w:r>
    <w:r w:rsidRPr="00793F38">
      <w:rPr>
        <w:rFonts w:ascii="Cambria" w:hAnsi="Cambria"/>
        <w:b/>
        <w:sz w:val="16"/>
      </w:rPr>
      <w:fldChar w:fldCharType="separate"/>
    </w:r>
    <w:r w:rsidR="00C52DC0">
      <w:rPr>
        <w:rFonts w:ascii="Cambria" w:hAnsi="Cambria"/>
        <w:b/>
        <w:noProof/>
        <w:sz w:val="16"/>
      </w:rPr>
      <w:t>27/10/2026 15:17</w:t>
    </w:r>
    <w:r w:rsidRPr="00793F38">
      <w:rPr>
        <w:rFonts w:ascii="Cambria" w:hAnsi="Cambria"/>
        <w:b/>
        <w:bCs/>
        <w:sz w:val="16"/>
        <w:szCs w:val="16"/>
        <w:lang w:val="es-ES_tradnl"/>
      </w:rPr>
      <w:fldChar w:fldCharType="end"/>
    </w:r>
  </w:p>
  <w:p w14:paraId="41814586" w14:textId="77777777" w:rsidR="00993EB7" w:rsidRDefault="00993EB7" w:rsidP="002604BE">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84DE8" w14:textId="5742C539" w:rsidR="002351CA" w:rsidRPr="00313F99" w:rsidRDefault="00803E67" w:rsidP="00243872">
    <w:pPr>
      <w:pStyle w:val="Header"/>
      <w:jc w:val="right"/>
      <w:rPr>
        <w:rFonts w:asciiTheme="majorHAnsi" w:eastAsia="Calibri" w:hAnsiTheme="majorHAnsi"/>
        <w:b/>
        <w:bCs/>
        <w:sz w:val="20"/>
        <w:szCs w:val="20"/>
      </w:rPr>
    </w:pPr>
    <w:r>
      <w:rPr>
        <w:rFonts w:asciiTheme="majorHAnsi" w:hAnsiTheme="majorHAnsi"/>
        <w:b/>
        <w:sz w:val="20"/>
      </w:rPr>
      <w:t>CANADÁ</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6B6E3E" w14:textId="72874B7F" w:rsidR="008C1324" w:rsidRPr="00313F99" w:rsidRDefault="00803E67" w:rsidP="00243872">
    <w:pPr>
      <w:pStyle w:val="Header"/>
      <w:jc w:val="right"/>
      <w:rPr>
        <w:rFonts w:asciiTheme="majorHAnsi" w:eastAsia="Calibri" w:hAnsiTheme="majorHAnsi"/>
        <w:b/>
        <w:bCs/>
        <w:sz w:val="20"/>
        <w:szCs w:val="20"/>
      </w:rPr>
    </w:pPr>
    <w:r>
      <w:rPr>
        <w:rFonts w:asciiTheme="majorHAnsi" w:hAnsiTheme="majorHAnsi"/>
        <w:b/>
        <w:sz w:val="20"/>
      </w:rPr>
      <w:t>JAPÓN</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1C44F1" w14:textId="765B84C9" w:rsidR="00666921" w:rsidRPr="00313F99" w:rsidRDefault="00666921" w:rsidP="00243872">
    <w:pPr>
      <w:pStyle w:val="Header"/>
      <w:jc w:val="right"/>
      <w:rPr>
        <w:rFonts w:asciiTheme="majorHAnsi" w:eastAsia="Calibri" w:hAnsiTheme="majorHAnsi"/>
        <w:b/>
        <w:bCs/>
        <w:sz w:val="20"/>
        <w:szCs w:val="20"/>
      </w:rPr>
    </w:pPr>
    <w:r>
      <w:rPr>
        <w:rFonts w:asciiTheme="majorHAnsi" w:hAnsiTheme="majorHAnsi"/>
        <w:b/>
        <w:sz w:val="20"/>
      </w:rPr>
      <w:t>MÉXICO</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AF610A" w14:textId="77777777" w:rsidR="00993EB7" w:rsidRPr="00384910" w:rsidRDefault="00993EB7" w:rsidP="00384910">
    <w:pPr>
      <w:tabs>
        <w:tab w:val="center" w:pos="4252"/>
        <w:tab w:val="right" w:pos="8504"/>
      </w:tabs>
      <w:snapToGrid w:val="0"/>
      <w:jc w:val="right"/>
      <w:rPr>
        <w:rFonts w:ascii="Cambria" w:eastAsia="MS Gothic" w:hAnsi="Cambria" w:cs="Arial"/>
        <w:b/>
        <w:bCs/>
        <w:color w:val="000000"/>
        <w:sz w:val="20"/>
        <w:szCs w:val="20"/>
      </w:rPr>
    </w:pPr>
    <w:r>
      <w:rPr>
        <w:rFonts w:ascii="Cambria" w:hAnsi="Cambria"/>
        <w:b/>
        <w:color w:val="000000"/>
        <w:sz w:val="20"/>
      </w:rPr>
      <w:t>ESTADOS UNIDOS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name w:val="WW8Num1"/>
    <w:lvl w:ilvl="0">
      <w:start w:val="2"/>
      <w:numFmt w:val="bullet"/>
      <w:lvlText w:val="-"/>
      <w:lvlJc w:val="left"/>
      <w:pPr>
        <w:tabs>
          <w:tab w:val="num" w:pos="7928"/>
        </w:tabs>
        <w:ind w:left="8648" w:hanging="360"/>
      </w:pPr>
      <w:rPr>
        <w:rFonts w:ascii="Arial Unicode MS" w:hAnsi="Arial Unicode MS" w:cs="Arial Unicode MS"/>
      </w:rPr>
    </w:lvl>
  </w:abstractNum>
  <w:abstractNum w:abstractNumId="1" w15:restartNumberingAfterBreak="0">
    <w:nsid w:val="03A46398"/>
    <w:multiLevelType w:val="hybridMultilevel"/>
    <w:tmpl w:val="73306C78"/>
    <w:lvl w:ilvl="0" w:tplc="CE622E0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6B2DB9"/>
    <w:multiLevelType w:val="multilevel"/>
    <w:tmpl w:val="675A56D4"/>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EEF06D6"/>
    <w:multiLevelType w:val="multilevel"/>
    <w:tmpl w:val="F8C64D72"/>
    <w:lvl w:ilvl="0">
      <w:start w:val="6"/>
      <w:numFmt w:val="decimal"/>
      <w:lvlText w:val="%1"/>
      <w:lvlJc w:val="left"/>
      <w:pPr>
        <w:tabs>
          <w:tab w:val="num" w:pos="405"/>
        </w:tabs>
        <w:ind w:left="405" w:hanging="405"/>
      </w:pPr>
      <w:rPr>
        <w:rFonts w:hint="default"/>
      </w:rPr>
    </w:lvl>
    <w:lvl w:ilvl="1">
      <w:start w:val="5"/>
      <w:numFmt w:val="decimal"/>
      <w:lvlText w:val="%1.%2"/>
      <w:lvlJc w:val="left"/>
      <w:pPr>
        <w:tabs>
          <w:tab w:val="num" w:pos="705"/>
        </w:tabs>
        <w:ind w:left="705" w:hanging="405"/>
      </w:pPr>
      <w:rPr>
        <w:rFonts w:hint="default"/>
      </w:rPr>
    </w:lvl>
    <w:lvl w:ilvl="2">
      <w:start w:val="1"/>
      <w:numFmt w:val="decimal"/>
      <w:lvlText w:val="%1.%2.%3"/>
      <w:lvlJc w:val="left"/>
      <w:pPr>
        <w:tabs>
          <w:tab w:val="num" w:pos="1320"/>
        </w:tabs>
        <w:ind w:left="1320" w:hanging="720"/>
      </w:pPr>
      <w:rPr>
        <w:rFonts w:hint="default"/>
      </w:rPr>
    </w:lvl>
    <w:lvl w:ilvl="3">
      <w:start w:val="1"/>
      <w:numFmt w:val="decimal"/>
      <w:lvlText w:val="%1.%2.%3.%4"/>
      <w:lvlJc w:val="left"/>
      <w:pPr>
        <w:tabs>
          <w:tab w:val="num" w:pos="1620"/>
        </w:tabs>
        <w:ind w:left="1620" w:hanging="720"/>
      </w:pPr>
      <w:rPr>
        <w:rFonts w:hint="default"/>
      </w:rPr>
    </w:lvl>
    <w:lvl w:ilvl="4">
      <w:start w:val="1"/>
      <w:numFmt w:val="decimal"/>
      <w:lvlText w:val="%1.%2.%3.%4.%5"/>
      <w:lvlJc w:val="left"/>
      <w:pPr>
        <w:tabs>
          <w:tab w:val="num" w:pos="1920"/>
        </w:tabs>
        <w:ind w:left="1920" w:hanging="720"/>
      </w:pPr>
      <w:rPr>
        <w:rFonts w:hint="default"/>
      </w:rPr>
    </w:lvl>
    <w:lvl w:ilvl="5">
      <w:start w:val="1"/>
      <w:numFmt w:val="decimal"/>
      <w:lvlText w:val="%1.%2.%3.%4.%5.%6"/>
      <w:lvlJc w:val="left"/>
      <w:pPr>
        <w:tabs>
          <w:tab w:val="num" w:pos="2580"/>
        </w:tabs>
        <w:ind w:left="2580" w:hanging="1080"/>
      </w:pPr>
      <w:rPr>
        <w:rFonts w:hint="default"/>
      </w:rPr>
    </w:lvl>
    <w:lvl w:ilvl="6">
      <w:start w:val="1"/>
      <w:numFmt w:val="decimal"/>
      <w:lvlText w:val="%1.%2.%3.%4.%5.%6.%7"/>
      <w:lvlJc w:val="left"/>
      <w:pPr>
        <w:tabs>
          <w:tab w:val="num" w:pos="2880"/>
        </w:tabs>
        <w:ind w:left="2880" w:hanging="1080"/>
      </w:pPr>
      <w:rPr>
        <w:rFonts w:hint="default"/>
      </w:rPr>
    </w:lvl>
    <w:lvl w:ilvl="7">
      <w:start w:val="1"/>
      <w:numFmt w:val="decimal"/>
      <w:lvlText w:val="%1.%2.%3.%4.%5.%6.%7.%8"/>
      <w:lvlJc w:val="left"/>
      <w:pPr>
        <w:tabs>
          <w:tab w:val="num" w:pos="3540"/>
        </w:tabs>
        <w:ind w:left="3540" w:hanging="1440"/>
      </w:pPr>
      <w:rPr>
        <w:rFonts w:hint="default"/>
      </w:rPr>
    </w:lvl>
    <w:lvl w:ilvl="8">
      <w:start w:val="1"/>
      <w:numFmt w:val="decimal"/>
      <w:lvlText w:val="%1.%2.%3.%4.%5.%6.%7.%8.%9"/>
      <w:lvlJc w:val="left"/>
      <w:pPr>
        <w:tabs>
          <w:tab w:val="num" w:pos="3840"/>
        </w:tabs>
        <w:ind w:left="3840" w:hanging="1440"/>
      </w:pPr>
      <w:rPr>
        <w:rFonts w:hint="default"/>
      </w:rPr>
    </w:lvl>
  </w:abstractNum>
  <w:abstractNum w:abstractNumId="4" w15:restartNumberingAfterBreak="0">
    <w:nsid w:val="13A01938"/>
    <w:multiLevelType w:val="hybridMultilevel"/>
    <w:tmpl w:val="74D0EE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46E0243"/>
    <w:multiLevelType w:val="hybridMultilevel"/>
    <w:tmpl w:val="948892E0"/>
    <w:lvl w:ilvl="0" w:tplc="A4B09B34">
      <w:numFmt w:val="bullet"/>
      <w:lvlText w:val="-"/>
      <w:lvlJc w:val="left"/>
      <w:pPr>
        <w:ind w:left="720" w:hanging="360"/>
      </w:pPr>
      <w:rPr>
        <w:rFonts w:ascii="Cambria" w:eastAsia="Times New Roman" w:hAnsi="Cambri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8D13E7F"/>
    <w:multiLevelType w:val="hybridMultilevel"/>
    <w:tmpl w:val="CB8A10C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9B94FF1"/>
    <w:multiLevelType w:val="hybridMultilevel"/>
    <w:tmpl w:val="2B9C53FC"/>
    <w:lvl w:ilvl="0" w:tplc="CA7A4C0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9C23C80"/>
    <w:multiLevelType w:val="hybridMultilevel"/>
    <w:tmpl w:val="7C74F7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9EB5EEF"/>
    <w:multiLevelType w:val="multilevel"/>
    <w:tmpl w:val="6BFE58C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2A0547C2"/>
    <w:multiLevelType w:val="hybridMultilevel"/>
    <w:tmpl w:val="882EBD1C"/>
    <w:lvl w:ilvl="0" w:tplc="054CADEA">
      <w:start w:val="1"/>
      <w:numFmt w:val="lowerLetter"/>
      <w:lvlText w:val="(%1)"/>
      <w:lvlJc w:val="left"/>
      <w:pPr>
        <w:ind w:left="792" w:hanging="432"/>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B755E85"/>
    <w:multiLevelType w:val="hybridMultilevel"/>
    <w:tmpl w:val="E4923E2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2CDE73BC"/>
    <w:multiLevelType w:val="hybridMultilevel"/>
    <w:tmpl w:val="6C961DCE"/>
    <w:lvl w:ilvl="0" w:tplc="78001EA8">
      <w:start w:val="1"/>
      <w:numFmt w:val="decimal"/>
      <w:lvlText w:val="%1."/>
      <w:lvlJc w:val="left"/>
      <w:pPr>
        <w:ind w:left="1068"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2D8E621E"/>
    <w:multiLevelType w:val="hybridMultilevel"/>
    <w:tmpl w:val="71E2489C"/>
    <w:lvl w:ilvl="0" w:tplc="BA3ABCE0">
      <w:start w:val="1"/>
      <w:numFmt w:val="decimal"/>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14" w15:restartNumberingAfterBreak="0">
    <w:nsid w:val="2E05283D"/>
    <w:multiLevelType w:val="hybridMultilevel"/>
    <w:tmpl w:val="29D2B948"/>
    <w:lvl w:ilvl="0" w:tplc="C0E81940">
      <w:start w:val="3"/>
      <w:numFmt w:val="bullet"/>
      <w:lvlText w:val="-"/>
      <w:lvlJc w:val="left"/>
      <w:pPr>
        <w:ind w:left="720" w:hanging="360"/>
      </w:pPr>
      <w:rPr>
        <w:rFonts w:ascii="TimesNewRomanPSMT" w:eastAsia="Times New Roman" w:hAnsi="TimesNewRomanPSMT" w:cs="TimesNewRomanPSMT"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2FA80817"/>
    <w:multiLevelType w:val="multilevel"/>
    <w:tmpl w:val="32AA02EC"/>
    <w:lvl w:ilvl="0">
      <w:start w:val="1"/>
      <w:numFmt w:val="decimal"/>
      <w:lvlText w:val="%1."/>
      <w:lvlJc w:val="left"/>
      <w:pPr>
        <w:ind w:left="360" w:hanging="360"/>
      </w:pPr>
      <w:rPr>
        <w:rFonts w:hint="default"/>
      </w:rPr>
    </w:lvl>
    <w:lvl w:ilvl="1">
      <w:start w:val="1"/>
      <w:numFmt w:val="lowerLetter"/>
      <w:lvlText w:val="%2)"/>
      <w:lvlJc w:val="left"/>
      <w:pPr>
        <w:ind w:left="792" w:hanging="432"/>
      </w:pPr>
    </w:lvl>
    <w:lvl w:ilvl="2">
      <w:start w:val="1"/>
      <w:numFmt w:val="decimal"/>
      <w:lvlText w:val="%1.%2.%3."/>
      <w:lvlJc w:val="left"/>
      <w:pPr>
        <w:ind w:left="1224" w:hanging="504"/>
      </w:pPr>
    </w:lvl>
    <w:lvl w:ilvl="3">
      <w:start w:val="1"/>
      <w:numFmt w:val="lowerRoman"/>
      <w:lvlText w:val="%4."/>
      <w:lvlJc w:val="righ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36F7526C"/>
    <w:multiLevelType w:val="multilevel"/>
    <w:tmpl w:val="A394D112"/>
    <w:lvl w:ilvl="0">
      <w:start w:val="5"/>
      <w:numFmt w:val="decimal"/>
      <w:lvlText w:val="%1"/>
      <w:lvlJc w:val="left"/>
      <w:pPr>
        <w:tabs>
          <w:tab w:val="num" w:pos="360"/>
        </w:tabs>
        <w:ind w:left="360" w:hanging="360"/>
      </w:pPr>
      <w:rPr>
        <w:rFonts w:hint="default"/>
      </w:rPr>
    </w:lvl>
    <w:lvl w:ilvl="1">
      <w:start w:val="2"/>
      <w:numFmt w:val="decimal"/>
      <w:lvlText w:val="%1.%2"/>
      <w:lvlJc w:val="left"/>
      <w:pPr>
        <w:tabs>
          <w:tab w:val="num" w:pos="660"/>
        </w:tabs>
        <w:ind w:left="660" w:hanging="360"/>
      </w:pPr>
      <w:rPr>
        <w:rFonts w:hint="default"/>
      </w:rPr>
    </w:lvl>
    <w:lvl w:ilvl="2">
      <w:start w:val="1"/>
      <w:numFmt w:val="decimal"/>
      <w:lvlText w:val="%1.%2.%3"/>
      <w:lvlJc w:val="left"/>
      <w:pPr>
        <w:tabs>
          <w:tab w:val="num" w:pos="1320"/>
        </w:tabs>
        <w:ind w:left="1320" w:hanging="720"/>
      </w:pPr>
      <w:rPr>
        <w:rFonts w:hint="default"/>
      </w:rPr>
    </w:lvl>
    <w:lvl w:ilvl="3">
      <w:start w:val="1"/>
      <w:numFmt w:val="decimal"/>
      <w:lvlText w:val="%1.%2.%3.%4"/>
      <w:lvlJc w:val="left"/>
      <w:pPr>
        <w:tabs>
          <w:tab w:val="num" w:pos="1620"/>
        </w:tabs>
        <w:ind w:left="1620" w:hanging="720"/>
      </w:pPr>
      <w:rPr>
        <w:rFonts w:hint="default"/>
      </w:rPr>
    </w:lvl>
    <w:lvl w:ilvl="4">
      <w:start w:val="1"/>
      <w:numFmt w:val="decimal"/>
      <w:lvlText w:val="%1.%2.%3.%4.%5"/>
      <w:lvlJc w:val="left"/>
      <w:pPr>
        <w:tabs>
          <w:tab w:val="num" w:pos="1920"/>
        </w:tabs>
        <w:ind w:left="1920" w:hanging="720"/>
      </w:pPr>
      <w:rPr>
        <w:rFonts w:hint="default"/>
      </w:rPr>
    </w:lvl>
    <w:lvl w:ilvl="5">
      <w:start w:val="1"/>
      <w:numFmt w:val="decimal"/>
      <w:lvlText w:val="%1.%2.%3.%4.%5.%6"/>
      <w:lvlJc w:val="left"/>
      <w:pPr>
        <w:tabs>
          <w:tab w:val="num" w:pos="2580"/>
        </w:tabs>
        <w:ind w:left="2580" w:hanging="1080"/>
      </w:pPr>
      <w:rPr>
        <w:rFonts w:hint="default"/>
      </w:rPr>
    </w:lvl>
    <w:lvl w:ilvl="6">
      <w:start w:val="1"/>
      <w:numFmt w:val="decimal"/>
      <w:lvlText w:val="%1.%2.%3.%4.%5.%6.%7"/>
      <w:lvlJc w:val="left"/>
      <w:pPr>
        <w:tabs>
          <w:tab w:val="num" w:pos="2880"/>
        </w:tabs>
        <w:ind w:left="2880" w:hanging="1080"/>
      </w:pPr>
      <w:rPr>
        <w:rFonts w:hint="default"/>
      </w:rPr>
    </w:lvl>
    <w:lvl w:ilvl="7">
      <w:start w:val="1"/>
      <w:numFmt w:val="decimal"/>
      <w:lvlText w:val="%1.%2.%3.%4.%5.%6.%7.%8"/>
      <w:lvlJc w:val="left"/>
      <w:pPr>
        <w:tabs>
          <w:tab w:val="num" w:pos="3540"/>
        </w:tabs>
        <w:ind w:left="3540" w:hanging="1440"/>
      </w:pPr>
      <w:rPr>
        <w:rFonts w:hint="default"/>
      </w:rPr>
    </w:lvl>
    <w:lvl w:ilvl="8">
      <w:start w:val="1"/>
      <w:numFmt w:val="decimal"/>
      <w:lvlText w:val="%1.%2.%3.%4.%5.%6.%7.%8.%9"/>
      <w:lvlJc w:val="left"/>
      <w:pPr>
        <w:tabs>
          <w:tab w:val="num" w:pos="3840"/>
        </w:tabs>
        <w:ind w:left="3840" w:hanging="1440"/>
      </w:pPr>
      <w:rPr>
        <w:rFonts w:hint="default"/>
      </w:rPr>
    </w:lvl>
  </w:abstractNum>
  <w:abstractNum w:abstractNumId="17" w15:restartNumberingAfterBreak="0">
    <w:nsid w:val="36FC2383"/>
    <w:multiLevelType w:val="hybridMultilevel"/>
    <w:tmpl w:val="8D5C9EE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3F735191"/>
    <w:multiLevelType w:val="hybridMultilevel"/>
    <w:tmpl w:val="F3DA7574"/>
    <w:lvl w:ilvl="0" w:tplc="5CE06418">
      <w:numFmt w:val="bullet"/>
      <w:lvlText w:val="-"/>
      <w:lvlJc w:val="left"/>
      <w:pPr>
        <w:ind w:left="745" w:hanging="360"/>
      </w:pPr>
      <w:rPr>
        <w:rFonts w:ascii="Cambria" w:eastAsia="MS Gothic" w:hAnsi="Cambria" w:cs="Times New Roman" w:hint="default"/>
      </w:rPr>
    </w:lvl>
    <w:lvl w:ilvl="1" w:tplc="040C0003" w:tentative="1">
      <w:start w:val="1"/>
      <w:numFmt w:val="bullet"/>
      <w:lvlText w:val="o"/>
      <w:lvlJc w:val="left"/>
      <w:pPr>
        <w:ind w:left="1465" w:hanging="360"/>
      </w:pPr>
      <w:rPr>
        <w:rFonts w:ascii="Courier New" w:hAnsi="Courier New" w:cs="Courier New" w:hint="default"/>
      </w:rPr>
    </w:lvl>
    <w:lvl w:ilvl="2" w:tplc="040C0005" w:tentative="1">
      <w:start w:val="1"/>
      <w:numFmt w:val="bullet"/>
      <w:lvlText w:val=""/>
      <w:lvlJc w:val="left"/>
      <w:pPr>
        <w:ind w:left="2185" w:hanging="360"/>
      </w:pPr>
      <w:rPr>
        <w:rFonts w:ascii="Wingdings" w:hAnsi="Wingdings" w:hint="default"/>
      </w:rPr>
    </w:lvl>
    <w:lvl w:ilvl="3" w:tplc="040C0001" w:tentative="1">
      <w:start w:val="1"/>
      <w:numFmt w:val="bullet"/>
      <w:lvlText w:val=""/>
      <w:lvlJc w:val="left"/>
      <w:pPr>
        <w:ind w:left="2905" w:hanging="360"/>
      </w:pPr>
      <w:rPr>
        <w:rFonts w:ascii="Symbol" w:hAnsi="Symbol" w:hint="default"/>
      </w:rPr>
    </w:lvl>
    <w:lvl w:ilvl="4" w:tplc="040C0003" w:tentative="1">
      <w:start w:val="1"/>
      <w:numFmt w:val="bullet"/>
      <w:lvlText w:val="o"/>
      <w:lvlJc w:val="left"/>
      <w:pPr>
        <w:ind w:left="3625" w:hanging="360"/>
      </w:pPr>
      <w:rPr>
        <w:rFonts w:ascii="Courier New" w:hAnsi="Courier New" w:cs="Courier New" w:hint="default"/>
      </w:rPr>
    </w:lvl>
    <w:lvl w:ilvl="5" w:tplc="040C0005" w:tentative="1">
      <w:start w:val="1"/>
      <w:numFmt w:val="bullet"/>
      <w:lvlText w:val=""/>
      <w:lvlJc w:val="left"/>
      <w:pPr>
        <w:ind w:left="4345" w:hanging="360"/>
      </w:pPr>
      <w:rPr>
        <w:rFonts w:ascii="Wingdings" w:hAnsi="Wingdings" w:hint="default"/>
      </w:rPr>
    </w:lvl>
    <w:lvl w:ilvl="6" w:tplc="040C0001" w:tentative="1">
      <w:start w:val="1"/>
      <w:numFmt w:val="bullet"/>
      <w:lvlText w:val=""/>
      <w:lvlJc w:val="left"/>
      <w:pPr>
        <w:ind w:left="5065" w:hanging="360"/>
      </w:pPr>
      <w:rPr>
        <w:rFonts w:ascii="Symbol" w:hAnsi="Symbol" w:hint="default"/>
      </w:rPr>
    </w:lvl>
    <w:lvl w:ilvl="7" w:tplc="040C0003" w:tentative="1">
      <w:start w:val="1"/>
      <w:numFmt w:val="bullet"/>
      <w:lvlText w:val="o"/>
      <w:lvlJc w:val="left"/>
      <w:pPr>
        <w:ind w:left="5785" w:hanging="360"/>
      </w:pPr>
      <w:rPr>
        <w:rFonts w:ascii="Courier New" w:hAnsi="Courier New" w:cs="Courier New" w:hint="default"/>
      </w:rPr>
    </w:lvl>
    <w:lvl w:ilvl="8" w:tplc="040C0005" w:tentative="1">
      <w:start w:val="1"/>
      <w:numFmt w:val="bullet"/>
      <w:lvlText w:val=""/>
      <w:lvlJc w:val="left"/>
      <w:pPr>
        <w:ind w:left="6505" w:hanging="360"/>
      </w:pPr>
      <w:rPr>
        <w:rFonts w:ascii="Wingdings" w:hAnsi="Wingdings" w:hint="default"/>
      </w:rPr>
    </w:lvl>
  </w:abstractNum>
  <w:abstractNum w:abstractNumId="19" w15:restartNumberingAfterBreak="0">
    <w:nsid w:val="40037A91"/>
    <w:multiLevelType w:val="hybridMultilevel"/>
    <w:tmpl w:val="75E8BD64"/>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1021904"/>
    <w:multiLevelType w:val="multilevel"/>
    <w:tmpl w:val="D95C4966"/>
    <w:lvl w:ilvl="0">
      <w:start w:val="8"/>
      <w:numFmt w:val="decimal"/>
      <w:lvlText w:val="%1"/>
      <w:lvlJc w:val="left"/>
      <w:pPr>
        <w:tabs>
          <w:tab w:val="num" w:pos="405"/>
        </w:tabs>
        <w:ind w:left="405" w:hanging="405"/>
      </w:pPr>
      <w:rPr>
        <w:rFonts w:hint="default"/>
      </w:rPr>
    </w:lvl>
    <w:lvl w:ilvl="1">
      <w:start w:val="1"/>
      <w:numFmt w:val="decimal"/>
      <w:lvlText w:val="%1.%2"/>
      <w:lvlJc w:val="left"/>
      <w:pPr>
        <w:tabs>
          <w:tab w:val="num" w:pos="705"/>
        </w:tabs>
        <w:ind w:left="705" w:hanging="405"/>
      </w:pPr>
      <w:rPr>
        <w:rFonts w:hint="default"/>
      </w:rPr>
    </w:lvl>
    <w:lvl w:ilvl="2">
      <w:start w:val="1"/>
      <w:numFmt w:val="decimal"/>
      <w:lvlText w:val="%1.%2.%3"/>
      <w:lvlJc w:val="left"/>
      <w:pPr>
        <w:tabs>
          <w:tab w:val="num" w:pos="1320"/>
        </w:tabs>
        <w:ind w:left="1320" w:hanging="720"/>
      </w:pPr>
      <w:rPr>
        <w:rFonts w:hint="default"/>
      </w:rPr>
    </w:lvl>
    <w:lvl w:ilvl="3">
      <w:start w:val="1"/>
      <w:numFmt w:val="decimal"/>
      <w:lvlText w:val="%1.%2.%3.%4"/>
      <w:lvlJc w:val="left"/>
      <w:pPr>
        <w:tabs>
          <w:tab w:val="num" w:pos="1620"/>
        </w:tabs>
        <w:ind w:left="1620" w:hanging="720"/>
      </w:pPr>
      <w:rPr>
        <w:rFonts w:hint="default"/>
      </w:rPr>
    </w:lvl>
    <w:lvl w:ilvl="4">
      <w:start w:val="1"/>
      <w:numFmt w:val="decimal"/>
      <w:lvlText w:val="%1.%2.%3.%4.%5"/>
      <w:lvlJc w:val="left"/>
      <w:pPr>
        <w:tabs>
          <w:tab w:val="num" w:pos="1920"/>
        </w:tabs>
        <w:ind w:left="1920" w:hanging="720"/>
      </w:pPr>
      <w:rPr>
        <w:rFonts w:hint="default"/>
      </w:rPr>
    </w:lvl>
    <w:lvl w:ilvl="5">
      <w:start w:val="1"/>
      <w:numFmt w:val="decimal"/>
      <w:lvlText w:val="%1.%2.%3.%4.%5.%6"/>
      <w:lvlJc w:val="left"/>
      <w:pPr>
        <w:tabs>
          <w:tab w:val="num" w:pos="2580"/>
        </w:tabs>
        <w:ind w:left="2580" w:hanging="1080"/>
      </w:pPr>
      <w:rPr>
        <w:rFonts w:hint="default"/>
      </w:rPr>
    </w:lvl>
    <w:lvl w:ilvl="6">
      <w:start w:val="1"/>
      <w:numFmt w:val="decimal"/>
      <w:lvlText w:val="%1.%2.%3.%4.%5.%6.%7"/>
      <w:lvlJc w:val="left"/>
      <w:pPr>
        <w:tabs>
          <w:tab w:val="num" w:pos="2880"/>
        </w:tabs>
        <w:ind w:left="2880" w:hanging="1080"/>
      </w:pPr>
      <w:rPr>
        <w:rFonts w:hint="default"/>
      </w:rPr>
    </w:lvl>
    <w:lvl w:ilvl="7">
      <w:start w:val="1"/>
      <w:numFmt w:val="decimal"/>
      <w:lvlText w:val="%1.%2.%3.%4.%5.%6.%7.%8"/>
      <w:lvlJc w:val="left"/>
      <w:pPr>
        <w:tabs>
          <w:tab w:val="num" w:pos="3540"/>
        </w:tabs>
        <w:ind w:left="3540" w:hanging="1440"/>
      </w:pPr>
      <w:rPr>
        <w:rFonts w:hint="default"/>
      </w:rPr>
    </w:lvl>
    <w:lvl w:ilvl="8">
      <w:start w:val="1"/>
      <w:numFmt w:val="decimal"/>
      <w:lvlText w:val="%1.%2.%3.%4.%5.%6.%7.%8.%9"/>
      <w:lvlJc w:val="left"/>
      <w:pPr>
        <w:tabs>
          <w:tab w:val="num" w:pos="3840"/>
        </w:tabs>
        <w:ind w:left="3840" w:hanging="1440"/>
      </w:pPr>
      <w:rPr>
        <w:rFonts w:hint="default"/>
      </w:rPr>
    </w:lvl>
  </w:abstractNum>
  <w:abstractNum w:abstractNumId="21" w15:restartNumberingAfterBreak="0">
    <w:nsid w:val="4413568B"/>
    <w:multiLevelType w:val="hybridMultilevel"/>
    <w:tmpl w:val="12CCA298"/>
    <w:lvl w:ilvl="0" w:tplc="040C0017">
      <w:start w:val="1"/>
      <w:numFmt w:val="lowerLetter"/>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2" w15:restartNumberingAfterBreak="0">
    <w:nsid w:val="46EE6CA0"/>
    <w:multiLevelType w:val="multilevel"/>
    <w:tmpl w:val="EEFCEB42"/>
    <w:lvl w:ilvl="0">
      <w:start w:val="3"/>
      <w:numFmt w:val="bullet"/>
      <w:lvlText w:val="-"/>
      <w:lvlJc w:val="left"/>
      <w:pPr>
        <w:ind w:left="720" w:hanging="360"/>
      </w:pPr>
      <w:rPr>
        <w:rFonts w:ascii="Times New Roman" w:eastAsiaTheme="minorHAnsi" w:hAnsi="Times New Roman" w:cs="Times New Roman" w:hint="default"/>
      </w:r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23" w15:restartNumberingAfterBreak="0">
    <w:nsid w:val="4B2D4888"/>
    <w:multiLevelType w:val="hybridMultilevel"/>
    <w:tmpl w:val="576E71C6"/>
    <w:lvl w:ilvl="0" w:tplc="2B36306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D684F4F"/>
    <w:multiLevelType w:val="hybridMultilevel"/>
    <w:tmpl w:val="B834296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9D767C6"/>
    <w:multiLevelType w:val="hybridMultilevel"/>
    <w:tmpl w:val="9078D0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AAF3BF2"/>
    <w:multiLevelType w:val="hybridMultilevel"/>
    <w:tmpl w:val="D91EE2A8"/>
    <w:lvl w:ilvl="0" w:tplc="23E6BA84">
      <w:start w:val="1"/>
      <w:numFmt w:val="decimal"/>
      <w:lvlText w:val="%1."/>
      <w:lvlJc w:val="left"/>
      <w:pPr>
        <w:ind w:left="720" w:hanging="360"/>
      </w:pPr>
      <w:rPr>
        <w:rFonts w:eastAsia="Calibri"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C212034"/>
    <w:multiLevelType w:val="hybridMultilevel"/>
    <w:tmpl w:val="12CCA298"/>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8" w15:restartNumberingAfterBreak="0">
    <w:nsid w:val="5CAD2095"/>
    <w:multiLevelType w:val="hybridMultilevel"/>
    <w:tmpl w:val="52D08DA8"/>
    <w:lvl w:ilvl="0" w:tplc="27F2C662">
      <w:start w:val="1"/>
      <w:numFmt w:val="bullet"/>
      <w:lvlText w:val="-"/>
      <w:lvlJc w:val="left"/>
      <w:pPr>
        <w:ind w:left="720" w:hanging="360"/>
      </w:pPr>
      <w:rPr>
        <w:rFonts w:ascii="Cambria" w:eastAsia="Calibri" w:hAnsi="Cambria"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CFE5658"/>
    <w:multiLevelType w:val="hybridMultilevel"/>
    <w:tmpl w:val="A49C68B8"/>
    <w:lvl w:ilvl="0" w:tplc="55AACD3A">
      <w:start w:val="894"/>
      <w:numFmt w:val="bullet"/>
      <w:lvlText w:val="-"/>
      <w:lvlJc w:val="left"/>
      <w:pPr>
        <w:ind w:left="720" w:hanging="360"/>
      </w:pPr>
      <w:rPr>
        <w:rFonts w:ascii="Cambria" w:eastAsia="MS Gothic" w:hAnsi="Cambr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109610F"/>
    <w:multiLevelType w:val="hybridMultilevel"/>
    <w:tmpl w:val="8C1224F2"/>
    <w:lvl w:ilvl="0" w:tplc="04090001">
      <w:start w:val="1"/>
      <w:numFmt w:val="bullet"/>
      <w:lvlText w:val=""/>
      <w:lvlJc w:val="left"/>
      <w:pPr>
        <w:tabs>
          <w:tab w:val="num" w:pos="1152"/>
        </w:tabs>
        <w:ind w:left="1152" w:hanging="360"/>
      </w:pPr>
      <w:rPr>
        <w:rFonts w:ascii="Symbol" w:hAnsi="Symbol" w:hint="default"/>
      </w:rPr>
    </w:lvl>
    <w:lvl w:ilvl="1" w:tplc="04090003" w:tentative="1">
      <w:start w:val="1"/>
      <w:numFmt w:val="bullet"/>
      <w:lvlText w:val="o"/>
      <w:lvlJc w:val="left"/>
      <w:pPr>
        <w:tabs>
          <w:tab w:val="num" w:pos="1872"/>
        </w:tabs>
        <w:ind w:left="1872" w:hanging="360"/>
      </w:pPr>
      <w:rPr>
        <w:rFonts w:ascii="Courier New" w:hAnsi="Courier New" w:cs="Courier New" w:hint="default"/>
      </w:rPr>
    </w:lvl>
    <w:lvl w:ilvl="2" w:tplc="04090005" w:tentative="1">
      <w:start w:val="1"/>
      <w:numFmt w:val="bullet"/>
      <w:lvlText w:val=""/>
      <w:lvlJc w:val="left"/>
      <w:pPr>
        <w:tabs>
          <w:tab w:val="num" w:pos="2592"/>
        </w:tabs>
        <w:ind w:left="2592" w:hanging="360"/>
      </w:pPr>
      <w:rPr>
        <w:rFonts w:ascii="Wingdings" w:hAnsi="Wingdings" w:hint="default"/>
      </w:rPr>
    </w:lvl>
    <w:lvl w:ilvl="3" w:tplc="04090001" w:tentative="1">
      <w:start w:val="1"/>
      <w:numFmt w:val="bullet"/>
      <w:lvlText w:val=""/>
      <w:lvlJc w:val="left"/>
      <w:pPr>
        <w:tabs>
          <w:tab w:val="num" w:pos="3312"/>
        </w:tabs>
        <w:ind w:left="3312" w:hanging="360"/>
      </w:pPr>
      <w:rPr>
        <w:rFonts w:ascii="Symbol" w:hAnsi="Symbol" w:hint="default"/>
      </w:rPr>
    </w:lvl>
    <w:lvl w:ilvl="4" w:tplc="04090003" w:tentative="1">
      <w:start w:val="1"/>
      <w:numFmt w:val="bullet"/>
      <w:lvlText w:val="o"/>
      <w:lvlJc w:val="left"/>
      <w:pPr>
        <w:tabs>
          <w:tab w:val="num" w:pos="4032"/>
        </w:tabs>
        <w:ind w:left="4032" w:hanging="360"/>
      </w:pPr>
      <w:rPr>
        <w:rFonts w:ascii="Courier New" w:hAnsi="Courier New" w:cs="Courier New" w:hint="default"/>
      </w:rPr>
    </w:lvl>
    <w:lvl w:ilvl="5" w:tplc="04090005" w:tentative="1">
      <w:start w:val="1"/>
      <w:numFmt w:val="bullet"/>
      <w:lvlText w:val=""/>
      <w:lvlJc w:val="left"/>
      <w:pPr>
        <w:tabs>
          <w:tab w:val="num" w:pos="4752"/>
        </w:tabs>
        <w:ind w:left="4752" w:hanging="360"/>
      </w:pPr>
      <w:rPr>
        <w:rFonts w:ascii="Wingdings" w:hAnsi="Wingdings" w:hint="default"/>
      </w:rPr>
    </w:lvl>
    <w:lvl w:ilvl="6" w:tplc="04090001" w:tentative="1">
      <w:start w:val="1"/>
      <w:numFmt w:val="bullet"/>
      <w:lvlText w:val=""/>
      <w:lvlJc w:val="left"/>
      <w:pPr>
        <w:tabs>
          <w:tab w:val="num" w:pos="5472"/>
        </w:tabs>
        <w:ind w:left="5472" w:hanging="360"/>
      </w:pPr>
      <w:rPr>
        <w:rFonts w:ascii="Symbol" w:hAnsi="Symbol" w:hint="default"/>
      </w:rPr>
    </w:lvl>
    <w:lvl w:ilvl="7" w:tplc="04090003" w:tentative="1">
      <w:start w:val="1"/>
      <w:numFmt w:val="bullet"/>
      <w:lvlText w:val="o"/>
      <w:lvlJc w:val="left"/>
      <w:pPr>
        <w:tabs>
          <w:tab w:val="num" w:pos="6192"/>
        </w:tabs>
        <w:ind w:left="6192" w:hanging="360"/>
      </w:pPr>
      <w:rPr>
        <w:rFonts w:ascii="Courier New" w:hAnsi="Courier New" w:cs="Courier New" w:hint="default"/>
      </w:rPr>
    </w:lvl>
    <w:lvl w:ilvl="8" w:tplc="04090005" w:tentative="1">
      <w:start w:val="1"/>
      <w:numFmt w:val="bullet"/>
      <w:lvlText w:val=""/>
      <w:lvlJc w:val="left"/>
      <w:pPr>
        <w:tabs>
          <w:tab w:val="num" w:pos="6912"/>
        </w:tabs>
        <w:ind w:left="6912" w:hanging="360"/>
      </w:pPr>
      <w:rPr>
        <w:rFonts w:ascii="Wingdings" w:hAnsi="Wingdings" w:hint="default"/>
      </w:rPr>
    </w:lvl>
  </w:abstractNum>
  <w:abstractNum w:abstractNumId="31" w15:restartNumberingAfterBreak="0">
    <w:nsid w:val="63CF4E81"/>
    <w:multiLevelType w:val="hybridMultilevel"/>
    <w:tmpl w:val="6BD65A4C"/>
    <w:lvl w:ilvl="0" w:tplc="5ADE6AAA">
      <w:numFmt w:val="bullet"/>
      <w:lvlText w:val=""/>
      <w:lvlJc w:val="left"/>
      <w:pPr>
        <w:ind w:left="720" w:hanging="360"/>
      </w:pPr>
      <w:rPr>
        <w:rFonts w:ascii="Symbol" w:eastAsia="Calibri" w:hAnsi="Symbol"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32" w15:restartNumberingAfterBreak="0">
    <w:nsid w:val="6591291C"/>
    <w:multiLevelType w:val="hybridMultilevel"/>
    <w:tmpl w:val="8B34F55E"/>
    <w:lvl w:ilvl="0" w:tplc="A4B09B34">
      <w:numFmt w:val="bullet"/>
      <w:lvlText w:val="-"/>
      <w:lvlJc w:val="left"/>
      <w:pPr>
        <w:ind w:left="360" w:hanging="360"/>
      </w:pPr>
      <w:rPr>
        <w:rFonts w:ascii="Cambria" w:eastAsia="Times New Roman" w:hAnsi="Cambria"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66DE10CD"/>
    <w:multiLevelType w:val="hybridMultilevel"/>
    <w:tmpl w:val="128E1E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A120BA9"/>
    <w:multiLevelType w:val="hybridMultilevel"/>
    <w:tmpl w:val="F7C0156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C542AA5"/>
    <w:multiLevelType w:val="hybridMultilevel"/>
    <w:tmpl w:val="897AB7D4"/>
    <w:lvl w:ilvl="0" w:tplc="E10E5C72">
      <w:start w:val="1"/>
      <w:numFmt w:val="decimal"/>
      <w:lvlText w:val="%1."/>
      <w:lvlJc w:val="left"/>
      <w:pPr>
        <w:ind w:left="1068"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6" w15:restartNumberingAfterBreak="0">
    <w:nsid w:val="6C7C327C"/>
    <w:multiLevelType w:val="hybridMultilevel"/>
    <w:tmpl w:val="F1A03B9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C890340"/>
    <w:multiLevelType w:val="multilevel"/>
    <w:tmpl w:val="1734922E"/>
    <w:lvl w:ilvl="0">
      <w:start w:val="1"/>
      <w:numFmt w:val="decimal"/>
      <w:lvlText w:val="%1."/>
      <w:lvlJc w:val="left"/>
      <w:pPr>
        <w:ind w:left="360" w:hanging="360"/>
      </w:pPr>
      <w:rPr>
        <w:rFonts w:hint="default"/>
      </w:rPr>
    </w:lvl>
    <w:lvl w:ilvl="1">
      <w:start w:val="1"/>
      <w:numFmt w:val="lowerLetter"/>
      <w:lvlText w:val="%2)"/>
      <w:lvlJc w:val="left"/>
      <w:pPr>
        <w:ind w:left="792" w:hanging="432"/>
      </w:pPr>
    </w:lvl>
    <w:lvl w:ilvl="2">
      <w:start w:val="1"/>
      <w:numFmt w:val="decimal"/>
      <w:lvlText w:val="%1.%2.%3."/>
      <w:lvlJc w:val="left"/>
      <w:pPr>
        <w:ind w:left="1224" w:hanging="504"/>
      </w:pPr>
    </w:lvl>
    <w:lvl w:ilvl="3">
      <w:start w:val="1"/>
      <w:numFmt w:val="lowerLetter"/>
      <w:lvlText w:val="%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715176E6"/>
    <w:multiLevelType w:val="hybridMultilevel"/>
    <w:tmpl w:val="0B669CF6"/>
    <w:lvl w:ilvl="0" w:tplc="C0EA68F6">
      <w:start w:val="3"/>
      <w:numFmt w:val="decimal"/>
      <w:lvlText w:val="%1.1."/>
      <w:lvlJc w:val="left"/>
      <w:pPr>
        <w:ind w:left="1125" w:hanging="360"/>
      </w:pPr>
      <w:rPr>
        <w:rFonts w:hint="default"/>
      </w:rPr>
    </w:lvl>
    <w:lvl w:ilvl="1" w:tplc="04090017">
      <w:start w:val="1"/>
      <w:numFmt w:val="lowerLetter"/>
      <w:lvlText w:val="%2)"/>
      <w:lvlJc w:val="left"/>
      <w:pPr>
        <w:ind w:left="1845" w:hanging="360"/>
      </w:pPr>
      <w:rPr>
        <w:sz w:val="20"/>
        <w:szCs w:val="20"/>
      </w:rPr>
    </w:lvl>
    <w:lvl w:ilvl="2" w:tplc="080C001B" w:tentative="1">
      <w:start w:val="1"/>
      <w:numFmt w:val="lowerRoman"/>
      <w:lvlText w:val="%3."/>
      <w:lvlJc w:val="right"/>
      <w:pPr>
        <w:ind w:left="2565" w:hanging="180"/>
      </w:pPr>
    </w:lvl>
    <w:lvl w:ilvl="3" w:tplc="080C000F" w:tentative="1">
      <w:start w:val="1"/>
      <w:numFmt w:val="decimal"/>
      <w:lvlText w:val="%4."/>
      <w:lvlJc w:val="left"/>
      <w:pPr>
        <w:ind w:left="3285" w:hanging="360"/>
      </w:pPr>
    </w:lvl>
    <w:lvl w:ilvl="4" w:tplc="080C0019" w:tentative="1">
      <w:start w:val="1"/>
      <w:numFmt w:val="lowerLetter"/>
      <w:lvlText w:val="%5."/>
      <w:lvlJc w:val="left"/>
      <w:pPr>
        <w:ind w:left="4005" w:hanging="360"/>
      </w:pPr>
    </w:lvl>
    <w:lvl w:ilvl="5" w:tplc="080C001B" w:tentative="1">
      <w:start w:val="1"/>
      <w:numFmt w:val="lowerRoman"/>
      <w:lvlText w:val="%6."/>
      <w:lvlJc w:val="right"/>
      <w:pPr>
        <w:ind w:left="4725" w:hanging="180"/>
      </w:pPr>
    </w:lvl>
    <w:lvl w:ilvl="6" w:tplc="080C000F" w:tentative="1">
      <w:start w:val="1"/>
      <w:numFmt w:val="decimal"/>
      <w:lvlText w:val="%7."/>
      <w:lvlJc w:val="left"/>
      <w:pPr>
        <w:ind w:left="5445" w:hanging="360"/>
      </w:pPr>
    </w:lvl>
    <w:lvl w:ilvl="7" w:tplc="080C0019" w:tentative="1">
      <w:start w:val="1"/>
      <w:numFmt w:val="lowerLetter"/>
      <w:lvlText w:val="%8."/>
      <w:lvlJc w:val="left"/>
      <w:pPr>
        <w:ind w:left="6165" w:hanging="360"/>
      </w:pPr>
    </w:lvl>
    <w:lvl w:ilvl="8" w:tplc="080C001B" w:tentative="1">
      <w:start w:val="1"/>
      <w:numFmt w:val="lowerRoman"/>
      <w:lvlText w:val="%9."/>
      <w:lvlJc w:val="right"/>
      <w:pPr>
        <w:ind w:left="6885" w:hanging="180"/>
      </w:pPr>
    </w:lvl>
  </w:abstractNum>
  <w:abstractNum w:abstractNumId="39" w15:restartNumberingAfterBreak="0">
    <w:nsid w:val="75784A6B"/>
    <w:multiLevelType w:val="hybridMultilevel"/>
    <w:tmpl w:val="77021172"/>
    <w:lvl w:ilvl="0" w:tplc="2D9E642A">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15:restartNumberingAfterBreak="0">
    <w:nsid w:val="79EA54FF"/>
    <w:multiLevelType w:val="multilevel"/>
    <w:tmpl w:val="08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7BFD6A2B"/>
    <w:multiLevelType w:val="hybridMultilevel"/>
    <w:tmpl w:val="760E8204"/>
    <w:lvl w:ilvl="0" w:tplc="C0F02CEE">
      <w:start w:val="1"/>
      <w:numFmt w:val="decimal"/>
      <w:pStyle w:val="Heading2bis"/>
      <w:lvlText w:val="%1.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num w:numId="1" w16cid:durableId="1925459198">
    <w:abstractNumId w:val="3"/>
  </w:num>
  <w:num w:numId="2" w16cid:durableId="969243541">
    <w:abstractNumId w:val="20"/>
  </w:num>
  <w:num w:numId="3" w16cid:durableId="281420095">
    <w:abstractNumId w:val="16"/>
  </w:num>
  <w:num w:numId="4" w16cid:durableId="1718355350">
    <w:abstractNumId w:val="30"/>
  </w:num>
  <w:num w:numId="5" w16cid:durableId="652563746">
    <w:abstractNumId w:val="34"/>
  </w:num>
  <w:num w:numId="6" w16cid:durableId="761608996">
    <w:abstractNumId w:val="36"/>
  </w:num>
  <w:num w:numId="7" w16cid:durableId="885606142">
    <w:abstractNumId w:val="24"/>
  </w:num>
  <w:num w:numId="8" w16cid:durableId="1589343147">
    <w:abstractNumId w:val="19"/>
  </w:num>
  <w:num w:numId="9" w16cid:durableId="1571690860">
    <w:abstractNumId w:val="31"/>
  </w:num>
  <w:num w:numId="10" w16cid:durableId="1261177337">
    <w:abstractNumId w:val="17"/>
  </w:num>
  <w:num w:numId="11" w16cid:durableId="1000086672">
    <w:abstractNumId w:val="14"/>
  </w:num>
  <w:num w:numId="12" w16cid:durableId="977567308">
    <w:abstractNumId w:val="13"/>
  </w:num>
  <w:num w:numId="13" w16cid:durableId="768507898">
    <w:abstractNumId w:val="35"/>
  </w:num>
  <w:num w:numId="14" w16cid:durableId="1744794520">
    <w:abstractNumId w:val="12"/>
  </w:num>
  <w:num w:numId="15" w16cid:durableId="1814902774">
    <w:abstractNumId w:val="11"/>
  </w:num>
  <w:num w:numId="16" w16cid:durableId="181365519">
    <w:abstractNumId w:val="2"/>
  </w:num>
  <w:num w:numId="17" w16cid:durableId="444733533">
    <w:abstractNumId w:val="41"/>
  </w:num>
  <w:num w:numId="18" w16cid:durableId="1494298917">
    <w:abstractNumId w:val="37"/>
  </w:num>
  <w:num w:numId="19" w16cid:durableId="1940521658">
    <w:abstractNumId w:val="38"/>
  </w:num>
  <w:num w:numId="20" w16cid:durableId="386295866">
    <w:abstractNumId w:val="40"/>
  </w:num>
  <w:num w:numId="21" w16cid:durableId="515968076">
    <w:abstractNumId w:val="0"/>
  </w:num>
  <w:num w:numId="22" w16cid:durableId="1848518106">
    <w:abstractNumId w:val="21"/>
  </w:num>
  <w:num w:numId="23" w16cid:durableId="1399085797">
    <w:abstractNumId w:val="22"/>
  </w:num>
  <w:num w:numId="24" w16cid:durableId="77946646">
    <w:abstractNumId w:val="18"/>
  </w:num>
  <w:num w:numId="25" w16cid:durableId="2073656799">
    <w:abstractNumId w:val="39"/>
  </w:num>
  <w:num w:numId="26" w16cid:durableId="1746953051">
    <w:abstractNumId w:val="15"/>
  </w:num>
  <w:num w:numId="27" w16cid:durableId="1757048435">
    <w:abstractNumId w:val="4"/>
  </w:num>
  <w:num w:numId="28" w16cid:durableId="1989628210">
    <w:abstractNumId w:val="10"/>
  </w:num>
  <w:num w:numId="29" w16cid:durableId="135611520">
    <w:abstractNumId w:val="29"/>
  </w:num>
  <w:num w:numId="30" w16cid:durableId="776827209">
    <w:abstractNumId w:val="25"/>
  </w:num>
  <w:num w:numId="31" w16cid:durableId="1629508142">
    <w:abstractNumId w:val="7"/>
  </w:num>
  <w:num w:numId="32" w16cid:durableId="1746146548">
    <w:abstractNumId w:val="26"/>
  </w:num>
  <w:num w:numId="33" w16cid:durableId="1429352579">
    <w:abstractNumId w:val="6"/>
  </w:num>
  <w:num w:numId="34" w16cid:durableId="120806345">
    <w:abstractNumId w:val="33"/>
  </w:num>
  <w:num w:numId="35" w16cid:durableId="2025549060">
    <w:abstractNumId w:val="28"/>
  </w:num>
  <w:num w:numId="36" w16cid:durableId="345056089">
    <w:abstractNumId w:val="27"/>
  </w:num>
  <w:num w:numId="37" w16cid:durableId="1739325615">
    <w:abstractNumId w:val="1"/>
  </w:num>
  <w:num w:numId="38" w16cid:durableId="143746121">
    <w:abstractNumId w:val="23"/>
  </w:num>
  <w:num w:numId="39" w16cid:durableId="1827163301">
    <w:abstractNumId w:val="8"/>
  </w:num>
  <w:num w:numId="40" w16cid:durableId="1576209747">
    <w:abstractNumId w:val="5"/>
  </w:num>
  <w:num w:numId="41" w16cid:durableId="2074966680">
    <w:abstractNumId w:val="32"/>
  </w:num>
  <w:num w:numId="42" w16cid:durableId="107670461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7DF"/>
    <w:rsid w:val="00003386"/>
    <w:rsid w:val="00005D37"/>
    <w:rsid w:val="000101FF"/>
    <w:rsid w:val="00010A3D"/>
    <w:rsid w:val="00011D80"/>
    <w:rsid w:val="000127DA"/>
    <w:rsid w:val="000217D6"/>
    <w:rsid w:val="00021FCD"/>
    <w:rsid w:val="000238E4"/>
    <w:rsid w:val="00024F74"/>
    <w:rsid w:val="00025A41"/>
    <w:rsid w:val="000262BB"/>
    <w:rsid w:val="0002763F"/>
    <w:rsid w:val="000279EF"/>
    <w:rsid w:val="00031785"/>
    <w:rsid w:val="000325EE"/>
    <w:rsid w:val="000362B6"/>
    <w:rsid w:val="00036AE9"/>
    <w:rsid w:val="00036D03"/>
    <w:rsid w:val="0004012A"/>
    <w:rsid w:val="00041355"/>
    <w:rsid w:val="00046127"/>
    <w:rsid w:val="00050080"/>
    <w:rsid w:val="00050854"/>
    <w:rsid w:val="00050952"/>
    <w:rsid w:val="00050EE8"/>
    <w:rsid w:val="00053ECE"/>
    <w:rsid w:val="000553F0"/>
    <w:rsid w:val="000557D7"/>
    <w:rsid w:val="00056C0F"/>
    <w:rsid w:val="0006208B"/>
    <w:rsid w:val="000620AB"/>
    <w:rsid w:val="000635E1"/>
    <w:rsid w:val="00065F20"/>
    <w:rsid w:val="00066450"/>
    <w:rsid w:val="00067F35"/>
    <w:rsid w:val="00074270"/>
    <w:rsid w:val="000744FE"/>
    <w:rsid w:val="00075A84"/>
    <w:rsid w:val="00076204"/>
    <w:rsid w:val="00076299"/>
    <w:rsid w:val="000802FA"/>
    <w:rsid w:val="00080B7E"/>
    <w:rsid w:val="00082D73"/>
    <w:rsid w:val="000839C3"/>
    <w:rsid w:val="00085218"/>
    <w:rsid w:val="000878BE"/>
    <w:rsid w:val="000901F0"/>
    <w:rsid w:val="00090FA8"/>
    <w:rsid w:val="000914D3"/>
    <w:rsid w:val="000946E2"/>
    <w:rsid w:val="00094ABA"/>
    <w:rsid w:val="00094E9E"/>
    <w:rsid w:val="000976D0"/>
    <w:rsid w:val="00097A2F"/>
    <w:rsid w:val="000A2CC5"/>
    <w:rsid w:val="000A4BCF"/>
    <w:rsid w:val="000B1FBD"/>
    <w:rsid w:val="000B2931"/>
    <w:rsid w:val="000B4B28"/>
    <w:rsid w:val="000B4CA6"/>
    <w:rsid w:val="000B611D"/>
    <w:rsid w:val="000C04E5"/>
    <w:rsid w:val="000C13BF"/>
    <w:rsid w:val="000C15D7"/>
    <w:rsid w:val="000C1D19"/>
    <w:rsid w:val="000C30A0"/>
    <w:rsid w:val="000C6322"/>
    <w:rsid w:val="000C7470"/>
    <w:rsid w:val="000D1350"/>
    <w:rsid w:val="000D1E9A"/>
    <w:rsid w:val="000D21C7"/>
    <w:rsid w:val="000D54E7"/>
    <w:rsid w:val="000D7204"/>
    <w:rsid w:val="000D7D66"/>
    <w:rsid w:val="000E023B"/>
    <w:rsid w:val="000E41CE"/>
    <w:rsid w:val="000E5494"/>
    <w:rsid w:val="000E551B"/>
    <w:rsid w:val="000E586A"/>
    <w:rsid w:val="000E6612"/>
    <w:rsid w:val="000F197E"/>
    <w:rsid w:val="000F255B"/>
    <w:rsid w:val="000F34C1"/>
    <w:rsid w:val="000F5420"/>
    <w:rsid w:val="000F5979"/>
    <w:rsid w:val="000F65BA"/>
    <w:rsid w:val="000F6CD1"/>
    <w:rsid w:val="000F75C5"/>
    <w:rsid w:val="001000B4"/>
    <w:rsid w:val="00102CFF"/>
    <w:rsid w:val="0010479F"/>
    <w:rsid w:val="00105278"/>
    <w:rsid w:val="0010776A"/>
    <w:rsid w:val="00110D05"/>
    <w:rsid w:val="0011435C"/>
    <w:rsid w:val="00115138"/>
    <w:rsid w:val="00116759"/>
    <w:rsid w:val="00117DBC"/>
    <w:rsid w:val="00117E53"/>
    <w:rsid w:val="001205F3"/>
    <w:rsid w:val="00122303"/>
    <w:rsid w:val="001237A6"/>
    <w:rsid w:val="00123E5C"/>
    <w:rsid w:val="0012416E"/>
    <w:rsid w:val="001262C7"/>
    <w:rsid w:val="00127B5B"/>
    <w:rsid w:val="0013051F"/>
    <w:rsid w:val="001305BB"/>
    <w:rsid w:val="0013413A"/>
    <w:rsid w:val="0013474F"/>
    <w:rsid w:val="001363C4"/>
    <w:rsid w:val="001422A4"/>
    <w:rsid w:val="00143F2E"/>
    <w:rsid w:val="0014476F"/>
    <w:rsid w:val="001465EC"/>
    <w:rsid w:val="00146CED"/>
    <w:rsid w:val="00147C5A"/>
    <w:rsid w:val="00147EE8"/>
    <w:rsid w:val="00151757"/>
    <w:rsid w:val="001525CD"/>
    <w:rsid w:val="00154574"/>
    <w:rsid w:val="001556A1"/>
    <w:rsid w:val="00156AA9"/>
    <w:rsid w:val="001573F2"/>
    <w:rsid w:val="001605A5"/>
    <w:rsid w:val="001605DF"/>
    <w:rsid w:val="00161E82"/>
    <w:rsid w:val="00162CA4"/>
    <w:rsid w:val="0016468E"/>
    <w:rsid w:val="00164CA1"/>
    <w:rsid w:val="00170B55"/>
    <w:rsid w:val="00171123"/>
    <w:rsid w:val="00171C32"/>
    <w:rsid w:val="00175890"/>
    <w:rsid w:val="0017642E"/>
    <w:rsid w:val="001774E0"/>
    <w:rsid w:val="00180CB8"/>
    <w:rsid w:val="0018223C"/>
    <w:rsid w:val="001824BC"/>
    <w:rsid w:val="00186794"/>
    <w:rsid w:val="0018733C"/>
    <w:rsid w:val="00193086"/>
    <w:rsid w:val="00196C86"/>
    <w:rsid w:val="00197B49"/>
    <w:rsid w:val="001A01E0"/>
    <w:rsid w:val="001A65D0"/>
    <w:rsid w:val="001A7916"/>
    <w:rsid w:val="001B44AD"/>
    <w:rsid w:val="001C1BF0"/>
    <w:rsid w:val="001C2334"/>
    <w:rsid w:val="001C2A23"/>
    <w:rsid w:val="001C2AE7"/>
    <w:rsid w:val="001C2B9E"/>
    <w:rsid w:val="001C5105"/>
    <w:rsid w:val="001C5EA6"/>
    <w:rsid w:val="001C623F"/>
    <w:rsid w:val="001C7022"/>
    <w:rsid w:val="001C7205"/>
    <w:rsid w:val="001D1081"/>
    <w:rsid w:val="001D237A"/>
    <w:rsid w:val="001D271A"/>
    <w:rsid w:val="001D5043"/>
    <w:rsid w:val="001D67AE"/>
    <w:rsid w:val="001D73A1"/>
    <w:rsid w:val="001E1629"/>
    <w:rsid w:val="001E5358"/>
    <w:rsid w:val="001F052E"/>
    <w:rsid w:val="001F2C28"/>
    <w:rsid w:val="001F37E5"/>
    <w:rsid w:val="001F3FCA"/>
    <w:rsid w:val="001F5AC8"/>
    <w:rsid w:val="001F5D7D"/>
    <w:rsid w:val="00204037"/>
    <w:rsid w:val="00205724"/>
    <w:rsid w:val="00210CF8"/>
    <w:rsid w:val="00211570"/>
    <w:rsid w:val="00212A99"/>
    <w:rsid w:val="00212DB5"/>
    <w:rsid w:val="00213368"/>
    <w:rsid w:val="00214124"/>
    <w:rsid w:val="002157F7"/>
    <w:rsid w:val="00221B85"/>
    <w:rsid w:val="0022239F"/>
    <w:rsid w:val="0022445B"/>
    <w:rsid w:val="00224D80"/>
    <w:rsid w:val="002307C3"/>
    <w:rsid w:val="00230857"/>
    <w:rsid w:val="00231113"/>
    <w:rsid w:val="00234FBD"/>
    <w:rsid w:val="002351CA"/>
    <w:rsid w:val="002354AE"/>
    <w:rsid w:val="002357F5"/>
    <w:rsid w:val="00235D99"/>
    <w:rsid w:val="00236B44"/>
    <w:rsid w:val="0024145E"/>
    <w:rsid w:val="00241877"/>
    <w:rsid w:val="00243872"/>
    <w:rsid w:val="00244FE8"/>
    <w:rsid w:val="00245875"/>
    <w:rsid w:val="00246658"/>
    <w:rsid w:val="00246CD3"/>
    <w:rsid w:val="00251BE5"/>
    <w:rsid w:val="00251DA9"/>
    <w:rsid w:val="00252FE4"/>
    <w:rsid w:val="002540AB"/>
    <w:rsid w:val="00254865"/>
    <w:rsid w:val="0025703A"/>
    <w:rsid w:val="00257173"/>
    <w:rsid w:val="00257A11"/>
    <w:rsid w:val="002604BE"/>
    <w:rsid w:val="00260AE3"/>
    <w:rsid w:val="00261675"/>
    <w:rsid w:val="002636A1"/>
    <w:rsid w:val="0026432B"/>
    <w:rsid w:val="00266F24"/>
    <w:rsid w:val="0026748F"/>
    <w:rsid w:val="00271B3B"/>
    <w:rsid w:val="00271D50"/>
    <w:rsid w:val="00272E33"/>
    <w:rsid w:val="002740D0"/>
    <w:rsid w:val="002748A8"/>
    <w:rsid w:val="00274BCB"/>
    <w:rsid w:val="00274C79"/>
    <w:rsid w:val="00275139"/>
    <w:rsid w:val="00277637"/>
    <w:rsid w:val="00277F97"/>
    <w:rsid w:val="0028007A"/>
    <w:rsid w:val="00280FB6"/>
    <w:rsid w:val="00281EE6"/>
    <w:rsid w:val="0028201F"/>
    <w:rsid w:val="00282C36"/>
    <w:rsid w:val="00283072"/>
    <w:rsid w:val="002832E3"/>
    <w:rsid w:val="002838EF"/>
    <w:rsid w:val="00283C8E"/>
    <w:rsid w:val="0028402D"/>
    <w:rsid w:val="0028526C"/>
    <w:rsid w:val="002858A4"/>
    <w:rsid w:val="00285A29"/>
    <w:rsid w:val="00287EF3"/>
    <w:rsid w:val="002924DC"/>
    <w:rsid w:val="0029281A"/>
    <w:rsid w:val="00293BBF"/>
    <w:rsid w:val="00295598"/>
    <w:rsid w:val="002966F7"/>
    <w:rsid w:val="002970DD"/>
    <w:rsid w:val="00297E8E"/>
    <w:rsid w:val="002A0F51"/>
    <w:rsid w:val="002A134B"/>
    <w:rsid w:val="002A17B0"/>
    <w:rsid w:val="002A527B"/>
    <w:rsid w:val="002B0D63"/>
    <w:rsid w:val="002B3AD5"/>
    <w:rsid w:val="002B67DA"/>
    <w:rsid w:val="002C0B17"/>
    <w:rsid w:val="002C0FBC"/>
    <w:rsid w:val="002C2548"/>
    <w:rsid w:val="002C383E"/>
    <w:rsid w:val="002C417F"/>
    <w:rsid w:val="002C4789"/>
    <w:rsid w:val="002C6336"/>
    <w:rsid w:val="002C6CDC"/>
    <w:rsid w:val="002D0081"/>
    <w:rsid w:val="002D0271"/>
    <w:rsid w:val="002D0928"/>
    <w:rsid w:val="002D0B59"/>
    <w:rsid w:val="002D3A31"/>
    <w:rsid w:val="002D4367"/>
    <w:rsid w:val="002D46FD"/>
    <w:rsid w:val="002D4EE0"/>
    <w:rsid w:val="002D5E07"/>
    <w:rsid w:val="002D77A9"/>
    <w:rsid w:val="002E0A33"/>
    <w:rsid w:val="002E10C8"/>
    <w:rsid w:val="002E2CC4"/>
    <w:rsid w:val="002E4780"/>
    <w:rsid w:val="002E58C9"/>
    <w:rsid w:val="002E5D88"/>
    <w:rsid w:val="002E63EE"/>
    <w:rsid w:val="002E6797"/>
    <w:rsid w:val="002E6E52"/>
    <w:rsid w:val="002E71B4"/>
    <w:rsid w:val="002E79D8"/>
    <w:rsid w:val="002F03BC"/>
    <w:rsid w:val="002F1411"/>
    <w:rsid w:val="002F1DAA"/>
    <w:rsid w:val="002F63F5"/>
    <w:rsid w:val="002F6734"/>
    <w:rsid w:val="002F745C"/>
    <w:rsid w:val="00302D17"/>
    <w:rsid w:val="00303764"/>
    <w:rsid w:val="00303A43"/>
    <w:rsid w:val="00304A99"/>
    <w:rsid w:val="003069F8"/>
    <w:rsid w:val="00306F9C"/>
    <w:rsid w:val="00313013"/>
    <w:rsid w:val="0031321E"/>
    <w:rsid w:val="003139EA"/>
    <w:rsid w:val="00313F99"/>
    <w:rsid w:val="00314E34"/>
    <w:rsid w:val="00314FB9"/>
    <w:rsid w:val="00315114"/>
    <w:rsid w:val="00316C09"/>
    <w:rsid w:val="0031793E"/>
    <w:rsid w:val="003209E2"/>
    <w:rsid w:val="003213AC"/>
    <w:rsid w:val="003226A0"/>
    <w:rsid w:val="00323003"/>
    <w:rsid w:val="0032464C"/>
    <w:rsid w:val="0032541D"/>
    <w:rsid w:val="003254C7"/>
    <w:rsid w:val="00325BE2"/>
    <w:rsid w:val="003279FC"/>
    <w:rsid w:val="00331420"/>
    <w:rsid w:val="00331BE4"/>
    <w:rsid w:val="00333208"/>
    <w:rsid w:val="00333973"/>
    <w:rsid w:val="003346E5"/>
    <w:rsid w:val="00334EBC"/>
    <w:rsid w:val="00335FB5"/>
    <w:rsid w:val="00336E73"/>
    <w:rsid w:val="00342F3A"/>
    <w:rsid w:val="003441BF"/>
    <w:rsid w:val="003540A8"/>
    <w:rsid w:val="00360F61"/>
    <w:rsid w:val="00360FDF"/>
    <w:rsid w:val="0036246E"/>
    <w:rsid w:val="003630C3"/>
    <w:rsid w:val="00364910"/>
    <w:rsid w:val="00365777"/>
    <w:rsid w:val="00365E08"/>
    <w:rsid w:val="00365E4B"/>
    <w:rsid w:val="00366378"/>
    <w:rsid w:val="0037027A"/>
    <w:rsid w:val="00370929"/>
    <w:rsid w:val="003729A4"/>
    <w:rsid w:val="00372A69"/>
    <w:rsid w:val="003732F6"/>
    <w:rsid w:val="003749E2"/>
    <w:rsid w:val="00375281"/>
    <w:rsid w:val="00377822"/>
    <w:rsid w:val="0038124B"/>
    <w:rsid w:val="00381401"/>
    <w:rsid w:val="0038203C"/>
    <w:rsid w:val="0038424B"/>
    <w:rsid w:val="00384E95"/>
    <w:rsid w:val="00387CE6"/>
    <w:rsid w:val="003908A0"/>
    <w:rsid w:val="00393F3A"/>
    <w:rsid w:val="00395DFF"/>
    <w:rsid w:val="00395E0B"/>
    <w:rsid w:val="00395F7B"/>
    <w:rsid w:val="003A0791"/>
    <w:rsid w:val="003A3605"/>
    <w:rsid w:val="003A5FBD"/>
    <w:rsid w:val="003A71F6"/>
    <w:rsid w:val="003A7777"/>
    <w:rsid w:val="003A7B1F"/>
    <w:rsid w:val="003B0202"/>
    <w:rsid w:val="003B1AE4"/>
    <w:rsid w:val="003B34DC"/>
    <w:rsid w:val="003B4E75"/>
    <w:rsid w:val="003B574B"/>
    <w:rsid w:val="003B72EA"/>
    <w:rsid w:val="003B7C53"/>
    <w:rsid w:val="003C030B"/>
    <w:rsid w:val="003C05ED"/>
    <w:rsid w:val="003C2168"/>
    <w:rsid w:val="003C37A2"/>
    <w:rsid w:val="003D009B"/>
    <w:rsid w:val="003D10F2"/>
    <w:rsid w:val="003D114C"/>
    <w:rsid w:val="003D42D8"/>
    <w:rsid w:val="003D4C1D"/>
    <w:rsid w:val="003D7D22"/>
    <w:rsid w:val="003E07C4"/>
    <w:rsid w:val="003E0A9D"/>
    <w:rsid w:val="003E1EAC"/>
    <w:rsid w:val="003E23E6"/>
    <w:rsid w:val="003E2838"/>
    <w:rsid w:val="003E61A5"/>
    <w:rsid w:val="003F1151"/>
    <w:rsid w:val="003F1881"/>
    <w:rsid w:val="003F214C"/>
    <w:rsid w:val="003F2C53"/>
    <w:rsid w:val="003F3047"/>
    <w:rsid w:val="003F3E34"/>
    <w:rsid w:val="003F522F"/>
    <w:rsid w:val="003F7C83"/>
    <w:rsid w:val="00400467"/>
    <w:rsid w:val="004014CF"/>
    <w:rsid w:val="004019CE"/>
    <w:rsid w:val="00402B37"/>
    <w:rsid w:val="00403B4B"/>
    <w:rsid w:val="00404F39"/>
    <w:rsid w:val="00404FB5"/>
    <w:rsid w:val="00405E52"/>
    <w:rsid w:val="00405E99"/>
    <w:rsid w:val="004062C0"/>
    <w:rsid w:val="00406A87"/>
    <w:rsid w:val="0040734B"/>
    <w:rsid w:val="00410B8B"/>
    <w:rsid w:val="0041115F"/>
    <w:rsid w:val="00411D41"/>
    <w:rsid w:val="00412F90"/>
    <w:rsid w:val="00413F16"/>
    <w:rsid w:val="004153F9"/>
    <w:rsid w:val="00416E03"/>
    <w:rsid w:val="00416EDB"/>
    <w:rsid w:val="00421719"/>
    <w:rsid w:val="004231A3"/>
    <w:rsid w:val="0042516D"/>
    <w:rsid w:val="00426D02"/>
    <w:rsid w:val="004279F3"/>
    <w:rsid w:val="0043194D"/>
    <w:rsid w:val="00434916"/>
    <w:rsid w:val="0043508E"/>
    <w:rsid w:val="00437706"/>
    <w:rsid w:val="00442BCB"/>
    <w:rsid w:val="00443859"/>
    <w:rsid w:val="0044441F"/>
    <w:rsid w:val="004449F3"/>
    <w:rsid w:val="00444C34"/>
    <w:rsid w:val="00444D8B"/>
    <w:rsid w:val="004458AD"/>
    <w:rsid w:val="00447108"/>
    <w:rsid w:val="00450584"/>
    <w:rsid w:val="00450925"/>
    <w:rsid w:val="0045229C"/>
    <w:rsid w:val="00453C62"/>
    <w:rsid w:val="0045422F"/>
    <w:rsid w:val="00454442"/>
    <w:rsid w:val="00454496"/>
    <w:rsid w:val="0045587E"/>
    <w:rsid w:val="00462935"/>
    <w:rsid w:val="00465F3D"/>
    <w:rsid w:val="00466E65"/>
    <w:rsid w:val="00467A57"/>
    <w:rsid w:val="00467DE2"/>
    <w:rsid w:val="00467E7E"/>
    <w:rsid w:val="00467E81"/>
    <w:rsid w:val="00471ECC"/>
    <w:rsid w:val="004736FE"/>
    <w:rsid w:val="00474C24"/>
    <w:rsid w:val="00476AD9"/>
    <w:rsid w:val="0048099D"/>
    <w:rsid w:val="00481153"/>
    <w:rsid w:val="00483DAE"/>
    <w:rsid w:val="00484935"/>
    <w:rsid w:val="004854D7"/>
    <w:rsid w:val="00485AD2"/>
    <w:rsid w:val="00485D1B"/>
    <w:rsid w:val="00486C9F"/>
    <w:rsid w:val="00490505"/>
    <w:rsid w:val="0049135F"/>
    <w:rsid w:val="00491410"/>
    <w:rsid w:val="00492D97"/>
    <w:rsid w:val="0049363F"/>
    <w:rsid w:val="0049395E"/>
    <w:rsid w:val="00493B96"/>
    <w:rsid w:val="00494E89"/>
    <w:rsid w:val="00496E4C"/>
    <w:rsid w:val="004A18EB"/>
    <w:rsid w:val="004A1C39"/>
    <w:rsid w:val="004A4A36"/>
    <w:rsid w:val="004A5024"/>
    <w:rsid w:val="004A58D4"/>
    <w:rsid w:val="004A5CDE"/>
    <w:rsid w:val="004A5EE4"/>
    <w:rsid w:val="004A7061"/>
    <w:rsid w:val="004A7077"/>
    <w:rsid w:val="004A7770"/>
    <w:rsid w:val="004B0763"/>
    <w:rsid w:val="004B1C8F"/>
    <w:rsid w:val="004B1D5A"/>
    <w:rsid w:val="004B29F7"/>
    <w:rsid w:val="004B2D94"/>
    <w:rsid w:val="004B5128"/>
    <w:rsid w:val="004B7070"/>
    <w:rsid w:val="004C0E04"/>
    <w:rsid w:val="004C1A00"/>
    <w:rsid w:val="004C2DFA"/>
    <w:rsid w:val="004C3911"/>
    <w:rsid w:val="004C5994"/>
    <w:rsid w:val="004C5D69"/>
    <w:rsid w:val="004D358B"/>
    <w:rsid w:val="004D60D3"/>
    <w:rsid w:val="004D7DBA"/>
    <w:rsid w:val="004E1D1B"/>
    <w:rsid w:val="004E2692"/>
    <w:rsid w:val="004E3987"/>
    <w:rsid w:val="004E52FA"/>
    <w:rsid w:val="004F03D9"/>
    <w:rsid w:val="004F2F49"/>
    <w:rsid w:val="004F32F3"/>
    <w:rsid w:val="005009F1"/>
    <w:rsid w:val="00502A63"/>
    <w:rsid w:val="00505F72"/>
    <w:rsid w:val="00506BB5"/>
    <w:rsid w:val="00507062"/>
    <w:rsid w:val="005078F5"/>
    <w:rsid w:val="00507AAD"/>
    <w:rsid w:val="00510F75"/>
    <w:rsid w:val="00511952"/>
    <w:rsid w:val="00514704"/>
    <w:rsid w:val="00515317"/>
    <w:rsid w:val="005160FB"/>
    <w:rsid w:val="0052046A"/>
    <w:rsid w:val="00522C94"/>
    <w:rsid w:val="005252A2"/>
    <w:rsid w:val="005266E6"/>
    <w:rsid w:val="005269D1"/>
    <w:rsid w:val="00527A49"/>
    <w:rsid w:val="00535519"/>
    <w:rsid w:val="005360E5"/>
    <w:rsid w:val="00537C7C"/>
    <w:rsid w:val="00544D0D"/>
    <w:rsid w:val="00544DA5"/>
    <w:rsid w:val="0054663A"/>
    <w:rsid w:val="00550435"/>
    <w:rsid w:val="0055370C"/>
    <w:rsid w:val="00553C70"/>
    <w:rsid w:val="00560245"/>
    <w:rsid w:val="00564A9B"/>
    <w:rsid w:val="00565CF6"/>
    <w:rsid w:val="00566442"/>
    <w:rsid w:val="00566C7B"/>
    <w:rsid w:val="00571C7D"/>
    <w:rsid w:val="00575A9A"/>
    <w:rsid w:val="00576147"/>
    <w:rsid w:val="00576B45"/>
    <w:rsid w:val="00583E37"/>
    <w:rsid w:val="00584F89"/>
    <w:rsid w:val="00586351"/>
    <w:rsid w:val="0058709C"/>
    <w:rsid w:val="0059082D"/>
    <w:rsid w:val="00591B14"/>
    <w:rsid w:val="00593B86"/>
    <w:rsid w:val="00594556"/>
    <w:rsid w:val="005951A2"/>
    <w:rsid w:val="005A11A8"/>
    <w:rsid w:val="005A1FC9"/>
    <w:rsid w:val="005A2D39"/>
    <w:rsid w:val="005A428E"/>
    <w:rsid w:val="005A43A4"/>
    <w:rsid w:val="005A4608"/>
    <w:rsid w:val="005A5198"/>
    <w:rsid w:val="005A5C86"/>
    <w:rsid w:val="005A661C"/>
    <w:rsid w:val="005B18A8"/>
    <w:rsid w:val="005B23B2"/>
    <w:rsid w:val="005B34E9"/>
    <w:rsid w:val="005B379B"/>
    <w:rsid w:val="005B4235"/>
    <w:rsid w:val="005B5CDF"/>
    <w:rsid w:val="005B5CE2"/>
    <w:rsid w:val="005B7117"/>
    <w:rsid w:val="005C03C9"/>
    <w:rsid w:val="005C15A8"/>
    <w:rsid w:val="005C20F7"/>
    <w:rsid w:val="005C2E77"/>
    <w:rsid w:val="005C467E"/>
    <w:rsid w:val="005C57D8"/>
    <w:rsid w:val="005C676F"/>
    <w:rsid w:val="005C79BA"/>
    <w:rsid w:val="005D2643"/>
    <w:rsid w:val="005D3B92"/>
    <w:rsid w:val="005D5D7D"/>
    <w:rsid w:val="005D630D"/>
    <w:rsid w:val="005D6460"/>
    <w:rsid w:val="005D6884"/>
    <w:rsid w:val="005D7B4D"/>
    <w:rsid w:val="005E013B"/>
    <w:rsid w:val="005E12BE"/>
    <w:rsid w:val="005E21CC"/>
    <w:rsid w:val="005E3625"/>
    <w:rsid w:val="005E3A35"/>
    <w:rsid w:val="005E4981"/>
    <w:rsid w:val="005E4DE0"/>
    <w:rsid w:val="005E6497"/>
    <w:rsid w:val="005E6CD2"/>
    <w:rsid w:val="005F18EC"/>
    <w:rsid w:val="005F3785"/>
    <w:rsid w:val="005F52EA"/>
    <w:rsid w:val="005F5B02"/>
    <w:rsid w:val="005F6224"/>
    <w:rsid w:val="005F7DEC"/>
    <w:rsid w:val="00600423"/>
    <w:rsid w:val="00601067"/>
    <w:rsid w:val="00602CD6"/>
    <w:rsid w:val="00605EAC"/>
    <w:rsid w:val="006103B8"/>
    <w:rsid w:val="00610ABA"/>
    <w:rsid w:val="00610C1E"/>
    <w:rsid w:val="00611FC6"/>
    <w:rsid w:val="006133AB"/>
    <w:rsid w:val="00613818"/>
    <w:rsid w:val="0061655F"/>
    <w:rsid w:val="006200A1"/>
    <w:rsid w:val="00621083"/>
    <w:rsid w:val="00622955"/>
    <w:rsid w:val="006232F5"/>
    <w:rsid w:val="00624A90"/>
    <w:rsid w:val="0062507F"/>
    <w:rsid w:val="00625B0E"/>
    <w:rsid w:val="00627E23"/>
    <w:rsid w:val="00631C66"/>
    <w:rsid w:val="00632338"/>
    <w:rsid w:val="00633AAF"/>
    <w:rsid w:val="00634073"/>
    <w:rsid w:val="00636781"/>
    <w:rsid w:val="006376D9"/>
    <w:rsid w:val="00642B45"/>
    <w:rsid w:val="00643230"/>
    <w:rsid w:val="00643280"/>
    <w:rsid w:val="00644E9D"/>
    <w:rsid w:val="00645339"/>
    <w:rsid w:val="00645659"/>
    <w:rsid w:val="00645B08"/>
    <w:rsid w:val="00645EA8"/>
    <w:rsid w:val="0064736C"/>
    <w:rsid w:val="00650884"/>
    <w:rsid w:val="00650F96"/>
    <w:rsid w:val="00655A6C"/>
    <w:rsid w:val="006561C2"/>
    <w:rsid w:val="0065758E"/>
    <w:rsid w:val="00660098"/>
    <w:rsid w:val="00660DAE"/>
    <w:rsid w:val="006639B5"/>
    <w:rsid w:val="00663F18"/>
    <w:rsid w:val="00663F8B"/>
    <w:rsid w:val="00664A1A"/>
    <w:rsid w:val="0066538B"/>
    <w:rsid w:val="006659CB"/>
    <w:rsid w:val="00666921"/>
    <w:rsid w:val="006670FC"/>
    <w:rsid w:val="00667751"/>
    <w:rsid w:val="00670385"/>
    <w:rsid w:val="006722A5"/>
    <w:rsid w:val="00672E77"/>
    <w:rsid w:val="00674C90"/>
    <w:rsid w:val="006759D1"/>
    <w:rsid w:val="00675ED4"/>
    <w:rsid w:val="00675EFE"/>
    <w:rsid w:val="0068038D"/>
    <w:rsid w:val="006812D9"/>
    <w:rsid w:val="00683326"/>
    <w:rsid w:val="00684C04"/>
    <w:rsid w:val="006854A3"/>
    <w:rsid w:val="00687C1E"/>
    <w:rsid w:val="00690DA2"/>
    <w:rsid w:val="006926F9"/>
    <w:rsid w:val="00694020"/>
    <w:rsid w:val="006941B9"/>
    <w:rsid w:val="0069434A"/>
    <w:rsid w:val="0069496A"/>
    <w:rsid w:val="006953CF"/>
    <w:rsid w:val="006954A5"/>
    <w:rsid w:val="006A0A0F"/>
    <w:rsid w:val="006A0F0F"/>
    <w:rsid w:val="006A13EF"/>
    <w:rsid w:val="006A3295"/>
    <w:rsid w:val="006A3998"/>
    <w:rsid w:val="006A3BFF"/>
    <w:rsid w:val="006B1332"/>
    <w:rsid w:val="006B246F"/>
    <w:rsid w:val="006B248B"/>
    <w:rsid w:val="006B25C9"/>
    <w:rsid w:val="006B31DE"/>
    <w:rsid w:val="006B337C"/>
    <w:rsid w:val="006B4897"/>
    <w:rsid w:val="006B4EDE"/>
    <w:rsid w:val="006C0E1D"/>
    <w:rsid w:val="006C6115"/>
    <w:rsid w:val="006C6999"/>
    <w:rsid w:val="006C6CDB"/>
    <w:rsid w:val="006C6E88"/>
    <w:rsid w:val="006D0701"/>
    <w:rsid w:val="006D19B1"/>
    <w:rsid w:val="006D1F41"/>
    <w:rsid w:val="006D1F96"/>
    <w:rsid w:val="006D48AB"/>
    <w:rsid w:val="006D4E9E"/>
    <w:rsid w:val="006D4FB8"/>
    <w:rsid w:val="006D528A"/>
    <w:rsid w:val="006D569A"/>
    <w:rsid w:val="006D5DA3"/>
    <w:rsid w:val="006D7611"/>
    <w:rsid w:val="006E05A4"/>
    <w:rsid w:val="006E0694"/>
    <w:rsid w:val="006E0748"/>
    <w:rsid w:val="006E0856"/>
    <w:rsid w:val="006E4C9C"/>
    <w:rsid w:val="006E5B76"/>
    <w:rsid w:val="006F1521"/>
    <w:rsid w:val="006F2322"/>
    <w:rsid w:val="006F6097"/>
    <w:rsid w:val="006F68D7"/>
    <w:rsid w:val="007027EF"/>
    <w:rsid w:val="00703BC7"/>
    <w:rsid w:val="0070660C"/>
    <w:rsid w:val="00707BC5"/>
    <w:rsid w:val="00707D87"/>
    <w:rsid w:val="00710E52"/>
    <w:rsid w:val="00712C5D"/>
    <w:rsid w:val="00712EB6"/>
    <w:rsid w:val="007160F7"/>
    <w:rsid w:val="00716534"/>
    <w:rsid w:val="0071684F"/>
    <w:rsid w:val="00721E93"/>
    <w:rsid w:val="007230AC"/>
    <w:rsid w:val="00725680"/>
    <w:rsid w:val="007266C0"/>
    <w:rsid w:val="007337AF"/>
    <w:rsid w:val="007368D1"/>
    <w:rsid w:val="0073708D"/>
    <w:rsid w:val="00737615"/>
    <w:rsid w:val="00737D8A"/>
    <w:rsid w:val="00741284"/>
    <w:rsid w:val="00741F8F"/>
    <w:rsid w:val="007421F2"/>
    <w:rsid w:val="00742A0E"/>
    <w:rsid w:val="007466F4"/>
    <w:rsid w:val="007503DA"/>
    <w:rsid w:val="0075043B"/>
    <w:rsid w:val="00750898"/>
    <w:rsid w:val="0075417A"/>
    <w:rsid w:val="00757058"/>
    <w:rsid w:val="007578E5"/>
    <w:rsid w:val="00760171"/>
    <w:rsid w:val="007610F5"/>
    <w:rsid w:val="0076199F"/>
    <w:rsid w:val="00761E22"/>
    <w:rsid w:val="00761ED3"/>
    <w:rsid w:val="0076211F"/>
    <w:rsid w:val="00763A67"/>
    <w:rsid w:val="0076452B"/>
    <w:rsid w:val="007647A5"/>
    <w:rsid w:val="00764BD2"/>
    <w:rsid w:val="00767F37"/>
    <w:rsid w:val="007704A9"/>
    <w:rsid w:val="007716A8"/>
    <w:rsid w:val="00774516"/>
    <w:rsid w:val="00777DCD"/>
    <w:rsid w:val="00780804"/>
    <w:rsid w:val="00784811"/>
    <w:rsid w:val="00790362"/>
    <w:rsid w:val="007907C2"/>
    <w:rsid w:val="00792B70"/>
    <w:rsid w:val="00793687"/>
    <w:rsid w:val="007949AE"/>
    <w:rsid w:val="0079518A"/>
    <w:rsid w:val="0079691F"/>
    <w:rsid w:val="007A30F9"/>
    <w:rsid w:val="007A5EC1"/>
    <w:rsid w:val="007A64C4"/>
    <w:rsid w:val="007A64EC"/>
    <w:rsid w:val="007A6852"/>
    <w:rsid w:val="007B1E15"/>
    <w:rsid w:val="007B21AF"/>
    <w:rsid w:val="007B3B81"/>
    <w:rsid w:val="007B49B9"/>
    <w:rsid w:val="007B53AF"/>
    <w:rsid w:val="007B5818"/>
    <w:rsid w:val="007B6383"/>
    <w:rsid w:val="007B7308"/>
    <w:rsid w:val="007C09FD"/>
    <w:rsid w:val="007C2AFC"/>
    <w:rsid w:val="007C3D80"/>
    <w:rsid w:val="007C4543"/>
    <w:rsid w:val="007C540B"/>
    <w:rsid w:val="007C7313"/>
    <w:rsid w:val="007D2262"/>
    <w:rsid w:val="007D354D"/>
    <w:rsid w:val="007D3EEA"/>
    <w:rsid w:val="007D4F44"/>
    <w:rsid w:val="007D6D1B"/>
    <w:rsid w:val="007E1190"/>
    <w:rsid w:val="007E126F"/>
    <w:rsid w:val="007E3547"/>
    <w:rsid w:val="007F0BEC"/>
    <w:rsid w:val="007F0F9E"/>
    <w:rsid w:val="007F1A25"/>
    <w:rsid w:val="007F3B50"/>
    <w:rsid w:val="007F4630"/>
    <w:rsid w:val="007F47A4"/>
    <w:rsid w:val="007F62EF"/>
    <w:rsid w:val="007F647E"/>
    <w:rsid w:val="007F66A3"/>
    <w:rsid w:val="007F754C"/>
    <w:rsid w:val="007F78F3"/>
    <w:rsid w:val="00800003"/>
    <w:rsid w:val="008014DC"/>
    <w:rsid w:val="00802374"/>
    <w:rsid w:val="00802EFF"/>
    <w:rsid w:val="00803E2B"/>
    <w:rsid w:val="00803E67"/>
    <w:rsid w:val="008065B2"/>
    <w:rsid w:val="0081240B"/>
    <w:rsid w:val="008137EC"/>
    <w:rsid w:val="00814283"/>
    <w:rsid w:val="00814B3B"/>
    <w:rsid w:val="00814BB2"/>
    <w:rsid w:val="00814EA7"/>
    <w:rsid w:val="00823922"/>
    <w:rsid w:val="00823A21"/>
    <w:rsid w:val="00825963"/>
    <w:rsid w:val="00825D00"/>
    <w:rsid w:val="00826668"/>
    <w:rsid w:val="00832023"/>
    <w:rsid w:val="00832DB4"/>
    <w:rsid w:val="008330E8"/>
    <w:rsid w:val="0083325D"/>
    <w:rsid w:val="00833DAC"/>
    <w:rsid w:val="00834B24"/>
    <w:rsid w:val="008370C8"/>
    <w:rsid w:val="008418DE"/>
    <w:rsid w:val="00844A57"/>
    <w:rsid w:val="0084537A"/>
    <w:rsid w:val="0084574C"/>
    <w:rsid w:val="00845EBB"/>
    <w:rsid w:val="00847429"/>
    <w:rsid w:val="008511D1"/>
    <w:rsid w:val="008537EF"/>
    <w:rsid w:val="00853BC7"/>
    <w:rsid w:val="00854BCC"/>
    <w:rsid w:val="00855084"/>
    <w:rsid w:val="00860A0E"/>
    <w:rsid w:val="00861EEB"/>
    <w:rsid w:val="00863615"/>
    <w:rsid w:val="00873843"/>
    <w:rsid w:val="0087472D"/>
    <w:rsid w:val="0087490E"/>
    <w:rsid w:val="00874AD2"/>
    <w:rsid w:val="00875425"/>
    <w:rsid w:val="0087760F"/>
    <w:rsid w:val="00881816"/>
    <w:rsid w:val="00881C73"/>
    <w:rsid w:val="00882059"/>
    <w:rsid w:val="0088246B"/>
    <w:rsid w:val="00882A84"/>
    <w:rsid w:val="0088307C"/>
    <w:rsid w:val="0088380E"/>
    <w:rsid w:val="00883D63"/>
    <w:rsid w:val="00884874"/>
    <w:rsid w:val="00884F33"/>
    <w:rsid w:val="00885419"/>
    <w:rsid w:val="00885D85"/>
    <w:rsid w:val="008875A2"/>
    <w:rsid w:val="0089116C"/>
    <w:rsid w:val="00891457"/>
    <w:rsid w:val="00895167"/>
    <w:rsid w:val="00896319"/>
    <w:rsid w:val="0089702C"/>
    <w:rsid w:val="008978B5"/>
    <w:rsid w:val="008A04E4"/>
    <w:rsid w:val="008A0623"/>
    <w:rsid w:val="008A4126"/>
    <w:rsid w:val="008A551B"/>
    <w:rsid w:val="008A66F0"/>
    <w:rsid w:val="008A7A39"/>
    <w:rsid w:val="008B25CF"/>
    <w:rsid w:val="008B3030"/>
    <w:rsid w:val="008B3507"/>
    <w:rsid w:val="008B3F62"/>
    <w:rsid w:val="008B4993"/>
    <w:rsid w:val="008B73E2"/>
    <w:rsid w:val="008B7D7A"/>
    <w:rsid w:val="008C1324"/>
    <w:rsid w:val="008C1C7E"/>
    <w:rsid w:val="008C28C6"/>
    <w:rsid w:val="008C45E4"/>
    <w:rsid w:val="008C4ABB"/>
    <w:rsid w:val="008C4CFC"/>
    <w:rsid w:val="008C57E6"/>
    <w:rsid w:val="008C7862"/>
    <w:rsid w:val="008C7C55"/>
    <w:rsid w:val="008C7F1F"/>
    <w:rsid w:val="008D40DB"/>
    <w:rsid w:val="008D5FD7"/>
    <w:rsid w:val="008D61B0"/>
    <w:rsid w:val="008D6921"/>
    <w:rsid w:val="008E05F4"/>
    <w:rsid w:val="008E0F5A"/>
    <w:rsid w:val="008E10B5"/>
    <w:rsid w:val="008E1B0A"/>
    <w:rsid w:val="008E2ED7"/>
    <w:rsid w:val="008E61CA"/>
    <w:rsid w:val="008E663C"/>
    <w:rsid w:val="008F0F7F"/>
    <w:rsid w:val="008F1A74"/>
    <w:rsid w:val="008F3D51"/>
    <w:rsid w:val="008F6823"/>
    <w:rsid w:val="009049ED"/>
    <w:rsid w:val="00904F9F"/>
    <w:rsid w:val="00905073"/>
    <w:rsid w:val="009115D9"/>
    <w:rsid w:val="00911AF6"/>
    <w:rsid w:val="00915745"/>
    <w:rsid w:val="00917922"/>
    <w:rsid w:val="009200C2"/>
    <w:rsid w:val="009204F2"/>
    <w:rsid w:val="009204F4"/>
    <w:rsid w:val="00920D47"/>
    <w:rsid w:val="0092115B"/>
    <w:rsid w:val="0092214B"/>
    <w:rsid w:val="00923066"/>
    <w:rsid w:val="009275ED"/>
    <w:rsid w:val="00931079"/>
    <w:rsid w:val="00931942"/>
    <w:rsid w:val="00931E0C"/>
    <w:rsid w:val="00936448"/>
    <w:rsid w:val="00937F28"/>
    <w:rsid w:val="00942609"/>
    <w:rsid w:val="00943A05"/>
    <w:rsid w:val="00944405"/>
    <w:rsid w:val="00944540"/>
    <w:rsid w:val="009452B2"/>
    <w:rsid w:val="00945DCF"/>
    <w:rsid w:val="00947806"/>
    <w:rsid w:val="00952FFA"/>
    <w:rsid w:val="00954099"/>
    <w:rsid w:val="00956543"/>
    <w:rsid w:val="009605DC"/>
    <w:rsid w:val="009607AE"/>
    <w:rsid w:val="00963DD8"/>
    <w:rsid w:val="00965376"/>
    <w:rsid w:val="009673FA"/>
    <w:rsid w:val="00970101"/>
    <w:rsid w:val="00970592"/>
    <w:rsid w:val="00970950"/>
    <w:rsid w:val="00971C84"/>
    <w:rsid w:val="0097211E"/>
    <w:rsid w:val="00973FBC"/>
    <w:rsid w:val="009741F6"/>
    <w:rsid w:val="00977909"/>
    <w:rsid w:val="00980802"/>
    <w:rsid w:val="00982437"/>
    <w:rsid w:val="00982BE9"/>
    <w:rsid w:val="00984C94"/>
    <w:rsid w:val="0098570D"/>
    <w:rsid w:val="0098655E"/>
    <w:rsid w:val="00986F25"/>
    <w:rsid w:val="00987038"/>
    <w:rsid w:val="00987DEB"/>
    <w:rsid w:val="00990C0E"/>
    <w:rsid w:val="009928AF"/>
    <w:rsid w:val="00992E06"/>
    <w:rsid w:val="00993EB7"/>
    <w:rsid w:val="00994F65"/>
    <w:rsid w:val="00995967"/>
    <w:rsid w:val="00995A29"/>
    <w:rsid w:val="00997DAF"/>
    <w:rsid w:val="009A2F2E"/>
    <w:rsid w:val="009A4ACB"/>
    <w:rsid w:val="009A4F9E"/>
    <w:rsid w:val="009A5089"/>
    <w:rsid w:val="009B06B4"/>
    <w:rsid w:val="009B2511"/>
    <w:rsid w:val="009B6272"/>
    <w:rsid w:val="009B6BFA"/>
    <w:rsid w:val="009C3329"/>
    <w:rsid w:val="009C7F23"/>
    <w:rsid w:val="009D1ADF"/>
    <w:rsid w:val="009D2245"/>
    <w:rsid w:val="009D471B"/>
    <w:rsid w:val="009D5284"/>
    <w:rsid w:val="009D5B3D"/>
    <w:rsid w:val="009D5D88"/>
    <w:rsid w:val="009D6D96"/>
    <w:rsid w:val="009D78EE"/>
    <w:rsid w:val="009E014C"/>
    <w:rsid w:val="009E01B8"/>
    <w:rsid w:val="009E070E"/>
    <w:rsid w:val="009E0C71"/>
    <w:rsid w:val="009E109D"/>
    <w:rsid w:val="009E5C15"/>
    <w:rsid w:val="009F07D2"/>
    <w:rsid w:val="009F12E4"/>
    <w:rsid w:val="009F4245"/>
    <w:rsid w:val="009F469B"/>
    <w:rsid w:val="009F5B40"/>
    <w:rsid w:val="009F7B5E"/>
    <w:rsid w:val="00A003B8"/>
    <w:rsid w:val="00A00883"/>
    <w:rsid w:val="00A01AF7"/>
    <w:rsid w:val="00A05E02"/>
    <w:rsid w:val="00A0704A"/>
    <w:rsid w:val="00A079C1"/>
    <w:rsid w:val="00A07B85"/>
    <w:rsid w:val="00A1031D"/>
    <w:rsid w:val="00A11138"/>
    <w:rsid w:val="00A1282C"/>
    <w:rsid w:val="00A13C3F"/>
    <w:rsid w:val="00A13EE9"/>
    <w:rsid w:val="00A14358"/>
    <w:rsid w:val="00A1438C"/>
    <w:rsid w:val="00A14F2C"/>
    <w:rsid w:val="00A159D2"/>
    <w:rsid w:val="00A21814"/>
    <w:rsid w:val="00A21CCF"/>
    <w:rsid w:val="00A2635A"/>
    <w:rsid w:val="00A279D5"/>
    <w:rsid w:val="00A32A1D"/>
    <w:rsid w:val="00A36521"/>
    <w:rsid w:val="00A40723"/>
    <w:rsid w:val="00A41C78"/>
    <w:rsid w:val="00A41D0D"/>
    <w:rsid w:val="00A45A2B"/>
    <w:rsid w:val="00A45F99"/>
    <w:rsid w:val="00A46ED3"/>
    <w:rsid w:val="00A46F4C"/>
    <w:rsid w:val="00A4765F"/>
    <w:rsid w:val="00A50B81"/>
    <w:rsid w:val="00A51B5C"/>
    <w:rsid w:val="00A5261B"/>
    <w:rsid w:val="00A533F7"/>
    <w:rsid w:val="00A55E8E"/>
    <w:rsid w:val="00A57EE4"/>
    <w:rsid w:val="00A60AED"/>
    <w:rsid w:val="00A61472"/>
    <w:rsid w:val="00A617AB"/>
    <w:rsid w:val="00A622AC"/>
    <w:rsid w:val="00A6259A"/>
    <w:rsid w:val="00A6499E"/>
    <w:rsid w:val="00A71AF5"/>
    <w:rsid w:val="00A730EF"/>
    <w:rsid w:val="00A76BD7"/>
    <w:rsid w:val="00A801B1"/>
    <w:rsid w:val="00A81FA7"/>
    <w:rsid w:val="00A823A7"/>
    <w:rsid w:val="00A83016"/>
    <w:rsid w:val="00A83FF1"/>
    <w:rsid w:val="00A858F7"/>
    <w:rsid w:val="00A86614"/>
    <w:rsid w:val="00A86C00"/>
    <w:rsid w:val="00A8714F"/>
    <w:rsid w:val="00A911E3"/>
    <w:rsid w:val="00A92945"/>
    <w:rsid w:val="00A92ABB"/>
    <w:rsid w:val="00A92CDE"/>
    <w:rsid w:val="00A96730"/>
    <w:rsid w:val="00A97741"/>
    <w:rsid w:val="00A97C75"/>
    <w:rsid w:val="00AA03C3"/>
    <w:rsid w:val="00AA082C"/>
    <w:rsid w:val="00AA155C"/>
    <w:rsid w:val="00AA26AF"/>
    <w:rsid w:val="00AA32BB"/>
    <w:rsid w:val="00AA3612"/>
    <w:rsid w:val="00AA3C75"/>
    <w:rsid w:val="00AA5298"/>
    <w:rsid w:val="00AA5300"/>
    <w:rsid w:val="00AA655F"/>
    <w:rsid w:val="00AA672C"/>
    <w:rsid w:val="00AB5248"/>
    <w:rsid w:val="00AB5CAD"/>
    <w:rsid w:val="00AB5D11"/>
    <w:rsid w:val="00AC0442"/>
    <w:rsid w:val="00AC07E3"/>
    <w:rsid w:val="00AC247A"/>
    <w:rsid w:val="00AC2487"/>
    <w:rsid w:val="00AC3B8C"/>
    <w:rsid w:val="00AC71AB"/>
    <w:rsid w:val="00AD2F34"/>
    <w:rsid w:val="00AD5AD2"/>
    <w:rsid w:val="00AD5C4F"/>
    <w:rsid w:val="00AE1785"/>
    <w:rsid w:val="00AE2FAB"/>
    <w:rsid w:val="00AE33C1"/>
    <w:rsid w:val="00AE3C6C"/>
    <w:rsid w:val="00AF2B3F"/>
    <w:rsid w:val="00AF4D63"/>
    <w:rsid w:val="00AF5BD6"/>
    <w:rsid w:val="00AF7490"/>
    <w:rsid w:val="00B01901"/>
    <w:rsid w:val="00B01BE3"/>
    <w:rsid w:val="00B02B16"/>
    <w:rsid w:val="00B02E7F"/>
    <w:rsid w:val="00B04D6C"/>
    <w:rsid w:val="00B066C4"/>
    <w:rsid w:val="00B075E4"/>
    <w:rsid w:val="00B075F0"/>
    <w:rsid w:val="00B07805"/>
    <w:rsid w:val="00B108D9"/>
    <w:rsid w:val="00B112E8"/>
    <w:rsid w:val="00B14C47"/>
    <w:rsid w:val="00B14C62"/>
    <w:rsid w:val="00B1730D"/>
    <w:rsid w:val="00B17455"/>
    <w:rsid w:val="00B178FE"/>
    <w:rsid w:val="00B2084C"/>
    <w:rsid w:val="00B219EE"/>
    <w:rsid w:val="00B21F22"/>
    <w:rsid w:val="00B221E9"/>
    <w:rsid w:val="00B22B87"/>
    <w:rsid w:val="00B23540"/>
    <w:rsid w:val="00B23541"/>
    <w:rsid w:val="00B23617"/>
    <w:rsid w:val="00B23938"/>
    <w:rsid w:val="00B25291"/>
    <w:rsid w:val="00B258A4"/>
    <w:rsid w:val="00B25C4D"/>
    <w:rsid w:val="00B30774"/>
    <w:rsid w:val="00B32B91"/>
    <w:rsid w:val="00B34A0D"/>
    <w:rsid w:val="00B3759B"/>
    <w:rsid w:val="00B3787C"/>
    <w:rsid w:val="00B37F3D"/>
    <w:rsid w:val="00B412B8"/>
    <w:rsid w:val="00B42993"/>
    <w:rsid w:val="00B43BC8"/>
    <w:rsid w:val="00B43E23"/>
    <w:rsid w:val="00B46F4F"/>
    <w:rsid w:val="00B47137"/>
    <w:rsid w:val="00B477CE"/>
    <w:rsid w:val="00B50954"/>
    <w:rsid w:val="00B51865"/>
    <w:rsid w:val="00B5188F"/>
    <w:rsid w:val="00B527DF"/>
    <w:rsid w:val="00B53047"/>
    <w:rsid w:val="00B53611"/>
    <w:rsid w:val="00B5408E"/>
    <w:rsid w:val="00B55087"/>
    <w:rsid w:val="00B57588"/>
    <w:rsid w:val="00B6058A"/>
    <w:rsid w:val="00B61851"/>
    <w:rsid w:val="00B62A14"/>
    <w:rsid w:val="00B62BBA"/>
    <w:rsid w:val="00B6420A"/>
    <w:rsid w:val="00B67A07"/>
    <w:rsid w:val="00B67A46"/>
    <w:rsid w:val="00B67AE4"/>
    <w:rsid w:val="00B71891"/>
    <w:rsid w:val="00B718B6"/>
    <w:rsid w:val="00B75954"/>
    <w:rsid w:val="00B77B2E"/>
    <w:rsid w:val="00B8038B"/>
    <w:rsid w:val="00B822BD"/>
    <w:rsid w:val="00B834BD"/>
    <w:rsid w:val="00B8388F"/>
    <w:rsid w:val="00B8649A"/>
    <w:rsid w:val="00B87440"/>
    <w:rsid w:val="00B9102F"/>
    <w:rsid w:val="00B913AD"/>
    <w:rsid w:val="00B94230"/>
    <w:rsid w:val="00B973A4"/>
    <w:rsid w:val="00B977D4"/>
    <w:rsid w:val="00BA4987"/>
    <w:rsid w:val="00BA56C1"/>
    <w:rsid w:val="00BA588E"/>
    <w:rsid w:val="00BA5A5C"/>
    <w:rsid w:val="00BA5F62"/>
    <w:rsid w:val="00BA637B"/>
    <w:rsid w:val="00BA7F5D"/>
    <w:rsid w:val="00BB496C"/>
    <w:rsid w:val="00BB569C"/>
    <w:rsid w:val="00BB7941"/>
    <w:rsid w:val="00BC245E"/>
    <w:rsid w:val="00BC297A"/>
    <w:rsid w:val="00BC2FCF"/>
    <w:rsid w:val="00BC39EB"/>
    <w:rsid w:val="00BC3B75"/>
    <w:rsid w:val="00BC450B"/>
    <w:rsid w:val="00BC46AA"/>
    <w:rsid w:val="00BC5E22"/>
    <w:rsid w:val="00BC6798"/>
    <w:rsid w:val="00BC6F68"/>
    <w:rsid w:val="00BD0528"/>
    <w:rsid w:val="00BD084E"/>
    <w:rsid w:val="00BD0C87"/>
    <w:rsid w:val="00BD1C7E"/>
    <w:rsid w:val="00BD3439"/>
    <w:rsid w:val="00BD368D"/>
    <w:rsid w:val="00BD3D6D"/>
    <w:rsid w:val="00BD63E9"/>
    <w:rsid w:val="00BD6A3E"/>
    <w:rsid w:val="00BE1D86"/>
    <w:rsid w:val="00BE456C"/>
    <w:rsid w:val="00BE49E8"/>
    <w:rsid w:val="00BE4C7A"/>
    <w:rsid w:val="00BE586E"/>
    <w:rsid w:val="00BE6209"/>
    <w:rsid w:val="00BF0218"/>
    <w:rsid w:val="00BF0283"/>
    <w:rsid w:val="00BF0AE8"/>
    <w:rsid w:val="00BF1DBE"/>
    <w:rsid w:val="00BF37E2"/>
    <w:rsid w:val="00BF6B55"/>
    <w:rsid w:val="00C00B1E"/>
    <w:rsid w:val="00C0135A"/>
    <w:rsid w:val="00C017EB"/>
    <w:rsid w:val="00C03872"/>
    <w:rsid w:val="00C051C5"/>
    <w:rsid w:val="00C0649C"/>
    <w:rsid w:val="00C06942"/>
    <w:rsid w:val="00C07AA6"/>
    <w:rsid w:val="00C1061B"/>
    <w:rsid w:val="00C11D0E"/>
    <w:rsid w:val="00C11EA6"/>
    <w:rsid w:val="00C14265"/>
    <w:rsid w:val="00C16C63"/>
    <w:rsid w:val="00C179D5"/>
    <w:rsid w:val="00C2103E"/>
    <w:rsid w:val="00C212CF"/>
    <w:rsid w:val="00C213B7"/>
    <w:rsid w:val="00C22FFF"/>
    <w:rsid w:val="00C23688"/>
    <w:rsid w:val="00C24512"/>
    <w:rsid w:val="00C27985"/>
    <w:rsid w:val="00C31639"/>
    <w:rsid w:val="00C31926"/>
    <w:rsid w:val="00C31D90"/>
    <w:rsid w:val="00C31EED"/>
    <w:rsid w:val="00C32F23"/>
    <w:rsid w:val="00C33D67"/>
    <w:rsid w:val="00C362FA"/>
    <w:rsid w:val="00C3672A"/>
    <w:rsid w:val="00C41D72"/>
    <w:rsid w:val="00C42090"/>
    <w:rsid w:val="00C420D8"/>
    <w:rsid w:val="00C420E4"/>
    <w:rsid w:val="00C43808"/>
    <w:rsid w:val="00C46B69"/>
    <w:rsid w:val="00C4766C"/>
    <w:rsid w:val="00C47B07"/>
    <w:rsid w:val="00C50D25"/>
    <w:rsid w:val="00C51171"/>
    <w:rsid w:val="00C525F9"/>
    <w:rsid w:val="00C52DC0"/>
    <w:rsid w:val="00C53C72"/>
    <w:rsid w:val="00C53C81"/>
    <w:rsid w:val="00C56CDC"/>
    <w:rsid w:val="00C60A71"/>
    <w:rsid w:val="00C64941"/>
    <w:rsid w:val="00C64EE4"/>
    <w:rsid w:val="00C6581F"/>
    <w:rsid w:val="00C7024F"/>
    <w:rsid w:val="00C71247"/>
    <w:rsid w:val="00C7412D"/>
    <w:rsid w:val="00C75991"/>
    <w:rsid w:val="00C75CCA"/>
    <w:rsid w:val="00C76808"/>
    <w:rsid w:val="00C76F8E"/>
    <w:rsid w:val="00C8149F"/>
    <w:rsid w:val="00C81836"/>
    <w:rsid w:val="00C842D0"/>
    <w:rsid w:val="00C8580A"/>
    <w:rsid w:val="00C86089"/>
    <w:rsid w:val="00C870E6"/>
    <w:rsid w:val="00C87ABE"/>
    <w:rsid w:val="00C90CAF"/>
    <w:rsid w:val="00C90FC7"/>
    <w:rsid w:val="00C9188F"/>
    <w:rsid w:val="00C96340"/>
    <w:rsid w:val="00C96552"/>
    <w:rsid w:val="00CA0132"/>
    <w:rsid w:val="00CA26F3"/>
    <w:rsid w:val="00CA36F2"/>
    <w:rsid w:val="00CA3884"/>
    <w:rsid w:val="00CA3B3F"/>
    <w:rsid w:val="00CA5A6D"/>
    <w:rsid w:val="00CA719B"/>
    <w:rsid w:val="00CA77F2"/>
    <w:rsid w:val="00CB64D0"/>
    <w:rsid w:val="00CB79B6"/>
    <w:rsid w:val="00CC4157"/>
    <w:rsid w:val="00CC5390"/>
    <w:rsid w:val="00CC5456"/>
    <w:rsid w:val="00CD06B8"/>
    <w:rsid w:val="00CD0F7A"/>
    <w:rsid w:val="00CD1851"/>
    <w:rsid w:val="00CD2AD8"/>
    <w:rsid w:val="00CD3780"/>
    <w:rsid w:val="00CD47B6"/>
    <w:rsid w:val="00CE1889"/>
    <w:rsid w:val="00CE3602"/>
    <w:rsid w:val="00CF1268"/>
    <w:rsid w:val="00CF7A5A"/>
    <w:rsid w:val="00D01549"/>
    <w:rsid w:val="00D034FA"/>
    <w:rsid w:val="00D05385"/>
    <w:rsid w:val="00D05E47"/>
    <w:rsid w:val="00D07852"/>
    <w:rsid w:val="00D07FB9"/>
    <w:rsid w:val="00D11EE3"/>
    <w:rsid w:val="00D129C0"/>
    <w:rsid w:val="00D15B10"/>
    <w:rsid w:val="00D16BEE"/>
    <w:rsid w:val="00D21752"/>
    <w:rsid w:val="00D24B6A"/>
    <w:rsid w:val="00D254F8"/>
    <w:rsid w:val="00D32508"/>
    <w:rsid w:val="00D34176"/>
    <w:rsid w:val="00D35739"/>
    <w:rsid w:val="00D35E9E"/>
    <w:rsid w:val="00D36798"/>
    <w:rsid w:val="00D37708"/>
    <w:rsid w:val="00D40AA2"/>
    <w:rsid w:val="00D40EF6"/>
    <w:rsid w:val="00D413AB"/>
    <w:rsid w:val="00D41999"/>
    <w:rsid w:val="00D4670F"/>
    <w:rsid w:val="00D468F8"/>
    <w:rsid w:val="00D46D1B"/>
    <w:rsid w:val="00D50CEA"/>
    <w:rsid w:val="00D5574C"/>
    <w:rsid w:val="00D611BE"/>
    <w:rsid w:val="00D63E9B"/>
    <w:rsid w:val="00D63FC3"/>
    <w:rsid w:val="00D649AF"/>
    <w:rsid w:val="00D652F3"/>
    <w:rsid w:val="00D65982"/>
    <w:rsid w:val="00D67BB1"/>
    <w:rsid w:val="00D71672"/>
    <w:rsid w:val="00D71721"/>
    <w:rsid w:val="00D71B62"/>
    <w:rsid w:val="00D7477E"/>
    <w:rsid w:val="00D81314"/>
    <w:rsid w:val="00D82BC0"/>
    <w:rsid w:val="00D82FE7"/>
    <w:rsid w:val="00D83EC1"/>
    <w:rsid w:val="00D85162"/>
    <w:rsid w:val="00D85B50"/>
    <w:rsid w:val="00D864E2"/>
    <w:rsid w:val="00D907E8"/>
    <w:rsid w:val="00D91A2E"/>
    <w:rsid w:val="00D9208D"/>
    <w:rsid w:val="00D929A0"/>
    <w:rsid w:val="00D9381B"/>
    <w:rsid w:val="00D96C76"/>
    <w:rsid w:val="00D974DF"/>
    <w:rsid w:val="00DA01DC"/>
    <w:rsid w:val="00DA1684"/>
    <w:rsid w:val="00DA2003"/>
    <w:rsid w:val="00DA4C68"/>
    <w:rsid w:val="00DA54C1"/>
    <w:rsid w:val="00DA5A68"/>
    <w:rsid w:val="00DA6472"/>
    <w:rsid w:val="00DB0457"/>
    <w:rsid w:val="00DB09C5"/>
    <w:rsid w:val="00DB2CA6"/>
    <w:rsid w:val="00DB3DDF"/>
    <w:rsid w:val="00DB6A44"/>
    <w:rsid w:val="00DB6BDD"/>
    <w:rsid w:val="00DB6DB7"/>
    <w:rsid w:val="00DB77FA"/>
    <w:rsid w:val="00DB7847"/>
    <w:rsid w:val="00DB7EA1"/>
    <w:rsid w:val="00DC4285"/>
    <w:rsid w:val="00DC50AF"/>
    <w:rsid w:val="00DC76BB"/>
    <w:rsid w:val="00DC7CEA"/>
    <w:rsid w:val="00DD01C1"/>
    <w:rsid w:val="00DD17A3"/>
    <w:rsid w:val="00DD1E64"/>
    <w:rsid w:val="00DD387C"/>
    <w:rsid w:val="00DD47CA"/>
    <w:rsid w:val="00DD49D1"/>
    <w:rsid w:val="00DD51BC"/>
    <w:rsid w:val="00DE429E"/>
    <w:rsid w:val="00DE5289"/>
    <w:rsid w:val="00DE5DB2"/>
    <w:rsid w:val="00DE5EA6"/>
    <w:rsid w:val="00DE75C5"/>
    <w:rsid w:val="00DF008D"/>
    <w:rsid w:val="00DF062D"/>
    <w:rsid w:val="00DF204D"/>
    <w:rsid w:val="00DF2703"/>
    <w:rsid w:val="00DF3011"/>
    <w:rsid w:val="00DF4974"/>
    <w:rsid w:val="00DF6EAC"/>
    <w:rsid w:val="00E00F96"/>
    <w:rsid w:val="00E0220E"/>
    <w:rsid w:val="00E02FDE"/>
    <w:rsid w:val="00E0511A"/>
    <w:rsid w:val="00E0628C"/>
    <w:rsid w:val="00E125C3"/>
    <w:rsid w:val="00E13481"/>
    <w:rsid w:val="00E150E1"/>
    <w:rsid w:val="00E15FCD"/>
    <w:rsid w:val="00E228D9"/>
    <w:rsid w:val="00E24FF6"/>
    <w:rsid w:val="00E2515B"/>
    <w:rsid w:val="00E2526C"/>
    <w:rsid w:val="00E261B4"/>
    <w:rsid w:val="00E26804"/>
    <w:rsid w:val="00E2726E"/>
    <w:rsid w:val="00E27F52"/>
    <w:rsid w:val="00E33035"/>
    <w:rsid w:val="00E35964"/>
    <w:rsid w:val="00E36079"/>
    <w:rsid w:val="00E36167"/>
    <w:rsid w:val="00E36970"/>
    <w:rsid w:val="00E36DE5"/>
    <w:rsid w:val="00E379F6"/>
    <w:rsid w:val="00E406A8"/>
    <w:rsid w:val="00E41D60"/>
    <w:rsid w:val="00E42B11"/>
    <w:rsid w:val="00E432A9"/>
    <w:rsid w:val="00E4337D"/>
    <w:rsid w:val="00E43C0F"/>
    <w:rsid w:val="00E45E4D"/>
    <w:rsid w:val="00E47552"/>
    <w:rsid w:val="00E47610"/>
    <w:rsid w:val="00E508D3"/>
    <w:rsid w:val="00E50B76"/>
    <w:rsid w:val="00E5254C"/>
    <w:rsid w:val="00E537D7"/>
    <w:rsid w:val="00E5400F"/>
    <w:rsid w:val="00E56818"/>
    <w:rsid w:val="00E57986"/>
    <w:rsid w:val="00E62203"/>
    <w:rsid w:val="00E62F3D"/>
    <w:rsid w:val="00E63B67"/>
    <w:rsid w:val="00E659C8"/>
    <w:rsid w:val="00E673D7"/>
    <w:rsid w:val="00E707BE"/>
    <w:rsid w:val="00E72416"/>
    <w:rsid w:val="00E734EB"/>
    <w:rsid w:val="00E73B4E"/>
    <w:rsid w:val="00E73E8D"/>
    <w:rsid w:val="00E7584D"/>
    <w:rsid w:val="00E828F5"/>
    <w:rsid w:val="00E82E69"/>
    <w:rsid w:val="00E84E7D"/>
    <w:rsid w:val="00E86881"/>
    <w:rsid w:val="00E935B9"/>
    <w:rsid w:val="00E94201"/>
    <w:rsid w:val="00E95F62"/>
    <w:rsid w:val="00E96422"/>
    <w:rsid w:val="00E97D0A"/>
    <w:rsid w:val="00EA020A"/>
    <w:rsid w:val="00EA03D5"/>
    <w:rsid w:val="00EA1FA6"/>
    <w:rsid w:val="00EA2454"/>
    <w:rsid w:val="00EA24E2"/>
    <w:rsid w:val="00EA2E5D"/>
    <w:rsid w:val="00EA3822"/>
    <w:rsid w:val="00EA6DCD"/>
    <w:rsid w:val="00EB021D"/>
    <w:rsid w:val="00EB14C3"/>
    <w:rsid w:val="00EB2839"/>
    <w:rsid w:val="00EC0230"/>
    <w:rsid w:val="00EC33E6"/>
    <w:rsid w:val="00EC4FA2"/>
    <w:rsid w:val="00EC53C5"/>
    <w:rsid w:val="00EC5D00"/>
    <w:rsid w:val="00ED050B"/>
    <w:rsid w:val="00ED1D8B"/>
    <w:rsid w:val="00ED3E00"/>
    <w:rsid w:val="00ED57DE"/>
    <w:rsid w:val="00ED5C1F"/>
    <w:rsid w:val="00ED654D"/>
    <w:rsid w:val="00EE1723"/>
    <w:rsid w:val="00EE2629"/>
    <w:rsid w:val="00EE2FAE"/>
    <w:rsid w:val="00EE3630"/>
    <w:rsid w:val="00EE430E"/>
    <w:rsid w:val="00EE4869"/>
    <w:rsid w:val="00EE574B"/>
    <w:rsid w:val="00EE73F0"/>
    <w:rsid w:val="00EE7763"/>
    <w:rsid w:val="00EE7F52"/>
    <w:rsid w:val="00EF0C0A"/>
    <w:rsid w:val="00EF1CA1"/>
    <w:rsid w:val="00EF3E23"/>
    <w:rsid w:val="00EF520D"/>
    <w:rsid w:val="00EF5ED1"/>
    <w:rsid w:val="00F00D0B"/>
    <w:rsid w:val="00F016F7"/>
    <w:rsid w:val="00F02D38"/>
    <w:rsid w:val="00F03E9C"/>
    <w:rsid w:val="00F06F4B"/>
    <w:rsid w:val="00F07943"/>
    <w:rsid w:val="00F11E9B"/>
    <w:rsid w:val="00F13907"/>
    <w:rsid w:val="00F13CC4"/>
    <w:rsid w:val="00F13F90"/>
    <w:rsid w:val="00F1431C"/>
    <w:rsid w:val="00F2057F"/>
    <w:rsid w:val="00F22306"/>
    <w:rsid w:val="00F24C12"/>
    <w:rsid w:val="00F24F7A"/>
    <w:rsid w:val="00F2779E"/>
    <w:rsid w:val="00F33C14"/>
    <w:rsid w:val="00F34231"/>
    <w:rsid w:val="00F35BD9"/>
    <w:rsid w:val="00F37456"/>
    <w:rsid w:val="00F41B3D"/>
    <w:rsid w:val="00F41BB4"/>
    <w:rsid w:val="00F41C5F"/>
    <w:rsid w:val="00F42198"/>
    <w:rsid w:val="00F42200"/>
    <w:rsid w:val="00F4232F"/>
    <w:rsid w:val="00F4268B"/>
    <w:rsid w:val="00F43015"/>
    <w:rsid w:val="00F45215"/>
    <w:rsid w:val="00F453A1"/>
    <w:rsid w:val="00F51B9B"/>
    <w:rsid w:val="00F5209F"/>
    <w:rsid w:val="00F52D53"/>
    <w:rsid w:val="00F56A40"/>
    <w:rsid w:val="00F56F16"/>
    <w:rsid w:val="00F57C15"/>
    <w:rsid w:val="00F61340"/>
    <w:rsid w:val="00F64814"/>
    <w:rsid w:val="00F64EC5"/>
    <w:rsid w:val="00F67301"/>
    <w:rsid w:val="00F708F2"/>
    <w:rsid w:val="00F711A9"/>
    <w:rsid w:val="00F71D95"/>
    <w:rsid w:val="00F77823"/>
    <w:rsid w:val="00F80FD4"/>
    <w:rsid w:val="00F8196F"/>
    <w:rsid w:val="00F82A7A"/>
    <w:rsid w:val="00F833DB"/>
    <w:rsid w:val="00F83E21"/>
    <w:rsid w:val="00F8442D"/>
    <w:rsid w:val="00F8585F"/>
    <w:rsid w:val="00F86997"/>
    <w:rsid w:val="00F87171"/>
    <w:rsid w:val="00F87490"/>
    <w:rsid w:val="00F93087"/>
    <w:rsid w:val="00F930F2"/>
    <w:rsid w:val="00F939F5"/>
    <w:rsid w:val="00F93E90"/>
    <w:rsid w:val="00F97334"/>
    <w:rsid w:val="00F97CAE"/>
    <w:rsid w:val="00F97DB8"/>
    <w:rsid w:val="00FA135E"/>
    <w:rsid w:val="00FA2484"/>
    <w:rsid w:val="00FA2774"/>
    <w:rsid w:val="00FA349B"/>
    <w:rsid w:val="00FA3E00"/>
    <w:rsid w:val="00FA4C9D"/>
    <w:rsid w:val="00FA678E"/>
    <w:rsid w:val="00FB0384"/>
    <w:rsid w:val="00FB0F3F"/>
    <w:rsid w:val="00FB195C"/>
    <w:rsid w:val="00FB2E5B"/>
    <w:rsid w:val="00FB3202"/>
    <w:rsid w:val="00FB4D46"/>
    <w:rsid w:val="00FC1470"/>
    <w:rsid w:val="00FC1BFA"/>
    <w:rsid w:val="00FC26AC"/>
    <w:rsid w:val="00FC58C4"/>
    <w:rsid w:val="00FD0A2F"/>
    <w:rsid w:val="00FD297E"/>
    <w:rsid w:val="00FD34A4"/>
    <w:rsid w:val="00FD38DA"/>
    <w:rsid w:val="00FD45BA"/>
    <w:rsid w:val="00FD7E12"/>
    <w:rsid w:val="00FE1D72"/>
    <w:rsid w:val="00FE27BB"/>
    <w:rsid w:val="00FE41FF"/>
    <w:rsid w:val="00FE4982"/>
    <w:rsid w:val="00FE55BA"/>
    <w:rsid w:val="00FF0374"/>
    <w:rsid w:val="00FF0F64"/>
    <w:rsid w:val="00FF121A"/>
    <w:rsid w:val="00FF20DB"/>
    <w:rsid w:val="00FF2950"/>
    <w:rsid w:val="00FF2F0E"/>
    <w:rsid w:val="00FF3F57"/>
    <w:rsid w:val="00FF530E"/>
    <w:rsid w:val="00FF7738"/>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E43050"/>
  <w15:docId w15:val="{A78DDFC8-A6A4-4AD6-B78D-9B44BE34EA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37F3D"/>
    <w:rPr>
      <w:sz w:val="24"/>
      <w:szCs w:val="24"/>
      <w:lang w:eastAsia="en-US"/>
    </w:rPr>
  </w:style>
  <w:style w:type="paragraph" w:styleId="Heading1">
    <w:name w:val="heading 1"/>
    <w:basedOn w:val="Normal"/>
    <w:next w:val="Normal"/>
    <w:link w:val="Heading1Char1"/>
    <w:qFormat/>
    <w:rsid w:val="00CD3780"/>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B37F3D"/>
    <w:pPr>
      <w:jc w:val="center"/>
    </w:pPr>
    <w:rPr>
      <w:b/>
      <w:bCs/>
      <w:lang w:eastAsia="es-ES"/>
    </w:rPr>
  </w:style>
  <w:style w:type="paragraph" w:styleId="Header">
    <w:name w:val="header"/>
    <w:basedOn w:val="Normal"/>
    <w:link w:val="HeaderChar"/>
    <w:uiPriority w:val="99"/>
    <w:rsid w:val="00B37F3D"/>
    <w:pPr>
      <w:tabs>
        <w:tab w:val="center" w:pos="4153"/>
        <w:tab w:val="right" w:pos="8306"/>
      </w:tabs>
    </w:pPr>
    <w:rPr>
      <w:lang w:eastAsia="es-ES"/>
    </w:rPr>
  </w:style>
  <w:style w:type="paragraph" w:styleId="BodyText3">
    <w:name w:val="Body Text 3"/>
    <w:basedOn w:val="Normal"/>
    <w:rsid w:val="00B37F3D"/>
    <w:pPr>
      <w:tabs>
        <w:tab w:val="left" w:pos="300"/>
      </w:tabs>
    </w:pPr>
    <w:rPr>
      <w:sz w:val="22"/>
    </w:rPr>
  </w:style>
  <w:style w:type="paragraph" w:styleId="Footer">
    <w:name w:val="footer"/>
    <w:basedOn w:val="Normal"/>
    <w:link w:val="FooterChar"/>
    <w:uiPriority w:val="99"/>
    <w:rsid w:val="00B37F3D"/>
    <w:pPr>
      <w:tabs>
        <w:tab w:val="center" w:pos="4153"/>
        <w:tab w:val="right" w:pos="8306"/>
      </w:tabs>
    </w:pPr>
    <w:rPr>
      <w:sz w:val="20"/>
    </w:rPr>
  </w:style>
  <w:style w:type="character" w:styleId="PageNumber">
    <w:name w:val="page number"/>
    <w:basedOn w:val="DefaultParagraphFont"/>
    <w:rsid w:val="00B37F3D"/>
  </w:style>
  <w:style w:type="paragraph" w:styleId="BodyTextIndent">
    <w:name w:val="Body Text Indent"/>
    <w:basedOn w:val="Normal"/>
    <w:rsid w:val="00B37F3D"/>
    <w:pPr>
      <w:spacing w:after="120"/>
      <w:ind w:left="360"/>
    </w:pPr>
  </w:style>
  <w:style w:type="paragraph" w:styleId="BalloonText">
    <w:name w:val="Balloon Text"/>
    <w:basedOn w:val="Normal"/>
    <w:link w:val="BalloonTextChar"/>
    <w:uiPriority w:val="99"/>
    <w:semiHidden/>
    <w:rsid w:val="00B37F3D"/>
    <w:rPr>
      <w:rFonts w:ascii="Tahoma" w:hAnsi="Tahoma" w:cs="Tahoma"/>
      <w:sz w:val="16"/>
      <w:szCs w:val="16"/>
    </w:rPr>
  </w:style>
  <w:style w:type="paragraph" w:styleId="Title">
    <w:name w:val="Title"/>
    <w:basedOn w:val="Normal"/>
    <w:link w:val="TitleChar"/>
    <w:qFormat/>
    <w:rsid w:val="00E828F5"/>
    <w:pPr>
      <w:jc w:val="center"/>
    </w:pPr>
    <w:rPr>
      <w:rFonts w:eastAsia="MS Mincho"/>
      <w:b/>
      <w:caps/>
      <w:sz w:val="20"/>
      <w:lang w:eastAsia="ja-JP"/>
    </w:rPr>
  </w:style>
  <w:style w:type="character" w:customStyle="1" w:styleId="TitleChar">
    <w:name w:val="Title Char"/>
    <w:basedOn w:val="DefaultParagraphFont"/>
    <w:link w:val="Title"/>
    <w:rsid w:val="00E828F5"/>
    <w:rPr>
      <w:rFonts w:eastAsia="MS Mincho"/>
      <w:b/>
      <w:caps/>
      <w:szCs w:val="24"/>
      <w:lang w:val="es-ES" w:eastAsia="ja-JP"/>
    </w:rPr>
  </w:style>
  <w:style w:type="paragraph" w:styleId="ListParagraph">
    <w:name w:val="List Paragraph"/>
    <w:basedOn w:val="Normal"/>
    <w:qFormat/>
    <w:rsid w:val="00B977D4"/>
    <w:pPr>
      <w:ind w:left="720"/>
    </w:pPr>
    <w:rPr>
      <w:rFonts w:ascii="Calibri" w:eastAsiaTheme="minorHAnsi" w:hAnsi="Calibri" w:cs="Calibri"/>
      <w:sz w:val="22"/>
      <w:szCs w:val="22"/>
      <w:lang w:eastAsia="es-ES"/>
    </w:rPr>
  </w:style>
  <w:style w:type="character" w:customStyle="1" w:styleId="hps">
    <w:name w:val="hps"/>
    <w:basedOn w:val="DefaultParagraphFont"/>
    <w:rsid w:val="00634073"/>
  </w:style>
  <w:style w:type="character" w:styleId="Emphasis">
    <w:name w:val="Emphasis"/>
    <w:basedOn w:val="DefaultParagraphFont"/>
    <w:uiPriority w:val="20"/>
    <w:qFormat/>
    <w:rsid w:val="00634073"/>
    <w:rPr>
      <w:i/>
      <w:iCs/>
    </w:rPr>
  </w:style>
  <w:style w:type="paragraph" w:styleId="NoSpacing">
    <w:name w:val="No Spacing"/>
    <w:uiPriority w:val="1"/>
    <w:qFormat/>
    <w:rsid w:val="000D1E9A"/>
    <w:rPr>
      <w:szCs w:val="24"/>
      <w:lang w:eastAsia="en-US"/>
    </w:rPr>
  </w:style>
  <w:style w:type="character" w:styleId="CommentReference">
    <w:name w:val="annotation reference"/>
    <w:basedOn w:val="DefaultParagraphFont"/>
    <w:uiPriority w:val="99"/>
    <w:rsid w:val="0092214B"/>
    <w:rPr>
      <w:sz w:val="16"/>
      <w:szCs w:val="16"/>
    </w:rPr>
  </w:style>
  <w:style w:type="paragraph" w:styleId="CommentText">
    <w:name w:val="annotation text"/>
    <w:basedOn w:val="Normal"/>
    <w:link w:val="CommentTextChar"/>
    <w:uiPriority w:val="99"/>
    <w:rsid w:val="0092214B"/>
    <w:rPr>
      <w:sz w:val="20"/>
      <w:szCs w:val="20"/>
    </w:rPr>
  </w:style>
  <w:style w:type="character" w:customStyle="1" w:styleId="CommentTextChar">
    <w:name w:val="Comment Text Char"/>
    <w:basedOn w:val="DefaultParagraphFont"/>
    <w:link w:val="CommentText"/>
    <w:uiPriority w:val="99"/>
    <w:rsid w:val="0092214B"/>
    <w:rPr>
      <w:lang w:val="es-ES" w:eastAsia="en-US"/>
    </w:rPr>
  </w:style>
  <w:style w:type="paragraph" w:styleId="CommentSubject">
    <w:name w:val="annotation subject"/>
    <w:basedOn w:val="CommentText"/>
    <w:next w:val="CommentText"/>
    <w:link w:val="CommentSubjectChar"/>
    <w:uiPriority w:val="99"/>
    <w:rsid w:val="0092214B"/>
    <w:rPr>
      <w:b/>
      <w:bCs/>
    </w:rPr>
  </w:style>
  <w:style w:type="character" w:customStyle="1" w:styleId="CommentSubjectChar">
    <w:name w:val="Comment Subject Char"/>
    <w:basedOn w:val="CommentTextChar"/>
    <w:link w:val="CommentSubject"/>
    <w:uiPriority w:val="99"/>
    <w:rsid w:val="0092214B"/>
    <w:rPr>
      <w:b/>
      <w:bCs/>
      <w:lang w:val="es-ES" w:eastAsia="en-US"/>
    </w:rPr>
  </w:style>
  <w:style w:type="character" w:customStyle="1" w:styleId="FooterChar">
    <w:name w:val="Footer Char"/>
    <w:basedOn w:val="DefaultParagraphFont"/>
    <w:link w:val="Footer"/>
    <w:uiPriority w:val="99"/>
    <w:rsid w:val="001605DF"/>
    <w:rPr>
      <w:szCs w:val="24"/>
      <w:lang w:val="es-ES" w:eastAsia="en-US"/>
    </w:rPr>
  </w:style>
  <w:style w:type="paragraph" w:customStyle="1" w:styleId="Normal1">
    <w:name w:val="Normal1"/>
    <w:link w:val="normalChar"/>
    <w:qFormat/>
    <w:rsid w:val="00D649AF"/>
    <w:pPr>
      <w:widowControl w:val="0"/>
      <w:suppressAutoHyphens/>
      <w:textAlignment w:val="baseline"/>
    </w:pPr>
    <w:rPr>
      <w:rFonts w:ascii="Courier" w:eastAsia="SimSun" w:hAnsi="Courier" w:cs="Courier"/>
      <w:sz w:val="24"/>
      <w:szCs w:val="24"/>
      <w:lang w:eastAsia="zh-CN"/>
    </w:rPr>
  </w:style>
  <w:style w:type="character" w:customStyle="1" w:styleId="normalChar">
    <w:name w:val="normal Char"/>
    <w:basedOn w:val="DefaultParagraphFont"/>
    <w:link w:val="Normal1"/>
    <w:rsid w:val="00D649AF"/>
    <w:rPr>
      <w:rFonts w:ascii="Courier" w:eastAsia="SimSun" w:hAnsi="Courier" w:cs="Courier"/>
      <w:sz w:val="24"/>
      <w:szCs w:val="24"/>
      <w:lang w:eastAsia="zh-CN"/>
    </w:rPr>
  </w:style>
  <w:style w:type="character" w:customStyle="1" w:styleId="HeaderChar">
    <w:name w:val="Header Char"/>
    <w:basedOn w:val="DefaultParagraphFont"/>
    <w:link w:val="Header"/>
    <w:uiPriority w:val="99"/>
    <w:rsid w:val="00937F28"/>
    <w:rPr>
      <w:sz w:val="24"/>
      <w:szCs w:val="24"/>
      <w:lang w:val="es-ES" w:eastAsia="es-ES"/>
    </w:rPr>
  </w:style>
  <w:style w:type="character" w:styleId="Hyperlink">
    <w:name w:val="Hyperlink"/>
    <w:basedOn w:val="DefaultParagraphFont"/>
    <w:uiPriority w:val="99"/>
    <w:unhideWhenUsed/>
    <w:rsid w:val="00481153"/>
    <w:rPr>
      <w:color w:val="0000FF" w:themeColor="hyperlink"/>
      <w:u w:val="single"/>
    </w:rPr>
  </w:style>
  <w:style w:type="character" w:styleId="UnresolvedMention">
    <w:name w:val="Unresolved Mention"/>
    <w:basedOn w:val="DefaultParagraphFont"/>
    <w:uiPriority w:val="99"/>
    <w:semiHidden/>
    <w:unhideWhenUsed/>
    <w:rsid w:val="00481153"/>
    <w:rPr>
      <w:color w:val="605E5C"/>
      <w:shd w:val="clear" w:color="auto" w:fill="E1DFDD"/>
    </w:rPr>
  </w:style>
  <w:style w:type="paragraph" w:customStyle="1" w:styleId="Heading11">
    <w:name w:val="Heading 11"/>
    <w:basedOn w:val="Normal"/>
    <w:next w:val="Normal"/>
    <w:link w:val="Heading1Char"/>
    <w:uiPriority w:val="9"/>
    <w:qFormat/>
    <w:rsid w:val="00CD3780"/>
    <w:pPr>
      <w:keepNext/>
      <w:keepLines/>
      <w:spacing w:before="240" w:line="276" w:lineRule="auto"/>
      <w:outlineLvl w:val="0"/>
    </w:pPr>
    <w:rPr>
      <w:rFonts w:ascii="Cambria" w:hAnsi="Cambria"/>
      <w:color w:val="365F91"/>
      <w:sz w:val="32"/>
      <w:szCs w:val="32"/>
      <w:lang w:eastAsia="en-GB"/>
    </w:rPr>
  </w:style>
  <w:style w:type="table" w:customStyle="1" w:styleId="TableGrid1">
    <w:name w:val="Table Grid1"/>
    <w:basedOn w:val="TableNormal"/>
    <w:next w:val="TableGrid"/>
    <w:uiPriority w:val="39"/>
    <w:rsid w:val="004D60D3"/>
    <w:rPr>
      <w:rFonts w:eastAsia="MS Gothic"/>
      <w:color w:val="000000"/>
      <w:sz w:val="24"/>
      <w:szCs w:val="24"/>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CD3780"/>
    <w:rPr>
      <w:rFonts w:eastAsia="MS Gothic"/>
      <w:color w:val="000000"/>
      <w:sz w:val="24"/>
      <w:szCs w:val="24"/>
      <w:lang w:eastAsia="fr-FR" w:bidi="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basedOn w:val="DefaultParagraphFont"/>
    <w:link w:val="BalloonText"/>
    <w:uiPriority w:val="99"/>
    <w:semiHidden/>
    <w:rsid w:val="00CD3780"/>
    <w:rPr>
      <w:rFonts w:ascii="Tahoma" w:hAnsi="Tahoma" w:cs="Tahoma"/>
      <w:sz w:val="16"/>
      <w:szCs w:val="16"/>
      <w:lang w:val="es-ES" w:eastAsia="en-US"/>
    </w:rPr>
  </w:style>
  <w:style w:type="paragraph" w:customStyle="1" w:styleId="Default">
    <w:name w:val="Default"/>
    <w:rsid w:val="00CD3780"/>
    <w:pPr>
      <w:autoSpaceDE w:val="0"/>
      <w:autoSpaceDN w:val="0"/>
      <w:adjustRightInd w:val="0"/>
    </w:pPr>
    <w:rPr>
      <w:rFonts w:ascii="Cambria" w:eastAsia="Calibri" w:hAnsi="Cambria" w:cs="Cambria"/>
      <w:color w:val="000000"/>
      <w:sz w:val="24"/>
      <w:szCs w:val="24"/>
      <w:lang w:eastAsia="en-US"/>
    </w:rPr>
  </w:style>
  <w:style w:type="paragraph" w:styleId="FootnoteText">
    <w:name w:val="footnote text"/>
    <w:basedOn w:val="Normal"/>
    <w:link w:val="FootnoteTextChar"/>
    <w:uiPriority w:val="99"/>
    <w:unhideWhenUsed/>
    <w:rsid w:val="00CD3780"/>
    <w:rPr>
      <w:rFonts w:ascii="Cambria" w:eastAsia="Calibri" w:hAnsi="Cambria" w:cs="Arial"/>
      <w:sz w:val="20"/>
      <w:szCs w:val="20"/>
    </w:rPr>
  </w:style>
  <w:style w:type="character" w:customStyle="1" w:styleId="FootnoteTextChar">
    <w:name w:val="Footnote Text Char"/>
    <w:basedOn w:val="DefaultParagraphFont"/>
    <w:link w:val="FootnoteText"/>
    <w:uiPriority w:val="99"/>
    <w:rsid w:val="00CD3780"/>
    <w:rPr>
      <w:rFonts w:ascii="Cambria" w:eastAsia="Calibri" w:hAnsi="Cambria" w:cs="Arial"/>
      <w:lang w:val="es-ES" w:eastAsia="en-US"/>
    </w:rPr>
  </w:style>
  <w:style w:type="character" w:styleId="FootnoteReference">
    <w:name w:val="footnote reference"/>
    <w:basedOn w:val="DefaultParagraphFont"/>
    <w:uiPriority w:val="99"/>
    <w:semiHidden/>
    <w:unhideWhenUsed/>
    <w:rsid w:val="00CD3780"/>
    <w:rPr>
      <w:vertAlign w:val="superscript"/>
    </w:rPr>
  </w:style>
  <w:style w:type="paragraph" w:customStyle="1" w:styleId="Heading1bis">
    <w:name w:val="Heading 1 bis"/>
    <w:basedOn w:val="Heading1"/>
    <w:link w:val="Heading1bisChar"/>
    <w:qFormat/>
    <w:rsid w:val="00CD3780"/>
    <w:pPr>
      <w:spacing w:line="276" w:lineRule="auto"/>
      <w:outlineLvl w:val="9"/>
    </w:pPr>
    <w:rPr>
      <w:rFonts w:ascii="Cambria" w:hAnsi="Cambria"/>
      <w:b/>
      <w:smallCaps/>
      <w:sz w:val="24"/>
    </w:rPr>
  </w:style>
  <w:style w:type="paragraph" w:customStyle="1" w:styleId="Heading2bis">
    <w:name w:val="Heading 2 bis"/>
    <w:basedOn w:val="Heading1bis"/>
    <w:link w:val="Heading2bisChar"/>
    <w:qFormat/>
    <w:rsid w:val="00CD3780"/>
    <w:pPr>
      <w:numPr>
        <w:numId w:val="17"/>
      </w:numPr>
    </w:pPr>
    <w:rPr>
      <w:smallCaps w:val="0"/>
    </w:rPr>
  </w:style>
  <w:style w:type="character" w:customStyle="1" w:styleId="Heading1bisChar">
    <w:name w:val="Heading 1 bis Char"/>
    <w:basedOn w:val="Heading1Char"/>
    <w:link w:val="Heading1bis"/>
    <w:rsid w:val="00CD3780"/>
    <w:rPr>
      <w:rFonts w:ascii="Cambria" w:eastAsiaTheme="majorEastAsia" w:hAnsi="Cambria" w:cstheme="majorBidi"/>
      <w:b/>
      <w:smallCaps/>
      <w:color w:val="365F91" w:themeColor="accent1" w:themeShade="BF"/>
      <w:sz w:val="24"/>
      <w:szCs w:val="32"/>
      <w:lang w:val="es-ES" w:eastAsia="en-US"/>
    </w:rPr>
  </w:style>
  <w:style w:type="character" w:customStyle="1" w:styleId="Heading2bisChar">
    <w:name w:val="Heading 2 bis Char"/>
    <w:basedOn w:val="Heading1bisChar"/>
    <w:link w:val="Heading2bis"/>
    <w:rsid w:val="00CD3780"/>
    <w:rPr>
      <w:rFonts w:ascii="Cambria" w:eastAsiaTheme="majorEastAsia" w:hAnsi="Cambria" w:cstheme="majorBidi"/>
      <w:b/>
      <w:smallCaps w:val="0"/>
      <w:color w:val="365F91" w:themeColor="accent1" w:themeShade="BF"/>
      <w:sz w:val="24"/>
      <w:szCs w:val="32"/>
      <w:lang w:val="es-ES" w:eastAsia="en-US"/>
    </w:rPr>
  </w:style>
  <w:style w:type="character" w:customStyle="1" w:styleId="Heading1Char">
    <w:name w:val="Heading 1 Char"/>
    <w:basedOn w:val="DefaultParagraphFont"/>
    <w:link w:val="Heading11"/>
    <w:uiPriority w:val="9"/>
    <w:rsid w:val="00CD3780"/>
    <w:rPr>
      <w:rFonts w:ascii="Cambria" w:eastAsia="Times New Roman" w:hAnsi="Cambria" w:cs="Times New Roman"/>
      <w:color w:val="365F91"/>
      <w:sz w:val="32"/>
      <w:szCs w:val="32"/>
    </w:rPr>
  </w:style>
  <w:style w:type="character" w:customStyle="1" w:styleId="Heading1Char1">
    <w:name w:val="Heading 1 Char1"/>
    <w:basedOn w:val="DefaultParagraphFont"/>
    <w:link w:val="Heading1"/>
    <w:rsid w:val="00CD3780"/>
    <w:rPr>
      <w:rFonts w:asciiTheme="majorHAnsi" w:eastAsiaTheme="majorEastAsia" w:hAnsiTheme="majorHAnsi" w:cstheme="majorBidi"/>
      <w:color w:val="365F91" w:themeColor="accent1" w:themeShade="BF"/>
      <w:sz w:val="32"/>
      <w:szCs w:val="32"/>
      <w:lang w:val="es-ES" w:eastAsia="en-US"/>
    </w:rPr>
  </w:style>
  <w:style w:type="table" w:customStyle="1" w:styleId="TableGrid2">
    <w:name w:val="Table Grid2"/>
    <w:basedOn w:val="TableNormal"/>
    <w:next w:val="TableGrid"/>
    <w:uiPriority w:val="39"/>
    <w:rsid w:val="00313F99"/>
    <w:rPr>
      <w:rFonts w:eastAsia="MS Gothic"/>
      <w:color w:val="000000"/>
      <w:sz w:val="24"/>
      <w:szCs w:val="24"/>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semiHidden/>
    <w:unhideWhenUsed/>
    <w:rsid w:val="00C7599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1257381">
      <w:bodyDiv w:val="1"/>
      <w:marLeft w:val="0"/>
      <w:marRight w:val="0"/>
      <w:marTop w:val="0"/>
      <w:marBottom w:val="0"/>
      <w:divBdr>
        <w:top w:val="none" w:sz="0" w:space="0" w:color="auto"/>
        <w:left w:val="none" w:sz="0" w:space="0" w:color="auto"/>
        <w:bottom w:val="none" w:sz="0" w:space="0" w:color="auto"/>
        <w:right w:val="none" w:sz="0" w:space="0" w:color="auto"/>
      </w:divBdr>
    </w:div>
    <w:div w:id="876937846">
      <w:bodyDiv w:val="1"/>
      <w:marLeft w:val="0"/>
      <w:marRight w:val="0"/>
      <w:marTop w:val="0"/>
      <w:marBottom w:val="0"/>
      <w:divBdr>
        <w:top w:val="none" w:sz="0" w:space="0" w:color="auto"/>
        <w:left w:val="none" w:sz="0" w:space="0" w:color="auto"/>
        <w:bottom w:val="none" w:sz="0" w:space="0" w:color="auto"/>
        <w:right w:val="none" w:sz="0" w:space="0" w:color="auto"/>
      </w:divBdr>
    </w:div>
    <w:div w:id="1532038583">
      <w:bodyDiv w:val="1"/>
      <w:marLeft w:val="0"/>
      <w:marRight w:val="0"/>
      <w:marTop w:val="0"/>
      <w:marBottom w:val="0"/>
      <w:divBdr>
        <w:top w:val="none" w:sz="0" w:space="0" w:color="auto"/>
        <w:left w:val="none" w:sz="0" w:space="0" w:color="auto"/>
        <w:bottom w:val="none" w:sz="0" w:space="0" w:color="auto"/>
        <w:right w:val="none" w:sz="0" w:space="0" w:color="auto"/>
      </w:divBdr>
    </w:div>
    <w:div w:id="1667319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eader" Target="header4.xml"/><Relationship Id="rId26" Type="http://schemas.openxmlformats.org/officeDocument/2006/relationships/hyperlink" Target="https://www.fisheries.noaa.gov/atlantic-highly-migratory-species/atlantic-highly-migratory-species-landings-updates" TargetMode="External"/><Relationship Id="rId39" Type="http://schemas.openxmlformats.org/officeDocument/2006/relationships/hyperlink" Target="https://www.ecfr.gov/current/title-50/section-635.20" TargetMode="External"/><Relationship Id="rId21" Type="http://schemas.openxmlformats.org/officeDocument/2006/relationships/hyperlink" Target="https://www.ecfr.gov/current/title-50/part-635" TargetMode="External"/><Relationship Id="rId34" Type="http://schemas.openxmlformats.org/officeDocument/2006/relationships/hyperlink" Target="https://www.ecfr.gov/current/title-50/section-635.9" TargetMode="External"/><Relationship Id="rId42" Type="http://schemas.openxmlformats.org/officeDocument/2006/relationships/hyperlink" Target="https://www.ecfr.gov/current/title-50/section-635.21" TargetMode="Externa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3.xml"/><Relationship Id="rId29" Type="http://schemas.openxmlformats.org/officeDocument/2006/relationships/hyperlink" Target="https://www.ecfr.gov/current/title-50/section-635.27"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https://www.ecfr.gov/current/title-50/part-635/subpart-C" TargetMode="External"/><Relationship Id="rId32" Type="http://schemas.openxmlformats.org/officeDocument/2006/relationships/hyperlink" Target="https://iccat.int/Documents/Recs/compendiopdf-s/2025-05-s.pdf" TargetMode="External"/><Relationship Id="rId37" Type="http://schemas.openxmlformats.org/officeDocument/2006/relationships/hyperlink" Target="https://www.ecfr.gov/current/title-50/section-635.69" TargetMode="External"/><Relationship Id="rId40" Type="http://schemas.openxmlformats.org/officeDocument/2006/relationships/hyperlink" Target="https://www.ecfr.gov/current/title-50/section-635.27" TargetMode="External"/><Relationship Id="rId45" Type="http://schemas.openxmlformats.org/officeDocument/2006/relationships/hyperlink" Target="https://www.ecfr.gov/current/title-50/section-635.71" TargetMode="External"/><Relationship Id="rId5" Type="http://schemas.openxmlformats.org/officeDocument/2006/relationships/webSettings" Target="webSettings.xml"/><Relationship Id="rId15" Type="http://schemas.openxmlformats.org/officeDocument/2006/relationships/hyperlink" Target="https://iccat.int/Documents/Recs/compendiopdf-s/2025-05-s.pdf" TargetMode="External"/><Relationship Id="rId23" Type="http://schemas.openxmlformats.org/officeDocument/2006/relationships/hyperlink" Target="https://www.ecfr.gov/current/title-50/section-635.27" TargetMode="External"/><Relationship Id="rId28" Type="http://schemas.openxmlformats.org/officeDocument/2006/relationships/hyperlink" Target="https://www.ecfr.gov/current/title-50/section-635.27" TargetMode="External"/><Relationship Id="rId36" Type="http://schemas.openxmlformats.org/officeDocument/2006/relationships/hyperlink" Target="https://www.ecfr.gov/current/title-50/section-635.19" TargetMode="External"/><Relationship Id="rId10" Type="http://schemas.openxmlformats.org/officeDocument/2006/relationships/header" Target="header1.xml"/><Relationship Id="rId19" Type="http://schemas.openxmlformats.org/officeDocument/2006/relationships/hyperlink" Target="https://iccat.int/Documents/Recs/compendiopdf-s/2025-05-s.pdf" TargetMode="External"/><Relationship Id="rId31" Type="http://schemas.openxmlformats.org/officeDocument/2006/relationships/hyperlink" Target="https://iccat.int/Documents/Recs/compendiopdf-s/2025-05-s.pdf" TargetMode="External"/><Relationship Id="rId44" Type="http://schemas.openxmlformats.org/officeDocument/2006/relationships/hyperlink" Target="https://www.ecfr.gov/current/title-50/section-635.29" TargetMode="External"/><Relationship Id="rId4" Type="http://schemas.openxmlformats.org/officeDocument/2006/relationships/settings" Target="settings.xml"/><Relationship Id="rId9" Type="http://schemas.openxmlformats.org/officeDocument/2006/relationships/hyperlink" Target="https://www.iccat.int/Documents/Recs/compendiopdf-s/2025-05-s.pdf" TargetMode="External"/><Relationship Id="rId14" Type="http://schemas.openxmlformats.org/officeDocument/2006/relationships/hyperlink" Target="https://iccat.int/Documents/Recs/compendiopdf-s/2025-05-s.pdf" TargetMode="External"/><Relationship Id="rId22" Type="http://schemas.openxmlformats.org/officeDocument/2006/relationships/hyperlink" Target="https://www.fisheries.noaa.gov/atlantic-highly-migratory-species/atlantic-highly-migratory-species-stock-assessment-and-fisheries-evaluation-reports" TargetMode="External"/><Relationship Id="rId27" Type="http://schemas.openxmlformats.org/officeDocument/2006/relationships/hyperlink" Target="https://www.ecfr.gov/current/title-50/section-635.27" TargetMode="External"/><Relationship Id="rId30" Type="http://schemas.openxmlformats.org/officeDocument/2006/relationships/hyperlink" Target="https://www.ecfr.gov/current/title-50/section-635.27" TargetMode="External"/><Relationship Id="rId35" Type="http://schemas.openxmlformats.org/officeDocument/2006/relationships/hyperlink" Target="https://www.ecfr.gov/current/title-50/section-635.15" TargetMode="External"/><Relationship Id="rId43" Type="http://schemas.openxmlformats.org/officeDocument/2006/relationships/hyperlink" Target="https://www.ecfr.gov/current/title-50/section-635.31" TargetMode="External"/><Relationship Id="rId48" Type="http://schemas.openxmlformats.org/officeDocument/2006/relationships/theme" Target="theme/theme1.xml"/><Relationship Id="rId8" Type="http://schemas.openxmlformats.org/officeDocument/2006/relationships/hyperlink" Target="https://www.iccat.int/Documents/Recs/compendiopdf-s/2025-05-s.pdf" TargetMode="External"/><Relationship Id="rId3" Type="http://schemas.openxmlformats.org/officeDocument/2006/relationships/styles" Target="styles.xml"/><Relationship Id="rId12" Type="http://schemas.openxmlformats.org/officeDocument/2006/relationships/header" Target="header2.xml"/><Relationship Id="rId17" Type="http://schemas.openxmlformats.org/officeDocument/2006/relationships/hyperlink" Target="https://iccat.int/Documents/Recs/compendiopdf-s/2025-05-s.pdf" TargetMode="External"/><Relationship Id="rId25" Type="http://schemas.openxmlformats.org/officeDocument/2006/relationships/hyperlink" Target="https://www.ecfr.gov/current/title-50/section-635.27" TargetMode="External"/><Relationship Id="rId33" Type="http://schemas.openxmlformats.org/officeDocument/2006/relationships/hyperlink" Target="https://www.ecfr.gov/current/title-50/chapter-VI/part-635" TargetMode="External"/><Relationship Id="rId38" Type="http://schemas.openxmlformats.org/officeDocument/2006/relationships/hyperlink" Target="https://www.ecfr.gov/current/title-50/section-635.23" TargetMode="External"/><Relationship Id="rId46" Type="http://schemas.openxmlformats.org/officeDocument/2006/relationships/header" Target="header6.xml"/><Relationship Id="rId20" Type="http://schemas.openxmlformats.org/officeDocument/2006/relationships/header" Target="header5.xml"/><Relationship Id="rId41" Type="http://schemas.openxmlformats.org/officeDocument/2006/relationships/hyperlink" Target="https://www.ecfr.gov/current/title-50/section-635.1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263C3C-847A-46C2-ABBC-3A37DA4538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1268</TotalTime>
  <Pages>21</Pages>
  <Words>7471</Words>
  <Characters>42590</Characters>
  <Application>Microsoft Office Word</Application>
  <DocSecurity>0</DocSecurity>
  <Lines>354</Lines>
  <Paragraphs>99</Paragraphs>
  <ScaleCrop>false</ScaleCrop>
  <HeadingPairs>
    <vt:vector size="2" baseType="variant">
      <vt:variant>
        <vt:lpstr>Title</vt:lpstr>
      </vt:variant>
      <vt:variant>
        <vt:i4>1</vt:i4>
      </vt:variant>
    </vt:vector>
  </HeadingPairs>
  <TitlesOfParts>
    <vt:vector size="1" baseType="lpstr">
      <vt:lpstr>19th Regular Meeting</vt:lpstr>
    </vt:vector>
  </TitlesOfParts>
  <Company>ICCAT</Company>
  <LinksUpToDate>false</LinksUpToDate>
  <CharactersWithSpaces>49962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19th Regular Meeting</dc:title>
  <dc:creator>vrestrepo</dc:creator>
  <cp:lastModifiedBy>Rebecca Campoy</cp:lastModifiedBy>
  <cp:revision>907</cp:revision>
  <cp:lastPrinted>2025-07-16T12:20:00Z</cp:lastPrinted>
  <dcterms:created xsi:type="dcterms:W3CDTF">2022-07-21T08:38:00Z</dcterms:created>
  <dcterms:modified xsi:type="dcterms:W3CDTF">2026-10-27T14:25:00Z</dcterms:modified>
</cp:coreProperties>
</file>