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0B76CF3F" w:rsidR="00046127" w:rsidRPr="00046127" w:rsidRDefault="00046127" w:rsidP="00046127">
      <w:pPr>
        <w:jc w:val="right"/>
        <w:rPr>
          <w:rFonts w:ascii="Cambria" w:eastAsia="Calibri" w:hAnsi="Cambria"/>
          <w:bCs/>
          <w:sz w:val="20"/>
          <w:szCs w:val="20"/>
        </w:rPr>
      </w:pPr>
      <w:r>
        <w:rPr>
          <w:rFonts w:ascii="Cambria" w:hAnsi="Cambria"/>
          <w:b/>
          <w:sz w:val="20"/>
        </w:rPr>
        <w:t>Original: anglais/espagnol</w:t>
      </w:r>
    </w:p>
    <w:p w14:paraId="50857146" w14:textId="77777777" w:rsidR="00046127" w:rsidRPr="00B355B4" w:rsidRDefault="00046127" w:rsidP="00046127">
      <w:pPr>
        <w:jc w:val="right"/>
        <w:rPr>
          <w:rFonts w:asciiTheme="majorHAnsi" w:eastAsia="Calibri" w:hAnsiTheme="majorHAnsi"/>
          <w:b/>
          <w:bCs/>
          <w:sz w:val="20"/>
          <w:szCs w:val="20"/>
        </w:rPr>
      </w:pPr>
    </w:p>
    <w:p w14:paraId="2A576C10" w14:textId="7FBB7D8C" w:rsidR="00046127" w:rsidRPr="00B355B4" w:rsidRDefault="00046127" w:rsidP="00046127">
      <w:pPr>
        <w:autoSpaceDE w:val="0"/>
        <w:autoSpaceDN w:val="0"/>
        <w:adjustRightInd w:val="0"/>
        <w:jc w:val="center"/>
        <w:rPr>
          <w:rFonts w:asciiTheme="majorHAnsi" w:eastAsia="Calibri" w:hAnsiTheme="majorHAnsi"/>
          <w:b/>
          <w:bCs/>
          <w:sz w:val="20"/>
          <w:szCs w:val="20"/>
        </w:rPr>
      </w:pPr>
      <w:r w:rsidRPr="00B355B4">
        <w:rPr>
          <w:rFonts w:asciiTheme="majorHAnsi" w:hAnsiTheme="majorHAnsi"/>
          <w:b/>
          <w:bCs/>
          <w:sz w:val="20"/>
          <w:szCs w:val="20"/>
        </w:rPr>
        <w:t>Plans de pêche et de gestion du thon rouge de l'Atlantique Ouest soumis en 2026</w:t>
      </w:r>
    </w:p>
    <w:p w14:paraId="76D96F49" w14:textId="77777777" w:rsidR="00046127" w:rsidRPr="00B355B4" w:rsidRDefault="00046127" w:rsidP="00046127">
      <w:pPr>
        <w:autoSpaceDE w:val="0"/>
        <w:autoSpaceDN w:val="0"/>
        <w:adjustRightInd w:val="0"/>
        <w:jc w:val="center"/>
        <w:rPr>
          <w:rFonts w:asciiTheme="majorHAnsi" w:eastAsia="Calibri" w:hAnsiTheme="majorHAnsi"/>
          <w:i/>
          <w:iCs/>
          <w:sz w:val="20"/>
          <w:szCs w:val="20"/>
        </w:rPr>
      </w:pPr>
    </w:p>
    <w:p w14:paraId="0E8F3CAF" w14:textId="77777777" w:rsidR="00046127" w:rsidRPr="00B355B4" w:rsidRDefault="00046127" w:rsidP="00046127">
      <w:pPr>
        <w:autoSpaceDE w:val="0"/>
        <w:autoSpaceDN w:val="0"/>
        <w:adjustRightInd w:val="0"/>
        <w:jc w:val="center"/>
        <w:rPr>
          <w:rFonts w:asciiTheme="majorHAnsi" w:eastAsia="Calibri" w:hAnsiTheme="majorHAnsi"/>
          <w:i/>
          <w:iCs/>
          <w:sz w:val="20"/>
          <w:szCs w:val="20"/>
        </w:rPr>
      </w:pPr>
      <w:r w:rsidRPr="00B355B4">
        <w:rPr>
          <w:rFonts w:asciiTheme="majorHAnsi" w:hAnsiTheme="majorHAnsi"/>
          <w:i/>
          <w:iCs/>
          <w:sz w:val="20"/>
          <w:szCs w:val="20"/>
        </w:rPr>
        <w:t>(Secrétariat de l’ICCAT)</w:t>
      </w:r>
    </w:p>
    <w:p w14:paraId="19615F09" w14:textId="77777777" w:rsidR="006B4897" w:rsidRPr="00B355B4" w:rsidRDefault="006B4897" w:rsidP="006B4897">
      <w:pPr>
        <w:tabs>
          <w:tab w:val="left" w:pos="340"/>
          <w:tab w:val="left" w:pos="680"/>
          <w:tab w:val="left" w:pos="1020"/>
          <w:tab w:val="left" w:pos="1134"/>
          <w:tab w:val="left" w:pos="1760"/>
        </w:tabs>
        <w:ind w:left="1361" w:right="3" w:hanging="1361"/>
        <w:jc w:val="both"/>
        <w:rPr>
          <w:rFonts w:asciiTheme="majorHAnsi" w:hAnsiTheme="majorHAnsi"/>
          <w:b/>
          <w:bCs/>
          <w:i/>
          <w:sz w:val="20"/>
          <w:szCs w:val="20"/>
        </w:rPr>
      </w:pPr>
    </w:p>
    <w:p w14:paraId="1C24CA02" w14:textId="77777777" w:rsidR="00046127" w:rsidRDefault="006B4897" w:rsidP="00046127">
      <w:pPr>
        <w:tabs>
          <w:tab w:val="left" w:pos="340"/>
          <w:tab w:val="left" w:pos="680"/>
          <w:tab w:val="left" w:pos="1020"/>
          <w:tab w:val="left" w:pos="1134"/>
          <w:tab w:val="left" w:pos="1760"/>
        </w:tabs>
        <w:ind w:right="6"/>
        <w:jc w:val="both"/>
        <w:rPr>
          <w:rFonts w:asciiTheme="majorHAnsi" w:hAnsiTheme="majorHAnsi"/>
          <w:sz w:val="20"/>
          <w:szCs w:val="20"/>
        </w:rPr>
      </w:pPr>
      <w:r w:rsidRPr="00B355B4">
        <w:rPr>
          <w:rFonts w:asciiTheme="majorHAnsi" w:hAnsiTheme="majorHAnsi"/>
          <w:sz w:val="20"/>
          <w:szCs w:val="20"/>
        </w:rPr>
        <w:t xml:space="preserve">Conformément au paragraphe 3 de la </w:t>
      </w:r>
      <w:hyperlink r:id="rId8" w:tgtFrame="_blank" w:history="1">
        <w:r w:rsidRPr="00B355B4">
          <w:rPr>
            <w:rStyle w:val="Hyperlink"/>
            <w:rFonts w:asciiTheme="majorHAnsi" w:hAnsiTheme="majorHAnsi"/>
            <w:i/>
            <w:iCs/>
            <w:sz w:val="20"/>
            <w:szCs w:val="20"/>
            <w:u w:val="none"/>
          </w:rPr>
          <w:t>Recommandation de l’ICCAT remplaçant la Recommandation 22-10 concernant un plan de conservation et de gestion du thon rouge de l’Atlantique Ouest</w:t>
        </w:r>
        <w:r w:rsidRPr="00B355B4">
          <w:rPr>
            <w:rStyle w:val="Hyperlink"/>
            <w:rFonts w:asciiTheme="majorHAnsi" w:hAnsiTheme="majorHAnsi"/>
            <w:sz w:val="20"/>
            <w:szCs w:val="20"/>
            <w:u w:val="none"/>
          </w:rPr>
          <w:t xml:space="preserve"> (Rec. 25-05)</w:t>
        </w:r>
      </w:hyperlink>
      <w:r w:rsidRPr="00B355B4">
        <w:rPr>
          <w:rFonts w:asciiTheme="majorHAnsi" w:hAnsiTheme="majorHAnsi"/>
          <w:sz w:val="20"/>
          <w:szCs w:val="20"/>
        </w:rPr>
        <w:t>, chaque CPC détenant un quota supérieur à 50 t pour une pêcherie ciblant le thon rouge de l’Atlantique devra soumettre un plan de pêche/de gestion à la Commission avant le 15 septembre de chaque année.</w:t>
      </w:r>
    </w:p>
    <w:p w14:paraId="421C1778" w14:textId="77777777" w:rsidR="00BF7430" w:rsidRPr="00B355B4" w:rsidRDefault="00BF7430" w:rsidP="00046127">
      <w:pPr>
        <w:tabs>
          <w:tab w:val="left" w:pos="340"/>
          <w:tab w:val="left" w:pos="680"/>
          <w:tab w:val="left" w:pos="1020"/>
          <w:tab w:val="left" w:pos="1134"/>
          <w:tab w:val="left" w:pos="1760"/>
        </w:tabs>
        <w:ind w:right="6"/>
        <w:jc w:val="both"/>
        <w:rPr>
          <w:rFonts w:asciiTheme="majorHAnsi" w:hAnsiTheme="majorHAnsi"/>
          <w:sz w:val="20"/>
          <w:szCs w:val="20"/>
        </w:rPr>
      </w:pPr>
    </w:p>
    <w:p w14:paraId="742FD2CB" w14:textId="46FABCAB" w:rsidR="00046127" w:rsidRDefault="00046127" w:rsidP="00046127">
      <w:pPr>
        <w:tabs>
          <w:tab w:val="left" w:pos="340"/>
          <w:tab w:val="left" w:pos="680"/>
          <w:tab w:val="left" w:pos="1020"/>
          <w:tab w:val="left" w:pos="1134"/>
          <w:tab w:val="left" w:pos="1760"/>
        </w:tabs>
        <w:ind w:right="6"/>
        <w:jc w:val="both"/>
        <w:rPr>
          <w:rFonts w:asciiTheme="majorHAnsi" w:hAnsiTheme="majorHAnsi"/>
          <w:sz w:val="20"/>
          <w:szCs w:val="20"/>
        </w:rPr>
      </w:pPr>
      <w:r w:rsidRPr="00B355B4">
        <w:rPr>
          <w:rFonts w:asciiTheme="majorHAnsi" w:hAnsiTheme="majorHAnsi"/>
          <w:sz w:val="20"/>
          <w:szCs w:val="20"/>
        </w:rPr>
        <w:t>Ce plan devra inclure les éléments suivants, le cas échéant :</w:t>
      </w:r>
    </w:p>
    <w:p w14:paraId="55CCF172" w14:textId="77777777" w:rsidR="00BF7430" w:rsidRPr="00B355B4" w:rsidRDefault="00BF7430" w:rsidP="00046127">
      <w:pPr>
        <w:tabs>
          <w:tab w:val="left" w:pos="340"/>
          <w:tab w:val="left" w:pos="680"/>
          <w:tab w:val="left" w:pos="1020"/>
          <w:tab w:val="left" w:pos="1134"/>
          <w:tab w:val="left" w:pos="1760"/>
        </w:tabs>
        <w:ind w:right="6"/>
        <w:jc w:val="both"/>
        <w:rPr>
          <w:rFonts w:asciiTheme="majorHAnsi" w:hAnsiTheme="majorHAnsi"/>
          <w:sz w:val="20"/>
          <w:szCs w:val="20"/>
        </w:rPr>
      </w:pPr>
    </w:p>
    <w:p w14:paraId="69B6AEC1" w14:textId="37D1AE70" w:rsidR="00046127" w:rsidRPr="00B355B4" w:rsidRDefault="00046127" w:rsidP="00046127">
      <w:pPr>
        <w:pStyle w:val="ListParagraph"/>
        <w:numPr>
          <w:ilvl w:val="0"/>
          <w:numId w:val="41"/>
        </w:numPr>
        <w:tabs>
          <w:tab w:val="left" w:pos="340"/>
          <w:tab w:val="left" w:pos="680"/>
          <w:tab w:val="left" w:pos="1020"/>
          <w:tab w:val="left" w:pos="1134"/>
          <w:tab w:val="left" w:pos="1760"/>
        </w:tabs>
        <w:ind w:right="6"/>
        <w:jc w:val="both"/>
        <w:rPr>
          <w:rFonts w:asciiTheme="majorHAnsi" w:hAnsiTheme="majorHAnsi"/>
          <w:sz w:val="20"/>
          <w:szCs w:val="20"/>
        </w:rPr>
      </w:pPr>
      <w:r w:rsidRPr="00B355B4">
        <w:rPr>
          <w:rFonts w:asciiTheme="majorHAnsi" w:hAnsiTheme="majorHAnsi"/>
          <w:sz w:val="20"/>
          <w:szCs w:val="20"/>
        </w:rPr>
        <w:t>Les quotas de la flottille pour tous les secteurs et la méthode utilisée pour allouer et gérer ces quotas ;</w:t>
      </w:r>
    </w:p>
    <w:p w14:paraId="205B0971" w14:textId="14D277CF" w:rsidR="00046127" w:rsidRPr="00B355B4" w:rsidRDefault="00046127" w:rsidP="00046127">
      <w:pPr>
        <w:pStyle w:val="ListParagraph"/>
        <w:numPr>
          <w:ilvl w:val="0"/>
          <w:numId w:val="41"/>
        </w:numPr>
        <w:tabs>
          <w:tab w:val="left" w:pos="340"/>
          <w:tab w:val="left" w:pos="680"/>
          <w:tab w:val="left" w:pos="1020"/>
          <w:tab w:val="left" w:pos="1134"/>
          <w:tab w:val="left" w:pos="1760"/>
        </w:tabs>
        <w:ind w:right="6"/>
        <w:jc w:val="both"/>
        <w:rPr>
          <w:rFonts w:asciiTheme="majorHAnsi" w:hAnsiTheme="majorHAnsi"/>
          <w:sz w:val="20"/>
          <w:szCs w:val="20"/>
        </w:rPr>
      </w:pPr>
      <w:r w:rsidRPr="00B355B4">
        <w:rPr>
          <w:rFonts w:asciiTheme="majorHAnsi" w:hAnsiTheme="majorHAnsi"/>
          <w:sz w:val="20"/>
          <w:szCs w:val="20"/>
        </w:rPr>
        <w:t>Les mesures de contrôle des pêcheries et des prises accessoires ; et</w:t>
      </w:r>
    </w:p>
    <w:p w14:paraId="47878FF8" w14:textId="33E2EE86" w:rsidR="006B4897" w:rsidRPr="00B355B4" w:rsidRDefault="00046127" w:rsidP="006F63AB">
      <w:pPr>
        <w:pStyle w:val="ListParagraph"/>
        <w:numPr>
          <w:ilvl w:val="0"/>
          <w:numId w:val="41"/>
        </w:numPr>
        <w:tabs>
          <w:tab w:val="left" w:pos="340"/>
          <w:tab w:val="left" w:pos="680"/>
          <w:tab w:val="left" w:pos="1020"/>
          <w:tab w:val="left" w:pos="1134"/>
          <w:tab w:val="left" w:pos="1760"/>
        </w:tabs>
        <w:ind w:right="6"/>
        <w:jc w:val="both"/>
        <w:rPr>
          <w:rFonts w:asciiTheme="majorHAnsi" w:hAnsiTheme="majorHAnsi"/>
          <w:sz w:val="20"/>
          <w:szCs w:val="20"/>
        </w:rPr>
      </w:pPr>
      <w:r w:rsidRPr="00B355B4">
        <w:rPr>
          <w:rFonts w:asciiTheme="majorHAnsi" w:hAnsiTheme="majorHAnsi"/>
          <w:sz w:val="20"/>
          <w:szCs w:val="20"/>
        </w:rPr>
        <w:t>Toute mesure supplémentaire utilisée à des fins d’exécution ou de suivi, de contrôle et d'inspection.</w:t>
      </w:r>
    </w:p>
    <w:p w14:paraId="36AB03AC" w14:textId="77777777" w:rsidR="006B4897" w:rsidRPr="00B355B4" w:rsidRDefault="006B4897" w:rsidP="006B4897">
      <w:pPr>
        <w:tabs>
          <w:tab w:val="left" w:pos="340"/>
          <w:tab w:val="left" w:pos="680"/>
          <w:tab w:val="left" w:pos="1020"/>
          <w:tab w:val="left" w:pos="1134"/>
          <w:tab w:val="left" w:pos="1760"/>
        </w:tabs>
        <w:ind w:right="6"/>
        <w:jc w:val="both"/>
        <w:rPr>
          <w:rFonts w:asciiTheme="majorHAnsi" w:hAnsiTheme="majorHAnsi"/>
          <w:sz w:val="20"/>
          <w:szCs w:val="20"/>
        </w:rPr>
      </w:pPr>
    </w:p>
    <w:p w14:paraId="59B8AA82" w14:textId="56BFC8B8" w:rsidR="006B4897" w:rsidRPr="00B355B4" w:rsidRDefault="006B4897" w:rsidP="006B4897">
      <w:pPr>
        <w:tabs>
          <w:tab w:val="left" w:pos="340"/>
          <w:tab w:val="left" w:pos="680"/>
          <w:tab w:val="left" w:pos="1020"/>
          <w:tab w:val="left" w:pos="1134"/>
          <w:tab w:val="left" w:pos="1760"/>
        </w:tabs>
        <w:ind w:right="6"/>
        <w:jc w:val="both"/>
        <w:rPr>
          <w:rFonts w:asciiTheme="majorHAnsi" w:hAnsiTheme="majorHAnsi"/>
          <w:sz w:val="20"/>
          <w:szCs w:val="20"/>
        </w:rPr>
      </w:pPr>
      <w:r w:rsidRPr="00B355B4">
        <w:rPr>
          <w:rFonts w:asciiTheme="majorHAnsi" w:hAnsiTheme="majorHAnsi"/>
          <w:sz w:val="20"/>
          <w:szCs w:val="20"/>
        </w:rPr>
        <w:t xml:space="preserve">Des plans de pêche ont été reçus dans les délais impartis du Canada, du Japon, du Mexique et des États-Unis. </w:t>
      </w:r>
    </w:p>
    <w:p w14:paraId="4490D25A" w14:textId="77777777" w:rsidR="006B4897" w:rsidRPr="00A97C75" w:rsidRDefault="006B4897" w:rsidP="006B4897">
      <w:pPr>
        <w:tabs>
          <w:tab w:val="left" w:pos="340"/>
          <w:tab w:val="left" w:pos="680"/>
          <w:tab w:val="left" w:pos="1020"/>
          <w:tab w:val="left" w:pos="1134"/>
          <w:tab w:val="left" w:pos="1760"/>
        </w:tabs>
        <w:ind w:right="3"/>
        <w:jc w:val="right"/>
        <w:rPr>
          <w:rFonts w:asciiTheme="majorHAnsi" w:hAnsiTheme="majorHAnsi"/>
          <w:b/>
          <w:bCs/>
          <w:sz w:val="20"/>
          <w:szCs w:val="20"/>
        </w:rPr>
      </w:pPr>
    </w:p>
    <w:p w14:paraId="49EDC82F" w14:textId="77777777" w:rsidR="006B4897" w:rsidRPr="00B355B4" w:rsidRDefault="006B4897" w:rsidP="006B4897">
      <w:pPr>
        <w:rPr>
          <w:rFonts w:asciiTheme="majorHAnsi" w:hAnsiTheme="majorHAnsi"/>
          <w:sz w:val="20"/>
          <w:szCs w:val="20"/>
        </w:rPr>
      </w:pPr>
    </w:p>
    <w:p w14:paraId="36F4C62A" w14:textId="77777777" w:rsidR="006B4897" w:rsidRPr="00B355B4" w:rsidRDefault="006B4897" w:rsidP="006B4897">
      <w:pPr>
        <w:rPr>
          <w:rFonts w:asciiTheme="majorHAnsi" w:hAnsiTheme="majorHAnsi"/>
          <w:sz w:val="20"/>
          <w:szCs w:val="20"/>
        </w:rPr>
      </w:pPr>
    </w:p>
    <w:p w14:paraId="5E1460EF" w14:textId="77777777" w:rsidR="006B4897" w:rsidRPr="00B355B4" w:rsidRDefault="006B4897" w:rsidP="006B4897">
      <w:pPr>
        <w:rPr>
          <w:rFonts w:asciiTheme="majorHAnsi" w:hAnsiTheme="majorHAnsi"/>
          <w:sz w:val="20"/>
          <w:szCs w:val="20"/>
        </w:rPr>
      </w:pPr>
    </w:p>
    <w:p w14:paraId="4178E4B1" w14:textId="77777777" w:rsidR="006B4897" w:rsidRPr="00B355B4" w:rsidRDefault="006B4897" w:rsidP="006B4897">
      <w:pPr>
        <w:rPr>
          <w:rFonts w:asciiTheme="majorHAnsi" w:hAnsiTheme="majorHAnsi"/>
          <w:sz w:val="20"/>
          <w:szCs w:val="20"/>
        </w:rPr>
      </w:pPr>
    </w:p>
    <w:p w14:paraId="15BC70CB" w14:textId="77777777" w:rsidR="006B4897" w:rsidRPr="00B355B4" w:rsidRDefault="006B4897" w:rsidP="006B4897">
      <w:pPr>
        <w:rPr>
          <w:rFonts w:asciiTheme="majorHAnsi" w:hAnsiTheme="majorHAnsi"/>
          <w:sz w:val="20"/>
          <w:szCs w:val="20"/>
        </w:rPr>
      </w:pPr>
    </w:p>
    <w:p w14:paraId="241C7FEB" w14:textId="77777777" w:rsidR="006B4897" w:rsidRPr="00B355B4" w:rsidRDefault="006B4897" w:rsidP="006B4897">
      <w:pPr>
        <w:rPr>
          <w:rFonts w:asciiTheme="majorHAnsi" w:hAnsiTheme="majorHAnsi"/>
          <w:sz w:val="20"/>
          <w:szCs w:val="20"/>
        </w:rPr>
      </w:pPr>
    </w:p>
    <w:p w14:paraId="40B5AA00" w14:textId="77777777" w:rsidR="006B4897" w:rsidRPr="00B355B4" w:rsidRDefault="006B4897" w:rsidP="006B4897">
      <w:pPr>
        <w:rPr>
          <w:rFonts w:asciiTheme="majorHAnsi" w:hAnsiTheme="majorHAnsi"/>
          <w:sz w:val="20"/>
          <w:szCs w:val="20"/>
        </w:rPr>
      </w:pPr>
    </w:p>
    <w:p w14:paraId="1940E3A5" w14:textId="77777777" w:rsidR="006B4897" w:rsidRPr="00B355B4" w:rsidRDefault="006B4897" w:rsidP="006B4897">
      <w:pPr>
        <w:rPr>
          <w:rFonts w:asciiTheme="majorHAnsi" w:hAnsiTheme="majorHAnsi"/>
          <w:sz w:val="20"/>
          <w:szCs w:val="20"/>
        </w:rPr>
      </w:pPr>
    </w:p>
    <w:p w14:paraId="1E7DEDC5" w14:textId="77777777" w:rsidR="006B4897" w:rsidRPr="00B355B4" w:rsidRDefault="006B4897" w:rsidP="006B4897">
      <w:pPr>
        <w:rPr>
          <w:rFonts w:asciiTheme="majorHAnsi" w:hAnsiTheme="majorHAnsi"/>
          <w:sz w:val="20"/>
          <w:szCs w:val="20"/>
        </w:rPr>
      </w:pPr>
    </w:p>
    <w:p w14:paraId="7BAD2AE7" w14:textId="77777777" w:rsidR="006B4897" w:rsidRPr="00B355B4" w:rsidRDefault="006B4897" w:rsidP="006B4897">
      <w:pPr>
        <w:rPr>
          <w:rFonts w:asciiTheme="majorHAnsi" w:hAnsiTheme="majorHAnsi"/>
          <w:sz w:val="20"/>
          <w:szCs w:val="20"/>
        </w:rPr>
      </w:pPr>
    </w:p>
    <w:p w14:paraId="56429193" w14:textId="77777777" w:rsidR="006B4897" w:rsidRPr="00B355B4" w:rsidRDefault="006B4897" w:rsidP="006B4897">
      <w:pPr>
        <w:rPr>
          <w:rFonts w:asciiTheme="majorHAnsi" w:hAnsiTheme="majorHAnsi"/>
          <w:sz w:val="20"/>
          <w:szCs w:val="20"/>
        </w:rPr>
      </w:pPr>
    </w:p>
    <w:p w14:paraId="3641669D" w14:textId="77777777" w:rsidR="006B4897" w:rsidRPr="00B355B4" w:rsidRDefault="006B4897" w:rsidP="006B4897">
      <w:pPr>
        <w:rPr>
          <w:rFonts w:asciiTheme="majorHAnsi" w:hAnsiTheme="majorHAnsi"/>
          <w:sz w:val="20"/>
          <w:szCs w:val="20"/>
        </w:rPr>
      </w:pPr>
    </w:p>
    <w:p w14:paraId="58130724" w14:textId="77777777" w:rsidR="006B4897" w:rsidRPr="00B355B4" w:rsidRDefault="006B4897" w:rsidP="006B4897">
      <w:pPr>
        <w:rPr>
          <w:rFonts w:asciiTheme="majorHAnsi" w:hAnsiTheme="majorHAnsi"/>
          <w:sz w:val="20"/>
          <w:szCs w:val="20"/>
        </w:rPr>
      </w:pPr>
    </w:p>
    <w:p w14:paraId="16223FE0" w14:textId="77777777" w:rsidR="006B4897" w:rsidRPr="00B355B4" w:rsidRDefault="006B4897" w:rsidP="006B4897">
      <w:pPr>
        <w:rPr>
          <w:rFonts w:asciiTheme="majorHAnsi" w:hAnsiTheme="majorHAnsi"/>
          <w:sz w:val="20"/>
          <w:szCs w:val="20"/>
        </w:rPr>
      </w:pPr>
    </w:p>
    <w:p w14:paraId="07297D74" w14:textId="77777777" w:rsidR="006B4897" w:rsidRPr="00B355B4" w:rsidRDefault="006B4897" w:rsidP="006B4897">
      <w:pPr>
        <w:rPr>
          <w:rFonts w:asciiTheme="majorHAnsi" w:hAnsiTheme="majorHAnsi"/>
          <w:sz w:val="20"/>
          <w:szCs w:val="20"/>
        </w:rPr>
      </w:pPr>
    </w:p>
    <w:p w14:paraId="6EA2155D" w14:textId="77777777" w:rsidR="006B4897" w:rsidRPr="00B355B4" w:rsidRDefault="006B4897" w:rsidP="006B4897">
      <w:pPr>
        <w:rPr>
          <w:rFonts w:asciiTheme="majorHAnsi" w:hAnsiTheme="majorHAnsi"/>
          <w:sz w:val="20"/>
          <w:szCs w:val="20"/>
        </w:rPr>
      </w:pPr>
    </w:p>
    <w:p w14:paraId="227BAB37" w14:textId="77777777" w:rsidR="006B4897" w:rsidRPr="00B355B4" w:rsidRDefault="006B4897" w:rsidP="006B4897">
      <w:pPr>
        <w:rPr>
          <w:rFonts w:asciiTheme="majorHAnsi" w:hAnsiTheme="majorHAnsi"/>
          <w:sz w:val="20"/>
          <w:szCs w:val="20"/>
        </w:rPr>
      </w:pPr>
    </w:p>
    <w:p w14:paraId="0508B0F6" w14:textId="77777777" w:rsidR="006B4897" w:rsidRPr="00B355B4" w:rsidRDefault="006B4897" w:rsidP="006B4897">
      <w:pPr>
        <w:rPr>
          <w:rFonts w:asciiTheme="majorHAnsi" w:hAnsiTheme="majorHAnsi"/>
          <w:sz w:val="20"/>
          <w:szCs w:val="20"/>
        </w:rPr>
      </w:pPr>
    </w:p>
    <w:p w14:paraId="058FED4D" w14:textId="77777777" w:rsidR="006B4897" w:rsidRPr="00B355B4" w:rsidRDefault="006B4897" w:rsidP="006B4897">
      <w:pPr>
        <w:rPr>
          <w:rFonts w:asciiTheme="majorHAnsi" w:hAnsiTheme="majorHAnsi"/>
          <w:sz w:val="20"/>
          <w:szCs w:val="20"/>
        </w:rPr>
      </w:pPr>
    </w:p>
    <w:p w14:paraId="7CCC6447" w14:textId="77777777" w:rsidR="006B4897" w:rsidRPr="00B355B4" w:rsidRDefault="006B4897" w:rsidP="006B4897">
      <w:pPr>
        <w:rPr>
          <w:rFonts w:asciiTheme="majorHAnsi" w:hAnsiTheme="majorHAnsi"/>
          <w:sz w:val="20"/>
          <w:szCs w:val="20"/>
        </w:rPr>
      </w:pPr>
    </w:p>
    <w:p w14:paraId="71165CBB" w14:textId="77777777" w:rsidR="006B4897" w:rsidRPr="00B355B4" w:rsidRDefault="006B4897" w:rsidP="006B4897">
      <w:pPr>
        <w:rPr>
          <w:rFonts w:asciiTheme="majorHAnsi" w:hAnsiTheme="majorHAnsi"/>
          <w:sz w:val="20"/>
          <w:szCs w:val="20"/>
        </w:rPr>
      </w:pPr>
    </w:p>
    <w:p w14:paraId="7BE24DE0" w14:textId="77777777" w:rsidR="006B4897" w:rsidRPr="00B355B4" w:rsidRDefault="006B4897" w:rsidP="006B4897">
      <w:pPr>
        <w:rPr>
          <w:rFonts w:asciiTheme="majorHAnsi" w:hAnsiTheme="majorHAnsi"/>
          <w:sz w:val="20"/>
          <w:szCs w:val="20"/>
        </w:rPr>
      </w:pPr>
    </w:p>
    <w:p w14:paraId="2F1858A5" w14:textId="77777777" w:rsidR="006B4897" w:rsidRPr="00B355B4" w:rsidRDefault="006B4897" w:rsidP="006B4897">
      <w:pPr>
        <w:rPr>
          <w:rFonts w:asciiTheme="majorHAnsi" w:hAnsiTheme="majorHAnsi"/>
          <w:sz w:val="20"/>
          <w:szCs w:val="20"/>
        </w:rPr>
      </w:pPr>
    </w:p>
    <w:p w14:paraId="26F4A69D" w14:textId="77777777" w:rsidR="006B4897" w:rsidRPr="00B355B4" w:rsidRDefault="006B4897" w:rsidP="006B4897">
      <w:pPr>
        <w:rPr>
          <w:rFonts w:asciiTheme="majorHAnsi" w:hAnsiTheme="majorHAnsi"/>
          <w:sz w:val="20"/>
          <w:szCs w:val="20"/>
        </w:rPr>
      </w:pPr>
    </w:p>
    <w:p w14:paraId="6ABFCAC3" w14:textId="77777777" w:rsidR="006B4897" w:rsidRPr="00B355B4" w:rsidRDefault="006B4897" w:rsidP="006B4897">
      <w:pPr>
        <w:rPr>
          <w:rFonts w:asciiTheme="majorHAnsi" w:hAnsiTheme="majorHAnsi"/>
          <w:sz w:val="20"/>
          <w:szCs w:val="20"/>
        </w:rPr>
      </w:pPr>
    </w:p>
    <w:p w14:paraId="5AE0BA32" w14:textId="77777777" w:rsidR="006B4897" w:rsidRPr="00B355B4" w:rsidRDefault="006B4897" w:rsidP="006B4897">
      <w:pPr>
        <w:rPr>
          <w:rFonts w:asciiTheme="majorHAnsi" w:hAnsiTheme="majorHAnsi"/>
          <w:sz w:val="20"/>
          <w:szCs w:val="20"/>
        </w:rPr>
      </w:pPr>
    </w:p>
    <w:p w14:paraId="01788C34" w14:textId="77777777" w:rsidR="006B4897" w:rsidRPr="00B355B4" w:rsidRDefault="006B4897" w:rsidP="006B4897">
      <w:pPr>
        <w:rPr>
          <w:rFonts w:asciiTheme="majorHAnsi" w:hAnsiTheme="majorHAnsi"/>
          <w:sz w:val="20"/>
          <w:szCs w:val="20"/>
        </w:rPr>
      </w:pPr>
    </w:p>
    <w:p w14:paraId="145CFB31" w14:textId="77777777" w:rsidR="006B4897" w:rsidRPr="00B355B4" w:rsidRDefault="006B4897" w:rsidP="006B4897">
      <w:pPr>
        <w:rPr>
          <w:rFonts w:asciiTheme="majorHAnsi" w:hAnsiTheme="majorHAnsi"/>
          <w:sz w:val="20"/>
          <w:szCs w:val="20"/>
        </w:rPr>
      </w:pPr>
    </w:p>
    <w:p w14:paraId="5255D745" w14:textId="77777777" w:rsidR="006B4897" w:rsidRPr="00B355B4" w:rsidRDefault="006B4897" w:rsidP="006B4897">
      <w:pPr>
        <w:rPr>
          <w:rFonts w:asciiTheme="majorHAnsi" w:hAnsiTheme="majorHAnsi"/>
          <w:sz w:val="20"/>
          <w:szCs w:val="20"/>
        </w:rPr>
      </w:pPr>
    </w:p>
    <w:p w14:paraId="53BCDF5B" w14:textId="77777777" w:rsidR="006B4897" w:rsidRPr="00B355B4" w:rsidRDefault="006B4897" w:rsidP="006B4897">
      <w:pPr>
        <w:rPr>
          <w:rFonts w:asciiTheme="majorHAnsi" w:hAnsiTheme="majorHAnsi"/>
          <w:sz w:val="20"/>
          <w:szCs w:val="20"/>
        </w:rPr>
      </w:pPr>
    </w:p>
    <w:p w14:paraId="736C48FE" w14:textId="77777777" w:rsidR="006B4897" w:rsidRPr="00B355B4" w:rsidRDefault="006B4897" w:rsidP="006B4897">
      <w:pPr>
        <w:rPr>
          <w:rFonts w:asciiTheme="majorHAnsi" w:hAnsiTheme="majorHAnsi"/>
          <w:sz w:val="20"/>
          <w:szCs w:val="20"/>
        </w:rPr>
      </w:pPr>
    </w:p>
    <w:p w14:paraId="5636404F" w14:textId="77777777" w:rsidR="006B4897" w:rsidRPr="00B355B4" w:rsidRDefault="006B4897" w:rsidP="006B4897">
      <w:pPr>
        <w:rPr>
          <w:rFonts w:asciiTheme="majorHAnsi" w:hAnsiTheme="majorHAnsi"/>
          <w:sz w:val="20"/>
          <w:szCs w:val="20"/>
        </w:rPr>
      </w:pPr>
    </w:p>
    <w:p w14:paraId="1F19A161" w14:textId="77777777" w:rsidR="006B4897" w:rsidRPr="00B355B4" w:rsidRDefault="006B4897" w:rsidP="006B4897">
      <w:pPr>
        <w:rPr>
          <w:rFonts w:asciiTheme="majorHAnsi" w:hAnsiTheme="majorHAnsi"/>
          <w:sz w:val="20"/>
          <w:szCs w:val="20"/>
        </w:rPr>
      </w:pPr>
    </w:p>
    <w:p w14:paraId="776416F5" w14:textId="77777777" w:rsidR="006B4897" w:rsidRPr="00B355B4" w:rsidRDefault="006B4897" w:rsidP="006B4897">
      <w:pPr>
        <w:rPr>
          <w:rFonts w:asciiTheme="majorHAnsi" w:hAnsiTheme="majorHAnsi"/>
          <w:sz w:val="20"/>
          <w:szCs w:val="20"/>
        </w:rPr>
      </w:pPr>
    </w:p>
    <w:p w14:paraId="66A92073" w14:textId="77777777" w:rsidR="006B4897" w:rsidRPr="00B355B4" w:rsidRDefault="006B4897" w:rsidP="006B4897">
      <w:pPr>
        <w:rPr>
          <w:rFonts w:asciiTheme="majorHAnsi" w:hAnsiTheme="majorHAnsi"/>
          <w:sz w:val="20"/>
          <w:szCs w:val="20"/>
        </w:rPr>
      </w:pPr>
    </w:p>
    <w:p w14:paraId="4837AAEB" w14:textId="77777777" w:rsidR="006B4897" w:rsidRPr="00B355B4" w:rsidRDefault="006B4897" w:rsidP="006B4897">
      <w:pPr>
        <w:rPr>
          <w:rFonts w:asciiTheme="majorHAnsi" w:hAnsiTheme="majorHAnsi"/>
          <w:sz w:val="20"/>
          <w:szCs w:val="20"/>
        </w:rPr>
      </w:pPr>
    </w:p>
    <w:p w14:paraId="3F59067D" w14:textId="77777777" w:rsidR="006B4897" w:rsidRPr="00B355B4" w:rsidRDefault="006B4897" w:rsidP="006B4897">
      <w:pPr>
        <w:rPr>
          <w:rFonts w:asciiTheme="majorHAnsi" w:hAnsiTheme="majorHAnsi"/>
          <w:sz w:val="20"/>
          <w:szCs w:val="20"/>
        </w:rPr>
      </w:pPr>
    </w:p>
    <w:p w14:paraId="2E7AB93C" w14:textId="77777777" w:rsidR="00BF7430" w:rsidRDefault="00BF7430" w:rsidP="006B4897">
      <w:pPr>
        <w:tabs>
          <w:tab w:val="left" w:pos="340"/>
          <w:tab w:val="left" w:pos="680"/>
          <w:tab w:val="left" w:pos="1020"/>
          <w:tab w:val="left" w:pos="1134"/>
          <w:tab w:val="left" w:pos="1604"/>
          <w:tab w:val="left" w:pos="1760"/>
        </w:tabs>
        <w:ind w:right="3"/>
        <w:rPr>
          <w:rFonts w:asciiTheme="majorHAnsi" w:hAnsiTheme="majorHAnsi"/>
          <w:b/>
          <w:bCs/>
          <w:sz w:val="20"/>
          <w:szCs w:val="20"/>
        </w:rPr>
        <w:sectPr w:rsidR="00BF7430" w:rsidSect="00046127">
          <w:headerReference w:type="default" r:id="rId9"/>
          <w:footerReference w:type="default" r:id="rId10"/>
          <w:headerReference w:type="first" r:id="rId11"/>
          <w:footerReference w:type="first" r:id="rId12"/>
          <w:type w:val="continuous"/>
          <w:pgSz w:w="11906" w:h="16838" w:code="9"/>
          <w:pgMar w:top="1418" w:right="1418" w:bottom="1418" w:left="1418" w:header="851" w:footer="1134" w:gutter="0"/>
          <w:cols w:space="708"/>
          <w:docGrid w:linePitch="360"/>
        </w:sectPr>
      </w:pPr>
    </w:p>
    <w:p w14:paraId="045C24D9" w14:textId="77777777" w:rsidR="00E11839" w:rsidRDefault="00E11839" w:rsidP="00E11839">
      <w:pPr>
        <w:jc w:val="right"/>
        <w:rPr>
          <w:rFonts w:ascii="Cambria" w:hAnsi="Cambria"/>
          <w:b/>
          <w:sz w:val="20"/>
          <w:szCs w:val="20"/>
        </w:rPr>
      </w:pPr>
      <w:r w:rsidRPr="00EC25B9">
        <w:rPr>
          <w:rFonts w:ascii="Cambria" w:hAnsi="Cambria"/>
          <w:b/>
          <w:sz w:val="20"/>
          <w:szCs w:val="20"/>
        </w:rPr>
        <w:lastRenderedPageBreak/>
        <w:t>CP62-WBFTPlan</w:t>
      </w:r>
    </w:p>
    <w:p w14:paraId="4FD1921F" w14:textId="77777777" w:rsidR="003A7D44" w:rsidRPr="00EC25B9" w:rsidRDefault="003A7D44" w:rsidP="00E11839">
      <w:pPr>
        <w:jc w:val="right"/>
        <w:rPr>
          <w:rFonts w:ascii="Cambria" w:hAnsi="Cambria"/>
          <w:b/>
          <w:sz w:val="20"/>
          <w:szCs w:val="20"/>
        </w:rPr>
      </w:pPr>
    </w:p>
    <w:p w14:paraId="5DFE3D78" w14:textId="77777777" w:rsidR="00E11839" w:rsidRPr="00EC25B9" w:rsidRDefault="00E11839" w:rsidP="00E11839">
      <w:pPr>
        <w:jc w:val="center"/>
        <w:rPr>
          <w:rFonts w:ascii="Cambria" w:hAnsi="Cambria"/>
          <w:b/>
          <w:sz w:val="20"/>
          <w:szCs w:val="20"/>
        </w:rPr>
      </w:pPr>
      <w:r w:rsidRPr="00EC25B9">
        <w:rPr>
          <w:rFonts w:ascii="Cambria" w:hAnsi="Cambria"/>
          <w:b/>
          <w:sz w:val="20"/>
          <w:szCs w:val="20"/>
        </w:rPr>
        <w:t>Plan de pêche et de gestion du thon rouge de l'Atlantique Ouest</w:t>
      </w:r>
    </w:p>
    <w:p w14:paraId="7D891DF9" w14:textId="77777777" w:rsidR="00E11839" w:rsidRPr="00EC25B9" w:rsidRDefault="00E11839" w:rsidP="00E11839">
      <w:pPr>
        <w:jc w:val="center"/>
        <w:rPr>
          <w:rFonts w:ascii="Cambria" w:hAnsi="Cambria"/>
          <w:b/>
          <w:sz w:val="20"/>
          <w:szCs w:val="20"/>
        </w:rPr>
      </w:pPr>
    </w:p>
    <w:p w14:paraId="104FE38E" w14:textId="77777777" w:rsidR="00E11839" w:rsidRDefault="00E11839" w:rsidP="00E11839">
      <w:pPr>
        <w:spacing w:line="259" w:lineRule="auto"/>
        <w:rPr>
          <w:rFonts w:ascii="Cambria" w:hAnsi="Cambria"/>
          <w:b/>
          <w:sz w:val="20"/>
          <w:szCs w:val="20"/>
        </w:rPr>
      </w:pPr>
      <w:r w:rsidRPr="00EC25B9">
        <w:rPr>
          <w:rFonts w:ascii="Cambria" w:hAnsi="Cambria"/>
          <w:b/>
          <w:sz w:val="20"/>
          <w:szCs w:val="20"/>
        </w:rPr>
        <w:t>Nom de la CPC : Canada</w:t>
      </w:r>
    </w:p>
    <w:p w14:paraId="63D96912" w14:textId="77777777" w:rsidR="00E11839" w:rsidRPr="00EC25B9" w:rsidRDefault="00E11839" w:rsidP="00E11839">
      <w:pPr>
        <w:spacing w:line="259" w:lineRule="auto"/>
        <w:rPr>
          <w:rFonts w:ascii="Cambria" w:hAnsi="Cambria"/>
          <w:b/>
          <w:sz w:val="20"/>
          <w:szCs w:val="20"/>
        </w:rPr>
      </w:pPr>
    </w:p>
    <w:p w14:paraId="26A0B101" w14:textId="77777777" w:rsidR="00E11839" w:rsidRPr="00EC25B9" w:rsidRDefault="00E11839" w:rsidP="00E11839">
      <w:pPr>
        <w:rPr>
          <w:rFonts w:ascii="Cambria" w:hAnsi="Cambria"/>
          <w:b/>
          <w:sz w:val="20"/>
          <w:szCs w:val="20"/>
        </w:rPr>
      </w:pPr>
      <w:r w:rsidRPr="00EC25B9">
        <w:rPr>
          <w:rFonts w:ascii="Cambria" w:hAnsi="Cambria"/>
          <w:b/>
          <w:sz w:val="20"/>
          <w:szCs w:val="20"/>
        </w:rPr>
        <w:t>Année du plan de pêche : 2025</w:t>
      </w:r>
    </w:p>
    <w:p w14:paraId="7DB3488E" w14:textId="77777777" w:rsidR="00E11839" w:rsidRPr="00EC25B9" w:rsidRDefault="00E11839" w:rsidP="00E11839">
      <w:pPr>
        <w:rPr>
          <w:rFonts w:ascii="Cambria" w:hAnsi="Cambria"/>
          <w:b/>
          <w:bCs/>
          <w:sz w:val="20"/>
          <w:szCs w:val="20"/>
        </w:rPr>
      </w:pPr>
    </w:p>
    <w:p w14:paraId="61F35D94" w14:textId="77777777" w:rsidR="00E11839" w:rsidRPr="00EC25B9" w:rsidRDefault="00E11839" w:rsidP="00E11839">
      <w:pPr>
        <w:tabs>
          <w:tab w:val="left" w:pos="426"/>
        </w:tabs>
        <w:rPr>
          <w:rFonts w:ascii="Cambria" w:hAnsi="Cambria"/>
          <w:b/>
          <w:sz w:val="20"/>
          <w:szCs w:val="20"/>
        </w:rPr>
      </w:pPr>
      <w:r w:rsidRPr="00EC25B9">
        <w:rPr>
          <w:rFonts w:ascii="Cambria" w:hAnsi="Cambria"/>
          <w:b/>
          <w:sz w:val="20"/>
          <w:szCs w:val="20"/>
        </w:rPr>
        <w:t xml:space="preserve">1. </w:t>
      </w:r>
      <w:r w:rsidRPr="00EC25B9">
        <w:rPr>
          <w:rFonts w:ascii="Cambria" w:hAnsi="Cambria"/>
          <w:b/>
          <w:sz w:val="20"/>
          <w:szCs w:val="20"/>
        </w:rPr>
        <w:tab/>
        <w:t xml:space="preserve">Quotas de flottille pour tous les secteurs et méthode utilisée pour allouer et gérer ces quotas </w:t>
      </w:r>
    </w:p>
    <w:p w14:paraId="5059E97B" w14:textId="77777777" w:rsidR="00E11839" w:rsidRPr="00EC25B9" w:rsidRDefault="00E11839" w:rsidP="00E11839">
      <w:pPr>
        <w:tabs>
          <w:tab w:val="left" w:pos="426"/>
        </w:tabs>
        <w:rPr>
          <w:rFonts w:ascii="Cambria" w:hAnsi="Cambria"/>
          <w:i/>
          <w:sz w:val="20"/>
          <w:szCs w:val="20"/>
        </w:rPr>
      </w:pPr>
    </w:p>
    <w:p w14:paraId="245EF10C" w14:textId="77777777" w:rsidR="00E11839" w:rsidRPr="00EC25B9" w:rsidRDefault="00E11839" w:rsidP="00E11839">
      <w:pPr>
        <w:rPr>
          <w:rFonts w:ascii="Cambria" w:hAnsi="Cambria"/>
          <w:sz w:val="20"/>
          <w:szCs w:val="20"/>
        </w:rPr>
      </w:pPr>
      <w:r w:rsidRPr="00EC25B9">
        <w:rPr>
          <w:rFonts w:ascii="Cambria" w:hAnsi="Cambria"/>
          <w:b/>
          <w:i/>
          <w:sz w:val="20"/>
          <w:szCs w:val="20"/>
        </w:rPr>
        <w:t>1 a) Aperçu général</w:t>
      </w:r>
    </w:p>
    <w:p w14:paraId="69521945" w14:textId="77777777" w:rsidR="00E11839" w:rsidRPr="00EC25B9" w:rsidRDefault="00E11839" w:rsidP="00E11839">
      <w:pPr>
        <w:rPr>
          <w:rFonts w:ascii="Cambria" w:hAnsi="Cambria"/>
          <w:b/>
          <w:bCs/>
          <w:i/>
          <w:iCs/>
          <w:sz w:val="20"/>
          <w:szCs w:val="20"/>
        </w:rPr>
      </w:pPr>
    </w:p>
    <w:p w14:paraId="0DA069F3" w14:textId="77777777" w:rsidR="00E11839" w:rsidRPr="00EC25B9" w:rsidRDefault="00E11839" w:rsidP="00E11839">
      <w:pPr>
        <w:jc w:val="both"/>
        <w:rPr>
          <w:rFonts w:ascii="Cambria" w:hAnsi="Cambria"/>
          <w:sz w:val="20"/>
          <w:szCs w:val="20"/>
        </w:rPr>
      </w:pPr>
      <w:r w:rsidRPr="00EC25B9">
        <w:rPr>
          <w:rFonts w:ascii="Cambria" w:hAnsi="Cambria"/>
          <w:sz w:val="20"/>
          <w:szCs w:val="20"/>
        </w:rPr>
        <w:t xml:space="preserve">Le Canada gère sa pêcherie de thon rouge de l'Atlantique Ouest conformément aux mesures de gestion de l’ICCAT et à sa législation nationale, notamment sa </w:t>
      </w:r>
      <w:r w:rsidRPr="00EC25B9">
        <w:rPr>
          <w:rFonts w:ascii="Cambria" w:hAnsi="Cambria"/>
          <w:i/>
          <w:sz w:val="20"/>
          <w:szCs w:val="20"/>
        </w:rPr>
        <w:t>loi sur la pêche</w:t>
      </w:r>
      <w:r w:rsidRPr="00EC25B9">
        <w:rPr>
          <w:rFonts w:ascii="Cambria" w:hAnsi="Cambria"/>
          <w:sz w:val="20"/>
          <w:szCs w:val="20"/>
        </w:rPr>
        <w:t xml:space="preserve">. Cette pêcherie est exploitée dans les zones 3KLNOP, 4RSTVWX et 5YZ de l'OPANO et comprend des pêcheries commerciales ciblées, une pêcherie de capture et remise à l'eau, des pêcheries de tournoi à accès restreint et des pêcheries de prises accessoires autorisées. </w:t>
      </w:r>
    </w:p>
    <w:p w14:paraId="5E0D48BF" w14:textId="77777777" w:rsidR="00E11839" w:rsidRPr="00EC25B9" w:rsidRDefault="00E11839" w:rsidP="00E11839">
      <w:pPr>
        <w:jc w:val="both"/>
        <w:rPr>
          <w:rFonts w:ascii="Cambria" w:hAnsi="Cambria"/>
          <w:sz w:val="20"/>
          <w:szCs w:val="20"/>
        </w:rPr>
      </w:pPr>
    </w:p>
    <w:p w14:paraId="3EACAD71" w14:textId="77777777" w:rsidR="00E11839" w:rsidRPr="00EC25B9" w:rsidRDefault="00E11839" w:rsidP="00E11839">
      <w:pPr>
        <w:jc w:val="both"/>
        <w:rPr>
          <w:rFonts w:ascii="Cambria" w:hAnsi="Cambria"/>
          <w:sz w:val="20"/>
          <w:szCs w:val="20"/>
        </w:rPr>
      </w:pPr>
      <w:r w:rsidRPr="00EC25B9">
        <w:rPr>
          <w:rFonts w:ascii="Cambria" w:hAnsi="Cambria"/>
          <w:sz w:val="20"/>
          <w:szCs w:val="20"/>
        </w:rPr>
        <w:t>Les quotas annuels sont répartis entre sept secteurs de la flottille commerciale, tandis que des allocations distinctes sont également prévues pour les prises accessoires autorisées dans le cadre de la pêche palangrière pélagique, une pêcherie hauturière, ainsi que pour les activités scientifiques. Les allocations individuelles aux flottilles sont gérées grâce à une combinaison de quotas individuels transférables (ITQ), de parts de quota individuelles et de systèmes d'allocation basés sur les marques. Les mesures de gestion spécifiques à chaque flottille sont définies dans le cadre des plans annuels de pêche axés sur la conservation (CHP) et des conditions d'octroi des licences. L’utilisation des quotas est contrôlée au moyen de marques délivrées par l</w:t>
      </w:r>
      <w:r>
        <w:rPr>
          <w:rFonts w:ascii="Cambria" w:hAnsi="Cambria"/>
          <w:sz w:val="20"/>
          <w:szCs w:val="20"/>
        </w:rPr>
        <w:t>a</w:t>
      </w:r>
      <w:r w:rsidRPr="00EC25B9">
        <w:rPr>
          <w:rFonts w:ascii="Cambria" w:hAnsi="Cambria"/>
          <w:sz w:val="20"/>
          <w:szCs w:val="20"/>
        </w:rPr>
        <w:t xml:space="preserve"> DFO, d'exigences de déclaration des prises, d'une surveillance à quai et, le cas échéant, de mesures de recoupement des quotas. Tout thon rouge retenu doit être marqué dès sa capture, débarqué dans le cadre de programmes de contrôle à quai, consigné dans des documents de capture du thon rouge et enregistré dans le système électronique de documentation des captures de thon rouge (eBCD) de l’ICCAT.</w:t>
      </w:r>
    </w:p>
    <w:p w14:paraId="01868AAB" w14:textId="77777777" w:rsidR="00E11839" w:rsidRPr="00EC25B9" w:rsidRDefault="00E11839" w:rsidP="00E11839">
      <w:pPr>
        <w:rPr>
          <w:rFonts w:ascii="Cambria" w:hAnsi="Cambria"/>
          <w:i/>
          <w:iCs/>
          <w:sz w:val="20"/>
          <w:szCs w:val="20"/>
        </w:rPr>
      </w:pPr>
    </w:p>
    <w:p w14:paraId="21826198" w14:textId="77777777" w:rsidR="00E11839" w:rsidRPr="00EC25B9" w:rsidRDefault="00E11839" w:rsidP="00E11839">
      <w:pPr>
        <w:rPr>
          <w:rFonts w:ascii="Cambria" w:hAnsi="Cambria"/>
          <w:b/>
          <w:bCs/>
          <w:i/>
          <w:iCs/>
          <w:sz w:val="20"/>
          <w:szCs w:val="20"/>
        </w:rPr>
      </w:pPr>
      <w:r w:rsidRPr="00EC25B9">
        <w:rPr>
          <w:rFonts w:ascii="Cambria" w:hAnsi="Cambria"/>
          <w:b/>
          <w:i/>
          <w:sz w:val="20"/>
          <w:szCs w:val="20"/>
        </w:rPr>
        <w:t xml:space="preserve">1 b) Quotas de flottille pour tous les secteurs </w:t>
      </w:r>
    </w:p>
    <w:p w14:paraId="21E6C2CA" w14:textId="77777777" w:rsidR="00E11839" w:rsidRPr="00EC25B9" w:rsidRDefault="00E11839" w:rsidP="00E11839">
      <w:pPr>
        <w:rPr>
          <w:rFonts w:ascii="Cambria" w:hAnsi="Cambria"/>
          <w:b/>
          <w:bCs/>
          <w:i/>
          <w:iCs/>
          <w:sz w:val="20"/>
          <w:szCs w:val="20"/>
        </w:rPr>
      </w:pPr>
    </w:p>
    <w:tbl>
      <w:tblPr>
        <w:tblStyle w:val="TableGrid"/>
        <w:tblW w:w="0" w:type="auto"/>
        <w:tblLook w:val="04A0" w:firstRow="1" w:lastRow="0" w:firstColumn="1" w:lastColumn="0" w:noHBand="0" w:noVBand="1"/>
      </w:tblPr>
      <w:tblGrid>
        <w:gridCol w:w="4225"/>
        <w:gridCol w:w="2250"/>
      </w:tblGrid>
      <w:tr w:rsidR="00E11839" w:rsidRPr="00181242" w14:paraId="063EBE4F" w14:textId="77777777" w:rsidTr="001719C1">
        <w:tc>
          <w:tcPr>
            <w:tcW w:w="4225" w:type="dxa"/>
          </w:tcPr>
          <w:p w14:paraId="2CCB71B3" w14:textId="77777777" w:rsidR="00E11839" w:rsidRPr="00181242" w:rsidRDefault="00E11839" w:rsidP="001719C1">
            <w:pPr>
              <w:rPr>
                <w:rFonts w:ascii="Cambria" w:hAnsi="Cambria"/>
                <w:b/>
                <w:bCs/>
                <w:i/>
                <w:iCs/>
                <w:color w:val="auto"/>
                <w:sz w:val="20"/>
                <w:szCs w:val="20"/>
              </w:rPr>
            </w:pPr>
            <w:r w:rsidRPr="00181242">
              <w:rPr>
                <w:rFonts w:ascii="Cambria" w:hAnsi="Cambria"/>
                <w:b/>
                <w:i/>
                <w:iCs/>
                <w:sz w:val="20"/>
                <w:szCs w:val="20"/>
              </w:rPr>
              <w:t>Secteur des flottilles</w:t>
            </w:r>
          </w:p>
        </w:tc>
        <w:tc>
          <w:tcPr>
            <w:tcW w:w="2250" w:type="dxa"/>
          </w:tcPr>
          <w:p w14:paraId="13D5A59A" w14:textId="77777777" w:rsidR="00E11839" w:rsidRPr="00181242" w:rsidRDefault="00E11839" w:rsidP="001719C1">
            <w:pPr>
              <w:jc w:val="center"/>
              <w:rPr>
                <w:rFonts w:ascii="Cambria" w:hAnsi="Cambria"/>
                <w:b/>
                <w:bCs/>
                <w:i/>
                <w:iCs/>
                <w:color w:val="auto"/>
                <w:sz w:val="20"/>
                <w:szCs w:val="20"/>
              </w:rPr>
            </w:pPr>
            <w:r w:rsidRPr="00181242">
              <w:rPr>
                <w:rFonts w:ascii="Cambria" w:hAnsi="Cambria"/>
                <w:b/>
                <w:i/>
                <w:iCs/>
                <w:sz w:val="20"/>
                <w:szCs w:val="20"/>
              </w:rPr>
              <w:t>Quota (t)</w:t>
            </w:r>
          </w:p>
        </w:tc>
      </w:tr>
      <w:tr w:rsidR="00E11839" w:rsidRPr="00EC25B9" w14:paraId="4965CDA0" w14:textId="77777777" w:rsidTr="001719C1">
        <w:tc>
          <w:tcPr>
            <w:tcW w:w="4225" w:type="dxa"/>
          </w:tcPr>
          <w:p w14:paraId="30177EC1" w14:textId="77777777" w:rsidR="00E11839" w:rsidRPr="00EC25B9" w:rsidRDefault="00E11839" w:rsidP="001719C1">
            <w:pPr>
              <w:rPr>
                <w:rFonts w:ascii="Cambria" w:hAnsi="Cambria"/>
                <w:color w:val="auto"/>
                <w:sz w:val="20"/>
                <w:szCs w:val="20"/>
              </w:rPr>
            </w:pPr>
            <w:r w:rsidRPr="00EC25B9">
              <w:rPr>
                <w:rFonts w:ascii="Cambria" w:hAnsi="Cambria"/>
                <w:sz w:val="20"/>
                <w:szCs w:val="20"/>
              </w:rPr>
              <w:t>Île-du-Prince-Édouard</w:t>
            </w:r>
          </w:p>
        </w:tc>
        <w:tc>
          <w:tcPr>
            <w:tcW w:w="2250" w:type="dxa"/>
          </w:tcPr>
          <w:p w14:paraId="10668E17" w14:textId="77777777" w:rsidR="00E11839" w:rsidRPr="00EC25B9" w:rsidRDefault="00E11839" w:rsidP="001719C1">
            <w:pPr>
              <w:jc w:val="center"/>
              <w:rPr>
                <w:rFonts w:ascii="Cambria" w:eastAsia="Times New Roman" w:hAnsi="Cambria"/>
                <w:color w:val="auto"/>
                <w:sz w:val="20"/>
                <w:szCs w:val="20"/>
              </w:rPr>
            </w:pPr>
            <w:r w:rsidRPr="00EC25B9">
              <w:rPr>
                <w:rFonts w:ascii="Cambria" w:hAnsi="Cambria"/>
                <w:color w:val="auto"/>
                <w:sz w:val="20"/>
                <w:szCs w:val="20"/>
              </w:rPr>
              <w:t>148,57</w:t>
            </w:r>
          </w:p>
        </w:tc>
      </w:tr>
      <w:tr w:rsidR="00E11839" w:rsidRPr="00EC25B9" w14:paraId="5BC246FB" w14:textId="77777777" w:rsidTr="001719C1">
        <w:tc>
          <w:tcPr>
            <w:tcW w:w="4225" w:type="dxa"/>
          </w:tcPr>
          <w:p w14:paraId="618E5D56" w14:textId="77777777" w:rsidR="00E11839" w:rsidRPr="00EC25B9" w:rsidRDefault="00E11839" w:rsidP="001719C1">
            <w:pPr>
              <w:rPr>
                <w:rFonts w:ascii="Cambria" w:hAnsi="Cambria"/>
                <w:color w:val="auto"/>
                <w:sz w:val="20"/>
                <w:szCs w:val="20"/>
              </w:rPr>
            </w:pPr>
            <w:r w:rsidRPr="00EC25B9">
              <w:rPr>
                <w:rFonts w:ascii="Cambria" w:hAnsi="Cambria"/>
                <w:sz w:val="20"/>
                <w:szCs w:val="20"/>
              </w:rPr>
              <w:t>Terre-Neuve</w:t>
            </w:r>
          </w:p>
        </w:tc>
        <w:tc>
          <w:tcPr>
            <w:tcW w:w="2250" w:type="dxa"/>
          </w:tcPr>
          <w:p w14:paraId="2D9F851C" w14:textId="77777777" w:rsidR="00E11839" w:rsidRPr="00EC25B9" w:rsidRDefault="00E11839" w:rsidP="001719C1">
            <w:pPr>
              <w:jc w:val="center"/>
              <w:rPr>
                <w:rFonts w:ascii="Cambria" w:hAnsi="Cambria"/>
                <w:sz w:val="20"/>
                <w:szCs w:val="20"/>
              </w:rPr>
            </w:pPr>
            <w:r w:rsidRPr="00EC25B9">
              <w:rPr>
                <w:rFonts w:ascii="Cambria" w:hAnsi="Cambria"/>
                <w:sz w:val="20"/>
                <w:szCs w:val="20"/>
              </w:rPr>
              <w:t>63,54</w:t>
            </w:r>
          </w:p>
        </w:tc>
      </w:tr>
      <w:tr w:rsidR="00E11839" w:rsidRPr="00EC25B9" w14:paraId="7D78490B" w14:textId="77777777" w:rsidTr="001719C1">
        <w:tc>
          <w:tcPr>
            <w:tcW w:w="4225" w:type="dxa"/>
          </w:tcPr>
          <w:p w14:paraId="4729F3C9" w14:textId="77777777" w:rsidR="00E11839" w:rsidRPr="00EC25B9" w:rsidRDefault="00E11839" w:rsidP="001719C1">
            <w:pPr>
              <w:rPr>
                <w:rFonts w:ascii="Cambria" w:hAnsi="Cambria"/>
                <w:color w:val="auto"/>
                <w:sz w:val="20"/>
                <w:szCs w:val="20"/>
              </w:rPr>
            </w:pPr>
            <w:r w:rsidRPr="00EC25B9">
              <w:rPr>
                <w:rFonts w:ascii="Cambria" w:hAnsi="Cambria"/>
                <w:sz w:val="20"/>
                <w:szCs w:val="20"/>
              </w:rPr>
              <w:t>Golfe du Nouveau-Brunswick</w:t>
            </w:r>
          </w:p>
        </w:tc>
        <w:tc>
          <w:tcPr>
            <w:tcW w:w="2250" w:type="dxa"/>
          </w:tcPr>
          <w:p w14:paraId="2F7A2F60" w14:textId="77777777" w:rsidR="00E11839" w:rsidRPr="00EC25B9" w:rsidRDefault="00E11839" w:rsidP="001719C1">
            <w:pPr>
              <w:jc w:val="center"/>
              <w:rPr>
                <w:rFonts w:ascii="Cambria" w:hAnsi="Cambria"/>
                <w:sz w:val="20"/>
                <w:szCs w:val="20"/>
              </w:rPr>
            </w:pPr>
            <w:r w:rsidRPr="00EC25B9">
              <w:rPr>
                <w:rFonts w:ascii="Cambria" w:hAnsi="Cambria"/>
                <w:sz w:val="20"/>
                <w:szCs w:val="20"/>
              </w:rPr>
              <w:t>38,65</w:t>
            </w:r>
          </w:p>
        </w:tc>
      </w:tr>
      <w:tr w:rsidR="00E11839" w:rsidRPr="00EC25B9" w14:paraId="6A1DBFFF" w14:textId="77777777" w:rsidTr="001719C1">
        <w:tc>
          <w:tcPr>
            <w:tcW w:w="4225" w:type="dxa"/>
          </w:tcPr>
          <w:p w14:paraId="0A971CAA" w14:textId="77777777" w:rsidR="00E11839" w:rsidRPr="00EC25B9" w:rsidRDefault="00E11839" w:rsidP="001719C1">
            <w:pPr>
              <w:rPr>
                <w:rFonts w:ascii="Cambria" w:hAnsi="Cambria"/>
                <w:color w:val="auto"/>
                <w:sz w:val="20"/>
                <w:szCs w:val="20"/>
              </w:rPr>
            </w:pPr>
            <w:r w:rsidRPr="00EC25B9">
              <w:rPr>
                <w:rFonts w:ascii="Cambria" w:hAnsi="Cambria"/>
                <w:sz w:val="20"/>
                <w:szCs w:val="20"/>
              </w:rPr>
              <w:t>Québec</w:t>
            </w:r>
          </w:p>
        </w:tc>
        <w:tc>
          <w:tcPr>
            <w:tcW w:w="2250" w:type="dxa"/>
          </w:tcPr>
          <w:p w14:paraId="62336E5D" w14:textId="77777777" w:rsidR="00E11839" w:rsidRPr="00EC25B9" w:rsidRDefault="00E11839" w:rsidP="001719C1">
            <w:pPr>
              <w:jc w:val="center"/>
              <w:rPr>
                <w:rFonts w:ascii="Cambria" w:hAnsi="Cambria"/>
                <w:sz w:val="20"/>
                <w:szCs w:val="20"/>
              </w:rPr>
            </w:pPr>
            <w:r w:rsidRPr="00EC25B9">
              <w:rPr>
                <w:rFonts w:ascii="Cambria" w:hAnsi="Cambria"/>
                <w:sz w:val="20"/>
                <w:szCs w:val="20"/>
              </w:rPr>
              <w:t>25,19</w:t>
            </w:r>
          </w:p>
        </w:tc>
      </w:tr>
      <w:tr w:rsidR="00E11839" w:rsidRPr="00EC25B9" w14:paraId="27D48ABE" w14:textId="77777777" w:rsidTr="001719C1">
        <w:tc>
          <w:tcPr>
            <w:tcW w:w="4225" w:type="dxa"/>
          </w:tcPr>
          <w:p w14:paraId="125B8E27" w14:textId="77777777" w:rsidR="00E11839" w:rsidRPr="00EC25B9" w:rsidRDefault="00E11839" w:rsidP="001719C1">
            <w:pPr>
              <w:rPr>
                <w:rFonts w:ascii="Cambria" w:hAnsi="Cambria"/>
                <w:color w:val="auto"/>
                <w:sz w:val="20"/>
                <w:szCs w:val="20"/>
              </w:rPr>
            </w:pPr>
            <w:r w:rsidRPr="00EC25B9">
              <w:rPr>
                <w:rFonts w:ascii="Cambria" w:hAnsi="Cambria"/>
                <w:sz w:val="20"/>
                <w:szCs w:val="20"/>
              </w:rPr>
              <w:t>Golfe de la Nouvelle-Écosse</w:t>
            </w:r>
          </w:p>
        </w:tc>
        <w:tc>
          <w:tcPr>
            <w:tcW w:w="2250" w:type="dxa"/>
          </w:tcPr>
          <w:p w14:paraId="5D6932F3" w14:textId="77777777" w:rsidR="00E11839" w:rsidRPr="00EC25B9" w:rsidRDefault="00E11839" w:rsidP="001719C1">
            <w:pPr>
              <w:jc w:val="center"/>
              <w:rPr>
                <w:rFonts w:ascii="Cambria" w:hAnsi="Cambria"/>
                <w:sz w:val="20"/>
                <w:szCs w:val="20"/>
              </w:rPr>
            </w:pPr>
            <w:r w:rsidRPr="00EC25B9">
              <w:rPr>
                <w:rFonts w:ascii="Cambria" w:hAnsi="Cambria"/>
                <w:sz w:val="20"/>
                <w:szCs w:val="20"/>
              </w:rPr>
              <w:t>55,77</w:t>
            </w:r>
          </w:p>
        </w:tc>
      </w:tr>
      <w:tr w:rsidR="00E11839" w:rsidRPr="00EC25B9" w14:paraId="29F47FA5" w14:textId="77777777" w:rsidTr="001719C1">
        <w:tc>
          <w:tcPr>
            <w:tcW w:w="4225" w:type="dxa"/>
          </w:tcPr>
          <w:p w14:paraId="1FDB552C" w14:textId="77777777" w:rsidR="00E11839" w:rsidRPr="00EC25B9" w:rsidRDefault="00E11839" w:rsidP="001719C1">
            <w:pPr>
              <w:rPr>
                <w:rFonts w:ascii="Cambria" w:hAnsi="Cambria"/>
                <w:sz w:val="20"/>
                <w:szCs w:val="20"/>
              </w:rPr>
            </w:pPr>
            <w:r w:rsidRPr="00EC25B9">
              <w:rPr>
                <w:rFonts w:ascii="Cambria" w:hAnsi="Cambria"/>
                <w:sz w:val="20"/>
                <w:szCs w:val="20"/>
              </w:rPr>
              <w:t>Sud-Ouest de la Nouvelle-Ecosse</w:t>
            </w:r>
          </w:p>
        </w:tc>
        <w:tc>
          <w:tcPr>
            <w:tcW w:w="2250" w:type="dxa"/>
          </w:tcPr>
          <w:p w14:paraId="3C5F2AAA" w14:textId="77777777" w:rsidR="00E11839" w:rsidRPr="00EC25B9" w:rsidRDefault="00E11839" w:rsidP="001719C1">
            <w:pPr>
              <w:jc w:val="center"/>
              <w:rPr>
                <w:rFonts w:ascii="Cambria" w:hAnsi="Cambria"/>
                <w:sz w:val="20"/>
                <w:szCs w:val="20"/>
              </w:rPr>
            </w:pPr>
            <w:r w:rsidRPr="00EC25B9">
              <w:rPr>
                <w:rFonts w:ascii="Cambria" w:hAnsi="Cambria"/>
                <w:sz w:val="20"/>
                <w:szCs w:val="20"/>
              </w:rPr>
              <w:t>107,39</w:t>
            </w:r>
          </w:p>
        </w:tc>
      </w:tr>
      <w:tr w:rsidR="00E11839" w:rsidRPr="00EC25B9" w14:paraId="6F96E42D" w14:textId="77777777" w:rsidTr="001719C1">
        <w:tc>
          <w:tcPr>
            <w:tcW w:w="4225" w:type="dxa"/>
          </w:tcPr>
          <w:p w14:paraId="23D1A626" w14:textId="77777777" w:rsidR="00E11839" w:rsidRPr="00EC25B9" w:rsidRDefault="00E11839" w:rsidP="001719C1">
            <w:pPr>
              <w:rPr>
                <w:rFonts w:ascii="Cambria" w:hAnsi="Cambria"/>
                <w:color w:val="auto"/>
                <w:sz w:val="20"/>
                <w:szCs w:val="20"/>
              </w:rPr>
            </w:pPr>
            <w:r w:rsidRPr="00EC25B9">
              <w:rPr>
                <w:rFonts w:ascii="Cambria" w:hAnsi="Cambria"/>
                <w:sz w:val="20"/>
                <w:szCs w:val="20"/>
              </w:rPr>
              <w:t>Baie de Sainte-Marguerite</w:t>
            </w:r>
          </w:p>
        </w:tc>
        <w:tc>
          <w:tcPr>
            <w:tcW w:w="2250" w:type="dxa"/>
          </w:tcPr>
          <w:p w14:paraId="3CDFC50A" w14:textId="77777777" w:rsidR="00E11839" w:rsidRPr="00EC25B9" w:rsidRDefault="00E11839" w:rsidP="001719C1">
            <w:pPr>
              <w:jc w:val="center"/>
              <w:rPr>
                <w:rFonts w:ascii="Cambria" w:hAnsi="Cambria"/>
                <w:color w:val="auto"/>
                <w:sz w:val="20"/>
                <w:szCs w:val="20"/>
              </w:rPr>
            </w:pPr>
            <w:r w:rsidRPr="00EC25B9">
              <w:rPr>
                <w:rFonts w:ascii="Cambria" w:hAnsi="Cambria"/>
                <w:sz w:val="20"/>
                <w:szCs w:val="20"/>
              </w:rPr>
              <w:t>55,77</w:t>
            </w:r>
          </w:p>
        </w:tc>
      </w:tr>
      <w:tr w:rsidR="00E11839" w:rsidRPr="00EC25B9" w14:paraId="4404C6AC" w14:textId="77777777" w:rsidTr="001719C1">
        <w:tc>
          <w:tcPr>
            <w:tcW w:w="4225" w:type="dxa"/>
          </w:tcPr>
          <w:p w14:paraId="0ABC807F" w14:textId="77777777" w:rsidR="00E11839" w:rsidRPr="00EC25B9" w:rsidRDefault="00E11839" w:rsidP="001719C1">
            <w:pPr>
              <w:rPr>
                <w:rFonts w:ascii="Cambria" w:hAnsi="Cambria"/>
                <w:color w:val="auto"/>
                <w:sz w:val="20"/>
                <w:szCs w:val="20"/>
              </w:rPr>
            </w:pPr>
          </w:p>
        </w:tc>
        <w:tc>
          <w:tcPr>
            <w:tcW w:w="2250" w:type="dxa"/>
          </w:tcPr>
          <w:p w14:paraId="7C9A3C35" w14:textId="77777777" w:rsidR="00E11839" w:rsidRPr="00EC25B9" w:rsidRDefault="00E11839" w:rsidP="001719C1">
            <w:pPr>
              <w:jc w:val="center"/>
              <w:rPr>
                <w:rFonts w:ascii="Cambria" w:hAnsi="Cambria"/>
                <w:color w:val="auto"/>
                <w:sz w:val="20"/>
                <w:szCs w:val="20"/>
              </w:rPr>
            </w:pPr>
          </w:p>
        </w:tc>
      </w:tr>
      <w:tr w:rsidR="00E11839" w:rsidRPr="00EC25B9" w14:paraId="73EEB39B" w14:textId="77777777" w:rsidTr="001719C1">
        <w:tc>
          <w:tcPr>
            <w:tcW w:w="4225" w:type="dxa"/>
          </w:tcPr>
          <w:p w14:paraId="0646936C" w14:textId="77777777" w:rsidR="00E11839" w:rsidRPr="00EC25B9" w:rsidRDefault="00E11839" w:rsidP="001719C1">
            <w:pPr>
              <w:rPr>
                <w:rFonts w:ascii="Cambria" w:hAnsi="Cambria"/>
                <w:color w:val="auto"/>
                <w:sz w:val="20"/>
                <w:szCs w:val="20"/>
              </w:rPr>
            </w:pPr>
            <w:r w:rsidRPr="00EC25B9">
              <w:rPr>
                <w:rFonts w:ascii="Cambria" w:hAnsi="Cambria"/>
                <w:sz w:val="20"/>
                <w:szCs w:val="20"/>
              </w:rPr>
              <w:t>Palangre pélagique (allocation des prises accessoires)</w:t>
            </w:r>
          </w:p>
        </w:tc>
        <w:tc>
          <w:tcPr>
            <w:tcW w:w="2250" w:type="dxa"/>
          </w:tcPr>
          <w:p w14:paraId="5C924F07" w14:textId="77777777" w:rsidR="00E11839" w:rsidRPr="00EC25B9" w:rsidRDefault="00E11839" w:rsidP="001719C1">
            <w:pPr>
              <w:jc w:val="center"/>
              <w:rPr>
                <w:rFonts w:ascii="Cambria" w:hAnsi="Cambria"/>
                <w:sz w:val="20"/>
                <w:szCs w:val="20"/>
              </w:rPr>
            </w:pPr>
            <w:r w:rsidRPr="00EC25B9">
              <w:rPr>
                <w:rFonts w:ascii="Cambria" w:hAnsi="Cambria"/>
                <w:sz w:val="20"/>
                <w:szCs w:val="20"/>
              </w:rPr>
              <w:t>18,76</w:t>
            </w:r>
          </w:p>
        </w:tc>
      </w:tr>
      <w:tr w:rsidR="00E11839" w:rsidRPr="00EC25B9" w14:paraId="07C6717C" w14:textId="77777777" w:rsidTr="001719C1">
        <w:tc>
          <w:tcPr>
            <w:tcW w:w="4225" w:type="dxa"/>
          </w:tcPr>
          <w:p w14:paraId="276D2903" w14:textId="77777777" w:rsidR="00E11839" w:rsidRPr="00EC25B9" w:rsidRDefault="00E11839" w:rsidP="001719C1">
            <w:pPr>
              <w:rPr>
                <w:rFonts w:ascii="Cambria" w:hAnsi="Cambria"/>
                <w:color w:val="auto"/>
                <w:sz w:val="20"/>
                <w:szCs w:val="20"/>
              </w:rPr>
            </w:pPr>
            <w:r w:rsidRPr="00EC25B9">
              <w:rPr>
                <w:rFonts w:ascii="Cambria" w:hAnsi="Cambria"/>
                <w:sz w:val="20"/>
                <w:szCs w:val="20"/>
              </w:rPr>
              <w:t xml:space="preserve">Licence </w:t>
            </w:r>
            <w:r>
              <w:rPr>
                <w:rFonts w:ascii="Cambria" w:hAnsi="Cambria"/>
                <w:sz w:val="20"/>
                <w:szCs w:val="20"/>
              </w:rPr>
              <w:t>hauturière</w:t>
            </w:r>
          </w:p>
        </w:tc>
        <w:tc>
          <w:tcPr>
            <w:tcW w:w="2250" w:type="dxa"/>
          </w:tcPr>
          <w:p w14:paraId="21CB1A8E" w14:textId="77777777" w:rsidR="00E11839" w:rsidRPr="00EC25B9" w:rsidRDefault="00E11839" w:rsidP="001719C1">
            <w:pPr>
              <w:jc w:val="center"/>
              <w:rPr>
                <w:rFonts w:ascii="Cambria" w:hAnsi="Cambria"/>
                <w:sz w:val="20"/>
                <w:szCs w:val="20"/>
              </w:rPr>
            </w:pPr>
            <w:r w:rsidRPr="00EC25B9">
              <w:rPr>
                <w:rFonts w:ascii="Cambria" w:hAnsi="Cambria"/>
                <w:sz w:val="20"/>
                <w:szCs w:val="20"/>
              </w:rPr>
              <w:t>20</w:t>
            </w:r>
          </w:p>
        </w:tc>
      </w:tr>
      <w:tr w:rsidR="00E11839" w:rsidRPr="00EC25B9" w14:paraId="690858E0" w14:textId="77777777" w:rsidTr="001719C1">
        <w:tc>
          <w:tcPr>
            <w:tcW w:w="4225" w:type="dxa"/>
          </w:tcPr>
          <w:p w14:paraId="62FC68DA" w14:textId="77777777" w:rsidR="00E11839" w:rsidRPr="00EC25B9" w:rsidRDefault="00E11839" w:rsidP="001719C1">
            <w:pPr>
              <w:rPr>
                <w:rFonts w:ascii="Cambria" w:hAnsi="Cambria"/>
                <w:sz w:val="20"/>
                <w:szCs w:val="20"/>
              </w:rPr>
            </w:pPr>
            <w:r w:rsidRPr="00EC25B9">
              <w:rPr>
                <w:rFonts w:ascii="Cambria" w:hAnsi="Cambria"/>
                <w:sz w:val="20"/>
                <w:szCs w:val="20"/>
              </w:rPr>
              <w:t>Réserve</w:t>
            </w:r>
          </w:p>
        </w:tc>
        <w:tc>
          <w:tcPr>
            <w:tcW w:w="2250" w:type="dxa"/>
          </w:tcPr>
          <w:p w14:paraId="084F65FD" w14:textId="77777777" w:rsidR="00E11839" w:rsidRPr="00EC25B9" w:rsidRDefault="00E11839" w:rsidP="001719C1">
            <w:pPr>
              <w:jc w:val="center"/>
              <w:rPr>
                <w:rFonts w:ascii="Cambria" w:hAnsi="Cambria"/>
                <w:sz w:val="20"/>
                <w:szCs w:val="20"/>
              </w:rPr>
            </w:pPr>
            <w:r w:rsidRPr="00EC25B9">
              <w:rPr>
                <w:rFonts w:ascii="Cambria" w:hAnsi="Cambria"/>
                <w:sz w:val="20"/>
                <w:szCs w:val="20"/>
              </w:rPr>
              <w:t>10</w:t>
            </w:r>
          </w:p>
        </w:tc>
      </w:tr>
      <w:tr w:rsidR="00E11839" w:rsidRPr="00EC25B9" w14:paraId="6DE8F7EC" w14:textId="77777777" w:rsidTr="001719C1">
        <w:tc>
          <w:tcPr>
            <w:tcW w:w="4225" w:type="dxa"/>
          </w:tcPr>
          <w:p w14:paraId="00466B89" w14:textId="77777777" w:rsidR="00E11839" w:rsidRPr="00EC25B9" w:rsidRDefault="00E11839" w:rsidP="001719C1">
            <w:pPr>
              <w:rPr>
                <w:rFonts w:ascii="Cambria" w:hAnsi="Cambria"/>
                <w:color w:val="auto"/>
                <w:sz w:val="20"/>
                <w:szCs w:val="20"/>
              </w:rPr>
            </w:pPr>
            <w:r w:rsidRPr="00EC25B9">
              <w:rPr>
                <w:rFonts w:ascii="Cambria" w:hAnsi="Cambria"/>
                <w:sz w:val="20"/>
                <w:szCs w:val="20"/>
              </w:rPr>
              <w:t xml:space="preserve">Quota cumulé (alloué en vertu de </w:t>
            </w:r>
            <w:r>
              <w:rPr>
                <w:rFonts w:ascii="Cambria" w:hAnsi="Cambria"/>
                <w:sz w:val="20"/>
                <w:szCs w:val="20"/>
              </w:rPr>
              <w:t xml:space="preserve">Rec. </w:t>
            </w:r>
            <w:r w:rsidRPr="00EC25B9">
              <w:rPr>
                <w:rFonts w:ascii="Cambria" w:hAnsi="Cambria"/>
                <w:sz w:val="20"/>
                <w:szCs w:val="20"/>
              </w:rPr>
              <w:t>22-10, paragraphe 5c)</w:t>
            </w:r>
          </w:p>
        </w:tc>
        <w:tc>
          <w:tcPr>
            <w:tcW w:w="2250" w:type="dxa"/>
          </w:tcPr>
          <w:p w14:paraId="2898184D" w14:textId="77777777" w:rsidR="00E11839" w:rsidRPr="00EC25B9" w:rsidRDefault="00E11839" w:rsidP="001719C1">
            <w:pPr>
              <w:jc w:val="center"/>
              <w:rPr>
                <w:rFonts w:ascii="Cambria" w:eastAsia="Times New Roman" w:hAnsi="Cambria"/>
                <w:sz w:val="20"/>
                <w:szCs w:val="20"/>
              </w:rPr>
            </w:pPr>
            <w:r w:rsidRPr="00EC25B9">
              <w:rPr>
                <w:rFonts w:ascii="Cambria" w:hAnsi="Cambria"/>
                <w:sz w:val="20"/>
                <w:szCs w:val="20"/>
              </w:rPr>
              <w:t>543,65</w:t>
            </w:r>
          </w:p>
        </w:tc>
      </w:tr>
      <w:tr w:rsidR="00E11839" w:rsidRPr="00EC25B9" w14:paraId="4EED806A" w14:textId="77777777" w:rsidTr="001719C1">
        <w:trPr>
          <w:trHeight w:val="300"/>
        </w:trPr>
        <w:tc>
          <w:tcPr>
            <w:tcW w:w="4225" w:type="dxa"/>
          </w:tcPr>
          <w:p w14:paraId="1D7BF892" w14:textId="77777777" w:rsidR="00E11839" w:rsidRPr="00EC25B9" w:rsidRDefault="00E11839" w:rsidP="001719C1">
            <w:pPr>
              <w:rPr>
                <w:rFonts w:ascii="Cambria" w:hAnsi="Cambria"/>
                <w:sz w:val="20"/>
                <w:szCs w:val="20"/>
              </w:rPr>
            </w:pPr>
          </w:p>
        </w:tc>
        <w:tc>
          <w:tcPr>
            <w:tcW w:w="2250" w:type="dxa"/>
          </w:tcPr>
          <w:p w14:paraId="37FBB8CE" w14:textId="77777777" w:rsidR="00E11839" w:rsidRPr="00EC25B9" w:rsidRDefault="00E11839" w:rsidP="001719C1">
            <w:pPr>
              <w:jc w:val="center"/>
              <w:rPr>
                <w:rFonts w:ascii="Cambria" w:hAnsi="Cambria"/>
                <w:sz w:val="20"/>
                <w:szCs w:val="20"/>
              </w:rPr>
            </w:pPr>
          </w:p>
        </w:tc>
      </w:tr>
      <w:tr w:rsidR="00E11839" w:rsidRPr="00EC25B9" w14:paraId="08BF3AFC" w14:textId="77777777" w:rsidTr="001719C1">
        <w:tc>
          <w:tcPr>
            <w:tcW w:w="4225" w:type="dxa"/>
          </w:tcPr>
          <w:p w14:paraId="08644A96" w14:textId="77777777" w:rsidR="00E11839" w:rsidRPr="00EC25B9" w:rsidRDefault="00E11839" w:rsidP="001719C1">
            <w:pPr>
              <w:rPr>
                <w:rFonts w:ascii="Cambria" w:hAnsi="Cambria"/>
                <w:color w:val="auto"/>
                <w:sz w:val="20"/>
                <w:szCs w:val="20"/>
              </w:rPr>
            </w:pPr>
            <w:r w:rsidRPr="00EC25B9">
              <w:rPr>
                <w:rFonts w:ascii="Cambria" w:hAnsi="Cambria"/>
                <w:sz w:val="20"/>
                <w:szCs w:val="20"/>
              </w:rPr>
              <w:t>Pêche récréative</w:t>
            </w:r>
          </w:p>
        </w:tc>
        <w:tc>
          <w:tcPr>
            <w:tcW w:w="2250" w:type="dxa"/>
          </w:tcPr>
          <w:p w14:paraId="0A8E1B6F" w14:textId="77777777" w:rsidR="00E11839" w:rsidRPr="00EC25B9" w:rsidRDefault="00E11839" w:rsidP="001719C1">
            <w:pPr>
              <w:jc w:val="center"/>
              <w:rPr>
                <w:rFonts w:ascii="Cambria" w:hAnsi="Cambria"/>
                <w:color w:val="auto"/>
                <w:sz w:val="20"/>
                <w:szCs w:val="20"/>
              </w:rPr>
            </w:pPr>
            <w:r w:rsidRPr="00EC25B9">
              <w:rPr>
                <w:rFonts w:ascii="Cambria" w:hAnsi="Cambria"/>
                <w:sz w:val="20"/>
                <w:szCs w:val="20"/>
              </w:rPr>
              <w:t>N/A</w:t>
            </w:r>
          </w:p>
        </w:tc>
      </w:tr>
      <w:tr w:rsidR="00E11839" w:rsidRPr="00EC25B9" w14:paraId="17DCD7A0" w14:textId="77777777" w:rsidTr="001719C1">
        <w:tc>
          <w:tcPr>
            <w:tcW w:w="4225" w:type="dxa"/>
          </w:tcPr>
          <w:p w14:paraId="2B4677DE" w14:textId="77777777" w:rsidR="00E11839" w:rsidRPr="00EC25B9" w:rsidRDefault="00E11839" w:rsidP="001719C1">
            <w:pPr>
              <w:rPr>
                <w:rFonts w:ascii="Cambria" w:hAnsi="Cambria"/>
                <w:sz w:val="20"/>
                <w:szCs w:val="20"/>
              </w:rPr>
            </w:pPr>
            <w:r w:rsidRPr="00EC25B9">
              <w:rPr>
                <w:rFonts w:ascii="Cambria" w:hAnsi="Cambria"/>
                <w:sz w:val="20"/>
                <w:szCs w:val="20"/>
              </w:rPr>
              <w:t xml:space="preserve">Prises accessoires à la palangre (conformément à </w:t>
            </w:r>
            <w:r>
              <w:rPr>
                <w:rFonts w:ascii="Cambria" w:hAnsi="Cambria"/>
                <w:sz w:val="20"/>
                <w:szCs w:val="20"/>
              </w:rPr>
              <w:t xml:space="preserve">Rec. </w:t>
            </w:r>
            <w:r w:rsidRPr="00EC25B9">
              <w:rPr>
                <w:rFonts w:ascii="Cambria" w:hAnsi="Cambria"/>
                <w:sz w:val="20"/>
                <w:szCs w:val="20"/>
              </w:rPr>
              <w:t>22-10, paragraphe 5a)</w:t>
            </w:r>
          </w:p>
        </w:tc>
        <w:tc>
          <w:tcPr>
            <w:tcW w:w="2250" w:type="dxa"/>
          </w:tcPr>
          <w:p w14:paraId="49713A78" w14:textId="77777777" w:rsidR="00E11839" w:rsidRPr="00EC25B9" w:rsidRDefault="00E11839" w:rsidP="001719C1">
            <w:pPr>
              <w:jc w:val="center"/>
              <w:rPr>
                <w:rFonts w:ascii="Cambria" w:hAnsi="Cambria"/>
                <w:color w:val="auto"/>
                <w:sz w:val="20"/>
                <w:szCs w:val="20"/>
              </w:rPr>
            </w:pPr>
            <w:r w:rsidRPr="00EC25B9">
              <w:rPr>
                <w:rFonts w:ascii="Cambria" w:hAnsi="Cambria"/>
                <w:sz w:val="20"/>
                <w:szCs w:val="20"/>
              </w:rPr>
              <w:t>15 (flottille palangrière pélagique ciblant l'espadon)</w:t>
            </w:r>
          </w:p>
        </w:tc>
      </w:tr>
      <w:tr w:rsidR="00E11839" w:rsidRPr="00EC25B9" w14:paraId="1EE35DFD" w14:textId="77777777" w:rsidTr="001719C1">
        <w:trPr>
          <w:trHeight w:val="300"/>
        </w:trPr>
        <w:tc>
          <w:tcPr>
            <w:tcW w:w="4225" w:type="dxa"/>
          </w:tcPr>
          <w:p w14:paraId="0E48DA4A" w14:textId="77777777" w:rsidR="00E11839" w:rsidRPr="00EC25B9" w:rsidRDefault="00E11839" w:rsidP="001719C1">
            <w:pPr>
              <w:rPr>
                <w:rFonts w:ascii="Cambria" w:hAnsi="Cambria"/>
                <w:sz w:val="20"/>
                <w:szCs w:val="20"/>
              </w:rPr>
            </w:pPr>
          </w:p>
        </w:tc>
        <w:tc>
          <w:tcPr>
            <w:tcW w:w="2250" w:type="dxa"/>
          </w:tcPr>
          <w:p w14:paraId="1BEAEF19" w14:textId="77777777" w:rsidR="00E11839" w:rsidRPr="00EC25B9" w:rsidRDefault="00E11839" w:rsidP="001719C1">
            <w:pPr>
              <w:jc w:val="center"/>
              <w:rPr>
                <w:rFonts w:ascii="Cambria" w:hAnsi="Cambria"/>
                <w:sz w:val="20"/>
                <w:szCs w:val="20"/>
              </w:rPr>
            </w:pPr>
          </w:p>
        </w:tc>
      </w:tr>
      <w:tr w:rsidR="00E11839" w:rsidRPr="00EC25B9" w14:paraId="3B00717F" w14:textId="77777777" w:rsidTr="001719C1">
        <w:trPr>
          <w:trHeight w:val="300"/>
        </w:trPr>
        <w:tc>
          <w:tcPr>
            <w:tcW w:w="4225" w:type="dxa"/>
          </w:tcPr>
          <w:p w14:paraId="13996677" w14:textId="77777777" w:rsidR="00E11839" w:rsidRPr="00EC25B9" w:rsidRDefault="00E11839" w:rsidP="001719C1">
            <w:pPr>
              <w:rPr>
                <w:rFonts w:ascii="Cambria" w:hAnsi="Cambria"/>
                <w:b/>
                <w:bCs/>
                <w:sz w:val="20"/>
                <w:szCs w:val="20"/>
              </w:rPr>
            </w:pPr>
            <w:r w:rsidRPr="00EC25B9">
              <w:rPr>
                <w:rFonts w:ascii="Cambria" w:hAnsi="Cambria"/>
                <w:b/>
                <w:sz w:val="20"/>
                <w:szCs w:val="20"/>
              </w:rPr>
              <w:t>Total des allocations 2025</w:t>
            </w:r>
          </w:p>
        </w:tc>
        <w:tc>
          <w:tcPr>
            <w:tcW w:w="2250" w:type="dxa"/>
          </w:tcPr>
          <w:p w14:paraId="7EFC9581" w14:textId="77777777" w:rsidR="00E11839" w:rsidRPr="00EC25B9" w:rsidRDefault="00E11839" w:rsidP="001719C1">
            <w:pPr>
              <w:jc w:val="center"/>
              <w:rPr>
                <w:rFonts w:ascii="Cambria" w:hAnsi="Cambria"/>
                <w:b/>
                <w:bCs/>
                <w:sz w:val="20"/>
                <w:szCs w:val="20"/>
              </w:rPr>
            </w:pPr>
            <w:r w:rsidRPr="00EC25B9">
              <w:rPr>
                <w:rFonts w:ascii="Cambria" w:hAnsi="Cambria"/>
                <w:b/>
                <w:sz w:val="20"/>
                <w:szCs w:val="20"/>
              </w:rPr>
              <w:t>558,65</w:t>
            </w:r>
          </w:p>
        </w:tc>
      </w:tr>
    </w:tbl>
    <w:p w14:paraId="1B0EE3E4" w14:textId="77777777" w:rsidR="00E11839" w:rsidRPr="00EC25B9" w:rsidRDefault="00E11839" w:rsidP="00E11839">
      <w:pPr>
        <w:rPr>
          <w:rFonts w:ascii="Cambria" w:hAnsi="Cambria"/>
          <w:b/>
          <w:bCs/>
          <w:i/>
          <w:iCs/>
          <w:sz w:val="20"/>
          <w:szCs w:val="20"/>
        </w:rPr>
      </w:pPr>
    </w:p>
    <w:p w14:paraId="254951A2" w14:textId="77777777" w:rsidR="00E11839" w:rsidRDefault="00E11839" w:rsidP="00E11839">
      <w:pPr>
        <w:rPr>
          <w:rFonts w:ascii="Cambria" w:hAnsi="Cambria"/>
          <w:b/>
          <w:i/>
          <w:sz w:val="20"/>
          <w:szCs w:val="20"/>
        </w:rPr>
      </w:pPr>
      <w:r>
        <w:rPr>
          <w:rFonts w:ascii="Cambria" w:hAnsi="Cambria"/>
          <w:b/>
          <w:i/>
          <w:sz w:val="20"/>
          <w:szCs w:val="20"/>
        </w:rPr>
        <w:br w:type="page"/>
      </w:r>
    </w:p>
    <w:p w14:paraId="08CD8959" w14:textId="77777777" w:rsidR="00E11839" w:rsidRPr="00EC25B9" w:rsidRDefault="00E11839" w:rsidP="00E11839">
      <w:pPr>
        <w:rPr>
          <w:rFonts w:ascii="Cambria" w:hAnsi="Cambria"/>
          <w:b/>
          <w:i/>
          <w:sz w:val="20"/>
          <w:szCs w:val="20"/>
        </w:rPr>
      </w:pPr>
      <w:r w:rsidRPr="00EC25B9">
        <w:rPr>
          <w:rFonts w:ascii="Cambria" w:hAnsi="Cambria"/>
          <w:b/>
          <w:i/>
          <w:sz w:val="20"/>
          <w:szCs w:val="20"/>
        </w:rPr>
        <w:lastRenderedPageBreak/>
        <w:t xml:space="preserve">1 c) Méthode utilisée pour allouer et gérer ces quotas </w:t>
      </w:r>
    </w:p>
    <w:p w14:paraId="501AD879" w14:textId="77777777" w:rsidR="00E11839" w:rsidRPr="00EC25B9" w:rsidRDefault="00E11839" w:rsidP="00E11839">
      <w:pPr>
        <w:rPr>
          <w:rFonts w:ascii="Cambria" w:hAnsi="Cambria"/>
          <w:sz w:val="20"/>
          <w:szCs w:val="20"/>
        </w:rPr>
      </w:pPr>
    </w:p>
    <w:p w14:paraId="30EF7C30" w14:textId="77777777" w:rsidR="00E11839" w:rsidRDefault="00E11839" w:rsidP="00E11839">
      <w:pPr>
        <w:jc w:val="both"/>
        <w:rPr>
          <w:rFonts w:ascii="Cambria" w:hAnsi="Cambria"/>
          <w:sz w:val="20"/>
          <w:szCs w:val="20"/>
        </w:rPr>
      </w:pPr>
      <w:r w:rsidRPr="00EC25B9">
        <w:rPr>
          <w:rFonts w:ascii="Cambria" w:hAnsi="Cambria"/>
          <w:sz w:val="20"/>
          <w:szCs w:val="20"/>
        </w:rPr>
        <w:t>Après déduction d’un volume de 48,76 t de l’allocation du Canada, conformément au paragraphe 5c de la Recommandation 22</w:t>
      </w:r>
      <w:r w:rsidRPr="00EC25B9">
        <w:rPr>
          <w:rFonts w:ascii="Cambria" w:hAnsi="Cambria"/>
          <w:sz w:val="20"/>
          <w:szCs w:val="20"/>
        </w:rPr>
        <w:noBreakHyphen/>
        <w:t xml:space="preserve">10 relative aux prises accessoires dans la pêcherie palangrière pélagique, à l’accès ciblé au titre des licences hauturières et à une réserve, le TAC canadien a été réparti entre les sept flottilles côtières selon la formule de répartition suivante : </w:t>
      </w:r>
    </w:p>
    <w:p w14:paraId="6E7C1C4B" w14:textId="77777777" w:rsidR="00E11839" w:rsidRPr="00EC25B9" w:rsidRDefault="00E11839" w:rsidP="00E11839">
      <w:pPr>
        <w:jc w:val="both"/>
        <w:rPr>
          <w:rFonts w:ascii="Cambria" w:eastAsia="Cambria" w:hAnsi="Cambria" w:cs="Cambria"/>
          <w:sz w:val="20"/>
          <w:szCs w:val="20"/>
        </w:rPr>
      </w:pPr>
    </w:p>
    <w:tbl>
      <w:tblPr>
        <w:tblStyle w:val="TableGrid"/>
        <w:tblW w:w="0" w:type="auto"/>
        <w:tblLook w:val="06A0" w:firstRow="1" w:lastRow="0" w:firstColumn="1" w:lastColumn="0" w:noHBand="1" w:noVBand="1"/>
      </w:tblPr>
      <w:tblGrid>
        <w:gridCol w:w="4530"/>
        <w:gridCol w:w="4530"/>
      </w:tblGrid>
      <w:tr w:rsidR="00E11839" w:rsidRPr="0006747A" w14:paraId="514A0571" w14:textId="77777777" w:rsidTr="001719C1">
        <w:trPr>
          <w:trHeight w:val="300"/>
        </w:trPr>
        <w:tc>
          <w:tcPr>
            <w:tcW w:w="4530" w:type="dxa"/>
          </w:tcPr>
          <w:p w14:paraId="2A5667CD" w14:textId="77777777" w:rsidR="00E11839" w:rsidRPr="0006747A" w:rsidRDefault="00E11839" w:rsidP="001719C1">
            <w:pPr>
              <w:spacing w:line="276" w:lineRule="auto"/>
              <w:rPr>
                <w:rFonts w:ascii="Cambria" w:eastAsia="Cambria" w:hAnsi="Cambria" w:cs="Cambria"/>
                <w:b/>
                <w:bCs/>
                <w:i/>
                <w:iCs/>
                <w:sz w:val="20"/>
                <w:szCs w:val="20"/>
              </w:rPr>
            </w:pPr>
            <w:r w:rsidRPr="0006747A">
              <w:rPr>
                <w:rFonts w:ascii="Cambria" w:hAnsi="Cambria"/>
                <w:b/>
                <w:bCs/>
                <w:i/>
                <w:iCs/>
                <w:sz w:val="20"/>
                <w:szCs w:val="20"/>
              </w:rPr>
              <w:t>Flottille</w:t>
            </w:r>
          </w:p>
        </w:tc>
        <w:tc>
          <w:tcPr>
            <w:tcW w:w="4530" w:type="dxa"/>
          </w:tcPr>
          <w:p w14:paraId="4FD8F55E" w14:textId="77777777" w:rsidR="00E11839" w:rsidRPr="0006747A" w:rsidRDefault="00E11839" w:rsidP="001719C1">
            <w:pPr>
              <w:rPr>
                <w:rFonts w:ascii="Cambria" w:eastAsia="Cambria" w:hAnsi="Cambria" w:cs="Cambria"/>
                <w:b/>
                <w:bCs/>
                <w:i/>
                <w:iCs/>
                <w:sz w:val="20"/>
                <w:szCs w:val="20"/>
              </w:rPr>
            </w:pPr>
            <w:r w:rsidRPr="0006747A">
              <w:rPr>
                <w:rFonts w:ascii="Cambria" w:hAnsi="Cambria"/>
                <w:b/>
                <w:bCs/>
                <w:i/>
                <w:iCs/>
                <w:sz w:val="20"/>
                <w:szCs w:val="20"/>
              </w:rPr>
              <w:t>Part en % de la flottille</w:t>
            </w:r>
          </w:p>
        </w:tc>
      </w:tr>
      <w:tr w:rsidR="00E11839" w:rsidRPr="00EC25B9" w14:paraId="31CD1FE6" w14:textId="77777777" w:rsidTr="001719C1">
        <w:trPr>
          <w:trHeight w:val="300"/>
        </w:trPr>
        <w:tc>
          <w:tcPr>
            <w:tcW w:w="4530" w:type="dxa"/>
          </w:tcPr>
          <w:p w14:paraId="1FBFA847" w14:textId="77777777" w:rsidR="00E11839" w:rsidRPr="00EC25B9" w:rsidRDefault="00E11839" w:rsidP="001719C1">
            <w:pPr>
              <w:spacing w:line="276" w:lineRule="auto"/>
              <w:rPr>
                <w:rFonts w:ascii="Cambria" w:eastAsia="Cambria" w:hAnsi="Cambria" w:cs="Cambria"/>
                <w:sz w:val="20"/>
                <w:szCs w:val="20"/>
              </w:rPr>
            </w:pPr>
            <w:r w:rsidRPr="00EC25B9">
              <w:rPr>
                <w:rFonts w:ascii="Cambria" w:hAnsi="Cambria"/>
                <w:sz w:val="20"/>
                <w:szCs w:val="20"/>
              </w:rPr>
              <w:t>Île-du-Prince-Édouard</w:t>
            </w:r>
          </w:p>
        </w:tc>
        <w:tc>
          <w:tcPr>
            <w:tcW w:w="4530" w:type="dxa"/>
          </w:tcPr>
          <w:p w14:paraId="16A778AC"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30,02</w:t>
            </w:r>
          </w:p>
        </w:tc>
      </w:tr>
      <w:tr w:rsidR="00E11839" w:rsidRPr="00EC25B9" w14:paraId="406B0B1F" w14:textId="77777777" w:rsidTr="001719C1">
        <w:trPr>
          <w:trHeight w:val="300"/>
        </w:trPr>
        <w:tc>
          <w:tcPr>
            <w:tcW w:w="4530" w:type="dxa"/>
          </w:tcPr>
          <w:p w14:paraId="254D83FD" w14:textId="77777777" w:rsidR="00E11839" w:rsidRPr="00EC25B9" w:rsidRDefault="00E11839" w:rsidP="001719C1">
            <w:pPr>
              <w:spacing w:line="276" w:lineRule="auto"/>
              <w:rPr>
                <w:rFonts w:ascii="Cambria" w:eastAsia="Cambria" w:hAnsi="Cambria" w:cs="Cambria"/>
                <w:sz w:val="20"/>
                <w:szCs w:val="20"/>
              </w:rPr>
            </w:pPr>
            <w:r w:rsidRPr="00EC25B9">
              <w:rPr>
                <w:rFonts w:ascii="Cambria" w:hAnsi="Cambria"/>
                <w:sz w:val="20"/>
                <w:szCs w:val="20"/>
              </w:rPr>
              <w:t>Terre-Neuve</w:t>
            </w:r>
          </w:p>
        </w:tc>
        <w:tc>
          <w:tcPr>
            <w:tcW w:w="4530" w:type="dxa"/>
          </w:tcPr>
          <w:p w14:paraId="29CD34B0"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12,84</w:t>
            </w:r>
          </w:p>
        </w:tc>
      </w:tr>
      <w:tr w:rsidR="00E11839" w:rsidRPr="00EC25B9" w14:paraId="715345FF" w14:textId="77777777" w:rsidTr="001719C1">
        <w:trPr>
          <w:trHeight w:val="300"/>
        </w:trPr>
        <w:tc>
          <w:tcPr>
            <w:tcW w:w="4530" w:type="dxa"/>
          </w:tcPr>
          <w:p w14:paraId="65966D2A"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Golfe du Nouveau-Brunswick</w:t>
            </w:r>
          </w:p>
        </w:tc>
        <w:tc>
          <w:tcPr>
            <w:tcW w:w="4530" w:type="dxa"/>
          </w:tcPr>
          <w:p w14:paraId="56E6DA58"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7,81</w:t>
            </w:r>
          </w:p>
        </w:tc>
      </w:tr>
      <w:tr w:rsidR="00E11839" w:rsidRPr="00EC25B9" w14:paraId="53B479F6" w14:textId="77777777" w:rsidTr="001719C1">
        <w:trPr>
          <w:trHeight w:val="300"/>
        </w:trPr>
        <w:tc>
          <w:tcPr>
            <w:tcW w:w="4530" w:type="dxa"/>
          </w:tcPr>
          <w:p w14:paraId="22B13449"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Québec</w:t>
            </w:r>
          </w:p>
        </w:tc>
        <w:tc>
          <w:tcPr>
            <w:tcW w:w="4530" w:type="dxa"/>
          </w:tcPr>
          <w:p w14:paraId="032F96AF"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5,09</w:t>
            </w:r>
          </w:p>
        </w:tc>
      </w:tr>
      <w:tr w:rsidR="00E11839" w:rsidRPr="00EC25B9" w14:paraId="57D14B80" w14:textId="77777777" w:rsidTr="001719C1">
        <w:trPr>
          <w:trHeight w:val="300"/>
        </w:trPr>
        <w:tc>
          <w:tcPr>
            <w:tcW w:w="4530" w:type="dxa"/>
          </w:tcPr>
          <w:p w14:paraId="4DB7A9A9"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Golfe de la Nouvelle-Écosse</w:t>
            </w:r>
          </w:p>
        </w:tc>
        <w:tc>
          <w:tcPr>
            <w:tcW w:w="4530" w:type="dxa"/>
          </w:tcPr>
          <w:p w14:paraId="19F49A54"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11,27</w:t>
            </w:r>
          </w:p>
        </w:tc>
      </w:tr>
      <w:tr w:rsidR="00E11839" w:rsidRPr="00EC25B9" w14:paraId="0930B18A" w14:textId="77777777" w:rsidTr="001719C1">
        <w:trPr>
          <w:trHeight w:val="300"/>
        </w:trPr>
        <w:tc>
          <w:tcPr>
            <w:tcW w:w="4530" w:type="dxa"/>
          </w:tcPr>
          <w:p w14:paraId="134A562E"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Sud-Ouest de la Nouvelle-Ecosse</w:t>
            </w:r>
          </w:p>
        </w:tc>
        <w:tc>
          <w:tcPr>
            <w:tcW w:w="4530" w:type="dxa"/>
          </w:tcPr>
          <w:p w14:paraId="25D8CCAC"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21,70</w:t>
            </w:r>
          </w:p>
        </w:tc>
      </w:tr>
      <w:tr w:rsidR="00E11839" w:rsidRPr="00EC25B9" w14:paraId="58BDA406" w14:textId="77777777" w:rsidTr="001719C1">
        <w:trPr>
          <w:trHeight w:val="300"/>
        </w:trPr>
        <w:tc>
          <w:tcPr>
            <w:tcW w:w="4530" w:type="dxa"/>
          </w:tcPr>
          <w:p w14:paraId="2C17A073"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Baie de Sainte-Marguerite</w:t>
            </w:r>
          </w:p>
        </w:tc>
        <w:tc>
          <w:tcPr>
            <w:tcW w:w="4530" w:type="dxa"/>
          </w:tcPr>
          <w:p w14:paraId="217320CA" w14:textId="77777777" w:rsidR="00E11839" w:rsidRPr="00EC25B9" w:rsidRDefault="00E11839" w:rsidP="001719C1">
            <w:pPr>
              <w:rPr>
                <w:rFonts w:ascii="Cambria" w:eastAsia="Cambria" w:hAnsi="Cambria" w:cs="Cambria"/>
                <w:sz w:val="20"/>
                <w:szCs w:val="20"/>
              </w:rPr>
            </w:pPr>
            <w:r w:rsidRPr="00EC25B9">
              <w:rPr>
                <w:rFonts w:ascii="Cambria" w:hAnsi="Cambria"/>
                <w:sz w:val="20"/>
                <w:szCs w:val="20"/>
              </w:rPr>
              <w:t>11,27</w:t>
            </w:r>
          </w:p>
        </w:tc>
      </w:tr>
    </w:tbl>
    <w:p w14:paraId="7E4A4E52" w14:textId="77777777" w:rsidR="00E11839" w:rsidRPr="00EC25B9" w:rsidRDefault="00E11839" w:rsidP="00E11839">
      <w:pPr>
        <w:jc w:val="both"/>
        <w:rPr>
          <w:rFonts w:ascii="Cambria" w:hAnsi="Cambria"/>
          <w:i/>
          <w:sz w:val="20"/>
          <w:szCs w:val="20"/>
        </w:rPr>
      </w:pPr>
    </w:p>
    <w:p w14:paraId="03AB9F52" w14:textId="77777777" w:rsidR="00E11839" w:rsidRPr="00EC25B9" w:rsidRDefault="00E11839" w:rsidP="00E11839">
      <w:pPr>
        <w:jc w:val="both"/>
        <w:rPr>
          <w:rFonts w:ascii="Cambria" w:hAnsi="Cambria"/>
          <w:b/>
          <w:bCs/>
          <w:i/>
          <w:iCs/>
          <w:sz w:val="20"/>
          <w:szCs w:val="20"/>
        </w:rPr>
      </w:pPr>
      <w:r w:rsidRPr="00EC25B9">
        <w:rPr>
          <w:rFonts w:ascii="Cambria" w:hAnsi="Cambria"/>
          <w:b/>
          <w:i/>
          <w:sz w:val="20"/>
          <w:szCs w:val="20"/>
        </w:rPr>
        <w:t>1 d) Ajustement pour surconsommation et sous-consommation (paragraphe 8)</w:t>
      </w:r>
    </w:p>
    <w:p w14:paraId="6A0BC642" w14:textId="77777777" w:rsidR="00E11839" w:rsidRPr="00EC25B9" w:rsidRDefault="00E11839" w:rsidP="00E11839">
      <w:pPr>
        <w:jc w:val="both"/>
        <w:rPr>
          <w:rFonts w:ascii="Cambria" w:hAnsi="Cambria"/>
          <w:sz w:val="20"/>
          <w:szCs w:val="20"/>
        </w:rPr>
      </w:pPr>
    </w:p>
    <w:p w14:paraId="60C1B807" w14:textId="77777777" w:rsidR="00E11839" w:rsidRPr="00EC25B9" w:rsidRDefault="00E11839" w:rsidP="00E11839">
      <w:pPr>
        <w:jc w:val="both"/>
        <w:rPr>
          <w:rFonts w:ascii="Cambria" w:hAnsi="Cambria"/>
          <w:sz w:val="20"/>
          <w:szCs w:val="20"/>
        </w:rPr>
      </w:pPr>
      <w:r w:rsidRPr="00EC25B9">
        <w:rPr>
          <w:rFonts w:ascii="Cambria" w:hAnsi="Cambria"/>
          <w:sz w:val="20"/>
          <w:szCs w:val="20"/>
        </w:rPr>
        <w:t>Le Canada gère les surconsommations et les sous-consommations conformément aux recommandations applicables de l’ICCAT. Les ajustements de quotas, y compris le report des quotas non pêchés et les déductions résultant d'une surconsommation, sont pris en compte dans le calcul des quotas annuels, le cas échéant. Le cas échéant, des mesures de rééquilibrage des quotas au niveau des flottilles ou des licences sont mises en œuvre pour tenir compte des dépassements de quotas et garantir que les captures futures restent dans les limites autorisées.</w:t>
      </w:r>
    </w:p>
    <w:p w14:paraId="02BDCD86" w14:textId="77777777" w:rsidR="00E11839" w:rsidRPr="00EC25B9" w:rsidRDefault="00E11839" w:rsidP="00E11839">
      <w:pPr>
        <w:jc w:val="both"/>
        <w:rPr>
          <w:rFonts w:ascii="Cambria" w:hAnsi="Cambria"/>
          <w:sz w:val="20"/>
          <w:szCs w:val="20"/>
        </w:rPr>
      </w:pPr>
    </w:p>
    <w:p w14:paraId="46822D26" w14:textId="77777777" w:rsidR="00E11839" w:rsidRPr="00EC25B9" w:rsidRDefault="00E11839" w:rsidP="00E11839">
      <w:pPr>
        <w:jc w:val="both"/>
        <w:rPr>
          <w:rFonts w:ascii="Cambria" w:hAnsi="Cambria"/>
          <w:sz w:val="20"/>
          <w:szCs w:val="20"/>
        </w:rPr>
      </w:pPr>
      <w:r w:rsidRPr="00EC25B9">
        <w:rPr>
          <w:rFonts w:ascii="Cambria" w:hAnsi="Cambria"/>
          <w:sz w:val="20"/>
          <w:szCs w:val="20"/>
        </w:rPr>
        <w:t>Le quota final ajusté de thon rouge pour le Canada en 2025 s'élevait à 668,50 t, après les transferts de quotas et d'autres ajustements. Les prises réelles se sont élevées à 671,60 t, ce qui a entraîné une surconsommation de 3,09 t, qui a été régularisée en 2026.</w:t>
      </w:r>
    </w:p>
    <w:p w14:paraId="0B0AEFBD" w14:textId="77777777" w:rsidR="00E11839" w:rsidRPr="00EC25B9" w:rsidRDefault="00E11839" w:rsidP="00E11839">
      <w:pPr>
        <w:jc w:val="both"/>
        <w:rPr>
          <w:rFonts w:ascii="Cambria" w:hAnsi="Cambria"/>
          <w:sz w:val="20"/>
          <w:szCs w:val="20"/>
        </w:rPr>
      </w:pPr>
    </w:p>
    <w:p w14:paraId="3D9BE37A" w14:textId="77777777" w:rsidR="00E11839" w:rsidRPr="00EC25B9" w:rsidRDefault="00E11839" w:rsidP="00E11839">
      <w:pPr>
        <w:jc w:val="both"/>
        <w:rPr>
          <w:rFonts w:ascii="Cambria" w:hAnsi="Cambria"/>
          <w:sz w:val="20"/>
          <w:szCs w:val="20"/>
        </w:rPr>
      </w:pPr>
    </w:p>
    <w:p w14:paraId="2072938B" w14:textId="77777777" w:rsidR="00E11839" w:rsidRPr="00EC25B9" w:rsidRDefault="00E11839" w:rsidP="00E11839">
      <w:pPr>
        <w:tabs>
          <w:tab w:val="left" w:pos="426"/>
        </w:tabs>
        <w:jc w:val="both"/>
        <w:rPr>
          <w:rFonts w:ascii="Cambria" w:hAnsi="Cambria"/>
          <w:b/>
          <w:sz w:val="20"/>
          <w:szCs w:val="20"/>
        </w:rPr>
      </w:pPr>
      <w:r w:rsidRPr="00EC25B9">
        <w:rPr>
          <w:rFonts w:ascii="Cambria" w:hAnsi="Cambria"/>
          <w:b/>
          <w:sz w:val="20"/>
          <w:szCs w:val="20"/>
        </w:rPr>
        <w:t>2.</w:t>
      </w:r>
      <w:r w:rsidRPr="00EC25B9">
        <w:rPr>
          <w:rFonts w:ascii="Cambria" w:hAnsi="Cambria"/>
          <w:b/>
          <w:sz w:val="20"/>
          <w:szCs w:val="20"/>
        </w:rPr>
        <w:tab/>
        <w:t>Mesures de contrôle des pêcheries et des prises accessoires (paragraphe 3)</w:t>
      </w:r>
    </w:p>
    <w:p w14:paraId="6692F544" w14:textId="77777777" w:rsidR="00E11839" w:rsidRPr="00EC25B9" w:rsidRDefault="00E11839" w:rsidP="00E11839">
      <w:pPr>
        <w:rPr>
          <w:rFonts w:ascii="Cambria" w:hAnsi="Cambria"/>
          <w:i/>
          <w:iCs/>
          <w:sz w:val="20"/>
          <w:szCs w:val="20"/>
        </w:rPr>
      </w:pPr>
    </w:p>
    <w:tbl>
      <w:tblPr>
        <w:tblStyle w:val="TableGrid"/>
        <w:tblpPr w:leftFromText="180" w:rightFromText="180" w:vertAnchor="text" w:tblpXSpec="center" w:tblpY="1"/>
        <w:tblOverlap w:val="never"/>
        <w:tblW w:w="9036" w:type="dxa"/>
        <w:jc w:val="center"/>
        <w:tblLook w:val="04A0" w:firstRow="1" w:lastRow="0" w:firstColumn="1" w:lastColumn="0" w:noHBand="0" w:noVBand="1"/>
      </w:tblPr>
      <w:tblGrid>
        <w:gridCol w:w="492"/>
        <w:gridCol w:w="2023"/>
        <w:gridCol w:w="6521"/>
      </w:tblGrid>
      <w:tr w:rsidR="00E11839" w:rsidRPr="00EC25B9" w14:paraId="0882BB8A" w14:textId="77777777" w:rsidTr="001719C1">
        <w:trPr>
          <w:trHeight w:val="300"/>
          <w:tblHeader/>
          <w:jc w:val="center"/>
        </w:trPr>
        <w:tc>
          <w:tcPr>
            <w:tcW w:w="492" w:type="dxa"/>
          </w:tcPr>
          <w:p w14:paraId="2ED80D44" w14:textId="77777777" w:rsidR="00E11839" w:rsidRPr="00EC25B9" w:rsidRDefault="00E11839" w:rsidP="001719C1">
            <w:pPr>
              <w:rPr>
                <w:rFonts w:ascii="Cambria" w:hAnsi="Cambria" w:cs="Calibri"/>
                <w:b/>
                <w:bCs/>
                <w:sz w:val="20"/>
                <w:szCs w:val="20"/>
              </w:rPr>
            </w:pPr>
          </w:p>
        </w:tc>
        <w:tc>
          <w:tcPr>
            <w:tcW w:w="2023" w:type="dxa"/>
            <w:vAlign w:val="center"/>
          </w:tcPr>
          <w:p w14:paraId="3181C232" w14:textId="77777777" w:rsidR="00E11839" w:rsidRPr="00EC25B9" w:rsidRDefault="00E11839" w:rsidP="001719C1">
            <w:pPr>
              <w:jc w:val="center"/>
              <w:rPr>
                <w:rFonts w:ascii="Cambria" w:hAnsi="Cambria" w:cs="Calibri"/>
                <w:b/>
                <w:bCs/>
                <w:i/>
                <w:sz w:val="20"/>
                <w:szCs w:val="20"/>
              </w:rPr>
            </w:pPr>
            <w:r w:rsidRPr="00EC25B9">
              <w:rPr>
                <w:rFonts w:ascii="Cambria" w:hAnsi="Cambria"/>
                <w:b/>
                <w:i/>
                <w:sz w:val="20"/>
                <w:szCs w:val="20"/>
              </w:rPr>
              <w:t>Exigence de l’ICCAT</w:t>
            </w:r>
          </w:p>
          <w:p w14:paraId="5A03BF7F" w14:textId="77777777" w:rsidR="00E11839" w:rsidRPr="00D26538" w:rsidRDefault="00E11839" w:rsidP="001719C1">
            <w:pPr>
              <w:jc w:val="center"/>
              <w:rPr>
                <w:rFonts w:ascii="Cambria" w:hAnsi="Cambria"/>
                <w:b/>
                <w:bCs/>
                <w:i/>
                <w:iCs/>
                <w:sz w:val="20"/>
                <w:szCs w:val="20"/>
              </w:rPr>
            </w:pPr>
            <w:r w:rsidRPr="00D26538">
              <w:rPr>
                <w:rFonts w:ascii="Cambria" w:hAnsi="Cambria"/>
                <w:b/>
                <w:bCs/>
                <w:i/>
                <w:iCs/>
                <w:sz w:val="20"/>
                <w:szCs w:val="20"/>
              </w:rPr>
              <w:t xml:space="preserve">(En vertu de la </w:t>
            </w:r>
          </w:p>
          <w:p w14:paraId="5CD641FA" w14:textId="77777777" w:rsidR="00E11839" w:rsidRPr="00EC25B9" w:rsidRDefault="00E11839" w:rsidP="001719C1">
            <w:pPr>
              <w:jc w:val="center"/>
              <w:rPr>
                <w:rFonts w:ascii="Cambria" w:hAnsi="Cambria" w:cs="Calibri"/>
                <w:b/>
                <w:bCs/>
                <w:i/>
                <w:sz w:val="20"/>
                <w:szCs w:val="20"/>
              </w:rPr>
            </w:pPr>
            <w:hyperlink r:id="rId13" w:history="1">
              <w:r w:rsidRPr="00EC25B9">
                <w:rPr>
                  <w:rFonts w:ascii="Cambria" w:hAnsi="Cambria"/>
                  <w:b/>
                  <w:i/>
                  <w:color w:val="0563C1"/>
                  <w:sz w:val="20"/>
                  <w:szCs w:val="20"/>
                </w:rPr>
                <w:t>Rec. 25-05</w:t>
              </w:r>
            </w:hyperlink>
            <w:r w:rsidRPr="00EC25B9">
              <w:rPr>
                <w:rFonts w:ascii="Cambria" w:hAnsi="Cambria"/>
                <w:sz w:val="20"/>
                <w:szCs w:val="20"/>
              </w:rPr>
              <w:t>)</w:t>
            </w:r>
          </w:p>
        </w:tc>
        <w:tc>
          <w:tcPr>
            <w:tcW w:w="6521" w:type="dxa"/>
            <w:vAlign w:val="center"/>
          </w:tcPr>
          <w:p w14:paraId="22AE01AB" w14:textId="77777777" w:rsidR="00E11839" w:rsidRPr="00EC25B9" w:rsidRDefault="00E11839" w:rsidP="001719C1">
            <w:pPr>
              <w:jc w:val="center"/>
              <w:rPr>
                <w:rFonts w:ascii="Cambria" w:hAnsi="Cambria" w:cs="Calibri"/>
                <w:b/>
                <w:bCs/>
                <w:i/>
                <w:sz w:val="20"/>
                <w:szCs w:val="20"/>
              </w:rPr>
            </w:pPr>
            <w:r w:rsidRPr="00EC25B9">
              <w:rPr>
                <w:rFonts w:ascii="Cambria" w:hAnsi="Cambria"/>
                <w:b/>
                <w:i/>
                <w:sz w:val="20"/>
                <w:szCs w:val="20"/>
              </w:rPr>
              <w:t>Explication des mesures prises par la CPC pour mettre en œuvre cette disposition, y compris la législation/réglementation nationales pertinentes</w:t>
            </w:r>
          </w:p>
        </w:tc>
      </w:tr>
      <w:tr w:rsidR="00E11839" w:rsidRPr="00EC25B9" w14:paraId="276EDE7C" w14:textId="77777777" w:rsidTr="001719C1">
        <w:trPr>
          <w:trHeight w:val="300"/>
          <w:jc w:val="center"/>
        </w:trPr>
        <w:tc>
          <w:tcPr>
            <w:tcW w:w="492" w:type="dxa"/>
          </w:tcPr>
          <w:p w14:paraId="1A615C60" w14:textId="77777777" w:rsidR="00E11839" w:rsidRPr="00EC25B9" w:rsidRDefault="00E11839" w:rsidP="001719C1">
            <w:pPr>
              <w:rPr>
                <w:rFonts w:ascii="Cambria" w:hAnsi="Cambria" w:cs="Calibri"/>
                <w:sz w:val="20"/>
                <w:szCs w:val="20"/>
              </w:rPr>
            </w:pPr>
            <w:r w:rsidRPr="00EC25B9">
              <w:rPr>
                <w:rFonts w:ascii="Cambria" w:hAnsi="Cambria"/>
                <w:sz w:val="20"/>
                <w:szCs w:val="20"/>
              </w:rPr>
              <w:t>1</w:t>
            </w:r>
          </w:p>
        </w:tc>
        <w:tc>
          <w:tcPr>
            <w:tcW w:w="2023" w:type="dxa"/>
          </w:tcPr>
          <w:p w14:paraId="24218E0B" w14:textId="77777777" w:rsidR="00E11839" w:rsidRPr="00EC25B9" w:rsidDel="00C371CA" w:rsidRDefault="00E11839" w:rsidP="001719C1">
            <w:pPr>
              <w:rPr>
                <w:rFonts w:ascii="Cambria" w:hAnsi="Cambria" w:cs="Calibri"/>
                <w:sz w:val="20"/>
                <w:szCs w:val="20"/>
              </w:rPr>
            </w:pPr>
            <w:r w:rsidRPr="00EC25B9">
              <w:rPr>
                <w:rFonts w:ascii="Cambria" w:hAnsi="Cambria"/>
                <w:sz w:val="20"/>
                <w:szCs w:val="20"/>
              </w:rPr>
              <w:t>Limites de l’effort et de la capacité (paragraphe 2)</w:t>
            </w:r>
          </w:p>
        </w:tc>
        <w:tc>
          <w:tcPr>
            <w:tcW w:w="6521" w:type="dxa"/>
          </w:tcPr>
          <w:p w14:paraId="3652F431" w14:textId="77777777" w:rsidR="00E11839" w:rsidRPr="00EC25B9" w:rsidRDefault="00E11839" w:rsidP="001719C1">
            <w:pPr>
              <w:rPr>
                <w:rFonts w:ascii="Cambria" w:hAnsi="Cambria" w:cs="Calibri"/>
                <w:sz w:val="20"/>
                <w:szCs w:val="20"/>
              </w:rPr>
            </w:pPr>
            <w:r w:rsidRPr="00EC25B9">
              <w:rPr>
                <w:rFonts w:ascii="Cambria" w:hAnsi="Cambria"/>
                <w:sz w:val="20"/>
                <w:szCs w:val="20"/>
              </w:rPr>
              <w:t>N/A - Cette disposition ne s'applique pas aux CPC qui ne détiennent que des quotas de l'Ouest.</w:t>
            </w:r>
          </w:p>
        </w:tc>
      </w:tr>
      <w:tr w:rsidR="00E11839" w:rsidRPr="00EC25B9" w14:paraId="1F23BCFD" w14:textId="77777777" w:rsidTr="001719C1">
        <w:trPr>
          <w:trHeight w:val="300"/>
          <w:jc w:val="center"/>
        </w:trPr>
        <w:tc>
          <w:tcPr>
            <w:tcW w:w="492" w:type="dxa"/>
          </w:tcPr>
          <w:p w14:paraId="6359F6FD" w14:textId="77777777" w:rsidR="00E11839" w:rsidRPr="00EC25B9" w:rsidRDefault="00E11839" w:rsidP="001719C1">
            <w:pPr>
              <w:rPr>
                <w:rFonts w:ascii="Cambria" w:hAnsi="Cambria" w:cs="Calibri"/>
                <w:sz w:val="20"/>
                <w:szCs w:val="20"/>
              </w:rPr>
            </w:pPr>
            <w:r w:rsidRPr="00EC25B9">
              <w:rPr>
                <w:rFonts w:ascii="Cambria" w:hAnsi="Cambria"/>
                <w:sz w:val="20"/>
                <w:szCs w:val="20"/>
              </w:rPr>
              <w:t>2</w:t>
            </w:r>
          </w:p>
        </w:tc>
        <w:tc>
          <w:tcPr>
            <w:tcW w:w="2023" w:type="dxa"/>
          </w:tcPr>
          <w:p w14:paraId="0D652DBE" w14:textId="77777777" w:rsidR="00E11839" w:rsidRPr="00EC25B9" w:rsidRDefault="00E11839" w:rsidP="001719C1">
            <w:pPr>
              <w:rPr>
                <w:rFonts w:ascii="Cambria" w:hAnsi="Cambria" w:cs="Calibri"/>
                <w:sz w:val="20"/>
                <w:szCs w:val="20"/>
              </w:rPr>
            </w:pPr>
            <w:r w:rsidRPr="00EC25B9">
              <w:rPr>
                <w:rFonts w:ascii="Cambria" w:hAnsi="Cambria"/>
                <w:sz w:val="20"/>
                <w:szCs w:val="20"/>
              </w:rPr>
              <w:t>Exigences en matière de données et de déclaration</w:t>
            </w:r>
          </w:p>
          <w:p w14:paraId="7D987FBA" w14:textId="77777777" w:rsidR="00E11839" w:rsidRPr="00EC25B9" w:rsidRDefault="00E11839" w:rsidP="001719C1">
            <w:pPr>
              <w:rPr>
                <w:rFonts w:ascii="Cambria" w:hAnsi="Cambria" w:cs="Calibri"/>
                <w:sz w:val="20"/>
                <w:szCs w:val="20"/>
              </w:rPr>
            </w:pPr>
            <w:r w:rsidRPr="00EC25B9">
              <w:rPr>
                <w:rFonts w:ascii="Cambria" w:hAnsi="Cambria"/>
                <w:sz w:val="20"/>
                <w:szCs w:val="20"/>
              </w:rPr>
              <w:t>(paragraphes 18</w:t>
            </w:r>
            <w:r>
              <w:rPr>
                <w:rFonts w:ascii="Cambria" w:hAnsi="Cambria"/>
                <w:sz w:val="20"/>
                <w:szCs w:val="20"/>
              </w:rPr>
              <w:t xml:space="preserve">, </w:t>
            </w:r>
            <w:r w:rsidRPr="00EC25B9">
              <w:rPr>
                <w:rFonts w:ascii="Cambria" w:hAnsi="Cambria"/>
                <w:sz w:val="20"/>
                <w:szCs w:val="20"/>
              </w:rPr>
              <w:t>19, 21, 23)</w:t>
            </w:r>
          </w:p>
        </w:tc>
        <w:tc>
          <w:tcPr>
            <w:tcW w:w="6521" w:type="dxa"/>
          </w:tcPr>
          <w:p w14:paraId="5E68FB21" w14:textId="77777777" w:rsidR="00E11839" w:rsidRPr="00EC25B9" w:rsidRDefault="00E11839" w:rsidP="001719C1">
            <w:pPr>
              <w:rPr>
                <w:rFonts w:ascii="Cambria" w:eastAsia="Calibri" w:hAnsi="Cambria" w:cs="Calibri"/>
                <w:sz w:val="20"/>
                <w:szCs w:val="20"/>
              </w:rPr>
            </w:pPr>
            <w:r w:rsidRPr="00EC25B9">
              <w:rPr>
                <w:rFonts w:ascii="Cambria" w:hAnsi="Cambria"/>
                <w:sz w:val="20"/>
                <w:szCs w:val="20"/>
              </w:rPr>
              <w:t>1. Carnets de pêche obligatoires</w:t>
            </w:r>
          </w:p>
          <w:p w14:paraId="7C7704DD" w14:textId="77777777" w:rsidR="00E11839" w:rsidRPr="00EC25B9" w:rsidRDefault="00E11839" w:rsidP="001719C1">
            <w:pPr>
              <w:rPr>
                <w:rFonts w:ascii="Cambria" w:eastAsia="Calibri" w:hAnsi="Cambria" w:cs="Calibri"/>
                <w:sz w:val="20"/>
                <w:szCs w:val="20"/>
              </w:rPr>
            </w:pPr>
            <w:r w:rsidRPr="00EC25B9">
              <w:rPr>
                <w:rFonts w:ascii="Cambria" w:hAnsi="Cambria"/>
                <w:sz w:val="20"/>
                <w:szCs w:val="20"/>
              </w:rPr>
              <w:t>2. Surveillance à 100% au quai de tous les débarquements</w:t>
            </w:r>
          </w:p>
          <w:p w14:paraId="7D02975B" w14:textId="77777777" w:rsidR="00E11839" w:rsidRPr="00EC25B9" w:rsidRDefault="00E11839" w:rsidP="001719C1">
            <w:pPr>
              <w:rPr>
                <w:rFonts w:ascii="Cambria" w:eastAsia="Calibri" w:hAnsi="Cambria" w:cs="Calibri"/>
                <w:sz w:val="20"/>
                <w:szCs w:val="20"/>
              </w:rPr>
            </w:pPr>
            <w:r w:rsidRPr="00EC25B9">
              <w:rPr>
                <w:rFonts w:ascii="Cambria" w:hAnsi="Cambria"/>
                <w:sz w:val="20"/>
                <w:szCs w:val="20"/>
              </w:rPr>
              <w:t>3. Le Canada déclare ses débarquements mensuels conformément au paragraphe 21</w:t>
            </w:r>
          </w:p>
          <w:p w14:paraId="67756EAC" w14:textId="77777777" w:rsidR="00E11839" w:rsidRPr="00EC25B9" w:rsidRDefault="00E11839" w:rsidP="001719C1">
            <w:pPr>
              <w:rPr>
                <w:rFonts w:ascii="Cambria" w:eastAsia="Calibri" w:hAnsi="Cambria" w:cs="Calibri"/>
                <w:color w:val="000000" w:themeColor="text1"/>
                <w:sz w:val="20"/>
                <w:szCs w:val="20"/>
              </w:rPr>
            </w:pPr>
            <w:r w:rsidRPr="00EC25B9">
              <w:rPr>
                <w:rFonts w:ascii="Cambria" w:hAnsi="Cambria"/>
                <w:sz w:val="20"/>
                <w:szCs w:val="20"/>
              </w:rPr>
              <w:t xml:space="preserve">4. Les divisions statistiques régionales </w:t>
            </w:r>
            <w:r w:rsidRPr="00EC25B9">
              <w:rPr>
                <w:rFonts w:ascii="Cambria" w:hAnsi="Cambria"/>
                <w:color w:val="000000" w:themeColor="text1"/>
                <w:sz w:val="20"/>
                <w:szCs w:val="20"/>
              </w:rPr>
              <w:t>procèdent à des audits nationaux de fin de saison afin de vérifier la concordance entre les données issues des carnets de pêche et celles saisies par les sociétés de surveillance portuaire</w:t>
            </w:r>
          </w:p>
        </w:tc>
      </w:tr>
      <w:tr w:rsidR="00E11839" w:rsidRPr="00EC25B9" w14:paraId="73627633" w14:textId="77777777" w:rsidTr="001719C1">
        <w:trPr>
          <w:trHeight w:val="300"/>
          <w:jc w:val="center"/>
        </w:trPr>
        <w:tc>
          <w:tcPr>
            <w:tcW w:w="492" w:type="dxa"/>
          </w:tcPr>
          <w:p w14:paraId="3915FD18" w14:textId="77777777" w:rsidR="00E11839" w:rsidRPr="00EC25B9" w:rsidRDefault="00E11839" w:rsidP="001719C1">
            <w:pPr>
              <w:rPr>
                <w:rFonts w:ascii="Cambria" w:hAnsi="Cambria" w:cs="Calibri"/>
                <w:sz w:val="20"/>
                <w:szCs w:val="20"/>
              </w:rPr>
            </w:pPr>
            <w:r w:rsidRPr="00EC25B9">
              <w:rPr>
                <w:rFonts w:ascii="Cambria" w:hAnsi="Cambria"/>
                <w:sz w:val="20"/>
                <w:szCs w:val="20"/>
              </w:rPr>
              <w:t>3</w:t>
            </w:r>
          </w:p>
        </w:tc>
        <w:tc>
          <w:tcPr>
            <w:tcW w:w="2023" w:type="dxa"/>
          </w:tcPr>
          <w:p w14:paraId="1B9B4AA0" w14:textId="77777777" w:rsidR="00E11839" w:rsidRPr="00EC25B9" w:rsidRDefault="00E11839" w:rsidP="001719C1">
            <w:pPr>
              <w:rPr>
                <w:rFonts w:ascii="Cambria" w:hAnsi="Cambria" w:cs="Calibri"/>
                <w:sz w:val="20"/>
                <w:szCs w:val="20"/>
              </w:rPr>
            </w:pPr>
            <w:r w:rsidRPr="00EC25B9">
              <w:rPr>
                <w:rFonts w:ascii="Cambria" w:hAnsi="Cambria"/>
                <w:sz w:val="20"/>
                <w:szCs w:val="20"/>
              </w:rPr>
              <w:t>Restrictions spatio-temporelles</w:t>
            </w:r>
          </w:p>
          <w:p w14:paraId="2F8AABDA" w14:textId="77777777" w:rsidR="00E11839" w:rsidRPr="00EC25B9" w:rsidRDefault="00E11839" w:rsidP="001719C1">
            <w:pPr>
              <w:rPr>
                <w:rFonts w:ascii="Cambria" w:hAnsi="Cambria" w:cs="Calibri"/>
                <w:sz w:val="20"/>
                <w:szCs w:val="20"/>
              </w:rPr>
            </w:pPr>
            <w:r w:rsidRPr="00EC25B9">
              <w:rPr>
                <w:rFonts w:ascii="Cambria" w:hAnsi="Cambria"/>
                <w:sz w:val="20"/>
                <w:szCs w:val="20"/>
              </w:rPr>
              <w:lastRenderedPageBreak/>
              <w:t>(paragraphe 13)</w:t>
            </w:r>
          </w:p>
        </w:tc>
        <w:tc>
          <w:tcPr>
            <w:tcW w:w="6521" w:type="dxa"/>
          </w:tcPr>
          <w:p w14:paraId="75EF87DC" w14:textId="77777777" w:rsidR="00E11839" w:rsidRPr="00EC25B9" w:rsidRDefault="00E11839" w:rsidP="001719C1">
            <w:pPr>
              <w:rPr>
                <w:rFonts w:ascii="Cambria" w:hAnsi="Cambria" w:cs="Calibri"/>
                <w:sz w:val="20"/>
                <w:szCs w:val="20"/>
              </w:rPr>
            </w:pPr>
            <w:r w:rsidRPr="00EC25B9">
              <w:rPr>
                <w:rFonts w:ascii="Cambria" w:hAnsi="Cambria"/>
                <w:sz w:val="20"/>
                <w:szCs w:val="20"/>
              </w:rPr>
              <w:lastRenderedPageBreak/>
              <w:t>Les conditions d'octroi des licences aux palangriers pélagiques interdisent la pêche dans une zone connue sous le nom de « Hell Hole »</w:t>
            </w:r>
            <w:r w:rsidRPr="00EC25B9">
              <w:rPr>
                <w:rStyle w:val="FootnoteReference"/>
                <w:rFonts w:ascii="Cambria" w:hAnsi="Cambria" w:cs="Calibri"/>
                <w:sz w:val="20"/>
                <w:szCs w:val="20"/>
              </w:rPr>
              <w:footnoteReference w:id="1"/>
            </w:r>
            <w:r w:rsidRPr="00EC25B9">
              <w:rPr>
                <w:rFonts w:ascii="Cambria" w:hAnsi="Cambria"/>
                <w:sz w:val="20"/>
                <w:szCs w:val="20"/>
              </w:rPr>
              <w:t xml:space="preserve"> , </w:t>
            </w:r>
            <w:r w:rsidRPr="00EC25B9">
              <w:rPr>
                <w:rFonts w:ascii="Cambria" w:hAnsi="Cambria"/>
                <w:sz w:val="20"/>
                <w:szCs w:val="20"/>
              </w:rPr>
              <w:lastRenderedPageBreak/>
              <w:t>en raison d’éléments de preuve antérieurs faisant état de fortes interactions avec le thon rouge.</w:t>
            </w:r>
          </w:p>
          <w:p w14:paraId="013BEF92" w14:textId="77777777" w:rsidR="00E11839" w:rsidRPr="00EC25B9" w:rsidRDefault="00E11839" w:rsidP="001719C1">
            <w:pPr>
              <w:rPr>
                <w:rFonts w:ascii="Cambria" w:hAnsi="Cambria" w:cs="Calibri"/>
                <w:sz w:val="20"/>
                <w:szCs w:val="20"/>
              </w:rPr>
            </w:pPr>
            <w:r w:rsidRPr="00EC25B9">
              <w:rPr>
                <w:rFonts w:ascii="Cambria" w:hAnsi="Cambria"/>
                <w:sz w:val="20"/>
                <w:szCs w:val="20"/>
              </w:rPr>
              <w:t xml:space="preserve">Il est également interdit aux navires palangriers de pêcher à moins de 20 milles marins des côtes en raison des interactions possibles avec le thon rouge. </w:t>
            </w:r>
          </w:p>
        </w:tc>
      </w:tr>
      <w:tr w:rsidR="00E11839" w:rsidRPr="00EC25B9" w14:paraId="3D663319" w14:textId="77777777" w:rsidTr="001719C1">
        <w:trPr>
          <w:trHeight w:val="300"/>
          <w:jc w:val="center"/>
        </w:trPr>
        <w:tc>
          <w:tcPr>
            <w:tcW w:w="492" w:type="dxa"/>
          </w:tcPr>
          <w:p w14:paraId="235D6B48" w14:textId="77777777" w:rsidR="00E11839" w:rsidRPr="00EC25B9" w:rsidRDefault="00E11839" w:rsidP="001719C1">
            <w:pPr>
              <w:rPr>
                <w:rFonts w:ascii="Cambria" w:hAnsi="Cambria" w:cs="Calibri"/>
                <w:sz w:val="20"/>
                <w:szCs w:val="20"/>
              </w:rPr>
            </w:pPr>
            <w:r w:rsidRPr="00EC25B9">
              <w:rPr>
                <w:rFonts w:ascii="Cambria" w:hAnsi="Cambria"/>
                <w:sz w:val="20"/>
                <w:szCs w:val="20"/>
              </w:rPr>
              <w:lastRenderedPageBreak/>
              <w:t>4</w:t>
            </w:r>
          </w:p>
        </w:tc>
        <w:tc>
          <w:tcPr>
            <w:tcW w:w="2023" w:type="dxa"/>
          </w:tcPr>
          <w:p w14:paraId="51E9659F" w14:textId="77777777" w:rsidR="00E11839" w:rsidRPr="00EC25B9" w:rsidRDefault="00E11839" w:rsidP="001719C1">
            <w:pPr>
              <w:rPr>
                <w:rFonts w:ascii="Cambria" w:hAnsi="Cambria" w:cs="Calibri"/>
                <w:sz w:val="20"/>
                <w:szCs w:val="20"/>
              </w:rPr>
            </w:pPr>
            <w:r w:rsidRPr="00EC25B9">
              <w:rPr>
                <w:rFonts w:ascii="Cambria" w:hAnsi="Cambria"/>
                <w:sz w:val="20"/>
                <w:szCs w:val="20"/>
              </w:rPr>
              <w:t xml:space="preserve">Taille minimale et protection des petits poissons  </w:t>
            </w:r>
          </w:p>
          <w:p w14:paraId="01EC7502" w14:textId="77777777" w:rsidR="00E11839" w:rsidRPr="00EC25B9" w:rsidRDefault="00E11839" w:rsidP="001719C1">
            <w:pPr>
              <w:rPr>
                <w:rFonts w:ascii="Cambria" w:hAnsi="Cambria" w:cs="Calibri"/>
                <w:sz w:val="20"/>
                <w:szCs w:val="20"/>
              </w:rPr>
            </w:pPr>
            <w:r w:rsidRPr="00EC25B9">
              <w:rPr>
                <w:rFonts w:ascii="Cambria" w:hAnsi="Cambria"/>
                <w:sz w:val="20"/>
                <w:szCs w:val="20"/>
              </w:rPr>
              <w:t>(paragraphes 9</w:t>
            </w:r>
            <w:r>
              <w:rPr>
                <w:rFonts w:ascii="Cambria" w:hAnsi="Cambria"/>
                <w:sz w:val="20"/>
                <w:szCs w:val="20"/>
              </w:rPr>
              <w:t xml:space="preserve">, </w:t>
            </w:r>
            <w:r w:rsidRPr="00EC25B9">
              <w:rPr>
                <w:rFonts w:ascii="Cambria" w:hAnsi="Cambria"/>
                <w:sz w:val="20"/>
                <w:szCs w:val="20"/>
              </w:rPr>
              <w:t>10)</w:t>
            </w:r>
          </w:p>
        </w:tc>
        <w:tc>
          <w:tcPr>
            <w:tcW w:w="6521" w:type="dxa"/>
          </w:tcPr>
          <w:p w14:paraId="675184F2" w14:textId="77777777" w:rsidR="00E11839" w:rsidRPr="00EC25B9" w:rsidRDefault="00E11839" w:rsidP="001719C1">
            <w:pPr>
              <w:rPr>
                <w:rFonts w:ascii="Cambria" w:hAnsi="Cambria" w:cs="Calibri"/>
                <w:sz w:val="20"/>
                <w:szCs w:val="20"/>
              </w:rPr>
            </w:pPr>
            <w:r w:rsidRPr="00EC25B9">
              <w:rPr>
                <w:rFonts w:ascii="Cambria" w:hAnsi="Cambria"/>
                <w:sz w:val="20"/>
                <w:szCs w:val="20"/>
              </w:rPr>
              <w:t>La taille minimale de 30 kg fixée par l’ICCAT a été reprise dans la réglementation canadienne</w:t>
            </w:r>
          </w:p>
        </w:tc>
      </w:tr>
      <w:tr w:rsidR="00E11839" w:rsidRPr="00EC25B9" w14:paraId="08B6B468" w14:textId="77777777" w:rsidTr="001719C1">
        <w:trPr>
          <w:trHeight w:val="300"/>
          <w:jc w:val="center"/>
        </w:trPr>
        <w:tc>
          <w:tcPr>
            <w:tcW w:w="492" w:type="dxa"/>
          </w:tcPr>
          <w:p w14:paraId="14C3283E" w14:textId="77777777" w:rsidR="00E11839" w:rsidRPr="00EC25B9" w:rsidRDefault="00E11839" w:rsidP="001719C1">
            <w:pPr>
              <w:rPr>
                <w:rFonts w:ascii="Cambria" w:hAnsi="Cambria" w:cs="Calibri"/>
                <w:sz w:val="20"/>
                <w:szCs w:val="20"/>
              </w:rPr>
            </w:pPr>
            <w:r w:rsidRPr="00EC25B9">
              <w:rPr>
                <w:rFonts w:ascii="Cambria" w:hAnsi="Cambria"/>
                <w:sz w:val="20"/>
                <w:szCs w:val="20"/>
              </w:rPr>
              <w:t>5</w:t>
            </w:r>
          </w:p>
        </w:tc>
        <w:tc>
          <w:tcPr>
            <w:tcW w:w="2023" w:type="dxa"/>
          </w:tcPr>
          <w:p w14:paraId="1DEB840E" w14:textId="77777777" w:rsidR="00E11839" w:rsidRPr="00EC25B9" w:rsidRDefault="00E11839" w:rsidP="001719C1">
            <w:pPr>
              <w:rPr>
                <w:rFonts w:ascii="Cambria" w:hAnsi="Cambria" w:cs="Calibri"/>
                <w:sz w:val="20"/>
                <w:szCs w:val="20"/>
              </w:rPr>
            </w:pPr>
            <w:r w:rsidRPr="00EC25B9">
              <w:rPr>
                <w:rFonts w:ascii="Cambria" w:hAnsi="Cambria"/>
                <w:sz w:val="20"/>
                <w:szCs w:val="20"/>
              </w:rPr>
              <w:t xml:space="preserve">Prises accessoires </w:t>
            </w:r>
          </w:p>
          <w:p w14:paraId="6F35C308" w14:textId="77777777" w:rsidR="00E11839" w:rsidRPr="00EC25B9" w:rsidRDefault="00E11839" w:rsidP="001719C1">
            <w:pPr>
              <w:rPr>
                <w:rFonts w:ascii="Cambria" w:hAnsi="Cambria" w:cs="Calibri"/>
                <w:sz w:val="20"/>
                <w:szCs w:val="20"/>
              </w:rPr>
            </w:pPr>
            <w:r w:rsidRPr="00EC25B9">
              <w:rPr>
                <w:rFonts w:ascii="Cambria" w:hAnsi="Cambria"/>
                <w:sz w:val="20"/>
                <w:szCs w:val="20"/>
              </w:rPr>
              <w:t xml:space="preserve">(paragraphe 6) </w:t>
            </w:r>
          </w:p>
        </w:tc>
        <w:tc>
          <w:tcPr>
            <w:tcW w:w="6521" w:type="dxa"/>
          </w:tcPr>
          <w:p w14:paraId="7C8801B7" w14:textId="77777777" w:rsidR="00E11839" w:rsidRPr="00EC25B9" w:rsidRDefault="00E11839" w:rsidP="001719C1">
            <w:pPr>
              <w:rPr>
                <w:rFonts w:ascii="Cambria" w:hAnsi="Cambria" w:cs="Calibri"/>
                <w:sz w:val="20"/>
                <w:szCs w:val="20"/>
              </w:rPr>
            </w:pPr>
            <w:r w:rsidRPr="00EC25B9">
              <w:rPr>
                <w:rFonts w:ascii="Cambria" w:hAnsi="Cambria"/>
                <w:sz w:val="20"/>
                <w:szCs w:val="20"/>
              </w:rPr>
              <w:t>La campagne de pêche 2025 s'est déroulée conformément à la Rec. 22-10, en vertu de laquelle 15 t ont été attribuées au Canada au titre du paragraphe 5 a), afin de tenir compte des prises accessoires des palangriers à proximité de la zone de délimitation. Ce montant a été alloué à la flottille palangrière pélagique (flottille ciblant l'espadon, l'albacore, le thon obèse et le germon) à des fins de prises accessoires uniquement.</w:t>
            </w:r>
          </w:p>
        </w:tc>
      </w:tr>
      <w:tr w:rsidR="00E11839" w:rsidRPr="00EC25B9" w14:paraId="02D70161" w14:textId="77777777" w:rsidTr="001719C1">
        <w:trPr>
          <w:trHeight w:val="300"/>
          <w:jc w:val="center"/>
        </w:trPr>
        <w:tc>
          <w:tcPr>
            <w:tcW w:w="492" w:type="dxa"/>
          </w:tcPr>
          <w:p w14:paraId="6433B50C" w14:textId="77777777" w:rsidR="00E11839" w:rsidRPr="00EC25B9" w:rsidRDefault="00E11839" w:rsidP="001719C1">
            <w:pPr>
              <w:rPr>
                <w:rFonts w:ascii="Cambria" w:hAnsi="Cambria" w:cs="Calibri"/>
                <w:sz w:val="20"/>
                <w:szCs w:val="20"/>
              </w:rPr>
            </w:pPr>
            <w:r w:rsidRPr="00EC25B9">
              <w:rPr>
                <w:rFonts w:ascii="Cambria" w:hAnsi="Cambria"/>
                <w:sz w:val="20"/>
                <w:szCs w:val="20"/>
              </w:rPr>
              <w:t>6</w:t>
            </w:r>
          </w:p>
        </w:tc>
        <w:tc>
          <w:tcPr>
            <w:tcW w:w="2023" w:type="dxa"/>
          </w:tcPr>
          <w:p w14:paraId="2EB58133" w14:textId="77777777" w:rsidR="00E11839" w:rsidRPr="00EC25B9" w:rsidRDefault="00E11839" w:rsidP="001719C1">
            <w:pPr>
              <w:rPr>
                <w:rFonts w:ascii="Cambria" w:hAnsi="Cambria" w:cs="Calibri"/>
                <w:sz w:val="20"/>
                <w:szCs w:val="20"/>
              </w:rPr>
            </w:pPr>
            <w:r w:rsidRPr="00EC25B9">
              <w:rPr>
                <w:rFonts w:ascii="Cambria" w:hAnsi="Cambria"/>
                <w:sz w:val="20"/>
                <w:szCs w:val="20"/>
              </w:rPr>
              <w:t xml:space="preserve">Pêcheries récréatives [et sportives] </w:t>
            </w:r>
          </w:p>
          <w:p w14:paraId="042A5454" w14:textId="77777777" w:rsidR="00E11839" w:rsidRPr="00EC25B9" w:rsidRDefault="00E11839" w:rsidP="001719C1">
            <w:pPr>
              <w:rPr>
                <w:rFonts w:ascii="Cambria" w:hAnsi="Cambria" w:cs="Calibri"/>
                <w:sz w:val="20"/>
                <w:szCs w:val="20"/>
              </w:rPr>
            </w:pPr>
            <w:r w:rsidRPr="00EC25B9">
              <w:rPr>
                <w:rFonts w:ascii="Cambria" w:hAnsi="Cambria"/>
                <w:sz w:val="20"/>
                <w:szCs w:val="20"/>
              </w:rPr>
              <w:t>(paragraphe 11)</w:t>
            </w:r>
          </w:p>
        </w:tc>
        <w:tc>
          <w:tcPr>
            <w:tcW w:w="6521" w:type="dxa"/>
          </w:tcPr>
          <w:p w14:paraId="66F1C2FA" w14:textId="77777777" w:rsidR="00E11839" w:rsidRPr="00EC25B9" w:rsidRDefault="00E11839" w:rsidP="001719C1">
            <w:pPr>
              <w:rPr>
                <w:rFonts w:ascii="Cambria" w:hAnsi="Cambria" w:cs="Calibri"/>
                <w:sz w:val="20"/>
                <w:szCs w:val="20"/>
              </w:rPr>
            </w:pPr>
            <w:r w:rsidRPr="00EC25B9">
              <w:rPr>
                <w:rFonts w:ascii="Cambria" w:hAnsi="Cambria"/>
                <w:sz w:val="20"/>
                <w:szCs w:val="20"/>
              </w:rPr>
              <w:t>Le Canada n’a pas de pêcherie récréative de thon rouge.</w:t>
            </w:r>
          </w:p>
          <w:p w14:paraId="63D1CDF4" w14:textId="77777777" w:rsidR="00E11839" w:rsidRPr="00EC25B9" w:rsidRDefault="00E11839" w:rsidP="001719C1">
            <w:pPr>
              <w:spacing w:line="259" w:lineRule="auto"/>
              <w:rPr>
                <w:rFonts w:ascii="Cambria" w:hAnsi="Cambria" w:cs="Calibri"/>
                <w:sz w:val="20"/>
                <w:szCs w:val="20"/>
              </w:rPr>
            </w:pPr>
          </w:p>
        </w:tc>
      </w:tr>
      <w:tr w:rsidR="00E11839" w:rsidRPr="00EC25B9" w14:paraId="744CA7A4" w14:textId="77777777" w:rsidTr="001719C1">
        <w:trPr>
          <w:trHeight w:val="302"/>
          <w:jc w:val="center"/>
        </w:trPr>
        <w:tc>
          <w:tcPr>
            <w:tcW w:w="492" w:type="dxa"/>
          </w:tcPr>
          <w:p w14:paraId="0D5CA3C2" w14:textId="77777777" w:rsidR="00E11839" w:rsidRPr="00EC25B9" w:rsidRDefault="00E11839" w:rsidP="001719C1">
            <w:pPr>
              <w:rPr>
                <w:rFonts w:ascii="Cambria" w:hAnsi="Cambria" w:cs="Calibri"/>
                <w:sz w:val="20"/>
                <w:szCs w:val="20"/>
              </w:rPr>
            </w:pPr>
            <w:r w:rsidRPr="00EC25B9">
              <w:rPr>
                <w:rFonts w:ascii="Cambria" w:hAnsi="Cambria"/>
                <w:sz w:val="20"/>
                <w:szCs w:val="20"/>
              </w:rPr>
              <w:t>7</w:t>
            </w:r>
          </w:p>
        </w:tc>
        <w:tc>
          <w:tcPr>
            <w:tcW w:w="2023" w:type="dxa"/>
          </w:tcPr>
          <w:p w14:paraId="360301D3" w14:textId="77777777" w:rsidR="00E11839" w:rsidRPr="00EC25B9" w:rsidRDefault="00E11839" w:rsidP="001719C1">
            <w:pPr>
              <w:rPr>
                <w:rFonts w:ascii="Cambria" w:hAnsi="Cambria" w:cs="Calibri"/>
                <w:sz w:val="20"/>
                <w:szCs w:val="20"/>
              </w:rPr>
            </w:pPr>
            <w:r w:rsidRPr="00EC25B9">
              <w:rPr>
                <w:rFonts w:ascii="Cambria" w:hAnsi="Cambria"/>
                <w:sz w:val="20"/>
                <w:szCs w:val="20"/>
              </w:rPr>
              <w:t>Transbordement en mer (paragraphe 14)</w:t>
            </w:r>
          </w:p>
        </w:tc>
        <w:tc>
          <w:tcPr>
            <w:tcW w:w="6521" w:type="dxa"/>
          </w:tcPr>
          <w:p w14:paraId="2C69DCE9" w14:textId="77777777" w:rsidR="00E11839" w:rsidRPr="00EC25B9" w:rsidRDefault="00E11839" w:rsidP="001719C1">
            <w:pPr>
              <w:rPr>
                <w:rFonts w:ascii="Cambria" w:hAnsi="Cambria" w:cs="Calibri"/>
                <w:sz w:val="20"/>
                <w:szCs w:val="20"/>
              </w:rPr>
            </w:pPr>
            <w:r w:rsidRPr="00EC25B9">
              <w:rPr>
                <w:rFonts w:ascii="Cambria" w:hAnsi="Cambria"/>
                <w:sz w:val="20"/>
                <w:szCs w:val="20"/>
              </w:rPr>
              <w:t>Le transbordement est interdit au Canada</w:t>
            </w:r>
          </w:p>
        </w:tc>
      </w:tr>
    </w:tbl>
    <w:p w14:paraId="3BC825FB" w14:textId="77777777" w:rsidR="00E11839" w:rsidRPr="00EC25B9" w:rsidRDefault="00E11839" w:rsidP="00E11839">
      <w:pPr>
        <w:tabs>
          <w:tab w:val="left" w:pos="426"/>
        </w:tabs>
        <w:ind w:left="426" w:hanging="426"/>
        <w:rPr>
          <w:rFonts w:ascii="Cambria" w:hAnsi="Cambria"/>
          <w:b/>
          <w:bCs/>
          <w:sz w:val="20"/>
          <w:szCs w:val="20"/>
          <w:lang w:eastAsia="ja-JP"/>
        </w:rPr>
      </w:pPr>
    </w:p>
    <w:p w14:paraId="0865DB23" w14:textId="77777777" w:rsidR="00E11839" w:rsidRPr="00EC25B9" w:rsidRDefault="00E11839" w:rsidP="00E11839">
      <w:pPr>
        <w:tabs>
          <w:tab w:val="left" w:pos="426"/>
        </w:tabs>
        <w:ind w:left="426" w:hanging="426"/>
        <w:jc w:val="both"/>
        <w:rPr>
          <w:rFonts w:ascii="Cambria" w:hAnsi="Cambria"/>
          <w:b/>
          <w:bCs/>
          <w:sz w:val="20"/>
          <w:szCs w:val="20"/>
          <w:lang w:eastAsia="ja-JP"/>
        </w:rPr>
      </w:pPr>
    </w:p>
    <w:p w14:paraId="46949618" w14:textId="77777777" w:rsidR="00E11839" w:rsidRPr="00EC25B9" w:rsidRDefault="00E11839" w:rsidP="00E11839">
      <w:pPr>
        <w:keepNext/>
        <w:tabs>
          <w:tab w:val="left" w:pos="426"/>
        </w:tabs>
        <w:ind w:left="432" w:hanging="432"/>
        <w:jc w:val="both"/>
        <w:rPr>
          <w:rFonts w:ascii="Cambria" w:hAnsi="Cambria"/>
          <w:b/>
          <w:sz w:val="20"/>
          <w:szCs w:val="20"/>
        </w:rPr>
      </w:pPr>
      <w:r w:rsidRPr="00EC25B9">
        <w:rPr>
          <w:rFonts w:ascii="Cambria" w:hAnsi="Cambria"/>
          <w:b/>
          <w:sz w:val="20"/>
          <w:szCs w:val="20"/>
        </w:rPr>
        <w:t>3.</w:t>
      </w:r>
      <w:r w:rsidRPr="00EC25B9">
        <w:rPr>
          <w:rFonts w:ascii="Cambria" w:hAnsi="Cambria"/>
          <w:sz w:val="20"/>
          <w:szCs w:val="20"/>
        </w:rPr>
        <w:tab/>
      </w:r>
      <w:r w:rsidRPr="00EC25B9">
        <w:rPr>
          <w:rFonts w:ascii="Cambria" w:hAnsi="Cambria"/>
          <w:b/>
          <w:sz w:val="20"/>
          <w:szCs w:val="20"/>
        </w:rPr>
        <w:t>Mesures supplémentaires utilisées à des fins d’exécution ou de suivi, de contrôle et d'inspection (paragraphe 3)</w:t>
      </w:r>
    </w:p>
    <w:p w14:paraId="4D4F0264" w14:textId="77777777" w:rsidR="00E11839" w:rsidRPr="00EC25B9" w:rsidRDefault="00E11839" w:rsidP="00E11839">
      <w:pPr>
        <w:jc w:val="both"/>
        <w:rPr>
          <w:rFonts w:ascii="Cambria" w:hAnsi="Cambria"/>
          <w:b/>
          <w:bCs/>
          <w:sz w:val="20"/>
          <w:szCs w:val="20"/>
        </w:rPr>
      </w:pPr>
    </w:p>
    <w:p w14:paraId="6B1B90D7" w14:textId="77777777" w:rsidR="00E11839" w:rsidRPr="00EC25B9" w:rsidRDefault="00E11839" w:rsidP="00E11839">
      <w:pPr>
        <w:jc w:val="both"/>
        <w:rPr>
          <w:rFonts w:ascii="Cambria" w:eastAsia="Calibri" w:hAnsi="Cambria" w:cs="Calibri"/>
          <w:sz w:val="20"/>
          <w:szCs w:val="20"/>
        </w:rPr>
      </w:pPr>
      <w:r w:rsidRPr="00EC25B9">
        <w:rPr>
          <w:rFonts w:ascii="Cambria" w:hAnsi="Cambria"/>
          <w:sz w:val="20"/>
          <w:szCs w:val="20"/>
        </w:rPr>
        <w:t>Le Canada met en œuvre un certain nombre de mesures supplémentaires de surveillance, de contrôle et d'exécution afin de garantir l’application des exigences de l’ICCAT et des exigences nationales. Cette pêcherie est gérée selon un système d'accès restreint. Les flottilles dirigées et non dirigées sont soumises à une surveillance par observateur ou électronique (vidéo) à la demande de la DFO (5% pour les navires de pêche côtière à la canne et au moulinet et 10% pour les palangriers). Tout thon rouge retenu doit être immédiatement marqué avec un numéro unique délivrée par la DFO afin d'assurer une traçabilité totale. Les titulaires de licence sont tenus de contacter une société de surveillance portuaire immédiatement après la capture et le marquage d'un thon rouge, ainsi qu'avant le départ et le débarquement, dans le cadre des procédures obligatoires d’entrée et de sortie. Par ailleurs, le Canada met en œuvre sa politique de surveillance des pêcheries, qui intègre des mesures de déclaration, de suivi et de vérification visant à favoriser une gestion efficace des quotas et le contrôle de l’application.</w:t>
      </w:r>
    </w:p>
    <w:p w14:paraId="1B907222" w14:textId="77777777" w:rsidR="00E11839" w:rsidRPr="00EC25B9" w:rsidRDefault="00E11839" w:rsidP="00E11839">
      <w:pPr>
        <w:jc w:val="both"/>
        <w:rPr>
          <w:rFonts w:ascii="Cambria" w:eastAsia="Calibri" w:hAnsi="Cambria" w:cs="Calibri"/>
          <w:b/>
          <w:bCs/>
          <w:sz w:val="20"/>
          <w:szCs w:val="20"/>
        </w:rPr>
      </w:pPr>
    </w:p>
    <w:p w14:paraId="0F7736BB" w14:textId="77777777" w:rsidR="00E11839" w:rsidRPr="00EC25B9" w:rsidRDefault="00E11839" w:rsidP="00E11839">
      <w:pPr>
        <w:spacing w:line="300" w:lineRule="auto"/>
        <w:jc w:val="both"/>
        <w:rPr>
          <w:rFonts w:ascii="Cambria" w:eastAsia="Calibri" w:hAnsi="Cambria" w:cs="Calibri"/>
          <w:b/>
          <w:strike/>
          <w:sz w:val="20"/>
          <w:szCs w:val="20"/>
        </w:rPr>
      </w:pPr>
    </w:p>
    <w:p w14:paraId="6B7B5622" w14:textId="77777777" w:rsidR="00E11839" w:rsidRPr="00EC25B9" w:rsidRDefault="00E11839" w:rsidP="00E11839">
      <w:pPr>
        <w:jc w:val="both"/>
        <w:rPr>
          <w:rFonts w:ascii="Cambria" w:eastAsia="Calibri" w:hAnsi="Cambria" w:cs="Calibri"/>
          <w:i/>
          <w:iCs/>
          <w:strike/>
          <w:sz w:val="20"/>
          <w:szCs w:val="20"/>
        </w:rPr>
      </w:pPr>
    </w:p>
    <w:p w14:paraId="4EACABD7" w14:textId="77777777" w:rsidR="002C6ED1" w:rsidRDefault="002C6ED1">
      <w:pPr>
        <w:rPr>
          <w:rFonts w:asciiTheme="majorHAnsi" w:hAnsiTheme="majorHAnsi"/>
          <w:b/>
          <w:bCs/>
          <w:sz w:val="20"/>
          <w:szCs w:val="20"/>
        </w:rPr>
      </w:pPr>
    </w:p>
    <w:p w14:paraId="02D5C3D6" w14:textId="77777777" w:rsidR="002C6ED1" w:rsidRDefault="002C6ED1">
      <w:pPr>
        <w:rPr>
          <w:rFonts w:asciiTheme="majorHAnsi" w:hAnsiTheme="majorHAnsi"/>
          <w:b/>
          <w:bCs/>
          <w:sz w:val="20"/>
          <w:szCs w:val="20"/>
        </w:rPr>
      </w:pPr>
    </w:p>
    <w:p w14:paraId="271C0541" w14:textId="77777777" w:rsidR="002C6ED1" w:rsidRDefault="002C6ED1">
      <w:pPr>
        <w:rPr>
          <w:rFonts w:asciiTheme="majorHAnsi" w:hAnsiTheme="majorHAnsi"/>
          <w:b/>
          <w:bCs/>
          <w:sz w:val="20"/>
          <w:szCs w:val="20"/>
        </w:rPr>
      </w:pPr>
    </w:p>
    <w:p w14:paraId="6840ABEB" w14:textId="77777777" w:rsidR="002C6ED1" w:rsidRDefault="002C6ED1">
      <w:pPr>
        <w:rPr>
          <w:rFonts w:asciiTheme="majorHAnsi" w:hAnsiTheme="majorHAnsi"/>
          <w:b/>
          <w:bCs/>
          <w:sz w:val="20"/>
          <w:szCs w:val="20"/>
        </w:rPr>
      </w:pPr>
    </w:p>
    <w:p w14:paraId="51911A2D" w14:textId="77777777" w:rsidR="002C6ED1" w:rsidRDefault="002C6ED1">
      <w:pPr>
        <w:rPr>
          <w:rFonts w:asciiTheme="majorHAnsi" w:hAnsiTheme="majorHAnsi"/>
          <w:b/>
          <w:bCs/>
          <w:sz w:val="20"/>
          <w:szCs w:val="20"/>
        </w:rPr>
      </w:pPr>
    </w:p>
    <w:p w14:paraId="41BCB478" w14:textId="7F6445F1" w:rsidR="002C6ED1" w:rsidRDefault="002C6ED1">
      <w:pPr>
        <w:rPr>
          <w:rFonts w:asciiTheme="majorHAnsi" w:hAnsiTheme="majorHAnsi"/>
          <w:b/>
          <w:bCs/>
          <w:sz w:val="20"/>
          <w:szCs w:val="20"/>
        </w:rPr>
        <w:sectPr w:rsidR="002C6ED1" w:rsidSect="00BF7430">
          <w:headerReference w:type="default" r:id="rId14"/>
          <w:pgSz w:w="11906" w:h="16838" w:code="9"/>
          <w:pgMar w:top="1418" w:right="1418" w:bottom="1418" w:left="1418" w:header="851" w:footer="1134" w:gutter="0"/>
          <w:cols w:space="708"/>
          <w:docGrid w:linePitch="360"/>
        </w:sectPr>
      </w:pPr>
    </w:p>
    <w:p w14:paraId="76A498AB" w14:textId="77777777" w:rsidR="005D360D" w:rsidRPr="005D360D" w:rsidRDefault="005D360D" w:rsidP="005D360D">
      <w:pPr>
        <w:widowControl w:val="0"/>
        <w:jc w:val="center"/>
        <w:rPr>
          <w:rFonts w:ascii="Cambria" w:eastAsia="MS Gothic" w:hAnsi="Cambria"/>
          <w:b/>
          <w:sz w:val="20"/>
          <w:szCs w:val="20"/>
          <w:lang w:eastAsia="fr-FR" w:bidi="fr-FR"/>
        </w:rPr>
      </w:pPr>
      <w:r w:rsidRPr="005D360D">
        <w:rPr>
          <w:rFonts w:ascii="Cambria" w:eastAsia="MS Gothic" w:hAnsi="Cambria"/>
          <w:b/>
          <w:sz w:val="20"/>
          <w:szCs w:val="20"/>
          <w:lang w:eastAsia="fr-FR" w:bidi="fr-FR"/>
        </w:rPr>
        <w:lastRenderedPageBreak/>
        <w:t>Plan de pêche et de gestion du thon rouge de l'Atlantique Ouest</w:t>
      </w:r>
    </w:p>
    <w:p w14:paraId="2381D567" w14:textId="77777777" w:rsidR="005D360D" w:rsidRPr="005D360D" w:rsidRDefault="005D360D" w:rsidP="005D360D">
      <w:pPr>
        <w:widowControl w:val="0"/>
        <w:jc w:val="center"/>
        <w:rPr>
          <w:rFonts w:ascii="Cambria" w:eastAsia="MS Gothic" w:hAnsi="Cambria"/>
          <w:b/>
          <w:sz w:val="20"/>
          <w:szCs w:val="20"/>
          <w:lang w:eastAsia="fr-FR" w:bidi="fr-FR"/>
        </w:rPr>
      </w:pPr>
    </w:p>
    <w:p w14:paraId="46E49EDE" w14:textId="777648DE" w:rsidR="005D360D" w:rsidRPr="005D360D" w:rsidRDefault="005D360D" w:rsidP="005D360D">
      <w:pPr>
        <w:widowControl w:val="0"/>
        <w:jc w:val="both"/>
        <w:rPr>
          <w:rFonts w:ascii="Cambria" w:eastAsia="MS Gothic" w:hAnsi="Cambria"/>
          <w:b/>
          <w:bCs/>
          <w:sz w:val="20"/>
          <w:szCs w:val="20"/>
          <w:lang w:eastAsia="fr-FR" w:bidi="fr-FR"/>
        </w:rPr>
      </w:pPr>
      <w:r w:rsidRPr="005D360D">
        <w:rPr>
          <w:rFonts w:ascii="Cambria" w:eastAsia="MS Gothic" w:hAnsi="Cambria"/>
          <w:b/>
          <w:sz w:val="20"/>
          <w:szCs w:val="20"/>
          <w:lang w:eastAsia="fr-FR" w:bidi="fr-FR"/>
        </w:rPr>
        <w:t xml:space="preserve">Nom de la CPC : </w:t>
      </w:r>
      <w:r w:rsidR="00D4041F" w:rsidRPr="005D360D">
        <w:rPr>
          <w:rFonts w:ascii="Cambria" w:eastAsia="MS Gothic" w:hAnsi="Cambria"/>
          <w:b/>
          <w:sz w:val="20"/>
          <w:szCs w:val="20"/>
          <w:lang w:eastAsia="fr-FR" w:bidi="fr-FR"/>
        </w:rPr>
        <w:t>Japon</w:t>
      </w:r>
    </w:p>
    <w:p w14:paraId="28801551" w14:textId="77777777" w:rsidR="005D360D" w:rsidRDefault="005D360D" w:rsidP="005D360D">
      <w:pPr>
        <w:widowControl w:val="0"/>
        <w:jc w:val="both"/>
        <w:rPr>
          <w:rFonts w:ascii="Cambria" w:eastAsia="MS Gothic" w:hAnsi="Cambria"/>
          <w:b/>
          <w:sz w:val="20"/>
          <w:szCs w:val="20"/>
          <w:lang w:eastAsia="fr-FR" w:bidi="fr-FR"/>
        </w:rPr>
      </w:pPr>
      <w:r w:rsidRPr="005D360D">
        <w:rPr>
          <w:rFonts w:ascii="Cambria" w:eastAsia="MS Gothic" w:hAnsi="Cambria"/>
          <w:b/>
          <w:sz w:val="20"/>
          <w:szCs w:val="20"/>
          <w:lang w:eastAsia="fr-FR" w:bidi="fr-FR"/>
        </w:rPr>
        <w:t>Année du plan de pêche : 2025</w:t>
      </w:r>
    </w:p>
    <w:p w14:paraId="31B5C686" w14:textId="77777777" w:rsidR="00D4041F" w:rsidRPr="005D360D" w:rsidRDefault="00D4041F" w:rsidP="005D360D">
      <w:pPr>
        <w:widowControl w:val="0"/>
        <w:jc w:val="both"/>
        <w:rPr>
          <w:rFonts w:ascii="Cambria" w:eastAsia="MS Gothic" w:hAnsi="Cambria"/>
          <w:b/>
          <w:sz w:val="20"/>
          <w:szCs w:val="20"/>
          <w:lang w:eastAsia="fr-FR" w:bidi="fr-FR"/>
        </w:rPr>
      </w:pPr>
    </w:p>
    <w:p w14:paraId="54BE8011" w14:textId="77777777" w:rsidR="005D360D" w:rsidRPr="005D360D" w:rsidRDefault="005D360D" w:rsidP="005D360D">
      <w:pPr>
        <w:widowControl w:val="0"/>
        <w:jc w:val="both"/>
        <w:rPr>
          <w:rFonts w:ascii="Cambria" w:eastAsia="MS Gothic" w:hAnsi="Cambria"/>
          <w:sz w:val="8"/>
          <w:szCs w:val="8"/>
          <w:lang w:eastAsia="ja-JP" w:bidi="fr-FR"/>
        </w:rPr>
      </w:pPr>
    </w:p>
    <w:p w14:paraId="2B43FC7F" w14:textId="77777777" w:rsidR="005D360D" w:rsidRPr="005D360D" w:rsidRDefault="005D360D" w:rsidP="005D360D">
      <w:pPr>
        <w:widowControl w:val="0"/>
        <w:tabs>
          <w:tab w:val="left" w:pos="426"/>
        </w:tabs>
        <w:jc w:val="both"/>
        <w:rPr>
          <w:rFonts w:ascii="Cambria" w:eastAsia="MS Gothic" w:hAnsi="Cambria"/>
          <w:b/>
          <w:sz w:val="20"/>
          <w:szCs w:val="20"/>
          <w:lang w:eastAsia="fr-FR" w:bidi="fr-FR"/>
        </w:rPr>
      </w:pPr>
      <w:r w:rsidRPr="005D360D">
        <w:rPr>
          <w:rFonts w:ascii="Cambria" w:eastAsia="MS Gothic" w:hAnsi="Cambria"/>
          <w:b/>
          <w:sz w:val="20"/>
          <w:szCs w:val="20"/>
          <w:lang w:eastAsia="fr-FR" w:bidi="fr-FR"/>
        </w:rPr>
        <w:t xml:space="preserve">1. </w:t>
      </w:r>
      <w:r w:rsidRPr="005D360D">
        <w:rPr>
          <w:rFonts w:ascii="Cambria" w:eastAsia="MS Gothic" w:hAnsi="Cambria"/>
          <w:b/>
          <w:sz w:val="20"/>
          <w:szCs w:val="20"/>
          <w:lang w:eastAsia="fr-FR" w:bidi="fr-FR"/>
        </w:rPr>
        <w:tab/>
        <w:t>Quotas de flottille pour tous les secteurs et méthode utilisée pour allouer et gérer ces quotas</w:t>
      </w:r>
    </w:p>
    <w:p w14:paraId="6A3A5253" w14:textId="77777777" w:rsidR="005D360D" w:rsidRPr="005D360D" w:rsidRDefault="005D360D" w:rsidP="005D360D">
      <w:pPr>
        <w:widowControl w:val="0"/>
        <w:tabs>
          <w:tab w:val="left" w:pos="426"/>
        </w:tabs>
        <w:jc w:val="both"/>
        <w:rPr>
          <w:rFonts w:ascii="Cambria" w:eastAsia="MS Gothic" w:hAnsi="Cambria"/>
          <w:i/>
          <w:sz w:val="20"/>
          <w:szCs w:val="20"/>
          <w:lang w:eastAsia="fr-FR" w:bidi="fr-FR"/>
        </w:rPr>
      </w:pPr>
    </w:p>
    <w:p w14:paraId="5A753136" w14:textId="77777777" w:rsidR="005D360D" w:rsidRPr="005D360D" w:rsidRDefault="005D360D" w:rsidP="005D360D">
      <w:pPr>
        <w:widowControl w:val="0"/>
        <w:jc w:val="both"/>
        <w:rPr>
          <w:rFonts w:ascii="Cambria" w:eastAsia="MS Gothic" w:hAnsi="Cambria"/>
          <w:b/>
          <w:bCs/>
          <w:i/>
          <w:iCs/>
          <w:sz w:val="20"/>
          <w:szCs w:val="20"/>
          <w:lang w:eastAsia="fr-FR" w:bidi="fr-FR"/>
        </w:rPr>
      </w:pPr>
      <w:r w:rsidRPr="005D360D">
        <w:rPr>
          <w:rFonts w:ascii="Cambria" w:eastAsia="MS Gothic" w:hAnsi="Cambria"/>
          <w:b/>
          <w:i/>
          <w:sz w:val="20"/>
          <w:szCs w:val="20"/>
          <w:lang w:eastAsia="fr-FR" w:bidi="fr-FR"/>
        </w:rPr>
        <w:t>1 a) Aperçu général</w:t>
      </w:r>
    </w:p>
    <w:p w14:paraId="5CEDD682" w14:textId="77777777" w:rsidR="005D360D" w:rsidRPr="005D360D" w:rsidRDefault="005D360D" w:rsidP="005D360D">
      <w:pPr>
        <w:widowControl w:val="0"/>
        <w:jc w:val="both"/>
        <w:rPr>
          <w:rFonts w:ascii="Cambria" w:eastAsia="MS Gothic" w:hAnsi="Cambria"/>
          <w:b/>
          <w:bCs/>
          <w:i/>
          <w:iCs/>
          <w:sz w:val="20"/>
          <w:szCs w:val="20"/>
          <w:lang w:eastAsia="fr-FR" w:bidi="fr-FR"/>
        </w:rPr>
      </w:pPr>
    </w:p>
    <w:p w14:paraId="2B4B16AA" w14:textId="77777777" w:rsidR="005D360D" w:rsidRPr="005D360D" w:rsidRDefault="005D360D" w:rsidP="005D360D">
      <w:pPr>
        <w:widowControl w:val="0"/>
        <w:jc w:val="both"/>
        <w:rPr>
          <w:rFonts w:ascii="Cambria" w:eastAsia="MS Gothic" w:hAnsi="Cambria"/>
          <w:sz w:val="20"/>
          <w:szCs w:val="20"/>
          <w:lang w:eastAsia="fr-FR" w:bidi="fr-FR"/>
        </w:rPr>
      </w:pPr>
      <w:r w:rsidRPr="005D360D">
        <w:rPr>
          <w:rFonts w:ascii="Cambria" w:eastAsia="MS Gothic" w:hAnsi="Cambria"/>
          <w:sz w:val="20"/>
          <w:szCs w:val="20"/>
          <w:lang w:eastAsia="fr-FR" w:bidi="fr-FR"/>
        </w:rPr>
        <w:t>Le quota initial du Japon pour la saison de pêche 2025 (du 1er août 2025 au 31 juillet 2026) était de 664,52 t. Le quota ajusté pour 2025 s'élevait à 683,66 t, ce qui inclut le report de 2,9 % de son quota initial de 2024 à 2025. En outre, le quota réservé pour les rejets morts ainsi que le quota de prises accessoires pour les navires sans quota individuel de thon rouge (2 t) sont mis en réserve à cet effet. En conclusion, l’allocation de quota disponible pour 2025 s'élève à 681,66 t.</w:t>
      </w:r>
    </w:p>
    <w:p w14:paraId="7AB13EA3" w14:textId="77777777" w:rsidR="005D360D" w:rsidRPr="005D360D" w:rsidRDefault="005D360D" w:rsidP="005D360D">
      <w:pPr>
        <w:widowControl w:val="0"/>
        <w:jc w:val="both"/>
        <w:rPr>
          <w:rFonts w:ascii="Cambria" w:eastAsia="MS Gothic" w:hAnsi="Cambria"/>
          <w:sz w:val="20"/>
          <w:szCs w:val="20"/>
          <w:lang w:eastAsia="ja-JP" w:bidi="fr-FR"/>
        </w:rPr>
      </w:pPr>
    </w:p>
    <w:p w14:paraId="7CBCECF8" w14:textId="77777777" w:rsidR="005D360D" w:rsidRPr="005D360D" w:rsidRDefault="005D360D" w:rsidP="005D360D">
      <w:pPr>
        <w:widowControl w:val="0"/>
        <w:jc w:val="both"/>
        <w:rPr>
          <w:rFonts w:ascii="Cambria" w:eastAsia="MS Gothic" w:hAnsi="Cambria"/>
          <w:iCs/>
          <w:sz w:val="20"/>
          <w:szCs w:val="20"/>
          <w:lang w:eastAsia="fr-FR" w:bidi="fr-FR"/>
        </w:rPr>
      </w:pPr>
      <w:r w:rsidRPr="005D360D">
        <w:rPr>
          <w:rFonts w:ascii="Cambria" w:eastAsia="MS Gothic" w:hAnsi="Cambria"/>
          <w:sz w:val="20"/>
          <w:szCs w:val="20"/>
          <w:lang w:eastAsia="fr-FR" w:bidi="fr-FR"/>
        </w:rPr>
        <w:t xml:space="preserve">Tous les navires de pêche japonais qui capturent du thon rouge dans l’Atlantique Ouest sont des grands palangriers thoniers (LSTLV). Le ministère de l'Agriculture, de la Sylviculture et de la Pêche, auquel la Loi sur la pêche a conféré cette compétence, a adopté l'ordonnance ministérielle visant à mettre en place un système de quota individuel juridiquement contraignant comprenant des quotas individuels. L'Agence japonaise des pêches (FAJ) est un service </w:t>
      </w:r>
      <w:proofErr w:type="spellStart"/>
      <w:r w:rsidRPr="005D360D">
        <w:rPr>
          <w:rFonts w:ascii="Cambria" w:eastAsia="MS Gothic" w:hAnsi="Cambria"/>
          <w:sz w:val="20"/>
          <w:szCs w:val="20"/>
          <w:lang w:eastAsia="fr-FR" w:bidi="fr-FR"/>
        </w:rPr>
        <w:t>extraministériel</w:t>
      </w:r>
      <w:proofErr w:type="spellEnd"/>
      <w:r w:rsidRPr="005D360D">
        <w:rPr>
          <w:rFonts w:ascii="Cambria" w:eastAsia="MS Gothic" w:hAnsi="Cambria"/>
          <w:sz w:val="20"/>
          <w:szCs w:val="20"/>
          <w:lang w:eastAsia="fr-FR" w:bidi="fr-FR"/>
        </w:rPr>
        <w:t xml:space="preserve"> relevant du ministère japonais de l'Agriculture, de la Sylviculture et de la Pêche, chargé de faire respecter la Loi sur la pêche et l'ordonnance ministérielle concernant les pêcheurs japonais.</w:t>
      </w:r>
    </w:p>
    <w:p w14:paraId="76DBECBD" w14:textId="77777777" w:rsidR="005D360D" w:rsidRPr="005D360D" w:rsidRDefault="005D360D" w:rsidP="005D360D">
      <w:pPr>
        <w:widowControl w:val="0"/>
        <w:jc w:val="both"/>
        <w:rPr>
          <w:rFonts w:ascii="Cambria" w:eastAsia="MS Gothic" w:hAnsi="Cambria"/>
          <w:iCs/>
          <w:sz w:val="20"/>
          <w:szCs w:val="20"/>
          <w:lang w:eastAsia="ja-JP" w:bidi="fr-FR"/>
        </w:rPr>
      </w:pPr>
    </w:p>
    <w:p w14:paraId="6E15F83B" w14:textId="77777777" w:rsidR="005D360D" w:rsidRPr="005D360D" w:rsidRDefault="005D360D" w:rsidP="005D360D">
      <w:pPr>
        <w:widowControl w:val="0"/>
        <w:jc w:val="both"/>
        <w:rPr>
          <w:rFonts w:ascii="Cambria" w:eastAsia="MS Gothic" w:hAnsi="Cambria"/>
          <w:iCs/>
          <w:sz w:val="20"/>
          <w:szCs w:val="20"/>
          <w:lang w:eastAsia="fr-FR" w:bidi="fr-FR"/>
        </w:rPr>
      </w:pPr>
      <w:r w:rsidRPr="005D360D">
        <w:rPr>
          <w:rFonts w:ascii="Cambria" w:eastAsia="MS Gothic" w:hAnsi="Cambria"/>
          <w:sz w:val="20"/>
          <w:szCs w:val="20"/>
          <w:lang w:eastAsia="fr-FR" w:bidi="fr-FR"/>
        </w:rPr>
        <w:t>Le ministère alloue à chaque navire un quota individuel (IQ) de thon rouge de l'Atlantique. Le ministère exige des opérateurs de pêche qu'ils communiquent quotidiennement à la FAJ des informations comprenant la date, l'heure, le lieu, le poids et le nombre de thons rouges capturés dans l'océan Atlantique occidental (y compris les remises à l'eau et les rejets de poissons morts sous taille), et ce tous les deux jours. Par ailleurs, le ministère exige également des opérateurs qu'ils tiennent un carnet de pêche, relié ou électronique, de leurs activités.</w:t>
      </w:r>
    </w:p>
    <w:p w14:paraId="5BE0ED16" w14:textId="77777777" w:rsidR="005D360D" w:rsidRPr="005D360D" w:rsidRDefault="005D360D" w:rsidP="005D360D">
      <w:pPr>
        <w:widowControl w:val="0"/>
        <w:jc w:val="both"/>
        <w:rPr>
          <w:rFonts w:ascii="Cambria" w:eastAsia="MS Gothic" w:hAnsi="Cambria"/>
          <w:iCs/>
          <w:sz w:val="20"/>
          <w:szCs w:val="20"/>
          <w:lang w:eastAsia="ja-JP" w:bidi="fr-FR"/>
        </w:rPr>
      </w:pPr>
    </w:p>
    <w:p w14:paraId="5EF4565B" w14:textId="77777777" w:rsidR="005D360D" w:rsidRPr="005D360D" w:rsidRDefault="005D360D" w:rsidP="005D360D">
      <w:pPr>
        <w:widowControl w:val="0"/>
        <w:jc w:val="both"/>
        <w:rPr>
          <w:rFonts w:ascii="Cambria" w:eastAsia="MS Gothic" w:hAnsi="Cambria"/>
          <w:iCs/>
          <w:sz w:val="20"/>
          <w:szCs w:val="20"/>
          <w:lang w:eastAsia="fr-FR" w:bidi="fr-FR"/>
        </w:rPr>
      </w:pPr>
      <w:r w:rsidRPr="005D360D">
        <w:rPr>
          <w:rFonts w:ascii="Cambria" w:eastAsia="MS Gothic" w:hAnsi="Cambria"/>
          <w:sz w:val="20"/>
          <w:szCs w:val="20"/>
          <w:lang w:eastAsia="fr-FR" w:bidi="fr-FR"/>
        </w:rPr>
        <w:t>De plus, le ministère interdit aux opérateurs de pêche de capturer du thon rouge pesant moins de 30 kg.</w:t>
      </w:r>
    </w:p>
    <w:p w14:paraId="5EA1DA71" w14:textId="77777777" w:rsidR="005D360D" w:rsidRPr="005D360D" w:rsidRDefault="005D360D" w:rsidP="005D360D">
      <w:pPr>
        <w:widowControl w:val="0"/>
        <w:jc w:val="both"/>
        <w:rPr>
          <w:rFonts w:ascii="Cambria" w:eastAsia="MS Gothic" w:hAnsi="Cambria"/>
          <w:iCs/>
          <w:sz w:val="8"/>
          <w:szCs w:val="8"/>
          <w:lang w:eastAsia="ja-JP" w:bidi="fr-FR"/>
        </w:rPr>
      </w:pPr>
    </w:p>
    <w:p w14:paraId="024604C9" w14:textId="77777777" w:rsidR="005D360D" w:rsidRPr="005D360D" w:rsidRDefault="005D360D" w:rsidP="005D360D">
      <w:pPr>
        <w:widowControl w:val="0"/>
        <w:jc w:val="both"/>
        <w:rPr>
          <w:rFonts w:ascii="Cambria" w:eastAsia="MS Gothic" w:hAnsi="Cambria"/>
          <w:iCs/>
          <w:sz w:val="20"/>
          <w:szCs w:val="20"/>
          <w:lang w:eastAsia="fr-FR" w:bidi="fr-FR"/>
        </w:rPr>
      </w:pPr>
      <w:r w:rsidRPr="005D360D">
        <w:rPr>
          <w:rFonts w:ascii="Cambria" w:eastAsia="MS Gothic" w:hAnsi="Cambria"/>
          <w:sz w:val="20"/>
          <w:szCs w:val="20"/>
          <w:lang w:eastAsia="fr-FR" w:bidi="fr-FR"/>
        </w:rPr>
        <w:t xml:space="preserve">Le navire de pêche devra cesser ses activités et quitter la zone de pêche lorsque le poids total des thons rouges de moins de 30 kg dépasse 10 % du poids total des thons rouges capturés au cours de la journée. Le poids des rejets morts de thons rouges inférieurs au poids minimum est déduit du quota du Japon. </w:t>
      </w:r>
    </w:p>
    <w:p w14:paraId="53323D6E" w14:textId="77777777" w:rsidR="005D360D" w:rsidRPr="005D360D" w:rsidRDefault="005D360D" w:rsidP="005D360D">
      <w:pPr>
        <w:widowControl w:val="0"/>
        <w:jc w:val="both"/>
        <w:rPr>
          <w:rFonts w:ascii="Cambria" w:eastAsia="MS Gothic" w:hAnsi="Cambria"/>
          <w:iCs/>
          <w:sz w:val="8"/>
          <w:szCs w:val="8"/>
          <w:lang w:eastAsia="fr-FR" w:bidi="fr-FR"/>
        </w:rPr>
      </w:pPr>
    </w:p>
    <w:p w14:paraId="496B7776" w14:textId="77777777" w:rsidR="005D360D" w:rsidRPr="005D360D" w:rsidRDefault="005D360D" w:rsidP="005D360D">
      <w:pPr>
        <w:widowControl w:val="0"/>
        <w:jc w:val="both"/>
        <w:rPr>
          <w:rFonts w:ascii="Cambria" w:eastAsia="MS Gothic" w:hAnsi="Cambria"/>
          <w:iCs/>
          <w:sz w:val="20"/>
          <w:szCs w:val="20"/>
          <w:lang w:eastAsia="fr-FR" w:bidi="fr-FR"/>
        </w:rPr>
      </w:pPr>
      <w:r w:rsidRPr="005D360D">
        <w:rPr>
          <w:rFonts w:ascii="Cambria" w:eastAsia="MS Gothic" w:hAnsi="Cambria"/>
          <w:sz w:val="20"/>
          <w:szCs w:val="20"/>
          <w:lang w:eastAsia="fr-FR" w:bidi="fr-FR"/>
        </w:rPr>
        <w:t xml:space="preserve">En ce qui concerne les prises accessoires, tous les navires de capture japonais ciblant des poissons autres que le thon rouge opèrent autour de l'équateur ou plus au Sud, de sorte que la possibilité de prises accessoires de thon rouge est négligeable. En 2025, aucune prise accessoire de poissons n'a été déclarée. </w:t>
      </w:r>
    </w:p>
    <w:p w14:paraId="3AD2B3D2" w14:textId="77777777" w:rsidR="005D360D" w:rsidRPr="005D360D" w:rsidRDefault="005D360D" w:rsidP="005D360D">
      <w:pPr>
        <w:widowControl w:val="0"/>
        <w:jc w:val="both"/>
        <w:rPr>
          <w:rFonts w:ascii="Cambria" w:eastAsia="MS Gothic" w:hAnsi="Cambria"/>
          <w:iCs/>
          <w:sz w:val="20"/>
          <w:szCs w:val="20"/>
          <w:lang w:eastAsia="fr-FR" w:bidi="fr-FR"/>
        </w:rPr>
      </w:pPr>
    </w:p>
    <w:p w14:paraId="404963D8" w14:textId="77777777" w:rsidR="005D360D" w:rsidRPr="005D360D" w:rsidRDefault="005D360D" w:rsidP="005D360D">
      <w:pPr>
        <w:widowControl w:val="0"/>
        <w:jc w:val="both"/>
        <w:rPr>
          <w:rFonts w:ascii="Cambria" w:eastAsia="MS Gothic" w:hAnsi="Cambria"/>
          <w:iCs/>
          <w:sz w:val="20"/>
          <w:szCs w:val="20"/>
          <w:lang w:eastAsia="fr-FR" w:bidi="fr-FR"/>
        </w:rPr>
      </w:pPr>
      <w:r w:rsidRPr="005D360D">
        <w:rPr>
          <w:rFonts w:ascii="Cambria" w:eastAsia="MS Gothic" w:hAnsi="Cambria"/>
          <w:sz w:val="20"/>
          <w:szCs w:val="20"/>
          <w:lang w:eastAsia="fr-FR" w:bidi="fr-FR"/>
        </w:rPr>
        <w:t>L'ordonnance ministérielle interdit les débarquements dans les ports, à l'exception des ports désignés. L'ordonnance ministérielle autorise uniquement les pêcheurs de thon rouge à débarquer leurs prises dans les 10 ports nationaux désignés par l’ordonnance. Dans les 10 ports, 100 % des débarquements de thon rouge effectués tant par les navires de pêche que par les transporteurs seront inspectés par des inspecteurs officiels de la FAJ, qui vérifieront le poids total et les marques, compteront le nombre de thons rouges et compareront les informations recueillies avec les données précédemment déclarées, y compris les rapports quotidiens.</w:t>
      </w:r>
    </w:p>
    <w:p w14:paraId="5A88262A" w14:textId="77777777" w:rsidR="005D360D" w:rsidRPr="005D360D" w:rsidRDefault="005D360D" w:rsidP="005D360D">
      <w:pPr>
        <w:widowControl w:val="0"/>
        <w:jc w:val="both"/>
        <w:rPr>
          <w:rFonts w:ascii="Cambria" w:eastAsia="MS Gothic" w:hAnsi="Cambria"/>
          <w:b/>
          <w:bCs/>
          <w:i/>
          <w:iCs/>
          <w:sz w:val="20"/>
          <w:szCs w:val="20"/>
          <w:lang w:eastAsia="ja-JP" w:bidi="fr-FR"/>
        </w:rPr>
      </w:pPr>
    </w:p>
    <w:p w14:paraId="342D0B26" w14:textId="77777777" w:rsidR="005D360D" w:rsidRPr="005D360D" w:rsidRDefault="005D360D" w:rsidP="005D360D">
      <w:pPr>
        <w:widowControl w:val="0"/>
        <w:jc w:val="both"/>
        <w:rPr>
          <w:rFonts w:ascii="Cambria" w:eastAsia="MS Gothic" w:hAnsi="Cambria"/>
          <w:sz w:val="20"/>
          <w:szCs w:val="20"/>
          <w:lang w:eastAsia="fr-FR" w:bidi="fr-FR"/>
        </w:rPr>
      </w:pPr>
      <w:r w:rsidRPr="005D360D">
        <w:rPr>
          <w:rFonts w:ascii="Cambria" w:eastAsia="MS Gothic" w:hAnsi="Cambria"/>
          <w:b/>
          <w:i/>
          <w:sz w:val="20"/>
          <w:szCs w:val="20"/>
          <w:lang w:eastAsia="fr-FR" w:bidi="fr-FR"/>
        </w:rPr>
        <w:t>1 b) Quotas de flottille pour tous les secteurs (paragraphe 3)</w:t>
      </w:r>
    </w:p>
    <w:tbl>
      <w:tblPr>
        <w:tblpPr w:leftFromText="180" w:rightFromText="180" w:vertAnchor="text" w:horzAnchor="margin" w:tblpXSpec="center" w:tblpY="37"/>
        <w:tblW w:w="47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3429"/>
      </w:tblGrid>
      <w:tr w:rsidR="005D360D" w:rsidRPr="005D360D" w14:paraId="1F8AA768" w14:textId="77777777" w:rsidTr="00205C5B">
        <w:trPr>
          <w:gridAfter w:val="1"/>
          <w:wAfter w:w="2009" w:type="pct"/>
          <w:trHeight w:val="274"/>
        </w:trPr>
        <w:tc>
          <w:tcPr>
            <w:tcW w:w="2991" w:type="pct"/>
            <w:tcBorders>
              <w:top w:val="nil"/>
              <w:left w:val="nil"/>
              <w:bottom w:val="single" w:sz="4" w:space="0" w:color="auto"/>
              <w:right w:val="nil"/>
            </w:tcBorders>
            <w:noWrap/>
            <w:vAlign w:val="center"/>
          </w:tcPr>
          <w:p w14:paraId="3F118E3E" w14:textId="77777777" w:rsidR="005D360D" w:rsidRPr="005D360D" w:rsidRDefault="005D360D" w:rsidP="005D360D">
            <w:pPr>
              <w:widowControl w:val="0"/>
              <w:jc w:val="center"/>
              <w:rPr>
                <w:rFonts w:ascii="Cambria" w:eastAsia="MS Gothic" w:hAnsi="Cambria"/>
                <w:b/>
                <w:bCs/>
                <w:i/>
                <w:color w:val="000000"/>
                <w:sz w:val="20"/>
                <w:szCs w:val="20"/>
                <w:lang w:eastAsia="fr-FR" w:bidi="fr-FR"/>
              </w:rPr>
            </w:pPr>
          </w:p>
        </w:tc>
      </w:tr>
      <w:tr w:rsidR="005D360D" w:rsidRPr="005D360D" w14:paraId="09B7441F" w14:textId="77777777" w:rsidTr="00205C5B">
        <w:trPr>
          <w:trHeight w:val="268"/>
        </w:trPr>
        <w:tc>
          <w:tcPr>
            <w:tcW w:w="2991" w:type="pct"/>
            <w:noWrap/>
            <w:vAlign w:val="center"/>
          </w:tcPr>
          <w:p w14:paraId="2545142E" w14:textId="77777777" w:rsidR="005D360D" w:rsidRPr="005D360D" w:rsidRDefault="005D360D" w:rsidP="005D360D">
            <w:pPr>
              <w:jc w:val="center"/>
              <w:rPr>
                <w:rFonts w:ascii="Cambria" w:eastAsia="MS Gothic" w:hAnsi="Cambria"/>
                <w:bCs/>
                <w:i/>
                <w:iCs/>
                <w:color w:val="000000"/>
                <w:sz w:val="20"/>
                <w:szCs w:val="20"/>
                <w:lang w:eastAsia="fr-FR" w:bidi="fr-FR"/>
              </w:rPr>
            </w:pPr>
            <w:r w:rsidRPr="005D360D">
              <w:rPr>
                <w:rFonts w:ascii="Cambria" w:eastAsia="MS Gothic" w:hAnsi="Cambria"/>
                <w:i/>
                <w:color w:val="000000"/>
                <w:sz w:val="20"/>
                <w:szCs w:val="20"/>
                <w:lang w:eastAsia="fr-FR" w:bidi="fr-FR"/>
              </w:rPr>
              <w:t>Secteur des flottilles</w:t>
            </w:r>
          </w:p>
        </w:tc>
        <w:tc>
          <w:tcPr>
            <w:tcW w:w="2009" w:type="pct"/>
            <w:tcBorders>
              <w:bottom w:val="single" w:sz="4" w:space="0" w:color="auto"/>
            </w:tcBorders>
            <w:vAlign w:val="center"/>
          </w:tcPr>
          <w:p w14:paraId="6623E28E" w14:textId="77777777" w:rsidR="005D360D" w:rsidRPr="005D360D" w:rsidRDefault="005D360D" w:rsidP="005D360D">
            <w:pPr>
              <w:jc w:val="center"/>
              <w:rPr>
                <w:rFonts w:ascii="Cambria" w:eastAsia="MS Gothic" w:hAnsi="Cambria"/>
                <w:bCs/>
                <w:i/>
                <w:iCs/>
                <w:color w:val="000000"/>
                <w:sz w:val="20"/>
                <w:szCs w:val="20"/>
                <w:lang w:eastAsia="fr-FR" w:bidi="fr-FR"/>
              </w:rPr>
            </w:pPr>
            <w:r w:rsidRPr="005D360D">
              <w:rPr>
                <w:rFonts w:ascii="Cambria" w:eastAsia="MS Gothic" w:hAnsi="Cambria"/>
                <w:i/>
                <w:color w:val="000000"/>
                <w:sz w:val="20"/>
                <w:szCs w:val="20"/>
                <w:lang w:eastAsia="fr-FR" w:bidi="fr-FR"/>
              </w:rPr>
              <w:t>Quota alloué (t)</w:t>
            </w:r>
          </w:p>
        </w:tc>
      </w:tr>
      <w:tr w:rsidR="005D360D" w:rsidRPr="005D360D" w14:paraId="4299E440" w14:textId="77777777" w:rsidTr="00205C5B">
        <w:trPr>
          <w:trHeight w:val="300"/>
        </w:trPr>
        <w:tc>
          <w:tcPr>
            <w:tcW w:w="2991" w:type="pct"/>
            <w:tcBorders>
              <w:right w:val="single" w:sz="4" w:space="0" w:color="auto"/>
            </w:tcBorders>
            <w:noWrap/>
            <w:vAlign w:val="center"/>
          </w:tcPr>
          <w:p w14:paraId="56BD0744" w14:textId="77777777" w:rsidR="005D360D" w:rsidRPr="005D360D" w:rsidRDefault="005D360D" w:rsidP="005D360D">
            <w:pPr>
              <w:jc w:val="both"/>
              <w:rPr>
                <w:rFonts w:ascii="Cambria" w:eastAsia="MS Gothic" w:hAnsi="Cambria"/>
                <w:color w:val="000000"/>
                <w:sz w:val="20"/>
                <w:szCs w:val="20"/>
                <w:lang w:eastAsia="fr-FR" w:bidi="fr-FR"/>
              </w:rPr>
            </w:pPr>
            <w:r w:rsidRPr="005D360D">
              <w:rPr>
                <w:rFonts w:ascii="Cambria" w:eastAsia="MS Gothic" w:hAnsi="Cambria"/>
                <w:color w:val="000000"/>
                <w:sz w:val="20"/>
                <w:szCs w:val="20"/>
                <w:lang w:eastAsia="fr-FR" w:bidi="fr-FR"/>
              </w:rPr>
              <w:t>Grands palangriers</w:t>
            </w:r>
          </w:p>
        </w:tc>
        <w:tc>
          <w:tcPr>
            <w:tcW w:w="2009" w:type="pct"/>
            <w:tcBorders>
              <w:top w:val="single" w:sz="4" w:space="0" w:color="auto"/>
              <w:left w:val="single" w:sz="4" w:space="0" w:color="auto"/>
              <w:bottom w:val="single" w:sz="4" w:space="0" w:color="auto"/>
              <w:right w:val="single" w:sz="4" w:space="0" w:color="auto"/>
            </w:tcBorders>
            <w:noWrap/>
          </w:tcPr>
          <w:p w14:paraId="2CCCA9C6" w14:textId="77777777" w:rsidR="005D360D" w:rsidRPr="005D360D" w:rsidRDefault="005D360D" w:rsidP="005D360D">
            <w:pPr>
              <w:widowControl w:val="0"/>
              <w:jc w:val="both"/>
              <w:rPr>
                <w:rFonts w:ascii="Cambria" w:eastAsia="MS Gothic" w:hAnsi="Cambria"/>
                <w:sz w:val="20"/>
                <w:szCs w:val="20"/>
                <w:lang w:eastAsia="fr-FR" w:bidi="fr-FR"/>
              </w:rPr>
            </w:pPr>
            <w:r w:rsidRPr="005D360D">
              <w:rPr>
                <w:rFonts w:ascii="Cambria" w:eastAsia="MS Gothic" w:hAnsi="Cambria"/>
                <w:sz w:val="20"/>
                <w:szCs w:val="20"/>
                <w:lang w:eastAsia="fr-FR" w:bidi="fr-FR"/>
              </w:rPr>
              <w:t>681,66</w:t>
            </w:r>
          </w:p>
        </w:tc>
      </w:tr>
      <w:tr w:rsidR="005D360D" w:rsidRPr="005D360D" w14:paraId="000877D0" w14:textId="77777777" w:rsidTr="00205C5B">
        <w:trPr>
          <w:trHeight w:val="315"/>
        </w:trPr>
        <w:tc>
          <w:tcPr>
            <w:tcW w:w="2991" w:type="pct"/>
            <w:tcBorders>
              <w:right w:val="single" w:sz="4" w:space="0" w:color="auto"/>
            </w:tcBorders>
            <w:shd w:val="clear" w:color="auto" w:fill="BFBFBF"/>
            <w:noWrap/>
            <w:vAlign w:val="center"/>
          </w:tcPr>
          <w:p w14:paraId="24D6447E" w14:textId="77777777" w:rsidR="005D360D" w:rsidRPr="005D360D" w:rsidRDefault="005D360D" w:rsidP="005D360D">
            <w:pPr>
              <w:jc w:val="both"/>
              <w:rPr>
                <w:rFonts w:ascii="Cambria" w:eastAsia="MS Gothic" w:hAnsi="Cambria"/>
                <w:b/>
                <w:bCs/>
                <w:color w:val="000000"/>
                <w:sz w:val="20"/>
                <w:szCs w:val="20"/>
                <w:lang w:eastAsia="fr-FR" w:bidi="fr-FR"/>
              </w:rPr>
            </w:pPr>
            <w:r w:rsidRPr="005D360D">
              <w:rPr>
                <w:rFonts w:ascii="Cambria" w:eastAsia="MS Gothic" w:hAnsi="Cambria"/>
                <w:b/>
                <w:color w:val="000000"/>
                <w:sz w:val="20"/>
                <w:szCs w:val="20"/>
                <w:lang w:eastAsia="fr-FR" w:bidi="fr-FR"/>
              </w:rPr>
              <w:t>Total</w:t>
            </w:r>
          </w:p>
        </w:tc>
        <w:tc>
          <w:tcPr>
            <w:tcW w:w="2009" w:type="pct"/>
            <w:tcBorders>
              <w:top w:val="single" w:sz="4" w:space="0" w:color="auto"/>
              <w:left w:val="single" w:sz="4" w:space="0" w:color="auto"/>
              <w:bottom w:val="single" w:sz="4" w:space="0" w:color="auto"/>
              <w:right w:val="single" w:sz="4" w:space="0" w:color="auto"/>
            </w:tcBorders>
            <w:shd w:val="clear" w:color="auto" w:fill="BFBFBF"/>
            <w:noWrap/>
          </w:tcPr>
          <w:p w14:paraId="4B0E5610" w14:textId="77777777" w:rsidR="005D360D" w:rsidRPr="005D360D" w:rsidRDefault="005D360D" w:rsidP="005D360D">
            <w:pPr>
              <w:widowControl w:val="0"/>
              <w:jc w:val="both"/>
              <w:rPr>
                <w:rFonts w:ascii="Cambria" w:eastAsia="MS Gothic" w:hAnsi="Cambria"/>
                <w:b/>
                <w:color w:val="000000"/>
                <w:sz w:val="20"/>
                <w:szCs w:val="20"/>
                <w:lang w:eastAsia="fr-FR" w:bidi="fr-FR"/>
              </w:rPr>
            </w:pPr>
            <w:r w:rsidRPr="005D360D">
              <w:rPr>
                <w:rFonts w:ascii="Cambria" w:eastAsia="MS Gothic" w:hAnsi="Cambria"/>
                <w:b/>
                <w:color w:val="000000"/>
                <w:sz w:val="20"/>
                <w:szCs w:val="20"/>
                <w:lang w:eastAsia="fr-FR" w:bidi="fr-FR"/>
              </w:rPr>
              <w:t>681,66</w:t>
            </w:r>
          </w:p>
        </w:tc>
      </w:tr>
      <w:tr w:rsidR="005D360D" w:rsidRPr="005D360D" w14:paraId="5BE6C5AF" w14:textId="77777777" w:rsidTr="00205C5B">
        <w:trPr>
          <w:trHeight w:val="315"/>
        </w:trPr>
        <w:tc>
          <w:tcPr>
            <w:tcW w:w="2991" w:type="pct"/>
            <w:noWrap/>
            <w:vAlign w:val="center"/>
          </w:tcPr>
          <w:p w14:paraId="5FE90B6D" w14:textId="77777777" w:rsidR="005D360D" w:rsidRPr="005D360D" w:rsidRDefault="005D360D" w:rsidP="005D360D">
            <w:pPr>
              <w:jc w:val="both"/>
              <w:rPr>
                <w:rFonts w:ascii="Cambria" w:eastAsia="MS Gothic" w:hAnsi="Cambria"/>
                <w:b/>
                <w:color w:val="000000"/>
                <w:sz w:val="20"/>
                <w:szCs w:val="20"/>
                <w:lang w:eastAsia="fr-FR" w:bidi="fr-FR"/>
              </w:rPr>
            </w:pPr>
            <w:r w:rsidRPr="005D360D">
              <w:rPr>
                <w:rFonts w:ascii="Cambria" w:eastAsia="MS Gothic" w:hAnsi="Cambria"/>
                <w:color w:val="000000"/>
                <w:sz w:val="20"/>
                <w:szCs w:val="20"/>
                <w:lang w:eastAsia="fr-FR" w:bidi="fr-FR"/>
              </w:rPr>
              <w:t xml:space="preserve">Quota </w:t>
            </w:r>
          </w:p>
        </w:tc>
        <w:tc>
          <w:tcPr>
            <w:tcW w:w="2009" w:type="pct"/>
            <w:noWrap/>
            <w:vAlign w:val="center"/>
          </w:tcPr>
          <w:p w14:paraId="0A683C87" w14:textId="77777777" w:rsidR="005D360D" w:rsidRPr="005D360D" w:rsidRDefault="005D360D" w:rsidP="005D360D">
            <w:pPr>
              <w:widowControl w:val="0"/>
              <w:jc w:val="both"/>
              <w:rPr>
                <w:rFonts w:ascii="Cambria" w:eastAsia="MS Gothic" w:hAnsi="Cambria"/>
                <w:bCs/>
                <w:color w:val="000000"/>
                <w:sz w:val="20"/>
                <w:szCs w:val="20"/>
                <w:lang w:eastAsia="fr-FR" w:bidi="fr-FR"/>
              </w:rPr>
            </w:pPr>
            <w:r w:rsidRPr="005D360D">
              <w:rPr>
                <w:rFonts w:ascii="Cambria" w:eastAsia="MS Gothic" w:hAnsi="Cambria"/>
                <w:color w:val="000000"/>
                <w:sz w:val="20"/>
                <w:szCs w:val="20"/>
                <w:lang w:eastAsia="fr-FR" w:bidi="fr-FR"/>
              </w:rPr>
              <w:t>664,52</w:t>
            </w:r>
          </w:p>
        </w:tc>
      </w:tr>
      <w:tr w:rsidR="005D360D" w:rsidRPr="005D360D" w14:paraId="46707669" w14:textId="77777777" w:rsidTr="00205C5B">
        <w:trPr>
          <w:trHeight w:val="315"/>
        </w:trPr>
        <w:tc>
          <w:tcPr>
            <w:tcW w:w="2991" w:type="pct"/>
            <w:noWrap/>
            <w:vAlign w:val="center"/>
          </w:tcPr>
          <w:p w14:paraId="3F3A9EB8" w14:textId="77777777" w:rsidR="005D360D" w:rsidRPr="005D360D" w:rsidRDefault="005D360D" w:rsidP="005D360D">
            <w:pPr>
              <w:jc w:val="both"/>
              <w:rPr>
                <w:rFonts w:ascii="Cambria" w:eastAsia="MS Gothic" w:hAnsi="Cambria"/>
                <w:color w:val="000000"/>
                <w:sz w:val="20"/>
                <w:szCs w:val="20"/>
                <w:lang w:eastAsia="fr-FR" w:bidi="fr-FR"/>
              </w:rPr>
            </w:pPr>
            <w:r w:rsidRPr="005D360D">
              <w:rPr>
                <w:rFonts w:ascii="Cambria" w:eastAsia="MS Gothic" w:hAnsi="Cambria"/>
                <w:color w:val="000000"/>
                <w:sz w:val="20"/>
                <w:szCs w:val="20"/>
                <w:lang w:eastAsia="fr-FR" w:bidi="fr-FR"/>
              </w:rPr>
              <w:t>Quota ajusté (le cas échéant, incluant report, surconsommation et transferts)</w:t>
            </w:r>
          </w:p>
        </w:tc>
        <w:tc>
          <w:tcPr>
            <w:tcW w:w="2009" w:type="pct"/>
            <w:noWrap/>
            <w:vAlign w:val="center"/>
          </w:tcPr>
          <w:p w14:paraId="46E7D202" w14:textId="77777777" w:rsidR="005D360D" w:rsidRPr="005D360D" w:rsidRDefault="005D360D" w:rsidP="005D360D">
            <w:pPr>
              <w:widowControl w:val="0"/>
              <w:jc w:val="both"/>
              <w:rPr>
                <w:rFonts w:ascii="Cambria" w:eastAsia="MS Gothic" w:hAnsi="Cambria"/>
                <w:color w:val="000000"/>
                <w:sz w:val="20"/>
                <w:szCs w:val="20"/>
                <w:lang w:eastAsia="fr-FR" w:bidi="fr-FR"/>
              </w:rPr>
            </w:pPr>
            <w:r w:rsidRPr="005D360D">
              <w:rPr>
                <w:rFonts w:ascii="Cambria" w:eastAsia="MS Gothic" w:hAnsi="Cambria"/>
                <w:color w:val="000000"/>
                <w:sz w:val="20"/>
                <w:szCs w:val="20"/>
                <w:lang w:eastAsia="fr-FR" w:bidi="fr-FR"/>
              </w:rPr>
              <w:t>683,66 (incluant 19,14 t de report de 2024)</w:t>
            </w:r>
          </w:p>
        </w:tc>
      </w:tr>
      <w:tr w:rsidR="005D360D" w:rsidRPr="005D360D" w14:paraId="23142640" w14:textId="77777777" w:rsidTr="00205C5B">
        <w:trPr>
          <w:trHeight w:val="315"/>
        </w:trPr>
        <w:tc>
          <w:tcPr>
            <w:tcW w:w="2991" w:type="pct"/>
            <w:noWrap/>
            <w:vAlign w:val="center"/>
          </w:tcPr>
          <w:p w14:paraId="637B7242" w14:textId="77777777" w:rsidR="005D360D" w:rsidRPr="005D360D" w:rsidRDefault="005D360D" w:rsidP="005D360D">
            <w:pPr>
              <w:jc w:val="both"/>
              <w:rPr>
                <w:rFonts w:ascii="Cambria" w:eastAsia="MS Gothic" w:hAnsi="Cambria"/>
                <w:b/>
                <w:color w:val="000000"/>
                <w:sz w:val="20"/>
                <w:szCs w:val="20"/>
                <w:lang w:eastAsia="fr-FR" w:bidi="fr-FR"/>
              </w:rPr>
            </w:pPr>
            <w:r w:rsidRPr="005D360D">
              <w:rPr>
                <w:rFonts w:ascii="Cambria" w:eastAsia="MS Gothic" w:hAnsi="Cambria"/>
                <w:color w:val="000000"/>
                <w:sz w:val="20"/>
                <w:szCs w:val="20"/>
                <w:lang w:eastAsia="fr-FR" w:bidi="fr-FR"/>
              </w:rPr>
              <w:t>Pêche récréative</w:t>
            </w:r>
          </w:p>
        </w:tc>
        <w:tc>
          <w:tcPr>
            <w:tcW w:w="2009" w:type="pct"/>
            <w:tcBorders>
              <w:top w:val="single" w:sz="4" w:space="0" w:color="auto"/>
              <w:left w:val="single" w:sz="4" w:space="0" w:color="auto"/>
              <w:bottom w:val="single" w:sz="4" w:space="0" w:color="auto"/>
              <w:right w:val="single" w:sz="4" w:space="0" w:color="auto"/>
            </w:tcBorders>
            <w:noWrap/>
            <w:vAlign w:val="center"/>
          </w:tcPr>
          <w:p w14:paraId="11DB3F32" w14:textId="77777777" w:rsidR="005D360D" w:rsidRPr="005D360D" w:rsidRDefault="005D360D" w:rsidP="005D360D">
            <w:pPr>
              <w:widowControl w:val="0"/>
              <w:jc w:val="both"/>
              <w:rPr>
                <w:rFonts w:ascii="Cambria" w:eastAsia="MS Gothic" w:hAnsi="Cambria"/>
                <w:color w:val="000000"/>
                <w:sz w:val="20"/>
                <w:szCs w:val="20"/>
                <w:lang w:eastAsia="fr-FR" w:bidi="fr-FR"/>
              </w:rPr>
            </w:pPr>
            <w:r w:rsidRPr="005D360D">
              <w:rPr>
                <w:rFonts w:ascii="Cambria" w:eastAsia="MS Gothic" w:hAnsi="Cambria"/>
                <w:color w:val="000000"/>
                <w:sz w:val="20"/>
                <w:szCs w:val="20"/>
                <w:lang w:eastAsia="fr-FR" w:bidi="fr-FR"/>
              </w:rPr>
              <w:t>-</w:t>
            </w:r>
          </w:p>
        </w:tc>
      </w:tr>
      <w:tr w:rsidR="005D360D" w:rsidRPr="005D360D" w14:paraId="6FEB6273" w14:textId="77777777" w:rsidTr="00205C5B">
        <w:trPr>
          <w:trHeight w:val="315"/>
        </w:trPr>
        <w:tc>
          <w:tcPr>
            <w:tcW w:w="2991" w:type="pct"/>
            <w:noWrap/>
            <w:vAlign w:val="center"/>
          </w:tcPr>
          <w:p w14:paraId="570C2ADB" w14:textId="77777777" w:rsidR="005D360D" w:rsidRPr="005D360D" w:rsidRDefault="005D360D" w:rsidP="005D360D">
            <w:pPr>
              <w:jc w:val="both"/>
              <w:rPr>
                <w:rFonts w:ascii="Cambria" w:eastAsia="MS Gothic" w:hAnsi="Cambria"/>
                <w:b/>
                <w:color w:val="000000"/>
                <w:sz w:val="20"/>
                <w:szCs w:val="20"/>
                <w:lang w:eastAsia="fr-FR" w:bidi="fr-FR"/>
              </w:rPr>
            </w:pPr>
            <w:r w:rsidRPr="005D360D">
              <w:rPr>
                <w:rFonts w:ascii="Cambria" w:eastAsia="MS Gothic" w:hAnsi="Cambria"/>
                <w:sz w:val="20"/>
                <w:szCs w:val="20"/>
                <w:lang w:eastAsia="fr-FR" w:bidi="fr-FR"/>
              </w:rPr>
              <w:t>Réserve de prises accessoires (le cas échéant)</w:t>
            </w:r>
          </w:p>
        </w:tc>
        <w:tc>
          <w:tcPr>
            <w:tcW w:w="2009" w:type="pct"/>
            <w:tcBorders>
              <w:top w:val="single" w:sz="4" w:space="0" w:color="auto"/>
              <w:left w:val="single" w:sz="4" w:space="0" w:color="auto"/>
              <w:bottom w:val="single" w:sz="4" w:space="0" w:color="auto"/>
              <w:right w:val="single" w:sz="4" w:space="0" w:color="auto"/>
            </w:tcBorders>
            <w:noWrap/>
            <w:vAlign w:val="center"/>
          </w:tcPr>
          <w:p w14:paraId="08D509F3" w14:textId="77777777" w:rsidR="005D360D" w:rsidRPr="005D360D" w:rsidRDefault="005D360D" w:rsidP="005D360D">
            <w:pPr>
              <w:widowControl w:val="0"/>
              <w:jc w:val="both"/>
              <w:rPr>
                <w:rFonts w:ascii="Cambria" w:eastAsia="MS Gothic" w:hAnsi="Cambria"/>
                <w:color w:val="000000"/>
                <w:sz w:val="20"/>
                <w:szCs w:val="20"/>
                <w:lang w:eastAsia="fr-FR" w:bidi="fr-FR"/>
              </w:rPr>
            </w:pPr>
            <w:r w:rsidRPr="005D360D">
              <w:rPr>
                <w:rFonts w:ascii="Cambria" w:eastAsia="MS Gothic" w:hAnsi="Cambria"/>
                <w:color w:val="000000"/>
                <w:sz w:val="20"/>
                <w:szCs w:val="20"/>
                <w:lang w:eastAsia="fr-FR" w:bidi="fr-FR"/>
              </w:rPr>
              <w:t>2</w:t>
            </w:r>
          </w:p>
        </w:tc>
      </w:tr>
    </w:tbl>
    <w:p w14:paraId="342CD84E" w14:textId="77777777" w:rsidR="005D360D" w:rsidRPr="005D360D" w:rsidRDefault="005D360D" w:rsidP="005D360D">
      <w:pPr>
        <w:widowControl w:val="0"/>
        <w:jc w:val="both"/>
        <w:rPr>
          <w:rFonts w:ascii="Cambria" w:eastAsia="MS Gothic" w:hAnsi="Cambria"/>
          <w:b/>
          <w:i/>
          <w:iCs/>
          <w:sz w:val="20"/>
          <w:szCs w:val="20"/>
          <w:lang w:eastAsia="fr-FR" w:bidi="fr-FR"/>
        </w:rPr>
      </w:pPr>
      <w:r w:rsidRPr="005D360D">
        <w:rPr>
          <w:rFonts w:ascii="Cambria" w:eastAsia="MS Gothic" w:hAnsi="Cambria"/>
          <w:b/>
          <w:i/>
          <w:sz w:val="20"/>
          <w:szCs w:val="20"/>
          <w:lang w:eastAsia="fr-FR" w:bidi="fr-FR"/>
        </w:rPr>
        <w:lastRenderedPageBreak/>
        <w:t>1 c) Méthode utilisée pour allouer et gérer ces quotas (paragraphe 3)</w:t>
      </w:r>
    </w:p>
    <w:p w14:paraId="3772EBFF" w14:textId="77777777" w:rsidR="005D360D" w:rsidRPr="005D360D" w:rsidRDefault="005D360D" w:rsidP="005D360D">
      <w:pPr>
        <w:widowControl w:val="0"/>
        <w:jc w:val="both"/>
        <w:rPr>
          <w:rFonts w:ascii="Cambria" w:eastAsia="MS Gothic" w:hAnsi="Cambria"/>
          <w:b/>
          <w:sz w:val="20"/>
          <w:szCs w:val="20"/>
          <w:lang w:eastAsia="fr-FR" w:bidi="fr-FR"/>
        </w:rPr>
      </w:pPr>
    </w:p>
    <w:p w14:paraId="4ED4704D" w14:textId="77777777" w:rsidR="005D360D" w:rsidRPr="005D360D" w:rsidRDefault="005D360D" w:rsidP="005D360D">
      <w:pPr>
        <w:widowControl w:val="0"/>
        <w:jc w:val="both"/>
        <w:rPr>
          <w:rFonts w:ascii="Cambria" w:eastAsia="MS Gothic" w:hAnsi="Cambria"/>
          <w:sz w:val="20"/>
          <w:szCs w:val="20"/>
          <w:lang w:eastAsia="fr-FR" w:bidi="fr-FR"/>
        </w:rPr>
      </w:pPr>
      <w:r w:rsidRPr="005D360D">
        <w:rPr>
          <w:rFonts w:ascii="Cambria" w:eastAsia="MS Gothic" w:hAnsi="Cambria"/>
          <w:sz w:val="20"/>
          <w:szCs w:val="20"/>
          <w:lang w:eastAsia="fr-FR" w:bidi="fr-FR"/>
        </w:rPr>
        <w:t xml:space="preserve">Hormis la réserve, l'ensemble des quotas est attribué aux LSTLV. Le quota individuel (IQ) alloué à chaque navire est fixé en fonction de la demande déposée par les opérateurs de pêche. Il n'y a aucun chevauchement entre les navires disposant d'un quota et effectuant des captures dans la zone orientale et ceux disposant d'un quota et effectuant des captures dans la zone occidentale. </w:t>
      </w:r>
    </w:p>
    <w:p w14:paraId="46E50B92" w14:textId="77777777" w:rsidR="005D360D" w:rsidRPr="005D360D" w:rsidRDefault="005D360D" w:rsidP="005D360D">
      <w:pPr>
        <w:widowControl w:val="0"/>
        <w:jc w:val="both"/>
        <w:rPr>
          <w:rFonts w:ascii="Cambria" w:eastAsia="MS Gothic" w:hAnsi="Cambria"/>
          <w:i/>
          <w:sz w:val="20"/>
          <w:szCs w:val="20"/>
          <w:lang w:eastAsia="ja-JP" w:bidi="fr-FR"/>
        </w:rPr>
      </w:pPr>
    </w:p>
    <w:p w14:paraId="5BF9B275" w14:textId="77777777" w:rsidR="005D360D" w:rsidRPr="005D360D" w:rsidRDefault="005D360D" w:rsidP="005D360D">
      <w:pPr>
        <w:widowControl w:val="0"/>
        <w:jc w:val="both"/>
        <w:rPr>
          <w:rFonts w:ascii="Cambria" w:eastAsia="MS Gothic" w:hAnsi="Cambria"/>
          <w:b/>
          <w:bCs/>
          <w:i/>
          <w:iCs/>
          <w:sz w:val="20"/>
          <w:szCs w:val="20"/>
          <w:lang w:eastAsia="fr-FR" w:bidi="fr-FR"/>
        </w:rPr>
      </w:pPr>
      <w:r w:rsidRPr="005D360D">
        <w:rPr>
          <w:rFonts w:ascii="Cambria" w:eastAsia="MS Gothic" w:hAnsi="Cambria"/>
          <w:b/>
          <w:i/>
          <w:sz w:val="20"/>
          <w:szCs w:val="20"/>
          <w:lang w:eastAsia="fr-FR" w:bidi="fr-FR"/>
        </w:rPr>
        <w:t>1 d) Ajustement pour surconsommation et sous-consommation (paragraphe 8)</w:t>
      </w:r>
    </w:p>
    <w:p w14:paraId="15402B37" w14:textId="77777777" w:rsidR="005D360D" w:rsidRPr="005D360D" w:rsidRDefault="005D360D" w:rsidP="005D360D">
      <w:pPr>
        <w:widowControl w:val="0"/>
        <w:jc w:val="both"/>
        <w:rPr>
          <w:rFonts w:ascii="Cambria" w:eastAsia="MS Gothic" w:hAnsi="Cambria"/>
          <w:b/>
          <w:bCs/>
          <w:i/>
          <w:iCs/>
          <w:sz w:val="20"/>
          <w:szCs w:val="20"/>
          <w:lang w:eastAsia="fr-FR" w:bidi="fr-FR"/>
        </w:rPr>
      </w:pPr>
    </w:p>
    <w:p w14:paraId="59C6A85B" w14:textId="77777777" w:rsidR="005D360D" w:rsidRPr="005D360D" w:rsidRDefault="005D360D" w:rsidP="005D360D">
      <w:pPr>
        <w:widowControl w:val="0"/>
        <w:jc w:val="both"/>
        <w:rPr>
          <w:rFonts w:ascii="Cambria" w:eastAsia="MS Gothic" w:hAnsi="Cambria"/>
          <w:iCs/>
          <w:sz w:val="20"/>
          <w:szCs w:val="20"/>
          <w:lang w:eastAsia="fr-FR" w:bidi="fr-FR"/>
        </w:rPr>
      </w:pPr>
      <w:r w:rsidRPr="005D360D">
        <w:rPr>
          <w:rFonts w:ascii="Cambria" w:eastAsia="MS Gothic" w:hAnsi="Cambria"/>
          <w:sz w:val="20"/>
          <w:szCs w:val="20"/>
          <w:lang w:eastAsia="fr-FR" w:bidi="fr-FR"/>
        </w:rPr>
        <w:t>Conformément au paragraphe 6 de la Recommandation 22-10, le Japon a transféré sa sous-consommation de 2024 à son quota de 2025. La capture de thon rouge de l’Ouest au cours de la saison de pêche 2024, était de 692,66 t, chiffre qui inclut 1,57 t de rejets morts. En conséquence, 19,14 t (2,8 %) (711,80 t (quota ajusté pour 2024) moins 692,66) ont été transférées à la saison de pêche de 2025 au titre de sous-consommation. En outre, le quota réservé aux prises accessoires pour les navires sans quota individuel de thon rouge (2 t) est mis en réserve à cet effet.</w:t>
      </w:r>
    </w:p>
    <w:p w14:paraId="3535A0EC" w14:textId="77777777" w:rsidR="005D360D" w:rsidRPr="005D360D" w:rsidRDefault="005D360D" w:rsidP="005D360D">
      <w:pPr>
        <w:widowControl w:val="0"/>
        <w:jc w:val="both"/>
        <w:rPr>
          <w:rFonts w:ascii="Cambria" w:eastAsia="MS Gothic" w:hAnsi="Cambria"/>
          <w:iCs/>
          <w:sz w:val="20"/>
          <w:szCs w:val="20"/>
          <w:lang w:eastAsia="ja-JP" w:bidi="fr-FR"/>
        </w:rPr>
      </w:pPr>
    </w:p>
    <w:p w14:paraId="656B4CDB" w14:textId="77777777" w:rsidR="005D360D" w:rsidRPr="005D360D" w:rsidRDefault="005D360D" w:rsidP="005D360D">
      <w:pPr>
        <w:widowControl w:val="0"/>
        <w:jc w:val="both"/>
        <w:rPr>
          <w:rFonts w:ascii="Cambria" w:eastAsia="MS Gothic" w:hAnsi="Cambria"/>
          <w:sz w:val="20"/>
          <w:szCs w:val="20"/>
          <w:lang w:eastAsia="fr-FR" w:bidi="fr-FR"/>
        </w:rPr>
      </w:pPr>
      <w:r w:rsidRPr="005D360D">
        <w:rPr>
          <w:rFonts w:ascii="Cambria" w:eastAsia="MS Gothic" w:hAnsi="Cambria"/>
          <w:color w:val="000000"/>
          <w:sz w:val="20"/>
          <w:szCs w:val="20"/>
          <w:lang w:eastAsia="fr-FR" w:bidi="fr-FR"/>
        </w:rPr>
        <w:t>En conclusion, le quota disponible pour 2025 s'élevait donc à 681,66 tonnes.</w:t>
      </w:r>
    </w:p>
    <w:p w14:paraId="60706691" w14:textId="77777777" w:rsidR="005D360D" w:rsidRPr="005D360D" w:rsidRDefault="005D360D" w:rsidP="005D360D">
      <w:pPr>
        <w:widowControl w:val="0"/>
        <w:jc w:val="both"/>
        <w:rPr>
          <w:rFonts w:ascii="Cambria" w:eastAsia="MS Gothic" w:hAnsi="Cambria"/>
          <w:iCs/>
          <w:sz w:val="20"/>
          <w:szCs w:val="20"/>
          <w:lang w:eastAsia="ja-JP" w:bidi="fr-FR"/>
        </w:rPr>
      </w:pPr>
    </w:p>
    <w:p w14:paraId="531BAFED" w14:textId="77777777" w:rsidR="005D360D" w:rsidRPr="005D360D" w:rsidRDefault="005D360D" w:rsidP="005D360D">
      <w:pPr>
        <w:widowControl w:val="0"/>
        <w:jc w:val="both"/>
        <w:rPr>
          <w:rFonts w:ascii="Cambria" w:eastAsia="MS Gothic" w:hAnsi="Cambria"/>
          <w:sz w:val="20"/>
          <w:szCs w:val="20"/>
          <w:lang w:eastAsia="fr-FR" w:bidi="fr-FR"/>
        </w:rPr>
      </w:pPr>
      <w:r w:rsidRPr="005D360D">
        <w:rPr>
          <w:rFonts w:ascii="Cambria" w:eastAsia="MS Gothic" w:hAnsi="Cambria"/>
          <w:sz w:val="20"/>
          <w:szCs w:val="20"/>
          <w:lang w:eastAsia="fr-FR" w:bidi="fr-FR"/>
        </w:rPr>
        <w:t>AQ: Quota ajusté (IQ ± transferts + report – surconsommation) = 664,52 + 0 + 19,14 – 0 = 683,66 t.</w:t>
      </w:r>
    </w:p>
    <w:p w14:paraId="6838FC79" w14:textId="77777777" w:rsidR="005D360D" w:rsidRPr="005D360D" w:rsidRDefault="005D360D" w:rsidP="005D360D">
      <w:pPr>
        <w:widowControl w:val="0"/>
        <w:jc w:val="both"/>
        <w:rPr>
          <w:rFonts w:ascii="Cambria" w:eastAsia="MS Gothic" w:hAnsi="Cambria"/>
          <w:sz w:val="20"/>
          <w:szCs w:val="20"/>
          <w:lang w:eastAsia="ja-JP" w:bidi="fr-FR"/>
        </w:rPr>
      </w:pPr>
    </w:p>
    <w:p w14:paraId="6D3AA4F1" w14:textId="77777777" w:rsidR="005D360D" w:rsidRPr="005D360D" w:rsidRDefault="005D360D" w:rsidP="005D360D">
      <w:pPr>
        <w:widowControl w:val="0"/>
        <w:jc w:val="both"/>
        <w:rPr>
          <w:rFonts w:ascii="Cambria" w:eastAsia="MS Gothic" w:hAnsi="Cambria"/>
          <w:sz w:val="20"/>
          <w:szCs w:val="20"/>
          <w:lang w:eastAsia="fr-FR" w:bidi="fr-FR"/>
        </w:rPr>
      </w:pPr>
      <w:r w:rsidRPr="005D360D">
        <w:rPr>
          <w:rFonts w:ascii="Cambria" w:eastAsia="MS Gothic" w:hAnsi="Cambria"/>
          <w:sz w:val="20"/>
          <w:szCs w:val="20"/>
          <w:lang w:eastAsia="fr-FR" w:bidi="fr-FR"/>
        </w:rPr>
        <w:t>Quota disponible (AQ – (rejets de poissons morts et prises accessoires + tolérances pour la pêche sportive/récréative)) = 683,66 – (2 + 0) = 681,66 t.</w:t>
      </w:r>
    </w:p>
    <w:p w14:paraId="7DD69C78" w14:textId="77777777" w:rsidR="005D360D" w:rsidRPr="005D360D" w:rsidRDefault="005D360D" w:rsidP="005D360D">
      <w:pPr>
        <w:spacing w:after="160" w:line="259" w:lineRule="auto"/>
        <w:rPr>
          <w:rFonts w:ascii="Cambria" w:eastAsia="MS Gothic" w:hAnsi="Cambria"/>
          <w:i/>
          <w:sz w:val="20"/>
          <w:szCs w:val="20"/>
          <w:lang w:eastAsia="ja-JP" w:bidi="fr-FR"/>
        </w:rPr>
      </w:pPr>
    </w:p>
    <w:p w14:paraId="2D3DAF97" w14:textId="77777777" w:rsidR="005D360D" w:rsidRPr="005D360D" w:rsidRDefault="005D360D" w:rsidP="005D360D">
      <w:pPr>
        <w:tabs>
          <w:tab w:val="left" w:pos="426"/>
        </w:tabs>
        <w:spacing w:after="160" w:line="259" w:lineRule="auto"/>
        <w:rPr>
          <w:rFonts w:ascii="Cambria" w:eastAsia="MS Gothic" w:hAnsi="Cambria"/>
          <w:b/>
          <w:sz w:val="20"/>
          <w:szCs w:val="20"/>
          <w:lang w:eastAsia="fr-FR" w:bidi="fr-FR"/>
        </w:rPr>
      </w:pPr>
      <w:r w:rsidRPr="005D360D">
        <w:rPr>
          <w:rFonts w:ascii="Cambria" w:eastAsia="MS Gothic" w:hAnsi="Cambria"/>
          <w:b/>
          <w:sz w:val="20"/>
          <w:szCs w:val="20"/>
          <w:lang w:eastAsia="fr-FR" w:bidi="fr-FR"/>
        </w:rPr>
        <w:t>2.</w:t>
      </w:r>
      <w:r w:rsidRPr="005D360D">
        <w:rPr>
          <w:rFonts w:ascii="Cambria" w:eastAsia="MS Gothic" w:hAnsi="Cambria"/>
          <w:b/>
          <w:sz w:val="20"/>
          <w:szCs w:val="20"/>
          <w:lang w:eastAsia="fr-FR" w:bidi="fr-FR"/>
        </w:rPr>
        <w:tab/>
        <w:t>Mesures de contrôle des pêches et des prises accessoires (paragraphe 3)</w:t>
      </w:r>
    </w:p>
    <w:p w14:paraId="32860168" w14:textId="77777777" w:rsidR="005D360D" w:rsidRPr="005D360D" w:rsidRDefault="005D360D" w:rsidP="005D360D">
      <w:pPr>
        <w:widowControl w:val="0"/>
        <w:jc w:val="both"/>
        <w:rPr>
          <w:rFonts w:ascii="Cambria" w:eastAsia="MS Gothic" w:hAnsi="Cambria"/>
          <w:i/>
          <w:sz w:val="20"/>
          <w:szCs w:val="20"/>
          <w:lang w:eastAsia="fr-FR" w:bidi="fr-FR"/>
        </w:rPr>
      </w:pPr>
    </w:p>
    <w:tbl>
      <w:tblPr>
        <w:tblStyle w:val="TableGrid"/>
        <w:tblpPr w:leftFromText="180" w:rightFromText="180" w:vertAnchor="text" w:tblpXSpec="center" w:tblpY="1"/>
        <w:tblOverlap w:val="never"/>
        <w:tblW w:w="0" w:type="auto"/>
        <w:jc w:val="center"/>
        <w:tblLook w:val="04A0" w:firstRow="1" w:lastRow="0" w:firstColumn="1" w:lastColumn="0" w:noHBand="0" w:noVBand="1"/>
      </w:tblPr>
      <w:tblGrid>
        <w:gridCol w:w="507"/>
        <w:gridCol w:w="2577"/>
        <w:gridCol w:w="2581"/>
        <w:gridCol w:w="1985"/>
        <w:gridCol w:w="1410"/>
      </w:tblGrid>
      <w:tr w:rsidR="005D360D" w:rsidRPr="005D360D" w14:paraId="221E739F" w14:textId="77777777" w:rsidTr="00205C5B">
        <w:trPr>
          <w:tblHeader/>
          <w:jc w:val="center"/>
        </w:trPr>
        <w:tc>
          <w:tcPr>
            <w:tcW w:w="507" w:type="dxa"/>
          </w:tcPr>
          <w:p w14:paraId="59F0CC8B" w14:textId="77777777" w:rsidR="005D360D" w:rsidRPr="005D360D" w:rsidRDefault="005D360D" w:rsidP="005D360D">
            <w:pPr>
              <w:widowControl w:val="0"/>
              <w:rPr>
                <w:rFonts w:ascii="Cambria" w:hAnsi="Cambria"/>
                <w:sz w:val="20"/>
                <w:szCs w:val="20"/>
                <w:lang w:eastAsia="fr-FR"/>
              </w:rPr>
            </w:pPr>
          </w:p>
        </w:tc>
        <w:tc>
          <w:tcPr>
            <w:tcW w:w="2577" w:type="dxa"/>
            <w:vAlign w:val="center"/>
          </w:tcPr>
          <w:p w14:paraId="05E3E191" w14:textId="77777777" w:rsidR="005D360D" w:rsidRPr="005D360D" w:rsidRDefault="005D360D" w:rsidP="005D360D">
            <w:pPr>
              <w:widowControl w:val="0"/>
              <w:jc w:val="center"/>
              <w:rPr>
                <w:rFonts w:ascii="Cambria" w:hAnsi="Cambria"/>
                <w:i/>
                <w:sz w:val="20"/>
                <w:szCs w:val="20"/>
                <w:lang w:eastAsia="fr-FR"/>
              </w:rPr>
            </w:pPr>
            <w:r w:rsidRPr="005D360D">
              <w:rPr>
                <w:rFonts w:ascii="Cambria" w:hAnsi="Cambria"/>
                <w:i/>
                <w:sz w:val="20"/>
                <w:szCs w:val="20"/>
                <w:lang w:eastAsia="fr-FR"/>
              </w:rPr>
              <w:t xml:space="preserve">Exigence de l’ICCAT </w:t>
            </w:r>
          </w:p>
          <w:p w14:paraId="12512ED3" w14:textId="77777777" w:rsidR="005D360D" w:rsidRPr="005D360D" w:rsidRDefault="005D360D" w:rsidP="005D360D">
            <w:pPr>
              <w:widowControl w:val="0"/>
              <w:jc w:val="center"/>
              <w:rPr>
                <w:rFonts w:ascii="Cambria" w:hAnsi="Cambria"/>
                <w:i/>
                <w:sz w:val="20"/>
                <w:szCs w:val="20"/>
                <w:lang w:eastAsia="fr-FR"/>
              </w:rPr>
            </w:pPr>
            <w:r w:rsidRPr="005D360D">
              <w:rPr>
                <w:rFonts w:ascii="Cambria" w:hAnsi="Cambria"/>
                <w:i/>
                <w:iCs/>
                <w:sz w:val="20"/>
                <w:szCs w:val="20"/>
                <w:lang w:eastAsia="fr-FR"/>
              </w:rPr>
              <w:t xml:space="preserve">(En vertu de la </w:t>
            </w:r>
            <w:hyperlink r:id="rId15" w:history="1">
              <w:r w:rsidRPr="005D360D">
                <w:rPr>
                  <w:rFonts w:ascii="Cambria" w:hAnsi="Cambria"/>
                  <w:i/>
                  <w:color w:val="0563C1"/>
                  <w:sz w:val="20"/>
                  <w:szCs w:val="20"/>
                  <w:lang w:eastAsia="fr-FR"/>
                </w:rPr>
                <w:t>Rec. 25-05</w:t>
              </w:r>
            </w:hyperlink>
            <w:r w:rsidRPr="005D360D">
              <w:rPr>
                <w:rFonts w:ascii="Cambria" w:hAnsi="Cambria"/>
                <w:i/>
                <w:iCs/>
                <w:sz w:val="20"/>
                <w:szCs w:val="20"/>
                <w:lang w:eastAsia="fr-FR"/>
              </w:rPr>
              <w:t>)</w:t>
            </w:r>
          </w:p>
        </w:tc>
        <w:tc>
          <w:tcPr>
            <w:tcW w:w="2581" w:type="dxa"/>
            <w:vAlign w:val="center"/>
          </w:tcPr>
          <w:p w14:paraId="4F7E2281" w14:textId="77777777" w:rsidR="005D360D" w:rsidRPr="005D360D" w:rsidRDefault="005D360D" w:rsidP="005D360D">
            <w:pPr>
              <w:widowControl w:val="0"/>
              <w:jc w:val="center"/>
              <w:rPr>
                <w:rFonts w:ascii="Cambria" w:hAnsi="Cambria"/>
                <w:i/>
                <w:sz w:val="20"/>
                <w:szCs w:val="20"/>
                <w:lang w:eastAsia="fr-FR"/>
              </w:rPr>
            </w:pPr>
            <w:r w:rsidRPr="005D360D">
              <w:rPr>
                <w:rFonts w:ascii="Cambria" w:hAnsi="Cambria"/>
                <w:i/>
                <w:sz w:val="20"/>
                <w:szCs w:val="20"/>
                <w:lang w:eastAsia="fr-FR"/>
              </w:rPr>
              <w:t>Explication des actions prises par la CPC à des fins de mise en œuvre</w:t>
            </w:r>
          </w:p>
        </w:tc>
        <w:tc>
          <w:tcPr>
            <w:tcW w:w="1985" w:type="dxa"/>
            <w:vAlign w:val="center"/>
          </w:tcPr>
          <w:p w14:paraId="34FE7E23" w14:textId="77777777" w:rsidR="005D360D" w:rsidRPr="005D360D" w:rsidRDefault="005D360D" w:rsidP="005D360D">
            <w:pPr>
              <w:widowControl w:val="0"/>
              <w:jc w:val="center"/>
              <w:rPr>
                <w:rFonts w:ascii="Cambria" w:hAnsi="Cambria"/>
                <w:i/>
                <w:sz w:val="20"/>
                <w:szCs w:val="20"/>
                <w:lang w:eastAsia="fr-FR"/>
              </w:rPr>
            </w:pPr>
            <w:r w:rsidRPr="005D360D">
              <w:rPr>
                <w:rFonts w:ascii="Cambria" w:hAnsi="Cambria"/>
                <w:i/>
                <w:sz w:val="20"/>
                <w:szCs w:val="20"/>
                <w:lang w:eastAsia="fr-FR"/>
              </w:rPr>
              <w:t>Lois ou réglementations nationales pertinentes (le cas échéant)</w:t>
            </w:r>
          </w:p>
        </w:tc>
        <w:tc>
          <w:tcPr>
            <w:tcW w:w="1410" w:type="dxa"/>
            <w:vAlign w:val="center"/>
          </w:tcPr>
          <w:p w14:paraId="2239E54D" w14:textId="77777777" w:rsidR="005D360D" w:rsidRPr="005D360D" w:rsidRDefault="005D360D" w:rsidP="005D360D">
            <w:pPr>
              <w:widowControl w:val="0"/>
              <w:jc w:val="center"/>
              <w:rPr>
                <w:rFonts w:ascii="Cambria" w:hAnsi="Cambria"/>
                <w:i/>
                <w:sz w:val="20"/>
                <w:szCs w:val="20"/>
                <w:lang w:eastAsia="fr-FR"/>
              </w:rPr>
            </w:pPr>
            <w:r w:rsidRPr="005D360D">
              <w:rPr>
                <w:rFonts w:ascii="Cambria" w:hAnsi="Cambria"/>
                <w:i/>
                <w:sz w:val="20"/>
                <w:szCs w:val="20"/>
                <w:lang w:eastAsia="fr-FR"/>
              </w:rPr>
              <w:t>Note</w:t>
            </w:r>
          </w:p>
        </w:tc>
      </w:tr>
      <w:tr w:rsidR="005D360D" w:rsidRPr="005D360D" w14:paraId="5B267606" w14:textId="77777777" w:rsidTr="00205C5B">
        <w:trPr>
          <w:jc w:val="center"/>
        </w:trPr>
        <w:tc>
          <w:tcPr>
            <w:tcW w:w="507" w:type="dxa"/>
          </w:tcPr>
          <w:p w14:paraId="05465A88"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1</w:t>
            </w:r>
          </w:p>
        </w:tc>
        <w:tc>
          <w:tcPr>
            <w:tcW w:w="2577" w:type="dxa"/>
          </w:tcPr>
          <w:p w14:paraId="770BB69F" w14:textId="77777777" w:rsidR="005D360D" w:rsidRPr="005D360D" w:rsidDel="00C371CA" w:rsidRDefault="005D360D" w:rsidP="005D360D">
            <w:pPr>
              <w:widowControl w:val="0"/>
              <w:rPr>
                <w:rFonts w:ascii="Cambria" w:hAnsi="Cambria"/>
                <w:b/>
                <w:sz w:val="20"/>
                <w:szCs w:val="20"/>
                <w:lang w:eastAsia="fr-FR"/>
              </w:rPr>
            </w:pPr>
            <w:r w:rsidRPr="005D360D">
              <w:rPr>
                <w:rFonts w:ascii="Cambria" w:hAnsi="Cambria"/>
                <w:b/>
                <w:sz w:val="20"/>
                <w:szCs w:val="20"/>
                <w:lang w:eastAsia="fr-FR"/>
              </w:rPr>
              <w:t>Limites de l’effort et de la capacité (paragraphe 2)</w:t>
            </w:r>
          </w:p>
        </w:tc>
        <w:tc>
          <w:tcPr>
            <w:tcW w:w="2581" w:type="dxa"/>
          </w:tcPr>
          <w:p w14:paraId="1769D9D7" w14:textId="77777777" w:rsidR="005D360D" w:rsidRPr="005D360D" w:rsidRDefault="005D360D" w:rsidP="005D360D">
            <w:pPr>
              <w:widowControl w:val="0"/>
              <w:rPr>
                <w:rFonts w:ascii="Cambria" w:hAnsi="Cambria"/>
                <w:bCs/>
                <w:sz w:val="20"/>
                <w:szCs w:val="20"/>
                <w:lang w:eastAsia="ja-JP"/>
              </w:rPr>
            </w:pPr>
            <w:r w:rsidRPr="005D360D">
              <w:rPr>
                <w:rFonts w:ascii="Cambria" w:hAnsi="Cambria"/>
                <w:sz w:val="20"/>
                <w:szCs w:val="20"/>
                <w:lang w:eastAsia="fr-FR"/>
              </w:rPr>
              <w:t xml:space="preserve">Le ministère attribue un quota individuel (IQ) à chaque navire de l'Atlantique Ouest, distinct de l’IQ alloué pour l'Atlantique Est et la Méditerranée. </w:t>
            </w:r>
          </w:p>
        </w:tc>
        <w:tc>
          <w:tcPr>
            <w:tcW w:w="1985" w:type="dxa"/>
          </w:tcPr>
          <w:p w14:paraId="52D6CC1F"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Articles 17, 19 et 25 de la Loi sur les pêches</w:t>
            </w:r>
          </w:p>
        </w:tc>
        <w:tc>
          <w:tcPr>
            <w:tcW w:w="1410" w:type="dxa"/>
          </w:tcPr>
          <w:p w14:paraId="156191E3" w14:textId="77777777" w:rsidR="005D360D" w:rsidRPr="005D360D" w:rsidRDefault="005D360D" w:rsidP="005D360D">
            <w:pPr>
              <w:widowControl w:val="0"/>
              <w:jc w:val="both"/>
              <w:rPr>
                <w:rFonts w:ascii="Cambria" w:hAnsi="Cambria"/>
                <w:i/>
                <w:iCs/>
                <w:sz w:val="20"/>
                <w:szCs w:val="20"/>
                <w:lang w:eastAsia="fr-FR"/>
              </w:rPr>
            </w:pPr>
          </w:p>
        </w:tc>
      </w:tr>
      <w:tr w:rsidR="005D360D" w:rsidRPr="005D360D" w14:paraId="172B272A" w14:textId="77777777" w:rsidTr="00205C5B">
        <w:trPr>
          <w:jc w:val="center"/>
        </w:trPr>
        <w:tc>
          <w:tcPr>
            <w:tcW w:w="507" w:type="dxa"/>
          </w:tcPr>
          <w:p w14:paraId="6D8AA5BC"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2</w:t>
            </w:r>
          </w:p>
        </w:tc>
        <w:tc>
          <w:tcPr>
            <w:tcW w:w="2577" w:type="dxa"/>
          </w:tcPr>
          <w:p w14:paraId="7B050A2A"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Exigences en matière de données et de déclaration</w:t>
            </w:r>
          </w:p>
          <w:p w14:paraId="0B63EA9E"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(paragraphes 18-19, 21, 23)</w:t>
            </w:r>
          </w:p>
        </w:tc>
        <w:tc>
          <w:tcPr>
            <w:tcW w:w="2581" w:type="dxa"/>
          </w:tcPr>
          <w:p w14:paraId="132C5E88"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Le ministère exige des opérateurs de pêche qu'ils communiquent quotidiennement à la FAJ des informations comprenant la date, l'heure, le lieu, le poids et le nombre de thons rouges capturés dans l'océan Atlantique occidental (y compris les remises à l'eau et les rejets de poissons morts sous taille), et ce tous les deux jours. Par ailleurs, le ministère exige également des opérateurs qu'ils tiennent un carnet de pêche, relié ou électronique, de leurs activités.</w:t>
            </w:r>
          </w:p>
        </w:tc>
        <w:tc>
          <w:tcPr>
            <w:tcW w:w="1985" w:type="dxa"/>
          </w:tcPr>
          <w:p w14:paraId="2833448D"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Articles 26 et 52 de la Loi sur les pêches.</w:t>
            </w:r>
          </w:p>
          <w:p w14:paraId="51D99117" w14:textId="77777777" w:rsidR="005D360D" w:rsidRPr="005D360D" w:rsidRDefault="005D360D" w:rsidP="005D360D">
            <w:pPr>
              <w:widowControl w:val="0"/>
              <w:rPr>
                <w:rFonts w:ascii="Cambria" w:hAnsi="Cambria"/>
                <w:sz w:val="20"/>
                <w:szCs w:val="20"/>
                <w:lang w:eastAsia="ja-JP"/>
              </w:rPr>
            </w:pPr>
          </w:p>
          <w:p w14:paraId="229FFE38"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Ordonnance ministérielle du ministère de l'Agriculture, de la Sylviculture et de la Pêche, articles 14 et 26.</w:t>
            </w:r>
          </w:p>
          <w:p w14:paraId="6EE85C2B" w14:textId="77777777" w:rsidR="005D360D" w:rsidRPr="005D360D" w:rsidRDefault="005D360D" w:rsidP="005D360D">
            <w:pPr>
              <w:widowControl w:val="0"/>
              <w:rPr>
                <w:rFonts w:ascii="Cambria" w:hAnsi="Cambria"/>
                <w:sz w:val="20"/>
                <w:szCs w:val="20"/>
                <w:lang w:eastAsia="fr-FR"/>
              </w:rPr>
            </w:pPr>
          </w:p>
        </w:tc>
        <w:tc>
          <w:tcPr>
            <w:tcW w:w="1410" w:type="dxa"/>
            <w:vAlign w:val="center"/>
          </w:tcPr>
          <w:p w14:paraId="6324D5CE" w14:textId="77777777" w:rsidR="005D360D" w:rsidRPr="005D360D" w:rsidRDefault="005D360D" w:rsidP="005D360D">
            <w:pPr>
              <w:widowControl w:val="0"/>
              <w:jc w:val="center"/>
              <w:rPr>
                <w:rFonts w:ascii="Cambria" w:hAnsi="Cambria"/>
                <w:i/>
                <w:iCs/>
                <w:sz w:val="20"/>
                <w:szCs w:val="20"/>
                <w:lang w:eastAsia="fr-FR"/>
              </w:rPr>
            </w:pPr>
          </w:p>
        </w:tc>
      </w:tr>
      <w:tr w:rsidR="005D360D" w:rsidRPr="005D360D" w14:paraId="69D86953" w14:textId="77777777" w:rsidTr="00205C5B">
        <w:trPr>
          <w:jc w:val="center"/>
        </w:trPr>
        <w:tc>
          <w:tcPr>
            <w:tcW w:w="507" w:type="dxa"/>
          </w:tcPr>
          <w:p w14:paraId="6D8A3C3D"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lastRenderedPageBreak/>
              <w:t>3</w:t>
            </w:r>
          </w:p>
        </w:tc>
        <w:tc>
          <w:tcPr>
            <w:tcW w:w="2577" w:type="dxa"/>
          </w:tcPr>
          <w:p w14:paraId="6B35E306"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Restrictions spatio-temporelles</w:t>
            </w:r>
          </w:p>
          <w:p w14:paraId="0D53488E"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(paragraphe 13)</w:t>
            </w:r>
          </w:p>
        </w:tc>
        <w:tc>
          <w:tcPr>
            <w:tcW w:w="2581" w:type="dxa"/>
          </w:tcPr>
          <w:p w14:paraId="4F132E4D"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Le ministère interdit les opérations de pêche dans la zone du golfe du Mexique située au Nord de 20° N et à l'Ouest de 81° O pendant la période allant du 1er janvier au 30 juin de chaque année.</w:t>
            </w:r>
          </w:p>
        </w:tc>
        <w:tc>
          <w:tcPr>
            <w:tcW w:w="1985" w:type="dxa"/>
          </w:tcPr>
          <w:p w14:paraId="2DE41B16"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Ordonnance ministérielle du ministère de l'Agriculture, de la Sylviculture et de la Pêche, article 23</w:t>
            </w:r>
          </w:p>
        </w:tc>
        <w:tc>
          <w:tcPr>
            <w:tcW w:w="1410" w:type="dxa"/>
          </w:tcPr>
          <w:p w14:paraId="22EFF00A" w14:textId="77777777" w:rsidR="005D360D" w:rsidRPr="005D360D" w:rsidRDefault="005D360D" w:rsidP="005D360D">
            <w:pPr>
              <w:widowControl w:val="0"/>
              <w:jc w:val="both"/>
              <w:rPr>
                <w:rFonts w:ascii="Cambria" w:hAnsi="Cambria"/>
                <w:sz w:val="20"/>
                <w:szCs w:val="20"/>
                <w:lang w:eastAsia="fr-FR"/>
              </w:rPr>
            </w:pPr>
          </w:p>
        </w:tc>
      </w:tr>
      <w:tr w:rsidR="005D360D" w:rsidRPr="005D360D" w14:paraId="583C119F" w14:textId="77777777" w:rsidTr="00205C5B">
        <w:trPr>
          <w:jc w:val="center"/>
        </w:trPr>
        <w:tc>
          <w:tcPr>
            <w:tcW w:w="507" w:type="dxa"/>
          </w:tcPr>
          <w:p w14:paraId="2E4D901C"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4</w:t>
            </w:r>
          </w:p>
        </w:tc>
        <w:tc>
          <w:tcPr>
            <w:tcW w:w="2577" w:type="dxa"/>
          </w:tcPr>
          <w:p w14:paraId="709E5EC8" w14:textId="77777777" w:rsidR="005D360D" w:rsidRPr="005D360D" w:rsidRDefault="005D360D" w:rsidP="005D360D">
            <w:pPr>
              <w:widowControl w:val="0"/>
              <w:rPr>
                <w:rFonts w:ascii="Cambria" w:hAnsi="Cambria"/>
                <w:b/>
                <w:sz w:val="20"/>
                <w:szCs w:val="20"/>
                <w:lang w:eastAsia="fr-FR"/>
              </w:rPr>
            </w:pPr>
            <w:r w:rsidRPr="005D360D">
              <w:rPr>
                <w:rFonts w:ascii="Cambria" w:hAnsi="Cambria"/>
                <w:b/>
                <w:bCs/>
                <w:sz w:val="20"/>
                <w:szCs w:val="20"/>
                <w:lang w:eastAsia="fr-FR"/>
              </w:rPr>
              <w:t xml:space="preserve">Taille minimale et protection des petits poissons </w:t>
            </w:r>
          </w:p>
          <w:p w14:paraId="06A70BFB"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(paragraphes 9-10)</w:t>
            </w:r>
          </w:p>
        </w:tc>
        <w:tc>
          <w:tcPr>
            <w:tcW w:w="2581" w:type="dxa"/>
          </w:tcPr>
          <w:p w14:paraId="51835042"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Le ministère interdit aux opérateurs de pêche de capturer du thon rouge pesant moins de 30 kg.</w:t>
            </w:r>
          </w:p>
          <w:p w14:paraId="35AAD708"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 xml:space="preserve">Le navire de pêche devra cesser ses activités et quitter la zone de pêche lorsque le poids total des thons rouges de moins de 30 kg dépasse 10 % du poids total des thons rouges capturés au cours de la journée. Le poids des rejets morts de thons rouges inférieurs au poids minimum est déduit du quota du Japon. </w:t>
            </w:r>
          </w:p>
        </w:tc>
        <w:tc>
          <w:tcPr>
            <w:tcW w:w="1985" w:type="dxa"/>
          </w:tcPr>
          <w:p w14:paraId="76082CB0"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Ordonnance ministérielle du ministère de l'Agriculture, de la Sylviculture et de la Pêche, article 23</w:t>
            </w:r>
          </w:p>
        </w:tc>
        <w:tc>
          <w:tcPr>
            <w:tcW w:w="1410" w:type="dxa"/>
          </w:tcPr>
          <w:p w14:paraId="32A75386" w14:textId="77777777" w:rsidR="005D360D" w:rsidRPr="005D360D" w:rsidRDefault="005D360D" w:rsidP="005D360D">
            <w:pPr>
              <w:widowControl w:val="0"/>
              <w:jc w:val="both"/>
              <w:rPr>
                <w:rFonts w:ascii="Cambria" w:hAnsi="Cambria"/>
                <w:sz w:val="20"/>
                <w:szCs w:val="20"/>
                <w:lang w:eastAsia="fr-FR"/>
              </w:rPr>
            </w:pPr>
          </w:p>
        </w:tc>
      </w:tr>
      <w:tr w:rsidR="005D360D" w:rsidRPr="005D360D" w14:paraId="71D2DC50" w14:textId="77777777" w:rsidTr="00205C5B">
        <w:trPr>
          <w:jc w:val="center"/>
        </w:trPr>
        <w:tc>
          <w:tcPr>
            <w:tcW w:w="507" w:type="dxa"/>
          </w:tcPr>
          <w:p w14:paraId="137CE7B7"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5</w:t>
            </w:r>
          </w:p>
        </w:tc>
        <w:tc>
          <w:tcPr>
            <w:tcW w:w="2577" w:type="dxa"/>
          </w:tcPr>
          <w:p w14:paraId="39D220FC"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 xml:space="preserve">Prises accessoires </w:t>
            </w:r>
          </w:p>
          <w:p w14:paraId="4D4844A7"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 xml:space="preserve">(paragraphe 6) </w:t>
            </w:r>
          </w:p>
        </w:tc>
        <w:tc>
          <w:tcPr>
            <w:tcW w:w="2581" w:type="dxa"/>
          </w:tcPr>
          <w:p w14:paraId="687EA417"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Le ministère interdit aux navires ne disposant pas d'un quota de thon rouge de pêcher, de transborder ou de débarquer du thon rouge. Tous les navires de capture japonais ciblant des poissons autres que le thon rouge opèrent autour de l'équateur ou plus au Sud, de sorte que la possibilité de prises accessoires de thon rouge est négligeable. En 2025, aucune prise accessoire de poissons n'a été déclarée.</w:t>
            </w:r>
          </w:p>
        </w:tc>
        <w:tc>
          <w:tcPr>
            <w:tcW w:w="1985" w:type="dxa"/>
          </w:tcPr>
          <w:p w14:paraId="5D69F5FF"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Articles 17, 19 et 25 de la Loi sur les pêches</w:t>
            </w:r>
          </w:p>
        </w:tc>
        <w:tc>
          <w:tcPr>
            <w:tcW w:w="1410" w:type="dxa"/>
          </w:tcPr>
          <w:p w14:paraId="450F2A34" w14:textId="77777777" w:rsidR="005D360D" w:rsidRPr="005D360D" w:rsidRDefault="005D360D" w:rsidP="005D360D">
            <w:pPr>
              <w:widowControl w:val="0"/>
              <w:jc w:val="both"/>
              <w:rPr>
                <w:rFonts w:ascii="Cambria" w:hAnsi="Cambria"/>
                <w:i/>
                <w:iCs/>
                <w:sz w:val="20"/>
                <w:szCs w:val="20"/>
                <w:lang w:eastAsia="fr-FR"/>
              </w:rPr>
            </w:pPr>
          </w:p>
        </w:tc>
      </w:tr>
      <w:tr w:rsidR="005D360D" w:rsidRPr="005D360D" w14:paraId="0B1D781B" w14:textId="77777777" w:rsidTr="00205C5B">
        <w:trPr>
          <w:jc w:val="center"/>
        </w:trPr>
        <w:tc>
          <w:tcPr>
            <w:tcW w:w="507" w:type="dxa"/>
          </w:tcPr>
          <w:p w14:paraId="415AD795"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6</w:t>
            </w:r>
          </w:p>
        </w:tc>
        <w:tc>
          <w:tcPr>
            <w:tcW w:w="2577" w:type="dxa"/>
          </w:tcPr>
          <w:p w14:paraId="550D45F8"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 xml:space="preserve">Pêcheries récréatives [et sportives]  </w:t>
            </w:r>
          </w:p>
          <w:p w14:paraId="794228EF"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(paragraphe 11)</w:t>
            </w:r>
          </w:p>
        </w:tc>
        <w:tc>
          <w:tcPr>
            <w:tcW w:w="2581" w:type="dxa"/>
          </w:tcPr>
          <w:p w14:paraId="7A2963F6"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Aucun navire de pêche récréative ou sportive n'est actif dans la zone de l'ICCAT.</w:t>
            </w:r>
          </w:p>
        </w:tc>
        <w:tc>
          <w:tcPr>
            <w:tcW w:w="1985" w:type="dxa"/>
          </w:tcPr>
          <w:p w14:paraId="20ECE069"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N/A</w:t>
            </w:r>
          </w:p>
        </w:tc>
        <w:tc>
          <w:tcPr>
            <w:tcW w:w="1410" w:type="dxa"/>
          </w:tcPr>
          <w:p w14:paraId="3A69E25A" w14:textId="77777777" w:rsidR="005D360D" w:rsidRPr="005D360D" w:rsidRDefault="005D360D" w:rsidP="005D360D">
            <w:pPr>
              <w:widowControl w:val="0"/>
              <w:jc w:val="both"/>
              <w:rPr>
                <w:rFonts w:ascii="Cambria" w:hAnsi="Cambria"/>
                <w:i/>
                <w:iCs/>
                <w:sz w:val="20"/>
                <w:szCs w:val="20"/>
                <w:lang w:eastAsia="fr-FR"/>
              </w:rPr>
            </w:pPr>
          </w:p>
        </w:tc>
      </w:tr>
      <w:tr w:rsidR="005D360D" w:rsidRPr="005D360D" w14:paraId="4DC58F1D" w14:textId="77777777" w:rsidTr="00205C5B">
        <w:trPr>
          <w:trHeight w:val="302"/>
          <w:jc w:val="center"/>
        </w:trPr>
        <w:tc>
          <w:tcPr>
            <w:tcW w:w="507" w:type="dxa"/>
          </w:tcPr>
          <w:p w14:paraId="04955C62"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7</w:t>
            </w:r>
          </w:p>
        </w:tc>
        <w:tc>
          <w:tcPr>
            <w:tcW w:w="2577" w:type="dxa"/>
          </w:tcPr>
          <w:p w14:paraId="7105D465" w14:textId="77777777" w:rsidR="005D360D" w:rsidRPr="005D360D" w:rsidRDefault="005D360D" w:rsidP="005D360D">
            <w:pPr>
              <w:widowControl w:val="0"/>
              <w:rPr>
                <w:rFonts w:ascii="Cambria" w:hAnsi="Cambria"/>
                <w:b/>
                <w:sz w:val="20"/>
                <w:szCs w:val="20"/>
                <w:lang w:eastAsia="fr-FR"/>
              </w:rPr>
            </w:pPr>
            <w:r w:rsidRPr="005D360D">
              <w:rPr>
                <w:rFonts w:ascii="Cambria" w:hAnsi="Cambria"/>
                <w:b/>
                <w:sz w:val="20"/>
                <w:szCs w:val="20"/>
                <w:lang w:eastAsia="fr-FR"/>
              </w:rPr>
              <w:t>Transbordement en mer (paragraphe 14)</w:t>
            </w:r>
          </w:p>
        </w:tc>
        <w:tc>
          <w:tcPr>
            <w:tcW w:w="2581" w:type="dxa"/>
          </w:tcPr>
          <w:p w14:paraId="07B21AC2"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 xml:space="preserve">Le ministère interdit les transbordements de thon rouge en mer et ne permet que le transbordement dans les ports inscrits sur le site web de l’ICCAT avec une autorisation préalable. </w:t>
            </w:r>
          </w:p>
        </w:tc>
        <w:tc>
          <w:tcPr>
            <w:tcW w:w="1985" w:type="dxa"/>
          </w:tcPr>
          <w:p w14:paraId="56B945E3" w14:textId="77777777" w:rsidR="005D360D" w:rsidRPr="005D360D" w:rsidRDefault="005D360D" w:rsidP="005D360D">
            <w:pPr>
              <w:widowControl w:val="0"/>
              <w:rPr>
                <w:rFonts w:ascii="Cambria" w:hAnsi="Cambria"/>
                <w:sz w:val="20"/>
                <w:szCs w:val="20"/>
                <w:lang w:eastAsia="fr-FR"/>
              </w:rPr>
            </w:pPr>
            <w:r w:rsidRPr="005D360D">
              <w:rPr>
                <w:rFonts w:ascii="Cambria" w:hAnsi="Cambria"/>
                <w:sz w:val="20"/>
                <w:szCs w:val="20"/>
                <w:lang w:eastAsia="fr-FR"/>
              </w:rPr>
              <w:t>Ordonnance ministérielle du ministère de l'Agriculture, de la Sylviculture et de la Pêche, article 59</w:t>
            </w:r>
          </w:p>
        </w:tc>
        <w:tc>
          <w:tcPr>
            <w:tcW w:w="1410" w:type="dxa"/>
          </w:tcPr>
          <w:p w14:paraId="1CBB0543" w14:textId="77777777" w:rsidR="005D360D" w:rsidRPr="005D360D" w:rsidRDefault="005D360D" w:rsidP="005D360D">
            <w:pPr>
              <w:widowControl w:val="0"/>
              <w:jc w:val="both"/>
              <w:rPr>
                <w:rFonts w:ascii="Cambria" w:hAnsi="Cambria"/>
                <w:i/>
                <w:iCs/>
                <w:sz w:val="20"/>
                <w:szCs w:val="20"/>
                <w:lang w:eastAsia="fr-FR"/>
              </w:rPr>
            </w:pPr>
          </w:p>
        </w:tc>
      </w:tr>
    </w:tbl>
    <w:p w14:paraId="2F103915" w14:textId="77777777" w:rsidR="005D360D" w:rsidRPr="005D360D" w:rsidRDefault="005D360D" w:rsidP="005D360D">
      <w:pPr>
        <w:widowControl w:val="0"/>
        <w:rPr>
          <w:rFonts w:ascii="Cambria" w:eastAsia="MS Gothic" w:hAnsi="Cambria"/>
          <w:b/>
          <w:sz w:val="20"/>
          <w:szCs w:val="20"/>
          <w:lang w:eastAsia="fr-FR" w:bidi="fr-FR"/>
        </w:rPr>
      </w:pPr>
      <w:r w:rsidRPr="005D360D">
        <w:rPr>
          <w:rFonts w:ascii="Cambria" w:eastAsia="MS Gothic" w:hAnsi="Cambria"/>
          <w:color w:val="000000"/>
          <w:sz w:val="20"/>
          <w:szCs w:val="20"/>
          <w:lang w:eastAsia="fr-FR" w:bidi="fr-FR"/>
        </w:rPr>
        <w:br/>
      </w:r>
      <w:r w:rsidRPr="005D360D">
        <w:rPr>
          <w:rFonts w:ascii="Cambria" w:eastAsia="MS Gothic" w:hAnsi="Cambria"/>
          <w:b/>
          <w:sz w:val="20"/>
          <w:szCs w:val="20"/>
          <w:lang w:eastAsia="fr-FR" w:bidi="fr-FR"/>
        </w:rPr>
        <w:br w:type="page"/>
      </w:r>
    </w:p>
    <w:p w14:paraId="1C6AA389" w14:textId="77777777" w:rsidR="005D360D" w:rsidRPr="005D360D" w:rsidRDefault="005D360D" w:rsidP="005D360D">
      <w:pPr>
        <w:widowControl w:val="0"/>
        <w:ind w:left="426" w:hanging="426"/>
        <w:jc w:val="both"/>
        <w:rPr>
          <w:rFonts w:ascii="Cambria" w:eastAsia="MS Gothic" w:hAnsi="Cambria"/>
          <w:b/>
          <w:sz w:val="20"/>
          <w:szCs w:val="20"/>
          <w:lang w:eastAsia="fr-FR" w:bidi="fr-FR"/>
        </w:rPr>
      </w:pPr>
      <w:r w:rsidRPr="005D360D">
        <w:rPr>
          <w:rFonts w:ascii="Cambria" w:eastAsia="MS Gothic" w:hAnsi="Cambria"/>
          <w:b/>
          <w:sz w:val="20"/>
          <w:szCs w:val="20"/>
          <w:lang w:eastAsia="fr-FR" w:bidi="fr-FR"/>
        </w:rPr>
        <w:lastRenderedPageBreak/>
        <w:t>3.</w:t>
      </w:r>
      <w:r w:rsidRPr="005D360D">
        <w:rPr>
          <w:rFonts w:ascii="Cambria" w:eastAsia="MS Gothic" w:hAnsi="Cambria"/>
          <w:b/>
          <w:sz w:val="20"/>
          <w:szCs w:val="20"/>
          <w:lang w:eastAsia="fr-FR" w:bidi="fr-FR"/>
        </w:rPr>
        <w:tab/>
        <w:t>Mesures supplémentaires utilisées à des fins d’exécution ou de suivi, de contrôle et d'inspection (paragraphe 3)</w:t>
      </w:r>
    </w:p>
    <w:p w14:paraId="42108E7E" w14:textId="77777777" w:rsidR="005D360D" w:rsidRPr="005D360D" w:rsidRDefault="005D360D" w:rsidP="005D360D">
      <w:pPr>
        <w:widowControl w:val="0"/>
        <w:jc w:val="both"/>
        <w:rPr>
          <w:rFonts w:ascii="Cambria" w:eastAsia="MS Gothic" w:hAnsi="Cambria"/>
          <w:color w:val="000000"/>
          <w:sz w:val="20"/>
          <w:szCs w:val="20"/>
          <w:lang w:eastAsia="ja-JP" w:bidi="fr-FR"/>
        </w:rPr>
      </w:pPr>
    </w:p>
    <w:p w14:paraId="10375BCE" w14:textId="77777777" w:rsidR="005D360D" w:rsidRPr="005D360D" w:rsidRDefault="005D360D" w:rsidP="005D360D">
      <w:pPr>
        <w:widowControl w:val="0"/>
        <w:jc w:val="both"/>
        <w:rPr>
          <w:rFonts w:ascii="Cambria" w:eastAsia="MS Gothic" w:hAnsi="Cambria"/>
          <w:color w:val="000000"/>
          <w:sz w:val="20"/>
          <w:szCs w:val="20"/>
          <w:lang w:eastAsia="fr-FR" w:bidi="fr-FR"/>
        </w:rPr>
      </w:pPr>
      <w:r w:rsidRPr="005D360D">
        <w:rPr>
          <w:rFonts w:ascii="Cambria" w:eastAsia="MS Gothic" w:hAnsi="Cambria"/>
          <w:color w:val="000000"/>
          <w:sz w:val="20"/>
          <w:szCs w:val="20"/>
          <w:lang w:eastAsia="fr-FR" w:bidi="fr-FR"/>
        </w:rPr>
        <w:t xml:space="preserve">La FAJ surveille en permanence la position des LSTLV dans l'ensemble de l'océan Atlantique grâce au système VMS. La FAJ veille, grâce au système VMS, à ce que les LSTLV ne disposant ni d'autorisation ni de quota n'opèrent pas dans la zone de pêche du thon rouge de l'Atlantique Ouest. </w:t>
      </w:r>
    </w:p>
    <w:p w14:paraId="36C9B41F" w14:textId="77777777" w:rsidR="005D360D" w:rsidRPr="005D360D" w:rsidRDefault="005D360D" w:rsidP="005D360D">
      <w:pPr>
        <w:widowControl w:val="0"/>
        <w:rPr>
          <w:rFonts w:ascii="Cambria" w:eastAsia="MS Gothic" w:hAnsi="Cambria"/>
          <w:color w:val="000000"/>
          <w:sz w:val="20"/>
          <w:szCs w:val="20"/>
          <w:lang w:eastAsia="fr-FR" w:bidi="fr-FR"/>
        </w:rPr>
      </w:pPr>
    </w:p>
    <w:p w14:paraId="730FCB45" w14:textId="77777777" w:rsidR="005D360D" w:rsidRPr="005D360D" w:rsidRDefault="005D360D" w:rsidP="005D360D">
      <w:pPr>
        <w:widowControl w:val="0"/>
        <w:jc w:val="both"/>
        <w:rPr>
          <w:rFonts w:ascii="Cambria" w:eastAsia="MS Gothic" w:hAnsi="Cambria"/>
          <w:color w:val="000000"/>
          <w:sz w:val="20"/>
          <w:szCs w:val="20"/>
          <w:lang w:eastAsia="fr-FR" w:bidi="fr-FR"/>
        </w:rPr>
      </w:pPr>
      <w:r w:rsidRPr="005D360D">
        <w:rPr>
          <w:rFonts w:ascii="Cambria" w:eastAsia="MS Gothic" w:hAnsi="Cambria"/>
          <w:color w:val="000000"/>
          <w:sz w:val="20"/>
          <w:szCs w:val="20"/>
          <w:lang w:eastAsia="fr-FR" w:bidi="fr-FR"/>
        </w:rPr>
        <w:t xml:space="preserve">La FAJ ne délivre des marques officielles qu'aux LSTLV disposant de quotas de thon rouge de l'Atlantique Ouest. L'ordonnance ministérielle impose aux pêcheurs japonais d'apposer cette marque sur chaque thon rouge qu'ils capturent. Tout débarquement de thon rouge de l'Atlantique Ouest ne portant pas de marque constitue une infraction à l'ordonnance ministérielle. </w:t>
      </w:r>
    </w:p>
    <w:p w14:paraId="3FF6173E" w14:textId="77777777" w:rsidR="005D360D" w:rsidRPr="005D360D" w:rsidRDefault="005D360D" w:rsidP="005D360D">
      <w:pPr>
        <w:widowControl w:val="0"/>
        <w:jc w:val="both"/>
        <w:rPr>
          <w:rFonts w:ascii="Cambria" w:eastAsia="MS Gothic" w:hAnsi="Cambria"/>
          <w:color w:val="000000"/>
          <w:sz w:val="20"/>
          <w:szCs w:val="20"/>
          <w:lang w:eastAsia="fr-FR" w:bidi="fr-FR"/>
        </w:rPr>
      </w:pPr>
    </w:p>
    <w:p w14:paraId="5EE6850E" w14:textId="77777777" w:rsidR="005D360D" w:rsidRPr="005D360D" w:rsidRDefault="005D360D" w:rsidP="005D360D">
      <w:pPr>
        <w:widowControl w:val="0"/>
        <w:jc w:val="both"/>
        <w:rPr>
          <w:rFonts w:ascii="Cambria" w:eastAsia="MS Gothic" w:hAnsi="Cambria"/>
          <w:color w:val="000000"/>
          <w:sz w:val="20"/>
          <w:szCs w:val="20"/>
          <w:lang w:eastAsia="fr-FR" w:bidi="fr-FR"/>
        </w:rPr>
      </w:pPr>
      <w:r w:rsidRPr="005D360D">
        <w:rPr>
          <w:rFonts w:ascii="Cambria" w:eastAsia="MS Gothic" w:hAnsi="Cambria"/>
          <w:color w:val="000000"/>
          <w:sz w:val="20"/>
          <w:szCs w:val="20"/>
          <w:lang w:eastAsia="fr-FR" w:bidi="fr-FR"/>
        </w:rPr>
        <w:t xml:space="preserve">Les obligations de déclaration relatives au transbordement sont également fixées par l'ordonnance ministérielle. Les LSTLV doivent obtenir l'autorisation de la FAJ avant tout transbordement dans les ports. La FAJ reçoit également la déclaration de transbordement. La FAJ examine ces informations et vérifie leur cohérence avec le volume total des captures. Ces informations sont vérifiées lors d'inspections au débarquement menées par les inspecteurs de la FAJ lorsque le thon rouge est débarqué au Japon.  </w:t>
      </w:r>
    </w:p>
    <w:p w14:paraId="4C8B5AA1" w14:textId="77777777" w:rsidR="005D360D" w:rsidRPr="005D360D" w:rsidRDefault="005D360D" w:rsidP="005D360D">
      <w:pPr>
        <w:widowControl w:val="0"/>
        <w:rPr>
          <w:rFonts w:ascii="Cambria" w:eastAsia="MS Gothic" w:hAnsi="Cambria"/>
          <w:b/>
          <w:color w:val="000000"/>
          <w:sz w:val="20"/>
          <w:szCs w:val="20"/>
          <w:lang w:eastAsia="fr-FR" w:bidi="fr-FR"/>
        </w:rPr>
      </w:pPr>
    </w:p>
    <w:p w14:paraId="1920A596" w14:textId="77777777" w:rsidR="005D360D" w:rsidRPr="005D360D" w:rsidRDefault="005D360D" w:rsidP="005D360D">
      <w:pPr>
        <w:widowControl w:val="0"/>
        <w:jc w:val="both"/>
        <w:rPr>
          <w:rFonts w:ascii="Cambria" w:eastAsia="MS Gothic" w:hAnsi="Cambria"/>
          <w:color w:val="000000"/>
          <w:sz w:val="20"/>
          <w:szCs w:val="20"/>
          <w:lang w:eastAsia="fr-FR" w:bidi="fr-FR"/>
        </w:rPr>
      </w:pPr>
      <w:r w:rsidRPr="005D360D">
        <w:rPr>
          <w:rFonts w:ascii="Cambria" w:eastAsia="MS Gothic" w:hAnsi="Cambria"/>
          <w:color w:val="000000"/>
          <w:sz w:val="20"/>
          <w:szCs w:val="20"/>
          <w:lang w:eastAsia="fr-FR" w:bidi="fr-FR"/>
        </w:rPr>
        <w:t>L'ordonnance ministérielle interdit le débarquement de thon rouge dans tout port étranger. Toutes les prises de thon rouge capturées par les pêcheurs japonais, y compris celles acheminées par des transporteurs, doivent être débarquées dans l'un des dix ports désignés au Japon. Ces ports constituent la destination finale du thon rouge capturé par les pêcheurs japonais ; ce système permet à la FAJ de procéder à des inspections directes au débarquement des thons rouge de l'Ouest débarqués. En effet, depuis 2009, la FAJ effectue des inspections de 100 % des débarquements de thon rouge de l’Ouest capturé par les LSTLV japonais. Diverses informations recueillies grâce aux mesures de MCS mentionnées ci-dessus (par exemple, le poids et le nombre de thons rouges de l’Ouest, la pose de marques en plastique) sont utilisées lors des inspections au débarquement.</w:t>
      </w:r>
    </w:p>
    <w:p w14:paraId="1440D41A" w14:textId="3521090A" w:rsidR="00BF7430" w:rsidRDefault="00BF7430">
      <w:pPr>
        <w:rPr>
          <w:rFonts w:asciiTheme="majorHAnsi" w:hAnsiTheme="majorHAnsi"/>
          <w:b/>
          <w:bCs/>
          <w:sz w:val="20"/>
          <w:szCs w:val="20"/>
        </w:rPr>
      </w:pPr>
    </w:p>
    <w:p w14:paraId="394856FC" w14:textId="77777777" w:rsidR="005D360D" w:rsidRDefault="005D360D">
      <w:pPr>
        <w:rPr>
          <w:rFonts w:asciiTheme="majorHAnsi" w:hAnsiTheme="majorHAnsi"/>
          <w:b/>
          <w:bCs/>
          <w:sz w:val="20"/>
          <w:szCs w:val="20"/>
        </w:rPr>
      </w:pPr>
    </w:p>
    <w:p w14:paraId="0841D73B" w14:textId="77777777" w:rsidR="005D360D" w:rsidRDefault="005D360D">
      <w:pPr>
        <w:rPr>
          <w:rFonts w:asciiTheme="majorHAnsi" w:hAnsiTheme="majorHAnsi"/>
          <w:b/>
          <w:bCs/>
          <w:sz w:val="20"/>
          <w:szCs w:val="20"/>
        </w:rPr>
      </w:pPr>
    </w:p>
    <w:p w14:paraId="5F088E8F" w14:textId="77777777" w:rsidR="00371F68" w:rsidRDefault="00371F68">
      <w:pPr>
        <w:rPr>
          <w:rFonts w:asciiTheme="majorHAnsi" w:hAnsiTheme="majorHAnsi"/>
          <w:b/>
          <w:bCs/>
          <w:sz w:val="20"/>
          <w:szCs w:val="20"/>
        </w:rPr>
        <w:sectPr w:rsidR="00371F68" w:rsidSect="00BF7430">
          <w:headerReference w:type="default" r:id="rId16"/>
          <w:pgSz w:w="11906" w:h="16838" w:code="9"/>
          <w:pgMar w:top="1418" w:right="1418" w:bottom="1418" w:left="1418" w:header="851" w:footer="1134" w:gutter="0"/>
          <w:cols w:space="708"/>
          <w:docGrid w:linePitch="360"/>
        </w:sectPr>
      </w:pPr>
    </w:p>
    <w:p w14:paraId="7DB37FE2" w14:textId="77777777" w:rsidR="0024071C" w:rsidRPr="0024071C" w:rsidRDefault="0024071C" w:rsidP="0024071C">
      <w:pPr>
        <w:widowControl w:val="0"/>
        <w:jc w:val="right"/>
        <w:rPr>
          <w:rFonts w:ascii="Cambria" w:eastAsia="MS Gothic" w:hAnsi="Cambria"/>
          <w:b/>
          <w:sz w:val="20"/>
          <w:szCs w:val="20"/>
          <w:lang w:eastAsia="ja-JP"/>
        </w:rPr>
      </w:pPr>
      <w:r w:rsidRPr="0024071C">
        <w:rPr>
          <w:rFonts w:ascii="Cambria" w:eastAsia="Yu Mincho" w:hAnsi="Cambria"/>
          <w:b/>
          <w:kern w:val="2"/>
          <w:sz w:val="20"/>
          <w:szCs w:val="20"/>
          <w:lang w:eastAsia="ja-JP"/>
          <w14:ligatures w14:val="standardContextual"/>
        </w:rPr>
        <w:lastRenderedPageBreak/>
        <w:t>CP62-WBFTPlan</w:t>
      </w:r>
    </w:p>
    <w:p w14:paraId="6A3E02F3" w14:textId="77777777" w:rsidR="0024071C" w:rsidRPr="0024071C" w:rsidRDefault="0024071C" w:rsidP="0024071C">
      <w:pPr>
        <w:widowControl w:val="0"/>
        <w:jc w:val="right"/>
        <w:rPr>
          <w:rFonts w:ascii="Cambria" w:eastAsia="MS Gothic" w:hAnsi="Cambria"/>
          <w:b/>
          <w:sz w:val="20"/>
          <w:szCs w:val="20"/>
          <w:lang w:eastAsia="fr-FR" w:bidi="fr-FR"/>
        </w:rPr>
      </w:pPr>
    </w:p>
    <w:p w14:paraId="68041C3C" w14:textId="77777777" w:rsidR="0024071C" w:rsidRPr="0024071C" w:rsidRDefault="0024071C" w:rsidP="0024071C">
      <w:pPr>
        <w:widowControl w:val="0"/>
        <w:jc w:val="center"/>
        <w:rPr>
          <w:rFonts w:ascii="Cambria" w:eastAsia="MS Gothic" w:hAnsi="Cambria"/>
          <w:b/>
          <w:sz w:val="20"/>
          <w:szCs w:val="20"/>
          <w:lang w:eastAsia="ja-JP"/>
        </w:rPr>
      </w:pPr>
      <w:r w:rsidRPr="0024071C">
        <w:rPr>
          <w:rFonts w:ascii="Cambria" w:eastAsia="Yu Mincho" w:hAnsi="Cambria"/>
          <w:b/>
          <w:kern w:val="2"/>
          <w:sz w:val="20"/>
          <w:szCs w:val="20"/>
          <w:lang w:eastAsia="ja-JP"/>
          <w14:ligatures w14:val="standardContextual"/>
        </w:rPr>
        <w:t>Plan de pêche/gestion du thon rouge de l'Atlantique Ouest</w:t>
      </w:r>
    </w:p>
    <w:p w14:paraId="00BC2296" w14:textId="77777777" w:rsidR="0024071C" w:rsidRPr="0024071C" w:rsidRDefault="0024071C" w:rsidP="0024071C">
      <w:pPr>
        <w:widowControl w:val="0"/>
        <w:jc w:val="center"/>
        <w:rPr>
          <w:rFonts w:ascii="Cambria" w:eastAsia="MS Gothic" w:hAnsi="Cambria"/>
          <w:b/>
          <w:sz w:val="20"/>
          <w:szCs w:val="20"/>
          <w:lang w:eastAsia="fr-FR" w:bidi="fr-FR"/>
        </w:rPr>
      </w:pPr>
    </w:p>
    <w:p w14:paraId="4C87807A" w14:textId="77777777" w:rsidR="0024071C" w:rsidRPr="0024071C" w:rsidRDefault="0024071C" w:rsidP="0024071C">
      <w:pPr>
        <w:widowControl w:val="0"/>
        <w:jc w:val="center"/>
        <w:rPr>
          <w:rFonts w:ascii="Cambria" w:eastAsia="MS Gothic" w:hAnsi="Cambria"/>
          <w:b/>
          <w:sz w:val="20"/>
          <w:szCs w:val="20"/>
          <w:lang w:eastAsia="fr-FR" w:bidi="fr-FR"/>
        </w:rPr>
      </w:pPr>
    </w:p>
    <w:p w14:paraId="055893B4" w14:textId="535BE12F" w:rsidR="0024071C" w:rsidRPr="0024071C" w:rsidRDefault="0024071C" w:rsidP="0024071C">
      <w:pPr>
        <w:widowControl w:val="0"/>
        <w:jc w:val="both"/>
        <w:rPr>
          <w:rFonts w:ascii="Cambria" w:eastAsia="MS Gothic" w:hAnsi="Cambria"/>
          <w:b/>
          <w:bCs/>
          <w:sz w:val="20"/>
          <w:szCs w:val="20"/>
          <w:lang w:eastAsia="ja-JP"/>
        </w:rPr>
      </w:pPr>
      <w:r w:rsidRPr="0024071C">
        <w:rPr>
          <w:rFonts w:ascii="Cambria" w:eastAsia="Yu Mincho" w:hAnsi="Cambria"/>
          <w:b/>
          <w:kern w:val="2"/>
          <w:sz w:val="20"/>
          <w:szCs w:val="20"/>
          <w:lang w:eastAsia="ja-JP"/>
          <w14:ligatures w14:val="standardContextual"/>
        </w:rPr>
        <w:t xml:space="preserve">Nom de la CPC : </w:t>
      </w:r>
      <w:r w:rsidR="00D4041F" w:rsidRPr="0024071C">
        <w:rPr>
          <w:rFonts w:ascii="Cambria" w:eastAsia="Yu Mincho" w:hAnsi="Cambria"/>
          <w:b/>
          <w:kern w:val="2"/>
          <w:sz w:val="20"/>
          <w:szCs w:val="20"/>
          <w:lang w:eastAsia="ja-JP"/>
          <w14:ligatures w14:val="standardContextual"/>
        </w:rPr>
        <w:t>Mexique</w:t>
      </w:r>
    </w:p>
    <w:p w14:paraId="322714FE" w14:textId="77777777" w:rsidR="0024071C" w:rsidRPr="0024071C" w:rsidRDefault="0024071C" w:rsidP="0024071C">
      <w:pPr>
        <w:widowControl w:val="0"/>
        <w:jc w:val="both"/>
        <w:rPr>
          <w:rFonts w:ascii="Cambria" w:eastAsia="MS Gothic" w:hAnsi="Cambria"/>
          <w:sz w:val="20"/>
          <w:szCs w:val="20"/>
          <w:lang w:eastAsia="fr-FR" w:bidi="fr-FR"/>
        </w:rPr>
      </w:pPr>
    </w:p>
    <w:p w14:paraId="205D1B62" w14:textId="77777777" w:rsidR="0024071C" w:rsidRPr="0024071C" w:rsidRDefault="0024071C" w:rsidP="0024071C">
      <w:pPr>
        <w:widowControl w:val="0"/>
        <w:jc w:val="both"/>
        <w:rPr>
          <w:rFonts w:ascii="Cambria" w:eastAsia="MS Gothic" w:hAnsi="Cambria"/>
          <w:b/>
          <w:sz w:val="20"/>
          <w:szCs w:val="20"/>
          <w:lang w:eastAsia="ja-JP"/>
        </w:rPr>
      </w:pPr>
      <w:r w:rsidRPr="0024071C">
        <w:rPr>
          <w:rFonts w:ascii="Cambria" w:eastAsia="Yu Mincho" w:hAnsi="Cambria"/>
          <w:b/>
          <w:kern w:val="2"/>
          <w:sz w:val="20"/>
          <w:szCs w:val="20"/>
          <w:lang w:eastAsia="ja-JP"/>
          <w14:ligatures w14:val="standardContextual"/>
        </w:rPr>
        <w:t>Année du plan de pêche : 2025</w:t>
      </w:r>
    </w:p>
    <w:p w14:paraId="2EF0408A" w14:textId="77777777" w:rsidR="0024071C" w:rsidRPr="0024071C" w:rsidRDefault="0024071C" w:rsidP="0024071C">
      <w:pPr>
        <w:widowControl w:val="0"/>
        <w:jc w:val="both"/>
        <w:rPr>
          <w:rFonts w:ascii="Cambria" w:eastAsia="MS Gothic" w:hAnsi="Cambria"/>
          <w:b/>
          <w:sz w:val="20"/>
          <w:szCs w:val="20"/>
          <w:lang w:eastAsia="fr-FR" w:bidi="fr-FR"/>
        </w:rPr>
      </w:pPr>
    </w:p>
    <w:p w14:paraId="51E8C1FA" w14:textId="77777777" w:rsidR="0024071C" w:rsidRPr="0024071C" w:rsidRDefault="0024071C" w:rsidP="0024071C">
      <w:pPr>
        <w:widowControl w:val="0"/>
        <w:tabs>
          <w:tab w:val="left" w:pos="426"/>
        </w:tabs>
        <w:ind w:left="284" w:hanging="284"/>
        <w:jc w:val="both"/>
        <w:rPr>
          <w:rFonts w:ascii="Cambria" w:eastAsia="MS Gothic" w:hAnsi="Cambria"/>
          <w:b/>
          <w:sz w:val="20"/>
          <w:szCs w:val="20"/>
          <w:lang w:eastAsia="ja-JP"/>
        </w:rPr>
      </w:pPr>
      <w:r w:rsidRPr="0024071C">
        <w:rPr>
          <w:rFonts w:ascii="Cambria" w:eastAsia="Yu Mincho" w:hAnsi="Cambria"/>
          <w:b/>
          <w:kern w:val="2"/>
          <w:sz w:val="20"/>
          <w:szCs w:val="20"/>
          <w:lang w:eastAsia="ja-JP"/>
          <w14:ligatures w14:val="standardContextual"/>
        </w:rPr>
        <w:t xml:space="preserve">1. </w:t>
      </w:r>
      <w:r w:rsidRPr="0024071C">
        <w:rPr>
          <w:rFonts w:ascii="Cambria" w:eastAsia="Yu Mincho" w:hAnsi="Cambria"/>
          <w:b/>
          <w:kern w:val="2"/>
          <w:sz w:val="20"/>
          <w:szCs w:val="20"/>
          <w:lang w:eastAsia="ja-JP"/>
          <w14:ligatures w14:val="standardContextual"/>
        </w:rPr>
        <w:tab/>
        <w:t xml:space="preserve">Quotas de flottille pour tous les secteurs et méthode utilisée pour allouer et gérer ces quotas </w:t>
      </w:r>
    </w:p>
    <w:p w14:paraId="69667779" w14:textId="77777777" w:rsidR="0024071C" w:rsidRPr="0024071C" w:rsidRDefault="0024071C" w:rsidP="0024071C">
      <w:pPr>
        <w:widowControl w:val="0"/>
        <w:tabs>
          <w:tab w:val="left" w:pos="426"/>
        </w:tabs>
        <w:jc w:val="both"/>
        <w:rPr>
          <w:rFonts w:ascii="Cambria" w:eastAsia="MS Gothic" w:hAnsi="Cambria"/>
          <w:i/>
          <w:sz w:val="20"/>
          <w:szCs w:val="20"/>
          <w:lang w:eastAsia="fr-FR" w:bidi="fr-FR"/>
        </w:rPr>
      </w:pPr>
    </w:p>
    <w:p w14:paraId="1B024D21" w14:textId="77777777" w:rsidR="0024071C" w:rsidRPr="0024071C" w:rsidRDefault="0024071C" w:rsidP="0024071C">
      <w:pPr>
        <w:widowControl w:val="0"/>
        <w:jc w:val="both"/>
        <w:rPr>
          <w:rFonts w:ascii="Cambria" w:eastAsia="MS Gothic" w:hAnsi="Cambria"/>
          <w:b/>
          <w:i/>
          <w:sz w:val="20"/>
          <w:szCs w:val="20"/>
          <w:lang w:eastAsia="ja-JP"/>
        </w:rPr>
      </w:pPr>
      <w:r w:rsidRPr="0024071C">
        <w:rPr>
          <w:rFonts w:ascii="Cambria" w:eastAsia="Yu Mincho" w:hAnsi="Cambria"/>
          <w:b/>
          <w:i/>
          <w:kern w:val="2"/>
          <w:sz w:val="20"/>
          <w:szCs w:val="20"/>
          <w:lang w:eastAsia="ja-JP"/>
          <w14:ligatures w14:val="standardContextual"/>
        </w:rPr>
        <w:t>1 a) Aperçu général</w:t>
      </w:r>
    </w:p>
    <w:p w14:paraId="42559B3E" w14:textId="77777777" w:rsidR="0024071C" w:rsidRPr="0024071C" w:rsidRDefault="0024071C" w:rsidP="0024071C">
      <w:pPr>
        <w:widowControl w:val="0"/>
        <w:jc w:val="both"/>
        <w:rPr>
          <w:rFonts w:ascii="Cambria" w:eastAsia="MS Gothic" w:hAnsi="Cambria"/>
          <w:b/>
          <w:i/>
          <w:sz w:val="20"/>
          <w:szCs w:val="20"/>
          <w:lang w:eastAsia="fr-FR" w:bidi="fr-FR"/>
        </w:rPr>
      </w:pPr>
    </w:p>
    <w:p w14:paraId="69317276" w14:textId="77777777" w:rsidR="0024071C" w:rsidRDefault="0024071C" w:rsidP="0024071C">
      <w:pPr>
        <w:widowControl w:val="0"/>
        <w:jc w:val="both"/>
        <w:rPr>
          <w:rFonts w:ascii="Cambria" w:eastAsia="Yu Mincho" w:hAnsi="Cambria"/>
          <w:bCs/>
          <w:iCs/>
          <w:kern w:val="2"/>
          <w:sz w:val="20"/>
          <w:szCs w:val="20"/>
          <w:lang w:eastAsia="ja-JP"/>
          <w14:ligatures w14:val="standardContextual"/>
        </w:rPr>
      </w:pPr>
      <w:r w:rsidRPr="0024071C">
        <w:rPr>
          <w:rFonts w:ascii="Cambria" w:eastAsia="Yu Mincho" w:hAnsi="Cambria"/>
          <w:bCs/>
          <w:iCs/>
          <w:kern w:val="2"/>
          <w:sz w:val="20"/>
          <w:szCs w:val="20"/>
          <w:lang w:eastAsia="ja-JP"/>
          <w14:ligatures w14:val="standardContextual"/>
        </w:rPr>
        <w:t>Étant donné que la Rec. 22-10 interdit explicitement la pêche ciblée de thon rouge dans les zones de reproduction de l’Atlantique Ouest (et plus précisément dans le golfe du Mexique), le plan de pêche du Mexique est présenté comme un plan de gestion et de suivi des captures accessoires et non comme une pêche commerciale ciblée. Le Mexique n’autorise pas ni ne développe la pêche ciblée de thon rouge dans sa zone économique exclusive (ZEE) du golfe du Mexique alors que la Rec. 22-10 incluait une allocation de quota au Mexique de 149,34 t par an pour 2023-2025 et que, par la suite, la Rec. 25-05 fixe un quota de 171,34 t par an pour 2026-2028. Ce quota est utilisé uniquement et exclusivement afin de couvrir les captures accidentelles qui surviennent dans la pêcherie palangrière du golfe du Mexique.</w:t>
      </w:r>
    </w:p>
    <w:p w14:paraId="1420673C" w14:textId="77777777" w:rsidR="00D4041F" w:rsidRDefault="00D4041F" w:rsidP="0024071C">
      <w:pPr>
        <w:widowControl w:val="0"/>
        <w:jc w:val="both"/>
        <w:rPr>
          <w:rFonts w:ascii="Cambria" w:eastAsia="Yu Mincho" w:hAnsi="Cambria"/>
          <w:bCs/>
          <w:iCs/>
          <w:kern w:val="2"/>
          <w:sz w:val="20"/>
          <w:szCs w:val="20"/>
          <w:lang w:eastAsia="ja-JP"/>
          <w14:ligatures w14:val="standardContextual"/>
        </w:rPr>
      </w:pPr>
    </w:p>
    <w:p w14:paraId="0A46049D" w14:textId="77777777" w:rsidR="00D4041F" w:rsidRPr="005D360D" w:rsidRDefault="00D4041F" w:rsidP="00D4041F">
      <w:pPr>
        <w:widowControl w:val="0"/>
        <w:jc w:val="both"/>
        <w:rPr>
          <w:rFonts w:ascii="Cambria" w:eastAsia="MS Gothic" w:hAnsi="Cambria"/>
          <w:sz w:val="20"/>
          <w:szCs w:val="20"/>
          <w:lang w:eastAsia="fr-FR" w:bidi="fr-FR"/>
        </w:rPr>
      </w:pPr>
      <w:r w:rsidRPr="005D360D">
        <w:rPr>
          <w:rFonts w:ascii="Cambria" w:eastAsia="MS Gothic" w:hAnsi="Cambria"/>
          <w:b/>
          <w:i/>
          <w:sz w:val="20"/>
          <w:szCs w:val="20"/>
          <w:lang w:eastAsia="fr-FR" w:bidi="fr-FR"/>
        </w:rPr>
        <w:t>1 b) Quotas de flottille pour tous les secteurs (paragraphe 3)</w:t>
      </w:r>
    </w:p>
    <w:p w14:paraId="678F94A2" w14:textId="77777777" w:rsidR="00D4041F" w:rsidRPr="0024071C" w:rsidRDefault="00D4041F" w:rsidP="0024071C">
      <w:pPr>
        <w:widowControl w:val="0"/>
        <w:jc w:val="both"/>
        <w:rPr>
          <w:rFonts w:ascii="Cambria" w:eastAsia="MS Gothic" w:hAnsi="Cambria"/>
          <w:bCs/>
          <w:iCs/>
          <w:sz w:val="20"/>
          <w:szCs w:val="20"/>
          <w:lang w:eastAsia="ja-JP"/>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7"/>
        <w:gridCol w:w="4813"/>
      </w:tblGrid>
      <w:tr w:rsidR="0024071C" w:rsidRPr="0024071C" w14:paraId="505861FC" w14:textId="77777777" w:rsidTr="00D4041F">
        <w:trPr>
          <w:trHeight w:val="268"/>
          <w:jc w:val="center"/>
        </w:trPr>
        <w:tc>
          <w:tcPr>
            <w:tcW w:w="2344" w:type="pct"/>
            <w:noWrap/>
            <w:vAlign w:val="center"/>
          </w:tcPr>
          <w:p w14:paraId="29010A03" w14:textId="77777777" w:rsidR="0024071C" w:rsidRPr="0024071C" w:rsidRDefault="0024071C" w:rsidP="00D4041F">
            <w:pPr>
              <w:jc w:val="center"/>
              <w:rPr>
                <w:rFonts w:ascii="Cambria" w:eastAsia="MS Gothic" w:hAnsi="Cambria"/>
                <w:bCs/>
                <w:i/>
                <w:iCs/>
                <w:color w:val="000000"/>
                <w:sz w:val="20"/>
                <w:szCs w:val="20"/>
                <w:lang w:eastAsia="ja-JP"/>
              </w:rPr>
            </w:pPr>
            <w:r w:rsidRPr="0024071C">
              <w:rPr>
                <w:rFonts w:ascii="Cambria" w:eastAsia="Yu Mincho" w:hAnsi="Cambria"/>
                <w:i/>
                <w:iCs/>
                <w:color w:val="000000"/>
                <w:kern w:val="2"/>
                <w:sz w:val="20"/>
                <w:szCs w:val="20"/>
                <w:lang w:eastAsia="ja-JP"/>
                <w14:ligatures w14:val="standardContextual"/>
              </w:rPr>
              <w:t>Secteur de la flottille</w:t>
            </w:r>
          </w:p>
        </w:tc>
        <w:tc>
          <w:tcPr>
            <w:tcW w:w="2656" w:type="pct"/>
            <w:tcBorders>
              <w:bottom w:val="single" w:sz="4" w:space="0" w:color="auto"/>
            </w:tcBorders>
            <w:vAlign w:val="center"/>
          </w:tcPr>
          <w:p w14:paraId="27E9D335" w14:textId="77777777" w:rsidR="0024071C" w:rsidRPr="0024071C" w:rsidRDefault="0024071C" w:rsidP="00D4041F">
            <w:pPr>
              <w:jc w:val="center"/>
              <w:rPr>
                <w:rFonts w:ascii="Cambria" w:eastAsia="MS Gothic" w:hAnsi="Cambria"/>
                <w:bCs/>
                <w:i/>
                <w:iCs/>
                <w:sz w:val="20"/>
                <w:szCs w:val="20"/>
                <w:lang w:eastAsia="ja-JP"/>
              </w:rPr>
            </w:pPr>
            <w:r w:rsidRPr="0024071C">
              <w:rPr>
                <w:rFonts w:ascii="Cambria" w:eastAsia="Yu Mincho" w:hAnsi="Cambria"/>
                <w:i/>
                <w:color w:val="000000"/>
                <w:kern w:val="2"/>
                <w:sz w:val="20"/>
                <w:szCs w:val="20"/>
                <w:lang w:eastAsia="ja-JP"/>
                <w14:ligatures w14:val="standardContextual"/>
              </w:rPr>
              <w:t>Quota alloué (t)</w:t>
            </w:r>
          </w:p>
        </w:tc>
      </w:tr>
      <w:tr w:rsidR="0024071C" w:rsidRPr="0024071C" w14:paraId="65BADA79" w14:textId="77777777" w:rsidTr="00D4041F">
        <w:trPr>
          <w:trHeight w:val="703"/>
          <w:jc w:val="center"/>
        </w:trPr>
        <w:tc>
          <w:tcPr>
            <w:tcW w:w="2344" w:type="pct"/>
            <w:vMerge w:val="restart"/>
            <w:tcBorders>
              <w:right w:val="single" w:sz="4" w:space="0" w:color="auto"/>
            </w:tcBorders>
            <w:noWrap/>
            <w:vAlign w:val="center"/>
          </w:tcPr>
          <w:p w14:paraId="69B3D032" w14:textId="77777777" w:rsidR="0024071C" w:rsidRPr="0024071C" w:rsidRDefault="0024071C" w:rsidP="00D4041F">
            <w:pPr>
              <w:jc w:val="both"/>
              <w:rPr>
                <w:rFonts w:ascii="Cambria" w:eastAsia="MS Gothic" w:hAnsi="Cambria"/>
                <w:sz w:val="20"/>
                <w:szCs w:val="20"/>
                <w:lang w:eastAsia="ja-JP"/>
              </w:rPr>
            </w:pPr>
            <w:r w:rsidRPr="0024071C">
              <w:rPr>
                <w:rFonts w:ascii="Cambria" w:eastAsia="Yu Mincho" w:hAnsi="Cambria"/>
                <w:kern w:val="2"/>
                <w:sz w:val="20"/>
                <w:szCs w:val="20"/>
                <w:lang w:eastAsia="ja-JP"/>
                <w14:ligatures w14:val="standardContextual"/>
              </w:rPr>
              <w:t>Flottille commerciale de palangre dérivante en haute mer consacrée à la pêche ciblée d’albacore (</w:t>
            </w:r>
            <w:proofErr w:type="spellStart"/>
            <w:r w:rsidRPr="0024071C">
              <w:rPr>
                <w:rFonts w:ascii="Cambria" w:eastAsia="Yu Mincho" w:hAnsi="Cambria"/>
                <w:i/>
                <w:kern w:val="2"/>
                <w:sz w:val="20"/>
                <w:szCs w:val="20"/>
                <w:lang w:eastAsia="ja-JP"/>
                <w14:ligatures w14:val="standardContextual"/>
              </w:rPr>
              <w:t>Thunnus</w:t>
            </w:r>
            <w:proofErr w:type="spellEnd"/>
            <w:r w:rsidRPr="0024071C">
              <w:rPr>
                <w:rFonts w:ascii="Cambria" w:eastAsia="Yu Mincho" w:hAnsi="Cambria"/>
                <w:i/>
                <w:kern w:val="2"/>
                <w:sz w:val="20"/>
                <w:szCs w:val="20"/>
                <w:lang w:eastAsia="ja-JP"/>
                <w14:ligatures w14:val="standardContextual"/>
              </w:rPr>
              <w:t xml:space="preserve"> </w:t>
            </w:r>
            <w:proofErr w:type="spellStart"/>
            <w:r w:rsidRPr="0024071C">
              <w:rPr>
                <w:rFonts w:ascii="Cambria" w:eastAsia="Yu Mincho" w:hAnsi="Cambria"/>
                <w:i/>
                <w:kern w:val="2"/>
                <w:sz w:val="20"/>
                <w:szCs w:val="20"/>
                <w:lang w:eastAsia="ja-JP"/>
                <w14:ligatures w14:val="standardContextual"/>
              </w:rPr>
              <w:t>albacares</w:t>
            </w:r>
            <w:proofErr w:type="spellEnd"/>
            <w:r w:rsidRPr="0024071C">
              <w:rPr>
                <w:rFonts w:ascii="Cambria" w:eastAsia="Yu Mincho" w:hAnsi="Cambria"/>
                <w:kern w:val="2"/>
                <w:sz w:val="20"/>
                <w:szCs w:val="20"/>
                <w:lang w:eastAsia="ja-JP"/>
                <w14:ligatures w14:val="standardContextual"/>
              </w:rPr>
              <w:t>) et d’espèces apparentées.</w:t>
            </w:r>
          </w:p>
        </w:tc>
        <w:tc>
          <w:tcPr>
            <w:tcW w:w="2656" w:type="pct"/>
            <w:tcBorders>
              <w:top w:val="single" w:sz="4" w:space="0" w:color="auto"/>
              <w:left w:val="single" w:sz="4" w:space="0" w:color="auto"/>
              <w:bottom w:val="single" w:sz="4" w:space="0" w:color="auto"/>
              <w:right w:val="single" w:sz="4" w:space="0" w:color="auto"/>
            </w:tcBorders>
          </w:tcPr>
          <w:p w14:paraId="3246EB3A" w14:textId="77777777" w:rsidR="0024071C" w:rsidRPr="0024071C" w:rsidRDefault="0024071C" w:rsidP="00D4041F">
            <w:pPr>
              <w:widowControl w:val="0"/>
              <w:jc w:val="center"/>
              <w:rPr>
                <w:rFonts w:ascii="Cambria" w:eastAsia="MS Gothic" w:hAnsi="Cambria"/>
                <w:sz w:val="20"/>
                <w:szCs w:val="20"/>
                <w:lang w:eastAsia="ja-JP"/>
              </w:rPr>
            </w:pPr>
            <w:r w:rsidRPr="0024071C">
              <w:rPr>
                <w:rFonts w:ascii="Cambria" w:eastAsia="Yu Mincho" w:hAnsi="Cambria"/>
                <w:kern w:val="2"/>
                <w:sz w:val="20"/>
                <w:szCs w:val="20"/>
                <w:lang w:eastAsia="ja-JP"/>
                <w14:ligatures w14:val="standardContextual"/>
              </w:rPr>
              <w:t>TAC annuel pour 2023-2025 : 149,34 t (Mexique), utilisé uniquement et exclusivement afin de couvrir les captures accidentelles.</w:t>
            </w:r>
          </w:p>
        </w:tc>
      </w:tr>
      <w:tr w:rsidR="0024071C" w:rsidRPr="0024071C" w14:paraId="69344B61" w14:textId="77777777" w:rsidTr="00D4041F">
        <w:trPr>
          <w:trHeight w:val="698"/>
          <w:jc w:val="center"/>
        </w:trPr>
        <w:tc>
          <w:tcPr>
            <w:tcW w:w="2344" w:type="pct"/>
            <w:vMerge/>
            <w:tcBorders>
              <w:right w:val="single" w:sz="4" w:space="0" w:color="auto"/>
            </w:tcBorders>
            <w:noWrap/>
            <w:vAlign w:val="center"/>
          </w:tcPr>
          <w:p w14:paraId="4C5C3BF5" w14:textId="77777777" w:rsidR="0024071C" w:rsidRPr="0024071C" w:rsidRDefault="0024071C" w:rsidP="00D4041F">
            <w:pPr>
              <w:jc w:val="both"/>
              <w:rPr>
                <w:rFonts w:ascii="Cambria" w:eastAsia="MS Gothic" w:hAnsi="Cambria"/>
                <w:sz w:val="20"/>
                <w:szCs w:val="20"/>
                <w:lang w:eastAsia="fr-FR" w:bidi="fr-FR"/>
              </w:rPr>
            </w:pPr>
          </w:p>
        </w:tc>
        <w:tc>
          <w:tcPr>
            <w:tcW w:w="2656" w:type="pct"/>
            <w:tcBorders>
              <w:top w:val="single" w:sz="4" w:space="0" w:color="auto"/>
              <w:left w:val="single" w:sz="4" w:space="0" w:color="auto"/>
              <w:bottom w:val="single" w:sz="4" w:space="0" w:color="auto"/>
              <w:right w:val="single" w:sz="4" w:space="0" w:color="auto"/>
            </w:tcBorders>
          </w:tcPr>
          <w:p w14:paraId="09750458" w14:textId="77777777" w:rsidR="0024071C" w:rsidRPr="0024071C" w:rsidRDefault="0024071C" w:rsidP="00D4041F">
            <w:pPr>
              <w:widowControl w:val="0"/>
              <w:jc w:val="center"/>
              <w:rPr>
                <w:rFonts w:ascii="Cambria" w:eastAsia="MS Gothic" w:hAnsi="Cambria"/>
                <w:sz w:val="20"/>
                <w:szCs w:val="20"/>
                <w:lang w:eastAsia="ja-JP"/>
              </w:rPr>
            </w:pPr>
            <w:r w:rsidRPr="0024071C">
              <w:rPr>
                <w:rFonts w:ascii="Cambria" w:eastAsia="Yu Mincho" w:hAnsi="Cambria"/>
                <w:kern w:val="2"/>
                <w:sz w:val="20"/>
                <w:szCs w:val="20"/>
                <w:lang w:eastAsia="ja-JP"/>
                <w14:ligatures w14:val="standardContextual"/>
              </w:rPr>
              <w:t>TAC annuel pour 2026-2028 : 171,34 t (Mexique), utilisé uniquement et exclusivement afin de couvrir les captures accidentelles.</w:t>
            </w:r>
          </w:p>
        </w:tc>
      </w:tr>
      <w:tr w:rsidR="0024071C" w:rsidRPr="0024071C" w14:paraId="4CC31ECC" w14:textId="77777777" w:rsidTr="00D4041F">
        <w:trPr>
          <w:trHeight w:val="315"/>
          <w:jc w:val="center"/>
        </w:trPr>
        <w:tc>
          <w:tcPr>
            <w:tcW w:w="2344" w:type="pct"/>
            <w:tcBorders>
              <w:right w:val="single" w:sz="4" w:space="0" w:color="auto"/>
            </w:tcBorders>
            <w:shd w:val="clear" w:color="auto" w:fill="BFBFBF"/>
            <w:noWrap/>
            <w:vAlign w:val="center"/>
          </w:tcPr>
          <w:p w14:paraId="685BC723" w14:textId="77777777" w:rsidR="0024071C" w:rsidRPr="0024071C" w:rsidRDefault="0024071C" w:rsidP="00D4041F">
            <w:pPr>
              <w:rPr>
                <w:rFonts w:ascii="Cambria" w:eastAsia="MS Gothic" w:hAnsi="Cambria"/>
                <w:b/>
                <w:bCs/>
                <w:color w:val="000000"/>
                <w:sz w:val="20"/>
                <w:szCs w:val="20"/>
                <w:lang w:eastAsia="ja-JP"/>
              </w:rPr>
            </w:pPr>
            <w:r w:rsidRPr="0024071C">
              <w:rPr>
                <w:rFonts w:ascii="Cambria" w:eastAsia="Yu Mincho" w:hAnsi="Cambria"/>
                <w:b/>
                <w:color w:val="000000"/>
                <w:kern w:val="2"/>
                <w:sz w:val="20"/>
                <w:szCs w:val="20"/>
                <w:lang w:eastAsia="ja-JP"/>
                <w14:ligatures w14:val="standardContextual"/>
              </w:rPr>
              <w:t xml:space="preserve">Total </w:t>
            </w:r>
            <w:r w:rsidRPr="0024071C">
              <w:rPr>
                <w:rFonts w:ascii="Cambria" w:eastAsia="Yu Mincho" w:hAnsi="Cambria"/>
                <w:b/>
                <w:kern w:val="2"/>
                <w:sz w:val="20"/>
                <w:szCs w:val="20"/>
                <w:lang w:eastAsia="ja-JP"/>
                <w14:ligatures w14:val="standardContextual"/>
              </w:rPr>
              <w:t>(2026)</w:t>
            </w:r>
          </w:p>
        </w:tc>
        <w:tc>
          <w:tcPr>
            <w:tcW w:w="2656" w:type="pct"/>
            <w:tcBorders>
              <w:top w:val="single" w:sz="4" w:space="0" w:color="auto"/>
              <w:left w:val="single" w:sz="4" w:space="0" w:color="auto"/>
              <w:bottom w:val="single" w:sz="4" w:space="0" w:color="auto"/>
              <w:right w:val="single" w:sz="4" w:space="0" w:color="auto"/>
            </w:tcBorders>
            <w:shd w:val="clear" w:color="auto" w:fill="BFBFBF"/>
          </w:tcPr>
          <w:p w14:paraId="23F36DAC" w14:textId="77777777" w:rsidR="0024071C" w:rsidRPr="0024071C" w:rsidRDefault="0024071C" w:rsidP="00D4041F">
            <w:pPr>
              <w:widowControl w:val="0"/>
              <w:jc w:val="right"/>
              <w:rPr>
                <w:rFonts w:ascii="Cambria" w:eastAsia="MS Gothic" w:hAnsi="Cambria"/>
                <w:b/>
                <w:color w:val="FF0000"/>
                <w:sz w:val="20"/>
                <w:szCs w:val="20"/>
                <w:lang w:eastAsia="ja-JP"/>
              </w:rPr>
            </w:pPr>
            <w:r w:rsidRPr="0024071C">
              <w:rPr>
                <w:rFonts w:ascii="Cambria" w:eastAsia="Yu Mincho" w:hAnsi="Cambria"/>
                <w:b/>
                <w:kern w:val="2"/>
                <w:sz w:val="20"/>
                <w:szCs w:val="20"/>
                <w:lang w:eastAsia="ja-JP"/>
                <w14:ligatures w14:val="standardContextual"/>
              </w:rPr>
              <w:t>171,34 t</w:t>
            </w:r>
          </w:p>
        </w:tc>
      </w:tr>
      <w:tr w:rsidR="0024071C" w:rsidRPr="0024071C" w14:paraId="6EA84A84" w14:textId="77777777" w:rsidTr="00D4041F">
        <w:trPr>
          <w:trHeight w:val="315"/>
          <w:jc w:val="center"/>
        </w:trPr>
        <w:tc>
          <w:tcPr>
            <w:tcW w:w="2344" w:type="pct"/>
            <w:noWrap/>
            <w:vAlign w:val="center"/>
          </w:tcPr>
          <w:p w14:paraId="7481649A" w14:textId="77777777" w:rsidR="0024071C" w:rsidRPr="0024071C" w:rsidRDefault="0024071C" w:rsidP="00D4041F">
            <w:pPr>
              <w:jc w:val="both"/>
              <w:rPr>
                <w:rFonts w:ascii="Cambria" w:eastAsia="MS Gothic" w:hAnsi="Cambria"/>
                <w:b/>
                <w:color w:val="000000"/>
                <w:sz w:val="20"/>
                <w:szCs w:val="20"/>
                <w:lang w:eastAsia="ja-JP"/>
              </w:rPr>
            </w:pPr>
            <w:r w:rsidRPr="0024071C">
              <w:rPr>
                <w:rFonts w:ascii="Cambria" w:eastAsia="Yu Mincho" w:hAnsi="Cambria"/>
                <w:color w:val="000000"/>
                <w:kern w:val="2"/>
                <w:sz w:val="20"/>
                <w:szCs w:val="20"/>
                <w:lang w:eastAsia="ja-JP"/>
                <w14:ligatures w14:val="standardContextual"/>
              </w:rPr>
              <w:t xml:space="preserve">Quota </w:t>
            </w:r>
          </w:p>
        </w:tc>
        <w:tc>
          <w:tcPr>
            <w:tcW w:w="2656" w:type="pct"/>
            <w:vAlign w:val="center"/>
          </w:tcPr>
          <w:p w14:paraId="22FD68C0" w14:textId="77777777" w:rsidR="0024071C" w:rsidRPr="0024071C" w:rsidRDefault="0024071C" w:rsidP="00D4041F">
            <w:pPr>
              <w:widowControl w:val="0"/>
              <w:jc w:val="right"/>
              <w:rPr>
                <w:rFonts w:ascii="Cambria" w:eastAsia="MS Gothic" w:hAnsi="Cambria"/>
                <w:b/>
                <w:color w:val="FF0000"/>
                <w:sz w:val="20"/>
                <w:szCs w:val="20"/>
                <w:lang w:eastAsia="ja-JP"/>
              </w:rPr>
            </w:pPr>
            <w:r w:rsidRPr="0024071C">
              <w:rPr>
                <w:rFonts w:ascii="Cambria" w:eastAsia="Yu Mincho" w:hAnsi="Cambria"/>
                <w:kern w:val="2"/>
                <w:sz w:val="20"/>
                <w:szCs w:val="20"/>
                <w:lang w:eastAsia="ja-JP"/>
                <w14:ligatures w14:val="standardContextual"/>
              </w:rPr>
              <w:t>171,34 t</w:t>
            </w:r>
          </w:p>
        </w:tc>
      </w:tr>
      <w:tr w:rsidR="0024071C" w:rsidRPr="0024071C" w14:paraId="06366A9F" w14:textId="77777777" w:rsidTr="00D4041F">
        <w:trPr>
          <w:trHeight w:val="315"/>
          <w:jc w:val="center"/>
        </w:trPr>
        <w:tc>
          <w:tcPr>
            <w:tcW w:w="2344" w:type="pct"/>
            <w:noWrap/>
            <w:vAlign w:val="center"/>
          </w:tcPr>
          <w:p w14:paraId="493F8FB5" w14:textId="77777777" w:rsidR="0024071C" w:rsidRPr="0024071C" w:rsidRDefault="0024071C" w:rsidP="00D4041F">
            <w:pPr>
              <w:jc w:val="both"/>
              <w:rPr>
                <w:rFonts w:ascii="Cambria" w:eastAsia="MS Gothic" w:hAnsi="Cambria"/>
                <w:color w:val="000000"/>
                <w:sz w:val="20"/>
                <w:szCs w:val="20"/>
                <w:lang w:eastAsia="ja-JP"/>
              </w:rPr>
            </w:pPr>
            <w:r w:rsidRPr="0024071C">
              <w:rPr>
                <w:rFonts w:ascii="Cambria" w:eastAsia="Yu Mincho" w:hAnsi="Cambria"/>
                <w:color w:val="000000"/>
                <w:kern w:val="2"/>
                <w:sz w:val="20"/>
                <w:szCs w:val="20"/>
                <w:lang w:eastAsia="ja-JP"/>
                <w14:ligatures w14:val="standardContextual"/>
              </w:rPr>
              <w:t>Quota ajusté (le cas échéant, incluant report, surconsommation et transferts)</w:t>
            </w:r>
          </w:p>
        </w:tc>
        <w:tc>
          <w:tcPr>
            <w:tcW w:w="2656" w:type="pct"/>
            <w:vAlign w:val="center"/>
          </w:tcPr>
          <w:p w14:paraId="2678E002" w14:textId="77777777" w:rsidR="0024071C" w:rsidRPr="0024071C" w:rsidRDefault="0024071C" w:rsidP="00D4041F">
            <w:pPr>
              <w:widowControl w:val="0"/>
              <w:jc w:val="right"/>
              <w:rPr>
                <w:rFonts w:ascii="Cambria" w:eastAsia="MS Gothic" w:hAnsi="Cambria"/>
                <w:color w:val="FF0000"/>
                <w:sz w:val="20"/>
                <w:szCs w:val="20"/>
                <w:lang w:eastAsia="ja-JP"/>
              </w:rPr>
            </w:pPr>
            <w:r w:rsidRPr="0024071C">
              <w:rPr>
                <w:rFonts w:ascii="Cambria" w:eastAsia="Yu Mincho" w:hAnsi="Cambria"/>
                <w:kern w:val="2"/>
                <w:sz w:val="20"/>
                <w:szCs w:val="20"/>
                <w:lang w:eastAsia="ja-JP"/>
                <w14:ligatures w14:val="standardContextual"/>
              </w:rPr>
              <w:t>0t</w:t>
            </w:r>
          </w:p>
        </w:tc>
      </w:tr>
      <w:tr w:rsidR="0024071C" w:rsidRPr="0024071C" w14:paraId="75B148CC" w14:textId="77777777" w:rsidTr="00D4041F">
        <w:trPr>
          <w:trHeight w:val="315"/>
          <w:jc w:val="center"/>
        </w:trPr>
        <w:tc>
          <w:tcPr>
            <w:tcW w:w="2344" w:type="pct"/>
            <w:noWrap/>
            <w:vAlign w:val="center"/>
          </w:tcPr>
          <w:p w14:paraId="70A50A95" w14:textId="77777777" w:rsidR="0024071C" w:rsidRPr="0024071C" w:rsidRDefault="0024071C" w:rsidP="00D4041F">
            <w:pPr>
              <w:jc w:val="both"/>
              <w:rPr>
                <w:rFonts w:ascii="Cambria" w:eastAsia="MS Gothic" w:hAnsi="Cambria"/>
                <w:b/>
                <w:color w:val="000000"/>
                <w:sz w:val="20"/>
                <w:szCs w:val="20"/>
                <w:lang w:eastAsia="ja-JP"/>
              </w:rPr>
            </w:pPr>
            <w:r w:rsidRPr="0024071C">
              <w:rPr>
                <w:rFonts w:ascii="Cambria" w:eastAsia="Yu Mincho" w:hAnsi="Cambria"/>
                <w:color w:val="000000"/>
                <w:kern w:val="2"/>
                <w:sz w:val="20"/>
                <w:szCs w:val="20"/>
                <w:lang w:eastAsia="ja-JP"/>
                <w14:ligatures w14:val="standardContextual"/>
              </w:rPr>
              <w:t>Pêcheries récréatives</w:t>
            </w:r>
          </w:p>
        </w:tc>
        <w:tc>
          <w:tcPr>
            <w:tcW w:w="2656" w:type="pct"/>
            <w:tcBorders>
              <w:right w:val="single" w:sz="4" w:space="0" w:color="auto"/>
            </w:tcBorders>
            <w:vAlign w:val="center"/>
          </w:tcPr>
          <w:p w14:paraId="0693F882" w14:textId="77777777" w:rsidR="0024071C" w:rsidRPr="0024071C" w:rsidRDefault="0024071C" w:rsidP="00D4041F">
            <w:pPr>
              <w:widowControl w:val="0"/>
              <w:jc w:val="right"/>
              <w:rPr>
                <w:rFonts w:ascii="Cambria" w:eastAsia="MS Gothic" w:hAnsi="Cambria"/>
                <w:color w:val="FF0000"/>
                <w:sz w:val="20"/>
                <w:szCs w:val="20"/>
                <w:lang w:eastAsia="ja-JP"/>
              </w:rPr>
            </w:pPr>
            <w:r w:rsidRPr="0024071C">
              <w:rPr>
                <w:rFonts w:ascii="Cambria" w:eastAsia="Yu Mincho" w:hAnsi="Cambria"/>
                <w:kern w:val="2"/>
                <w:sz w:val="20"/>
                <w:szCs w:val="20"/>
                <w:lang w:eastAsia="ja-JP"/>
                <w14:ligatures w14:val="standardContextual"/>
              </w:rPr>
              <w:t>0t</w:t>
            </w:r>
          </w:p>
        </w:tc>
      </w:tr>
      <w:tr w:rsidR="0024071C" w:rsidRPr="0024071C" w14:paraId="349AC289" w14:textId="77777777" w:rsidTr="00D4041F">
        <w:trPr>
          <w:trHeight w:val="315"/>
          <w:jc w:val="center"/>
        </w:trPr>
        <w:tc>
          <w:tcPr>
            <w:tcW w:w="2344" w:type="pct"/>
            <w:noWrap/>
            <w:vAlign w:val="center"/>
          </w:tcPr>
          <w:p w14:paraId="2D42B571" w14:textId="77777777" w:rsidR="0024071C" w:rsidRPr="0024071C" w:rsidRDefault="0024071C" w:rsidP="00D4041F">
            <w:pPr>
              <w:jc w:val="both"/>
              <w:rPr>
                <w:rFonts w:ascii="Cambria" w:eastAsia="MS Gothic" w:hAnsi="Cambria"/>
                <w:b/>
                <w:color w:val="000000"/>
                <w:sz w:val="20"/>
                <w:szCs w:val="20"/>
                <w:lang w:eastAsia="ja-JP"/>
              </w:rPr>
            </w:pPr>
            <w:r w:rsidRPr="0024071C">
              <w:rPr>
                <w:rFonts w:ascii="Cambria" w:eastAsia="Yu Mincho" w:hAnsi="Cambria"/>
                <w:color w:val="000000"/>
                <w:kern w:val="2"/>
                <w:sz w:val="20"/>
                <w:szCs w:val="20"/>
                <w:lang w:eastAsia="ja-JP"/>
                <w14:ligatures w14:val="standardContextual"/>
              </w:rPr>
              <w:t>Réserve pour prises accessoires (le cas échéant)</w:t>
            </w:r>
          </w:p>
        </w:tc>
        <w:tc>
          <w:tcPr>
            <w:tcW w:w="2656" w:type="pct"/>
            <w:tcBorders>
              <w:top w:val="single" w:sz="4" w:space="0" w:color="auto"/>
              <w:right w:val="single" w:sz="4" w:space="0" w:color="auto"/>
            </w:tcBorders>
            <w:vAlign w:val="center"/>
          </w:tcPr>
          <w:p w14:paraId="7337894A" w14:textId="77777777" w:rsidR="0024071C" w:rsidRPr="0024071C" w:rsidRDefault="0024071C" w:rsidP="00D4041F">
            <w:pPr>
              <w:widowControl w:val="0"/>
              <w:jc w:val="right"/>
              <w:rPr>
                <w:rFonts w:ascii="Cambria" w:eastAsia="MS Gothic" w:hAnsi="Cambria"/>
                <w:color w:val="FF0000"/>
                <w:sz w:val="20"/>
                <w:szCs w:val="20"/>
                <w:lang w:eastAsia="ja-JP"/>
              </w:rPr>
            </w:pPr>
            <w:r w:rsidRPr="0024071C">
              <w:rPr>
                <w:rFonts w:ascii="Cambria" w:eastAsia="Yu Mincho" w:hAnsi="Cambria"/>
                <w:kern w:val="2"/>
                <w:sz w:val="20"/>
                <w:szCs w:val="20"/>
                <w:lang w:eastAsia="ja-JP"/>
                <w14:ligatures w14:val="standardContextual"/>
              </w:rPr>
              <w:t>0t</w:t>
            </w:r>
          </w:p>
        </w:tc>
      </w:tr>
    </w:tbl>
    <w:p w14:paraId="3025D5EA" w14:textId="77777777" w:rsidR="0024071C" w:rsidRDefault="0024071C" w:rsidP="0024071C">
      <w:pPr>
        <w:widowControl w:val="0"/>
        <w:jc w:val="both"/>
        <w:rPr>
          <w:rFonts w:ascii="Cambria" w:eastAsia="MS Gothic" w:hAnsi="Cambria"/>
          <w:b/>
          <w:bCs/>
          <w:i/>
          <w:iCs/>
          <w:sz w:val="20"/>
          <w:szCs w:val="20"/>
          <w:lang w:eastAsia="fr-FR" w:bidi="fr-FR"/>
        </w:rPr>
      </w:pPr>
    </w:p>
    <w:p w14:paraId="3168963D" w14:textId="77777777" w:rsidR="0024071C" w:rsidRPr="0024071C" w:rsidRDefault="0024071C" w:rsidP="0024071C">
      <w:pPr>
        <w:widowControl w:val="0"/>
        <w:jc w:val="both"/>
        <w:rPr>
          <w:rFonts w:ascii="Cambria" w:eastAsia="MS Gothic" w:hAnsi="Cambria"/>
          <w:b/>
          <w:i/>
          <w:sz w:val="20"/>
          <w:szCs w:val="20"/>
          <w:lang w:eastAsia="ja-JP"/>
        </w:rPr>
      </w:pPr>
      <w:r w:rsidRPr="0024071C">
        <w:rPr>
          <w:rFonts w:ascii="Cambria" w:eastAsia="Yu Mincho" w:hAnsi="Cambria"/>
          <w:b/>
          <w:i/>
          <w:kern w:val="2"/>
          <w:sz w:val="20"/>
          <w:szCs w:val="20"/>
          <w:lang w:eastAsia="ja-JP"/>
          <w14:ligatures w14:val="standardContextual"/>
        </w:rPr>
        <w:t>1 c) Méthode utilisée pour allouer et gérer ces quotas (paragraphe 3)</w:t>
      </w:r>
    </w:p>
    <w:p w14:paraId="14586D04" w14:textId="77777777" w:rsidR="0024071C" w:rsidRPr="0024071C" w:rsidRDefault="0024071C" w:rsidP="0024071C">
      <w:pPr>
        <w:widowControl w:val="0"/>
        <w:jc w:val="both"/>
        <w:rPr>
          <w:rFonts w:ascii="Cambria" w:eastAsia="MS Gothic" w:hAnsi="Cambria"/>
          <w:sz w:val="20"/>
          <w:szCs w:val="20"/>
          <w:lang w:eastAsia="fr-FR" w:bidi="fr-FR"/>
        </w:rPr>
      </w:pPr>
    </w:p>
    <w:p w14:paraId="1F5AF78A" w14:textId="77777777" w:rsidR="0024071C" w:rsidRPr="0024071C" w:rsidRDefault="0024071C" w:rsidP="0024071C">
      <w:pPr>
        <w:widowControl w:val="0"/>
        <w:jc w:val="both"/>
        <w:rPr>
          <w:rFonts w:ascii="Cambria" w:eastAsia="MS Gothic" w:hAnsi="Cambria"/>
          <w:sz w:val="20"/>
          <w:szCs w:val="20"/>
          <w:lang w:eastAsia="ja-JP"/>
        </w:rPr>
      </w:pPr>
      <w:r w:rsidRPr="0024071C">
        <w:rPr>
          <w:rFonts w:ascii="Cambria" w:eastAsia="Yu Mincho" w:hAnsi="Cambria"/>
          <w:kern w:val="2"/>
          <w:sz w:val="20"/>
          <w:szCs w:val="20"/>
          <w:lang w:eastAsia="ja-JP"/>
          <w14:ligatures w14:val="standardContextual"/>
        </w:rPr>
        <w:t>Le Mexique procède au suivi des captures et de l'effort de pêche de la flottille palangrière du golfe du Mexique. La gestion des captures accessoires de thon rouge figure dans la NORME officielle mexicaine NOM-023-SAG/PESC-2014 réglementant l'exploitation des espèces de thonidés par les palangriers dans les eaux relevant de la juridiction fédérale du golfe du Mexique et de la mer des Caraïbes, qui stipule que, pour chaque navire, le taux annuel de prise accidentelle de thon rouge de l’Atlantique Ouest (</w:t>
      </w:r>
      <w:r w:rsidRPr="0024071C">
        <w:rPr>
          <w:rFonts w:ascii="Cambria" w:eastAsia="Yu Mincho" w:hAnsi="Cambria"/>
          <w:i/>
          <w:kern w:val="2"/>
          <w:sz w:val="20"/>
          <w:szCs w:val="20"/>
          <w:lang w:eastAsia="ja-JP"/>
          <w14:ligatures w14:val="standardContextual"/>
        </w:rPr>
        <w:t>Thunnus thynnus</w:t>
      </w:r>
      <w:r w:rsidRPr="0024071C">
        <w:rPr>
          <w:rFonts w:ascii="Cambria" w:eastAsia="Yu Mincho" w:hAnsi="Cambria"/>
          <w:kern w:val="2"/>
          <w:sz w:val="20"/>
          <w:szCs w:val="20"/>
          <w:lang w:eastAsia="ja-JP"/>
          <w14:ligatures w14:val="standardContextual"/>
        </w:rPr>
        <w:t xml:space="preserve">), de makaires (des familles Makaira et </w:t>
      </w:r>
      <w:proofErr w:type="spellStart"/>
      <w:r w:rsidRPr="0024071C">
        <w:rPr>
          <w:rFonts w:ascii="Cambria" w:eastAsia="Yu Mincho" w:hAnsi="Cambria"/>
          <w:kern w:val="2"/>
          <w:sz w:val="20"/>
          <w:szCs w:val="20"/>
          <w:lang w:eastAsia="ja-JP"/>
          <w14:ligatures w14:val="standardContextual"/>
        </w:rPr>
        <w:t>Tetrapturus</w:t>
      </w:r>
      <w:proofErr w:type="spellEnd"/>
      <w:r w:rsidRPr="0024071C">
        <w:rPr>
          <w:rFonts w:ascii="Cambria" w:eastAsia="Yu Mincho" w:hAnsi="Cambria"/>
          <w:kern w:val="2"/>
          <w:sz w:val="20"/>
          <w:szCs w:val="20"/>
          <w:lang w:eastAsia="ja-JP"/>
          <w14:ligatures w14:val="standardContextual"/>
        </w:rPr>
        <w:t>), d'espadon (</w:t>
      </w:r>
      <w:r w:rsidRPr="0024071C">
        <w:rPr>
          <w:rFonts w:ascii="Cambria" w:eastAsia="Yu Mincho" w:hAnsi="Cambria"/>
          <w:i/>
          <w:kern w:val="2"/>
          <w:sz w:val="20"/>
          <w:szCs w:val="20"/>
          <w:lang w:eastAsia="ja-JP"/>
          <w14:ligatures w14:val="standardContextual"/>
        </w:rPr>
        <w:t xml:space="preserve">Xiphias </w:t>
      </w:r>
      <w:proofErr w:type="spellStart"/>
      <w:r w:rsidRPr="0024071C">
        <w:rPr>
          <w:rFonts w:ascii="Cambria" w:eastAsia="Yu Mincho" w:hAnsi="Cambria"/>
          <w:i/>
          <w:kern w:val="2"/>
          <w:sz w:val="20"/>
          <w:szCs w:val="20"/>
          <w:lang w:eastAsia="ja-JP"/>
          <w14:ligatures w14:val="standardContextual"/>
        </w:rPr>
        <w:t>gladius</w:t>
      </w:r>
      <w:proofErr w:type="spellEnd"/>
      <w:r w:rsidRPr="0024071C">
        <w:rPr>
          <w:rFonts w:ascii="Cambria" w:eastAsia="Yu Mincho" w:hAnsi="Cambria"/>
          <w:kern w:val="2"/>
          <w:sz w:val="20"/>
          <w:szCs w:val="20"/>
          <w:lang w:eastAsia="ja-JP"/>
          <w14:ligatures w14:val="standardContextual"/>
        </w:rPr>
        <w:t>), de voilier (</w:t>
      </w:r>
      <w:proofErr w:type="spellStart"/>
      <w:r w:rsidRPr="0024071C">
        <w:rPr>
          <w:rFonts w:ascii="Cambria" w:eastAsia="Yu Mincho" w:hAnsi="Cambria"/>
          <w:i/>
          <w:kern w:val="2"/>
          <w:sz w:val="20"/>
          <w:szCs w:val="20"/>
          <w:lang w:eastAsia="ja-JP"/>
          <w14:ligatures w14:val="standardContextual"/>
        </w:rPr>
        <w:t>Istiophorus</w:t>
      </w:r>
      <w:proofErr w:type="spellEnd"/>
      <w:r w:rsidRPr="0024071C">
        <w:rPr>
          <w:rFonts w:ascii="Cambria" w:eastAsia="Yu Mincho" w:hAnsi="Cambria"/>
          <w:i/>
          <w:kern w:val="2"/>
          <w:sz w:val="20"/>
          <w:szCs w:val="20"/>
          <w:lang w:eastAsia="ja-JP"/>
          <w14:ligatures w14:val="standardContextual"/>
        </w:rPr>
        <w:t xml:space="preserve"> </w:t>
      </w:r>
      <w:proofErr w:type="spellStart"/>
      <w:r w:rsidRPr="0024071C">
        <w:rPr>
          <w:rFonts w:ascii="Cambria" w:eastAsia="Yu Mincho" w:hAnsi="Cambria"/>
          <w:i/>
          <w:kern w:val="2"/>
          <w:sz w:val="20"/>
          <w:szCs w:val="20"/>
          <w:lang w:eastAsia="ja-JP"/>
          <w14:ligatures w14:val="standardContextual"/>
        </w:rPr>
        <w:t>albicans</w:t>
      </w:r>
      <w:proofErr w:type="spellEnd"/>
      <w:r w:rsidRPr="0024071C">
        <w:rPr>
          <w:rFonts w:ascii="Cambria" w:eastAsia="Yu Mincho" w:hAnsi="Cambria"/>
          <w:kern w:val="2"/>
          <w:sz w:val="20"/>
          <w:szCs w:val="20"/>
          <w:lang w:eastAsia="ja-JP"/>
          <w14:ligatures w14:val="standardContextual"/>
        </w:rPr>
        <w:t>) et de requins, globalement, ne doit pas dépasser 20 % de la capture nominale (capture totale incluant les poissons remis à l’eau vivants), obtenue au cours d'une année civile. Afin de procéder au suivi et à la gestion de la pêcherie, le programme d’observateurs à bord est la principale source d’informations, fournissant les informations obtenues lors de chaque sortie de pêche, avec une couverture d'observateurs à bord de 100 %. Il enregistre, en outre, le nombre de spécimens, le poids, la taille, l’état à la remise à l'eau, les positions (latitude et longitude) et l’effort.</w:t>
      </w:r>
    </w:p>
    <w:p w14:paraId="7FD72EBD" w14:textId="77777777" w:rsidR="0024071C" w:rsidRPr="0024071C" w:rsidRDefault="0024071C" w:rsidP="0024071C">
      <w:pPr>
        <w:spacing w:after="160" w:line="259" w:lineRule="auto"/>
        <w:rPr>
          <w:rFonts w:ascii="Cambria" w:eastAsia="MS Gothic" w:hAnsi="Cambria"/>
          <w:b/>
          <w:i/>
          <w:sz w:val="20"/>
          <w:szCs w:val="20"/>
          <w:lang w:eastAsia="fr-FR" w:bidi="fr-FR"/>
        </w:rPr>
      </w:pPr>
      <w:r w:rsidRPr="0024071C">
        <w:rPr>
          <w:rFonts w:ascii="Cambria" w:eastAsia="MS Gothic" w:hAnsi="Cambria"/>
          <w:b/>
          <w:i/>
          <w:sz w:val="20"/>
          <w:szCs w:val="20"/>
          <w:lang w:eastAsia="fr-FR" w:bidi="fr-FR"/>
        </w:rPr>
        <w:br w:type="page"/>
      </w:r>
    </w:p>
    <w:p w14:paraId="7D28FF0B" w14:textId="77777777" w:rsidR="0024071C" w:rsidRPr="0024071C" w:rsidRDefault="0024071C" w:rsidP="0024071C">
      <w:pPr>
        <w:widowControl w:val="0"/>
        <w:jc w:val="both"/>
        <w:rPr>
          <w:rFonts w:ascii="Cambria" w:eastAsia="MS Gothic" w:hAnsi="Cambria"/>
          <w:b/>
          <w:bCs/>
          <w:i/>
          <w:iCs/>
          <w:sz w:val="20"/>
          <w:szCs w:val="20"/>
          <w:lang w:eastAsia="ja-JP"/>
        </w:rPr>
      </w:pPr>
      <w:r w:rsidRPr="0024071C">
        <w:rPr>
          <w:rFonts w:ascii="Cambria" w:eastAsia="Yu Mincho" w:hAnsi="Cambria"/>
          <w:b/>
          <w:i/>
          <w:kern w:val="2"/>
          <w:sz w:val="20"/>
          <w:szCs w:val="20"/>
          <w:lang w:eastAsia="ja-JP"/>
          <w14:ligatures w14:val="standardContextual"/>
        </w:rPr>
        <w:lastRenderedPageBreak/>
        <w:t>1 d) Ajustement pour surconsommation et sous-consommation (paragraphe 8)</w:t>
      </w:r>
    </w:p>
    <w:p w14:paraId="28CD48E7" w14:textId="77777777" w:rsidR="0024071C" w:rsidRPr="0024071C" w:rsidRDefault="0024071C" w:rsidP="0024071C">
      <w:pPr>
        <w:widowControl w:val="0"/>
        <w:jc w:val="both"/>
        <w:rPr>
          <w:rFonts w:ascii="Cambria" w:eastAsia="MS Gothic" w:hAnsi="Cambria"/>
          <w:sz w:val="20"/>
          <w:szCs w:val="20"/>
          <w:lang w:eastAsia="fr-FR" w:bidi="fr-FR"/>
        </w:rPr>
      </w:pPr>
    </w:p>
    <w:p w14:paraId="66727BCA" w14:textId="77777777" w:rsidR="0024071C" w:rsidRPr="0024071C" w:rsidRDefault="0024071C" w:rsidP="0024071C">
      <w:pPr>
        <w:widowControl w:val="0"/>
        <w:jc w:val="both"/>
        <w:rPr>
          <w:rFonts w:ascii="Cambria" w:eastAsia="MS Gothic" w:hAnsi="Cambria"/>
          <w:sz w:val="20"/>
          <w:szCs w:val="20"/>
          <w:lang w:eastAsia="ja-JP"/>
        </w:rPr>
      </w:pPr>
      <w:r w:rsidRPr="0024071C">
        <w:rPr>
          <w:rFonts w:ascii="Cambria" w:eastAsia="Yu Mincho" w:hAnsi="Cambria"/>
          <w:kern w:val="2"/>
          <w:sz w:val="20"/>
          <w:szCs w:val="20"/>
          <w:lang w:eastAsia="ja-JP"/>
          <w14:ligatures w14:val="standardContextual"/>
        </w:rPr>
        <w:t>Aucune surconsommation n’a pas été enregistrée. Les ajustements correspondant à des sous-consommations et, le cas échéant à des transferts au Canada, ont été calculés conformément aux Recommandations de l’ICCAT applicables à chaque période. Les tableaux d’application et des calculs des limites ajustées ont été transmis à la Commission conjointement avec les informations pertinentes.</w:t>
      </w:r>
    </w:p>
    <w:p w14:paraId="5103E539" w14:textId="77777777" w:rsidR="0024071C" w:rsidRPr="0024071C" w:rsidRDefault="0024071C" w:rsidP="0024071C">
      <w:pPr>
        <w:widowControl w:val="0"/>
        <w:jc w:val="both"/>
        <w:rPr>
          <w:rFonts w:ascii="Cambria" w:eastAsia="MS Gothic" w:hAnsi="Cambria"/>
          <w:i/>
          <w:iCs/>
          <w:sz w:val="20"/>
          <w:szCs w:val="20"/>
          <w:lang w:eastAsia="fr-FR" w:bidi="fr-FR"/>
        </w:rPr>
      </w:pPr>
    </w:p>
    <w:p w14:paraId="1D7DAAAE" w14:textId="77777777" w:rsidR="0024071C" w:rsidRPr="0024071C" w:rsidRDefault="0024071C" w:rsidP="0024071C">
      <w:pPr>
        <w:widowControl w:val="0"/>
        <w:jc w:val="both"/>
        <w:rPr>
          <w:rFonts w:ascii="Cambria" w:eastAsia="MS Gothic" w:hAnsi="Cambria"/>
          <w:i/>
          <w:iCs/>
          <w:sz w:val="20"/>
          <w:szCs w:val="20"/>
          <w:lang w:eastAsia="fr-FR" w:bidi="fr-FR"/>
        </w:rPr>
      </w:pPr>
    </w:p>
    <w:p w14:paraId="7909890F" w14:textId="77777777" w:rsidR="0024071C" w:rsidRPr="0024071C" w:rsidRDefault="0024071C" w:rsidP="0024071C">
      <w:pPr>
        <w:widowControl w:val="0"/>
        <w:tabs>
          <w:tab w:val="left" w:pos="426"/>
        </w:tabs>
        <w:ind w:left="426" w:hanging="426"/>
        <w:jc w:val="both"/>
        <w:rPr>
          <w:rFonts w:ascii="Cambria" w:eastAsia="MS Gothic" w:hAnsi="Cambria"/>
          <w:b/>
          <w:sz w:val="20"/>
          <w:szCs w:val="20"/>
          <w:lang w:eastAsia="ja-JP"/>
        </w:rPr>
      </w:pPr>
      <w:r w:rsidRPr="0024071C">
        <w:rPr>
          <w:rFonts w:ascii="Cambria" w:eastAsia="Yu Mincho" w:hAnsi="Cambria"/>
          <w:b/>
          <w:kern w:val="2"/>
          <w:sz w:val="20"/>
          <w:szCs w:val="20"/>
          <w:lang w:eastAsia="ja-JP"/>
          <w14:ligatures w14:val="standardContextual"/>
        </w:rPr>
        <w:t>2.</w:t>
      </w:r>
      <w:r w:rsidRPr="0024071C">
        <w:rPr>
          <w:rFonts w:ascii="Cambria" w:eastAsia="Yu Mincho" w:hAnsi="Cambria"/>
          <w:b/>
          <w:kern w:val="2"/>
          <w:sz w:val="20"/>
          <w:szCs w:val="20"/>
          <w:lang w:eastAsia="ja-JP"/>
          <w14:ligatures w14:val="standardContextual"/>
        </w:rPr>
        <w:tab/>
        <w:t>Mesures de contrôle des pêches et des prises accessoires (paragraphe</w:t>
      </w:r>
      <w:r w:rsidRPr="0024071C">
        <w:rPr>
          <w:rFonts w:ascii="Cambria" w:eastAsia="Yu Mincho" w:hAnsi="Cambria"/>
          <w:b/>
          <w:iCs/>
          <w:kern w:val="2"/>
          <w:sz w:val="20"/>
          <w:szCs w:val="20"/>
          <w:lang w:eastAsia="ja-JP"/>
          <w14:ligatures w14:val="standardContextual"/>
        </w:rPr>
        <w:t xml:space="preserve"> 3)</w:t>
      </w:r>
    </w:p>
    <w:p w14:paraId="7DDBF8F6" w14:textId="77777777" w:rsidR="0024071C" w:rsidRPr="0024071C" w:rsidRDefault="0024071C" w:rsidP="0024071C">
      <w:pPr>
        <w:rPr>
          <w:rFonts w:ascii="Cambria" w:eastAsia="MS Gothic" w:hAnsi="Cambria"/>
          <w:i/>
          <w:sz w:val="20"/>
          <w:szCs w:val="20"/>
          <w:lang w:eastAsia="fr-FR" w:bidi="fr-FR"/>
        </w:rPr>
      </w:pPr>
    </w:p>
    <w:tbl>
      <w:tblPr>
        <w:tblStyle w:val="TableGrid"/>
        <w:tblpPr w:leftFromText="180" w:rightFromText="180" w:vertAnchor="text" w:tblpY="1"/>
        <w:tblOverlap w:val="never"/>
        <w:tblW w:w="0" w:type="auto"/>
        <w:tblLook w:val="04A0" w:firstRow="1" w:lastRow="0" w:firstColumn="1" w:lastColumn="0" w:noHBand="0" w:noVBand="1"/>
      </w:tblPr>
      <w:tblGrid>
        <w:gridCol w:w="335"/>
        <w:gridCol w:w="1812"/>
        <w:gridCol w:w="3245"/>
        <w:gridCol w:w="1977"/>
        <w:gridCol w:w="1691"/>
      </w:tblGrid>
      <w:tr w:rsidR="0024071C" w:rsidRPr="0024071C" w14:paraId="317A9288" w14:textId="77777777" w:rsidTr="008B17B1">
        <w:trPr>
          <w:tblHeader/>
        </w:trPr>
        <w:tc>
          <w:tcPr>
            <w:tcW w:w="335" w:type="dxa"/>
          </w:tcPr>
          <w:p w14:paraId="7AEAE096" w14:textId="77777777" w:rsidR="0024071C" w:rsidRPr="0024071C" w:rsidRDefault="0024071C" w:rsidP="0024071C">
            <w:pPr>
              <w:widowControl w:val="0"/>
              <w:rPr>
                <w:rFonts w:ascii="Cambria" w:hAnsi="Cambria"/>
                <w:sz w:val="20"/>
                <w:szCs w:val="20"/>
                <w:lang w:eastAsia="fr-FR"/>
              </w:rPr>
            </w:pPr>
          </w:p>
        </w:tc>
        <w:tc>
          <w:tcPr>
            <w:tcW w:w="1787" w:type="dxa"/>
            <w:vAlign w:val="center"/>
          </w:tcPr>
          <w:p w14:paraId="1FB6D800" w14:textId="77777777" w:rsidR="0024071C" w:rsidRPr="0024071C" w:rsidRDefault="0024071C" w:rsidP="0024071C">
            <w:pPr>
              <w:widowControl w:val="0"/>
              <w:jc w:val="center"/>
              <w:rPr>
                <w:rFonts w:ascii="Cambria" w:hAnsi="Cambria"/>
                <w:i/>
                <w:sz w:val="20"/>
                <w:szCs w:val="20"/>
                <w:lang w:eastAsia="fr-FR"/>
              </w:rPr>
            </w:pPr>
            <w:r w:rsidRPr="0024071C">
              <w:rPr>
                <w:rFonts w:ascii="Cambria" w:hAnsi="Cambria"/>
                <w:i/>
                <w:sz w:val="20"/>
                <w:szCs w:val="20"/>
                <w:lang w:eastAsia="fr-FR"/>
              </w:rPr>
              <w:t>Exigence de l’ICCAT</w:t>
            </w:r>
          </w:p>
          <w:p w14:paraId="44893511" w14:textId="77777777" w:rsidR="0024071C" w:rsidRPr="0024071C" w:rsidRDefault="0024071C" w:rsidP="0024071C">
            <w:pPr>
              <w:widowControl w:val="0"/>
              <w:jc w:val="center"/>
              <w:rPr>
                <w:rFonts w:ascii="Cambria" w:hAnsi="Cambria"/>
                <w:i/>
                <w:sz w:val="20"/>
                <w:szCs w:val="20"/>
                <w:lang w:eastAsia="fr-FR"/>
              </w:rPr>
            </w:pPr>
            <w:r w:rsidRPr="0024071C">
              <w:rPr>
                <w:rFonts w:ascii="Cambria" w:hAnsi="Cambria"/>
                <w:i/>
                <w:sz w:val="20"/>
                <w:szCs w:val="20"/>
                <w:lang w:eastAsia="fr-FR"/>
              </w:rPr>
              <w:t xml:space="preserve">(conformément à la </w:t>
            </w:r>
            <w:hyperlink r:id="rId17" w:history="1">
              <w:r w:rsidRPr="0024071C">
                <w:rPr>
                  <w:rFonts w:ascii="Cambria" w:hAnsi="Cambria"/>
                  <w:i/>
                  <w:color w:val="0563C1"/>
                  <w:sz w:val="20"/>
                  <w:szCs w:val="20"/>
                  <w:lang w:eastAsia="fr-FR"/>
                </w:rPr>
                <w:t>Rec. 25-05</w:t>
              </w:r>
            </w:hyperlink>
            <w:r w:rsidRPr="0024071C">
              <w:rPr>
                <w:rFonts w:ascii="Cambria" w:hAnsi="Cambria"/>
                <w:i/>
                <w:sz w:val="20"/>
                <w:szCs w:val="20"/>
                <w:lang w:eastAsia="fr-FR"/>
              </w:rPr>
              <w:t>)</w:t>
            </w:r>
          </w:p>
        </w:tc>
        <w:tc>
          <w:tcPr>
            <w:tcW w:w="3263" w:type="dxa"/>
            <w:vAlign w:val="center"/>
          </w:tcPr>
          <w:p w14:paraId="5EC5A870" w14:textId="77777777" w:rsidR="0024071C" w:rsidRPr="0024071C" w:rsidRDefault="0024071C" w:rsidP="0024071C">
            <w:pPr>
              <w:widowControl w:val="0"/>
              <w:jc w:val="center"/>
              <w:rPr>
                <w:rFonts w:ascii="Cambria" w:hAnsi="Cambria"/>
                <w:i/>
                <w:sz w:val="20"/>
                <w:szCs w:val="20"/>
                <w:lang w:eastAsia="fr-FR"/>
              </w:rPr>
            </w:pPr>
            <w:r w:rsidRPr="0024071C">
              <w:rPr>
                <w:rFonts w:ascii="Cambria" w:hAnsi="Cambria"/>
                <w:i/>
                <w:sz w:val="20"/>
                <w:szCs w:val="20"/>
                <w:lang w:eastAsia="fr-FR"/>
              </w:rPr>
              <w:t>Explication des actions prises par la CPC à des fins de mise en œuvre</w:t>
            </w:r>
          </w:p>
        </w:tc>
        <w:tc>
          <w:tcPr>
            <w:tcW w:w="1982" w:type="dxa"/>
            <w:vAlign w:val="center"/>
          </w:tcPr>
          <w:p w14:paraId="5FDBB3AB" w14:textId="77777777" w:rsidR="0024071C" w:rsidRPr="0024071C" w:rsidRDefault="0024071C" w:rsidP="0024071C">
            <w:pPr>
              <w:widowControl w:val="0"/>
              <w:jc w:val="center"/>
              <w:rPr>
                <w:rFonts w:ascii="Cambria" w:hAnsi="Cambria"/>
                <w:i/>
                <w:sz w:val="20"/>
                <w:szCs w:val="20"/>
                <w:lang w:eastAsia="fr-FR"/>
              </w:rPr>
            </w:pPr>
            <w:r w:rsidRPr="0024071C">
              <w:rPr>
                <w:rFonts w:ascii="Cambria" w:hAnsi="Cambria"/>
                <w:i/>
                <w:sz w:val="20"/>
                <w:szCs w:val="20"/>
                <w:lang w:eastAsia="fr-FR"/>
              </w:rPr>
              <w:t>Lois ou réglementations nationales pertinentes (le cas échéant)</w:t>
            </w:r>
          </w:p>
        </w:tc>
        <w:tc>
          <w:tcPr>
            <w:tcW w:w="1693" w:type="dxa"/>
            <w:vAlign w:val="center"/>
          </w:tcPr>
          <w:p w14:paraId="0A887EF1" w14:textId="77777777" w:rsidR="0024071C" w:rsidRPr="0024071C" w:rsidRDefault="0024071C" w:rsidP="0024071C">
            <w:pPr>
              <w:widowControl w:val="0"/>
              <w:jc w:val="center"/>
              <w:rPr>
                <w:rFonts w:ascii="Cambria" w:hAnsi="Cambria"/>
                <w:i/>
                <w:sz w:val="20"/>
                <w:szCs w:val="20"/>
                <w:lang w:eastAsia="fr-FR"/>
              </w:rPr>
            </w:pPr>
            <w:r w:rsidRPr="0024071C">
              <w:rPr>
                <w:rFonts w:ascii="Cambria" w:hAnsi="Cambria"/>
                <w:i/>
                <w:sz w:val="20"/>
                <w:szCs w:val="20"/>
                <w:lang w:eastAsia="fr-FR"/>
              </w:rPr>
              <w:t>Notes</w:t>
            </w:r>
          </w:p>
        </w:tc>
      </w:tr>
      <w:tr w:rsidR="0024071C" w:rsidRPr="0024071C" w14:paraId="486D3298" w14:textId="77777777" w:rsidTr="008B17B1">
        <w:tc>
          <w:tcPr>
            <w:tcW w:w="335" w:type="dxa"/>
          </w:tcPr>
          <w:p w14:paraId="465440F9"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1</w:t>
            </w:r>
          </w:p>
        </w:tc>
        <w:tc>
          <w:tcPr>
            <w:tcW w:w="1787" w:type="dxa"/>
          </w:tcPr>
          <w:p w14:paraId="294D7AEF" w14:textId="77777777" w:rsidR="0024071C" w:rsidRPr="0024071C" w:rsidDel="00C371CA" w:rsidRDefault="0024071C" w:rsidP="0024071C">
            <w:pPr>
              <w:widowControl w:val="0"/>
              <w:rPr>
                <w:rFonts w:ascii="Cambria" w:hAnsi="Cambria"/>
                <w:b/>
                <w:sz w:val="20"/>
                <w:szCs w:val="20"/>
                <w:lang w:eastAsia="fr-FR"/>
              </w:rPr>
            </w:pPr>
            <w:r w:rsidRPr="0024071C">
              <w:rPr>
                <w:rFonts w:ascii="Cambria" w:hAnsi="Cambria"/>
                <w:b/>
                <w:sz w:val="20"/>
                <w:szCs w:val="20"/>
                <w:lang w:eastAsia="fr-FR"/>
              </w:rPr>
              <w:t>Limites de l’effort et de la capacité (paragraphe 2)</w:t>
            </w:r>
          </w:p>
        </w:tc>
        <w:tc>
          <w:tcPr>
            <w:tcW w:w="3263" w:type="dxa"/>
          </w:tcPr>
          <w:p w14:paraId="1C71DA93" w14:textId="77777777" w:rsidR="0024071C" w:rsidRPr="0024071C" w:rsidRDefault="0024071C" w:rsidP="0024071C">
            <w:pPr>
              <w:widowControl w:val="0"/>
              <w:rPr>
                <w:rFonts w:ascii="Cambria" w:hAnsi="Cambria"/>
                <w:sz w:val="20"/>
                <w:szCs w:val="20"/>
                <w:lang w:eastAsia="fr-FR"/>
              </w:rPr>
            </w:pPr>
            <w:r w:rsidRPr="0024071C">
              <w:rPr>
                <w:rFonts w:ascii="Cambria" w:hAnsi="Cambria"/>
                <w:sz w:val="20"/>
                <w:szCs w:val="20"/>
                <w:lang w:eastAsia="fr-FR"/>
              </w:rPr>
              <w:t>Une limite maximale autorisée de 34 unités d'effort de pêche est établie pour la pêcherie palangrière ciblant les thonidés dans les eaux relevant de la juridiction fédérale du golfe du Mexique et de la mer des Caraïbes.</w:t>
            </w:r>
          </w:p>
          <w:p w14:paraId="56DAF246" w14:textId="77777777" w:rsidR="0024071C" w:rsidRPr="0024071C" w:rsidRDefault="0024071C" w:rsidP="0024071C">
            <w:pPr>
              <w:widowControl w:val="0"/>
              <w:rPr>
                <w:rFonts w:ascii="Cambria" w:hAnsi="Cambria"/>
                <w:color w:val="FF0000"/>
                <w:sz w:val="20"/>
                <w:szCs w:val="20"/>
                <w:lang w:eastAsia="fr-FR"/>
              </w:rPr>
            </w:pPr>
            <w:r w:rsidRPr="0024071C">
              <w:rPr>
                <w:rFonts w:ascii="Cambria" w:hAnsi="Cambria"/>
                <w:sz w:val="20"/>
                <w:szCs w:val="20"/>
                <w:lang w:eastAsia="fr-FR"/>
              </w:rPr>
              <w:t>Ce chiffre sera régulièrement révisé sur la base des résultats des travaux de recherche scientifique et technologique sur le développement de la pêcherie. L’effort autorisé sera communiqué par le biais d'un Accord qui sera publié au Journal officiel de la Fédération.</w:t>
            </w:r>
          </w:p>
        </w:tc>
        <w:tc>
          <w:tcPr>
            <w:tcW w:w="1982" w:type="dxa"/>
          </w:tcPr>
          <w:p w14:paraId="288D3C1A" w14:textId="77777777" w:rsidR="0024071C" w:rsidRPr="0024071C" w:rsidRDefault="0024071C" w:rsidP="0024071C">
            <w:pPr>
              <w:widowControl w:val="0"/>
              <w:rPr>
                <w:rFonts w:ascii="Cambria" w:hAnsi="Cambria"/>
                <w:color w:val="FF0000"/>
                <w:sz w:val="20"/>
                <w:szCs w:val="20"/>
                <w:lang w:eastAsia="fr-FR"/>
              </w:rPr>
            </w:pPr>
            <w:r w:rsidRPr="0024071C">
              <w:rPr>
                <w:rFonts w:ascii="Cambria" w:hAnsi="Cambria"/>
                <w:sz w:val="20"/>
                <w:szCs w:val="20"/>
                <w:lang w:eastAsia="fr-FR"/>
              </w:rPr>
              <w:t>NORME officielle mexicaine NOM-023-SAG/PESC-2014 réglementant l'exploitation des espèces de thonidés par les palangriers dans les eaux relevant de la juridiction fédérale du golfe du Mexique et de la mer des Caraïbes</w:t>
            </w:r>
            <w:r w:rsidRPr="0024071C">
              <w:rPr>
                <w:rFonts w:ascii="Cambria" w:hAnsi="Cambria"/>
                <w:sz w:val="20"/>
                <w:szCs w:val="20"/>
                <w:vertAlign w:val="superscript"/>
                <w:lang w:eastAsia="fr-FR"/>
              </w:rPr>
              <w:footnoteReference w:id="2"/>
            </w:r>
          </w:p>
        </w:tc>
        <w:tc>
          <w:tcPr>
            <w:tcW w:w="1693" w:type="dxa"/>
          </w:tcPr>
          <w:p w14:paraId="4D476EA9" w14:textId="77777777" w:rsidR="0024071C" w:rsidRPr="0024071C" w:rsidRDefault="0024071C" w:rsidP="0024071C">
            <w:pPr>
              <w:widowControl w:val="0"/>
              <w:jc w:val="both"/>
              <w:rPr>
                <w:rFonts w:ascii="Cambria" w:hAnsi="Cambria"/>
                <w:sz w:val="20"/>
                <w:szCs w:val="20"/>
                <w:lang w:eastAsia="fr-FR"/>
              </w:rPr>
            </w:pPr>
            <w:r w:rsidRPr="0024071C">
              <w:rPr>
                <w:rFonts w:ascii="Cambria" w:hAnsi="Cambria"/>
                <w:sz w:val="20"/>
                <w:szCs w:val="20"/>
                <w:lang w:eastAsia="fr-FR"/>
              </w:rPr>
              <w:t>Aucune</w:t>
            </w:r>
          </w:p>
        </w:tc>
      </w:tr>
      <w:tr w:rsidR="0024071C" w:rsidRPr="0024071C" w14:paraId="51C386DC" w14:textId="77777777" w:rsidTr="008B17B1">
        <w:tc>
          <w:tcPr>
            <w:tcW w:w="335" w:type="dxa"/>
          </w:tcPr>
          <w:p w14:paraId="203ACBF6"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2</w:t>
            </w:r>
          </w:p>
        </w:tc>
        <w:tc>
          <w:tcPr>
            <w:tcW w:w="1787" w:type="dxa"/>
          </w:tcPr>
          <w:p w14:paraId="0AAF4E93"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Exigences en matière de données et de déclaration</w:t>
            </w:r>
          </w:p>
          <w:p w14:paraId="02660558"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(paragraphes 18- 19, 21, 23)</w:t>
            </w:r>
          </w:p>
        </w:tc>
        <w:tc>
          <w:tcPr>
            <w:tcW w:w="3263" w:type="dxa"/>
          </w:tcPr>
          <w:p w14:paraId="1EE7AD54" w14:textId="77777777" w:rsidR="0024071C" w:rsidRPr="0024071C" w:rsidRDefault="0024071C" w:rsidP="0024071C">
            <w:pPr>
              <w:widowControl w:val="0"/>
              <w:rPr>
                <w:rFonts w:ascii="Cambria" w:hAnsi="Cambria"/>
                <w:sz w:val="20"/>
                <w:szCs w:val="20"/>
                <w:lang w:eastAsia="fr-FR"/>
              </w:rPr>
            </w:pPr>
            <w:r w:rsidRPr="0024071C">
              <w:rPr>
                <w:rFonts w:ascii="Cambria" w:hAnsi="Cambria"/>
                <w:sz w:val="20"/>
                <w:szCs w:val="20"/>
                <w:lang w:eastAsia="fr-FR"/>
              </w:rPr>
              <w:t>Le Mexique procèdera au suivi et à l’obtention des informations sur les captures débarquées, remises à l’eau à l’état vivant et rejetées mortes, et, à cette fin, dispose d'un système de collecte des données par le biais du programme d’observateurs à bord. De plus, les captures de thon rouge sont déclarées tous les mois. Il convient de noter, par ailleurs, que les meilleures preuves scientifiques disponibles sont fournies au Secrétariat pour contribuer à l’évaluation du stock, notamment à l’élaboration des indices d’abondance combinés, entre le Mexique et les États-Unis dans le golfe du Mexique.</w:t>
            </w:r>
          </w:p>
        </w:tc>
        <w:tc>
          <w:tcPr>
            <w:tcW w:w="1982" w:type="dxa"/>
          </w:tcPr>
          <w:p w14:paraId="38F13760" w14:textId="77777777" w:rsidR="0024071C" w:rsidRPr="0024071C" w:rsidRDefault="0024071C" w:rsidP="0024071C">
            <w:pPr>
              <w:widowControl w:val="0"/>
              <w:rPr>
                <w:rFonts w:ascii="Cambria" w:hAnsi="Cambria"/>
                <w:sz w:val="20"/>
                <w:szCs w:val="20"/>
                <w:lang w:eastAsia="fr-FR"/>
              </w:rPr>
            </w:pPr>
            <w:r w:rsidRPr="0024071C">
              <w:rPr>
                <w:rFonts w:ascii="Cambria" w:hAnsi="Cambria"/>
                <w:sz w:val="20"/>
                <w:szCs w:val="20"/>
                <w:lang w:eastAsia="fr-FR"/>
              </w:rPr>
              <w:t>NORME officielle mexicaine NOM-023-SAG/PESC-2014 réglementant l'exploitation des espèces de thonidés par les palangriers dans les eaux relevant de la juridiction fédérale du golfe du Mexique et de la mer des Caraïbes</w:t>
            </w:r>
          </w:p>
        </w:tc>
        <w:tc>
          <w:tcPr>
            <w:tcW w:w="1693" w:type="dxa"/>
            <w:vAlign w:val="center"/>
          </w:tcPr>
          <w:p w14:paraId="18E62FC6" w14:textId="77777777" w:rsidR="0024071C" w:rsidRPr="0024071C" w:rsidRDefault="0024071C" w:rsidP="0024071C">
            <w:pPr>
              <w:widowControl w:val="0"/>
              <w:jc w:val="center"/>
              <w:rPr>
                <w:rFonts w:ascii="Cambria" w:hAnsi="Cambria"/>
                <w:sz w:val="20"/>
                <w:szCs w:val="20"/>
                <w:lang w:eastAsia="fr-FR"/>
              </w:rPr>
            </w:pPr>
          </w:p>
        </w:tc>
      </w:tr>
      <w:tr w:rsidR="0024071C" w:rsidRPr="0024071C" w14:paraId="20E4D307" w14:textId="77777777" w:rsidTr="008B17B1">
        <w:tc>
          <w:tcPr>
            <w:tcW w:w="335" w:type="dxa"/>
          </w:tcPr>
          <w:p w14:paraId="55198E25"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3</w:t>
            </w:r>
          </w:p>
        </w:tc>
        <w:tc>
          <w:tcPr>
            <w:tcW w:w="1787" w:type="dxa"/>
          </w:tcPr>
          <w:p w14:paraId="506F14AE"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Restrictions spatio-temporelles</w:t>
            </w:r>
          </w:p>
          <w:p w14:paraId="50793EFC"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(paragraphe 13)</w:t>
            </w:r>
          </w:p>
        </w:tc>
        <w:tc>
          <w:tcPr>
            <w:tcW w:w="3263" w:type="dxa"/>
          </w:tcPr>
          <w:p w14:paraId="56723957" w14:textId="77777777" w:rsidR="0024071C" w:rsidRPr="0024071C" w:rsidRDefault="0024071C" w:rsidP="0024071C">
            <w:pPr>
              <w:widowControl w:val="0"/>
              <w:rPr>
                <w:rFonts w:ascii="Cambria" w:hAnsi="Cambria"/>
                <w:color w:val="FF0000"/>
                <w:sz w:val="20"/>
                <w:szCs w:val="20"/>
                <w:lang w:eastAsia="fr-FR"/>
              </w:rPr>
            </w:pPr>
            <w:r w:rsidRPr="0024071C">
              <w:rPr>
                <w:rFonts w:ascii="Cambria" w:hAnsi="Cambria"/>
                <w:sz w:val="20"/>
                <w:szCs w:val="20"/>
                <w:lang w:eastAsia="fr-FR"/>
              </w:rPr>
              <w:t>La réglementation mexicaine établit les modalités et les conditions pour l’exploitation de l’albacore (</w:t>
            </w:r>
            <w:proofErr w:type="spellStart"/>
            <w:r w:rsidRPr="0024071C">
              <w:rPr>
                <w:rFonts w:ascii="Cambria" w:hAnsi="Cambria"/>
                <w:i/>
                <w:sz w:val="20"/>
                <w:szCs w:val="20"/>
                <w:lang w:eastAsia="fr-FR"/>
              </w:rPr>
              <w:t>Thunnus</w:t>
            </w:r>
            <w:proofErr w:type="spellEnd"/>
            <w:r w:rsidRPr="0024071C">
              <w:rPr>
                <w:rFonts w:ascii="Cambria" w:hAnsi="Cambria"/>
                <w:i/>
                <w:sz w:val="20"/>
                <w:szCs w:val="20"/>
                <w:lang w:eastAsia="fr-FR"/>
              </w:rPr>
              <w:t xml:space="preserve"> </w:t>
            </w:r>
            <w:proofErr w:type="spellStart"/>
            <w:r w:rsidRPr="0024071C">
              <w:rPr>
                <w:rFonts w:ascii="Cambria" w:hAnsi="Cambria"/>
                <w:i/>
                <w:sz w:val="20"/>
                <w:szCs w:val="20"/>
                <w:lang w:eastAsia="fr-FR"/>
              </w:rPr>
              <w:t>albacares</w:t>
            </w:r>
            <w:proofErr w:type="spellEnd"/>
            <w:r w:rsidRPr="0024071C">
              <w:rPr>
                <w:rFonts w:ascii="Cambria" w:hAnsi="Cambria"/>
                <w:sz w:val="20"/>
                <w:szCs w:val="20"/>
                <w:lang w:eastAsia="fr-FR"/>
              </w:rPr>
              <w:t xml:space="preserve">) dans les eaux maritimes relevant de la juridiction fédérale du golfe du Mexique et de la mer des </w:t>
            </w:r>
            <w:r w:rsidRPr="0024071C">
              <w:rPr>
                <w:rFonts w:ascii="Cambria" w:hAnsi="Cambria"/>
                <w:sz w:val="20"/>
                <w:szCs w:val="20"/>
                <w:lang w:eastAsia="fr-FR"/>
              </w:rPr>
              <w:lastRenderedPageBreak/>
              <w:t>Caraïbes des États-Unis mexicains. Il n’y a pas de pêche ciblant le thon rouge dans le golfe du Mexique.</w:t>
            </w:r>
          </w:p>
        </w:tc>
        <w:tc>
          <w:tcPr>
            <w:tcW w:w="1982" w:type="dxa"/>
          </w:tcPr>
          <w:p w14:paraId="770E98BE" w14:textId="77777777" w:rsidR="0024071C" w:rsidRPr="0024071C" w:rsidRDefault="0024071C" w:rsidP="0024071C">
            <w:pPr>
              <w:widowControl w:val="0"/>
              <w:rPr>
                <w:rFonts w:ascii="Cambria" w:hAnsi="Cambria"/>
                <w:sz w:val="20"/>
                <w:szCs w:val="20"/>
                <w:lang w:eastAsia="fr-FR"/>
              </w:rPr>
            </w:pPr>
            <w:r w:rsidRPr="0024071C">
              <w:rPr>
                <w:rFonts w:ascii="Cambria" w:hAnsi="Cambria"/>
                <w:sz w:val="20"/>
                <w:szCs w:val="20"/>
                <w:lang w:eastAsia="fr-FR"/>
              </w:rPr>
              <w:lastRenderedPageBreak/>
              <w:t xml:space="preserve">NORME officielle mexicaine NOM-023-SAG/PESC-2014 réglementant l'exploitation des espèces de thonidés par les palangriers </w:t>
            </w:r>
            <w:r w:rsidRPr="0024071C">
              <w:rPr>
                <w:rFonts w:ascii="Cambria" w:hAnsi="Cambria"/>
                <w:sz w:val="20"/>
                <w:szCs w:val="20"/>
                <w:lang w:eastAsia="fr-FR"/>
              </w:rPr>
              <w:lastRenderedPageBreak/>
              <w:t>dans les eaux relevant de la juridiction fédérale du golfe du Mexique et de la mer des Caraïbes</w:t>
            </w:r>
          </w:p>
          <w:p w14:paraId="06069E93" w14:textId="77777777" w:rsidR="0024071C" w:rsidRPr="0024071C" w:rsidRDefault="0024071C" w:rsidP="0024071C">
            <w:pPr>
              <w:widowControl w:val="0"/>
              <w:rPr>
                <w:rFonts w:ascii="Cambria" w:hAnsi="Cambria"/>
                <w:sz w:val="20"/>
                <w:szCs w:val="20"/>
                <w:lang w:eastAsia="fr-FR"/>
              </w:rPr>
            </w:pPr>
          </w:p>
          <w:p w14:paraId="46FE1018" w14:textId="77777777" w:rsidR="0024071C" w:rsidRPr="0024071C" w:rsidRDefault="0024071C" w:rsidP="0024071C">
            <w:pPr>
              <w:widowControl w:val="0"/>
              <w:rPr>
                <w:rFonts w:ascii="Cambria" w:hAnsi="Cambria"/>
                <w:sz w:val="20"/>
                <w:szCs w:val="20"/>
                <w:lang w:eastAsia="fr-FR"/>
              </w:rPr>
            </w:pPr>
            <w:r w:rsidRPr="0024071C">
              <w:rPr>
                <w:rFonts w:ascii="Cambria" w:hAnsi="Cambria"/>
                <w:sz w:val="20"/>
                <w:szCs w:val="20"/>
                <w:lang w:eastAsia="fr-FR"/>
              </w:rPr>
              <w:t>Loi générale sur la pêche et l'aquaculture durables</w:t>
            </w:r>
            <w:r w:rsidRPr="0024071C">
              <w:rPr>
                <w:rFonts w:ascii="Cambria" w:hAnsi="Cambria"/>
                <w:sz w:val="20"/>
                <w:szCs w:val="20"/>
                <w:vertAlign w:val="superscript"/>
                <w:lang w:eastAsia="fr-FR"/>
              </w:rPr>
              <w:footnoteReference w:id="3"/>
            </w:r>
            <w:r w:rsidRPr="0024071C">
              <w:rPr>
                <w:rFonts w:ascii="Cambria" w:hAnsi="Cambria"/>
                <w:sz w:val="20"/>
                <w:szCs w:val="20"/>
                <w:lang w:eastAsia="fr-FR"/>
              </w:rPr>
              <w:t>.</w:t>
            </w:r>
          </w:p>
        </w:tc>
        <w:tc>
          <w:tcPr>
            <w:tcW w:w="1693" w:type="dxa"/>
          </w:tcPr>
          <w:p w14:paraId="1BBC4662" w14:textId="77777777" w:rsidR="0024071C" w:rsidRPr="0024071C" w:rsidRDefault="0024071C" w:rsidP="0024071C">
            <w:pPr>
              <w:widowControl w:val="0"/>
              <w:jc w:val="both"/>
              <w:rPr>
                <w:rFonts w:ascii="Cambria" w:hAnsi="Cambria"/>
                <w:sz w:val="20"/>
                <w:szCs w:val="20"/>
                <w:lang w:eastAsia="fr-FR"/>
              </w:rPr>
            </w:pPr>
          </w:p>
        </w:tc>
      </w:tr>
      <w:tr w:rsidR="0024071C" w:rsidRPr="0024071C" w14:paraId="06D2100D" w14:textId="77777777" w:rsidTr="008B17B1">
        <w:tc>
          <w:tcPr>
            <w:tcW w:w="335" w:type="dxa"/>
          </w:tcPr>
          <w:p w14:paraId="05807A94"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4</w:t>
            </w:r>
          </w:p>
        </w:tc>
        <w:tc>
          <w:tcPr>
            <w:tcW w:w="1787" w:type="dxa"/>
          </w:tcPr>
          <w:p w14:paraId="2CEB3ABC" w14:textId="77777777" w:rsidR="0024071C" w:rsidRPr="0024071C" w:rsidRDefault="0024071C" w:rsidP="0024071C">
            <w:pPr>
              <w:widowControl w:val="0"/>
              <w:rPr>
                <w:rFonts w:ascii="Cambria" w:hAnsi="Cambria"/>
                <w:b/>
                <w:sz w:val="20"/>
                <w:szCs w:val="20"/>
                <w:lang w:eastAsia="fr-FR"/>
              </w:rPr>
            </w:pPr>
            <w:r w:rsidRPr="0024071C">
              <w:rPr>
                <w:rFonts w:ascii="Cambria" w:hAnsi="Cambria"/>
                <w:b/>
                <w:bCs/>
                <w:sz w:val="20"/>
                <w:szCs w:val="20"/>
                <w:lang w:eastAsia="fr-FR"/>
              </w:rPr>
              <w:t>Taille minimale et protection des petits poissons</w:t>
            </w:r>
          </w:p>
          <w:p w14:paraId="57391643"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(paragraphes 9-10)</w:t>
            </w:r>
          </w:p>
        </w:tc>
        <w:tc>
          <w:tcPr>
            <w:tcW w:w="3263" w:type="dxa"/>
          </w:tcPr>
          <w:p w14:paraId="4417EB9F" w14:textId="77777777" w:rsidR="0024071C" w:rsidRPr="0024071C" w:rsidRDefault="0024071C" w:rsidP="0024071C">
            <w:pPr>
              <w:widowControl w:val="0"/>
              <w:rPr>
                <w:rFonts w:ascii="Cambria" w:hAnsi="Cambria"/>
                <w:color w:val="FF0000"/>
                <w:sz w:val="20"/>
                <w:szCs w:val="20"/>
                <w:lang w:eastAsia="fr-FR"/>
              </w:rPr>
            </w:pPr>
            <w:r w:rsidRPr="0024071C">
              <w:rPr>
                <w:rFonts w:ascii="Cambria" w:hAnsi="Cambria"/>
                <w:sz w:val="20"/>
                <w:szCs w:val="20"/>
                <w:lang w:eastAsia="fr-FR"/>
              </w:rPr>
              <w:t>Les captures accidentelles de thon rouge de l’Atlantique Ouest (</w:t>
            </w:r>
            <w:r w:rsidRPr="0024071C">
              <w:rPr>
                <w:rFonts w:ascii="Cambria" w:hAnsi="Cambria"/>
                <w:i/>
                <w:sz w:val="20"/>
                <w:szCs w:val="20"/>
                <w:lang w:eastAsia="fr-FR"/>
              </w:rPr>
              <w:t>Thunnus thynnus</w:t>
            </w:r>
            <w:r w:rsidRPr="0024071C">
              <w:rPr>
                <w:rFonts w:ascii="Cambria" w:hAnsi="Cambria"/>
                <w:sz w:val="20"/>
                <w:szCs w:val="20"/>
                <w:lang w:eastAsia="fr-FR"/>
              </w:rPr>
              <w:t>) ne pourront être retenues que si les spécimens pèsent au moins 30 kg ou ont une longueur à la fourche d’au moins 115 cm. Les spécimens dont le poids ou la taille sont inférieurs à ceux établis doivent être remis à l’eau dans de bonnes conditions de survie.</w:t>
            </w:r>
          </w:p>
        </w:tc>
        <w:tc>
          <w:tcPr>
            <w:tcW w:w="1982" w:type="dxa"/>
          </w:tcPr>
          <w:p w14:paraId="64B70016" w14:textId="77777777" w:rsidR="0024071C" w:rsidRPr="0024071C" w:rsidRDefault="0024071C" w:rsidP="0024071C">
            <w:pPr>
              <w:widowControl w:val="0"/>
              <w:rPr>
                <w:rFonts w:ascii="Cambria" w:hAnsi="Cambria"/>
                <w:sz w:val="20"/>
                <w:szCs w:val="20"/>
                <w:lang w:eastAsia="fr-FR"/>
              </w:rPr>
            </w:pPr>
            <w:r w:rsidRPr="0024071C">
              <w:rPr>
                <w:rFonts w:ascii="Cambria" w:hAnsi="Cambria"/>
                <w:sz w:val="20"/>
                <w:szCs w:val="20"/>
                <w:lang w:eastAsia="fr-FR"/>
              </w:rPr>
              <w:t>NORME officielle mexicaine NOM-023-SAG/PESC-2014 réglementant l'exploitation des espèces de thonidés par les palangriers dans les eaux relevant de la juridiction fédérale du golfe du Mexique et de la mer des Caraïbes</w:t>
            </w:r>
          </w:p>
        </w:tc>
        <w:tc>
          <w:tcPr>
            <w:tcW w:w="1693" w:type="dxa"/>
          </w:tcPr>
          <w:p w14:paraId="5B8B3737" w14:textId="77777777" w:rsidR="0024071C" w:rsidRPr="0024071C" w:rsidRDefault="0024071C" w:rsidP="0024071C">
            <w:pPr>
              <w:widowControl w:val="0"/>
              <w:jc w:val="both"/>
              <w:rPr>
                <w:rFonts w:ascii="Cambria" w:hAnsi="Cambria"/>
                <w:sz w:val="20"/>
                <w:szCs w:val="20"/>
                <w:lang w:eastAsia="fr-FR"/>
              </w:rPr>
            </w:pPr>
          </w:p>
        </w:tc>
      </w:tr>
      <w:tr w:rsidR="0024071C" w:rsidRPr="0024071C" w14:paraId="60494292" w14:textId="77777777" w:rsidTr="008B17B1">
        <w:tc>
          <w:tcPr>
            <w:tcW w:w="335" w:type="dxa"/>
          </w:tcPr>
          <w:p w14:paraId="43BE78BF"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5</w:t>
            </w:r>
          </w:p>
        </w:tc>
        <w:tc>
          <w:tcPr>
            <w:tcW w:w="1787" w:type="dxa"/>
          </w:tcPr>
          <w:p w14:paraId="7D2B0FCC"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 xml:space="preserve">Prises accessoires </w:t>
            </w:r>
          </w:p>
          <w:p w14:paraId="780A1232"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 xml:space="preserve">(paragraphe 6) </w:t>
            </w:r>
          </w:p>
        </w:tc>
        <w:tc>
          <w:tcPr>
            <w:tcW w:w="3263" w:type="dxa"/>
          </w:tcPr>
          <w:p w14:paraId="35690991" w14:textId="77777777" w:rsidR="0024071C" w:rsidRPr="0024071C" w:rsidRDefault="0024071C" w:rsidP="0024071C">
            <w:pPr>
              <w:widowControl w:val="0"/>
              <w:rPr>
                <w:rFonts w:ascii="Cambria" w:hAnsi="Cambria"/>
                <w:color w:val="FF0000"/>
                <w:sz w:val="20"/>
                <w:szCs w:val="20"/>
                <w:lang w:eastAsia="fr-FR"/>
              </w:rPr>
            </w:pPr>
            <w:r w:rsidRPr="0024071C">
              <w:rPr>
                <w:rFonts w:ascii="Cambria" w:hAnsi="Cambria"/>
                <w:sz w:val="20"/>
                <w:szCs w:val="20"/>
                <w:lang w:eastAsia="fr-FR"/>
              </w:rPr>
              <w:t>Les captures accidentelles de thon rouge enregistrées par la flottille palangrière sont directement déduites du total admissible de captures attribué au Mexique.</w:t>
            </w:r>
          </w:p>
        </w:tc>
        <w:tc>
          <w:tcPr>
            <w:tcW w:w="1982" w:type="dxa"/>
          </w:tcPr>
          <w:p w14:paraId="19A0CDD4" w14:textId="77777777" w:rsidR="0024071C" w:rsidRPr="0024071C" w:rsidRDefault="0024071C" w:rsidP="0024071C">
            <w:pPr>
              <w:widowControl w:val="0"/>
              <w:rPr>
                <w:rFonts w:ascii="Cambria" w:hAnsi="Cambria"/>
                <w:sz w:val="20"/>
                <w:szCs w:val="20"/>
                <w:lang w:eastAsia="fr-FR"/>
              </w:rPr>
            </w:pPr>
            <w:r w:rsidRPr="0024071C">
              <w:rPr>
                <w:rFonts w:ascii="Cambria" w:hAnsi="Cambria"/>
                <w:sz w:val="20"/>
                <w:szCs w:val="20"/>
                <w:lang w:eastAsia="fr-FR"/>
              </w:rPr>
              <w:t>NORME officielle mexicaine NOM-023-SAG/PESC-2014 réglementant l'exploitation des espèces de thonidés par les palangriers dans les eaux relevant de la juridiction fédérale du golfe du Mexique et de la mer des Caraïbes</w:t>
            </w:r>
          </w:p>
        </w:tc>
        <w:tc>
          <w:tcPr>
            <w:tcW w:w="1693" w:type="dxa"/>
          </w:tcPr>
          <w:p w14:paraId="490502CD" w14:textId="77777777" w:rsidR="0024071C" w:rsidRPr="0024071C" w:rsidRDefault="0024071C" w:rsidP="0024071C">
            <w:pPr>
              <w:widowControl w:val="0"/>
              <w:rPr>
                <w:rFonts w:ascii="Cambria" w:hAnsi="Cambria"/>
                <w:color w:val="FF0000"/>
                <w:sz w:val="20"/>
                <w:szCs w:val="20"/>
                <w:lang w:eastAsia="fr-FR"/>
              </w:rPr>
            </w:pPr>
            <w:r w:rsidRPr="0024071C">
              <w:rPr>
                <w:rFonts w:ascii="Cambria" w:hAnsi="Cambria"/>
                <w:sz w:val="20"/>
                <w:szCs w:val="20"/>
                <w:lang w:eastAsia="fr-FR"/>
              </w:rPr>
              <w:t>Toute prise accidentelle de thon rouge est enregistrée et suivie ; la rétention ou la remise à l'eau est déterminée conformément aux dispositions applicables en matière de taille minimale et d’état du spécimen. Les captures retenues sont décomptées du quota correspondant et sont documentées au débarquement.</w:t>
            </w:r>
          </w:p>
        </w:tc>
      </w:tr>
      <w:tr w:rsidR="0024071C" w:rsidRPr="0024071C" w14:paraId="1BB7FB1E" w14:textId="77777777" w:rsidTr="008B17B1">
        <w:tc>
          <w:tcPr>
            <w:tcW w:w="335" w:type="dxa"/>
          </w:tcPr>
          <w:p w14:paraId="758BBB8B"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6</w:t>
            </w:r>
          </w:p>
        </w:tc>
        <w:tc>
          <w:tcPr>
            <w:tcW w:w="1787" w:type="dxa"/>
          </w:tcPr>
          <w:p w14:paraId="0CA6C1E7"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 xml:space="preserve">Pêcheries récréatives [et sportives] </w:t>
            </w:r>
          </w:p>
          <w:p w14:paraId="74697EE0"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(paragraphe 11)</w:t>
            </w:r>
          </w:p>
        </w:tc>
        <w:tc>
          <w:tcPr>
            <w:tcW w:w="3263" w:type="dxa"/>
          </w:tcPr>
          <w:p w14:paraId="0E354DEA" w14:textId="77777777" w:rsidR="0024071C" w:rsidRPr="0024071C" w:rsidRDefault="0024071C" w:rsidP="0024071C">
            <w:pPr>
              <w:widowControl w:val="0"/>
              <w:rPr>
                <w:rFonts w:ascii="Cambria" w:hAnsi="Cambria"/>
                <w:color w:val="FF0000"/>
                <w:sz w:val="20"/>
                <w:szCs w:val="20"/>
                <w:lang w:eastAsia="fr-FR"/>
              </w:rPr>
            </w:pPr>
            <w:r w:rsidRPr="0024071C">
              <w:rPr>
                <w:rFonts w:ascii="Cambria" w:hAnsi="Cambria"/>
                <w:sz w:val="20"/>
                <w:szCs w:val="20"/>
                <w:lang w:eastAsia="fr-FR"/>
              </w:rPr>
              <w:t xml:space="preserve">La réglementation mexicaine interdit la pêche sportive ciblant le thon rouge dans le golfe du Mexique, étant donné que la pêche sportive concerne uniquement et </w:t>
            </w:r>
            <w:r w:rsidRPr="0024071C">
              <w:rPr>
                <w:rFonts w:ascii="Cambria" w:hAnsi="Cambria"/>
                <w:sz w:val="20"/>
                <w:szCs w:val="20"/>
                <w:lang w:eastAsia="fr-FR"/>
              </w:rPr>
              <w:lastRenderedPageBreak/>
              <w:t xml:space="preserve">exclusivement les makaires, le voilier, l’espadon, l'alose ou le chiro, la </w:t>
            </w:r>
            <w:proofErr w:type="spellStart"/>
            <w:r w:rsidRPr="0024071C">
              <w:rPr>
                <w:rFonts w:ascii="Cambria" w:hAnsi="Cambria"/>
                <w:sz w:val="20"/>
                <w:szCs w:val="20"/>
                <w:lang w:eastAsia="fr-FR"/>
              </w:rPr>
              <w:t>cardine</w:t>
            </w:r>
            <w:proofErr w:type="spellEnd"/>
            <w:r w:rsidRPr="0024071C">
              <w:rPr>
                <w:rFonts w:ascii="Cambria" w:hAnsi="Cambria"/>
                <w:sz w:val="20"/>
                <w:szCs w:val="20"/>
                <w:lang w:eastAsia="fr-FR"/>
              </w:rPr>
              <w:t xml:space="preserve"> et la dorade présents dans une bande de 50 miles nautiques, depuis la ligne de base à partir de laquelle la mer territoriale est mesurée, dans laquelle la capture de ces espèces est limitée exclusivement à la pêche récréative et sportive.</w:t>
            </w:r>
          </w:p>
        </w:tc>
        <w:tc>
          <w:tcPr>
            <w:tcW w:w="1982" w:type="dxa"/>
          </w:tcPr>
          <w:p w14:paraId="2DFACB46" w14:textId="77777777" w:rsidR="0024071C" w:rsidRPr="0024071C" w:rsidRDefault="0024071C" w:rsidP="0024071C">
            <w:pPr>
              <w:widowControl w:val="0"/>
              <w:rPr>
                <w:rFonts w:ascii="Cambria" w:hAnsi="Cambria"/>
                <w:color w:val="FF0000"/>
                <w:sz w:val="20"/>
                <w:szCs w:val="20"/>
                <w:lang w:eastAsia="fr-FR"/>
              </w:rPr>
            </w:pPr>
            <w:r w:rsidRPr="0024071C">
              <w:rPr>
                <w:rFonts w:ascii="Cambria" w:hAnsi="Cambria"/>
                <w:sz w:val="20"/>
                <w:szCs w:val="20"/>
                <w:lang w:eastAsia="fr-FR"/>
              </w:rPr>
              <w:lastRenderedPageBreak/>
              <w:t xml:space="preserve">MODIFICATION de la norme officielle mexicaine NOM-017-PESC-1994, réglementant les </w:t>
            </w:r>
            <w:r w:rsidRPr="0024071C">
              <w:rPr>
                <w:rFonts w:ascii="Cambria" w:hAnsi="Cambria"/>
                <w:sz w:val="20"/>
                <w:szCs w:val="20"/>
                <w:lang w:eastAsia="fr-FR"/>
              </w:rPr>
              <w:lastRenderedPageBreak/>
              <w:t>activités de pêche sportive et récréative dans les eaux relevant de la juridiction fédérale des États-Unis du Mexique, publiée le 9 mai 1995</w:t>
            </w:r>
            <w:r w:rsidRPr="0024071C">
              <w:rPr>
                <w:rFonts w:ascii="Cambria" w:hAnsi="Cambria"/>
                <w:sz w:val="20"/>
                <w:szCs w:val="20"/>
                <w:vertAlign w:val="superscript"/>
                <w:lang w:val="es-MX" w:eastAsia="fr-FR"/>
              </w:rPr>
              <w:footnoteReference w:id="4"/>
            </w:r>
            <w:r w:rsidRPr="0024071C">
              <w:rPr>
                <w:rFonts w:ascii="Cambria" w:hAnsi="Cambria"/>
                <w:sz w:val="20"/>
                <w:szCs w:val="20"/>
                <w:lang w:eastAsia="fr-FR"/>
              </w:rPr>
              <w:t>.</w:t>
            </w:r>
          </w:p>
        </w:tc>
        <w:tc>
          <w:tcPr>
            <w:tcW w:w="1693" w:type="dxa"/>
          </w:tcPr>
          <w:p w14:paraId="0954F7ED" w14:textId="77777777" w:rsidR="0024071C" w:rsidRPr="0024071C" w:rsidRDefault="0024071C" w:rsidP="0024071C">
            <w:pPr>
              <w:widowControl w:val="0"/>
              <w:jc w:val="both"/>
              <w:rPr>
                <w:rFonts w:ascii="Cambria" w:hAnsi="Cambria"/>
                <w:sz w:val="20"/>
                <w:szCs w:val="20"/>
                <w:lang w:eastAsia="fr-FR"/>
              </w:rPr>
            </w:pPr>
          </w:p>
        </w:tc>
      </w:tr>
      <w:tr w:rsidR="0024071C" w:rsidRPr="0024071C" w14:paraId="52CA0A69" w14:textId="77777777" w:rsidTr="008B17B1">
        <w:tc>
          <w:tcPr>
            <w:tcW w:w="335" w:type="dxa"/>
          </w:tcPr>
          <w:p w14:paraId="7C297454"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7</w:t>
            </w:r>
          </w:p>
        </w:tc>
        <w:tc>
          <w:tcPr>
            <w:tcW w:w="1787" w:type="dxa"/>
          </w:tcPr>
          <w:p w14:paraId="5D60B0D3" w14:textId="77777777" w:rsidR="0024071C" w:rsidRPr="0024071C" w:rsidRDefault="0024071C" w:rsidP="0024071C">
            <w:pPr>
              <w:widowControl w:val="0"/>
              <w:rPr>
                <w:rFonts w:ascii="Cambria" w:hAnsi="Cambria"/>
                <w:b/>
                <w:sz w:val="20"/>
                <w:szCs w:val="20"/>
                <w:lang w:eastAsia="fr-FR"/>
              </w:rPr>
            </w:pPr>
            <w:r w:rsidRPr="0024071C">
              <w:rPr>
                <w:rFonts w:ascii="Cambria" w:hAnsi="Cambria"/>
                <w:b/>
                <w:sz w:val="20"/>
                <w:szCs w:val="20"/>
                <w:lang w:eastAsia="fr-FR"/>
              </w:rPr>
              <w:t>Transbordement en mer (paragraphe 14)</w:t>
            </w:r>
          </w:p>
        </w:tc>
        <w:tc>
          <w:tcPr>
            <w:tcW w:w="3263" w:type="dxa"/>
          </w:tcPr>
          <w:p w14:paraId="616C87A9" w14:textId="77777777" w:rsidR="0024071C" w:rsidRPr="0024071C" w:rsidRDefault="0024071C" w:rsidP="0024071C">
            <w:pPr>
              <w:widowControl w:val="0"/>
              <w:rPr>
                <w:rFonts w:ascii="Cambria" w:hAnsi="Cambria"/>
                <w:color w:val="FF0000"/>
                <w:sz w:val="20"/>
                <w:szCs w:val="20"/>
                <w:lang w:eastAsia="fr-FR"/>
              </w:rPr>
            </w:pPr>
            <w:r w:rsidRPr="0024071C">
              <w:rPr>
                <w:rFonts w:ascii="Cambria" w:hAnsi="Cambria"/>
                <w:sz w:val="20"/>
                <w:szCs w:val="20"/>
                <w:lang w:eastAsia="fr-FR"/>
              </w:rPr>
              <w:t>Les transbordements de thon rouge en mer sont interdits.</w:t>
            </w:r>
          </w:p>
        </w:tc>
        <w:tc>
          <w:tcPr>
            <w:tcW w:w="1982" w:type="dxa"/>
          </w:tcPr>
          <w:p w14:paraId="1B9D45A6" w14:textId="77777777" w:rsidR="0024071C" w:rsidRPr="0024071C" w:rsidRDefault="0024071C" w:rsidP="0024071C">
            <w:pPr>
              <w:widowControl w:val="0"/>
              <w:rPr>
                <w:rFonts w:ascii="Cambria" w:hAnsi="Cambria"/>
                <w:sz w:val="20"/>
                <w:szCs w:val="20"/>
                <w:lang w:eastAsia="fr-FR"/>
              </w:rPr>
            </w:pPr>
            <w:r w:rsidRPr="0024071C">
              <w:rPr>
                <w:rFonts w:ascii="Cambria" w:hAnsi="Cambria"/>
                <w:sz w:val="20"/>
                <w:szCs w:val="20"/>
                <w:lang w:eastAsia="fr-FR"/>
              </w:rPr>
              <w:t>NORME officielle mexicaine NOM-023-SAG/PESC-2014 réglementant l'exploitation des espèces de thonidés par les palangriers dans les eaux relevant de la juridiction fédérale du golfe du Mexique et de la mer des Caraïbes</w:t>
            </w:r>
          </w:p>
        </w:tc>
        <w:tc>
          <w:tcPr>
            <w:tcW w:w="1693" w:type="dxa"/>
          </w:tcPr>
          <w:p w14:paraId="7B85B051" w14:textId="77777777" w:rsidR="0024071C" w:rsidRPr="0024071C" w:rsidRDefault="0024071C" w:rsidP="0024071C">
            <w:pPr>
              <w:widowControl w:val="0"/>
              <w:jc w:val="both"/>
              <w:rPr>
                <w:rFonts w:ascii="Cambria" w:hAnsi="Cambria"/>
                <w:sz w:val="20"/>
                <w:szCs w:val="20"/>
                <w:lang w:eastAsia="fr-FR"/>
              </w:rPr>
            </w:pPr>
          </w:p>
        </w:tc>
      </w:tr>
    </w:tbl>
    <w:p w14:paraId="2BFE4912" w14:textId="77777777" w:rsidR="0024071C" w:rsidRPr="0024071C" w:rsidRDefault="0024071C" w:rsidP="0024071C">
      <w:pPr>
        <w:widowControl w:val="0"/>
        <w:jc w:val="both"/>
        <w:rPr>
          <w:rFonts w:ascii="Cambria" w:eastAsia="MS Gothic" w:hAnsi="Cambria"/>
          <w:i/>
          <w:sz w:val="20"/>
          <w:szCs w:val="20"/>
          <w:lang w:eastAsia="ja-JP" w:bidi="fr-FR"/>
        </w:rPr>
      </w:pPr>
    </w:p>
    <w:p w14:paraId="5545F2BB" w14:textId="77777777" w:rsidR="0024071C" w:rsidRPr="0024071C" w:rsidRDefault="0024071C" w:rsidP="0024071C">
      <w:pPr>
        <w:widowControl w:val="0"/>
        <w:jc w:val="both"/>
        <w:rPr>
          <w:rFonts w:ascii="Cambria" w:eastAsia="MS Gothic" w:hAnsi="Cambria"/>
          <w:i/>
          <w:sz w:val="20"/>
          <w:szCs w:val="20"/>
          <w:lang w:eastAsia="ja-JP" w:bidi="fr-FR"/>
        </w:rPr>
      </w:pPr>
    </w:p>
    <w:p w14:paraId="777DDCCD" w14:textId="77777777" w:rsidR="0024071C" w:rsidRPr="0024071C" w:rsidRDefault="0024071C" w:rsidP="0024071C">
      <w:pPr>
        <w:widowControl w:val="0"/>
        <w:tabs>
          <w:tab w:val="left" w:pos="426"/>
        </w:tabs>
        <w:ind w:left="426" w:hanging="426"/>
        <w:jc w:val="both"/>
        <w:rPr>
          <w:rFonts w:ascii="Cambria" w:eastAsia="MS Gothic" w:hAnsi="Cambria"/>
          <w:b/>
          <w:sz w:val="20"/>
          <w:szCs w:val="20"/>
          <w:lang w:eastAsia="ja-JP"/>
        </w:rPr>
      </w:pPr>
      <w:r w:rsidRPr="0024071C">
        <w:rPr>
          <w:rFonts w:ascii="Cambria" w:eastAsia="Yu Mincho" w:hAnsi="Cambria"/>
          <w:b/>
          <w:kern w:val="2"/>
          <w:sz w:val="20"/>
          <w:szCs w:val="20"/>
          <w:lang w:eastAsia="ja-JP"/>
          <w14:ligatures w14:val="standardContextual"/>
        </w:rPr>
        <w:t>3.</w:t>
      </w:r>
      <w:r w:rsidRPr="0024071C">
        <w:rPr>
          <w:rFonts w:ascii="Cambria" w:eastAsia="Yu Mincho" w:hAnsi="Cambria"/>
          <w:b/>
          <w:kern w:val="2"/>
          <w:sz w:val="20"/>
          <w:szCs w:val="20"/>
          <w:lang w:eastAsia="ja-JP"/>
          <w14:ligatures w14:val="standardContextual"/>
        </w:rPr>
        <w:tab/>
        <w:t>Mesures supplémentaires utilisées à des fins d’exécution ou de suivi, de contrôle et d'inspection (paragraphe 3)</w:t>
      </w:r>
    </w:p>
    <w:p w14:paraId="328CA1C1" w14:textId="77777777" w:rsidR="0024071C" w:rsidRPr="0024071C" w:rsidRDefault="0024071C" w:rsidP="0024071C">
      <w:pPr>
        <w:widowControl w:val="0"/>
        <w:tabs>
          <w:tab w:val="left" w:pos="426"/>
        </w:tabs>
        <w:ind w:left="426" w:hanging="426"/>
        <w:jc w:val="both"/>
        <w:rPr>
          <w:rFonts w:ascii="Cambria" w:eastAsia="MS Gothic" w:hAnsi="Cambria"/>
          <w:b/>
          <w:sz w:val="20"/>
          <w:szCs w:val="20"/>
          <w:lang w:eastAsia="fr-FR" w:bidi="fr-FR"/>
        </w:rPr>
      </w:pPr>
    </w:p>
    <w:p w14:paraId="58263790" w14:textId="77777777" w:rsidR="0024071C" w:rsidRPr="0024071C" w:rsidRDefault="0024071C" w:rsidP="0024071C">
      <w:pPr>
        <w:widowControl w:val="0"/>
        <w:jc w:val="both"/>
        <w:rPr>
          <w:rFonts w:ascii="Cambria" w:eastAsia="MS Gothic" w:hAnsi="Cambria"/>
          <w:sz w:val="20"/>
          <w:szCs w:val="20"/>
          <w:lang w:eastAsia="ja-JP"/>
        </w:rPr>
      </w:pPr>
      <w:r w:rsidRPr="0024071C">
        <w:rPr>
          <w:rFonts w:ascii="Cambria" w:eastAsia="Yu Mincho" w:hAnsi="Cambria"/>
          <w:kern w:val="2"/>
          <w:sz w:val="20"/>
          <w:szCs w:val="20"/>
          <w:lang w:eastAsia="ja-JP"/>
          <w14:ligatures w14:val="standardContextual"/>
        </w:rPr>
        <w:t>Il n'est pas appliqué de mesures supplémentaires utilisées à des fins d'exécution, de suivi, de contrôle et d'inspection autres que celles indiquées dans le présent plan de pêche/gestion.</w:t>
      </w:r>
    </w:p>
    <w:p w14:paraId="21BBC90E" w14:textId="6928D88D" w:rsidR="00BF7430" w:rsidRDefault="00BF7430">
      <w:pPr>
        <w:rPr>
          <w:rFonts w:asciiTheme="majorHAnsi" w:hAnsiTheme="majorHAnsi"/>
          <w:b/>
          <w:bCs/>
          <w:sz w:val="20"/>
          <w:szCs w:val="20"/>
        </w:rPr>
      </w:pPr>
    </w:p>
    <w:p w14:paraId="38D9D066" w14:textId="77777777" w:rsidR="006B4897" w:rsidRPr="00A97C75" w:rsidRDefault="006B4897" w:rsidP="006B4897">
      <w:pPr>
        <w:tabs>
          <w:tab w:val="left" w:pos="340"/>
          <w:tab w:val="left" w:pos="680"/>
          <w:tab w:val="left" w:pos="1020"/>
          <w:tab w:val="left" w:pos="1134"/>
          <w:tab w:val="left" w:pos="1604"/>
          <w:tab w:val="left" w:pos="1760"/>
        </w:tabs>
        <w:ind w:right="3"/>
        <w:rPr>
          <w:rFonts w:asciiTheme="majorHAnsi" w:hAnsiTheme="majorHAnsi"/>
          <w:b/>
          <w:bCs/>
          <w:sz w:val="20"/>
          <w:szCs w:val="20"/>
        </w:rPr>
      </w:pPr>
    </w:p>
    <w:p w14:paraId="4F408D9A" w14:textId="77777777" w:rsidR="00F72415" w:rsidRDefault="00F72415" w:rsidP="00046127">
      <w:pPr>
        <w:tabs>
          <w:tab w:val="left" w:pos="340"/>
          <w:tab w:val="left" w:pos="680"/>
          <w:tab w:val="left" w:pos="1020"/>
          <w:tab w:val="left" w:pos="1134"/>
          <w:tab w:val="left" w:pos="1760"/>
        </w:tabs>
        <w:ind w:right="3"/>
        <w:rPr>
          <w:rFonts w:ascii="Cambria" w:eastAsia="Calibri" w:hAnsi="Cambria"/>
          <w:sz w:val="16"/>
          <w:szCs w:val="16"/>
          <w:lang w:eastAsia="tr-TR"/>
        </w:rPr>
        <w:sectPr w:rsidR="00F72415" w:rsidSect="00BF7430">
          <w:headerReference w:type="default" r:id="rId18"/>
          <w:pgSz w:w="11906" w:h="16838" w:code="9"/>
          <w:pgMar w:top="1418" w:right="1418" w:bottom="1418" w:left="1418" w:header="851" w:footer="1134" w:gutter="0"/>
          <w:cols w:space="708"/>
          <w:docGrid w:linePitch="360"/>
        </w:sectPr>
      </w:pPr>
    </w:p>
    <w:p w14:paraId="0448D9BA" w14:textId="77777777" w:rsidR="00102D01" w:rsidRPr="00102D01" w:rsidRDefault="00102D01" w:rsidP="00102D01">
      <w:pPr>
        <w:widowControl w:val="0"/>
        <w:jc w:val="center"/>
        <w:rPr>
          <w:rFonts w:ascii="Cambria" w:eastAsia="Cambria" w:hAnsi="Cambria" w:cs="Cambria"/>
          <w:b/>
          <w:bCs/>
          <w:color w:val="000000"/>
          <w:sz w:val="20"/>
          <w:szCs w:val="20"/>
        </w:rPr>
      </w:pPr>
      <w:r w:rsidRPr="00102D01">
        <w:rPr>
          <w:rFonts w:ascii="Cambria" w:hAnsi="Cambria"/>
          <w:b/>
          <w:bCs/>
          <w:color w:val="000000"/>
          <w:sz w:val="20"/>
          <w:szCs w:val="20"/>
        </w:rPr>
        <w:lastRenderedPageBreak/>
        <w:t>Plan de pêche / de gestion du thon rouge de l'Atlantique Ouest</w:t>
      </w:r>
    </w:p>
    <w:p w14:paraId="79D569B1" w14:textId="77777777" w:rsidR="00102D01" w:rsidRPr="00102D01" w:rsidRDefault="00102D01" w:rsidP="00102D01">
      <w:pPr>
        <w:widowControl w:val="0"/>
        <w:jc w:val="center"/>
        <w:rPr>
          <w:rFonts w:ascii="Cambria" w:eastAsia="Cambria" w:hAnsi="Cambria" w:cs="Cambria"/>
          <w:b/>
          <w:bCs/>
          <w:color w:val="000000"/>
          <w:sz w:val="20"/>
          <w:szCs w:val="20"/>
        </w:rPr>
      </w:pPr>
    </w:p>
    <w:p w14:paraId="0B44A331" w14:textId="77777777" w:rsidR="00102D01" w:rsidRPr="00102D01" w:rsidRDefault="00102D01" w:rsidP="00102D01">
      <w:pPr>
        <w:widowControl w:val="0"/>
        <w:jc w:val="both"/>
        <w:rPr>
          <w:rFonts w:ascii="Cambria" w:eastAsia="Cambria" w:hAnsi="Cambria" w:cs="Cambria"/>
          <w:b/>
          <w:bCs/>
          <w:color w:val="000000"/>
          <w:sz w:val="20"/>
          <w:szCs w:val="20"/>
        </w:rPr>
      </w:pPr>
      <w:r w:rsidRPr="00102D01">
        <w:rPr>
          <w:rFonts w:ascii="Cambria" w:hAnsi="Cambria"/>
          <w:b/>
          <w:bCs/>
          <w:color w:val="000000"/>
          <w:sz w:val="20"/>
          <w:szCs w:val="20"/>
        </w:rPr>
        <w:t>Nom de la CPC : États-Unis</w:t>
      </w:r>
    </w:p>
    <w:p w14:paraId="633533E3" w14:textId="77777777" w:rsidR="00102D01" w:rsidRPr="00102D01" w:rsidRDefault="00102D01" w:rsidP="00102D01">
      <w:pPr>
        <w:widowControl w:val="0"/>
        <w:jc w:val="both"/>
        <w:rPr>
          <w:rFonts w:ascii="Cambria" w:eastAsia="Cambria" w:hAnsi="Cambria" w:cs="Cambria"/>
          <w:color w:val="000000"/>
          <w:sz w:val="20"/>
          <w:szCs w:val="20"/>
        </w:rPr>
      </w:pPr>
    </w:p>
    <w:p w14:paraId="0B14884D" w14:textId="77777777" w:rsidR="00102D01" w:rsidRPr="00102D01" w:rsidRDefault="00102D01" w:rsidP="00102D01">
      <w:pPr>
        <w:widowControl w:val="0"/>
        <w:jc w:val="both"/>
        <w:rPr>
          <w:rFonts w:ascii="Cambria" w:eastAsia="Cambria" w:hAnsi="Cambria" w:cs="Cambria"/>
          <w:b/>
          <w:bCs/>
          <w:color w:val="000000"/>
          <w:sz w:val="20"/>
          <w:szCs w:val="20"/>
        </w:rPr>
      </w:pPr>
      <w:r w:rsidRPr="00102D01">
        <w:rPr>
          <w:rFonts w:ascii="Cambria" w:hAnsi="Cambria"/>
          <w:b/>
          <w:bCs/>
          <w:color w:val="000000"/>
          <w:sz w:val="20"/>
          <w:szCs w:val="20"/>
        </w:rPr>
        <w:t>Année du plan de pêche : 2025</w:t>
      </w:r>
    </w:p>
    <w:p w14:paraId="2DBD969D" w14:textId="77777777" w:rsidR="00102D01" w:rsidRPr="00102D01" w:rsidRDefault="00102D01" w:rsidP="00102D01">
      <w:pPr>
        <w:widowControl w:val="0"/>
        <w:jc w:val="both"/>
        <w:rPr>
          <w:rFonts w:ascii="Cambria" w:eastAsia="Cambria" w:hAnsi="Cambria" w:cs="Cambria"/>
          <w:b/>
          <w:bCs/>
          <w:color w:val="000000"/>
          <w:sz w:val="20"/>
          <w:szCs w:val="20"/>
        </w:rPr>
      </w:pPr>
    </w:p>
    <w:p w14:paraId="5D47D80E" w14:textId="77777777" w:rsidR="00102D01" w:rsidRPr="00102D01" w:rsidRDefault="00102D01" w:rsidP="00102D01">
      <w:pPr>
        <w:widowControl w:val="0"/>
        <w:tabs>
          <w:tab w:val="left" w:pos="426"/>
        </w:tabs>
        <w:jc w:val="both"/>
        <w:rPr>
          <w:rFonts w:ascii="Cambria" w:eastAsia="Cambria" w:hAnsi="Cambria" w:cs="Cambria"/>
          <w:b/>
          <w:bCs/>
          <w:color w:val="000000"/>
          <w:sz w:val="20"/>
          <w:szCs w:val="20"/>
        </w:rPr>
      </w:pPr>
      <w:r w:rsidRPr="00102D01">
        <w:rPr>
          <w:rFonts w:ascii="Cambria" w:hAnsi="Cambria"/>
          <w:b/>
          <w:bCs/>
          <w:color w:val="000000"/>
          <w:sz w:val="20"/>
          <w:szCs w:val="20"/>
        </w:rPr>
        <w:t>1.</w:t>
      </w:r>
      <w:r w:rsidRPr="00102D01">
        <w:rPr>
          <w:rFonts w:ascii="Cambria" w:hAnsi="Cambria"/>
          <w:b/>
          <w:bCs/>
          <w:color w:val="000000"/>
          <w:sz w:val="20"/>
          <w:szCs w:val="20"/>
        </w:rPr>
        <w:tab/>
        <w:t>Quotas de flottille pour tous les secteurs et méthode utilisée pour allouer et gérer ces quotas</w:t>
      </w:r>
    </w:p>
    <w:p w14:paraId="283874D1" w14:textId="77777777" w:rsidR="00102D01" w:rsidRPr="00102D01" w:rsidRDefault="00102D01" w:rsidP="00102D01">
      <w:pPr>
        <w:widowControl w:val="0"/>
        <w:tabs>
          <w:tab w:val="left" w:pos="426"/>
        </w:tabs>
        <w:jc w:val="both"/>
        <w:rPr>
          <w:rFonts w:ascii="Cambria" w:eastAsia="Cambria" w:hAnsi="Cambria" w:cs="Cambria"/>
          <w:i/>
          <w:iCs/>
          <w:color w:val="000000"/>
          <w:sz w:val="20"/>
          <w:szCs w:val="20"/>
        </w:rPr>
      </w:pPr>
    </w:p>
    <w:p w14:paraId="18E646B4" w14:textId="77777777" w:rsidR="00102D01" w:rsidRPr="00102D01" w:rsidRDefault="00102D01" w:rsidP="00102D01">
      <w:pPr>
        <w:widowControl w:val="0"/>
        <w:jc w:val="both"/>
        <w:rPr>
          <w:rFonts w:ascii="Cambria" w:eastAsia="Cambria" w:hAnsi="Cambria" w:cs="Cambria"/>
          <w:b/>
          <w:bCs/>
          <w:i/>
          <w:iCs/>
          <w:color w:val="000000"/>
          <w:sz w:val="20"/>
          <w:szCs w:val="20"/>
        </w:rPr>
      </w:pPr>
      <w:r w:rsidRPr="00102D01">
        <w:rPr>
          <w:rFonts w:ascii="Cambria" w:hAnsi="Cambria"/>
          <w:b/>
          <w:bCs/>
          <w:i/>
          <w:iCs/>
          <w:color w:val="000000"/>
          <w:sz w:val="20"/>
          <w:szCs w:val="20"/>
        </w:rPr>
        <w:t>1 a) Aperçu général</w:t>
      </w:r>
    </w:p>
    <w:p w14:paraId="55331386" w14:textId="77777777" w:rsidR="00102D01" w:rsidRPr="00102D01" w:rsidRDefault="00102D01" w:rsidP="00102D01">
      <w:pPr>
        <w:widowControl w:val="0"/>
        <w:jc w:val="both"/>
        <w:rPr>
          <w:rFonts w:ascii="Cambria" w:eastAsia="Cambria" w:hAnsi="Cambria" w:cs="Cambria"/>
          <w:b/>
          <w:bCs/>
          <w:i/>
          <w:iCs/>
          <w:color w:val="000000"/>
          <w:sz w:val="20"/>
          <w:szCs w:val="20"/>
        </w:rPr>
      </w:pPr>
    </w:p>
    <w:p w14:paraId="2380D4FF"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 xml:space="preserve">Les mesures de conservation et de gestion relatives au thon rouge de l’Atlantique (BFT) aux États-Unis sont élaborées, coordonnées et mises en œuvre par le biais du Plan de gestion de pêche d’espèces de grands migrateurs de l’Atlantique (HMS) consolidé de 2006, et sont émises sous la juridiction du service national des pêches maritimes (NMFS ; </w:t>
      </w:r>
      <w:r w:rsidRPr="00102D01">
        <w:rPr>
          <w:rFonts w:ascii="Cambria" w:hAnsi="Cambria"/>
          <w:i/>
          <w:sz w:val="20"/>
          <w:szCs w:val="20"/>
        </w:rPr>
        <w:t>cf.</w:t>
      </w:r>
      <w:r w:rsidRPr="00102D01">
        <w:rPr>
          <w:rFonts w:ascii="Cambria" w:hAnsi="Cambria"/>
          <w:sz w:val="20"/>
          <w:szCs w:val="20"/>
        </w:rPr>
        <w:t xml:space="preserve"> http://www.nmfs.noaa.gov/sfa/hms/documents/fmp/consolidated/index.html). Les États-Unis mettent en œuvre les recommandations adoptées par l'ICCAT par voie de règlements promulgués en vertu de la Loi sur la Convention des thonidés de l'Atlantique (ATCA). Les pêcheries de HMS de l’Atlantique sont également assujetties à une réglementation conformément aux autres lois américaines applicables, dont la Loi Magnuson-Stevens sur la gestion et la conservation des ressources halieutiques, la Loi sur les espèces en danger et la Loi sur la protection des mammifères marins. Les règlements régissant la conservation et la gestion du BFT et d’autres HMS de l’Atlantique figurent à la partie 635 du titre </w:t>
      </w:r>
      <w:r w:rsidRPr="00102D01">
        <w:rPr>
          <w:rFonts w:ascii="Cambria" w:hAnsi="Cambria"/>
          <w:color w:val="1155CC"/>
          <w:sz w:val="20"/>
          <w:szCs w:val="20"/>
        </w:rPr>
        <w:t>50 du Code des règlements fédéraux (CFR)</w:t>
      </w:r>
      <w:r w:rsidRPr="00102D01">
        <w:rPr>
          <w:rFonts w:ascii="Cambria" w:hAnsi="Cambria"/>
          <w:sz w:val="20"/>
          <w:szCs w:val="20"/>
        </w:rPr>
        <w:t>.</w:t>
      </w:r>
    </w:p>
    <w:p w14:paraId="207801E5" w14:textId="77777777" w:rsidR="00102D01" w:rsidRPr="00102D01" w:rsidRDefault="00102D01" w:rsidP="00102D01">
      <w:pPr>
        <w:widowControl w:val="0"/>
        <w:jc w:val="both"/>
        <w:rPr>
          <w:rFonts w:ascii="Cambria" w:eastAsia="Cambria" w:hAnsi="Cambria" w:cs="Cambria"/>
          <w:sz w:val="20"/>
          <w:szCs w:val="20"/>
        </w:rPr>
      </w:pPr>
    </w:p>
    <w:p w14:paraId="36ED7E11"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 xml:space="preserve">Le NMFS produit tous les ans </w:t>
      </w:r>
      <w:hyperlink r:id="rId19" w:history="1">
        <w:r w:rsidRPr="00102D01">
          <w:rPr>
            <w:rFonts w:ascii="Cambria" w:hAnsi="Cambria"/>
            <w:color w:val="1155CC"/>
            <w:sz w:val="20"/>
            <w:szCs w:val="20"/>
          </w:rPr>
          <w:t>un Rapport d’évaluation des stocks et d’évaluation des pêcheries (SAFE)</w:t>
        </w:r>
      </w:hyperlink>
      <w:r w:rsidRPr="00102D01">
        <w:rPr>
          <w:rFonts w:ascii="Cambria" w:hAnsi="Cambria"/>
          <w:sz w:val="20"/>
          <w:szCs w:val="20"/>
        </w:rPr>
        <w:t xml:space="preserve"> qui passe en revue l’état actuel des stocks de poissons HMS de l’Atlantique (thonidés, espadon, istiophoridés et requins) et décrit les réalisations de gestion des pêcheries accomplies au cours de l’année. Le rapport — requis au titre de la Loi Magnuson-Stevens sur la gestion et la conservation des ressources halieutiques — met à la disposition du public des informations sur les dernières avancées dans la gestion des HMS de l’Atlantique et inclut des informations de synthèse concernant les pêcheries américaines de BFT.</w:t>
      </w:r>
    </w:p>
    <w:p w14:paraId="500A1DC7" w14:textId="77777777" w:rsidR="00102D01" w:rsidRPr="00102D01" w:rsidRDefault="00102D01" w:rsidP="00102D01">
      <w:pPr>
        <w:widowControl w:val="0"/>
        <w:jc w:val="both"/>
        <w:rPr>
          <w:rFonts w:ascii="Cambria" w:eastAsia="Cambria" w:hAnsi="Cambria" w:cs="Cambria"/>
          <w:sz w:val="20"/>
          <w:szCs w:val="20"/>
        </w:rPr>
      </w:pPr>
    </w:p>
    <w:p w14:paraId="2F253FB3"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Les États-Unis ont recours à un ensemble d’outils et d’approches pour gérer efficacement leurs pêcheries de HMS de l’Atlantique, y compris des exigences en matière de permis et de déclaration, des limites de tailles, des limites de rétention et des restrictions d’engins. Ces mesures reflètent les résultats et les avis d’études scientifiques et visent à développer et à maintenir une pêcherie durable et un écosystème en bonne santé. La conservation et la gestion des pêcheries américaines de BFT ont été définies par un ensemble complet de mesures écosystémiques qui ont été mises en œuvre conformément aux exigences nationales et qui vont au-delà des exigences des recommandations de l’ICCAT. Par exemple, la taille commerciale minimale actuelle aux États-Unis (73 pouces (185 cm de longueur courbée à la fourche ou 178 cm de longueur droite à la fourche)) a été mise en place en 1992 pour permettre de réduire le taux de mortalité par pêche des BFT immatures. La taille minimale est reflétée dans les règlements relatifs aux permis commerciaux de thonidés et aux catégories de quotas commerciaux de BFT (</w:t>
      </w:r>
      <w:r w:rsidRPr="00102D01">
        <w:rPr>
          <w:rFonts w:ascii="Cambria" w:hAnsi="Cambria"/>
          <w:i/>
          <w:iCs/>
          <w:sz w:val="20"/>
          <w:szCs w:val="20"/>
        </w:rPr>
        <w:t>cf.</w:t>
      </w:r>
      <w:r w:rsidRPr="00102D01">
        <w:rPr>
          <w:rFonts w:ascii="Cambria" w:hAnsi="Cambria"/>
          <w:color w:val="1155CC"/>
          <w:sz w:val="20"/>
          <w:szCs w:val="20"/>
        </w:rPr>
        <w:t xml:space="preserve"> § 635.27</w:t>
      </w:r>
      <w:r w:rsidRPr="00102D01">
        <w:rPr>
          <w:rFonts w:ascii="Cambria" w:hAnsi="Cambria"/>
          <w:sz w:val="20"/>
          <w:szCs w:val="20"/>
        </w:rPr>
        <w:t>).</w:t>
      </w:r>
    </w:p>
    <w:p w14:paraId="430978CA" w14:textId="77777777" w:rsidR="00102D01" w:rsidRPr="00102D01" w:rsidRDefault="00102D01" w:rsidP="00102D01">
      <w:pPr>
        <w:widowControl w:val="0"/>
        <w:jc w:val="both"/>
        <w:rPr>
          <w:rFonts w:ascii="Cambria" w:eastAsia="Cambria" w:hAnsi="Cambria" w:cs="Cambria"/>
          <w:sz w:val="20"/>
          <w:szCs w:val="20"/>
        </w:rPr>
      </w:pPr>
    </w:p>
    <w:p w14:paraId="5D6BB127"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Les États-Unis utilisent des moyens efficaces pour garantir la collecte de données halieutiques fiables à des fins de gestion et d’évaluation des stocks, dont le recours aux carnets de pêche et aux observateurs. En outre, les scientifiques américains s’engagent activement dans le processus d'évaluation des stocks et mènent des projets de recherche novateurs sur la biologie, le cycle vital et les techniques de pêche de BFT ainsi que sur la technologie permettant de réduire les prises accessoires de BFT dans les pêcheries qui ne le ciblent pas. Les activités de recherche et de gestion menées par les États-Unis garantissent une mise en œuvre efficace et le respect des mesures de l’ICCAT et soutiennent le processus d’évaluation de la stratégie de gestion (MSE). Elles soutiennent aussi les efforts déployés par l’ICCAT et les États-Unis en vue de prévenir la surpêche et de maintenir la biomasse du stock de BFT au niveau permettant la PME, conformément à l’objectif de la Convention.</w:t>
      </w:r>
    </w:p>
    <w:p w14:paraId="077801DC" w14:textId="77777777" w:rsidR="00102D01" w:rsidRPr="00102D01" w:rsidRDefault="00102D01" w:rsidP="00102D01">
      <w:pPr>
        <w:widowControl w:val="0"/>
        <w:jc w:val="both"/>
        <w:rPr>
          <w:rFonts w:ascii="Cambria" w:eastAsia="Cambria" w:hAnsi="Cambria" w:cs="Cambria"/>
          <w:sz w:val="20"/>
          <w:szCs w:val="20"/>
        </w:rPr>
      </w:pPr>
    </w:p>
    <w:p w14:paraId="21EBFC7C"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Le quota initial des États-Unis pour l’année de pêche 2025 (du 1</w:t>
      </w:r>
      <w:r w:rsidRPr="00102D01">
        <w:rPr>
          <w:rFonts w:ascii="Cambria" w:hAnsi="Cambria"/>
          <w:sz w:val="20"/>
          <w:szCs w:val="20"/>
          <w:vertAlign w:val="superscript"/>
        </w:rPr>
        <w:t>er</w:t>
      </w:r>
      <w:r w:rsidRPr="00102D01">
        <w:rPr>
          <w:rFonts w:ascii="Cambria" w:hAnsi="Cambria"/>
          <w:sz w:val="20"/>
          <w:szCs w:val="20"/>
        </w:rPr>
        <w:t xml:space="preserve"> janvier au 31 décembre 2025) était de 1.316,14 t. Le quota ajusté des États-Unis était de 1.199,96 t (</w:t>
      </w:r>
      <w:r w:rsidRPr="00102D01">
        <w:rPr>
          <w:rFonts w:ascii="Cambria" w:hAnsi="Cambria"/>
          <w:i/>
          <w:sz w:val="20"/>
          <w:szCs w:val="20"/>
        </w:rPr>
        <w:t xml:space="preserve">cf. </w:t>
      </w:r>
      <w:r w:rsidRPr="00102D01">
        <w:rPr>
          <w:rFonts w:ascii="Cambria" w:hAnsi="Cambria"/>
          <w:sz w:val="20"/>
          <w:szCs w:val="20"/>
        </w:rPr>
        <w:t>1d).</w:t>
      </w:r>
    </w:p>
    <w:p w14:paraId="7541F749" w14:textId="77777777" w:rsidR="00102D01" w:rsidRPr="00102D01" w:rsidRDefault="00102D01" w:rsidP="00102D01">
      <w:pPr>
        <w:widowControl w:val="0"/>
        <w:jc w:val="both"/>
        <w:rPr>
          <w:rFonts w:ascii="Cambria" w:eastAsia="Cambria" w:hAnsi="Cambria" w:cs="Cambria"/>
          <w:sz w:val="20"/>
          <w:szCs w:val="20"/>
        </w:rPr>
      </w:pPr>
    </w:p>
    <w:p w14:paraId="7EB8AE57"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 xml:space="preserve">La pêcherie récréative de BFT est une pêcherie d’accès libre qui exige que les navires de pêche disposent de permis à cet effet. Deux types de permis de pêche récréative sont disponibles pour les pêcheurs de BFT : Pêche à la ligne de HMS et Affrètement/Bateau collectif pour les HMS. Les réglementations en vigueur pour </w:t>
      </w:r>
      <w:r w:rsidRPr="00102D01">
        <w:rPr>
          <w:rFonts w:ascii="Cambria" w:hAnsi="Cambria"/>
          <w:sz w:val="20"/>
          <w:szCs w:val="20"/>
        </w:rPr>
        <w:lastRenderedPageBreak/>
        <w:t>les navires récréatifs incluent une taille minimale des poissons, un quota, des limites de rétention (par navire par jour ou sortie de pêche) et l’interdiction de vente. Les restrictions concernant la préparation des poissons en mer pour s’assurer que les espèces peuvent être correctement identifiées lors des contrôles en mer et au port s’appliquent également aux pêches récréatives et commerciales.</w:t>
      </w:r>
    </w:p>
    <w:p w14:paraId="0E054581" w14:textId="77777777" w:rsidR="00102D01" w:rsidRPr="00102D01" w:rsidRDefault="00102D01" w:rsidP="00102D01">
      <w:pPr>
        <w:widowControl w:val="0"/>
        <w:rPr>
          <w:rFonts w:ascii="Cambria" w:eastAsia="Cambria" w:hAnsi="Cambria" w:cs="Cambria"/>
          <w:sz w:val="20"/>
          <w:szCs w:val="20"/>
        </w:rPr>
      </w:pPr>
    </w:p>
    <w:p w14:paraId="7B48301D" w14:textId="77777777" w:rsidR="00102D01" w:rsidRPr="00102D01" w:rsidRDefault="00102D01" w:rsidP="00102D01">
      <w:pPr>
        <w:widowControl w:val="0"/>
        <w:rPr>
          <w:rFonts w:ascii="Cambria" w:eastAsia="Cambria" w:hAnsi="Cambria" w:cs="Cambria"/>
          <w:i/>
          <w:iCs/>
          <w:sz w:val="20"/>
          <w:szCs w:val="20"/>
        </w:rPr>
      </w:pPr>
      <w:r w:rsidRPr="00102D01">
        <w:rPr>
          <w:rFonts w:ascii="Cambria" w:hAnsi="Cambria"/>
          <w:i/>
          <w:iCs/>
          <w:sz w:val="20"/>
          <w:szCs w:val="20"/>
        </w:rPr>
        <w:t>Catégories de permis et secteurs des flottilles</w:t>
      </w:r>
    </w:p>
    <w:p w14:paraId="1B6AC8F7" w14:textId="77777777" w:rsidR="00102D01" w:rsidRPr="00102D01" w:rsidRDefault="00102D01" w:rsidP="00102D01">
      <w:pPr>
        <w:widowControl w:val="0"/>
        <w:rPr>
          <w:rFonts w:ascii="Cambria" w:eastAsia="Cambria" w:hAnsi="Cambria" w:cs="Cambria"/>
          <w:i/>
          <w:iCs/>
          <w:sz w:val="20"/>
          <w:szCs w:val="20"/>
        </w:rPr>
      </w:pPr>
    </w:p>
    <w:p w14:paraId="6AAC6C17"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Quatre types de permis commerciaux de thonidés sont disponibles pour les pêcheurs de BFT : Palangre pour les thonidés de l’Atlantique, Générique pour les thonidés de l’Atlantique, Harpon pour les thonidés de l’Atlantique et Affrètement/Bateau collectif pour les HMS. Les titulaires de permis commerciaux pour les HMS ne peuvent vendre qu’aux mareyeurs autorisés. Les mareyeurs de thonidés de l’Atlantique doivent obtenir un permis de mareyeurs de thonidés de l’Atlantique pour recevoir, acheter, commercialiser ou échanger des thonidés de l’Atlantique provenant d’un navire.</w:t>
      </w:r>
    </w:p>
    <w:p w14:paraId="73BBAFAE" w14:textId="77777777" w:rsidR="00102D01" w:rsidRPr="00102D01" w:rsidRDefault="00102D01" w:rsidP="00102D01">
      <w:pPr>
        <w:widowControl w:val="0"/>
        <w:rPr>
          <w:rFonts w:ascii="Cambria" w:eastAsia="Cambria" w:hAnsi="Cambria" w:cs="Cambria"/>
          <w:sz w:val="20"/>
          <w:szCs w:val="20"/>
        </w:rPr>
      </w:pPr>
    </w:p>
    <w:p w14:paraId="024F93AF"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 xml:space="preserve">La pêcherie palangrière pélagique américaine est exploitée dans le cadre d’un programme de permis d’accès limité en vertu duquel aucun nouveau permis n’est délivré mais avec la possibilité de transférer les permis entre les navires après approbation. </w:t>
      </w:r>
    </w:p>
    <w:p w14:paraId="41E16296" w14:textId="77777777" w:rsidR="00102D01" w:rsidRPr="00102D01" w:rsidRDefault="00102D01" w:rsidP="00102D01">
      <w:pPr>
        <w:widowControl w:val="0"/>
        <w:jc w:val="both"/>
        <w:rPr>
          <w:rFonts w:ascii="Cambria" w:eastAsia="Cambria" w:hAnsi="Cambria" w:cs="Cambria"/>
          <w:sz w:val="20"/>
          <w:szCs w:val="20"/>
        </w:rPr>
      </w:pPr>
    </w:p>
    <w:p w14:paraId="7E8FEF4E"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Le BFT ne peut être capturé qu’avec les engins autorisés dans le cadre de chaque type de permis, comme suit (</w:t>
      </w:r>
      <w:r w:rsidRPr="00102D01">
        <w:rPr>
          <w:rFonts w:ascii="Cambria" w:hAnsi="Cambria"/>
          <w:i/>
          <w:sz w:val="20"/>
          <w:szCs w:val="20"/>
        </w:rPr>
        <w:t>cf.</w:t>
      </w:r>
      <w:r w:rsidRPr="00102D01">
        <w:rPr>
          <w:rFonts w:ascii="Cambria" w:hAnsi="Cambria"/>
          <w:sz w:val="20"/>
          <w:szCs w:val="20"/>
        </w:rPr>
        <w:t xml:space="preserve"> </w:t>
      </w:r>
      <w:r w:rsidRPr="00102D01">
        <w:rPr>
          <w:rFonts w:ascii="Cambria" w:hAnsi="Cambria"/>
          <w:color w:val="1155CC"/>
          <w:sz w:val="20"/>
          <w:szCs w:val="20"/>
        </w:rPr>
        <w:t>635.19(B)(1)</w:t>
      </w:r>
      <w:r w:rsidRPr="00102D01">
        <w:rPr>
          <w:rFonts w:ascii="Cambria" w:hAnsi="Cambria"/>
          <w:sz w:val="20"/>
          <w:szCs w:val="20"/>
        </w:rPr>
        <w:t>) :</w:t>
      </w:r>
    </w:p>
    <w:p w14:paraId="72DC79DF" w14:textId="77777777" w:rsidR="00102D01" w:rsidRPr="00102D01" w:rsidRDefault="00102D01" w:rsidP="00102D01">
      <w:pPr>
        <w:widowControl w:val="0"/>
        <w:jc w:val="both"/>
        <w:rPr>
          <w:rFonts w:ascii="Cambria" w:eastAsia="Cambria" w:hAnsi="Cambria" w:cs="Cambria"/>
          <w:sz w:val="20"/>
          <w:szCs w:val="20"/>
        </w:rPr>
      </w:pPr>
    </w:p>
    <w:p w14:paraId="0F3C47A4" w14:textId="77777777" w:rsidR="00102D01" w:rsidRPr="00102D01" w:rsidRDefault="00102D01" w:rsidP="00102D01">
      <w:pPr>
        <w:widowControl w:val="0"/>
        <w:numPr>
          <w:ilvl w:val="0"/>
          <w:numId w:val="42"/>
        </w:numPr>
        <w:ind w:left="851" w:hanging="425"/>
        <w:jc w:val="both"/>
        <w:rPr>
          <w:rFonts w:ascii="Cambria" w:eastAsia="Cambria" w:hAnsi="Cambria" w:cs="Cambria"/>
          <w:sz w:val="20"/>
          <w:szCs w:val="20"/>
        </w:rPr>
      </w:pPr>
      <w:r w:rsidRPr="00102D01">
        <w:rPr>
          <w:rFonts w:ascii="Cambria" w:hAnsi="Cambria"/>
          <w:sz w:val="20"/>
          <w:szCs w:val="20"/>
        </w:rPr>
        <w:t>Catégorie Générique : Canne et moulinet (y compris treuils à ligne lestée), ligne à main, harpon, engin « bandit » et engin « green-stick ».</w:t>
      </w:r>
    </w:p>
    <w:p w14:paraId="16951A26" w14:textId="77777777" w:rsidR="00102D01" w:rsidRPr="00102D01" w:rsidRDefault="00102D01" w:rsidP="00102D01">
      <w:pPr>
        <w:widowControl w:val="0"/>
        <w:numPr>
          <w:ilvl w:val="0"/>
          <w:numId w:val="42"/>
        </w:numPr>
        <w:ind w:left="851" w:hanging="425"/>
        <w:jc w:val="both"/>
        <w:rPr>
          <w:rFonts w:ascii="Cambria" w:eastAsia="Cambria" w:hAnsi="Cambria" w:cs="Cambria"/>
          <w:sz w:val="20"/>
          <w:szCs w:val="20"/>
        </w:rPr>
      </w:pPr>
      <w:r w:rsidRPr="00102D01">
        <w:rPr>
          <w:rFonts w:ascii="Cambria" w:hAnsi="Cambria"/>
          <w:sz w:val="20"/>
          <w:szCs w:val="20"/>
        </w:rPr>
        <w:t>Catégorie Affrètement/Bateau collectif : Canne et moulinet (y compris treuils à ligne lestée), engin « bandit », ligne à main et engin « green-stick ».</w:t>
      </w:r>
    </w:p>
    <w:p w14:paraId="7118E6CA" w14:textId="77777777" w:rsidR="00102D01" w:rsidRPr="00102D01" w:rsidRDefault="00102D01" w:rsidP="00102D01">
      <w:pPr>
        <w:widowControl w:val="0"/>
        <w:numPr>
          <w:ilvl w:val="0"/>
          <w:numId w:val="42"/>
        </w:numPr>
        <w:ind w:left="851" w:hanging="425"/>
        <w:jc w:val="both"/>
        <w:rPr>
          <w:rFonts w:ascii="Cambria" w:eastAsia="Cambria" w:hAnsi="Cambria" w:cs="Cambria"/>
          <w:sz w:val="20"/>
          <w:szCs w:val="20"/>
        </w:rPr>
      </w:pPr>
      <w:r w:rsidRPr="00102D01">
        <w:rPr>
          <w:rFonts w:ascii="Cambria" w:hAnsi="Cambria"/>
          <w:sz w:val="20"/>
          <w:szCs w:val="20"/>
        </w:rPr>
        <w:t>Catégorie Harpon : Harpon.</w:t>
      </w:r>
    </w:p>
    <w:p w14:paraId="635ABC0E" w14:textId="77777777" w:rsidR="00102D01" w:rsidRPr="00102D01" w:rsidRDefault="00102D01" w:rsidP="00102D01">
      <w:pPr>
        <w:widowControl w:val="0"/>
        <w:numPr>
          <w:ilvl w:val="0"/>
          <w:numId w:val="42"/>
        </w:numPr>
        <w:ind w:left="851" w:hanging="425"/>
        <w:jc w:val="both"/>
        <w:rPr>
          <w:rFonts w:ascii="Cambria" w:eastAsia="Cambria" w:hAnsi="Cambria" w:cs="Cambria"/>
          <w:sz w:val="20"/>
          <w:szCs w:val="20"/>
        </w:rPr>
      </w:pPr>
      <w:r w:rsidRPr="00102D01">
        <w:rPr>
          <w:rFonts w:ascii="Cambria" w:hAnsi="Cambria"/>
          <w:sz w:val="20"/>
          <w:szCs w:val="20"/>
        </w:rPr>
        <w:t>Catégorie Palangre : Palangre et engin « green-stick ».</w:t>
      </w:r>
    </w:p>
    <w:p w14:paraId="2AED5BD9" w14:textId="77777777" w:rsidR="00102D01" w:rsidRPr="00102D01" w:rsidRDefault="00102D01" w:rsidP="00102D01">
      <w:pPr>
        <w:widowControl w:val="0"/>
        <w:numPr>
          <w:ilvl w:val="0"/>
          <w:numId w:val="42"/>
        </w:numPr>
        <w:ind w:left="851" w:hanging="425"/>
        <w:jc w:val="both"/>
        <w:rPr>
          <w:rFonts w:ascii="Cambria" w:eastAsia="Cambria" w:hAnsi="Cambria" w:cs="Cambria"/>
          <w:sz w:val="20"/>
          <w:szCs w:val="20"/>
        </w:rPr>
      </w:pPr>
      <w:r w:rsidRPr="00102D01">
        <w:rPr>
          <w:rFonts w:ascii="Cambria" w:hAnsi="Cambria"/>
          <w:sz w:val="20"/>
          <w:szCs w:val="20"/>
        </w:rPr>
        <w:t>Catégorie Madrague</w:t>
      </w:r>
      <w:r w:rsidRPr="00102D01">
        <w:rPr>
          <w:rFonts w:ascii="Cambria" w:eastAsia="Cambria" w:hAnsi="Cambria" w:cs="Cambria"/>
          <w:sz w:val="20"/>
          <w:szCs w:val="20"/>
          <w:vertAlign w:val="superscript"/>
        </w:rPr>
        <w:footnoteReference w:id="5"/>
      </w:r>
      <w:r w:rsidRPr="00102D01">
        <w:rPr>
          <w:rFonts w:ascii="Cambria" w:hAnsi="Cambria"/>
          <w:sz w:val="20"/>
          <w:szCs w:val="20"/>
        </w:rPr>
        <w:t> : Filet piège et bordigue.</w:t>
      </w:r>
    </w:p>
    <w:p w14:paraId="6EE969D9" w14:textId="77777777" w:rsidR="00102D01" w:rsidRPr="00102D01" w:rsidRDefault="00102D01" w:rsidP="00102D01">
      <w:pPr>
        <w:widowControl w:val="0"/>
        <w:numPr>
          <w:ilvl w:val="0"/>
          <w:numId w:val="42"/>
        </w:numPr>
        <w:ind w:left="851" w:hanging="425"/>
        <w:jc w:val="both"/>
        <w:rPr>
          <w:rFonts w:ascii="Cambria" w:eastAsia="Cambria" w:hAnsi="Cambria" w:cs="Cambria"/>
          <w:sz w:val="20"/>
          <w:szCs w:val="20"/>
        </w:rPr>
      </w:pPr>
      <w:r w:rsidRPr="00102D01">
        <w:rPr>
          <w:rFonts w:ascii="Cambria" w:hAnsi="Cambria"/>
          <w:sz w:val="20"/>
          <w:szCs w:val="20"/>
        </w:rPr>
        <w:t>Catégorie Pêche à la ligne : Canne et moulinet (y compris treuils à ligne lestée) et ligne à main.</w:t>
      </w:r>
    </w:p>
    <w:p w14:paraId="0B8E97C1" w14:textId="77777777" w:rsidR="00102D01" w:rsidRPr="00102D01" w:rsidRDefault="00102D01" w:rsidP="00102D01">
      <w:pPr>
        <w:widowControl w:val="0"/>
        <w:jc w:val="both"/>
        <w:rPr>
          <w:rFonts w:ascii="Cambria" w:eastAsia="Cambria" w:hAnsi="Cambria" w:cs="Cambria"/>
          <w:sz w:val="20"/>
          <w:szCs w:val="20"/>
        </w:rPr>
      </w:pPr>
    </w:p>
    <w:p w14:paraId="78608C92" w14:textId="77777777" w:rsidR="00102D01" w:rsidRPr="00102D01" w:rsidRDefault="00102D01" w:rsidP="00102D01">
      <w:pPr>
        <w:widowControl w:val="0"/>
        <w:jc w:val="both"/>
        <w:rPr>
          <w:rFonts w:ascii="Cambria" w:eastAsia="Cambria" w:hAnsi="Cambria" w:cs="Cambria"/>
          <w:i/>
          <w:iCs/>
          <w:sz w:val="20"/>
          <w:szCs w:val="20"/>
        </w:rPr>
      </w:pPr>
      <w:r w:rsidRPr="00102D01">
        <w:rPr>
          <w:rFonts w:ascii="Cambria" w:hAnsi="Cambria"/>
          <w:i/>
          <w:iCs/>
          <w:sz w:val="20"/>
          <w:szCs w:val="20"/>
        </w:rPr>
        <w:t>Programme d’observateurs pélagiques américains et autres mesures de suivi</w:t>
      </w:r>
    </w:p>
    <w:p w14:paraId="2AFDA57E" w14:textId="77777777" w:rsidR="00102D01" w:rsidRPr="00102D01" w:rsidRDefault="00102D01" w:rsidP="00102D01">
      <w:pPr>
        <w:widowControl w:val="0"/>
        <w:jc w:val="both"/>
        <w:rPr>
          <w:rFonts w:ascii="Cambria" w:eastAsia="Cambria" w:hAnsi="Cambria" w:cs="Cambria"/>
          <w:i/>
          <w:iCs/>
          <w:sz w:val="20"/>
          <w:szCs w:val="20"/>
        </w:rPr>
      </w:pPr>
    </w:p>
    <w:p w14:paraId="5FC28E57"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 xml:space="preserve">Conformément aux recommandations de l’ICCAT, un échantillonnage aléatoire par des observateurs de la flottille palangrière pélagique américaine est réalisé à travers le Programme d’observateurs pélagiques des États-Unis. Un échantillonnage par des observateurs scientifiques représentatif de cette flottille est en cours depuis 1992. Les données recueillies par le biais de ce programme ont été utilisées pour quantifier la composition, la destination et la quantité de la capture totale (captures retenues et rejetées en mer) réalisée par cette flottille qui pêche dans les eaux de l’océan Atlantique Nord-Ouest, du golfe d’Amérique et de la mer des Caraïbes. La couverture d'observateurs de la flottille palangrière des États-Unis atteinte en 2025 était de 10,7 % des opérations de pêche réalisées. Si les pêcheurs sont informés qu’ils ont été sélectionnés pour embarquer un observateur à bord de leur navire, ils doivent avertir le NMFS de la date de début de la marée et un observateur du NMFS doit se trouver à bord pour que ce navire puisse entreprendre la sortie de pêche. </w:t>
      </w:r>
    </w:p>
    <w:p w14:paraId="45DB88F4" w14:textId="77777777" w:rsidR="00102D01" w:rsidRPr="00102D01" w:rsidRDefault="00102D01" w:rsidP="00102D01">
      <w:pPr>
        <w:widowControl w:val="0"/>
        <w:jc w:val="both"/>
        <w:rPr>
          <w:rFonts w:ascii="Cambria" w:eastAsia="Cambria" w:hAnsi="Cambria" w:cs="Cambria"/>
          <w:sz w:val="20"/>
          <w:szCs w:val="20"/>
        </w:rPr>
      </w:pPr>
    </w:p>
    <w:p w14:paraId="1221E152" w14:textId="77777777" w:rsidR="00102D01" w:rsidRPr="00102D01" w:rsidRDefault="00102D01" w:rsidP="00102D01">
      <w:pPr>
        <w:widowControl w:val="0"/>
        <w:jc w:val="both"/>
        <w:rPr>
          <w:rFonts w:ascii="Cambria" w:eastAsia="Cambria" w:hAnsi="Cambria" w:cs="Cambria"/>
          <w:b/>
          <w:bCs/>
          <w:sz w:val="20"/>
          <w:szCs w:val="20"/>
        </w:rPr>
      </w:pPr>
      <w:r w:rsidRPr="00102D01">
        <w:rPr>
          <w:rFonts w:ascii="Cambria" w:hAnsi="Cambria"/>
          <w:sz w:val="20"/>
          <w:szCs w:val="20"/>
        </w:rPr>
        <w:t>Les palangriers américains sont tenus, par un programme de carnet de pêche obligatoire, de transmettre des informations détaillées sur chaque palangre déployée, incluant la configuration de l'engin, le nombre total d’hameçons déployés, l’heure des opérations de pêche, le lieu, le nombre de poissons ciblés capturés par espèce et de prises accessoires, y compris le sort des prises accessoires (par exemple remis à l’eau vivants ou rejetés morts).</w:t>
      </w:r>
    </w:p>
    <w:p w14:paraId="38CDB0C0" w14:textId="77777777" w:rsidR="00102D01" w:rsidRPr="00102D01" w:rsidRDefault="00102D01" w:rsidP="00102D01">
      <w:pPr>
        <w:widowControl w:val="0"/>
        <w:rPr>
          <w:rFonts w:ascii="Cambria" w:eastAsia="Cambria" w:hAnsi="Cambria" w:cs="Cambria"/>
          <w:sz w:val="20"/>
          <w:szCs w:val="20"/>
        </w:rPr>
      </w:pPr>
    </w:p>
    <w:p w14:paraId="460284CD"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 xml:space="preserve">Les palangriers pélagiques de l’Atlantique des États-Unis sont également tenus d’être équipés d’unités de système de surveillance des navires (VMS) homologués opérant 24 heures/24 et 7 j/7. En outre, depuis 2015, les États-Unis imposent aux navires de la catégorie Palangre pour les thonidés de l’Atlantique </w:t>
      </w:r>
      <w:r w:rsidRPr="00102D01">
        <w:rPr>
          <w:rFonts w:ascii="Cambria" w:hAnsi="Cambria"/>
          <w:sz w:val="20"/>
          <w:szCs w:val="20"/>
        </w:rPr>
        <w:lastRenderedPageBreak/>
        <w:t>d’installer, de faire fonctionner et de maintenir un système de surveillance électronique (EM) à bord du navire pour permettre de contrôler les rapports obligatoires des navires sur leurs interactions avec le BFT dans le cadre du programme national de gestion des quotas dénommé « programme de quota individuel de thon rouge (IBQ) ». Le programme IBQ exige que les palangriers pélagiques rendent compte des débarquements accidentels et des rejets morts de BFT par navire individuel.</w:t>
      </w:r>
    </w:p>
    <w:p w14:paraId="69AD7826" w14:textId="77777777" w:rsidR="00102D01" w:rsidRPr="00102D01" w:rsidRDefault="00102D01" w:rsidP="00102D01">
      <w:pPr>
        <w:widowControl w:val="0"/>
        <w:jc w:val="both"/>
        <w:rPr>
          <w:rFonts w:ascii="Cambria" w:eastAsia="Cambria" w:hAnsi="Cambria" w:cs="Cambria"/>
          <w:sz w:val="20"/>
          <w:szCs w:val="20"/>
        </w:rPr>
      </w:pPr>
    </w:p>
    <w:p w14:paraId="3EE7352D" w14:textId="77777777" w:rsidR="00102D01" w:rsidRPr="00102D01" w:rsidRDefault="00102D01" w:rsidP="00102D01">
      <w:pPr>
        <w:widowControl w:val="0"/>
        <w:jc w:val="both"/>
        <w:rPr>
          <w:rFonts w:ascii="Cambria" w:eastAsia="Cambria" w:hAnsi="Cambria" w:cs="Cambria"/>
          <w:i/>
          <w:iCs/>
          <w:sz w:val="20"/>
          <w:szCs w:val="20"/>
        </w:rPr>
      </w:pPr>
      <w:r w:rsidRPr="00102D01">
        <w:rPr>
          <w:rFonts w:ascii="Cambria" w:hAnsi="Cambria"/>
          <w:i/>
          <w:iCs/>
          <w:sz w:val="20"/>
          <w:szCs w:val="20"/>
        </w:rPr>
        <w:t>Gestion des prises accessoires</w:t>
      </w:r>
    </w:p>
    <w:p w14:paraId="46EFE45A" w14:textId="77777777" w:rsidR="00102D01" w:rsidRPr="00102D01" w:rsidRDefault="00102D01" w:rsidP="00102D01">
      <w:pPr>
        <w:widowControl w:val="0"/>
        <w:jc w:val="both"/>
        <w:rPr>
          <w:rFonts w:ascii="Cambria" w:eastAsia="Cambria" w:hAnsi="Cambria" w:cs="Cambria"/>
          <w:i/>
          <w:iCs/>
          <w:sz w:val="20"/>
          <w:szCs w:val="20"/>
        </w:rPr>
      </w:pPr>
    </w:p>
    <w:p w14:paraId="7C1824D6"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Les États-Unis ont pris de nombreuses mesures depuis 1999 visant à réduire les interactions avec les espèces non ciblées, les poissons sous-taille et les espèces protégées comme les tortues marines et les mammifères marins. Certaines de ces mesures consistent en des fermetures temporelles/spatiales, des restrictions d’engins (incluant l’utilisation obligatoire d’hameçons circulaires, d’appâts, l’établissement de la longueur des avançons et d’une longueur maximum pour les palangres dans certaines zones) et exigent que tous les propriétaires et capitaines de palangriers pélagiques assistent aux ateliers d’identification, de manipulation et de remise à l’eau en toute sécurité des espèces protégées.</w:t>
      </w:r>
    </w:p>
    <w:p w14:paraId="454A2545" w14:textId="77777777" w:rsidR="00102D01" w:rsidRPr="00102D01" w:rsidRDefault="00102D01" w:rsidP="00102D01">
      <w:pPr>
        <w:widowControl w:val="0"/>
        <w:rPr>
          <w:rFonts w:ascii="Cambria" w:eastAsia="Cambria" w:hAnsi="Cambria" w:cs="Cambria"/>
          <w:sz w:val="20"/>
          <w:szCs w:val="20"/>
        </w:rPr>
      </w:pPr>
    </w:p>
    <w:p w14:paraId="4884A7E6" w14:textId="77777777" w:rsidR="00102D01" w:rsidRPr="00102D01" w:rsidRDefault="00102D01" w:rsidP="00102D01">
      <w:pPr>
        <w:widowControl w:val="0"/>
        <w:jc w:val="both"/>
        <w:rPr>
          <w:rFonts w:ascii="Cambria" w:eastAsia="Cambria" w:hAnsi="Cambria" w:cs="Cambria"/>
          <w:i/>
          <w:iCs/>
          <w:sz w:val="20"/>
          <w:szCs w:val="20"/>
        </w:rPr>
      </w:pPr>
      <w:r w:rsidRPr="00102D01">
        <w:rPr>
          <w:rFonts w:ascii="Cambria" w:hAnsi="Cambria"/>
          <w:sz w:val="20"/>
          <w:szCs w:val="20"/>
        </w:rPr>
        <w:t>Le tableau de la section 2 comporte des informations détaillées sur la façon dont les États-Unis s’acquittent de leurs exigences en matière de contrôle des pêches et des prises accessoires conformément à la Recommandation 25-05 (BFT-W) en citant les réglementations correspondantes</w:t>
      </w:r>
      <w:r w:rsidRPr="00102D01">
        <w:rPr>
          <w:rFonts w:ascii="Cambria" w:hAnsi="Cambria"/>
          <w:i/>
          <w:iCs/>
          <w:sz w:val="20"/>
          <w:szCs w:val="20"/>
        </w:rPr>
        <w:t>.</w:t>
      </w:r>
    </w:p>
    <w:p w14:paraId="242A089C" w14:textId="77777777" w:rsidR="00102D01" w:rsidRPr="00102D01" w:rsidRDefault="00102D01" w:rsidP="00102D01">
      <w:pPr>
        <w:widowControl w:val="0"/>
        <w:jc w:val="both"/>
        <w:rPr>
          <w:rFonts w:ascii="Cambria" w:eastAsia="Cambria" w:hAnsi="Cambria" w:cs="Cambria"/>
          <w:b/>
          <w:bCs/>
          <w:i/>
          <w:iCs/>
          <w:sz w:val="20"/>
          <w:szCs w:val="20"/>
        </w:rPr>
      </w:pPr>
    </w:p>
    <w:p w14:paraId="7B990B48" w14:textId="77777777" w:rsidR="00102D01" w:rsidRPr="00102D01" w:rsidRDefault="00102D01" w:rsidP="00102D01">
      <w:pPr>
        <w:widowControl w:val="0"/>
        <w:jc w:val="both"/>
        <w:rPr>
          <w:rFonts w:ascii="Cambria" w:eastAsia="Cambria" w:hAnsi="Cambria" w:cs="Cambria"/>
          <w:b/>
          <w:bCs/>
          <w:i/>
          <w:iCs/>
          <w:color w:val="000000"/>
          <w:sz w:val="20"/>
          <w:szCs w:val="20"/>
        </w:rPr>
      </w:pPr>
      <w:r w:rsidRPr="00102D01">
        <w:rPr>
          <w:rFonts w:ascii="Cambria" w:hAnsi="Cambria"/>
          <w:b/>
          <w:bCs/>
          <w:i/>
          <w:iCs/>
          <w:color w:val="000000"/>
          <w:sz w:val="20"/>
          <w:szCs w:val="20"/>
        </w:rPr>
        <w:t>1 b) Quotas de flottille pour tous les secteurs (paragraphe 3)</w:t>
      </w:r>
    </w:p>
    <w:p w14:paraId="3952B55A" w14:textId="77777777" w:rsidR="00102D01" w:rsidRPr="00102D01" w:rsidRDefault="00102D01" w:rsidP="00102D01">
      <w:pPr>
        <w:widowControl w:val="0"/>
        <w:jc w:val="both"/>
        <w:rPr>
          <w:rFonts w:ascii="Cambria" w:eastAsia="Cambria" w:hAnsi="Cambria" w:cs="Cambria"/>
          <w:sz w:val="20"/>
          <w:szCs w:val="20"/>
        </w:rPr>
      </w:pPr>
    </w:p>
    <w:p w14:paraId="350422A0"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Les États-Unis allouent leur quota à six « catégories de quotas » (c.-à-d. les secteurs de la flottille du tableau ci-dessous) qui sont en lien avec les catégories de permis décrites ci-dessus et incluent cinq catégories de pêche et une catégorie de réserve (</w:t>
      </w:r>
      <w:r w:rsidRPr="00102D01">
        <w:rPr>
          <w:rFonts w:ascii="Cambria" w:hAnsi="Cambria"/>
          <w:i/>
          <w:iCs/>
          <w:sz w:val="20"/>
          <w:szCs w:val="20"/>
        </w:rPr>
        <w:t>cf.</w:t>
      </w:r>
      <w:r w:rsidRPr="00102D01">
        <w:rPr>
          <w:rFonts w:ascii="Cambria" w:hAnsi="Cambria"/>
          <w:sz w:val="20"/>
          <w:szCs w:val="20"/>
        </w:rPr>
        <w:t xml:space="preserve"> </w:t>
      </w:r>
      <w:r w:rsidRPr="00102D01">
        <w:rPr>
          <w:rFonts w:ascii="Cambria" w:hAnsi="Cambria"/>
          <w:color w:val="1155CC"/>
          <w:sz w:val="20"/>
          <w:szCs w:val="20"/>
        </w:rPr>
        <w:t>§ 635.27</w:t>
      </w:r>
      <w:r w:rsidRPr="00102D01">
        <w:rPr>
          <w:rFonts w:ascii="Cambria" w:hAnsi="Cambria"/>
          <w:sz w:val="20"/>
          <w:szCs w:val="20"/>
        </w:rPr>
        <w:t xml:space="preserve">). Les navires de la catégorie Affrètement/Bateau collectif pêchent </w:t>
      </w:r>
      <w:r w:rsidRPr="00102D01">
        <w:rPr>
          <w:rFonts w:ascii="Cambria" w:hAnsi="Cambria"/>
          <w:b/>
          <w:sz w:val="20"/>
          <w:szCs w:val="20"/>
        </w:rPr>
        <w:t xml:space="preserve">soit </w:t>
      </w:r>
      <w:r w:rsidRPr="00102D01">
        <w:rPr>
          <w:rFonts w:ascii="Cambria" w:hAnsi="Cambria"/>
          <w:sz w:val="20"/>
          <w:szCs w:val="20"/>
        </w:rPr>
        <w:t xml:space="preserve">dans le cadre du quota de la catégorie Pêche à la ligne et de ses règlements récréatifs associés </w:t>
      </w:r>
      <w:r w:rsidRPr="00102D01">
        <w:rPr>
          <w:rFonts w:ascii="Cambria" w:hAnsi="Cambria"/>
          <w:b/>
          <w:bCs/>
          <w:sz w:val="20"/>
          <w:szCs w:val="20"/>
        </w:rPr>
        <w:t>soit</w:t>
      </w:r>
      <w:r w:rsidRPr="00102D01">
        <w:rPr>
          <w:rFonts w:ascii="Cambria" w:hAnsi="Cambria"/>
          <w:sz w:val="20"/>
          <w:szCs w:val="20"/>
        </w:rPr>
        <w:t xml:space="preserve"> dans le cadre du quota de la catégorie Générique et de ses règlements commerciaux associés.</w:t>
      </w:r>
    </w:p>
    <w:p w14:paraId="7AB1214C" w14:textId="77777777" w:rsidR="00102D01" w:rsidRPr="00102D01" w:rsidRDefault="00102D01" w:rsidP="00102D01">
      <w:pPr>
        <w:widowControl w:val="0"/>
        <w:rPr>
          <w:rFonts w:ascii="Cambria" w:eastAsia="Cambria" w:hAnsi="Cambria" w:cs="Cambria"/>
          <w:sz w:val="20"/>
          <w:szCs w:val="20"/>
        </w:rPr>
      </w:pPr>
    </w:p>
    <w:p w14:paraId="78576441"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Le tableau suivant indique les quotas de base pour 2025.</w:t>
      </w:r>
    </w:p>
    <w:p w14:paraId="4BAE175C" w14:textId="77777777" w:rsidR="00102D01" w:rsidRPr="00102D01" w:rsidRDefault="00102D01" w:rsidP="00102D01">
      <w:pPr>
        <w:widowControl w:val="0"/>
        <w:rPr>
          <w:rFonts w:ascii="Cambria" w:eastAsia="Cambria" w:hAnsi="Cambria" w:cs="Cambria"/>
          <w:sz w:val="20"/>
          <w:szCs w:val="20"/>
        </w:rPr>
      </w:pPr>
    </w:p>
    <w:tbl>
      <w:tblPr>
        <w:tblpPr w:leftFromText="180" w:rightFromText="180" w:vertAnchor="text" w:tblpXSpec="center" w:tblpY="3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176"/>
        <w:gridCol w:w="2884"/>
      </w:tblGrid>
      <w:tr w:rsidR="00102D01" w:rsidRPr="00102D01" w14:paraId="2C177594" w14:textId="77777777">
        <w:trPr>
          <w:trHeight w:val="268"/>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0C3071A" w14:textId="77777777" w:rsidR="00102D01" w:rsidRPr="00102D01" w:rsidRDefault="00102D01" w:rsidP="00102D01">
            <w:pPr>
              <w:jc w:val="center"/>
              <w:rPr>
                <w:rFonts w:ascii="Cambria" w:eastAsia="Cambria" w:hAnsi="Cambria" w:cs="Cambria"/>
                <w:i/>
                <w:iCs/>
                <w:sz w:val="20"/>
                <w:szCs w:val="20"/>
              </w:rPr>
            </w:pPr>
            <w:r w:rsidRPr="00102D01">
              <w:rPr>
                <w:rFonts w:ascii="Cambria" w:hAnsi="Cambria"/>
                <w:i/>
                <w:iCs/>
                <w:sz w:val="20"/>
                <w:szCs w:val="20"/>
              </w:rPr>
              <w:t>Secteur de la flottille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4F452C1" w14:textId="77777777" w:rsidR="00102D01" w:rsidRPr="00102D01" w:rsidRDefault="00102D01" w:rsidP="00102D01">
            <w:pPr>
              <w:jc w:val="center"/>
              <w:rPr>
                <w:rFonts w:ascii="Cambria" w:eastAsia="Cambria" w:hAnsi="Cambria" w:cs="Cambria"/>
                <w:i/>
                <w:iCs/>
                <w:sz w:val="20"/>
                <w:szCs w:val="20"/>
                <w:vertAlign w:val="superscript"/>
              </w:rPr>
            </w:pPr>
            <w:r w:rsidRPr="00102D01">
              <w:rPr>
                <w:rFonts w:ascii="Cambria" w:hAnsi="Cambria"/>
                <w:i/>
                <w:iCs/>
                <w:sz w:val="20"/>
                <w:szCs w:val="20"/>
              </w:rPr>
              <w:t>Quota alloué (t)</w:t>
            </w:r>
            <w:r w:rsidRPr="00102D01">
              <w:rPr>
                <w:rFonts w:ascii="Cambria" w:hAnsi="Cambria"/>
                <w:i/>
                <w:iCs/>
                <w:sz w:val="20"/>
                <w:szCs w:val="20"/>
                <w:vertAlign w:val="superscript"/>
              </w:rPr>
              <w:t>1</w:t>
            </w:r>
          </w:p>
        </w:tc>
      </w:tr>
      <w:tr w:rsidR="00102D01" w:rsidRPr="00102D01" w14:paraId="284763FE" w14:textId="77777777">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B0682D6" w14:textId="77777777" w:rsidR="00102D01" w:rsidRPr="00102D01" w:rsidRDefault="00102D01" w:rsidP="00102D01">
            <w:pPr>
              <w:jc w:val="both"/>
              <w:rPr>
                <w:rFonts w:ascii="Cambria" w:eastAsia="Cambria" w:hAnsi="Cambria" w:cs="Cambria"/>
                <w:sz w:val="20"/>
                <w:szCs w:val="20"/>
              </w:rPr>
            </w:pPr>
            <w:r w:rsidRPr="00102D01">
              <w:rPr>
                <w:rFonts w:ascii="Cambria" w:hAnsi="Cambria"/>
                <w:sz w:val="20"/>
                <w:szCs w:val="20"/>
              </w:rPr>
              <w:t>Catégorie Générique</w:t>
            </w:r>
          </w:p>
        </w:tc>
        <w:tc>
          <w:tcPr>
            <w:tcW w:w="0" w:type="auto"/>
            <w:tcBorders>
              <w:top w:val="single" w:sz="4" w:space="0" w:color="000000"/>
              <w:left w:val="single" w:sz="4" w:space="0" w:color="000000"/>
              <w:bottom w:val="single" w:sz="4" w:space="0" w:color="000000"/>
              <w:right w:val="single" w:sz="4" w:space="0" w:color="000000"/>
            </w:tcBorders>
            <w:hideMark/>
          </w:tcPr>
          <w:p w14:paraId="63D61DF0" w14:textId="77777777" w:rsidR="00102D01" w:rsidRPr="00102D01" w:rsidRDefault="00102D01" w:rsidP="00102D01">
            <w:pPr>
              <w:widowControl w:val="0"/>
              <w:jc w:val="right"/>
              <w:rPr>
                <w:rFonts w:ascii="Cambria" w:eastAsia="Cambria" w:hAnsi="Cambria" w:cs="Cambria"/>
                <w:sz w:val="20"/>
                <w:szCs w:val="20"/>
              </w:rPr>
            </w:pPr>
            <w:r w:rsidRPr="00102D01">
              <w:rPr>
                <w:rFonts w:ascii="Cambria" w:hAnsi="Cambria"/>
                <w:sz w:val="20"/>
                <w:szCs w:val="20"/>
              </w:rPr>
              <w:t>710,7</w:t>
            </w:r>
          </w:p>
        </w:tc>
      </w:tr>
      <w:tr w:rsidR="00102D01" w:rsidRPr="00102D01" w14:paraId="1C5220B5" w14:textId="77777777">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5D3DF03" w14:textId="77777777" w:rsidR="00102D01" w:rsidRPr="00102D01" w:rsidRDefault="00102D01" w:rsidP="00102D01">
            <w:pPr>
              <w:jc w:val="both"/>
              <w:rPr>
                <w:rFonts w:ascii="Cambria" w:eastAsia="Cambria" w:hAnsi="Cambria" w:cs="Cambria"/>
                <w:sz w:val="20"/>
                <w:szCs w:val="20"/>
              </w:rPr>
            </w:pPr>
            <w:r w:rsidRPr="00102D01">
              <w:rPr>
                <w:rFonts w:ascii="Cambria" w:hAnsi="Cambria"/>
                <w:sz w:val="20"/>
                <w:szCs w:val="20"/>
              </w:rPr>
              <w:t xml:space="preserve">Catégorie Harpon </w:t>
            </w:r>
          </w:p>
        </w:tc>
        <w:tc>
          <w:tcPr>
            <w:tcW w:w="0" w:type="auto"/>
            <w:tcBorders>
              <w:top w:val="single" w:sz="4" w:space="0" w:color="000000"/>
              <w:left w:val="single" w:sz="4" w:space="0" w:color="000000"/>
              <w:bottom w:val="single" w:sz="4" w:space="0" w:color="000000"/>
              <w:right w:val="single" w:sz="4" w:space="0" w:color="000000"/>
            </w:tcBorders>
            <w:hideMark/>
          </w:tcPr>
          <w:p w14:paraId="3C1F6AD4" w14:textId="77777777" w:rsidR="00102D01" w:rsidRPr="00102D01" w:rsidRDefault="00102D01" w:rsidP="00102D01">
            <w:pPr>
              <w:widowControl w:val="0"/>
              <w:jc w:val="right"/>
              <w:rPr>
                <w:rFonts w:ascii="Cambria" w:eastAsia="Cambria" w:hAnsi="Cambria" w:cs="Cambria"/>
                <w:sz w:val="20"/>
                <w:szCs w:val="20"/>
              </w:rPr>
            </w:pPr>
            <w:r w:rsidRPr="00102D01">
              <w:rPr>
                <w:rFonts w:ascii="Cambria" w:hAnsi="Cambria"/>
                <w:sz w:val="20"/>
                <w:szCs w:val="20"/>
              </w:rPr>
              <w:t>59,2</w:t>
            </w:r>
          </w:p>
        </w:tc>
      </w:tr>
      <w:tr w:rsidR="00102D01" w:rsidRPr="00102D01" w14:paraId="5F5B5778" w14:textId="77777777">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5BD837E" w14:textId="77777777" w:rsidR="00102D01" w:rsidRPr="00102D01" w:rsidRDefault="00102D01" w:rsidP="00102D01">
            <w:pPr>
              <w:jc w:val="both"/>
              <w:rPr>
                <w:rFonts w:ascii="Cambria" w:eastAsia="Cambria" w:hAnsi="Cambria" w:cs="Cambria"/>
                <w:sz w:val="20"/>
                <w:szCs w:val="20"/>
              </w:rPr>
            </w:pPr>
            <w:r w:rsidRPr="00102D01">
              <w:rPr>
                <w:rFonts w:ascii="Cambria" w:hAnsi="Cambria"/>
                <w:sz w:val="20"/>
                <w:szCs w:val="20"/>
              </w:rPr>
              <w:t>Catégorie Palangre</w:t>
            </w:r>
            <w:r w:rsidRPr="00102D01">
              <w:rPr>
                <w:rFonts w:ascii="Cambria" w:hAnsi="Cambria"/>
                <w:sz w:val="20"/>
                <w:szCs w:val="20"/>
                <w:vertAlign w:val="superscript"/>
              </w:rPr>
              <w:t>2</w:t>
            </w:r>
            <w:r w:rsidRPr="00102D01">
              <w:rPr>
                <w:rFonts w:ascii="Cambria" w:hAnsi="Cambria"/>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hideMark/>
          </w:tcPr>
          <w:p w14:paraId="226A340B" w14:textId="77777777" w:rsidR="00102D01" w:rsidRPr="00102D01" w:rsidRDefault="00102D01" w:rsidP="00102D01">
            <w:pPr>
              <w:widowControl w:val="0"/>
              <w:jc w:val="right"/>
              <w:rPr>
                <w:rFonts w:ascii="Cambria" w:eastAsia="Cambria" w:hAnsi="Cambria" w:cs="Cambria"/>
                <w:sz w:val="20"/>
                <w:szCs w:val="20"/>
              </w:rPr>
            </w:pPr>
            <w:r w:rsidRPr="00102D01">
              <w:rPr>
                <w:rFonts w:ascii="Cambria" w:hAnsi="Cambria"/>
                <w:sz w:val="20"/>
                <w:szCs w:val="20"/>
              </w:rPr>
              <w:t>209,3</w:t>
            </w:r>
          </w:p>
        </w:tc>
      </w:tr>
      <w:tr w:rsidR="00102D01" w:rsidRPr="00102D01" w14:paraId="4A27AD53" w14:textId="77777777">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4E378FC1" w14:textId="77777777" w:rsidR="00102D01" w:rsidRPr="00102D01" w:rsidRDefault="00102D01" w:rsidP="00102D01">
            <w:pPr>
              <w:jc w:val="both"/>
              <w:rPr>
                <w:rFonts w:ascii="Cambria" w:eastAsia="Cambria" w:hAnsi="Cambria" w:cs="Cambria"/>
                <w:sz w:val="20"/>
                <w:szCs w:val="20"/>
              </w:rPr>
            </w:pPr>
            <w:r w:rsidRPr="00102D01">
              <w:rPr>
                <w:rFonts w:ascii="Cambria" w:hAnsi="Cambria"/>
                <w:sz w:val="20"/>
                <w:szCs w:val="20"/>
              </w:rPr>
              <w:t xml:space="preserve">Catégorie Madrague </w:t>
            </w:r>
          </w:p>
        </w:tc>
        <w:tc>
          <w:tcPr>
            <w:tcW w:w="0" w:type="auto"/>
            <w:tcBorders>
              <w:top w:val="single" w:sz="4" w:space="0" w:color="000000"/>
              <w:left w:val="single" w:sz="4" w:space="0" w:color="000000"/>
              <w:bottom w:val="single" w:sz="4" w:space="0" w:color="000000"/>
              <w:right w:val="single" w:sz="4" w:space="0" w:color="000000"/>
            </w:tcBorders>
            <w:hideMark/>
          </w:tcPr>
          <w:p w14:paraId="4492ADF0" w14:textId="77777777" w:rsidR="00102D01" w:rsidRPr="00102D01" w:rsidRDefault="00102D01" w:rsidP="00102D01">
            <w:pPr>
              <w:widowControl w:val="0"/>
              <w:jc w:val="right"/>
              <w:rPr>
                <w:rFonts w:ascii="Cambria" w:eastAsia="Cambria" w:hAnsi="Cambria" w:cs="Cambria"/>
                <w:sz w:val="20"/>
                <w:szCs w:val="20"/>
              </w:rPr>
            </w:pPr>
            <w:r w:rsidRPr="00102D01">
              <w:rPr>
                <w:rFonts w:ascii="Cambria" w:hAnsi="Cambria"/>
                <w:sz w:val="20"/>
                <w:szCs w:val="20"/>
              </w:rPr>
              <w:t>1,3</w:t>
            </w:r>
          </w:p>
        </w:tc>
      </w:tr>
      <w:tr w:rsidR="00102D01" w:rsidRPr="00102D01" w14:paraId="4EABCEBC" w14:textId="77777777">
        <w:trPr>
          <w:trHeight w:val="31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F311A86" w14:textId="77777777" w:rsidR="00102D01" w:rsidRPr="00102D01" w:rsidRDefault="00102D01" w:rsidP="00102D01">
            <w:pPr>
              <w:rPr>
                <w:rFonts w:ascii="Cambria" w:eastAsia="Cambria" w:hAnsi="Cambria" w:cs="Cambria"/>
                <w:sz w:val="20"/>
                <w:szCs w:val="20"/>
              </w:rPr>
            </w:pPr>
            <w:r w:rsidRPr="00102D01">
              <w:rPr>
                <w:rFonts w:ascii="Cambria" w:hAnsi="Cambria"/>
                <w:sz w:val="20"/>
                <w:szCs w:val="20"/>
              </w:rPr>
              <w:t>Catégorie Pêche à la ligne (récréative)</w:t>
            </w:r>
          </w:p>
        </w:tc>
        <w:tc>
          <w:tcPr>
            <w:tcW w:w="0" w:type="auto"/>
            <w:tcBorders>
              <w:top w:val="single" w:sz="4" w:space="0" w:color="000000"/>
              <w:left w:val="single" w:sz="4" w:space="0" w:color="000000"/>
              <w:bottom w:val="single" w:sz="4" w:space="0" w:color="000000"/>
              <w:right w:val="single" w:sz="4" w:space="0" w:color="000000"/>
            </w:tcBorders>
            <w:hideMark/>
          </w:tcPr>
          <w:p w14:paraId="49D36A8F" w14:textId="77777777" w:rsidR="00102D01" w:rsidRPr="00102D01" w:rsidRDefault="00102D01" w:rsidP="00102D01">
            <w:pPr>
              <w:widowControl w:val="0"/>
              <w:jc w:val="right"/>
              <w:rPr>
                <w:rFonts w:ascii="Cambria" w:eastAsia="Cambria" w:hAnsi="Cambria" w:cs="Cambria"/>
                <w:sz w:val="20"/>
                <w:szCs w:val="20"/>
              </w:rPr>
            </w:pPr>
            <w:r w:rsidRPr="00102D01">
              <w:rPr>
                <w:rFonts w:ascii="Cambria" w:hAnsi="Cambria"/>
                <w:sz w:val="20"/>
                <w:szCs w:val="20"/>
              </w:rPr>
              <w:t>297,4</w:t>
            </w:r>
          </w:p>
        </w:tc>
      </w:tr>
      <w:tr w:rsidR="00102D01" w:rsidRPr="00102D01" w14:paraId="3858A9EE" w14:textId="77777777">
        <w:trPr>
          <w:trHeight w:val="31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026D385" w14:textId="77777777" w:rsidR="00102D01" w:rsidRPr="00102D01" w:rsidRDefault="00102D01" w:rsidP="00102D01">
            <w:pPr>
              <w:rPr>
                <w:rFonts w:ascii="Cambria" w:eastAsia="Cambria" w:hAnsi="Cambria" w:cs="Cambria"/>
                <w:sz w:val="20"/>
                <w:szCs w:val="20"/>
              </w:rPr>
            </w:pPr>
            <w:r w:rsidRPr="00102D01">
              <w:rPr>
                <w:rFonts w:ascii="Cambria" w:hAnsi="Cambria"/>
                <w:sz w:val="20"/>
                <w:szCs w:val="20"/>
              </w:rPr>
              <w:t>Catégorie Réserve</w:t>
            </w:r>
          </w:p>
        </w:tc>
        <w:tc>
          <w:tcPr>
            <w:tcW w:w="0" w:type="auto"/>
            <w:tcBorders>
              <w:top w:val="single" w:sz="4" w:space="0" w:color="000000"/>
              <w:left w:val="single" w:sz="4" w:space="0" w:color="000000"/>
              <w:bottom w:val="single" w:sz="4" w:space="0" w:color="000000"/>
              <w:right w:val="single" w:sz="4" w:space="0" w:color="000000"/>
            </w:tcBorders>
            <w:hideMark/>
          </w:tcPr>
          <w:p w14:paraId="5C8D6B42" w14:textId="77777777" w:rsidR="00102D01" w:rsidRPr="00102D01" w:rsidRDefault="00102D01" w:rsidP="00102D01">
            <w:pPr>
              <w:widowControl w:val="0"/>
              <w:jc w:val="right"/>
              <w:rPr>
                <w:rFonts w:ascii="Cambria" w:eastAsia="Cambria" w:hAnsi="Cambria" w:cs="Cambria"/>
                <w:sz w:val="20"/>
                <w:szCs w:val="20"/>
              </w:rPr>
            </w:pPr>
            <w:r w:rsidRPr="00102D01">
              <w:rPr>
                <w:rFonts w:ascii="Cambria" w:hAnsi="Cambria"/>
                <w:sz w:val="20"/>
                <w:szCs w:val="20"/>
              </w:rPr>
              <w:t>38,2</w:t>
            </w:r>
          </w:p>
        </w:tc>
      </w:tr>
      <w:tr w:rsidR="00102D01" w:rsidRPr="00102D01" w14:paraId="77D9672A" w14:textId="77777777">
        <w:trPr>
          <w:trHeight w:val="315"/>
        </w:trPr>
        <w:tc>
          <w:tcPr>
            <w:tcW w:w="0" w:type="auto"/>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C7BD8F7" w14:textId="77777777" w:rsidR="00102D01" w:rsidRPr="00102D01" w:rsidRDefault="00102D01" w:rsidP="00102D01">
            <w:pPr>
              <w:rPr>
                <w:rFonts w:ascii="Cambria" w:eastAsia="Cambria" w:hAnsi="Cambria" w:cs="Cambria"/>
                <w:b/>
                <w:bCs/>
                <w:sz w:val="20"/>
                <w:szCs w:val="20"/>
              </w:rPr>
            </w:pPr>
            <w:r w:rsidRPr="00102D01">
              <w:rPr>
                <w:rFonts w:ascii="Cambria" w:hAnsi="Cambria"/>
                <w:b/>
                <w:bCs/>
                <w:sz w:val="20"/>
                <w:szCs w:val="20"/>
              </w:rPr>
              <w:t>Total</w:t>
            </w:r>
          </w:p>
        </w:tc>
        <w:tc>
          <w:tcPr>
            <w:tcW w:w="0" w:type="auto"/>
            <w:tcBorders>
              <w:top w:val="single" w:sz="4" w:space="0" w:color="000000"/>
              <w:left w:val="single" w:sz="4" w:space="0" w:color="000000"/>
              <w:bottom w:val="single" w:sz="4" w:space="0" w:color="000000"/>
              <w:right w:val="single" w:sz="4" w:space="0" w:color="000000"/>
            </w:tcBorders>
            <w:shd w:val="clear" w:color="auto" w:fill="BFBFBF"/>
          </w:tcPr>
          <w:p w14:paraId="763F5CD6" w14:textId="77777777" w:rsidR="00102D01" w:rsidRPr="00102D01" w:rsidRDefault="00102D01" w:rsidP="00102D01">
            <w:pPr>
              <w:widowControl w:val="0"/>
              <w:jc w:val="right"/>
              <w:rPr>
                <w:rFonts w:ascii="Cambria" w:eastAsia="Cambria" w:hAnsi="Cambria" w:cs="Cambria"/>
                <w:b/>
                <w:bCs/>
                <w:sz w:val="20"/>
                <w:szCs w:val="20"/>
              </w:rPr>
            </w:pPr>
          </w:p>
        </w:tc>
      </w:tr>
      <w:tr w:rsidR="00102D01" w:rsidRPr="00102D01" w14:paraId="41F1CD72" w14:textId="77777777">
        <w:trPr>
          <w:trHeight w:val="31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A57A5F9" w14:textId="77777777" w:rsidR="00102D01" w:rsidRPr="00102D01" w:rsidRDefault="00102D01" w:rsidP="00102D01">
            <w:pPr>
              <w:jc w:val="both"/>
              <w:rPr>
                <w:rFonts w:ascii="Cambria" w:eastAsia="Cambria" w:hAnsi="Cambria" w:cs="Cambria"/>
                <w:b/>
                <w:bCs/>
                <w:sz w:val="20"/>
                <w:szCs w:val="20"/>
              </w:rPr>
            </w:pPr>
            <w:r w:rsidRPr="00102D01">
              <w:rPr>
                <w:rFonts w:ascii="Cambria" w:hAnsi="Cambria"/>
                <w:sz w:val="20"/>
                <w:szCs w:val="20"/>
              </w:rPr>
              <w:t xml:space="preserve">Quota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F873B11" w14:textId="77777777" w:rsidR="00102D01" w:rsidRPr="00102D01" w:rsidRDefault="00102D01" w:rsidP="00102D01">
            <w:pPr>
              <w:widowControl w:val="0"/>
              <w:jc w:val="right"/>
              <w:rPr>
                <w:rFonts w:ascii="Cambria" w:eastAsia="Cambria" w:hAnsi="Cambria" w:cs="Cambria"/>
                <w:b/>
                <w:bCs/>
                <w:sz w:val="20"/>
                <w:szCs w:val="20"/>
              </w:rPr>
            </w:pPr>
            <w:r w:rsidRPr="00102D01">
              <w:rPr>
                <w:rFonts w:ascii="Cambria" w:hAnsi="Cambria"/>
                <w:b/>
                <w:bCs/>
                <w:sz w:val="20"/>
                <w:szCs w:val="20"/>
              </w:rPr>
              <w:t>1.316,1</w:t>
            </w:r>
          </w:p>
        </w:tc>
      </w:tr>
      <w:tr w:rsidR="00102D01" w:rsidRPr="00102D01" w14:paraId="0381E034" w14:textId="77777777">
        <w:trPr>
          <w:trHeight w:val="31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463792F" w14:textId="77777777" w:rsidR="00102D01" w:rsidRPr="00102D01" w:rsidRDefault="00102D01" w:rsidP="00102D01">
            <w:pPr>
              <w:jc w:val="both"/>
              <w:rPr>
                <w:rFonts w:ascii="Cambria" w:eastAsia="Cambria" w:hAnsi="Cambria" w:cs="Cambria"/>
                <w:sz w:val="20"/>
                <w:szCs w:val="20"/>
              </w:rPr>
            </w:pPr>
            <w:r w:rsidRPr="00102D01">
              <w:rPr>
                <w:rFonts w:ascii="Cambria" w:hAnsi="Cambria"/>
                <w:sz w:val="20"/>
                <w:szCs w:val="20"/>
              </w:rPr>
              <w:t>Quota ajusté (le cas échéant, incluant report, surconsommation et transferts)</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72CFA0F" w14:textId="77777777" w:rsidR="00102D01" w:rsidRPr="00102D01" w:rsidRDefault="00102D01" w:rsidP="00102D01">
            <w:pPr>
              <w:widowControl w:val="0"/>
              <w:jc w:val="right"/>
              <w:rPr>
                <w:rFonts w:ascii="Cambria" w:eastAsia="Cambria" w:hAnsi="Cambria" w:cs="Cambria"/>
                <w:sz w:val="20"/>
                <w:szCs w:val="20"/>
              </w:rPr>
            </w:pPr>
            <w:r w:rsidRPr="00102D01">
              <w:rPr>
                <w:rFonts w:ascii="Cambria" w:hAnsi="Cambria"/>
                <w:sz w:val="20"/>
                <w:szCs w:val="20"/>
              </w:rPr>
              <w:t>1.199,9</w:t>
            </w:r>
          </w:p>
        </w:tc>
      </w:tr>
      <w:tr w:rsidR="00102D01" w:rsidRPr="00102D01" w14:paraId="65684609" w14:textId="77777777">
        <w:trPr>
          <w:trHeight w:val="315"/>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882DAB2" w14:textId="77777777" w:rsidR="00102D01" w:rsidRPr="00102D01" w:rsidRDefault="00102D01" w:rsidP="00102D01">
            <w:pPr>
              <w:jc w:val="both"/>
              <w:rPr>
                <w:rFonts w:ascii="Cambria" w:eastAsia="Cambria" w:hAnsi="Cambria" w:cs="Cambria"/>
                <w:b/>
                <w:bCs/>
                <w:sz w:val="20"/>
                <w:szCs w:val="20"/>
              </w:rPr>
            </w:pPr>
            <w:r w:rsidRPr="00102D01">
              <w:rPr>
                <w:rFonts w:ascii="Cambria" w:hAnsi="Cambria"/>
                <w:sz w:val="20"/>
                <w:szCs w:val="20"/>
              </w:rPr>
              <w:t>Pêche récréative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F0CB428" w14:textId="77777777" w:rsidR="00102D01" w:rsidRPr="00102D01" w:rsidRDefault="00102D01" w:rsidP="00102D01">
            <w:pPr>
              <w:widowControl w:val="0"/>
              <w:jc w:val="right"/>
              <w:rPr>
                <w:rFonts w:ascii="Cambria" w:eastAsia="Cambria" w:hAnsi="Cambria" w:cs="Cambria"/>
                <w:sz w:val="20"/>
                <w:szCs w:val="20"/>
              </w:rPr>
            </w:pPr>
            <w:r w:rsidRPr="00102D01">
              <w:rPr>
                <w:rFonts w:ascii="Cambria" w:hAnsi="Cambria"/>
                <w:sz w:val="20"/>
                <w:szCs w:val="20"/>
              </w:rPr>
              <w:t>(se reporter à la catégorie Pêche à la ligne ci-dessus)</w:t>
            </w:r>
          </w:p>
        </w:tc>
      </w:tr>
      <w:tr w:rsidR="00102D01" w:rsidRPr="00102D01" w14:paraId="4AD827AA" w14:textId="77777777">
        <w:trPr>
          <w:trHeight w:val="315"/>
        </w:trPr>
        <w:tc>
          <w:tcPr>
            <w:tcW w:w="0" w:type="auto"/>
            <w:tcBorders>
              <w:top w:val="single" w:sz="4" w:space="0" w:color="000000"/>
              <w:left w:val="single" w:sz="4" w:space="0" w:color="000000"/>
              <w:bottom w:val="single" w:sz="4" w:space="0" w:color="000000"/>
              <w:right w:val="single" w:sz="4" w:space="0" w:color="000000"/>
            </w:tcBorders>
            <w:vAlign w:val="center"/>
          </w:tcPr>
          <w:p w14:paraId="6C53A980" w14:textId="77777777" w:rsidR="00102D01" w:rsidRPr="00102D01" w:rsidRDefault="00102D01" w:rsidP="00102D01">
            <w:pPr>
              <w:rPr>
                <w:rFonts w:ascii="Cambria" w:eastAsia="Cambria" w:hAnsi="Cambria" w:cs="Cambria"/>
                <w:sz w:val="20"/>
                <w:szCs w:val="20"/>
              </w:rPr>
            </w:pPr>
            <w:r w:rsidRPr="00102D01">
              <w:rPr>
                <w:rFonts w:ascii="Cambria" w:hAnsi="Cambria"/>
                <w:sz w:val="20"/>
                <w:szCs w:val="20"/>
              </w:rPr>
              <w:t>Réserve pour prises accessoires (le cas échéant)</w:t>
            </w:r>
            <w:r w:rsidRPr="00102D01">
              <w:rPr>
                <w:rFonts w:ascii="Cambria" w:hAnsi="Cambria"/>
                <w:sz w:val="20"/>
                <w:szCs w:val="20"/>
                <w:vertAlign w:val="superscript"/>
              </w:rPr>
              <w:t>3</w:t>
            </w:r>
          </w:p>
          <w:p w14:paraId="609A725C" w14:textId="77777777" w:rsidR="00102D01" w:rsidRPr="00102D01" w:rsidRDefault="00102D01" w:rsidP="00102D01">
            <w:pPr>
              <w:rPr>
                <w:rFonts w:ascii="Cambria" w:eastAsia="Cambria" w:hAnsi="Cambria" w:cs="Cambria"/>
                <w:sz w:val="20"/>
                <w:szCs w:val="20"/>
              </w:rPr>
            </w:pPr>
          </w:p>
          <w:p w14:paraId="20220BC4" w14:textId="77777777" w:rsidR="00102D01" w:rsidRPr="00102D01" w:rsidRDefault="00102D01" w:rsidP="00102D01">
            <w:pPr>
              <w:rPr>
                <w:rFonts w:ascii="Cambria" w:eastAsia="Cambria" w:hAnsi="Cambria" w:cs="Cambria"/>
                <w:sz w:val="20"/>
                <w:szCs w:val="20"/>
              </w:rPr>
            </w:pPr>
            <w:r w:rsidRPr="00102D01">
              <w:rPr>
                <w:rFonts w:ascii="Cambria" w:hAnsi="Cambria"/>
                <w:i/>
                <w:iCs/>
                <w:sz w:val="20"/>
                <w:szCs w:val="20"/>
              </w:rPr>
              <w:t>(Allocation liée aux pêcheries palangrières dans les environs de la délimitation de l’unité de gestion et les zones adjacentes)</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52A1799" w14:textId="77777777" w:rsidR="00102D01" w:rsidRPr="00102D01" w:rsidRDefault="00102D01" w:rsidP="00102D01">
            <w:pPr>
              <w:widowControl w:val="0"/>
              <w:jc w:val="right"/>
              <w:rPr>
                <w:rFonts w:ascii="Cambria" w:eastAsia="Cambria" w:hAnsi="Cambria" w:cs="Cambria"/>
                <w:sz w:val="20"/>
                <w:szCs w:val="20"/>
              </w:rPr>
            </w:pPr>
            <w:r w:rsidRPr="00102D01">
              <w:rPr>
                <w:rFonts w:ascii="Cambria" w:hAnsi="Cambria"/>
                <w:sz w:val="20"/>
                <w:szCs w:val="20"/>
              </w:rPr>
              <w:t>25</w:t>
            </w:r>
          </w:p>
        </w:tc>
      </w:tr>
    </w:tbl>
    <w:p w14:paraId="617691DA" w14:textId="77777777" w:rsidR="00102D01" w:rsidRPr="00102D01" w:rsidRDefault="00102D01" w:rsidP="00102D01">
      <w:pPr>
        <w:widowControl w:val="0"/>
        <w:rPr>
          <w:rFonts w:ascii="Cambria" w:eastAsia="Cambria" w:hAnsi="Cambria" w:cs="Cambria"/>
          <w:sz w:val="20"/>
          <w:szCs w:val="20"/>
          <w:vertAlign w:val="superscript"/>
        </w:rPr>
      </w:pPr>
    </w:p>
    <w:p w14:paraId="1CC64405" w14:textId="77777777" w:rsidR="00102D01" w:rsidRPr="00102D01" w:rsidRDefault="00102D01" w:rsidP="00102D01">
      <w:pPr>
        <w:widowControl w:val="0"/>
        <w:jc w:val="both"/>
        <w:rPr>
          <w:rFonts w:ascii="Cambria" w:eastAsia="Cambria" w:hAnsi="Cambria" w:cs="Cambria"/>
          <w:sz w:val="16"/>
          <w:szCs w:val="16"/>
        </w:rPr>
      </w:pPr>
      <w:r w:rsidRPr="00102D01">
        <w:rPr>
          <w:rFonts w:ascii="Cambria" w:hAnsi="Cambria"/>
          <w:sz w:val="16"/>
          <w:szCs w:val="16"/>
          <w:vertAlign w:val="superscript"/>
        </w:rPr>
        <w:t xml:space="preserve">1 </w:t>
      </w:r>
      <w:r w:rsidRPr="00102D01">
        <w:rPr>
          <w:rFonts w:ascii="Cambria" w:hAnsi="Cambria"/>
          <w:sz w:val="16"/>
          <w:szCs w:val="16"/>
        </w:rPr>
        <w:t xml:space="preserve">Les quantités indiquées dans ce tableau reflètent les quotas de base établis au § 635.27(a) ; les quotas peuvent être ajustés au cours de l’année de pêche par des ajustements saisonniers tels que des transferts entre des secteurs de la flottille (c.-à-d. les catégories de quotas) ; le NMFS publie des actualisations à l’adresse : </w:t>
      </w:r>
      <w:hyperlink r:id="rId20" w:history="1">
        <w:r w:rsidRPr="00102D01">
          <w:rPr>
            <w:rFonts w:ascii="Cambria" w:hAnsi="Cambria"/>
            <w:color w:val="1155CC"/>
            <w:sz w:val="16"/>
            <w:szCs w:val="16"/>
          </w:rPr>
          <w:t>https://www.fisheries.noaa.gov/atlantic-highly-migratory-species/atlantic-highly-migratory-species-landings-updates</w:t>
        </w:r>
      </w:hyperlink>
    </w:p>
    <w:p w14:paraId="7D2C35E6" w14:textId="77777777" w:rsidR="00102D01" w:rsidRPr="00102D01" w:rsidRDefault="00102D01" w:rsidP="00102D01">
      <w:pPr>
        <w:widowControl w:val="0"/>
        <w:jc w:val="both"/>
        <w:rPr>
          <w:rFonts w:ascii="Cambria" w:eastAsia="Cambria" w:hAnsi="Cambria" w:cs="Cambria"/>
          <w:sz w:val="16"/>
          <w:szCs w:val="16"/>
        </w:rPr>
      </w:pPr>
      <w:r w:rsidRPr="00102D01">
        <w:rPr>
          <w:rFonts w:ascii="Cambria" w:hAnsi="Cambria"/>
          <w:sz w:val="16"/>
          <w:szCs w:val="16"/>
          <w:vertAlign w:val="superscript"/>
        </w:rPr>
        <w:t>2</w:t>
      </w:r>
      <w:r w:rsidRPr="00102D01">
        <w:rPr>
          <w:rFonts w:ascii="Cambria" w:hAnsi="Cambria"/>
          <w:sz w:val="16"/>
          <w:szCs w:val="16"/>
        </w:rPr>
        <w:t xml:space="preserve"> Le quota de la catégorie Palangre est alloué aux titulaires de permis de la catégorie Palangre pour les thonidés de l’Atlantique éligibles en tant que quota individuel de thon rouge (IBQ). </w:t>
      </w:r>
    </w:p>
    <w:p w14:paraId="241CC0B4" w14:textId="77777777" w:rsidR="00102D01" w:rsidRPr="00102D01" w:rsidRDefault="00102D01" w:rsidP="00102D01">
      <w:pPr>
        <w:widowControl w:val="0"/>
        <w:jc w:val="both"/>
        <w:rPr>
          <w:rFonts w:ascii="Cambria" w:eastAsia="Cambria" w:hAnsi="Cambria" w:cs="Cambria"/>
          <w:sz w:val="16"/>
          <w:szCs w:val="16"/>
        </w:rPr>
      </w:pPr>
      <w:r w:rsidRPr="00102D01">
        <w:rPr>
          <w:rFonts w:ascii="Cambria" w:hAnsi="Cambria"/>
          <w:sz w:val="16"/>
          <w:szCs w:val="16"/>
          <w:vertAlign w:val="superscript"/>
        </w:rPr>
        <w:t xml:space="preserve">3 </w:t>
      </w:r>
      <w:r w:rsidRPr="00102D01">
        <w:rPr>
          <w:rFonts w:ascii="Cambria" w:hAnsi="Cambria"/>
          <w:sz w:val="16"/>
          <w:szCs w:val="16"/>
        </w:rPr>
        <w:t>Bien que le modèle reflète le libellé concernant la réserve au titre des prises accessoires de la Rec. 25-05, le volume de quota alloué reflète la quantité appliquée à la saison de pêche 2025 conformément au paragraphe 5a de la Rec. 22-10.</w:t>
      </w:r>
    </w:p>
    <w:p w14:paraId="7E196E83" w14:textId="77777777" w:rsidR="00102D01" w:rsidRPr="00102D01" w:rsidRDefault="00102D01" w:rsidP="00102D01">
      <w:pPr>
        <w:widowControl w:val="0"/>
        <w:jc w:val="both"/>
        <w:rPr>
          <w:rFonts w:ascii="Cambria" w:eastAsia="Cambria" w:hAnsi="Cambria" w:cs="Cambria"/>
          <w:b/>
          <w:bCs/>
          <w:i/>
          <w:iCs/>
          <w:sz w:val="20"/>
          <w:szCs w:val="20"/>
        </w:rPr>
      </w:pPr>
    </w:p>
    <w:p w14:paraId="30B18F7A" w14:textId="77777777" w:rsidR="00102D01" w:rsidRPr="00102D01" w:rsidRDefault="00102D01" w:rsidP="00102D01">
      <w:pPr>
        <w:widowControl w:val="0"/>
        <w:jc w:val="both"/>
        <w:rPr>
          <w:rFonts w:ascii="Cambria" w:eastAsia="Cambria" w:hAnsi="Cambria" w:cs="Cambria"/>
          <w:b/>
          <w:bCs/>
          <w:color w:val="000000"/>
          <w:sz w:val="20"/>
          <w:szCs w:val="20"/>
        </w:rPr>
      </w:pPr>
      <w:r w:rsidRPr="00102D01">
        <w:rPr>
          <w:rFonts w:ascii="Cambria" w:hAnsi="Cambria"/>
          <w:b/>
          <w:bCs/>
          <w:i/>
          <w:iCs/>
          <w:color w:val="000000"/>
          <w:sz w:val="20"/>
          <w:szCs w:val="20"/>
        </w:rPr>
        <w:lastRenderedPageBreak/>
        <w:t>1 c) Méthode utilisée pour allouer et gérer ces quotas (paragraphe 3)</w:t>
      </w:r>
    </w:p>
    <w:p w14:paraId="26DA06C6" w14:textId="77777777" w:rsidR="00102D01" w:rsidRPr="00102D01" w:rsidRDefault="00102D01" w:rsidP="00102D01">
      <w:pPr>
        <w:widowControl w:val="0"/>
        <w:jc w:val="both"/>
        <w:rPr>
          <w:rFonts w:ascii="Cambria" w:eastAsia="Cambria" w:hAnsi="Cambria" w:cs="Cambria"/>
          <w:color w:val="000000"/>
          <w:sz w:val="20"/>
          <w:szCs w:val="20"/>
        </w:rPr>
      </w:pPr>
    </w:p>
    <w:p w14:paraId="1542B066"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 xml:space="preserve">L'allocation du quota annuel des États-Unis se conforme aux allocations établies dans le plan de gestion des pêches de HMS et ses amendements, tel que reflété dans les règlements sur les quotas du § 635.27(a). </w:t>
      </w:r>
    </w:p>
    <w:p w14:paraId="3A76040F" w14:textId="77777777" w:rsidR="00102D01" w:rsidRPr="00102D01" w:rsidRDefault="00102D01" w:rsidP="00102D01">
      <w:pPr>
        <w:widowControl w:val="0"/>
        <w:jc w:val="both"/>
        <w:rPr>
          <w:rFonts w:ascii="Cambria" w:eastAsia="Cambria" w:hAnsi="Cambria" w:cs="Cambria"/>
          <w:sz w:val="20"/>
          <w:szCs w:val="20"/>
        </w:rPr>
      </w:pPr>
    </w:p>
    <w:p w14:paraId="5C868678"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 xml:space="preserve">Le processus d'allocation des IBQ est décrit au § 635.15. </w:t>
      </w:r>
    </w:p>
    <w:p w14:paraId="2FE18D53" w14:textId="77777777" w:rsidR="00102D01" w:rsidRPr="00102D01" w:rsidRDefault="00102D01" w:rsidP="00102D01">
      <w:pPr>
        <w:widowControl w:val="0"/>
        <w:jc w:val="both"/>
        <w:rPr>
          <w:rFonts w:ascii="Cambria" w:eastAsia="Cambria" w:hAnsi="Cambria" w:cs="Cambria"/>
          <w:sz w:val="20"/>
          <w:szCs w:val="20"/>
        </w:rPr>
      </w:pPr>
    </w:p>
    <w:p w14:paraId="7AF779EC"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Le NMFS ferme les pêcheries lorsqu’un quota de BFT a été atteint ou devrait être atteint pour une catégorie individuelle. À la date et l’heure effectives de la fermeture et par la suite, pour le restant de l’année de pêche ou pour une période indiquée, il est interdit de pêcher, de retenir, de posséder ou de débarquer du BFT dans le cadre de ce quota jusqu’à l’ouverture de la période de quota suivante ou jusqu’à une date précisée.</w:t>
      </w:r>
    </w:p>
    <w:p w14:paraId="030D4B99" w14:textId="77777777" w:rsidR="00102D01" w:rsidRPr="00102D01" w:rsidRDefault="00102D01" w:rsidP="00102D01">
      <w:pPr>
        <w:widowControl w:val="0"/>
        <w:jc w:val="both"/>
        <w:rPr>
          <w:rFonts w:ascii="Cambria" w:eastAsia="Cambria" w:hAnsi="Cambria" w:cs="Cambria"/>
          <w:sz w:val="20"/>
          <w:szCs w:val="20"/>
        </w:rPr>
      </w:pPr>
    </w:p>
    <w:p w14:paraId="3019DF9C"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Si le NMFS détermine que des variations de la distribution saisonnière, de l’abondance ou des schémas de migration de BFT, ou le taux de capture dans une zone, privent les participants d’une autre zone d’une possibilité raisonnable de pêcher tout quota alloué aux catégories nationales, comme indiqué au</w:t>
      </w:r>
      <w:hyperlink r:id="rId21" w:anchor="p-635.27(a)" w:history="1">
        <w:r w:rsidRPr="00102D01">
          <w:rPr>
            <w:rFonts w:ascii="Cambria" w:hAnsi="Cambria"/>
            <w:sz w:val="20"/>
            <w:szCs w:val="20"/>
          </w:rPr>
          <w:t xml:space="preserve"> </w:t>
        </w:r>
      </w:hyperlink>
      <w:r w:rsidRPr="00102D01">
        <w:rPr>
          <w:rFonts w:ascii="Cambria" w:hAnsi="Cambria"/>
          <w:color w:val="1155CC"/>
          <w:sz w:val="20"/>
          <w:szCs w:val="20"/>
        </w:rPr>
        <w:t>§ 635.27(a)</w:t>
      </w:r>
      <w:r w:rsidRPr="00102D01">
        <w:rPr>
          <w:rFonts w:ascii="Cambria" w:hAnsi="Cambria"/>
          <w:sz w:val="20"/>
          <w:szCs w:val="20"/>
        </w:rPr>
        <w:t>, le NMFS peut fermer la totalité ou une partie de la pêcherie relevant de cette catégorie. Le NMFS peut rouvrir la pêcherie à une date ultérieure s’il détermine que des possibilités de pêche raisonnables sont disponibles, par exemple si des BFT ont migré dans la zone ou si les conditions météorologiques sont propices à la pêche. Lorsqu’il détermine la nécessité de cette fermeture provisoire ou fermeture spatiale, le NMFS prendra également en considération plusieurs critères qui sont également pris en compte pour les transferts de quotas entre les catégories de quotas et l’ajustement des limites de rétention (</w:t>
      </w:r>
      <w:r w:rsidRPr="00102D01">
        <w:rPr>
          <w:rFonts w:ascii="Cambria" w:hAnsi="Cambria"/>
          <w:i/>
          <w:sz w:val="20"/>
          <w:szCs w:val="20"/>
        </w:rPr>
        <w:t>cf.</w:t>
      </w:r>
      <w:hyperlink r:id="rId22" w:anchor="p-635.27(a)(7)" w:history="1">
        <w:r w:rsidRPr="00102D01">
          <w:rPr>
            <w:rFonts w:ascii="Cambria" w:hAnsi="Cambria"/>
            <w:sz w:val="20"/>
            <w:szCs w:val="20"/>
          </w:rPr>
          <w:t xml:space="preserve"> </w:t>
        </w:r>
      </w:hyperlink>
      <w:r w:rsidRPr="00102D01">
        <w:rPr>
          <w:rFonts w:ascii="Cambria" w:hAnsi="Cambria"/>
          <w:color w:val="1155CC"/>
          <w:sz w:val="20"/>
          <w:szCs w:val="20"/>
        </w:rPr>
        <w:t>§ 635.27(a)(7)</w:t>
      </w:r>
      <w:r w:rsidRPr="00102D01">
        <w:rPr>
          <w:rFonts w:ascii="Cambria" w:hAnsi="Cambria"/>
          <w:sz w:val="20"/>
          <w:szCs w:val="20"/>
        </w:rPr>
        <w:t>).</w:t>
      </w:r>
    </w:p>
    <w:p w14:paraId="6BA431E6" w14:textId="77777777" w:rsidR="00102D01" w:rsidRPr="00102D01" w:rsidRDefault="00102D01" w:rsidP="00102D01">
      <w:pPr>
        <w:widowControl w:val="0"/>
        <w:jc w:val="both"/>
        <w:rPr>
          <w:rFonts w:ascii="Cambria" w:eastAsia="Cambria" w:hAnsi="Cambria" w:cs="Cambria"/>
          <w:i/>
          <w:iCs/>
          <w:color w:val="000000"/>
          <w:sz w:val="20"/>
          <w:szCs w:val="20"/>
        </w:rPr>
      </w:pPr>
    </w:p>
    <w:p w14:paraId="151B2750" w14:textId="77777777" w:rsidR="00102D01" w:rsidRPr="00102D01" w:rsidRDefault="00102D01" w:rsidP="00102D01">
      <w:pPr>
        <w:widowControl w:val="0"/>
        <w:jc w:val="both"/>
        <w:rPr>
          <w:rFonts w:ascii="Cambria" w:eastAsia="Cambria" w:hAnsi="Cambria" w:cs="Cambria"/>
          <w:b/>
          <w:bCs/>
          <w:i/>
          <w:iCs/>
          <w:color w:val="000000"/>
          <w:sz w:val="20"/>
          <w:szCs w:val="20"/>
        </w:rPr>
      </w:pPr>
      <w:r w:rsidRPr="00102D01">
        <w:rPr>
          <w:rFonts w:ascii="Cambria" w:hAnsi="Cambria"/>
          <w:b/>
          <w:bCs/>
          <w:i/>
          <w:iCs/>
          <w:color w:val="000000"/>
          <w:sz w:val="20"/>
          <w:szCs w:val="20"/>
        </w:rPr>
        <w:t>1 d) Ajustement pour surconsommation et sous-consommation (paragraphe 8)</w:t>
      </w:r>
    </w:p>
    <w:p w14:paraId="4DBFEB1F" w14:textId="77777777" w:rsidR="00102D01" w:rsidRPr="00102D01" w:rsidRDefault="00102D01" w:rsidP="00102D01">
      <w:pPr>
        <w:widowControl w:val="0"/>
        <w:jc w:val="both"/>
        <w:rPr>
          <w:rFonts w:ascii="Cambria" w:eastAsia="Cambria" w:hAnsi="Cambria" w:cs="Cambria"/>
          <w:color w:val="000000"/>
          <w:sz w:val="20"/>
          <w:szCs w:val="20"/>
        </w:rPr>
      </w:pPr>
    </w:p>
    <w:p w14:paraId="56ABF3E7" w14:textId="77777777" w:rsidR="00102D01" w:rsidRPr="00102D01" w:rsidRDefault="00102D01" w:rsidP="00102D01">
      <w:pPr>
        <w:jc w:val="both"/>
        <w:rPr>
          <w:rFonts w:ascii="Cambria" w:eastAsia="Cambria" w:hAnsi="Cambria" w:cs="Cambria"/>
          <w:sz w:val="20"/>
          <w:szCs w:val="20"/>
        </w:rPr>
      </w:pPr>
      <w:r w:rsidRPr="00102D01">
        <w:rPr>
          <w:rFonts w:ascii="Cambria" w:hAnsi="Cambria"/>
          <w:sz w:val="20"/>
          <w:szCs w:val="20"/>
        </w:rPr>
        <w:t xml:space="preserve">Pour l’année de pêche 2025, les États-Unis ont ajusté leur quota en raison d’une surconsommation comme suit : </w:t>
      </w:r>
    </w:p>
    <w:p w14:paraId="1DB8D77C" w14:textId="77777777" w:rsidR="00102D01" w:rsidRPr="00102D01" w:rsidRDefault="00102D01" w:rsidP="00102D01">
      <w:pPr>
        <w:jc w:val="both"/>
        <w:rPr>
          <w:rFonts w:ascii="Cambria" w:eastAsia="Cambria" w:hAnsi="Cambria" w:cs="Cambria"/>
          <w:sz w:val="20"/>
          <w:szCs w:val="20"/>
        </w:rPr>
      </w:pPr>
    </w:p>
    <w:p w14:paraId="572F7F78" w14:textId="77777777" w:rsidR="00102D01" w:rsidRPr="00102D01" w:rsidRDefault="00102D01" w:rsidP="00102D01">
      <w:pPr>
        <w:jc w:val="both"/>
        <w:rPr>
          <w:rFonts w:ascii="Cambria" w:eastAsia="Cambria" w:hAnsi="Cambria" w:cs="Cambria"/>
          <w:sz w:val="20"/>
          <w:szCs w:val="20"/>
        </w:rPr>
      </w:pPr>
      <w:r w:rsidRPr="00102D01">
        <w:rPr>
          <w:rFonts w:ascii="Cambria" w:hAnsi="Cambria"/>
          <w:sz w:val="20"/>
          <w:szCs w:val="20"/>
        </w:rPr>
        <w:t>quota initial de 2025 : 1.341,14 t (1.316,14 t + 25 t de prises accessoires conformément au paragraphe 5a de la Rec. 22-10)</w:t>
      </w:r>
    </w:p>
    <w:p w14:paraId="543A0D1D" w14:textId="77777777" w:rsidR="00102D01" w:rsidRPr="00102D01" w:rsidRDefault="00102D01" w:rsidP="00102D01">
      <w:pPr>
        <w:jc w:val="both"/>
        <w:rPr>
          <w:rFonts w:ascii="Cambria" w:eastAsia="Cambria" w:hAnsi="Cambria" w:cs="Cambria"/>
          <w:sz w:val="20"/>
          <w:szCs w:val="20"/>
        </w:rPr>
      </w:pPr>
    </w:p>
    <w:p w14:paraId="5215E84D" w14:textId="77777777" w:rsidR="00102D01" w:rsidRPr="00102D01" w:rsidRDefault="00102D01" w:rsidP="00102D01">
      <w:pPr>
        <w:jc w:val="both"/>
        <w:rPr>
          <w:rFonts w:ascii="Cambria" w:hAnsi="Cambria"/>
          <w:sz w:val="20"/>
          <w:szCs w:val="20"/>
        </w:rPr>
      </w:pPr>
      <w:r w:rsidRPr="00102D01">
        <w:rPr>
          <w:rFonts w:ascii="Cambria" w:hAnsi="Cambria"/>
          <w:sz w:val="20"/>
          <w:szCs w:val="20"/>
        </w:rPr>
        <w:t>sous/surconsommation de 2024 (quota ajusté de 2024 – capture de 2024) : 1.475,25 t - 1.616,43 t = -141,18 t (c.-à-d. surconsommation de 141,18 t)</w:t>
      </w:r>
    </w:p>
    <w:p w14:paraId="2D7DB8DA" w14:textId="77777777" w:rsidR="00102D01" w:rsidRPr="00102D01" w:rsidRDefault="00102D01" w:rsidP="00102D01">
      <w:pPr>
        <w:jc w:val="both"/>
        <w:rPr>
          <w:rFonts w:ascii="Cambria" w:hAnsi="Cambria"/>
          <w:sz w:val="20"/>
          <w:szCs w:val="20"/>
        </w:rPr>
      </w:pPr>
    </w:p>
    <w:p w14:paraId="4B2945BB" w14:textId="77777777" w:rsidR="00102D01" w:rsidRPr="00102D01" w:rsidRDefault="00102D01" w:rsidP="00102D01">
      <w:pPr>
        <w:jc w:val="both"/>
        <w:rPr>
          <w:rFonts w:ascii="Cambria" w:eastAsia="Cambria" w:hAnsi="Cambria" w:cs="Cambria"/>
          <w:sz w:val="20"/>
          <w:szCs w:val="20"/>
        </w:rPr>
      </w:pPr>
      <w:r w:rsidRPr="00102D01">
        <w:rPr>
          <w:rFonts w:ascii="Cambria" w:hAnsi="Cambria"/>
          <w:sz w:val="20"/>
          <w:szCs w:val="20"/>
        </w:rPr>
        <w:t>quota ajusté de 2025 (quota initial de 2025 - surconsommation) :  1.341,14 t -141,18 t = 1.199,96 t</w:t>
      </w:r>
    </w:p>
    <w:p w14:paraId="0964FC2A" w14:textId="77777777" w:rsidR="00102D01" w:rsidRPr="00102D01" w:rsidRDefault="00102D01" w:rsidP="00102D01">
      <w:pPr>
        <w:jc w:val="both"/>
        <w:rPr>
          <w:rFonts w:ascii="Cambria" w:eastAsia="Cambria" w:hAnsi="Cambria" w:cs="Cambria"/>
          <w:sz w:val="20"/>
          <w:szCs w:val="20"/>
        </w:rPr>
      </w:pPr>
    </w:p>
    <w:p w14:paraId="022A99F3" w14:textId="77777777" w:rsidR="00102D01" w:rsidRPr="00102D01" w:rsidRDefault="00102D01" w:rsidP="00102D01">
      <w:pPr>
        <w:jc w:val="both"/>
        <w:rPr>
          <w:rFonts w:ascii="Cambria" w:eastAsia="Cambria" w:hAnsi="Cambria" w:cs="Cambria"/>
          <w:sz w:val="20"/>
          <w:szCs w:val="20"/>
        </w:rPr>
      </w:pPr>
      <w:r w:rsidRPr="00102D01">
        <w:rPr>
          <w:rFonts w:ascii="Cambria" w:hAnsi="Cambria"/>
          <w:sz w:val="20"/>
          <w:szCs w:val="20"/>
        </w:rPr>
        <w:t>En ce qui concerne le BFT &lt;115 cm, la tolérance initiale pour le BFT de cette taille pour 2024 et 2025 était de 134,1 t (10 % du quota initial total, 1.341,41t). En 2024, il y a eu une surconsommation de 18,5 t de la tolérance (c.-à-d. 152,6 t - 134,1 t). Conformément au paragraphe 10, la tolérance ajustée de BFT &lt;115 cm pour 2025 était de 115,6 t (c.-à-d. 134,14 t - 18,5 t). La capture de BFT &lt;115 cm en 2025 était de 100,78 t (c.-à-d. 87 % de la tolérance ajustée pour 2025 et 8,4% du quota ajusté de 2025).</w:t>
      </w:r>
    </w:p>
    <w:p w14:paraId="3760A5B7" w14:textId="77777777" w:rsidR="00102D01" w:rsidRPr="00102D01" w:rsidRDefault="00102D01" w:rsidP="00102D01">
      <w:pPr>
        <w:jc w:val="both"/>
        <w:rPr>
          <w:rFonts w:ascii="Cambria" w:eastAsia="Cambria" w:hAnsi="Cambria" w:cs="Cambria"/>
          <w:sz w:val="20"/>
          <w:szCs w:val="20"/>
        </w:rPr>
      </w:pPr>
    </w:p>
    <w:p w14:paraId="11C23E4B" w14:textId="77777777" w:rsidR="00102D01" w:rsidRPr="00102D01" w:rsidRDefault="00102D01" w:rsidP="00102D01">
      <w:pPr>
        <w:widowControl w:val="0"/>
        <w:jc w:val="both"/>
        <w:rPr>
          <w:rFonts w:ascii="Cambria" w:eastAsia="Cambria" w:hAnsi="Cambria" w:cs="Cambria"/>
          <w:sz w:val="20"/>
          <w:szCs w:val="20"/>
        </w:rPr>
      </w:pPr>
      <w:r w:rsidRPr="00102D01">
        <w:rPr>
          <w:rFonts w:ascii="Cambria" w:eastAsia="Cambria" w:hAnsi="Cambria" w:cs="Cambria"/>
          <w:sz w:val="20"/>
          <w:szCs w:val="20"/>
        </w:rPr>
        <w:br w:type="page"/>
      </w:r>
    </w:p>
    <w:p w14:paraId="63DC816F" w14:textId="77777777" w:rsidR="00102D01" w:rsidRPr="00102D01" w:rsidRDefault="00102D01" w:rsidP="00102D01">
      <w:pPr>
        <w:tabs>
          <w:tab w:val="left" w:pos="426"/>
        </w:tabs>
        <w:rPr>
          <w:rFonts w:ascii="Cambria" w:eastAsia="Cambria" w:hAnsi="Cambria" w:cs="Cambria"/>
          <w:b/>
          <w:bCs/>
          <w:color w:val="000000"/>
          <w:sz w:val="20"/>
          <w:szCs w:val="20"/>
        </w:rPr>
      </w:pPr>
      <w:r w:rsidRPr="00102D01">
        <w:rPr>
          <w:rFonts w:ascii="Cambria" w:hAnsi="Cambria"/>
          <w:b/>
          <w:bCs/>
          <w:color w:val="000000"/>
          <w:sz w:val="20"/>
          <w:szCs w:val="20"/>
        </w:rPr>
        <w:lastRenderedPageBreak/>
        <w:t>2.</w:t>
      </w:r>
      <w:r w:rsidRPr="00102D01">
        <w:rPr>
          <w:rFonts w:ascii="Cambria" w:hAnsi="Cambria"/>
          <w:b/>
          <w:bCs/>
          <w:color w:val="000000"/>
          <w:sz w:val="20"/>
          <w:szCs w:val="20"/>
        </w:rPr>
        <w:tab/>
        <w:t>Mesures de contrôle des pêches et des prises accessoires (paragraphe 3)</w:t>
      </w:r>
    </w:p>
    <w:p w14:paraId="1D5E7663" w14:textId="77777777" w:rsidR="00102D01" w:rsidRPr="00102D01" w:rsidRDefault="00102D01" w:rsidP="00102D01">
      <w:pPr>
        <w:tabs>
          <w:tab w:val="left" w:pos="426"/>
        </w:tabs>
        <w:rPr>
          <w:rFonts w:ascii="Cambria" w:eastAsia="Cambria" w:hAnsi="Cambria" w:cs="Cambria"/>
          <w:color w:val="000000"/>
          <w:sz w:val="20"/>
          <w:szCs w:val="20"/>
        </w:rPr>
      </w:pP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35"/>
        <w:gridCol w:w="2035"/>
        <w:gridCol w:w="3726"/>
        <w:gridCol w:w="2352"/>
        <w:gridCol w:w="612"/>
      </w:tblGrid>
      <w:tr w:rsidR="00102D01" w:rsidRPr="00102D01" w14:paraId="7EEA9995" w14:textId="77777777">
        <w:trPr>
          <w:tblHeader/>
        </w:trPr>
        <w:tc>
          <w:tcPr>
            <w:tcW w:w="0" w:type="auto"/>
            <w:tcBorders>
              <w:top w:val="single" w:sz="4" w:space="0" w:color="000000"/>
              <w:left w:val="single" w:sz="4" w:space="0" w:color="000000"/>
              <w:bottom w:val="single" w:sz="4" w:space="0" w:color="000000"/>
              <w:right w:val="single" w:sz="4" w:space="0" w:color="000000"/>
            </w:tcBorders>
          </w:tcPr>
          <w:p w14:paraId="4BF07F7E" w14:textId="77777777" w:rsidR="00102D01" w:rsidRPr="00102D01" w:rsidRDefault="00102D01" w:rsidP="00102D01">
            <w:pPr>
              <w:widowControl w:val="0"/>
              <w:rPr>
                <w:rFonts w:ascii="Cambria" w:eastAsia="Cambria" w:hAnsi="Cambria" w:cs="Cambria"/>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57E235" w14:textId="77777777" w:rsidR="00102D01" w:rsidRPr="00102D01" w:rsidRDefault="00102D01" w:rsidP="00102D01">
            <w:pPr>
              <w:widowControl w:val="0"/>
              <w:jc w:val="center"/>
              <w:rPr>
                <w:rFonts w:ascii="Cambria" w:eastAsia="Cambria" w:hAnsi="Cambria" w:cs="Cambria"/>
                <w:i/>
                <w:iCs/>
                <w:sz w:val="20"/>
                <w:szCs w:val="20"/>
              </w:rPr>
            </w:pPr>
            <w:r w:rsidRPr="00102D01">
              <w:rPr>
                <w:rFonts w:ascii="Cambria" w:hAnsi="Cambria"/>
                <w:i/>
                <w:iCs/>
                <w:sz w:val="20"/>
                <w:szCs w:val="20"/>
              </w:rPr>
              <w:t xml:space="preserve">Exigence de l’ICCAT </w:t>
            </w:r>
            <w:r w:rsidRPr="00102D01">
              <w:rPr>
                <w:rFonts w:ascii="Cambria" w:hAnsi="Cambria"/>
                <w:sz w:val="20"/>
                <w:szCs w:val="20"/>
              </w:rPr>
              <w:t>(</w:t>
            </w:r>
            <w:r w:rsidRPr="00102D01">
              <w:rPr>
                <w:rFonts w:ascii="Cambria" w:hAnsi="Cambria"/>
                <w:i/>
                <w:iCs/>
                <w:sz w:val="20"/>
                <w:szCs w:val="20"/>
              </w:rPr>
              <w:t>c</w:t>
            </w:r>
            <w:r w:rsidRPr="00102D01">
              <w:rPr>
                <w:rFonts w:ascii="Cambria" w:hAnsi="Cambria"/>
                <w:i/>
                <w:sz w:val="20"/>
                <w:szCs w:val="20"/>
              </w:rPr>
              <w:t>onformément à la</w:t>
            </w:r>
            <w:r w:rsidRPr="00102D01">
              <w:rPr>
                <w:rFonts w:ascii="Cambria" w:hAnsi="Cambria"/>
                <w:sz w:val="20"/>
                <w:szCs w:val="20"/>
              </w:rPr>
              <w:t xml:space="preserve"> </w:t>
            </w:r>
            <w:hyperlink r:id="rId23" w:history="1">
              <w:r w:rsidRPr="00102D01">
                <w:rPr>
                  <w:rFonts w:ascii="Cambria" w:hAnsi="Cambria"/>
                  <w:i/>
                  <w:iCs/>
                  <w:color w:val="0563C1"/>
                  <w:sz w:val="20"/>
                  <w:szCs w:val="20"/>
                </w:rPr>
                <w:t>Rec.</w:t>
              </w:r>
            </w:hyperlink>
            <w:hyperlink r:id="rId24" w:history="1">
              <w:r w:rsidRPr="00102D01">
                <w:rPr>
                  <w:rFonts w:ascii="Cambria" w:hAnsi="Cambria"/>
                  <w:i/>
                  <w:iCs/>
                  <w:color w:val="0563C1"/>
                  <w:sz w:val="20"/>
                  <w:szCs w:val="20"/>
                </w:rPr>
                <w:t xml:space="preserve"> 25-05</w:t>
              </w:r>
            </w:hyperlink>
            <w:r w:rsidRPr="00102D01">
              <w:rPr>
                <w:rFonts w:ascii="Cambria" w:hAnsi="Cambria"/>
                <w:i/>
                <w:iCs/>
                <w:sz w:val="20"/>
                <w:szCs w:val="20"/>
              </w:rPr>
              <w: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A8DF881" w14:textId="77777777" w:rsidR="00102D01" w:rsidRPr="00102D01" w:rsidRDefault="00102D01" w:rsidP="00102D01">
            <w:pPr>
              <w:widowControl w:val="0"/>
              <w:jc w:val="center"/>
              <w:rPr>
                <w:rFonts w:ascii="Cambria" w:eastAsia="Cambria" w:hAnsi="Cambria" w:cs="Cambria"/>
                <w:i/>
                <w:iCs/>
                <w:sz w:val="20"/>
                <w:szCs w:val="20"/>
              </w:rPr>
            </w:pPr>
            <w:r w:rsidRPr="00102D01">
              <w:rPr>
                <w:rFonts w:ascii="Cambria" w:hAnsi="Cambria"/>
                <w:i/>
                <w:iCs/>
                <w:sz w:val="20"/>
                <w:szCs w:val="20"/>
              </w:rPr>
              <w:t>Explication des actions prises par la CPC à des fins de mise en œuvre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38319E5" w14:textId="77777777" w:rsidR="00102D01" w:rsidRPr="00102D01" w:rsidRDefault="00102D01" w:rsidP="00102D01">
            <w:pPr>
              <w:widowControl w:val="0"/>
              <w:jc w:val="center"/>
              <w:rPr>
                <w:rFonts w:ascii="Cambria" w:eastAsia="Cambria" w:hAnsi="Cambria" w:cs="Cambria"/>
                <w:i/>
                <w:iCs/>
                <w:sz w:val="20"/>
                <w:szCs w:val="20"/>
              </w:rPr>
            </w:pPr>
            <w:r w:rsidRPr="00102D01">
              <w:rPr>
                <w:rFonts w:ascii="Cambria" w:hAnsi="Cambria"/>
                <w:i/>
                <w:iCs/>
                <w:sz w:val="20"/>
                <w:szCs w:val="20"/>
              </w:rPr>
              <w:t>Lois ou réglementations nationales pertinentes (le cas échéant)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7854666" w14:textId="77777777" w:rsidR="00102D01" w:rsidRPr="00102D01" w:rsidRDefault="00102D01" w:rsidP="00102D01">
            <w:pPr>
              <w:widowControl w:val="0"/>
              <w:jc w:val="center"/>
              <w:rPr>
                <w:rFonts w:ascii="Cambria" w:eastAsia="Cambria" w:hAnsi="Cambria" w:cs="Cambria"/>
                <w:i/>
                <w:iCs/>
                <w:sz w:val="20"/>
                <w:szCs w:val="20"/>
              </w:rPr>
            </w:pPr>
            <w:r w:rsidRPr="00102D01">
              <w:rPr>
                <w:rFonts w:ascii="Cambria" w:hAnsi="Cambria"/>
                <w:i/>
                <w:iCs/>
                <w:sz w:val="20"/>
                <w:szCs w:val="20"/>
              </w:rPr>
              <w:t>Note</w:t>
            </w:r>
          </w:p>
        </w:tc>
      </w:tr>
      <w:tr w:rsidR="00102D01" w:rsidRPr="00102D01" w14:paraId="3C16FF44" w14:textId="77777777">
        <w:tc>
          <w:tcPr>
            <w:tcW w:w="0" w:type="auto"/>
            <w:tcBorders>
              <w:top w:val="single" w:sz="4" w:space="0" w:color="000000"/>
              <w:left w:val="single" w:sz="4" w:space="0" w:color="000000"/>
              <w:bottom w:val="single" w:sz="4" w:space="0" w:color="000000"/>
              <w:right w:val="single" w:sz="4" w:space="0" w:color="000000"/>
            </w:tcBorders>
            <w:hideMark/>
          </w:tcPr>
          <w:p w14:paraId="0912E3DD"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1</w:t>
            </w:r>
          </w:p>
        </w:tc>
        <w:tc>
          <w:tcPr>
            <w:tcW w:w="0" w:type="auto"/>
            <w:tcBorders>
              <w:top w:val="single" w:sz="4" w:space="0" w:color="000000"/>
              <w:left w:val="single" w:sz="4" w:space="0" w:color="000000"/>
              <w:bottom w:val="single" w:sz="4" w:space="0" w:color="000000"/>
              <w:right w:val="single" w:sz="4" w:space="0" w:color="000000"/>
            </w:tcBorders>
            <w:hideMark/>
          </w:tcPr>
          <w:p w14:paraId="34BC5D24"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Limites de l’effort et de la capacité (paragraphe 2)</w:t>
            </w:r>
          </w:p>
        </w:tc>
        <w:tc>
          <w:tcPr>
            <w:tcW w:w="0" w:type="auto"/>
            <w:tcBorders>
              <w:top w:val="single" w:sz="4" w:space="0" w:color="000000"/>
              <w:left w:val="single" w:sz="4" w:space="0" w:color="000000"/>
              <w:bottom w:val="single" w:sz="4" w:space="0" w:color="000000"/>
              <w:right w:val="single" w:sz="4" w:space="0" w:color="000000"/>
            </w:tcBorders>
            <w:hideMark/>
          </w:tcPr>
          <w:p w14:paraId="394E0F56"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Ne s’applique pas aux États-Unis.</w:t>
            </w:r>
          </w:p>
        </w:tc>
        <w:tc>
          <w:tcPr>
            <w:tcW w:w="0" w:type="auto"/>
            <w:tcBorders>
              <w:top w:val="single" w:sz="4" w:space="0" w:color="000000"/>
              <w:left w:val="single" w:sz="4" w:space="0" w:color="000000"/>
              <w:bottom w:val="single" w:sz="4" w:space="0" w:color="000000"/>
              <w:right w:val="single" w:sz="4" w:space="0" w:color="000000"/>
            </w:tcBorders>
          </w:tcPr>
          <w:p w14:paraId="02AF273E" w14:textId="77777777" w:rsidR="00102D01" w:rsidRPr="00102D01" w:rsidRDefault="00102D01" w:rsidP="00102D01">
            <w:pPr>
              <w:widowControl w:val="0"/>
              <w:rPr>
                <w:rFonts w:ascii="Cambria" w:eastAsia="Cambria" w:hAnsi="Cambria" w:cs="Cambria"/>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14813690" w14:textId="77777777" w:rsidR="00102D01" w:rsidRPr="00102D01" w:rsidRDefault="00102D01" w:rsidP="00102D01">
            <w:pPr>
              <w:widowControl w:val="0"/>
              <w:jc w:val="both"/>
              <w:rPr>
                <w:rFonts w:ascii="Cambria" w:eastAsia="Cambria" w:hAnsi="Cambria" w:cs="Cambria"/>
                <w:sz w:val="20"/>
                <w:szCs w:val="20"/>
              </w:rPr>
            </w:pPr>
          </w:p>
        </w:tc>
      </w:tr>
      <w:tr w:rsidR="00102D01" w:rsidRPr="00102D01" w14:paraId="4D14F479" w14:textId="77777777">
        <w:tc>
          <w:tcPr>
            <w:tcW w:w="0" w:type="auto"/>
            <w:tcBorders>
              <w:top w:val="single" w:sz="4" w:space="0" w:color="000000"/>
              <w:left w:val="single" w:sz="4" w:space="0" w:color="000000"/>
              <w:bottom w:val="single" w:sz="4" w:space="0" w:color="000000"/>
              <w:right w:val="single" w:sz="4" w:space="0" w:color="000000"/>
            </w:tcBorders>
            <w:hideMark/>
          </w:tcPr>
          <w:p w14:paraId="594BB316"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2</w:t>
            </w:r>
          </w:p>
        </w:tc>
        <w:tc>
          <w:tcPr>
            <w:tcW w:w="0" w:type="auto"/>
            <w:tcBorders>
              <w:top w:val="single" w:sz="4" w:space="0" w:color="000000"/>
              <w:left w:val="single" w:sz="4" w:space="0" w:color="000000"/>
              <w:bottom w:val="single" w:sz="4" w:space="0" w:color="000000"/>
              <w:right w:val="single" w:sz="4" w:space="0" w:color="000000"/>
            </w:tcBorders>
            <w:hideMark/>
          </w:tcPr>
          <w:p w14:paraId="48223599"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Exigences en matière de données et de déclaration</w:t>
            </w:r>
          </w:p>
          <w:p w14:paraId="636F09EB"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(paragraphes 18-19, 21, 23)</w:t>
            </w:r>
          </w:p>
        </w:tc>
        <w:tc>
          <w:tcPr>
            <w:tcW w:w="0" w:type="auto"/>
            <w:tcBorders>
              <w:top w:val="single" w:sz="4" w:space="0" w:color="000000"/>
              <w:left w:val="single" w:sz="4" w:space="0" w:color="000000"/>
              <w:bottom w:val="single" w:sz="4" w:space="0" w:color="000000"/>
              <w:right w:val="single" w:sz="4" w:space="0" w:color="000000"/>
            </w:tcBorders>
          </w:tcPr>
          <w:p w14:paraId="35DC6652"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Les États-Unis exigent que tous les navires titulaires d’un permis pour les HMS déclarent les captures de BFT (débarquements et rejets morts). Cela comprend :</w:t>
            </w:r>
          </w:p>
          <w:p w14:paraId="634E2B7B"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 l’</w:t>
            </w:r>
            <w:proofErr w:type="spellStart"/>
            <w:r w:rsidRPr="00102D01">
              <w:rPr>
                <w:rFonts w:ascii="Cambria" w:hAnsi="Cambria"/>
                <w:sz w:val="20"/>
                <w:szCs w:val="20"/>
              </w:rPr>
              <w:t>auto-déclaration</w:t>
            </w:r>
            <w:proofErr w:type="spellEnd"/>
            <w:r w:rsidRPr="00102D01">
              <w:rPr>
                <w:rFonts w:ascii="Cambria" w:hAnsi="Cambria"/>
                <w:sz w:val="20"/>
                <w:szCs w:val="20"/>
              </w:rPr>
              <w:t xml:space="preserve"> quotidienne des captures par le biais d’un système de déclaration des captures électronique dans les 24 h suivant le débarquement (secteur de la ligne à main) ;</w:t>
            </w:r>
          </w:p>
          <w:p w14:paraId="48E709C4"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 des rapports sur l’IBQ, les carnets de pêche, le VMS, l’EM et des observateurs (secteur de la palangre) ;</w:t>
            </w:r>
          </w:p>
          <w:p w14:paraId="626E763F"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 xml:space="preserve">- les marques de poissons et les fiches de pesée pour les poissons individuels vendus, des rapports sur l’IBQ et des rapports bimensuels et des rapports bimensuels (mareyeurs) ; </w:t>
            </w:r>
          </w:p>
          <w:p w14:paraId="42BB4B1E"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 xml:space="preserve">- des procédures alternatives de déclaration des captures de la pêche récréative (incluant des enquêtes par téléphone/ à quai et/ou par courrier) ; </w:t>
            </w:r>
          </w:p>
          <w:p w14:paraId="263D9DE2"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 des rapports de débarquement de part des opérateurs de tournois de pêche.</w:t>
            </w:r>
          </w:p>
          <w:p w14:paraId="24DEB4BB" w14:textId="77777777" w:rsidR="00102D01" w:rsidRPr="00102D01" w:rsidRDefault="00102D01" w:rsidP="00102D01">
            <w:pPr>
              <w:widowControl w:val="0"/>
              <w:rPr>
                <w:rFonts w:ascii="Cambria" w:eastAsia="Cambria" w:hAnsi="Cambria" w:cs="Cambria"/>
                <w:sz w:val="20"/>
                <w:szCs w:val="20"/>
              </w:rPr>
            </w:pPr>
          </w:p>
          <w:p w14:paraId="0EC8244E"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Tous les débarquements et les rejets morts sont décomptés du quota.</w:t>
            </w:r>
          </w:p>
          <w:p w14:paraId="2F258AEB" w14:textId="77777777" w:rsidR="00102D01" w:rsidRPr="00102D01" w:rsidRDefault="00102D01" w:rsidP="00102D01">
            <w:pPr>
              <w:widowControl w:val="0"/>
              <w:rPr>
                <w:rFonts w:ascii="Cambria" w:eastAsia="Cambria" w:hAnsi="Cambria" w:cs="Cambria"/>
                <w:sz w:val="20"/>
                <w:szCs w:val="20"/>
              </w:rPr>
            </w:pPr>
          </w:p>
          <w:p w14:paraId="4E4F3741"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Les États-Unis déclarent les captures mensuelles provisoires au Secrétariat.</w:t>
            </w:r>
          </w:p>
        </w:tc>
        <w:tc>
          <w:tcPr>
            <w:tcW w:w="0" w:type="auto"/>
            <w:tcBorders>
              <w:top w:val="single" w:sz="4" w:space="0" w:color="000000"/>
              <w:left w:val="single" w:sz="4" w:space="0" w:color="000000"/>
              <w:bottom w:val="single" w:sz="4" w:space="0" w:color="000000"/>
              <w:right w:val="single" w:sz="4" w:space="0" w:color="000000"/>
            </w:tcBorders>
          </w:tcPr>
          <w:p w14:paraId="5007A94E" w14:textId="77777777" w:rsidR="00102D01" w:rsidRPr="00102D01" w:rsidRDefault="00102D01" w:rsidP="00102D01">
            <w:pPr>
              <w:widowControl w:val="0"/>
              <w:rPr>
                <w:rFonts w:ascii="Cambria" w:eastAsia="Cambria" w:hAnsi="Cambria" w:cs="Cambria"/>
                <w:color w:val="1155CC"/>
                <w:sz w:val="20"/>
                <w:szCs w:val="20"/>
              </w:rPr>
            </w:pPr>
            <w:r w:rsidRPr="00102D01">
              <w:rPr>
                <w:rFonts w:ascii="Cambria" w:hAnsi="Cambria"/>
                <w:color w:val="1155CC"/>
                <w:sz w:val="20"/>
                <w:szCs w:val="20"/>
              </w:rPr>
              <w:t>CFR 635.5  titre 50</w:t>
            </w:r>
            <w:r w:rsidRPr="00102D01">
              <w:rPr>
                <w:rFonts w:ascii="Cambria" w:hAnsi="Cambria"/>
                <w:sz w:val="20"/>
                <w:szCs w:val="20"/>
              </w:rPr>
              <w:t>: Tenue des registres et déclaration</w:t>
            </w:r>
          </w:p>
          <w:p w14:paraId="50F6F65E" w14:textId="77777777" w:rsidR="00102D01" w:rsidRPr="00102D01" w:rsidRDefault="00102D01" w:rsidP="00102D01">
            <w:pPr>
              <w:widowControl w:val="0"/>
              <w:rPr>
                <w:rFonts w:ascii="Cambria" w:eastAsia="Cambria" w:hAnsi="Cambria" w:cs="Cambria"/>
                <w:color w:val="1155CC"/>
                <w:sz w:val="20"/>
                <w:szCs w:val="20"/>
              </w:rPr>
            </w:pPr>
          </w:p>
          <w:p w14:paraId="2D56569B"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xml:space="preserve">§ 635.7 : </w:t>
            </w:r>
            <w:r w:rsidRPr="00102D01">
              <w:rPr>
                <w:rFonts w:ascii="Cambria" w:hAnsi="Cambria"/>
                <w:sz w:val="20"/>
                <w:szCs w:val="20"/>
              </w:rPr>
              <w:t>Couverture par les observateurs en mer</w:t>
            </w:r>
          </w:p>
          <w:p w14:paraId="644545B5" w14:textId="77777777" w:rsidR="00102D01" w:rsidRPr="00102D01" w:rsidRDefault="00102D01" w:rsidP="00102D01">
            <w:pPr>
              <w:widowControl w:val="0"/>
              <w:rPr>
                <w:rFonts w:ascii="Cambria" w:eastAsia="Cambria" w:hAnsi="Cambria" w:cs="Cambria"/>
                <w:sz w:val="20"/>
                <w:szCs w:val="20"/>
              </w:rPr>
            </w:pPr>
          </w:p>
          <w:p w14:paraId="509022F2"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635.9 </w:t>
            </w:r>
            <w:r w:rsidRPr="00102D01">
              <w:rPr>
                <w:rFonts w:ascii="Cambria" w:hAnsi="Cambria"/>
                <w:sz w:val="20"/>
                <w:szCs w:val="20"/>
              </w:rPr>
              <w:t>: EM (Remarque : utilisé à des fins de contrôle national plutôt que pour satisfaire aux exigences de l’ICCAT en matière d’observateurs)</w:t>
            </w:r>
          </w:p>
          <w:p w14:paraId="449970DC" w14:textId="77777777" w:rsidR="00102D01" w:rsidRPr="00102D01" w:rsidRDefault="00102D01" w:rsidP="00102D01">
            <w:pPr>
              <w:widowControl w:val="0"/>
              <w:rPr>
                <w:rFonts w:ascii="Cambria" w:eastAsia="Cambria" w:hAnsi="Cambria" w:cs="Cambria"/>
                <w:sz w:val="20"/>
                <w:szCs w:val="20"/>
              </w:rPr>
            </w:pPr>
          </w:p>
          <w:p w14:paraId="4D8B84AF"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635.15 </w:t>
            </w:r>
            <w:r w:rsidRPr="00102D01">
              <w:rPr>
                <w:rFonts w:ascii="Cambria" w:hAnsi="Cambria"/>
                <w:sz w:val="20"/>
                <w:szCs w:val="20"/>
              </w:rPr>
              <w:t>: IBQ</w:t>
            </w:r>
          </w:p>
          <w:p w14:paraId="7C6E0277" w14:textId="77777777" w:rsidR="00102D01" w:rsidRPr="00102D01" w:rsidRDefault="00102D01" w:rsidP="00102D01">
            <w:pPr>
              <w:widowControl w:val="0"/>
              <w:rPr>
                <w:rFonts w:ascii="Cambria" w:eastAsia="Cambria" w:hAnsi="Cambria" w:cs="Cambria"/>
                <w:sz w:val="20"/>
                <w:szCs w:val="20"/>
              </w:rPr>
            </w:pPr>
          </w:p>
          <w:p w14:paraId="236187B8"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635.19 </w:t>
            </w:r>
            <w:r w:rsidRPr="00102D01">
              <w:rPr>
                <w:rFonts w:ascii="Cambria" w:hAnsi="Cambria"/>
                <w:sz w:val="20"/>
                <w:szCs w:val="20"/>
              </w:rPr>
              <w:t>: Engins autorisés</w:t>
            </w:r>
          </w:p>
          <w:p w14:paraId="6FA05450" w14:textId="77777777" w:rsidR="00102D01" w:rsidRPr="00102D01" w:rsidRDefault="00102D01" w:rsidP="00102D01">
            <w:pPr>
              <w:widowControl w:val="0"/>
              <w:rPr>
                <w:rFonts w:ascii="Cambria" w:eastAsia="Cambria" w:hAnsi="Cambria" w:cs="Cambria"/>
                <w:sz w:val="20"/>
                <w:szCs w:val="20"/>
              </w:rPr>
            </w:pPr>
          </w:p>
          <w:p w14:paraId="74CF8349"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635.69 </w:t>
            </w:r>
            <w:r w:rsidRPr="00102D01">
              <w:rPr>
                <w:rFonts w:ascii="Cambria" w:hAnsi="Cambria"/>
                <w:sz w:val="20"/>
                <w:szCs w:val="20"/>
              </w:rPr>
              <w:t>: VMS</w:t>
            </w:r>
          </w:p>
          <w:p w14:paraId="57EC7C08" w14:textId="77777777" w:rsidR="00102D01" w:rsidRPr="00102D01" w:rsidRDefault="00102D01" w:rsidP="00102D01">
            <w:pPr>
              <w:widowControl w:val="0"/>
              <w:rPr>
                <w:rFonts w:ascii="Cambria" w:eastAsia="Cambria" w:hAnsi="Cambria" w:cs="Cambria"/>
                <w:sz w:val="20"/>
                <w:szCs w:val="20"/>
              </w:rPr>
            </w:pPr>
          </w:p>
          <w:p w14:paraId="265F2A21" w14:textId="77777777" w:rsidR="00102D01" w:rsidRPr="00102D01" w:rsidRDefault="00102D01" w:rsidP="00102D01">
            <w:pPr>
              <w:widowControl w:val="0"/>
              <w:rPr>
                <w:rFonts w:ascii="Cambria" w:eastAsia="Cambria" w:hAnsi="Cambria" w:cs="Cambria"/>
                <w:sz w:val="20"/>
                <w:szCs w:val="20"/>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BE00B0E" w14:textId="77777777" w:rsidR="00102D01" w:rsidRPr="00102D01" w:rsidRDefault="00102D01" w:rsidP="00102D01">
            <w:pPr>
              <w:widowControl w:val="0"/>
              <w:jc w:val="center"/>
              <w:rPr>
                <w:rFonts w:ascii="Cambria" w:eastAsia="Cambria" w:hAnsi="Cambria" w:cs="Cambria"/>
                <w:i/>
                <w:iCs/>
                <w:sz w:val="20"/>
                <w:szCs w:val="20"/>
              </w:rPr>
            </w:pPr>
          </w:p>
        </w:tc>
      </w:tr>
      <w:tr w:rsidR="00102D01" w:rsidRPr="00102D01" w14:paraId="06E5203D" w14:textId="77777777">
        <w:tc>
          <w:tcPr>
            <w:tcW w:w="0" w:type="auto"/>
            <w:tcBorders>
              <w:top w:val="single" w:sz="4" w:space="0" w:color="000000"/>
              <w:left w:val="single" w:sz="4" w:space="0" w:color="000000"/>
              <w:bottom w:val="single" w:sz="4" w:space="0" w:color="000000"/>
              <w:right w:val="single" w:sz="4" w:space="0" w:color="000000"/>
            </w:tcBorders>
            <w:hideMark/>
          </w:tcPr>
          <w:p w14:paraId="37F39E60"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3</w:t>
            </w:r>
          </w:p>
        </w:tc>
        <w:tc>
          <w:tcPr>
            <w:tcW w:w="0" w:type="auto"/>
            <w:tcBorders>
              <w:top w:val="single" w:sz="4" w:space="0" w:color="000000"/>
              <w:left w:val="single" w:sz="4" w:space="0" w:color="000000"/>
              <w:bottom w:val="single" w:sz="4" w:space="0" w:color="000000"/>
              <w:right w:val="single" w:sz="4" w:space="0" w:color="000000"/>
            </w:tcBorders>
            <w:hideMark/>
          </w:tcPr>
          <w:p w14:paraId="180F893E"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Restrictions spatio-temporelles</w:t>
            </w:r>
          </w:p>
          <w:p w14:paraId="2710C420"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(paragraphe 13)</w:t>
            </w:r>
          </w:p>
        </w:tc>
        <w:tc>
          <w:tcPr>
            <w:tcW w:w="0" w:type="auto"/>
            <w:tcBorders>
              <w:top w:val="single" w:sz="4" w:space="0" w:color="000000"/>
              <w:left w:val="single" w:sz="4" w:space="0" w:color="000000"/>
              <w:bottom w:val="single" w:sz="4" w:space="0" w:color="000000"/>
              <w:right w:val="single" w:sz="4" w:space="0" w:color="000000"/>
            </w:tcBorders>
            <w:hideMark/>
          </w:tcPr>
          <w:p w14:paraId="4940C6BB"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Les États-Unis interdisent la pêche dirigée dans le golfe d’Amérique.</w:t>
            </w:r>
          </w:p>
        </w:tc>
        <w:tc>
          <w:tcPr>
            <w:tcW w:w="0" w:type="auto"/>
            <w:tcBorders>
              <w:top w:val="single" w:sz="4" w:space="0" w:color="000000"/>
              <w:left w:val="single" w:sz="4" w:space="0" w:color="000000"/>
              <w:bottom w:val="single" w:sz="4" w:space="0" w:color="000000"/>
              <w:right w:val="single" w:sz="4" w:space="0" w:color="000000"/>
            </w:tcBorders>
            <w:hideMark/>
          </w:tcPr>
          <w:p w14:paraId="5514DC3C"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635.23</w:t>
            </w:r>
            <w:r w:rsidRPr="00102D01">
              <w:rPr>
                <w:rFonts w:ascii="Cambria" w:hAnsi="Cambria"/>
                <w:sz w:val="20"/>
                <w:szCs w:val="20"/>
              </w:rPr>
              <w:t xml:space="preserve"> Limites de rétention pour le BFT.</w:t>
            </w:r>
          </w:p>
        </w:tc>
        <w:tc>
          <w:tcPr>
            <w:tcW w:w="0" w:type="auto"/>
            <w:tcBorders>
              <w:top w:val="single" w:sz="4" w:space="0" w:color="000000"/>
              <w:left w:val="single" w:sz="4" w:space="0" w:color="000000"/>
              <w:bottom w:val="single" w:sz="4" w:space="0" w:color="000000"/>
              <w:right w:val="single" w:sz="4" w:space="0" w:color="000000"/>
            </w:tcBorders>
          </w:tcPr>
          <w:p w14:paraId="1C51BDA5" w14:textId="77777777" w:rsidR="00102D01" w:rsidRPr="00102D01" w:rsidRDefault="00102D01" w:rsidP="00102D01">
            <w:pPr>
              <w:widowControl w:val="0"/>
              <w:jc w:val="both"/>
              <w:rPr>
                <w:rFonts w:ascii="Cambria" w:eastAsia="Cambria" w:hAnsi="Cambria" w:cs="Cambria"/>
                <w:sz w:val="20"/>
                <w:szCs w:val="20"/>
              </w:rPr>
            </w:pPr>
          </w:p>
        </w:tc>
      </w:tr>
      <w:tr w:rsidR="00102D01" w:rsidRPr="00102D01" w14:paraId="344DA64D" w14:textId="77777777">
        <w:tc>
          <w:tcPr>
            <w:tcW w:w="0" w:type="auto"/>
            <w:tcBorders>
              <w:top w:val="single" w:sz="4" w:space="0" w:color="000000"/>
              <w:left w:val="single" w:sz="4" w:space="0" w:color="000000"/>
              <w:bottom w:val="single" w:sz="4" w:space="0" w:color="000000"/>
              <w:right w:val="single" w:sz="4" w:space="0" w:color="000000"/>
            </w:tcBorders>
            <w:hideMark/>
          </w:tcPr>
          <w:p w14:paraId="1F12679B"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4</w:t>
            </w:r>
          </w:p>
        </w:tc>
        <w:tc>
          <w:tcPr>
            <w:tcW w:w="0" w:type="auto"/>
            <w:tcBorders>
              <w:top w:val="single" w:sz="4" w:space="0" w:color="000000"/>
              <w:left w:val="single" w:sz="4" w:space="0" w:color="000000"/>
              <w:bottom w:val="single" w:sz="4" w:space="0" w:color="000000"/>
              <w:right w:val="single" w:sz="4" w:space="0" w:color="000000"/>
            </w:tcBorders>
            <w:hideMark/>
          </w:tcPr>
          <w:p w14:paraId="201D5591"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sz w:val="20"/>
                <w:szCs w:val="20"/>
              </w:rPr>
              <w:t>Taille minimale et protection des petits poissons</w:t>
            </w:r>
            <w:r w:rsidRPr="00102D01">
              <w:rPr>
                <w:rFonts w:ascii="Cambria" w:hAnsi="Cambria"/>
                <w:b/>
                <w:bCs/>
                <w:sz w:val="20"/>
                <w:szCs w:val="20"/>
              </w:rPr>
              <w:t xml:space="preserve"> </w:t>
            </w:r>
          </w:p>
          <w:p w14:paraId="20684E41"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(paragraphes 9-10)</w:t>
            </w:r>
          </w:p>
        </w:tc>
        <w:tc>
          <w:tcPr>
            <w:tcW w:w="0" w:type="auto"/>
            <w:tcBorders>
              <w:top w:val="single" w:sz="4" w:space="0" w:color="000000"/>
              <w:left w:val="single" w:sz="4" w:space="0" w:color="000000"/>
              <w:bottom w:val="single" w:sz="4" w:space="0" w:color="000000"/>
              <w:right w:val="single" w:sz="4" w:space="0" w:color="000000"/>
            </w:tcBorders>
          </w:tcPr>
          <w:p w14:paraId="5C8EDE64"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Les États-Unis interdisent la rétention de BFT ayant une longueur courbée à la fourche de moins de 27 pouces (69 cm) (66 cm de longueur droite à la fourche).</w:t>
            </w:r>
          </w:p>
          <w:p w14:paraId="6FF686CE" w14:textId="77777777" w:rsidR="00102D01" w:rsidRPr="00102D01" w:rsidRDefault="00102D01" w:rsidP="00102D01">
            <w:pPr>
              <w:widowControl w:val="0"/>
              <w:rPr>
                <w:rFonts w:ascii="Cambria" w:eastAsia="Cambria" w:hAnsi="Cambria" w:cs="Cambria"/>
                <w:sz w:val="20"/>
                <w:szCs w:val="20"/>
              </w:rPr>
            </w:pPr>
          </w:p>
          <w:p w14:paraId="5F9E7CED"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Les États-Unis gèrent la pêcherie de BFT mesurant &lt; 115 cm de longueur droite (équivalant à 47 pouces ou 119 cm de longueur courbée à la fourche) conformément au niveau de tolérance visé au paragraphe 8 de la Rec. 22-10 de 10 % en poids du quota total de BFT des États-Unis.</w:t>
            </w:r>
          </w:p>
          <w:p w14:paraId="5E2B861C" w14:textId="77777777" w:rsidR="00102D01" w:rsidRPr="00102D01" w:rsidRDefault="00102D01" w:rsidP="00102D01">
            <w:pPr>
              <w:widowControl w:val="0"/>
              <w:rPr>
                <w:rFonts w:ascii="Cambria" w:eastAsia="Cambria" w:hAnsi="Cambria" w:cs="Cambria"/>
                <w:sz w:val="20"/>
                <w:szCs w:val="20"/>
              </w:rPr>
            </w:pPr>
          </w:p>
          <w:p w14:paraId="46C4BD3C"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Les États-Unis interdisent la vente de BFT mesurant &lt; 73 pouces (185 cm de longueur courbée à la fourche ou 178 cm de longueur droite à la fourche).</w:t>
            </w:r>
          </w:p>
        </w:tc>
        <w:tc>
          <w:tcPr>
            <w:tcW w:w="0" w:type="auto"/>
            <w:tcBorders>
              <w:top w:val="single" w:sz="4" w:space="0" w:color="000000"/>
              <w:left w:val="single" w:sz="4" w:space="0" w:color="000000"/>
              <w:bottom w:val="single" w:sz="4" w:space="0" w:color="000000"/>
              <w:right w:val="single" w:sz="4" w:space="0" w:color="000000"/>
            </w:tcBorders>
          </w:tcPr>
          <w:p w14:paraId="049C7134"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xml:space="preserve">§ 635.20 </w:t>
            </w:r>
            <w:r w:rsidRPr="00102D01">
              <w:rPr>
                <w:rFonts w:ascii="Cambria" w:hAnsi="Cambria"/>
                <w:sz w:val="20"/>
                <w:szCs w:val="20"/>
              </w:rPr>
              <w:t>: Limites de taille</w:t>
            </w:r>
          </w:p>
          <w:p w14:paraId="00AF9988" w14:textId="77777777" w:rsidR="00102D01" w:rsidRPr="00102D01" w:rsidRDefault="00102D01" w:rsidP="00102D01">
            <w:pPr>
              <w:widowControl w:val="0"/>
              <w:rPr>
                <w:rFonts w:ascii="Cambria" w:eastAsia="Cambria" w:hAnsi="Cambria" w:cs="Cambria"/>
                <w:sz w:val="20"/>
                <w:szCs w:val="20"/>
              </w:rPr>
            </w:pPr>
          </w:p>
          <w:p w14:paraId="6BA1AE60"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xml:space="preserve">§ 635.27 </w:t>
            </w:r>
            <w:r w:rsidRPr="00102D01">
              <w:rPr>
                <w:rFonts w:ascii="Cambria" w:hAnsi="Cambria"/>
                <w:sz w:val="20"/>
                <w:szCs w:val="20"/>
              </w:rPr>
              <w:t>: Quotas</w:t>
            </w:r>
          </w:p>
        </w:tc>
        <w:tc>
          <w:tcPr>
            <w:tcW w:w="0" w:type="auto"/>
            <w:tcBorders>
              <w:top w:val="single" w:sz="4" w:space="0" w:color="000000"/>
              <w:left w:val="single" w:sz="4" w:space="0" w:color="000000"/>
              <w:bottom w:val="single" w:sz="4" w:space="0" w:color="000000"/>
              <w:right w:val="single" w:sz="4" w:space="0" w:color="000000"/>
            </w:tcBorders>
          </w:tcPr>
          <w:p w14:paraId="34AB8D04" w14:textId="77777777" w:rsidR="00102D01" w:rsidRPr="00102D01" w:rsidRDefault="00102D01" w:rsidP="00102D01">
            <w:pPr>
              <w:widowControl w:val="0"/>
              <w:jc w:val="both"/>
              <w:rPr>
                <w:rFonts w:ascii="Cambria" w:eastAsia="Cambria" w:hAnsi="Cambria" w:cs="Cambria"/>
                <w:sz w:val="20"/>
                <w:szCs w:val="20"/>
              </w:rPr>
            </w:pPr>
          </w:p>
        </w:tc>
      </w:tr>
      <w:tr w:rsidR="00102D01" w:rsidRPr="00102D01" w14:paraId="74211743" w14:textId="77777777">
        <w:tc>
          <w:tcPr>
            <w:tcW w:w="0" w:type="auto"/>
            <w:tcBorders>
              <w:top w:val="single" w:sz="4" w:space="0" w:color="000000"/>
              <w:left w:val="single" w:sz="4" w:space="0" w:color="000000"/>
              <w:bottom w:val="single" w:sz="4" w:space="0" w:color="000000"/>
              <w:right w:val="single" w:sz="4" w:space="0" w:color="000000"/>
            </w:tcBorders>
            <w:hideMark/>
          </w:tcPr>
          <w:p w14:paraId="21F19544"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lastRenderedPageBreak/>
              <w:t>5</w:t>
            </w:r>
          </w:p>
        </w:tc>
        <w:tc>
          <w:tcPr>
            <w:tcW w:w="0" w:type="auto"/>
            <w:tcBorders>
              <w:top w:val="single" w:sz="4" w:space="0" w:color="000000"/>
              <w:left w:val="single" w:sz="4" w:space="0" w:color="000000"/>
              <w:bottom w:val="single" w:sz="4" w:space="0" w:color="000000"/>
              <w:right w:val="single" w:sz="4" w:space="0" w:color="000000"/>
            </w:tcBorders>
            <w:hideMark/>
          </w:tcPr>
          <w:p w14:paraId="4BF81B82"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 xml:space="preserve">Prises accessoires </w:t>
            </w:r>
          </w:p>
          <w:p w14:paraId="084420D9"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 xml:space="preserve">(paragraphe 6) </w:t>
            </w:r>
          </w:p>
        </w:tc>
        <w:tc>
          <w:tcPr>
            <w:tcW w:w="0" w:type="auto"/>
            <w:tcBorders>
              <w:top w:val="single" w:sz="4" w:space="0" w:color="000000"/>
              <w:left w:val="single" w:sz="4" w:space="0" w:color="000000"/>
              <w:bottom w:val="single" w:sz="4" w:space="0" w:color="000000"/>
              <w:right w:val="single" w:sz="4" w:space="0" w:color="000000"/>
            </w:tcBorders>
            <w:hideMark/>
          </w:tcPr>
          <w:p w14:paraId="38ACD769"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 xml:space="preserve">Pour 2025 et les années antérieures, les États-Unis ont appliqué l’allocation des États-Unis de 25 t dans la zone réglementée pour les engins de pêche du Nord-Est lointain (la zone de l'océan Atlantique délimitée par des lignes droites reliant les coordonnées géographiques suivantes dans l’ordre indiqué : 35°00′ N. lat., 60°00′ W. long.; 55°00′ N. lat., 60°00′ W. long.; 55°00′ N. lat., 20°00′ W. long.; 35°00′ N. lat., 20°00′ W. long.; 35°00′ N. lat., 60°00′ W. long.), et assujettie aux restrictions du programme d’IBQ. </w:t>
            </w:r>
          </w:p>
        </w:tc>
        <w:tc>
          <w:tcPr>
            <w:tcW w:w="0" w:type="auto"/>
            <w:tcBorders>
              <w:top w:val="single" w:sz="4" w:space="0" w:color="000000"/>
              <w:left w:val="single" w:sz="4" w:space="0" w:color="000000"/>
              <w:bottom w:val="single" w:sz="4" w:space="0" w:color="000000"/>
              <w:right w:val="single" w:sz="4" w:space="0" w:color="000000"/>
            </w:tcBorders>
          </w:tcPr>
          <w:p w14:paraId="59D0A1EC"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635.15 </w:t>
            </w:r>
            <w:r w:rsidRPr="00102D01">
              <w:rPr>
                <w:rFonts w:ascii="Cambria" w:hAnsi="Cambria"/>
                <w:sz w:val="20"/>
                <w:szCs w:val="20"/>
              </w:rPr>
              <w:t>: IBQ</w:t>
            </w:r>
          </w:p>
          <w:p w14:paraId="33E0BF37" w14:textId="77777777" w:rsidR="00102D01" w:rsidRPr="00102D01" w:rsidRDefault="00102D01" w:rsidP="00102D01">
            <w:pPr>
              <w:widowControl w:val="0"/>
              <w:rPr>
                <w:rFonts w:ascii="Cambria" w:eastAsia="Cambria" w:hAnsi="Cambria" w:cs="Cambria"/>
                <w:sz w:val="20"/>
                <w:szCs w:val="20"/>
              </w:rPr>
            </w:pPr>
          </w:p>
          <w:p w14:paraId="50146AB6"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635.21 </w:t>
            </w:r>
            <w:r w:rsidRPr="00102D01">
              <w:rPr>
                <w:rFonts w:ascii="Cambria" w:hAnsi="Cambria"/>
                <w:sz w:val="20"/>
                <w:szCs w:val="20"/>
              </w:rPr>
              <w:t>: Restrictions relatives au déploiement et au fonctionnement des engins de pêche</w:t>
            </w:r>
          </w:p>
        </w:tc>
        <w:tc>
          <w:tcPr>
            <w:tcW w:w="0" w:type="auto"/>
            <w:tcBorders>
              <w:top w:val="single" w:sz="4" w:space="0" w:color="000000"/>
              <w:left w:val="single" w:sz="4" w:space="0" w:color="000000"/>
              <w:bottom w:val="single" w:sz="4" w:space="0" w:color="000000"/>
              <w:right w:val="single" w:sz="4" w:space="0" w:color="000000"/>
            </w:tcBorders>
          </w:tcPr>
          <w:p w14:paraId="3A4E97C4" w14:textId="77777777" w:rsidR="00102D01" w:rsidRPr="00102D01" w:rsidRDefault="00102D01" w:rsidP="00102D01">
            <w:pPr>
              <w:widowControl w:val="0"/>
              <w:jc w:val="both"/>
              <w:rPr>
                <w:rFonts w:ascii="Cambria" w:eastAsia="Cambria" w:hAnsi="Cambria" w:cs="Cambria"/>
                <w:i/>
                <w:iCs/>
                <w:sz w:val="20"/>
                <w:szCs w:val="20"/>
              </w:rPr>
            </w:pPr>
          </w:p>
        </w:tc>
      </w:tr>
      <w:tr w:rsidR="00102D01" w:rsidRPr="00102D01" w14:paraId="442B0B55" w14:textId="77777777">
        <w:trPr>
          <w:trHeight w:val="718"/>
        </w:trPr>
        <w:tc>
          <w:tcPr>
            <w:tcW w:w="0" w:type="auto"/>
            <w:tcBorders>
              <w:top w:val="single" w:sz="4" w:space="0" w:color="000000"/>
              <w:left w:val="single" w:sz="4" w:space="0" w:color="000000"/>
              <w:bottom w:val="single" w:sz="4" w:space="0" w:color="000000"/>
              <w:right w:val="single" w:sz="4" w:space="0" w:color="000000"/>
            </w:tcBorders>
            <w:hideMark/>
          </w:tcPr>
          <w:p w14:paraId="3486561C"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6</w:t>
            </w:r>
          </w:p>
        </w:tc>
        <w:tc>
          <w:tcPr>
            <w:tcW w:w="0" w:type="auto"/>
            <w:tcBorders>
              <w:top w:val="single" w:sz="4" w:space="0" w:color="000000"/>
              <w:left w:val="single" w:sz="4" w:space="0" w:color="000000"/>
              <w:bottom w:val="single" w:sz="4" w:space="0" w:color="000000"/>
              <w:right w:val="single" w:sz="4" w:space="0" w:color="000000"/>
            </w:tcBorders>
            <w:hideMark/>
          </w:tcPr>
          <w:p w14:paraId="20A231E3"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Pêcheries récréatives [et sportives] (paragraphe 11)</w:t>
            </w:r>
          </w:p>
        </w:tc>
        <w:tc>
          <w:tcPr>
            <w:tcW w:w="0" w:type="auto"/>
            <w:tcBorders>
              <w:top w:val="single" w:sz="4" w:space="0" w:color="000000"/>
              <w:left w:val="single" w:sz="4" w:space="0" w:color="000000"/>
              <w:bottom w:val="single" w:sz="4" w:space="0" w:color="000000"/>
              <w:right w:val="single" w:sz="4" w:space="0" w:color="000000"/>
            </w:tcBorders>
            <w:hideMark/>
          </w:tcPr>
          <w:p w14:paraId="09609069"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Les États-Unis interdisent la vente de BFT capturés dans le cadre des pêcheries récréatives.</w:t>
            </w:r>
          </w:p>
        </w:tc>
        <w:tc>
          <w:tcPr>
            <w:tcW w:w="0" w:type="auto"/>
            <w:tcBorders>
              <w:top w:val="single" w:sz="4" w:space="0" w:color="000000"/>
              <w:left w:val="single" w:sz="4" w:space="0" w:color="000000"/>
              <w:bottom w:val="single" w:sz="4" w:space="0" w:color="000000"/>
              <w:right w:val="single" w:sz="4" w:space="0" w:color="000000"/>
            </w:tcBorders>
            <w:hideMark/>
          </w:tcPr>
          <w:p w14:paraId="5890AF6F"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635.31 </w:t>
            </w:r>
            <w:r w:rsidRPr="00102D01">
              <w:rPr>
                <w:rFonts w:ascii="Cambria" w:hAnsi="Cambria"/>
                <w:sz w:val="20"/>
                <w:szCs w:val="20"/>
              </w:rPr>
              <w:t>: Restrictions en matière d’achat et de vente</w:t>
            </w:r>
          </w:p>
        </w:tc>
        <w:tc>
          <w:tcPr>
            <w:tcW w:w="0" w:type="auto"/>
            <w:tcBorders>
              <w:top w:val="single" w:sz="4" w:space="0" w:color="000000"/>
              <w:left w:val="single" w:sz="4" w:space="0" w:color="000000"/>
              <w:bottom w:val="single" w:sz="4" w:space="0" w:color="000000"/>
              <w:right w:val="single" w:sz="4" w:space="0" w:color="000000"/>
            </w:tcBorders>
          </w:tcPr>
          <w:p w14:paraId="41A7245E" w14:textId="77777777" w:rsidR="00102D01" w:rsidRPr="00102D01" w:rsidRDefault="00102D01" w:rsidP="00102D01">
            <w:pPr>
              <w:widowControl w:val="0"/>
              <w:jc w:val="both"/>
              <w:rPr>
                <w:rFonts w:ascii="Cambria" w:eastAsia="Cambria" w:hAnsi="Cambria" w:cs="Cambria"/>
                <w:i/>
                <w:iCs/>
                <w:sz w:val="20"/>
                <w:szCs w:val="20"/>
              </w:rPr>
            </w:pPr>
          </w:p>
        </w:tc>
      </w:tr>
      <w:tr w:rsidR="00102D01" w:rsidRPr="00102D01" w14:paraId="13A68B18" w14:textId="77777777">
        <w:trPr>
          <w:trHeight w:val="302"/>
        </w:trPr>
        <w:tc>
          <w:tcPr>
            <w:tcW w:w="0" w:type="auto"/>
            <w:tcBorders>
              <w:top w:val="single" w:sz="4" w:space="0" w:color="000000"/>
              <w:left w:val="single" w:sz="4" w:space="0" w:color="000000"/>
              <w:bottom w:val="single" w:sz="4" w:space="0" w:color="000000"/>
              <w:right w:val="single" w:sz="4" w:space="0" w:color="000000"/>
            </w:tcBorders>
            <w:hideMark/>
          </w:tcPr>
          <w:p w14:paraId="425E85E9"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7</w:t>
            </w:r>
          </w:p>
        </w:tc>
        <w:tc>
          <w:tcPr>
            <w:tcW w:w="0" w:type="auto"/>
            <w:tcBorders>
              <w:top w:val="single" w:sz="4" w:space="0" w:color="000000"/>
              <w:left w:val="single" w:sz="4" w:space="0" w:color="000000"/>
              <w:bottom w:val="single" w:sz="4" w:space="0" w:color="000000"/>
              <w:right w:val="single" w:sz="4" w:space="0" w:color="000000"/>
            </w:tcBorders>
            <w:hideMark/>
          </w:tcPr>
          <w:p w14:paraId="3F4400CE" w14:textId="77777777" w:rsidR="00102D01" w:rsidRPr="00102D01" w:rsidRDefault="00102D01" w:rsidP="00102D01">
            <w:pPr>
              <w:widowControl w:val="0"/>
              <w:rPr>
                <w:rFonts w:ascii="Cambria" w:eastAsia="Cambria" w:hAnsi="Cambria" w:cs="Cambria"/>
                <w:b/>
                <w:bCs/>
                <w:sz w:val="20"/>
                <w:szCs w:val="20"/>
              </w:rPr>
            </w:pPr>
            <w:r w:rsidRPr="00102D01">
              <w:rPr>
                <w:rFonts w:ascii="Cambria" w:hAnsi="Cambria"/>
                <w:b/>
                <w:bCs/>
                <w:sz w:val="20"/>
                <w:szCs w:val="20"/>
              </w:rPr>
              <w:t>Transbordement en mer (paragraphe 14)</w:t>
            </w:r>
          </w:p>
        </w:tc>
        <w:tc>
          <w:tcPr>
            <w:tcW w:w="0" w:type="auto"/>
            <w:tcBorders>
              <w:top w:val="single" w:sz="4" w:space="0" w:color="000000"/>
              <w:left w:val="single" w:sz="4" w:space="0" w:color="000000"/>
              <w:bottom w:val="single" w:sz="4" w:space="0" w:color="000000"/>
              <w:right w:val="single" w:sz="4" w:space="0" w:color="000000"/>
            </w:tcBorders>
            <w:hideMark/>
          </w:tcPr>
          <w:p w14:paraId="2EDFAB6A" w14:textId="77777777" w:rsidR="00102D01" w:rsidRPr="00102D01" w:rsidRDefault="00102D01" w:rsidP="00102D01">
            <w:pPr>
              <w:widowControl w:val="0"/>
              <w:rPr>
                <w:rFonts w:ascii="Cambria" w:eastAsia="Cambria" w:hAnsi="Cambria" w:cs="Cambria"/>
                <w:sz w:val="20"/>
                <w:szCs w:val="20"/>
              </w:rPr>
            </w:pPr>
            <w:r w:rsidRPr="00102D01">
              <w:rPr>
                <w:rFonts w:ascii="Cambria" w:hAnsi="Cambria"/>
                <w:sz w:val="20"/>
                <w:szCs w:val="20"/>
              </w:rPr>
              <w:t>Les États-Unis interdisent le transbordement en mer d’espèces relevant de l’ICCAT.</w:t>
            </w:r>
          </w:p>
        </w:tc>
        <w:tc>
          <w:tcPr>
            <w:tcW w:w="0" w:type="auto"/>
            <w:tcBorders>
              <w:top w:val="single" w:sz="4" w:space="0" w:color="000000"/>
              <w:left w:val="single" w:sz="4" w:space="0" w:color="000000"/>
              <w:bottom w:val="single" w:sz="4" w:space="0" w:color="000000"/>
              <w:right w:val="single" w:sz="4" w:space="0" w:color="000000"/>
            </w:tcBorders>
            <w:hideMark/>
          </w:tcPr>
          <w:p w14:paraId="55BFCD69" w14:textId="77777777" w:rsidR="00102D01" w:rsidRPr="00102D01" w:rsidRDefault="00102D01" w:rsidP="00102D01">
            <w:pPr>
              <w:widowControl w:val="0"/>
              <w:rPr>
                <w:rFonts w:ascii="Cambria" w:eastAsia="Cambria" w:hAnsi="Cambria" w:cs="Cambria"/>
                <w:sz w:val="20"/>
                <w:szCs w:val="20"/>
              </w:rPr>
            </w:pPr>
            <w:r w:rsidRPr="00102D01">
              <w:rPr>
                <w:rFonts w:ascii="Cambria" w:hAnsi="Cambria"/>
                <w:color w:val="1155CC"/>
                <w:sz w:val="20"/>
                <w:szCs w:val="20"/>
              </w:rPr>
              <w:t>§ 635.29 </w:t>
            </w:r>
            <w:r w:rsidRPr="00102D01">
              <w:rPr>
                <w:rFonts w:ascii="Cambria" w:hAnsi="Cambria"/>
                <w:sz w:val="20"/>
                <w:szCs w:val="20"/>
              </w:rPr>
              <w:t>: Transfert en mer et transbordement</w:t>
            </w:r>
          </w:p>
        </w:tc>
        <w:tc>
          <w:tcPr>
            <w:tcW w:w="0" w:type="auto"/>
            <w:tcBorders>
              <w:top w:val="single" w:sz="4" w:space="0" w:color="000000"/>
              <w:left w:val="single" w:sz="4" w:space="0" w:color="000000"/>
              <w:bottom w:val="single" w:sz="4" w:space="0" w:color="000000"/>
              <w:right w:val="single" w:sz="4" w:space="0" w:color="000000"/>
            </w:tcBorders>
          </w:tcPr>
          <w:p w14:paraId="3A380F0F" w14:textId="77777777" w:rsidR="00102D01" w:rsidRPr="00102D01" w:rsidRDefault="00102D01" w:rsidP="00102D01">
            <w:pPr>
              <w:widowControl w:val="0"/>
              <w:jc w:val="both"/>
              <w:rPr>
                <w:rFonts w:ascii="Cambria" w:eastAsia="Cambria" w:hAnsi="Cambria" w:cs="Cambria"/>
                <w:i/>
                <w:iCs/>
                <w:sz w:val="20"/>
                <w:szCs w:val="20"/>
              </w:rPr>
            </w:pPr>
          </w:p>
        </w:tc>
      </w:tr>
    </w:tbl>
    <w:p w14:paraId="7732C69F" w14:textId="77777777" w:rsidR="00102D01" w:rsidRPr="00102D01" w:rsidRDefault="00102D01" w:rsidP="00102D01">
      <w:pPr>
        <w:widowControl w:val="0"/>
        <w:rPr>
          <w:rFonts w:ascii="Cambria" w:eastAsia="Cambria" w:hAnsi="Cambria" w:cs="Cambria"/>
          <w:i/>
          <w:iCs/>
          <w:color w:val="000000"/>
          <w:sz w:val="20"/>
          <w:szCs w:val="20"/>
        </w:rPr>
      </w:pPr>
    </w:p>
    <w:p w14:paraId="71FAB6B9" w14:textId="77777777" w:rsidR="00102D01" w:rsidRPr="00102D01" w:rsidRDefault="00102D01" w:rsidP="00102D01">
      <w:pPr>
        <w:widowControl w:val="0"/>
        <w:jc w:val="both"/>
        <w:rPr>
          <w:rFonts w:ascii="Cambria" w:eastAsia="Cambria" w:hAnsi="Cambria" w:cs="Cambria"/>
          <w:i/>
          <w:iCs/>
          <w:color w:val="000000"/>
          <w:sz w:val="20"/>
          <w:szCs w:val="20"/>
        </w:rPr>
      </w:pPr>
    </w:p>
    <w:p w14:paraId="3A40C5E0" w14:textId="77777777" w:rsidR="00102D01" w:rsidRPr="00102D01" w:rsidRDefault="00102D01" w:rsidP="00102D01">
      <w:pPr>
        <w:widowControl w:val="0"/>
        <w:tabs>
          <w:tab w:val="left" w:pos="426"/>
        </w:tabs>
        <w:ind w:left="426" w:hanging="426"/>
        <w:jc w:val="both"/>
        <w:rPr>
          <w:rFonts w:ascii="Cambria" w:eastAsia="Cambria" w:hAnsi="Cambria" w:cs="Cambria"/>
          <w:b/>
          <w:bCs/>
          <w:color w:val="000000"/>
          <w:sz w:val="20"/>
          <w:szCs w:val="20"/>
        </w:rPr>
      </w:pPr>
      <w:r w:rsidRPr="00102D01">
        <w:rPr>
          <w:rFonts w:ascii="Cambria" w:hAnsi="Cambria"/>
          <w:b/>
          <w:bCs/>
          <w:color w:val="000000"/>
          <w:sz w:val="20"/>
          <w:szCs w:val="20"/>
        </w:rPr>
        <w:t>3.</w:t>
      </w:r>
      <w:r w:rsidRPr="00102D01">
        <w:rPr>
          <w:rFonts w:ascii="Cambria" w:hAnsi="Cambria"/>
          <w:b/>
          <w:bCs/>
          <w:color w:val="000000"/>
          <w:sz w:val="20"/>
          <w:szCs w:val="20"/>
        </w:rPr>
        <w:tab/>
        <w:t>Mesures supplémentaires utilisées à des fins d’exécution ou de suivi, de contrôle et d'inspection (paragraphe 3)</w:t>
      </w:r>
    </w:p>
    <w:p w14:paraId="61F40727" w14:textId="77777777" w:rsidR="00102D01" w:rsidRPr="00102D01" w:rsidRDefault="00102D01" w:rsidP="00102D01">
      <w:pPr>
        <w:widowControl w:val="0"/>
        <w:jc w:val="both"/>
        <w:rPr>
          <w:rFonts w:ascii="Cambria" w:eastAsia="Cambria" w:hAnsi="Cambria" w:cs="Cambria"/>
          <w:b/>
          <w:bCs/>
          <w:color w:val="000000"/>
          <w:sz w:val="20"/>
          <w:szCs w:val="20"/>
        </w:rPr>
      </w:pPr>
    </w:p>
    <w:p w14:paraId="69C348C5"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L’exécution des réglementations sur les pêches des États-Unis est réalisée par le Bureau chargé de l'exécution des lois (OLE) de la NOAA, les garde-côtes américains, et, en vertu des accords en coopération en matière d’exécution, par les états et territoires des États-Unis ayant des frontières maritimes dans l’océan Atlantique, le golfe d’Amérique et/ou la mer des Caraïbes. Les activités d’exécution incluent la surveillance et l’inspection des déchargements aux installations de débarquement et dans les ports de plaisance conjointement avec des vérifications des registres des mareyeurs et l’arraisonnement et l’inspection en mer. Les garde-côtes américains sont la principale agence fédérale chargée de la surveillance du respect des règlements des États-Unis sur les lieux de pêche.</w:t>
      </w:r>
    </w:p>
    <w:p w14:paraId="03CB9319" w14:textId="77777777" w:rsidR="00102D01" w:rsidRPr="00102D01" w:rsidRDefault="00102D01" w:rsidP="00102D01">
      <w:pPr>
        <w:widowControl w:val="0"/>
        <w:jc w:val="both"/>
        <w:rPr>
          <w:rFonts w:ascii="Cambria" w:eastAsia="Cambria" w:hAnsi="Cambria" w:cs="Cambria"/>
          <w:sz w:val="20"/>
          <w:szCs w:val="20"/>
        </w:rPr>
      </w:pPr>
    </w:p>
    <w:p w14:paraId="33D6DE48"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Comme mentionné à la section 1 (Aperçu général), les États-Unis ont mis en place un robuste système pour surveiller sa pêcherie de BFT, incluant des exigences en matière de couverture par les observateurs et des exigences relatives aux carnets de pêche et à la déclaration pour toutes les catégories de quotas et de titulaires de permis. En outre, les palangriers pélagiques sont tenus d’être équipés d’un VMS opérationnel en permanence qui transmet les données de position au NMFS toutes les heures, ainsi que d’un système de surveillance électronique (EM) qui se compose de caméras vidéo et d’un équipement connexe d’enregistrement et de détection et permet au NMFS de contrôler les rapports sur les interactions avec les BFT pour le programme national d’IBQ. Se reporter à la section 1 pour consulter les exigences détaillées relatives à ces programmes.</w:t>
      </w:r>
    </w:p>
    <w:p w14:paraId="551A2C79" w14:textId="77777777" w:rsidR="00102D01" w:rsidRPr="00102D01" w:rsidRDefault="00102D01" w:rsidP="00102D01">
      <w:pPr>
        <w:widowControl w:val="0"/>
        <w:jc w:val="both"/>
        <w:rPr>
          <w:rFonts w:ascii="Cambria" w:eastAsia="Cambria" w:hAnsi="Cambria" w:cs="Cambria"/>
          <w:sz w:val="20"/>
          <w:szCs w:val="20"/>
        </w:rPr>
      </w:pPr>
    </w:p>
    <w:p w14:paraId="68290043"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Les États-Unis ont également mis en place des exigences visant à ce que tous les mareyeurs marquent tous les BFT individuels qui sont vendus afin de permettre le suivi des flux commerciaux. Il existe aussi des restrictions relatives à la préparation des poissons (par exemple interdiction de prélever la queue) pour garantir la bonne identification des espèces en mer ou à quai.</w:t>
      </w:r>
    </w:p>
    <w:p w14:paraId="07FBF02C" w14:textId="77777777" w:rsidR="00102D01" w:rsidRPr="00102D01" w:rsidRDefault="00102D01" w:rsidP="00102D01">
      <w:pPr>
        <w:widowControl w:val="0"/>
        <w:jc w:val="both"/>
        <w:rPr>
          <w:rFonts w:ascii="Cambria" w:eastAsia="Cambria" w:hAnsi="Cambria" w:cs="Cambria"/>
          <w:sz w:val="20"/>
          <w:szCs w:val="20"/>
        </w:rPr>
      </w:pPr>
    </w:p>
    <w:p w14:paraId="673975B0" w14:textId="77777777" w:rsidR="00102D01" w:rsidRPr="00102D01" w:rsidRDefault="00102D01" w:rsidP="00102D01">
      <w:pPr>
        <w:widowControl w:val="0"/>
        <w:jc w:val="both"/>
        <w:rPr>
          <w:rFonts w:ascii="Cambria" w:eastAsia="Cambria" w:hAnsi="Cambria" w:cs="Cambria"/>
          <w:sz w:val="20"/>
          <w:szCs w:val="20"/>
        </w:rPr>
      </w:pPr>
      <w:r w:rsidRPr="00102D01">
        <w:rPr>
          <w:rFonts w:ascii="Cambria" w:hAnsi="Cambria"/>
          <w:sz w:val="20"/>
          <w:szCs w:val="20"/>
        </w:rPr>
        <w:t xml:space="preserve">De plus amples détails et une liste complète des interdictions et des conditions pour les titulaires de permis figurent dans les règlements des États-Unis au </w:t>
      </w:r>
      <w:r w:rsidRPr="00102D01">
        <w:rPr>
          <w:rFonts w:ascii="Cambria" w:hAnsi="Cambria"/>
          <w:color w:val="1155CC"/>
          <w:sz w:val="20"/>
          <w:szCs w:val="20"/>
        </w:rPr>
        <w:t>§ 635.71</w:t>
      </w:r>
      <w:r w:rsidRPr="00102D01">
        <w:rPr>
          <w:rFonts w:ascii="Cambria" w:hAnsi="Cambria"/>
          <w:sz w:val="20"/>
          <w:szCs w:val="20"/>
        </w:rPr>
        <w:t>.</w:t>
      </w:r>
    </w:p>
    <w:p w14:paraId="62552B6E" w14:textId="59560E67" w:rsidR="00B71891" w:rsidRPr="00BC6F68" w:rsidRDefault="00B71891" w:rsidP="00046127">
      <w:pPr>
        <w:tabs>
          <w:tab w:val="left" w:pos="340"/>
          <w:tab w:val="left" w:pos="680"/>
          <w:tab w:val="left" w:pos="1020"/>
          <w:tab w:val="left" w:pos="1134"/>
          <w:tab w:val="left" w:pos="1760"/>
        </w:tabs>
        <w:ind w:right="3"/>
        <w:rPr>
          <w:rFonts w:ascii="Cambria" w:eastAsia="Calibri" w:hAnsi="Cambria"/>
          <w:sz w:val="16"/>
          <w:szCs w:val="16"/>
          <w:lang w:eastAsia="tr-TR"/>
        </w:rPr>
      </w:pPr>
    </w:p>
    <w:sectPr w:rsidR="00B71891" w:rsidRPr="00BC6F68" w:rsidSect="00BF7430">
      <w:headerReference w:type="default" r:id="rId25"/>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97985" w14:textId="77777777" w:rsidR="00033D24" w:rsidRDefault="00033D24">
      <w:r>
        <w:separator/>
      </w:r>
    </w:p>
  </w:endnote>
  <w:endnote w:type="continuationSeparator" w:id="0">
    <w:p w14:paraId="6817EE65" w14:textId="77777777" w:rsidR="00033D24" w:rsidRDefault="0003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609496003"/>
      <w:docPartObj>
        <w:docPartGallery w:val="Page Numbers (Bottom of Page)"/>
        <w:docPartUnique/>
      </w:docPartObj>
    </w:sdtPr>
    <w:sdtEndPr/>
    <w:sdtContent>
      <w:sdt>
        <w:sdtPr>
          <w:rPr>
            <w:rFonts w:ascii="Cambria" w:hAnsi="Cambria"/>
          </w:rPr>
          <w:id w:val="64995285"/>
          <w:docPartObj>
            <w:docPartGallery w:val="Page Numbers (Top of Page)"/>
            <w:docPartUnique/>
          </w:docPartObj>
        </w:sdtPr>
        <w:sdtEndPr/>
        <w:sdtContent>
          <w:p w14:paraId="7181F416" w14:textId="004E7D2F" w:rsidR="00313F99" w:rsidRPr="00313F99" w:rsidRDefault="00313F99">
            <w:pPr>
              <w:pStyle w:val="Footer"/>
              <w:jc w:val="center"/>
              <w:rPr>
                <w:rFonts w:ascii="Cambria" w:hAnsi="Cambria"/>
              </w:rPr>
            </w:pPr>
            <w:r w:rsidRPr="00313F99">
              <w:rPr>
                <w:rFonts w:ascii="Cambria" w:hAnsi="Cambria"/>
                <w:sz w:val="24"/>
              </w:rPr>
              <w:fldChar w:fldCharType="begin"/>
            </w:r>
            <w:r w:rsidRPr="00313F99">
              <w:rPr>
                <w:rFonts w:ascii="Cambria" w:hAnsi="Cambria"/>
              </w:rPr>
              <w:instrText xml:space="preserve"> PAGE </w:instrText>
            </w:r>
            <w:r w:rsidRPr="00313F99">
              <w:rPr>
                <w:rFonts w:ascii="Cambria" w:hAnsi="Cambria"/>
                <w:sz w:val="24"/>
              </w:rPr>
              <w:fldChar w:fldCharType="separate"/>
            </w:r>
            <w:r w:rsidRPr="00313F99">
              <w:rPr>
                <w:rFonts w:ascii="Cambria" w:hAnsi="Cambria"/>
              </w:rPr>
              <w:t>3</w:t>
            </w:r>
            <w:r w:rsidRPr="00313F99">
              <w:rPr>
                <w:rFonts w:ascii="Cambria" w:hAnsi="Cambria"/>
                <w:sz w:val="24"/>
              </w:rPr>
              <w:fldChar w:fldCharType="end"/>
            </w:r>
            <w:r>
              <w:rPr>
                <w:rFonts w:ascii="Cambria" w:hAnsi="Cambria"/>
              </w:rPr>
              <w:t xml:space="preserve"> / </w:t>
            </w:r>
            <w:r w:rsidRPr="00313F99">
              <w:rPr>
                <w:rFonts w:ascii="Cambria" w:hAnsi="Cambria"/>
                <w:sz w:val="24"/>
              </w:rPr>
              <w:fldChar w:fldCharType="begin"/>
            </w:r>
            <w:r w:rsidRPr="00313F99">
              <w:rPr>
                <w:rFonts w:ascii="Cambria" w:hAnsi="Cambria"/>
              </w:rPr>
              <w:instrText xml:space="preserve"> NUMPAGES  </w:instrText>
            </w:r>
            <w:r w:rsidRPr="00313F99">
              <w:rPr>
                <w:rFonts w:ascii="Cambria" w:hAnsi="Cambria"/>
                <w:sz w:val="24"/>
              </w:rPr>
              <w:fldChar w:fldCharType="separate"/>
            </w:r>
            <w:r w:rsidRPr="00313F99">
              <w:rPr>
                <w:rFonts w:ascii="Cambria" w:hAnsi="Cambria"/>
              </w:rPr>
              <w:t>5</w:t>
            </w:r>
            <w:r w:rsidRPr="00313F99">
              <w:rPr>
                <w:rFonts w:ascii="Cambria" w:hAnsi="Cambria"/>
                <w:sz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136" w14:textId="24FE78D4" w:rsidR="00313F99" w:rsidRPr="001F5D7D" w:rsidRDefault="00033D24"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907024537"/>
        <w:docPartObj>
          <w:docPartGallery w:val="Page Numbers (Top of Page)"/>
          <w:docPartUnique/>
        </w:docPartObj>
      </w:sdtPr>
      <w:sdtEndPr/>
      <w:sdtContent>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PAGE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r w:rsidR="00DE07AD">
          <w:rPr>
            <w:rFonts w:ascii="Cambria" w:hAnsi="Cambria"/>
            <w:sz w:val="20"/>
          </w:rPr>
          <w:t xml:space="preserve"> / </w:t>
        </w:r>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NUMPAGES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4FC05" w14:textId="77777777" w:rsidR="00033D24" w:rsidRDefault="00033D24">
      <w:r>
        <w:separator/>
      </w:r>
    </w:p>
  </w:footnote>
  <w:footnote w:type="continuationSeparator" w:id="0">
    <w:p w14:paraId="46DC8474" w14:textId="77777777" w:rsidR="00033D24" w:rsidRDefault="00033D24">
      <w:r>
        <w:continuationSeparator/>
      </w:r>
    </w:p>
  </w:footnote>
  <w:footnote w:id="1">
    <w:p w14:paraId="75A44B03" w14:textId="77777777" w:rsidR="00E11839" w:rsidRPr="00B432EC" w:rsidRDefault="00E11839" w:rsidP="00E11839">
      <w:pPr>
        <w:pStyle w:val="FootnoteText"/>
        <w:rPr>
          <w:sz w:val="16"/>
          <w:szCs w:val="16"/>
        </w:rPr>
      </w:pPr>
      <w:r>
        <w:rPr>
          <w:rStyle w:val="FootnoteReference"/>
          <w:sz w:val="16"/>
          <w:szCs w:val="16"/>
        </w:rPr>
        <w:footnoteRef/>
      </w:r>
      <w:r>
        <w:rPr>
          <w:sz w:val="16"/>
        </w:rPr>
        <w:t xml:space="preserve"> Une partie des divisions 4X et 5Z de l'OPANO, connue sous le nom de « Hell Hole », définie comme la zone délimitée par des lignes droites reliant les points suivants dans l'ordre où ils sont énumérés, pendant la période allant du 1er juillet au 30 novembre :</w:t>
      </w:r>
    </w:p>
    <w:p w14:paraId="3ADEAB40" w14:textId="77777777" w:rsidR="00E11839" w:rsidRPr="00B432EC" w:rsidRDefault="00E11839" w:rsidP="00E11839">
      <w:pPr>
        <w:pStyle w:val="FootnoteText"/>
        <w:rPr>
          <w:sz w:val="16"/>
          <w:szCs w:val="16"/>
        </w:rPr>
      </w:pPr>
    </w:p>
    <w:p w14:paraId="0B5C8527" w14:textId="77777777" w:rsidR="00E11839" w:rsidRPr="00BE0195" w:rsidRDefault="00E11839" w:rsidP="00E11839">
      <w:pPr>
        <w:pStyle w:val="FootnoteText"/>
        <w:rPr>
          <w:sz w:val="16"/>
          <w:szCs w:val="16"/>
        </w:rPr>
      </w:pPr>
      <w:proofErr w:type="gramStart"/>
      <w:r>
        <w:rPr>
          <w:sz w:val="16"/>
        </w:rPr>
        <w:t xml:space="preserve">Point  </w:t>
      </w:r>
      <w:r>
        <w:rPr>
          <w:sz w:val="16"/>
        </w:rPr>
        <w:tab/>
      </w:r>
      <w:proofErr w:type="gramEnd"/>
      <w:r>
        <w:rPr>
          <w:sz w:val="16"/>
        </w:rPr>
        <w:t>Latitude (</w:t>
      </w:r>
      <w:proofErr w:type="gramStart"/>
      <w:r>
        <w:rPr>
          <w:sz w:val="16"/>
        </w:rPr>
        <w:t xml:space="preserve">N)   </w:t>
      </w:r>
      <w:proofErr w:type="gramEnd"/>
      <w:r>
        <w:rPr>
          <w:sz w:val="16"/>
        </w:rPr>
        <w:t>Longitude (W)</w:t>
      </w:r>
    </w:p>
    <w:p w14:paraId="776CE6E8" w14:textId="77777777" w:rsidR="00E11839" w:rsidRPr="00B432EC" w:rsidRDefault="00E11839" w:rsidP="00E11839">
      <w:pPr>
        <w:pStyle w:val="FootnoteText"/>
        <w:rPr>
          <w:sz w:val="16"/>
          <w:szCs w:val="16"/>
        </w:rPr>
      </w:pPr>
      <w:r>
        <w:rPr>
          <w:sz w:val="16"/>
        </w:rPr>
        <w:t>1.</w:t>
      </w:r>
      <w:r>
        <w:rPr>
          <w:sz w:val="16"/>
        </w:rPr>
        <w:tab/>
        <w:t>42°06'00''    65°41'24''</w:t>
      </w:r>
    </w:p>
    <w:p w14:paraId="27E345E6" w14:textId="77777777" w:rsidR="00E11839" w:rsidRPr="00B432EC" w:rsidRDefault="00E11839" w:rsidP="00E11839">
      <w:pPr>
        <w:pStyle w:val="FootnoteText"/>
        <w:rPr>
          <w:sz w:val="16"/>
          <w:szCs w:val="16"/>
        </w:rPr>
      </w:pPr>
      <w:r>
        <w:rPr>
          <w:sz w:val="16"/>
        </w:rPr>
        <w:t>2.</w:t>
      </w:r>
      <w:r>
        <w:rPr>
          <w:sz w:val="16"/>
        </w:rPr>
        <w:tab/>
        <w:t>42°06'00''    65°27'30''</w:t>
      </w:r>
    </w:p>
    <w:p w14:paraId="54FD4685" w14:textId="77777777" w:rsidR="00E11839" w:rsidRPr="00B432EC" w:rsidRDefault="00E11839" w:rsidP="00E11839">
      <w:pPr>
        <w:pStyle w:val="FootnoteText"/>
        <w:rPr>
          <w:sz w:val="16"/>
          <w:szCs w:val="16"/>
        </w:rPr>
      </w:pPr>
      <w:r>
        <w:rPr>
          <w:sz w:val="16"/>
        </w:rPr>
        <w:t>3.</w:t>
      </w:r>
      <w:r>
        <w:rPr>
          <w:sz w:val="16"/>
        </w:rPr>
        <w:tab/>
        <w:t>41°55'48''    65°27'30''</w:t>
      </w:r>
    </w:p>
    <w:p w14:paraId="13873E7A" w14:textId="77777777" w:rsidR="00E11839" w:rsidRPr="00B432EC" w:rsidRDefault="00E11839" w:rsidP="00E11839">
      <w:pPr>
        <w:pStyle w:val="FootnoteText"/>
        <w:rPr>
          <w:sz w:val="16"/>
          <w:szCs w:val="16"/>
        </w:rPr>
      </w:pPr>
      <w:r>
        <w:rPr>
          <w:sz w:val="16"/>
        </w:rPr>
        <w:t>4.</w:t>
      </w:r>
      <w:r>
        <w:rPr>
          <w:sz w:val="16"/>
        </w:rPr>
        <w:tab/>
        <w:t>41°55'48''    65°41'24''</w:t>
      </w:r>
    </w:p>
    <w:p w14:paraId="46747FD9" w14:textId="77777777" w:rsidR="00E11839" w:rsidRPr="00B432EC" w:rsidRDefault="00E11839" w:rsidP="00E11839">
      <w:pPr>
        <w:pStyle w:val="FootnoteText"/>
        <w:rPr>
          <w:sz w:val="16"/>
          <w:szCs w:val="16"/>
        </w:rPr>
      </w:pPr>
      <w:r>
        <w:rPr>
          <w:sz w:val="16"/>
        </w:rPr>
        <w:t>5.</w:t>
      </w:r>
      <w:r>
        <w:rPr>
          <w:sz w:val="16"/>
        </w:rPr>
        <w:tab/>
        <w:t>42°06'00''    65°41'24''</w:t>
      </w:r>
    </w:p>
  </w:footnote>
  <w:footnote w:id="2">
    <w:p w14:paraId="4D2E6FF8" w14:textId="77777777" w:rsidR="0024071C" w:rsidRPr="00685D48" w:rsidRDefault="0024071C" w:rsidP="0024071C">
      <w:pPr>
        <w:pStyle w:val="FootnoteText"/>
        <w:rPr>
          <w:sz w:val="18"/>
        </w:rPr>
      </w:pPr>
      <w:r>
        <w:rPr>
          <w:rStyle w:val="FootnoteReference"/>
          <w:sz w:val="18"/>
        </w:rPr>
        <w:footnoteRef/>
      </w:r>
      <w:r>
        <w:rPr>
          <w:sz w:val="18"/>
        </w:rPr>
        <w:t xml:space="preserve"> https://dof.gob.mx/normasOficiales/5356/sagarpa11_C/sagarpa11_C.html</w:t>
      </w:r>
    </w:p>
  </w:footnote>
  <w:footnote w:id="3">
    <w:p w14:paraId="098A6313" w14:textId="77777777" w:rsidR="0024071C" w:rsidRPr="00A24713" w:rsidRDefault="0024071C" w:rsidP="0024071C">
      <w:pPr>
        <w:pStyle w:val="FootnoteText"/>
      </w:pPr>
      <w:r>
        <w:rPr>
          <w:rStyle w:val="FootnoteReference"/>
          <w:sz w:val="16"/>
          <w:szCs w:val="16"/>
        </w:rPr>
        <w:footnoteRef/>
      </w:r>
      <w:r>
        <w:rPr>
          <w:sz w:val="16"/>
          <w:szCs w:val="16"/>
        </w:rPr>
        <w:t xml:space="preserve"> https://www.diputados.gob.mx/LeyesBiblio/pdf/LGPAS.pdf</w:t>
      </w:r>
    </w:p>
  </w:footnote>
  <w:footnote w:id="4">
    <w:p w14:paraId="1D078B8C" w14:textId="77777777" w:rsidR="0024071C" w:rsidRPr="0024071C" w:rsidRDefault="0024071C" w:rsidP="0024071C">
      <w:pPr>
        <w:pStyle w:val="FootnoteText"/>
      </w:pPr>
      <w:r w:rsidRPr="001D139C">
        <w:rPr>
          <w:rStyle w:val="FootnoteReference"/>
          <w:sz w:val="16"/>
          <w:szCs w:val="16"/>
        </w:rPr>
        <w:footnoteRef/>
      </w:r>
      <w:r w:rsidRPr="001D139C">
        <w:rPr>
          <w:sz w:val="16"/>
          <w:szCs w:val="16"/>
        </w:rPr>
        <w:t xml:space="preserve"> https://dof.gob.mx/nota_detalle_popup.php?codigo=5323155</w:t>
      </w:r>
    </w:p>
  </w:footnote>
  <w:footnote w:id="5">
    <w:p w14:paraId="2264D980" w14:textId="77777777" w:rsidR="00102D01" w:rsidRDefault="00102D01" w:rsidP="00D4041F">
      <w:pPr>
        <w:jc w:val="both"/>
        <w:rPr>
          <w:rFonts w:ascii="Cambria" w:hAnsi="Cambria"/>
          <w:sz w:val="16"/>
          <w:szCs w:val="16"/>
        </w:rPr>
      </w:pPr>
      <w:r>
        <w:rPr>
          <w:rFonts w:ascii="Cambria" w:hAnsi="Cambria"/>
          <w:sz w:val="16"/>
          <w:szCs w:val="16"/>
          <w:vertAlign w:val="superscript"/>
        </w:rPr>
        <w:footnoteRef/>
      </w:r>
      <w:r>
        <w:rPr>
          <w:rFonts w:ascii="Cambria" w:hAnsi="Cambria"/>
          <w:sz w:val="16"/>
          <w:szCs w:val="16"/>
        </w:rPr>
        <w:t xml:space="preserve"> La « madrague » dans les réglementations nationales des États-Unis est totalement différente des pêcheries de madragues de thonidés utilisées intensivement en Méditerranée et souvent liées aux opérations d’élevage/d’engraissement. Aux États-Unis, la catégorie Madrague est utilisée pour cibler des espèces autres que les thonidés (par ex. </w:t>
      </w:r>
      <w:proofErr w:type="spellStart"/>
      <w:r>
        <w:rPr>
          <w:rFonts w:ascii="Cambria" w:hAnsi="Cambria"/>
          <w:sz w:val="16"/>
          <w:szCs w:val="16"/>
        </w:rPr>
        <w:t>fanfre</w:t>
      </w:r>
      <w:proofErr w:type="spellEnd"/>
      <w:r>
        <w:rPr>
          <w:rFonts w:ascii="Cambria" w:hAnsi="Cambria"/>
          <w:sz w:val="16"/>
          <w:szCs w:val="16"/>
        </w:rPr>
        <w:t xml:space="preserve"> noir) et tout BFT capturé constitue des prises accessoires. Les personnes à bord d’un navire autorisé dans le cadre de la catégorie Madrague pour les thonidés de l’Atlantique ne peuvent retenir, posséder, débarquer et vendre au cours de chaque année de pêche qu’un seul BFT de taille moyenne-grande ou géante qui est capturé accidentellement lors de la pêche d’autres espèces avec un filet piège ou une bordigue. Aucun autre thonidé de l’Atlantique capturé dans un filet piège ou une bordigue ne pourra être retenu.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05041" w14:textId="257975B7" w:rsidR="00570DB6" w:rsidRPr="00793F38" w:rsidRDefault="00570DB6" w:rsidP="00570DB6">
    <w:pPr>
      <w:tabs>
        <w:tab w:val="center" w:pos="4680"/>
        <w:tab w:val="left" w:pos="6520"/>
        <w:tab w:val="right" w:pos="9360"/>
        <w:tab w:val="right" w:pos="14240"/>
      </w:tabs>
      <w:jc w:val="right"/>
      <w:rPr>
        <w:rFonts w:ascii="Cambria" w:eastAsia="Calibri" w:hAnsi="Cambria"/>
        <w:b/>
        <w:bCs/>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sz w:val="20"/>
      </w:rPr>
      <w:t>PA2_605/2026</w:t>
    </w:r>
  </w:p>
  <w:p w14:paraId="3E038C07" w14:textId="158D11FE" w:rsidR="00570DB6" w:rsidRPr="00793F38" w:rsidRDefault="00570DB6" w:rsidP="00570DB6">
    <w:pPr>
      <w:tabs>
        <w:tab w:val="left" w:pos="7320"/>
      </w:tabs>
      <w:spacing w:line="240" w:lineRule="exact"/>
      <w:jc w:val="right"/>
      <w:rPr>
        <w:rFonts w:ascii="Cambria" w:hAnsi="Cambria"/>
        <w:b/>
        <w:bCs/>
        <w:sz w:val="16"/>
        <w:szCs w:val="16"/>
      </w:rPr>
    </w:pPr>
    <w:r w:rsidRPr="00793F38">
      <w:rPr>
        <w:rFonts w:ascii="Cambria" w:hAnsi="Cambria"/>
        <w:b/>
        <w:sz w:val="16"/>
      </w:rPr>
      <w:fldChar w:fldCharType="begin"/>
    </w:r>
    <w:r w:rsidRPr="00793F38">
      <w:rPr>
        <w:rFonts w:ascii="Cambria" w:hAnsi="Cambria"/>
        <w:b/>
        <w:sz w:val="16"/>
      </w:rPr>
      <w:instrText xml:space="preserve"> TIME \@ "dd/MM/yyyy H:mm" </w:instrText>
    </w:r>
    <w:r w:rsidRPr="00793F38">
      <w:rPr>
        <w:rFonts w:ascii="Cambria" w:hAnsi="Cambria"/>
        <w:b/>
        <w:sz w:val="16"/>
      </w:rPr>
      <w:fldChar w:fldCharType="separate"/>
    </w:r>
    <w:r w:rsidR="00D4041F">
      <w:rPr>
        <w:rFonts w:ascii="Cambria" w:hAnsi="Cambria"/>
        <w:b/>
        <w:noProof/>
        <w:sz w:val="16"/>
      </w:rPr>
      <w:t>27/10/2026 15:15</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F91E" w14:textId="2D70284B" w:rsidR="00313F99" w:rsidRPr="001F5D7D" w:rsidRDefault="00911AF6" w:rsidP="001F5D7D">
    <w:pPr>
      <w:pStyle w:val="Header"/>
      <w:jc w:val="right"/>
      <w:rPr>
        <w:rFonts w:asciiTheme="majorHAnsi" w:eastAsia="Calibri" w:hAnsiTheme="majorHAnsi"/>
        <w:b/>
        <w:bCs/>
        <w:sz w:val="20"/>
        <w:szCs w:val="20"/>
      </w:rPr>
    </w:pPr>
    <w:r>
      <w:rPr>
        <w:rFonts w:asciiTheme="majorHAnsi" w:hAnsiTheme="majorHAnsi"/>
        <w:b/>
        <w:sz w:val="20"/>
      </w:rPr>
      <w:t>TÜRKIYE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F672" w14:textId="222F7AB5" w:rsidR="00B20E45" w:rsidRPr="002C6ED1" w:rsidRDefault="00F72415" w:rsidP="00243872">
    <w:pPr>
      <w:pStyle w:val="Header"/>
      <w:jc w:val="right"/>
      <w:rPr>
        <w:rFonts w:asciiTheme="majorHAnsi" w:eastAsia="Calibri" w:hAnsiTheme="majorHAnsi"/>
        <w:b/>
        <w:bCs/>
        <w:sz w:val="20"/>
        <w:szCs w:val="20"/>
        <w:lang w:val="en-US"/>
      </w:rPr>
    </w:pPr>
    <w:r>
      <w:rPr>
        <w:rFonts w:asciiTheme="majorHAnsi" w:hAnsiTheme="majorHAnsi"/>
        <w:b/>
        <w:sz w:val="20"/>
        <w:lang w:val="en-US"/>
      </w:rPr>
      <w:t>CANADA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C6524" w14:textId="22090639" w:rsidR="00F72415" w:rsidRPr="005D360D" w:rsidRDefault="00F72415" w:rsidP="00243872">
    <w:pPr>
      <w:pStyle w:val="Header"/>
      <w:jc w:val="right"/>
      <w:rPr>
        <w:rFonts w:asciiTheme="majorHAnsi" w:eastAsia="Calibri" w:hAnsiTheme="majorHAnsi"/>
        <w:b/>
        <w:bCs/>
        <w:sz w:val="20"/>
        <w:szCs w:val="20"/>
        <w:lang w:val="en-US"/>
      </w:rPr>
    </w:pPr>
    <w:r w:rsidRPr="005D360D">
      <w:rPr>
        <w:rFonts w:asciiTheme="majorHAnsi" w:hAnsiTheme="majorHAnsi"/>
        <w:b/>
        <w:sz w:val="20"/>
        <w:szCs w:val="20"/>
        <w:lang w:val="en-US"/>
      </w:rPr>
      <w:t>JAPON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7D29D" w14:textId="7F1EE2DA" w:rsidR="00F72415" w:rsidRPr="008B17B1" w:rsidRDefault="00F72415" w:rsidP="00243872">
    <w:pPr>
      <w:pStyle w:val="Header"/>
      <w:jc w:val="right"/>
      <w:rPr>
        <w:rFonts w:asciiTheme="majorHAnsi" w:eastAsia="Calibri" w:hAnsiTheme="majorHAnsi"/>
        <w:b/>
        <w:bCs/>
        <w:sz w:val="20"/>
        <w:szCs w:val="20"/>
        <w:lang w:val="en-US"/>
      </w:rPr>
    </w:pPr>
    <w:r w:rsidRPr="008B17B1">
      <w:rPr>
        <w:rFonts w:asciiTheme="majorHAnsi" w:hAnsiTheme="majorHAnsi"/>
        <w:b/>
        <w:sz w:val="20"/>
        <w:szCs w:val="20"/>
        <w:lang w:val="en-US"/>
      </w:rPr>
      <w:t>MEXIQUE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A956" w14:textId="19C40E03" w:rsidR="00F72415" w:rsidRPr="00102D01" w:rsidRDefault="00F72415" w:rsidP="00243872">
    <w:pPr>
      <w:pStyle w:val="Header"/>
      <w:jc w:val="right"/>
      <w:rPr>
        <w:rFonts w:asciiTheme="majorHAnsi" w:eastAsia="Calibri" w:hAnsiTheme="majorHAnsi"/>
        <w:b/>
        <w:bCs/>
        <w:sz w:val="20"/>
        <w:szCs w:val="20"/>
        <w:lang w:val="en-US"/>
      </w:rPr>
    </w:pPr>
    <w:r w:rsidRPr="00102D01">
      <w:rPr>
        <w:rFonts w:asciiTheme="majorHAnsi" w:hAnsiTheme="majorHAnsi"/>
        <w:b/>
        <w:sz w:val="20"/>
        <w:szCs w:val="20"/>
        <w:lang w:val="en-US"/>
      </w:rPr>
      <w:t>ÉTATS-UNIS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3A46398"/>
    <w:multiLevelType w:val="hybridMultilevel"/>
    <w:tmpl w:val="73306C78"/>
    <w:lvl w:ilvl="0" w:tplc="CE622E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2DB9"/>
    <w:multiLevelType w:val="multilevel"/>
    <w:tmpl w:val="675A56D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EF06D6"/>
    <w:multiLevelType w:val="multilevel"/>
    <w:tmpl w:val="F8C64D72"/>
    <w:lvl w:ilvl="0">
      <w:start w:val="6"/>
      <w:numFmt w:val="decimal"/>
      <w:lvlText w:val="%1"/>
      <w:lvlJc w:val="left"/>
      <w:pPr>
        <w:tabs>
          <w:tab w:val="num" w:pos="405"/>
        </w:tabs>
        <w:ind w:left="405" w:hanging="405"/>
      </w:pPr>
      <w:rPr>
        <w:rFonts w:hint="default"/>
      </w:rPr>
    </w:lvl>
    <w:lvl w:ilvl="1">
      <w:start w:val="5"/>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4" w15:restartNumberingAfterBreak="0">
    <w:nsid w:val="13A01938"/>
    <w:multiLevelType w:val="hybridMultilevel"/>
    <w:tmpl w:val="74D0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6E0243"/>
    <w:multiLevelType w:val="hybridMultilevel"/>
    <w:tmpl w:val="948892E0"/>
    <w:lvl w:ilvl="0" w:tplc="A4B09B34">
      <w:numFmt w:val="bullet"/>
      <w:lvlText w:val="-"/>
      <w:lvlJc w:val="left"/>
      <w:pPr>
        <w:ind w:left="720" w:hanging="360"/>
      </w:pPr>
      <w:rPr>
        <w:rFonts w:ascii="Cambria" w:eastAsia="Times New Roman" w:hAnsi="Cambr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B94FF1"/>
    <w:multiLevelType w:val="hybridMultilevel"/>
    <w:tmpl w:val="2B9C53FC"/>
    <w:lvl w:ilvl="0" w:tplc="CA7A4C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C23C80"/>
    <w:multiLevelType w:val="hybridMultilevel"/>
    <w:tmpl w:val="7C74F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EB5EEF"/>
    <w:multiLevelType w:val="multilevel"/>
    <w:tmpl w:val="6BFE58C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 w15:restartNumberingAfterBreak="0">
    <w:nsid w:val="2A0547C2"/>
    <w:multiLevelType w:val="hybridMultilevel"/>
    <w:tmpl w:val="882EBD1C"/>
    <w:lvl w:ilvl="0" w:tplc="054CADEA">
      <w:start w:val="1"/>
      <w:numFmt w:val="lowerLetter"/>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755E85"/>
    <w:multiLevelType w:val="hybridMultilevel"/>
    <w:tmpl w:val="E4923E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CDE73BC"/>
    <w:multiLevelType w:val="hybridMultilevel"/>
    <w:tmpl w:val="6C961DCE"/>
    <w:lvl w:ilvl="0" w:tplc="78001EA8">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8E621E"/>
    <w:multiLevelType w:val="hybridMultilevel"/>
    <w:tmpl w:val="71E2489C"/>
    <w:lvl w:ilvl="0" w:tplc="BA3ABCE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2E05283D"/>
    <w:multiLevelType w:val="hybridMultilevel"/>
    <w:tmpl w:val="29D2B948"/>
    <w:lvl w:ilvl="0" w:tplc="C0E81940">
      <w:start w:val="3"/>
      <w:numFmt w:val="bullet"/>
      <w:lvlText w:val="-"/>
      <w:lvlJc w:val="left"/>
      <w:pPr>
        <w:ind w:left="720" w:hanging="360"/>
      </w:pPr>
      <w:rPr>
        <w:rFonts w:ascii="TimesNewRomanPSMT" w:eastAsia="Times New Roman" w:hAnsi="TimesNewRomanPSMT" w:cs="TimesNewRomanPS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FA80817"/>
    <w:multiLevelType w:val="multilevel"/>
    <w:tmpl w:val="32AA02E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6F7526C"/>
    <w:multiLevelType w:val="multilevel"/>
    <w:tmpl w:val="A394D11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17" w15:restartNumberingAfterBreak="0">
    <w:nsid w:val="36FC2383"/>
    <w:multiLevelType w:val="hybridMultilevel"/>
    <w:tmpl w:val="8D5C9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tentative="1">
      <w:start w:val="1"/>
      <w:numFmt w:val="bullet"/>
      <w:lvlText w:val="o"/>
      <w:lvlJc w:val="left"/>
      <w:pPr>
        <w:ind w:left="1465" w:hanging="360"/>
      </w:pPr>
      <w:rPr>
        <w:rFonts w:ascii="Courier New" w:hAnsi="Courier New" w:cs="Courier New" w:hint="default"/>
      </w:rPr>
    </w:lvl>
    <w:lvl w:ilvl="2" w:tplc="040C0005" w:tentative="1">
      <w:start w:val="1"/>
      <w:numFmt w:val="bullet"/>
      <w:lvlText w:val=""/>
      <w:lvlJc w:val="left"/>
      <w:pPr>
        <w:ind w:left="2185" w:hanging="360"/>
      </w:pPr>
      <w:rPr>
        <w:rFonts w:ascii="Wingdings" w:hAnsi="Wingdings" w:hint="default"/>
      </w:rPr>
    </w:lvl>
    <w:lvl w:ilvl="3" w:tplc="040C0001" w:tentative="1">
      <w:start w:val="1"/>
      <w:numFmt w:val="bullet"/>
      <w:lvlText w:val=""/>
      <w:lvlJc w:val="left"/>
      <w:pPr>
        <w:ind w:left="2905" w:hanging="360"/>
      </w:pPr>
      <w:rPr>
        <w:rFonts w:ascii="Symbol" w:hAnsi="Symbol" w:hint="default"/>
      </w:rPr>
    </w:lvl>
    <w:lvl w:ilvl="4" w:tplc="040C0003" w:tentative="1">
      <w:start w:val="1"/>
      <w:numFmt w:val="bullet"/>
      <w:lvlText w:val="o"/>
      <w:lvlJc w:val="left"/>
      <w:pPr>
        <w:ind w:left="3625" w:hanging="360"/>
      </w:pPr>
      <w:rPr>
        <w:rFonts w:ascii="Courier New" w:hAnsi="Courier New" w:cs="Courier New" w:hint="default"/>
      </w:rPr>
    </w:lvl>
    <w:lvl w:ilvl="5" w:tplc="040C0005" w:tentative="1">
      <w:start w:val="1"/>
      <w:numFmt w:val="bullet"/>
      <w:lvlText w:val=""/>
      <w:lvlJc w:val="left"/>
      <w:pPr>
        <w:ind w:left="4345" w:hanging="360"/>
      </w:pPr>
      <w:rPr>
        <w:rFonts w:ascii="Wingdings" w:hAnsi="Wingdings" w:hint="default"/>
      </w:rPr>
    </w:lvl>
    <w:lvl w:ilvl="6" w:tplc="040C0001" w:tentative="1">
      <w:start w:val="1"/>
      <w:numFmt w:val="bullet"/>
      <w:lvlText w:val=""/>
      <w:lvlJc w:val="left"/>
      <w:pPr>
        <w:ind w:left="5065" w:hanging="360"/>
      </w:pPr>
      <w:rPr>
        <w:rFonts w:ascii="Symbol" w:hAnsi="Symbol" w:hint="default"/>
      </w:rPr>
    </w:lvl>
    <w:lvl w:ilvl="7" w:tplc="040C0003" w:tentative="1">
      <w:start w:val="1"/>
      <w:numFmt w:val="bullet"/>
      <w:lvlText w:val="o"/>
      <w:lvlJc w:val="left"/>
      <w:pPr>
        <w:ind w:left="5785" w:hanging="360"/>
      </w:pPr>
      <w:rPr>
        <w:rFonts w:ascii="Courier New" w:hAnsi="Courier New" w:cs="Courier New" w:hint="default"/>
      </w:rPr>
    </w:lvl>
    <w:lvl w:ilvl="8" w:tplc="040C0005" w:tentative="1">
      <w:start w:val="1"/>
      <w:numFmt w:val="bullet"/>
      <w:lvlText w:val=""/>
      <w:lvlJc w:val="left"/>
      <w:pPr>
        <w:ind w:left="6505" w:hanging="360"/>
      </w:pPr>
      <w:rPr>
        <w:rFonts w:ascii="Wingdings" w:hAnsi="Wingdings" w:hint="default"/>
      </w:rPr>
    </w:lvl>
  </w:abstractNum>
  <w:abstractNum w:abstractNumId="19" w15:restartNumberingAfterBreak="0">
    <w:nsid w:val="40037A91"/>
    <w:multiLevelType w:val="hybridMultilevel"/>
    <w:tmpl w:val="75E8BD6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021904"/>
    <w:multiLevelType w:val="multilevel"/>
    <w:tmpl w:val="D95C4966"/>
    <w:lvl w:ilvl="0">
      <w:start w:val="8"/>
      <w:numFmt w:val="decimal"/>
      <w:lvlText w:val="%1"/>
      <w:lvlJc w:val="left"/>
      <w:pPr>
        <w:tabs>
          <w:tab w:val="num" w:pos="405"/>
        </w:tabs>
        <w:ind w:left="405" w:hanging="405"/>
      </w:pPr>
      <w:rPr>
        <w:rFonts w:hint="default"/>
      </w:rPr>
    </w:lvl>
    <w:lvl w:ilvl="1">
      <w:start w:val="1"/>
      <w:numFmt w:val="decimal"/>
      <w:lvlText w:val="%1.%2"/>
      <w:lvlJc w:val="left"/>
      <w:pPr>
        <w:tabs>
          <w:tab w:val="num" w:pos="705"/>
        </w:tabs>
        <w:ind w:left="705" w:hanging="405"/>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920"/>
        </w:tabs>
        <w:ind w:left="1920" w:hanging="72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3840"/>
        </w:tabs>
        <w:ind w:left="3840" w:hanging="1440"/>
      </w:pPr>
      <w:rPr>
        <w:rFonts w:hint="default"/>
      </w:rPr>
    </w:lvl>
  </w:abstractNum>
  <w:abstractNum w:abstractNumId="21" w15:restartNumberingAfterBreak="0">
    <w:nsid w:val="4413568B"/>
    <w:multiLevelType w:val="hybridMultilevel"/>
    <w:tmpl w:val="12CCA298"/>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3" w15:restartNumberingAfterBreak="0">
    <w:nsid w:val="4B2D4888"/>
    <w:multiLevelType w:val="hybridMultilevel"/>
    <w:tmpl w:val="576E71C6"/>
    <w:lvl w:ilvl="0" w:tplc="2B363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684F4F"/>
    <w:multiLevelType w:val="hybridMultilevel"/>
    <w:tmpl w:val="B8342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D767C6"/>
    <w:multiLevelType w:val="hybridMultilevel"/>
    <w:tmpl w:val="9078D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AF3BF2"/>
    <w:multiLevelType w:val="hybridMultilevel"/>
    <w:tmpl w:val="D91EE2A8"/>
    <w:lvl w:ilvl="0" w:tplc="23E6BA84">
      <w:start w:val="1"/>
      <w:numFmt w:val="decimal"/>
      <w:lvlText w:val="%1."/>
      <w:lvlJc w:val="left"/>
      <w:pPr>
        <w:ind w:left="720" w:hanging="360"/>
      </w:pPr>
      <w:rPr>
        <w:rFonts w:eastAsia="Calibri"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212034"/>
    <w:multiLevelType w:val="hybridMultilevel"/>
    <w:tmpl w:val="12CCA29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CAD2095"/>
    <w:multiLevelType w:val="hybridMultilevel"/>
    <w:tmpl w:val="52D08DA8"/>
    <w:lvl w:ilvl="0" w:tplc="27F2C662">
      <w:start w:val="1"/>
      <w:numFmt w:val="bullet"/>
      <w:lvlText w:val="-"/>
      <w:lvlJc w:val="left"/>
      <w:pPr>
        <w:ind w:left="720" w:hanging="360"/>
      </w:pPr>
      <w:rPr>
        <w:rFonts w:ascii="Cambria" w:eastAsia="Calibri"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FE5658"/>
    <w:multiLevelType w:val="hybridMultilevel"/>
    <w:tmpl w:val="A49C68B8"/>
    <w:lvl w:ilvl="0" w:tplc="55AACD3A">
      <w:start w:val="894"/>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09610F"/>
    <w:multiLevelType w:val="hybridMultilevel"/>
    <w:tmpl w:val="8C1224F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1" w15:restartNumberingAfterBreak="0">
    <w:nsid w:val="63CF4E81"/>
    <w:multiLevelType w:val="hybridMultilevel"/>
    <w:tmpl w:val="6BD65A4C"/>
    <w:lvl w:ilvl="0" w:tplc="5ADE6AAA">
      <w:numFmt w:val="bullet"/>
      <w:lvlText w:val=""/>
      <w:lvlJc w:val="left"/>
      <w:pPr>
        <w:ind w:left="720" w:hanging="360"/>
      </w:pPr>
      <w:rPr>
        <w:rFonts w:ascii="Symbol" w:eastAsia="Calibri"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2" w15:restartNumberingAfterBreak="0">
    <w:nsid w:val="6591291C"/>
    <w:multiLevelType w:val="hybridMultilevel"/>
    <w:tmpl w:val="8B34F55E"/>
    <w:lvl w:ilvl="0" w:tplc="A4B09B34">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120BA9"/>
    <w:multiLevelType w:val="hybridMultilevel"/>
    <w:tmpl w:val="F7C015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542AA5"/>
    <w:multiLevelType w:val="hybridMultilevel"/>
    <w:tmpl w:val="897AB7D4"/>
    <w:lvl w:ilvl="0" w:tplc="E10E5C72">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C7C327C"/>
    <w:multiLevelType w:val="hybridMultilevel"/>
    <w:tmpl w:val="F1A03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890340"/>
    <w:multiLevelType w:val="multilevel"/>
    <w:tmpl w:val="1734922E"/>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5176E6"/>
    <w:multiLevelType w:val="hybridMultilevel"/>
    <w:tmpl w:val="0B669CF6"/>
    <w:lvl w:ilvl="0" w:tplc="C0EA68F6">
      <w:start w:val="3"/>
      <w:numFmt w:val="decimal"/>
      <w:lvlText w:val="%1.1."/>
      <w:lvlJc w:val="left"/>
      <w:pPr>
        <w:ind w:left="1125" w:hanging="360"/>
      </w:pPr>
      <w:rPr>
        <w:rFonts w:hint="default"/>
      </w:rPr>
    </w:lvl>
    <w:lvl w:ilvl="1" w:tplc="04090017">
      <w:start w:val="1"/>
      <w:numFmt w:val="lowerLetter"/>
      <w:lvlText w:val="%2)"/>
      <w:lvlJc w:val="left"/>
      <w:pPr>
        <w:ind w:left="1845" w:hanging="360"/>
      </w:pPr>
      <w:rPr>
        <w:sz w:val="20"/>
        <w:szCs w:val="20"/>
      </w:rPr>
    </w:lvl>
    <w:lvl w:ilvl="2" w:tplc="080C001B" w:tentative="1">
      <w:start w:val="1"/>
      <w:numFmt w:val="lowerRoman"/>
      <w:lvlText w:val="%3."/>
      <w:lvlJc w:val="right"/>
      <w:pPr>
        <w:ind w:left="2565" w:hanging="180"/>
      </w:pPr>
    </w:lvl>
    <w:lvl w:ilvl="3" w:tplc="080C000F" w:tentative="1">
      <w:start w:val="1"/>
      <w:numFmt w:val="decimal"/>
      <w:lvlText w:val="%4."/>
      <w:lvlJc w:val="left"/>
      <w:pPr>
        <w:ind w:left="3285" w:hanging="360"/>
      </w:pPr>
    </w:lvl>
    <w:lvl w:ilvl="4" w:tplc="080C0019" w:tentative="1">
      <w:start w:val="1"/>
      <w:numFmt w:val="lowerLetter"/>
      <w:lvlText w:val="%5."/>
      <w:lvlJc w:val="left"/>
      <w:pPr>
        <w:ind w:left="4005" w:hanging="360"/>
      </w:pPr>
    </w:lvl>
    <w:lvl w:ilvl="5" w:tplc="080C001B" w:tentative="1">
      <w:start w:val="1"/>
      <w:numFmt w:val="lowerRoman"/>
      <w:lvlText w:val="%6."/>
      <w:lvlJc w:val="right"/>
      <w:pPr>
        <w:ind w:left="4725" w:hanging="180"/>
      </w:pPr>
    </w:lvl>
    <w:lvl w:ilvl="6" w:tplc="080C000F" w:tentative="1">
      <w:start w:val="1"/>
      <w:numFmt w:val="decimal"/>
      <w:lvlText w:val="%7."/>
      <w:lvlJc w:val="left"/>
      <w:pPr>
        <w:ind w:left="5445" w:hanging="360"/>
      </w:pPr>
    </w:lvl>
    <w:lvl w:ilvl="7" w:tplc="080C0019" w:tentative="1">
      <w:start w:val="1"/>
      <w:numFmt w:val="lowerLetter"/>
      <w:lvlText w:val="%8."/>
      <w:lvlJc w:val="left"/>
      <w:pPr>
        <w:ind w:left="6165" w:hanging="360"/>
      </w:pPr>
    </w:lvl>
    <w:lvl w:ilvl="8" w:tplc="080C001B" w:tentative="1">
      <w:start w:val="1"/>
      <w:numFmt w:val="lowerRoman"/>
      <w:lvlText w:val="%9."/>
      <w:lvlJc w:val="right"/>
      <w:pPr>
        <w:ind w:left="6885" w:hanging="180"/>
      </w:pPr>
    </w:lvl>
  </w:abstractNum>
  <w:abstractNum w:abstractNumId="39" w15:restartNumberingAfterBreak="0">
    <w:nsid w:val="75784A6B"/>
    <w:multiLevelType w:val="hybridMultilevel"/>
    <w:tmpl w:val="77021172"/>
    <w:lvl w:ilvl="0" w:tplc="2D9E64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9EA54FF"/>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925459198">
    <w:abstractNumId w:val="3"/>
  </w:num>
  <w:num w:numId="2" w16cid:durableId="969243541">
    <w:abstractNumId w:val="20"/>
  </w:num>
  <w:num w:numId="3" w16cid:durableId="281420095">
    <w:abstractNumId w:val="16"/>
  </w:num>
  <w:num w:numId="4" w16cid:durableId="1718355350">
    <w:abstractNumId w:val="30"/>
  </w:num>
  <w:num w:numId="5" w16cid:durableId="652563746">
    <w:abstractNumId w:val="34"/>
  </w:num>
  <w:num w:numId="6" w16cid:durableId="761608996">
    <w:abstractNumId w:val="36"/>
  </w:num>
  <w:num w:numId="7" w16cid:durableId="885606142">
    <w:abstractNumId w:val="24"/>
  </w:num>
  <w:num w:numId="8" w16cid:durableId="1589343147">
    <w:abstractNumId w:val="19"/>
  </w:num>
  <w:num w:numId="9" w16cid:durableId="1571690860">
    <w:abstractNumId w:val="31"/>
  </w:num>
  <w:num w:numId="10" w16cid:durableId="1261177337">
    <w:abstractNumId w:val="17"/>
  </w:num>
  <w:num w:numId="11" w16cid:durableId="1000086672">
    <w:abstractNumId w:val="14"/>
  </w:num>
  <w:num w:numId="12" w16cid:durableId="977567308">
    <w:abstractNumId w:val="13"/>
  </w:num>
  <w:num w:numId="13" w16cid:durableId="768507898">
    <w:abstractNumId w:val="35"/>
  </w:num>
  <w:num w:numId="14" w16cid:durableId="1744794520">
    <w:abstractNumId w:val="12"/>
  </w:num>
  <w:num w:numId="15" w16cid:durableId="1814902774">
    <w:abstractNumId w:val="11"/>
  </w:num>
  <w:num w:numId="16" w16cid:durableId="181365519">
    <w:abstractNumId w:val="2"/>
  </w:num>
  <w:num w:numId="17" w16cid:durableId="444733533">
    <w:abstractNumId w:val="41"/>
  </w:num>
  <w:num w:numId="18" w16cid:durableId="1494298917">
    <w:abstractNumId w:val="37"/>
  </w:num>
  <w:num w:numId="19" w16cid:durableId="1940521658">
    <w:abstractNumId w:val="38"/>
  </w:num>
  <w:num w:numId="20" w16cid:durableId="386295866">
    <w:abstractNumId w:val="40"/>
  </w:num>
  <w:num w:numId="21" w16cid:durableId="515968076">
    <w:abstractNumId w:val="0"/>
  </w:num>
  <w:num w:numId="22" w16cid:durableId="1848518106">
    <w:abstractNumId w:val="21"/>
  </w:num>
  <w:num w:numId="23" w16cid:durableId="1399085797">
    <w:abstractNumId w:val="22"/>
  </w:num>
  <w:num w:numId="24" w16cid:durableId="77946646">
    <w:abstractNumId w:val="18"/>
  </w:num>
  <w:num w:numId="25" w16cid:durableId="2073656799">
    <w:abstractNumId w:val="39"/>
  </w:num>
  <w:num w:numId="26" w16cid:durableId="1746953051">
    <w:abstractNumId w:val="15"/>
  </w:num>
  <w:num w:numId="27" w16cid:durableId="1757048435">
    <w:abstractNumId w:val="4"/>
  </w:num>
  <w:num w:numId="28" w16cid:durableId="1989628210">
    <w:abstractNumId w:val="10"/>
  </w:num>
  <w:num w:numId="29" w16cid:durableId="135611520">
    <w:abstractNumId w:val="29"/>
  </w:num>
  <w:num w:numId="30" w16cid:durableId="776827209">
    <w:abstractNumId w:val="25"/>
  </w:num>
  <w:num w:numId="31" w16cid:durableId="1629508142">
    <w:abstractNumId w:val="7"/>
  </w:num>
  <w:num w:numId="32" w16cid:durableId="1746146548">
    <w:abstractNumId w:val="26"/>
  </w:num>
  <w:num w:numId="33" w16cid:durableId="1429352579">
    <w:abstractNumId w:val="6"/>
  </w:num>
  <w:num w:numId="34" w16cid:durableId="120806345">
    <w:abstractNumId w:val="33"/>
  </w:num>
  <w:num w:numId="35" w16cid:durableId="2025549060">
    <w:abstractNumId w:val="28"/>
  </w:num>
  <w:num w:numId="36" w16cid:durableId="345056089">
    <w:abstractNumId w:val="27"/>
  </w:num>
  <w:num w:numId="37" w16cid:durableId="1739325615">
    <w:abstractNumId w:val="1"/>
  </w:num>
  <w:num w:numId="38" w16cid:durableId="143746121">
    <w:abstractNumId w:val="23"/>
  </w:num>
  <w:num w:numId="39" w16cid:durableId="1827163301">
    <w:abstractNumId w:val="8"/>
  </w:num>
  <w:num w:numId="40" w16cid:durableId="1576209747">
    <w:abstractNumId w:val="5"/>
  </w:num>
  <w:num w:numId="41" w16cid:durableId="2074966680">
    <w:abstractNumId w:val="32"/>
  </w:num>
  <w:num w:numId="42" w16cid:durableId="10232411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3386"/>
    <w:rsid w:val="00005D37"/>
    <w:rsid w:val="000101FF"/>
    <w:rsid w:val="00010A3D"/>
    <w:rsid w:val="00011D80"/>
    <w:rsid w:val="000127DA"/>
    <w:rsid w:val="00012900"/>
    <w:rsid w:val="000217D6"/>
    <w:rsid w:val="00021FCD"/>
    <w:rsid w:val="000238E4"/>
    <w:rsid w:val="00024F74"/>
    <w:rsid w:val="00025A41"/>
    <w:rsid w:val="000262BB"/>
    <w:rsid w:val="0002763F"/>
    <w:rsid w:val="000279EF"/>
    <w:rsid w:val="00031785"/>
    <w:rsid w:val="000325EE"/>
    <w:rsid w:val="00033D24"/>
    <w:rsid w:val="000362B6"/>
    <w:rsid w:val="00036AE9"/>
    <w:rsid w:val="00036D03"/>
    <w:rsid w:val="0004012A"/>
    <w:rsid w:val="00041355"/>
    <w:rsid w:val="00046127"/>
    <w:rsid w:val="00050080"/>
    <w:rsid w:val="00050854"/>
    <w:rsid w:val="00050952"/>
    <w:rsid w:val="00050EE8"/>
    <w:rsid w:val="00053ECE"/>
    <w:rsid w:val="000553F0"/>
    <w:rsid w:val="000557D7"/>
    <w:rsid w:val="00056C0F"/>
    <w:rsid w:val="0006208B"/>
    <w:rsid w:val="000620AB"/>
    <w:rsid w:val="000635E1"/>
    <w:rsid w:val="00065F20"/>
    <w:rsid w:val="00066450"/>
    <w:rsid w:val="00067F35"/>
    <w:rsid w:val="00074270"/>
    <w:rsid w:val="000744FE"/>
    <w:rsid w:val="00075A84"/>
    <w:rsid w:val="00076204"/>
    <w:rsid w:val="00076299"/>
    <w:rsid w:val="000802FA"/>
    <w:rsid w:val="00080B7E"/>
    <w:rsid w:val="00082D73"/>
    <w:rsid w:val="000839C3"/>
    <w:rsid w:val="00085218"/>
    <w:rsid w:val="000878BE"/>
    <w:rsid w:val="000901F0"/>
    <w:rsid w:val="00090FA8"/>
    <w:rsid w:val="000914D3"/>
    <w:rsid w:val="000946E2"/>
    <w:rsid w:val="00094ABA"/>
    <w:rsid w:val="00094E9E"/>
    <w:rsid w:val="000976D0"/>
    <w:rsid w:val="00097A2F"/>
    <w:rsid w:val="000A0B82"/>
    <w:rsid w:val="000A2CC5"/>
    <w:rsid w:val="000A4BCF"/>
    <w:rsid w:val="000B1FBD"/>
    <w:rsid w:val="000B2931"/>
    <w:rsid w:val="000B4B28"/>
    <w:rsid w:val="000B4CA6"/>
    <w:rsid w:val="000B611D"/>
    <w:rsid w:val="000C04E5"/>
    <w:rsid w:val="000C13BF"/>
    <w:rsid w:val="000C15D7"/>
    <w:rsid w:val="000C1D19"/>
    <w:rsid w:val="000C30A0"/>
    <w:rsid w:val="000C6322"/>
    <w:rsid w:val="000C7470"/>
    <w:rsid w:val="000D1350"/>
    <w:rsid w:val="000D1E9A"/>
    <w:rsid w:val="000D21C7"/>
    <w:rsid w:val="000D54E7"/>
    <w:rsid w:val="000D7204"/>
    <w:rsid w:val="000D7D66"/>
    <w:rsid w:val="000E023B"/>
    <w:rsid w:val="000E365C"/>
    <w:rsid w:val="000E41CE"/>
    <w:rsid w:val="000E5494"/>
    <w:rsid w:val="000E551B"/>
    <w:rsid w:val="000E586A"/>
    <w:rsid w:val="000E6612"/>
    <w:rsid w:val="000F197E"/>
    <w:rsid w:val="000F255B"/>
    <w:rsid w:val="000F34C1"/>
    <w:rsid w:val="000F5420"/>
    <w:rsid w:val="000F5979"/>
    <w:rsid w:val="000F65BA"/>
    <w:rsid w:val="000F6CD1"/>
    <w:rsid w:val="000F75C5"/>
    <w:rsid w:val="001000B4"/>
    <w:rsid w:val="00102CFF"/>
    <w:rsid w:val="00102D01"/>
    <w:rsid w:val="0010479F"/>
    <w:rsid w:val="00105278"/>
    <w:rsid w:val="0010776A"/>
    <w:rsid w:val="00110D05"/>
    <w:rsid w:val="0011435C"/>
    <w:rsid w:val="00115138"/>
    <w:rsid w:val="00116759"/>
    <w:rsid w:val="00117E53"/>
    <w:rsid w:val="001205F3"/>
    <w:rsid w:val="00122303"/>
    <w:rsid w:val="001237A6"/>
    <w:rsid w:val="00123E5C"/>
    <w:rsid w:val="0012416E"/>
    <w:rsid w:val="001262C7"/>
    <w:rsid w:val="00127B5B"/>
    <w:rsid w:val="0013051F"/>
    <w:rsid w:val="001305BB"/>
    <w:rsid w:val="0013413A"/>
    <w:rsid w:val="0013474F"/>
    <w:rsid w:val="001363C4"/>
    <w:rsid w:val="001422A4"/>
    <w:rsid w:val="00143F2E"/>
    <w:rsid w:val="0014476F"/>
    <w:rsid w:val="001465EC"/>
    <w:rsid w:val="00146CED"/>
    <w:rsid w:val="00147C5A"/>
    <w:rsid w:val="00147EE8"/>
    <w:rsid w:val="00151757"/>
    <w:rsid w:val="001525CD"/>
    <w:rsid w:val="00154574"/>
    <w:rsid w:val="001556A1"/>
    <w:rsid w:val="00156AA9"/>
    <w:rsid w:val="001573F2"/>
    <w:rsid w:val="001605A5"/>
    <w:rsid w:val="001605DF"/>
    <w:rsid w:val="00161E82"/>
    <w:rsid w:val="00162CA4"/>
    <w:rsid w:val="0016468E"/>
    <w:rsid w:val="00164CA1"/>
    <w:rsid w:val="00170B55"/>
    <w:rsid w:val="00171123"/>
    <w:rsid w:val="00171C32"/>
    <w:rsid w:val="00175890"/>
    <w:rsid w:val="0017642E"/>
    <w:rsid w:val="001774E0"/>
    <w:rsid w:val="00180CB8"/>
    <w:rsid w:val="0018223C"/>
    <w:rsid w:val="001824BC"/>
    <w:rsid w:val="00186794"/>
    <w:rsid w:val="0018733C"/>
    <w:rsid w:val="00193086"/>
    <w:rsid w:val="00196C86"/>
    <w:rsid w:val="00197B49"/>
    <w:rsid w:val="001A01E0"/>
    <w:rsid w:val="001A65D0"/>
    <w:rsid w:val="001A7916"/>
    <w:rsid w:val="001B44AD"/>
    <w:rsid w:val="001C1BF0"/>
    <w:rsid w:val="001C2334"/>
    <w:rsid w:val="001C2A23"/>
    <w:rsid w:val="001C2AE7"/>
    <w:rsid w:val="001C2B9E"/>
    <w:rsid w:val="001C5105"/>
    <w:rsid w:val="001C5EA6"/>
    <w:rsid w:val="001C623F"/>
    <w:rsid w:val="001C7022"/>
    <w:rsid w:val="001C7205"/>
    <w:rsid w:val="001D1081"/>
    <w:rsid w:val="001D237A"/>
    <w:rsid w:val="001D271A"/>
    <w:rsid w:val="001D5043"/>
    <w:rsid w:val="001D67AE"/>
    <w:rsid w:val="001D73A1"/>
    <w:rsid w:val="001E1629"/>
    <w:rsid w:val="001E5358"/>
    <w:rsid w:val="001F052E"/>
    <w:rsid w:val="001F2C28"/>
    <w:rsid w:val="001F37E5"/>
    <w:rsid w:val="001F3FCA"/>
    <w:rsid w:val="001F5AC8"/>
    <w:rsid w:val="001F5D7D"/>
    <w:rsid w:val="00204037"/>
    <w:rsid w:val="00205724"/>
    <w:rsid w:val="00210CF8"/>
    <w:rsid w:val="00211570"/>
    <w:rsid w:val="00212A99"/>
    <w:rsid w:val="00212DB5"/>
    <w:rsid w:val="00213368"/>
    <w:rsid w:val="00214124"/>
    <w:rsid w:val="002157F7"/>
    <w:rsid w:val="00221B85"/>
    <w:rsid w:val="0022239F"/>
    <w:rsid w:val="0022445B"/>
    <w:rsid w:val="00224D80"/>
    <w:rsid w:val="002307C3"/>
    <w:rsid w:val="00230857"/>
    <w:rsid w:val="00231113"/>
    <w:rsid w:val="00234FBD"/>
    <w:rsid w:val="002354AE"/>
    <w:rsid w:val="002357F5"/>
    <w:rsid w:val="00235D99"/>
    <w:rsid w:val="00236B44"/>
    <w:rsid w:val="0024071C"/>
    <w:rsid w:val="0024145E"/>
    <w:rsid w:val="00241877"/>
    <w:rsid w:val="00243872"/>
    <w:rsid w:val="00244FE8"/>
    <w:rsid w:val="00245875"/>
    <w:rsid w:val="00246658"/>
    <w:rsid w:val="00246CD3"/>
    <w:rsid w:val="00251BE5"/>
    <w:rsid w:val="00251DA9"/>
    <w:rsid w:val="00252FE4"/>
    <w:rsid w:val="002540AB"/>
    <w:rsid w:val="00254865"/>
    <w:rsid w:val="0025703A"/>
    <w:rsid w:val="00257173"/>
    <w:rsid w:val="00257A11"/>
    <w:rsid w:val="00260AE3"/>
    <w:rsid w:val="00261675"/>
    <w:rsid w:val="002636A1"/>
    <w:rsid w:val="0026432B"/>
    <w:rsid w:val="00266F24"/>
    <w:rsid w:val="0026748F"/>
    <w:rsid w:val="00271B3B"/>
    <w:rsid w:val="00271D50"/>
    <w:rsid w:val="00272E33"/>
    <w:rsid w:val="002740D0"/>
    <w:rsid w:val="002748A8"/>
    <w:rsid w:val="00274BCB"/>
    <w:rsid w:val="00274C79"/>
    <w:rsid w:val="00275139"/>
    <w:rsid w:val="00277637"/>
    <w:rsid w:val="00277F97"/>
    <w:rsid w:val="0028007A"/>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527B"/>
    <w:rsid w:val="002B3AD5"/>
    <w:rsid w:val="002B5BE5"/>
    <w:rsid w:val="002B67DA"/>
    <w:rsid w:val="002C0B17"/>
    <w:rsid w:val="002C0FBC"/>
    <w:rsid w:val="002C2548"/>
    <w:rsid w:val="002C383E"/>
    <w:rsid w:val="002C417F"/>
    <w:rsid w:val="002C4789"/>
    <w:rsid w:val="002C6336"/>
    <w:rsid w:val="002C6CDC"/>
    <w:rsid w:val="002C6ED1"/>
    <w:rsid w:val="002C7B9D"/>
    <w:rsid w:val="002D0081"/>
    <w:rsid w:val="002D0271"/>
    <w:rsid w:val="002D0928"/>
    <w:rsid w:val="002D0B59"/>
    <w:rsid w:val="002D3A31"/>
    <w:rsid w:val="002D4367"/>
    <w:rsid w:val="002D46FD"/>
    <w:rsid w:val="002D4EE0"/>
    <w:rsid w:val="002D5E07"/>
    <w:rsid w:val="002D77A9"/>
    <w:rsid w:val="002E0A33"/>
    <w:rsid w:val="002E10C8"/>
    <w:rsid w:val="002E2CC4"/>
    <w:rsid w:val="002E4780"/>
    <w:rsid w:val="002E58C9"/>
    <w:rsid w:val="002E5D88"/>
    <w:rsid w:val="002E63EE"/>
    <w:rsid w:val="002E6797"/>
    <w:rsid w:val="002E6E52"/>
    <w:rsid w:val="002E71B4"/>
    <w:rsid w:val="002E79D8"/>
    <w:rsid w:val="002F03BC"/>
    <w:rsid w:val="002F1411"/>
    <w:rsid w:val="002F1DAA"/>
    <w:rsid w:val="002F63F5"/>
    <w:rsid w:val="002F6734"/>
    <w:rsid w:val="002F745C"/>
    <w:rsid w:val="00302D17"/>
    <w:rsid w:val="00303764"/>
    <w:rsid w:val="00303A43"/>
    <w:rsid w:val="003069F8"/>
    <w:rsid w:val="00306F9C"/>
    <w:rsid w:val="00313013"/>
    <w:rsid w:val="0031321E"/>
    <w:rsid w:val="003139EA"/>
    <w:rsid w:val="00313F99"/>
    <w:rsid w:val="00314E34"/>
    <w:rsid w:val="00314FB9"/>
    <w:rsid w:val="00315114"/>
    <w:rsid w:val="0031793E"/>
    <w:rsid w:val="003209E2"/>
    <w:rsid w:val="003213AC"/>
    <w:rsid w:val="003226A0"/>
    <w:rsid w:val="00323003"/>
    <w:rsid w:val="0032464C"/>
    <w:rsid w:val="0032541D"/>
    <w:rsid w:val="003254C7"/>
    <w:rsid w:val="00325BE2"/>
    <w:rsid w:val="003279FC"/>
    <w:rsid w:val="00331420"/>
    <w:rsid w:val="00331BE4"/>
    <w:rsid w:val="00333208"/>
    <w:rsid w:val="00333973"/>
    <w:rsid w:val="003346E5"/>
    <w:rsid w:val="00334EBC"/>
    <w:rsid w:val="00335FB5"/>
    <w:rsid w:val="00336E73"/>
    <w:rsid w:val="00342F3A"/>
    <w:rsid w:val="003441BF"/>
    <w:rsid w:val="003540A8"/>
    <w:rsid w:val="00360F61"/>
    <w:rsid w:val="00360FDF"/>
    <w:rsid w:val="0036246E"/>
    <w:rsid w:val="003630C3"/>
    <w:rsid w:val="00364910"/>
    <w:rsid w:val="00365777"/>
    <w:rsid w:val="00365E08"/>
    <w:rsid w:val="00365E4B"/>
    <w:rsid w:val="00366378"/>
    <w:rsid w:val="00370929"/>
    <w:rsid w:val="00371F68"/>
    <w:rsid w:val="003729A4"/>
    <w:rsid w:val="00372A69"/>
    <w:rsid w:val="003732F6"/>
    <w:rsid w:val="003749E2"/>
    <w:rsid w:val="00375281"/>
    <w:rsid w:val="00377822"/>
    <w:rsid w:val="0038124B"/>
    <w:rsid w:val="00381401"/>
    <w:rsid w:val="0038203C"/>
    <w:rsid w:val="0038424B"/>
    <w:rsid w:val="00384E95"/>
    <w:rsid w:val="00387CE6"/>
    <w:rsid w:val="003908A0"/>
    <w:rsid w:val="00393F3A"/>
    <w:rsid w:val="00395DFF"/>
    <w:rsid w:val="00395E0B"/>
    <w:rsid w:val="00395F7B"/>
    <w:rsid w:val="003A0791"/>
    <w:rsid w:val="003A3605"/>
    <w:rsid w:val="003A5FBD"/>
    <w:rsid w:val="003A71F6"/>
    <w:rsid w:val="003A7777"/>
    <w:rsid w:val="003A7B1F"/>
    <w:rsid w:val="003A7D44"/>
    <w:rsid w:val="003B0202"/>
    <w:rsid w:val="003B1AE4"/>
    <w:rsid w:val="003B34DC"/>
    <w:rsid w:val="003B4E75"/>
    <w:rsid w:val="003B574B"/>
    <w:rsid w:val="003B72EA"/>
    <w:rsid w:val="003B7C53"/>
    <w:rsid w:val="003C030B"/>
    <w:rsid w:val="003C05ED"/>
    <w:rsid w:val="003C2168"/>
    <w:rsid w:val="003C37A2"/>
    <w:rsid w:val="003D009B"/>
    <w:rsid w:val="003D10F2"/>
    <w:rsid w:val="003D114C"/>
    <w:rsid w:val="003D42D8"/>
    <w:rsid w:val="003D4C1D"/>
    <w:rsid w:val="003D7D22"/>
    <w:rsid w:val="003E07C4"/>
    <w:rsid w:val="003E0A9D"/>
    <w:rsid w:val="003E1EAC"/>
    <w:rsid w:val="003E23E6"/>
    <w:rsid w:val="003E2838"/>
    <w:rsid w:val="003E61A5"/>
    <w:rsid w:val="003F1881"/>
    <w:rsid w:val="003F214C"/>
    <w:rsid w:val="003F2C53"/>
    <w:rsid w:val="003F3047"/>
    <w:rsid w:val="003F3E34"/>
    <w:rsid w:val="003F522F"/>
    <w:rsid w:val="003F7C83"/>
    <w:rsid w:val="00400467"/>
    <w:rsid w:val="004014CF"/>
    <w:rsid w:val="004019CE"/>
    <w:rsid w:val="00402B37"/>
    <w:rsid w:val="00403B4B"/>
    <w:rsid w:val="00404F39"/>
    <w:rsid w:val="00404FB5"/>
    <w:rsid w:val="00405E52"/>
    <w:rsid w:val="00405E99"/>
    <w:rsid w:val="004062C0"/>
    <w:rsid w:val="00406A87"/>
    <w:rsid w:val="0040734B"/>
    <w:rsid w:val="00410B8B"/>
    <w:rsid w:val="0041115F"/>
    <w:rsid w:val="00411D41"/>
    <w:rsid w:val="00412F90"/>
    <w:rsid w:val="00413F16"/>
    <w:rsid w:val="004153F9"/>
    <w:rsid w:val="00416E03"/>
    <w:rsid w:val="00416EDB"/>
    <w:rsid w:val="00421719"/>
    <w:rsid w:val="004231A3"/>
    <w:rsid w:val="0042516D"/>
    <w:rsid w:val="00426D02"/>
    <w:rsid w:val="004279F3"/>
    <w:rsid w:val="0043194D"/>
    <w:rsid w:val="00434916"/>
    <w:rsid w:val="0043508E"/>
    <w:rsid w:val="00437706"/>
    <w:rsid w:val="00442BCB"/>
    <w:rsid w:val="00443859"/>
    <w:rsid w:val="0044441F"/>
    <w:rsid w:val="004449F3"/>
    <w:rsid w:val="00444C34"/>
    <w:rsid w:val="00444D8B"/>
    <w:rsid w:val="004458AD"/>
    <w:rsid w:val="00447108"/>
    <w:rsid w:val="00450584"/>
    <w:rsid w:val="00450925"/>
    <w:rsid w:val="0045229C"/>
    <w:rsid w:val="00453C62"/>
    <w:rsid w:val="0045422F"/>
    <w:rsid w:val="00454442"/>
    <w:rsid w:val="00454496"/>
    <w:rsid w:val="0045587E"/>
    <w:rsid w:val="00462935"/>
    <w:rsid w:val="00465F3D"/>
    <w:rsid w:val="00466E65"/>
    <w:rsid w:val="00467A57"/>
    <w:rsid w:val="00467DE2"/>
    <w:rsid w:val="00467E7E"/>
    <w:rsid w:val="00467E81"/>
    <w:rsid w:val="00471ECC"/>
    <w:rsid w:val="004736FE"/>
    <w:rsid w:val="00474C24"/>
    <w:rsid w:val="00476AD9"/>
    <w:rsid w:val="0048099D"/>
    <w:rsid w:val="00481153"/>
    <w:rsid w:val="00483DAE"/>
    <w:rsid w:val="00484935"/>
    <w:rsid w:val="004854D7"/>
    <w:rsid w:val="00485AD2"/>
    <w:rsid w:val="00485D1B"/>
    <w:rsid w:val="00486C9F"/>
    <w:rsid w:val="00490505"/>
    <w:rsid w:val="0049135F"/>
    <w:rsid w:val="00491410"/>
    <w:rsid w:val="00492D97"/>
    <w:rsid w:val="0049363F"/>
    <w:rsid w:val="0049395E"/>
    <w:rsid w:val="00493B96"/>
    <w:rsid w:val="00494E89"/>
    <w:rsid w:val="00496E4C"/>
    <w:rsid w:val="004A18EB"/>
    <w:rsid w:val="004A1C39"/>
    <w:rsid w:val="004A4A36"/>
    <w:rsid w:val="004A5024"/>
    <w:rsid w:val="004A58D4"/>
    <w:rsid w:val="004A5CDE"/>
    <w:rsid w:val="004A5EE4"/>
    <w:rsid w:val="004A7061"/>
    <w:rsid w:val="004A7077"/>
    <w:rsid w:val="004A7770"/>
    <w:rsid w:val="004B0763"/>
    <w:rsid w:val="004B1C8F"/>
    <w:rsid w:val="004B1D5A"/>
    <w:rsid w:val="004B29F7"/>
    <w:rsid w:val="004B2D94"/>
    <w:rsid w:val="004B5128"/>
    <w:rsid w:val="004B7070"/>
    <w:rsid w:val="004C0E04"/>
    <w:rsid w:val="004C1A00"/>
    <w:rsid w:val="004C2DFA"/>
    <w:rsid w:val="004C3911"/>
    <w:rsid w:val="004C5994"/>
    <w:rsid w:val="004C5D69"/>
    <w:rsid w:val="004D358B"/>
    <w:rsid w:val="004D60D3"/>
    <w:rsid w:val="004D7DBA"/>
    <w:rsid w:val="004E1D1B"/>
    <w:rsid w:val="004E2692"/>
    <w:rsid w:val="004E3987"/>
    <w:rsid w:val="004E52FA"/>
    <w:rsid w:val="004F03D9"/>
    <w:rsid w:val="004F2F49"/>
    <w:rsid w:val="004F32F3"/>
    <w:rsid w:val="005009F1"/>
    <w:rsid w:val="00502A63"/>
    <w:rsid w:val="00505F72"/>
    <w:rsid w:val="00506BB5"/>
    <w:rsid w:val="00507062"/>
    <w:rsid w:val="005078F5"/>
    <w:rsid w:val="00507AAD"/>
    <w:rsid w:val="00510F75"/>
    <w:rsid w:val="00511952"/>
    <w:rsid w:val="00514704"/>
    <w:rsid w:val="00515317"/>
    <w:rsid w:val="005160FB"/>
    <w:rsid w:val="0052046A"/>
    <w:rsid w:val="00522C94"/>
    <w:rsid w:val="005252A2"/>
    <w:rsid w:val="005266E6"/>
    <w:rsid w:val="005269D1"/>
    <w:rsid w:val="00527A49"/>
    <w:rsid w:val="00535519"/>
    <w:rsid w:val="005360E5"/>
    <w:rsid w:val="00537C7C"/>
    <w:rsid w:val="00544D0D"/>
    <w:rsid w:val="00544DA5"/>
    <w:rsid w:val="0054663A"/>
    <w:rsid w:val="00550435"/>
    <w:rsid w:val="0055370C"/>
    <w:rsid w:val="00553C70"/>
    <w:rsid w:val="00560245"/>
    <w:rsid w:val="00564A9B"/>
    <w:rsid w:val="00565CF6"/>
    <w:rsid w:val="00566442"/>
    <w:rsid w:val="00566C7B"/>
    <w:rsid w:val="00570DB6"/>
    <w:rsid w:val="00575A9A"/>
    <w:rsid w:val="00576147"/>
    <w:rsid w:val="00576B45"/>
    <w:rsid w:val="00583E37"/>
    <w:rsid w:val="00584F89"/>
    <w:rsid w:val="00586351"/>
    <w:rsid w:val="0058709C"/>
    <w:rsid w:val="0059082D"/>
    <w:rsid w:val="00591B14"/>
    <w:rsid w:val="00593B86"/>
    <w:rsid w:val="00594556"/>
    <w:rsid w:val="005951A2"/>
    <w:rsid w:val="005A11A8"/>
    <w:rsid w:val="005A1FC9"/>
    <w:rsid w:val="005A2D39"/>
    <w:rsid w:val="005A428E"/>
    <w:rsid w:val="005A43A4"/>
    <w:rsid w:val="005A4608"/>
    <w:rsid w:val="005A5198"/>
    <w:rsid w:val="005A5C86"/>
    <w:rsid w:val="005A661C"/>
    <w:rsid w:val="005B18A8"/>
    <w:rsid w:val="005B23B2"/>
    <w:rsid w:val="005B34E9"/>
    <w:rsid w:val="005B4235"/>
    <w:rsid w:val="005B5CDF"/>
    <w:rsid w:val="005B5CE2"/>
    <w:rsid w:val="005B7117"/>
    <w:rsid w:val="005C03C9"/>
    <w:rsid w:val="005C15A8"/>
    <w:rsid w:val="005C20F7"/>
    <w:rsid w:val="005C2E77"/>
    <w:rsid w:val="005C467E"/>
    <w:rsid w:val="005C57D8"/>
    <w:rsid w:val="005C676F"/>
    <w:rsid w:val="005C79BA"/>
    <w:rsid w:val="005D2643"/>
    <w:rsid w:val="005D360D"/>
    <w:rsid w:val="005D3B92"/>
    <w:rsid w:val="005D5D7D"/>
    <w:rsid w:val="005D630D"/>
    <w:rsid w:val="005D6460"/>
    <w:rsid w:val="005D6884"/>
    <w:rsid w:val="005D7B4D"/>
    <w:rsid w:val="005E013B"/>
    <w:rsid w:val="005E085E"/>
    <w:rsid w:val="005E12BE"/>
    <w:rsid w:val="005E21CC"/>
    <w:rsid w:val="005E3625"/>
    <w:rsid w:val="005E3A35"/>
    <w:rsid w:val="005E4981"/>
    <w:rsid w:val="005E6497"/>
    <w:rsid w:val="005E6CD2"/>
    <w:rsid w:val="005F18EC"/>
    <w:rsid w:val="005F3785"/>
    <w:rsid w:val="005F52EA"/>
    <w:rsid w:val="005F5B02"/>
    <w:rsid w:val="005F6224"/>
    <w:rsid w:val="005F7DEC"/>
    <w:rsid w:val="00600423"/>
    <w:rsid w:val="00601067"/>
    <w:rsid w:val="00602CD6"/>
    <w:rsid w:val="00605EAC"/>
    <w:rsid w:val="006103B8"/>
    <w:rsid w:val="00610ABA"/>
    <w:rsid w:val="00610C1E"/>
    <w:rsid w:val="00611FC6"/>
    <w:rsid w:val="006133AB"/>
    <w:rsid w:val="00613818"/>
    <w:rsid w:val="0061655F"/>
    <w:rsid w:val="006200A1"/>
    <w:rsid w:val="00621083"/>
    <w:rsid w:val="00622955"/>
    <w:rsid w:val="006232F5"/>
    <w:rsid w:val="00624A90"/>
    <w:rsid w:val="0062507F"/>
    <w:rsid w:val="00625B0E"/>
    <w:rsid w:val="00627E23"/>
    <w:rsid w:val="00631C66"/>
    <w:rsid w:val="00632338"/>
    <w:rsid w:val="00633AAF"/>
    <w:rsid w:val="00634073"/>
    <w:rsid w:val="00636781"/>
    <w:rsid w:val="006376D9"/>
    <w:rsid w:val="00642B45"/>
    <w:rsid w:val="00643230"/>
    <w:rsid w:val="00643280"/>
    <w:rsid w:val="00644E9D"/>
    <w:rsid w:val="00645339"/>
    <w:rsid w:val="00645659"/>
    <w:rsid w:val="00645B08"/>
    <w:rsid w:val="00645EA8"/>
    <w:rsid w:val="0064736C"/>
    <w:rsid w:val="00650884"/>
    <w:rsid w:val="00650F96"/>
    <w:rsid w:val="00655A6C"/>
    <w:rsid w:val="0065758E"/>
    <w:rsid w:val="00660098"/>
    <w:rsid w:val="00660DAE"/>
    <w:rsid w:val="006639B5"/>
    <w:rsid w:val="00663F18"/>
    <w:rsid w:val="00663F8B"/>
    <w:rsid w:val="00664A1A"/>
    <w:rsid w:val="0066538B"/>
    <w:rsid w:val="006659CB"/>
    <w:rsid w:val="006670FC"/>
    <w:rsid w:val="00667751"/>
    <w:rsid w:val="00670385"/>
    <w:rsid w:val="006722A5"/>
    <w:rsid w:val="00672E77"/>
    <w:rsid w:val="00674C90"/>
    <w:rsid w:val="006759D1"/>
    <w:rsid w:val="00675ED4"/>
    <w:rsid w:val="00675EFE"/>
    <w:rsid w:val="0068038D"/>
    <w:rsid w:val="006812D9"/>
    <w:rsid w:val="00683326"/>
    <w:rsid w:val="00684C04"/>
    <w:rsid w:val="006854A3"/>
    <w:rsid w:val="00687C1E"/>
    <w:rsid w:val="00690DA2"/>
    <w:rsid w:val="006926F9"/>
    <w:rsid w:val="00694020"/>
    <w:rsid w:val="006941B9"/>
    <w:rsid w:val="0069434A"/>
    <w:rsid w:val="0069496A"/>
    <w:rsid w:val="006953CF"/>
    <w:rsid w:val="006954A5"/>
    <w:rsid w:val="006A0A0F"/>
    <w:rsid w:val="006A0F0F"/>
    <w:rsid w:val="006A13EF"/>
    <w:rsid w:val="006A3295"/>
    <w:rsid w:val="006A3998"/>
    <w:rsid w:val="006A3BFF"/>
    <w:rsid w:val="006B1332"/>
    <w:rsid w:val="006B246F"/>
    <w:rsid w:val="006B248B"/>
    <w:rsid w:val="006B25C9"/>
    <w:rsid w:val="006B31DE"/>
    <w:rsid w:val="006B337C"/>
    <w:rsid w:val="006B4897"/>
    <w:rsid w:val="006B4EDE"/>
    <w:rsid w:val="006C0E1D"/>
    <w:rsid w:val="006C6115"/>
    <w:rsid w:val="006C6999"/>
    <w:rsid w:val="006C6CDB"/>
    <w:rsid w:val="006C6E88"/>
    <w:rsid w:val="006D0701"/>
    <w:rsid w:val="006D19B1"/>
    <w:rsid w:val="006D1F41"/>
    <w:rsid w:val="006D1F96"/>
    <w:rsid w:val="006D48AB"/>
    <w:rsid w:val="006D4E9E"/>
    <w:rsid w:val="006D4FB8"/>
    <w:rsid w:val="006D528A"/>
    <w:rsid w:val="006D569A"/>
    <w:rsid w:val="006D5DA3"/>
    <w:rsid w:val="006D7611"/>
    <w:rsid w:val="006E05A4"/>
    <w:rsid w:val="006E0694"/>
    <w:rsid w:val="006E0748"/>
    <w:rsid w:val="006E0856"/>
    <w:rsid w:val="006E4C9C"/>
    <w:rsid w:val="006E5B76"/>
    <w:rsid w:val="006F1521"/>
    <w:rsid w:val="006F2322"/>
    <w:rsid w:val="006F6097"/>
    <w:rsid w:val="006F68D7"/>
    <w:rsid w:val="007027EF"/>
    <w:rsid w:val="00703BC7"/>
    <w:rsid w:val="0070660C"/>
    <w:rsid w:val="00707BC5"/>
    <w:rsid w:val="00707D87"/>
    <w:rsid w:val="00710E52"/>
    <w:rsid w:val="00712C5D"/>
    <w:rsid w:val="00712EB6"/>
    <w:rsid w:val="00716534"/>
    <w:rsid w:val="0071684F"/>
    <w:rsid w:val="00721E93"/>
    <w:rsid w:val="007230AC"/>
    <w:rsid w:val="00725680"/>
    <w:rsid w:val="007266C0"/>
    <w:rsid w:val="007337AF"/>
    <w:rsid w:val="007368D1"/>
    <w:rsid w:val="0073708D"/>
    <w:rsid w:val="00737615"/>
    <w:rsid w:val="00741284"/>
    <w:rsid w:val="00741F8F"/>
    <w:rsid w:val="007421F2"/>
    <w:rsid w:val="00742A0E"/>
    <w:rsid w:val="007466F4"/>
    <w:rsid w:val="007503DA"/>
    <w:rsid w:val="0075043B"/>
    <w:rsid w:val="00750898"/>
    <w:rsid w:val="0075417A"/>
    <w:rsid w:val="00757058"/>
    <w:rsid w:val="007578E5"/>
    <w:rsid w:val="00760171"/>
    <w:rsid w:val="007610F5"/>
    <w:rsid w:val="0076199F"/>
    <w:rsid w:val="00761E22"/>
    <w:rsid w:val="00761ED3"/>
    <w:rsid w:val="0076211F"/>
    <w:rsid w:val="00763A67"/>
    <w:rsid w:val="0076452B"/>
    <w:rsid w:val="007647A5"/>
    <w:rsid w:val="00764BD2"/>
    <w:rsid w:val="00767F37"/>
    <w:rsid w:val="007704A9"/>
    <w:rsid w:val="007716A8"/>
    <w:rsid w:val="00774516"/>
    <w:rsid w:val="00777DCD"/>
    <w:rsid w:val="00780804"/>
    <w:rsid w:val="00784811"/>
    <w:rsid w:val="00790362"/>
    <w:rsid w:val="007907C2"/>
    <w:rsid w:val="00792B70"/>
    <w:rsid w:val="00793687"/>
    <w:rsid w:val="007949AE"/>
    <w:rsid w:val="0079518A"/>
    <w:rsid w:val="0079691F"/>
    <w:rsid w:val="007A30F9"/>
    <w:rsid w:val="007A5EC1"/>
    <w:rsid w:val="007A64C4"/>
    <w:rsid w:val="007A64EC"/>
    <w:rsid w:val="007A6852"/>
    <w:rsid w:val="007B1E15"/>
    <w:rsid w:val="007B21AF"/>
    <w:rsid w:val="007B3B81"/>
    <w:rsid w:val="007B49B9"/>
    <w:rsid w:val="007B53AF"/>
    <w:rsid w:val="007B5818"/>
    <w:rsid w:val="007B6383"/>
    <w:rsid w:val="007B7308"/>
    <w:rsid w:val="007C09FD"/>
    <w:rsid w:val="007C2AFC"/>
    <w:rsid w:val="007C3D80"/>
    <w:rsid w:val="007C4543"/>
    <w:rsid w:val="007C540B"/>
    <w:rsid w:val="007C7313"/>
    <w:rsid w:val="007D2262"/>
    <w:rsid w:val="007D354D"/>
    <w:rsid w:val="007D3EEA"/>
    <w:rsid w:val="007D4F44"/>
    <w:rsid w:val="007D6D1B"/>
    <w:rsid w:val="007E1190"/>
    <w:rsid w:val="007E126F"/>
    <w:rsid w:val="007E3547"/>
    <w:rsid w:val="007F0BEC"/>
    <w:rsid w:val="007F0F9E"/>
    <w:rsid w:val="007F1A25"/>
    <w:rsid w:val="007F3B50"/>
    <w:rsid w:val="007F4630"/>
    <w:rsid w:val="007F47A4"/>
    <w:rsid w:val="007F62EF"/>
    <w:rsid w:val="007F647E"/>
    <w:rsid w:val="007F66A3"/>
    <w:rsid w:val="007F754C"/>
    <w:rsid w:val="007F78F3"/>
    <w:rsid w:val="00800003"/>
    <w:rsid w:val="008014DC"/>
    <w:rsid w:val="00802374"/>
    <w:rsid w:val="00802EFF"/>
    <w:rsid w:val="00803E2B"/>
    <w:rsid w:val="008065B2"/>
    <w:rsid w:val="0081240B"/>
    <w:rsid w:val="008137EC"/>
    <w:rsid w:val="00814283"/>
    <w:rsid w:val="00814B3B"/>
    <w:rsid w:val="00814BB2"/>
    <w:rsid w:val="00814EA7"/>
    <w:rsid w:val="00823922"/>
    <w:rsid w:val="00823A21"/>
    <w:rsid w:val="00825156"/>
    <w:rsid w:val="00825963"/>
    <w:rsid w:val="00825D00"/>
    <w:rsid w:val="00826668"/>
    <w:rsid w:val="00832023"/>
    <w:rsid w:val="00832DB4"/>
    <w:rsid w:val="008330E8"/>
    <w:rsid w:val="0083325D"/>
    <w:rsid w:val="00833DAC"/>
    <w:rsid w:val="00834B24"/>
    <w:rsid w:val="008370C8"/>
    <w:rsid w:val="008418DE"/>
    <w:rsid w:val="00844A57"/>
    <w:rsid w:val="0084537A"/>
    <w:rsid w:val="0084574C"/>
    <w:rsid w:val="00845EBB"/>
    <w:rsid w:val="00847429"/>
    <w:rsid w:val="008511D1"/>
    <w:rsid w:val="008537EF"/>
    <w:rsid w:val="00853BC7"/>
    <w:rsid w:val="00854BCC"/>
    <w:rsid w:val="00855084"/>
    <w:rsid w:val="00860A0E"/>
    <w:rsid w:val="00861EEB"/>
    <w:rsid w:val="00863615"/>
    <w:rsid w:val="00873843"/>
    <w:rsid w:val="0087472D"/>
    <w:rsid w:val="0087490E"/>
    <w:rsid w:val="00874AD2"/>
    <w:rsid w:val="00875425"/>
    <w:rsid w:val="0087760F"/>
    <w:rsid w:val="00881816"/>
    <w:rsid w:val="00881C73"/>
    <w:rsid w:val="00882059"/>
    <w:rsid w:val="0088246B"/>
    <w:rsid w:val="00882A84"/>
    <w:rsid w:val="0088307C"/>
    <w:rsid w:val="0088380E"/>
    <w:rsid w:val="00883D63"/>
    <w:rsid w:val="00884874"/>
    <w:rsid w:val="00884F33"/>
    <w:rsid w:val="00885419"/>
    <w:rsid w:val="00885D85"/>
    <w:rsid w:val="008875A2"/>
    <w:rsid w:val="0089116C"/>
    <w:rsid w:val="00891457"/>
    <w:rsid w:val="00895167"/>
    <w:rsid w:val="00896319"/>
    <w:rsid w:val="0089702C"/>
    <w:rsid w:val="008978B5"/>
    <w:rsid w:val="008A04E4"/>
    <w:rsid w:val="008A0623"/>
    <w:rsid w:val="008A4126"/>
    <w:rsid w:val="008A551B"/>
    <w:rsid w:val="008A66F0"/>
    <w:rsid w:val="008A7A39"/>
    <w:rsid w:val="008B17B1"/>
    <w:rsid w:val="008B25CF"/>
    <w:rsid w:val="008B3030"/>
    <w:rsid w:val="008B3507"/>
    <w:rsid w:val="008B3F62"/>
    <w:rsid w:val="008B4993"/>
    <w:rsid w:val="008B73E2"/>
    <w:rsid w:val="008B7D7A"/>
    <w:rsid w:val="008C1C7E"/>
    <w:rsid w:val="008C28C6"/>
    <w:rsid w:val="008C45E4"/>
    <w:rsid w:val="008C4ABB"/>
    <w:rsid w:val="008C4CFC"/>
    <w:rsid w:val="008C57E6"/>
    <w:rsid w:val="008C7862"/>
    <w:rsid w:val="008C7C55"/>
    <w:rsid w:val="008C7F1F"/>
    <w:rsid w:val="008D40DB"/>
    <w:rsid w:val="008D5FD7"/>
    <w:rsid w:val="008D61B0"/>
    <w:rsid w:val="008D6921"/>
    <w:rsid w:val="008E05F4"/>
    <w:rsid w:val="008E0F5A"/>
    <w:rsid w:val="008E10B5"/>
    <w:rsid w:val="008E1B0A"/>
    <w:rsid w:val="008E2ED7"/>
    <w:rsid w:val="008E61CA"/>
    <w:rsid w:val="008E663C"/>
    <w:rsid w:val="008F0F7F"/>
    <w:rsid w:val="008F1A74"/>
    <w:rsid w:val="008F3D51"/>
    <w:rsid w:val="008F6823"/>
    <w:rsid w:val="009049ED"/>
    <w:rsid w:val="00904F9F"/>
    <w:rsid w:val="00905073"/>
    <w:rsid w:val="009115D9"/>
    <w:rsid w:val="00911AF6"/>
    <w:rsid w:val="00915745"/>
    <w:rsid w:val="00917922"/>
    <w:rsid w:val="009200C2"/>
    <w:rsid w:val="009204F2"/>
    <w:rsid w:val="009204F4"/>
    <w:rsid w:val="00920D47"/>
    <w:rsid w:val="0092115B"/>
    <w:rsid w:val="0092214B"/>
    <w:rsid w:val="00923066"/>
    <w:rsid w:val="009275ED"/>
    <w:rsid w:val="00931079"/>
    <w:rsid w:val="00931942"/>
    <w:rsid w:val="00931E0C"/>
    <w:rsid w:val="00936448"/>
    <w:rsid w:val="00937F28"/>
    <w:rsid w:val="00942609"/>
    <w:rsid w:val="00943A05"/>
    <w:rsid w:val="00944405"/>
    <w:rsid w:val="00944540"/>
    <w:rsid w:val="009452B2"/>
    <w:rsid w:val="00945DCF"/>
    <w:rsid w:val="00947806"/>
    <w:rsid w:val="00952FFA"/>
    <w:rsid w:val="00954099"/>
    <w:rsid w:val="00956543"/>
    <w:rsid w:val="009605DC"/>
    <w:rsid w:val="009607AE"/>
    <w:rsid w:val="00963DD8"/>
    <w:rsid w:val="00965376"/>
    <w:rsid w:val="009673FA"/>
    <w:rsid w:val="00970101"/>
    <w:rsid w:val="00970592"/>
    <w:rsid w:val="00970950"/>
    <w:rsid w:val="00971C84"/>
    <w:rsid w:val="0097211E"/>
    <w:rsid w:val="00973FBC"/>
    <w:rsid w:val="009741F6"/>
    <w:rsid w:val="00977909"/>
    <w:rsid w:val="00980802"/>
    <w:rsid w:val="00982437"/>
    <w:rsid w:val="00982BE9"/>
    <w:rsid w:val="00984C94"/>
    <w:rsid w:val="0098570D"/>
    <w:rsid w:val="0098655E"/>
    <w:rsid w:val="00986F25"/>
    <w:rsid w:val="00987038"/>
    <w:rsid w:val="00987DEB"/>
    <w:rsid w:val="00990C0E"/>
    <w:rsid w:val="00992E06"/>
    <w:rsid w:val="00994F65"/>
    <w:rsid w:val="00995967"/>
    <w:rsid w:val="00995A29"/>
    <w:rsid w:val="00997DAF"/>
    <w:rsid w:val="009A2F2E"/>
    <w:rsid w:val="009A4ACB"/>
    <w:rsid w:val="009A4F9E"/>
    <w:rsid w:val="009A5089"/>
    <w:rsid w:val="009B06B4"/>
    <w:rsid w:val="009B2511"/>
    <w:rsid w:val="009B6272"/>
    <w:rsid w:val="009B6BFA"/>
    <w:rsid w:val="009C3329"/>
    <w:rsid w:val="009C7F23"/>
    <w:rsid w:val="009D1ADF"/>
    <w:rsid w:val="009D2245"/>
    <w:rsid w:val="009D471B"/>
    <w:rsid w:val="009D5284"/>
    <w:rsid w:val="009D5B3D"/>
    <w:rsid w:val="009D5D88"/>
    <w:rsid w:val="009D6D96"/>
    <w:rsid w:val="009D78EE"/>
    <w:rsid w:val="009E014C"/>
    <w:rsid w:val="009E01B8"/>
    <w:rsid w:val="009E070E"/>
    <w:rsid w:val="009E0C71"/>
    <w:rsid w:val="009E109D"/>
    <w:rsid w:val="009E5C15"/>
    <w:rsid w:val="009F07D2"/>
    <w:rsid w:val="009F12E4"/>
    <w:rsid w:val="009F4245"/>
    <w:rsid w:val="009F469B"/>
    <w:rsid w:val="009F5B40"/>
    <w:rsid w:val="009F7B5E"/>
    <w:rsid w:val="00A003B8"/>
    <w:rsid w:val="00A00883"/>
    <w:rsid w:val="00A01AF7"/>
    <w:rsid w:val="00A05E02"/>
    <w:rsid w:val="00A0704A"/>
    <w:rsid w:val="00A079C1"/>
    <w:rsid w:val="00A07B85"/>
    <w:rsid w:val="00A1031D"/>
    <w:rsid w:val="00A1282C"/>
    <w:rsid w:val="00A13C3F"/>
    <w:rsid w:val="00A13EE9"/>
    <w:rsid w:val="00A1438C"/>
    <w:rsid w:val="00A14F2C"/>
    <w:rsid w:val="00A159D2"/>
    <w:rsid w:val="00A21814"/>
    <w:rsid w:val="00A21CCF"/>
    <w:rsid w:val="00A2635A"/>
    <w:rsid w:val="00A279D5"/>
    <w:rsid w:val="00A32A1D"/>
    <w:rsid w:val="00A36521"/>
    <w:rsid w:val="00A40723"/>
    <w:rsid w:val="00A41C78"/>
    <w:rsid w:val="00A41D0D"/>
    <w:rsid w:val="00A45A2B"/>
    <w:rsid w:val="00A45F99"/>
    <w:rsid w:val="00A46ED3"/>
    <w:rsid w:val="00A4765F"/>
    <w:rsid w:val="00A50B81"/>
    <w:rsid w:val="00A51B5C"/>
    <w:rsid w:val="00A5261B"/>
    <w:rsid w:val="00A533F7"/>
    <w:rsid w:val="00A55E8E"/>
    <w:rsid w:val="00A57EE4"/>
    <w:rsid w:val="00A60AED"/>
    <w:rsid w:val="00A61472"/>
    <w:rsid w:val="00A617AB"/>
    <w:rsid w:val="00A622AC"/>
    <w:rsid w:val="00A6259A"/>
    <w:rsid w:val="00A6499E"/>
    <w:rsid w:val="00A71AF5"/>
    <w:rsid w:val="00A730EF"/>
    <w:rsid w:val="00A76BD7"/>
    <w:rsid w:val="00A801B1"/>
    <w:rsid w:val="00A81FA7"/>
    <w:rsid w:val="00A823A7"/>
    <w:rsid w:val="00A83016"/>
    <w:rsid w:val="00A83FF1"/>
    <w:rsid w:val="00A858F7"/>
    <w:rsid w:val="00A86614"/>
    <w:rsid w:val="00A86C00"/>
    <w:rsid w:val="00A8714F"/>
    <w:rsid w:val="00A911E3"/>
    <w:rsid w:val="00A92945"/>
    <w:rsid w:val="00A92ABB"/>
    <w:rsid w:val="00A92CDE"/>
    <w:rsid w:val="00A96730"/>
    <w:rsid w:val="00A97741"/>
    <w:rsid w:val="00A97C75"/>
    <w:rsid w:val="00AA03C3"/>
    <w:rsid w:val="00AA082C"/>
    <w:rsid w:val="00AA155C"/>
    <w:rsid w:val="00AA26AF"/>
    <w:rsid w:val="00AA32BB"/>
    <w:rsid w:val="00AA3612"/>
    <w:rsid w:val="00AA3C75"/>
    <w:rsid w:val="00AA5298"/>
    <w:rsid w:val="00AA5300"/>
    <w:rsid w:val="00AA655F"/>
    <w:rsid w:val="00AA672C"/>
    <w:rsid w:val="00AB5248"/>
    <w:rsid w:val="00AB5CAD"/>
    <w:rsid w:val="00AB5D11"/>
    <w:rsid w:val="00AC0442"/>
    <w:rsid w:val="00AC07E3"/>
    <w:rsid w:val="00AC247A"/>
    <w:rsid w:val="00AC2487"/>
    <w:rsid w:val="00AC3B8C"/>
    <w:rsid w:val="00AC71AB"/>
    <w:rsid w:val="00AD2F34"/>
    <w:rsid w:val="00AD5C4F"/>
    <w:rsid w:val="00AE1785"/>
    <w:rsid w:val="00AE2FAB"/>
    <w:rsid w:val="00AE33C1"/>
    <w:rsid w:val="00AE3C6C"/>
    <w:rsid w:val="00AF2B3F"/>
    <w:rsid w:val="00AF4D63"/>
    <w:rsid w:val="00AF5BD6"/>
    <w:rsid w:val="00AF7490"/>
    <w:rsid w:val="00B01901"/>
    <w:rsid w:val="00B01BE3"/>
    <w:rsid w:val="00B02B16"/>
    <w:rsid w:val="00B02E7F"/>
    <w:rsid w:val="00B04D6C"/>
    <w:rsid w:val="00B066C4"/>
    <w:rsid w:val="00B075E4"/>
    <w:rsid w:val="00B075F0"/>
    <w:rsid w:val="00B108D9"/>
    <w:rsid w:val="00B112E8"/>
    <w:rsid w:val="00B14C47"/>
    <w:rsid w:val="00B14C62"/>
    <w:rsid w:val="00B1730D"/>
    <w:rsid w:val="00B17455"/>
    <w:rsid w:val="00B178FE"/>
    <w:rsid w:val="00B2084C"/>
    <w:rsid w:val="00B20E45"/>
    <w:rsid w:val="00B219EE"/>
    <w:rsid w:val="00B21F22"/>
    <w:rsid w:val="00B221E9"/>
    <w:rsid w:val="00B22B87"/>
    <w:rsid w:val="00B23540"/>
    <w:rsid w:val="00B23541"/>
    <w:rsid w:val="00B23617"/>
    <w:rsid w:val="00B23938"/>
    <w:rsid w:val="00B25291"/>
    <w:rsid w:val="00B258A4"/>
    <w:rsid w:val="00B25C4D"/>
    <w:rsid w:val="00B30774"/>
    <w:rsid w:val="00B32B91"/>
    <w:rsid w:val="00B34A0D"/>
    <w:rsid w:val="00B355B4"/>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408E"/>
    <w:rsid w:val="00B55087"/>
    <w:rsid w:val="00B57588"/>
    <w:rsid w:val="00B6058A"/>
    <w:rsid w:val="00B61851"/>
    <w:rsid w:val="00B62A14"/>
    <w:rsid w:val="00B62BBA"/>
    <w:rsid w:val="00B6420A"/>
    <w:rsid w:val="00B67A07"/>
    <w:rsid w:val="00B67A46"/>
    <w:rsid w:val="00B67AE4"/>
    <w:rsid w:val="00B71891"/>
    <w:rsid w:val="00B718B6"/>
    <w:rsid w:val="00B75954"/>
    <w:rsid w:val="00B8038B"/>
    <w:rsid w:val="00B822BD"/>
    <w:rsid w:val="00B834BD"/>
    <w:rsid w:val="00B8388F"/>
    <w:rsid w:val="00B8649A"/>
    <w:rsid w:val="00B87440"/>
    <w:rsid w:val="00B9102F"/>
    <w:rsid w:val="00B913AD"/>
    <w:rsid w:val="00B94230"/>
    <w:rsid w:val="00B973A4"/>
    <w:rsid w:val="00B977D4"/>
    <w:rsid w:val="00BA4987"/>
    <w:rsid w:val="00BA56C1"/>
    <w:rsid w:val="00BA588E"/>
    <w:rsid w:val="00BA5A5C"/>
    <w:rsid w:val="00BA5F62"/>
    <w:rsid w:val="00BA637B"/>
    <w:rsid w:val="00BA7F5D"/>
    <w:rsid w:val="00BB496C"/>
    <w:rsid w:val="00BB569C"/>
    <w:rsid w:val="00BB7941"/>
    <w:rsid w:val="00BC245E"/>
    <w:rsid w:val="00BC297A"/>
    <w:rsid w:val="00BC2FCF"/>
    <w:rsid w:val="00BC39EB"/>
    <w:rsid w:val="00BC3B75"/>
    <w:rsid w:val="00BC450B"/>
    <w:rsid w:val="00BC46AA"/>
    <w:rsid w:val="00BC5E22"/>
    <w:rsid w:val="00BC6798"/>
    <w:rsid w:val="00BC6F68"/>
    <w:rsid w:val="00BD0528"/>
    <w:rsid w:val="00BD084E"/>
    <w:rsid w:val="00BD0C87"/>
    <w:rsid w:val="00BD1C7E"/>
    <w:rsid w:val="00BD3439"/>
    <w:rsid w:val="00BD368D"/>
    <w:rsid w:val="00BD3D6D"/>
    <w:rsid w:val="00BD63E9"/>
    <w:rsid w:val="00BD6A3E"/>
    <w:rsid w:val="00BE1D86"/>
    <w:rsid w:val="00BE456C"/>
    <w:rsid w:val="00BE49E8"/>
    <w:rsid w:val="00BE4C7A"/>
    <w:rsid w:val="00BE586E"/>
    <w:rsid w:val="00BE6209"/>
    <w:rsid w:val="00BF0218"/>
    <w:rsid w:val="00BF0283"/>
    <w:rsid w:val="00BF0AE8"/>
    <w:rsid w:val="00BF1DBE"/>
    <w:rsid w:val="00BF37E2"/>
    <w:rsid w:val="00BF6B55"/>
    <w:rsid w:val="00BF7430"/>
    <w:rsid w:val="00C00B1E"/>
    <w:rsid w:val="00C0135A"/>
    <w:rsid w:val="00C017EB"/>
    <w:rsid w:val="00C03872"/>
    <w:rsid w:val="00C051C5"/>
    <w:rsid w:val="00C0649C"/>
    <w:rsid w:val="00C06942"/>
    <w:rsid w:val="00C07AA6"/>
    <w:rsid w:val="00C1061B"/>
    <w:rsid w:val="00C11D0E"/>
    <w:rsid w:val="00C11EA6"/>
    <w:rsid w:val="00C14265"/>
    <w:rsid w:val="00C16C63"/>
    <w:rsid w:val="00C179D5"/>
    <w:rsid w:val="00C2103E"/>
    <w:rsid w:val="00C212CF"/>
    <w:rsid w:val="00C213B7"/>
    <w:rsid w:val="00C22FFF"/>
    <w:rsid w:val="00C23688"/>
    <w:rsid w:val="00C24512"/>
    <w:rsid w:val="00C27985"/>
    <w:rsid w:val="00C31639"/>
    <w:rsid w:val="00C31926"/>
    <w:rsid w:val="00C31D90"/>
    <w:rsid w:val="00C31EED"/>
    <w:rsid w:val="00C32F23"/>
    <w:rsid w:val="00C33D67"/>
    <w:rsid w:val="00C362FA"/>
    <w:rsid w:val="00C3672A"/>
    <w:rsid w:val="00C41D72"/>
    <w:rsid w:val="00C42090"/>
    <w:rsid w:val="00C420D8"/>
    <w:rsid w:val="00C420E4"/>
    <w:rsid w:val="00C43808"/>
    <w:rsid w:val="00C46B69"/>
    <w:rsid w:val="00C4766C"/>
    <w:rsid w:val="00C47B07"/>
    <w:rsid w:val="00C50D25"/>
    <w:rsid w:val="00C51171"/>
    <w:rsid w:val="00C525F9"/>
    <w:rsid w:val="00C53C72"/>
    <w:rsid w:val="00C53C81"/>
    <w:rsid w:val="00C56CDC"/>
    <w:rsid w:val="00C60A71"/>
    <w:rsid w:val="00C64941"/>
    <w:rsid w:val="00C64EE4"/>
    <w:rsid w:val="00C6581F"/>
    <w:rsid w:val="00C7024F"/>
    <w:rsid w:val="00C71247"/>
    <w:rsid w:val="00C7412D"/>
    <w:rsid w:val="00C75991"/>
    <w:rsid w:val="00C75CCA"/>
    <w:rsid w:val="00C76808"/>
    <w:rsid w:val="00C76F8E"/>
    <w:rsid w:val="00C8149F"/>
    <w:rsid w:val="00C81836"/>
    <w:rsid w:val="00C842D0"/>
    <w:rsid w:val="00C8580A"/>
    <w:rsid w:val="00C86089"/>
    <w:rsid w:val="00C870E6"/>
    <w:rsid w:val="00C87ABE"/>
    <w:rsid w:val="00C90CAF"/>
    <w:rsid w:val="00C90FC7"/>
    <w:rsid w:val="00C9188F"/>
    <w:rsid w:val="00C96340"/>
    <w:rsid w:val="00C96552"/>
    <w:rsid w:val="00CA0132"/>
    <w:rsid w:val="00CA26F3"/>
    <w:rsid w:val="00CA36F2"/>
    <w:rsid w:val="00CA3884"/>
    <w:rsid w:val="00CA3B3F"/>
    <w:rsid w:val="00CA48D4"/>
    <w:rsid w:val="00CA5A6D"/>
    <w:rsid w:val="00CA719B"/>
    <w:rsid w:val="00CA77F2"/>
    <w:rsid w:val="00CB64D0"/>
    <w:rsid w:val="00CB79B6"/>
    <w:rsid w:val="00CC4157"/>
    <w:rsid w:val="00CC5390"/>
    <w:rsid w:val="00CC5456"/>
    <w:rsid w:val="00CD06B8"/>
    <w:rsid w:val="00CD0F7A"/>
    <w:rsid w:val="00CD1851"/>
    <w:rsid w:val="00CD2AD8"/>
    <w:rsid w:val="00CD3780"/>
    <w:rsid w:val="00CD47B6"/>
    <w:rsid w:val="00CE1889"/>
    <w:rsid w:val="00CE3602"/>
    <w:rsid w:val="00CF1268"/>
    <w:rsid w:val="00D01549"/>
    <w:rsid w:val="00D034FA"/>
    <w:rsid w:val="00D05385"/>
    <w:rsid w:val="00D05E47"/>
    <w:rsid w:val="00D07852"/>
    <w:rsid w:val="00D07FB9"/>
    <w:rsid w:val="00D11EE3"/>
    <w:rsid w:val="00D129C0"/>
    <w:rsid w:val="00D15B10"/>
    <w:rsid w:val="00D16BEE"/>
    <w:rsid w:val="00D21752"/>
    <w:rsid w:val="00D24B6A"/>
    <w:rsid w:val="00D254F8"/>
    <w:rsid w:val="00D32508"/>
    <w:rsid w:val="00D34176"/>
    <w:rsid w:val="00D35739"/>
    <w:rsid w:val="00D35E9E"/>
    <w:rsid w:val="00D36798"/>
    <w:rsid w:val="00D37708"/>
    <w:rsid w:val="00D4041F"/>
    <w:rsid w:val="00D40AA2"/>
    <w:rsid w:val="00D40EF6"/>
    <w:rsid w:val="00D413AB"/>
    <w:rsid w:val="00D41999"/>
    <w:rsid w:val="00D4670F"/>
    <w:rsid w:val="00D468F8"/>
    <w:rsid w:val="00D46D1B"/>
    <w:rsid w:val="00D50CEA"/>
    <w:rsid w:val="00D5574C"/>
    <w:rsid w:val="00D611BE"/>
    <w:rsid w:val="00D63E9B"/>
    <w:rsid w:val="00D63FC3"/>
    <w:rsid w:val="00D649AF"/>
    <w:rsid w:val="00D652F3"/>
    <w:rsid w:val="00D65982"/>
    <w:rsid w:val="00D67BB1"/>
    <w:rsid w:val="00D71672"/>
    <w:rsid w:val="00D71721"/>
    <w:rsid w:val="00D71B62"/>
    <w:rsid w:val="00D7477E"/>
    <w:rsid w:val="00D81314"/>
    <w:rsid w:val="00D82BC0"/>
    <w:rsid w:val="00D82FE7"/>
    <w:rsid w:val="00D83EC1"/>
    <w:rsid w:val="00D85162"/>
    <w:rsid w:val="00D85B50"/>
    <w:rsid w:val="00D864E2"/>
    <w:rsid w:val="00D907E8"/>
    <w:rsid w:val="00D91A2E"/>
    <w:rsid w:val="00D929A0"/>
    <w:rsid w:val="00D9381B"/>
    <w:rsid w:val="00D96C76"/>
    <w:rsid w:val="00D974DF"/>
    <w:rsid w:val="00DA01DC"/>
    <w:rsid w:val="00DA1684"/>
    <w:rsid w:val="00DA2003"/>
    <w:rsid w:val="00DA4C68"/>
    <w:rsid w:val="00DA54C1"/>
    <w:rsid w:val="00DA5A68"/>
    <w:rsid w:val="00DA6472"/>
    <w:rsid w:val="00DB0457"/>
    <w:rsid w:val="00DB09C5"/>
    <w:rsid w:val="00DB2CA6"/>
    <w:rsid w:val="00DB3DDF"/>
    <w:rsid w:val="00DB6A44"/>
    <w:rsid w:val="00DB6BDD"/>
    <w:rsid w:val="00DB6DB7"/>
    <w:rsid w:val="00DB77FA"/>
    <w:rsid w:val="00DB7847"/>
    <w:rsid w:val="00DB7EA1"/>
    <w:rsid w:val="00DC4285"/>
    <w:rsid w:val="00DC50AF"/>
    <w:rsid w:val="00DC76BB"/>
    <w:rsid w:val="00DC7CEA"/>
    <w:rsid w:val="00DD01C1"/>
    <w:rsid w:val="00DD17A3"/>
    <w:rsid w:val="00DD1E64"/>
    <w:rsid w:val="00DD387C"/>
    <w:rsid w:val="00DD47CA"/>
    <w:rsid w:val="00DD49D1"/>
    <w:rsid w:val="00DD51BC"/>
    <w:rsid w:val="00DE07AD"/>
    <w:rsid w:val="00DE429E"/>
    <w:rsid w:val="00DE5289"/>
    <w:rsid w:val="00DE5DB2"/>
    <w:rsid w:val="00DE5EA6"/>
    <w:rsid w:val="00DE75C5"/>
    <w:rsid w:val="00DF008D"/>
    <w:rsid w:val="00DF062D"/>
    <w:rsid w:val="00DF204D"/>
    <w:rsid w:val="00DF2703"/>
    <w:rsid w:val="00DF3011"/>
    <w:rsid w:val="00DF4974"/>
    <w:rsid w:val="00DF6EAC"/>
    <w:rsid w:val="00E00F96"/>
    <w:rsid w:val="00E02FDE"/>
    <w:rsid w:val="00E0511A"/>
    <w:rsid w:val="00E0628C"/>
    <w:rsid w:val="00E11839"/>
    <w:rsid w:val="00E125C3"/>
    <w:rsid w:val="00E13481"/>
    <w:rsid w:val="00E150E1"/>
    <w:rsid w:val="00E15FCD"/>
    <w:rsid w:val="00E228D9"/>
    <w:rsid w:val="00E24FF6"/>
    <w:rsid w:val="00E2515B"/>
    <w:rsid w:val="00E2526C"/>
    <w:rsid w:val="00E261B4"/>
    <w:rsid w:val="00E26804"/>
    <w:rsid w:val="00E2726E"/>
    <w:rsid w:val="00E27F52"/>
    <w:rsid w:val="00E33035"/>
    <w:rsid w:val="00E35964"/>
    <w:rsid w:val="00E36079"/>
    <w:rsid w:val="00E36167"/>
    <w:rsid w:val="00E36970"/>
    <w:rsid w:val="00E36DE5"/>
    <w:rsid w:val="00E379F6"/>
    <w:rsid w:val="00E406A8"/>
    <w:rsid w:val="00E41D60"/>
    <w:rsid w:val="00E42B11"/>
    <w:rsid w:val="00E432A9"/>
    <w:rsid w:val="00E4337D"/>
    <w:rsid w:val="00E43C0F"/>
    <w:rsid w:val="00E45E4D"/>
    <w:rsid w:val="00E47610"/>
    <w:rsid w:val="00E508D3"/>
    <w:rsid w:val="00E50B76"/>
    <w:rsid w:val="00E5254C"/>
    <w:rsid w:val="00E537D7"/>
    <w:rsid w:val="00E5400F"/>
    <w:rsid w:val="00E56818"/>
    <w:rsid w:val="00E57986"/>
    <w:rsid w:val="00E62203"/>
    <w:rsid w:val="00E62F3D"/>
    <w:rsid w:val="00E63B67"/>
    <w:rsid w:val="00E659C8"/>
    <w:rsid w:val="00E673D7"/>
    <w:rsid w:val="00E707BE"/>
    <w:rsid w:val="00E72416"/>
    <w:rsid w:val="00E734EB"/>
    <w:rsid w:val="00E73B4E"/>
    <w:rsid w:val="00E73E8D"/>
    <w:rsid w:val="00E7584D"/>
    <w:rsid w:val="00E828F5"/>
    <w:rsid w:val="00E82E69"/>
    <w:rsid w:val="00E84E7D"/>
    <w:rsid w:val="00E86881"/>
    <w:rsid w:val="00E935B9"/>
    <w:rsid w:val="00E94201"/>
    <w:rsid w:val="00E95F62"/>
    <w:rsid w:val="00E96422"/>
    <w:rsid w:val="00E97D0A"/>
    <w:rsid w:val="00EA020A"/>
    <w:rsid w:val="00EA03D5"/>
    <w:rsid w:val="00EA1FA6"/>
    <w:rsid w:val="00EA2454"/>
    <w:rsid w:val="00EA24E2"/>
    <w:rsid w:val="00EA2E5D"/>
    <w:rsid w:val="00EA3822"/>
    <w:rsid w:val="00EA6DCD"/>
    <w:rsid w:val="00EB021D"/>
    <w:rsid w:val="00EB14C3"/>
    <w:rsid w:val="00EB2839"/>
    <w:rsid w:val="00EC0230"/>
    <w:rsid w:val="00EC33E6"/>
    <w:rsid w:val="00EC4FA2"/>
    <w:rsid w:val="00EC53C5"/>
    <w:rsid w:val="00EC5D00"/>
    <w:rsid w:val="00ED050B"/>
    <w:rsid w:val="00ED1D8B"/>
    <w:rsid w:val="00ED3E00"/>
    <w:rsid w:val="00ED57DE"/>
    <w:rsid w:val="00ED5C1F"/>
    <w:rsid w:val="00ED654D"/>
    <w:rsid w:val="00EE1723"/>
    <w:rsid w:val="00EE2629"/>
    <w:rsid w:val="00EE2FAE"/>
    <w:rsid w:val="00EE3630"/>
    <w:rsid w:val="00EE430E"/>
    <w:rsid w:val="00EE4869"/>
    <w:rsid w:val="00EE574B"/>
    <w:rsid w:val="00EE73F0"/>
    <w:rsid w:val="00EE7763"/>
    <w:rsid w:val="00EE7F52"/>
    <w:rsid w:val="00EF0C0A"/>
    <w:rsid w:val="00EF1CA1"/>
    <w:rsid w:val="00EF3778"/>
    <w:rsid w:val="00EF3E23"/>
    <w:rsid w:val="00EF520D"/>
    <w:rsid w:val="00EF5ED1"/>
    <w:rsid w:val="00F00D0B"/>
    <w:rsid w:val="00F016F7"/>
    <w:rsid w:val="00F02D38"/>
    <w:rsid w:val="00F03E9C"/>
    <w:rsid w:val="00F06F4B"/>
    <w:rsid w:val="00F07943"/>
    <w:rsid w:val="00F13907"/>
    <w:rsid w:val="00F13CC4"/>
    <w:rsid w:val="00F13F90"/>
    <w:rsid w:val="00F1431C"/>
    <w:rsid w:val="00F2057F"/>
    <w:rsid w:val="00F22306"/>
    <w:rsid w:val="00F24C12"/>
    <w:rsid w:val="00F24F7A"/>
    <w:rsid w:val="00F2779E"/>
    <w:rsid w:val="00F33C14"/>
    <w:rsid w:val="00F34231"/>
    <w:rsid w:val="00F34B62"/>
    <w:rsid w:val="00F35BD9"/>
    <w:rsid w:val="00F37456"/>
    <w:rsid w:val="00F41B3D"/>
    <w:rsid w:val="00F41BB4"/>
    <w:rsid w:val="00F41C5F"/>
    <w:rsid w:val="00F42198"/>
    <w:rsid w:val="00F42200"/>
    <w:rsid w:val="00F4232F"/>
    <w:rsid w:val="00F4268B"/>
    <w:rsid w:val="00F43015"/>
    <w:rsid w:val="00F45215"/>
    <w:rsid w:val="00F453A1"/>
    <w:rsid w:val="00F51B9B"/>
    <w:rsid w:val="00F5209F"/>
    <w:rsid w:val="00F52D53"/>
    <w:rsid w:val="00F56A40"/>
    <w:rsid w:val="00F56F16"/>
    <w:rsid w:val="00F57C15"/>
    <w:rsid w:val="00F60AD9"/>
    <w:rsid w:val="00F61340"/>
    <w:rsid w:val="00F64814"/>
    <w:rsid w:val="00F64EC5"/>
    <w:rsid w:val="00F67301"/>
    <w:rsid w:val="00F708F2"/>
    <w:rsid w:val="00F711A9"/>
    <w:rsid w:val="00F71D95"/>
    <w:rsid w:val="00F72415"/>
    <w:rsid w:val="00F77823"/>
    <w:rsid w:val="00F80FD4"/>
    <w:rsid w:val="00F8196F"/>
    <w:rsid w:val="00F82A7A"/>
    <w:rsid w:val="00F833DB"/>
    <w:rsid w:val="00F83E21"/>
    <w:rsid w:val="00F8442D"/>
    <w:rsid w:val="00F8585F"/>
    <w:rsid w:val="00F86997"/>
    <w:rsid w:val="00F87171"/>
    <w:rsid w:val="00F87490"/>
    <w:rsid w:val="00F93087"/>
    <w:rsid w:val="00F930F2"/>
    <w:rsid w:val="00F939F5"/>
    <w:rsid w:val="00F93E90"/>
    <w:rsid w:val="00F97334"/>
    <w:rsid w:val="00F97CAE"/>
    <w:rsid w:val="00F97DB8"/>
    <w:rsid w:val="00FA135E"/>
    <w:rsid w:val="00FA2484"/>
    <w:rsid w:val="00FA2774"/>
    <w:rsid w:val="00FA349B"/>
    <w:rsid w:val="00FA3E00"/>
    <w:rsid w:val="00FA4C9D"/>
    <w:rsid w:val="00FA678E"/>
    <w:rsid w:val="00FB0384"/>
    <w:rsid w:val="00FB0F3F"/>
    <w:rsid w:val="00FB195C"/>
    <w:rsid w:val="00FB2E5B"/>
    <w:rsid w:val="00FB3202"/>
    <w:rsid w:val="00FB4D46"/>
    <w:rsid w:val="00FC1470"/>
    <w:rsid w:val="00FC1BFA"/>
    <w:rsid w:val="00FC58C4"/>
    <w:rsid w:val="00FD0A2F"/>
    <w:rsid w:val="00FD297E"/>
    <w:rsid w:val="00FD34A4"/>
    <w:rsid w:val="00FD38DA"/>
    <w:rsid w:val="00FD45BA"/>
    <w:rsid w:val="00FD7E12"/>
    <w:rsid w:val="00FE1D72"/>
    <w:rsid w:val="00FE27BB"/>
    <w:rsid w:val="00FE41FF"/>
    <w:rsid w:val="00FE4982"/>
    <w:rsid w:val="00FE55BA"/>
    <w:rsid w:val="00FF0374"/>
    <w:rsid w:val="00FF0F64"/>
    <w:rsid w:val="00FF121A"/>
    <w:rsid w:val="00FF20DB"/>
    <w:rsid w:val="00FF2950"/>
    <w:rsid w:val="00FF2F0E"/>
    <w:rsid w:val="00FF3F57"/>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15:docId w15:val="{A78DDFC8-A6A4-4AD6-B78D-9B44BE34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fr-FR" w:eastAsia="ja-JP"/>
    </w:rPr>
  </w:style>
  <w:style w:type="paragraph" w:styleId="ListParagraph">
    <w:name w:val="List Paragraph"/>
    <w:basedOn w:val="Normal"/>
    <w:qFormat/>
    <w:rsid w:val="00B977D4"/>
    <w:pPr>
      <w:ind w:left="720"/>
    </w:pPr>
    <w:rPr>
      <w:rFonts w:ascii="Calibri" w:eastAsiaTheme="minorHAnsi" w:hAnsi="Calibri" w:cs="Calibri"/>
      <w:sz w:val="22"/>
      <w:szCs w:val="22"/>
      <w:lang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fr-FR"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fr-FR" w:eastAsia="en-US"/>
    </w:rPr>
  </w:style>
  <w:style w:type="character" w:customStyle="1" w:styleId="FooterChar">
    <w:name w:val="Footer Char"/>
    <w:basedOn w:val="DefaultParagraphFont"/>
    <w:link w:val="Footer"/>
    <w:uiPriority w:val="99"/>
    <w:rsid w:val="001605DF"/>
    <w:rPr>
      <w:szCs w:val="24"/>
      <w:lang w:val="fr-FR"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fr-FR"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eastAsia="en-GB"/>
    </w:rPr>
  </w:style>
  <w:style w:type="table" w:customStyle="1" w:styleId="TableGrid1">
    <w:name w:val="Table Grid1"/>
    <w:basedOn w:val="TableNormal"/>
    <w:next w:val="TableGrid"/>
    <w:uiPriority w:val="39"/>
    <w:rsid w:val="004D60D3"/>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fr-FR"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rPr>
  </w:style>
  <w:style w:type="character" w:customStyle="1" w:styleId="FootnoteTextChar">
    <w:name w:val="Footnote Text Char"/>
    <w:basedOn w:val="DefaultParagraphFont"/>
    <w:link w:val="FootnoteText"/>
    <w:uiPriority w:val="99"/>
    <w:rsid w:val="00CD3780"/>
    <w:rPr>
      <w:rFonts w:ascii="Cambria" w:eastAsia="Calibri" w:hAnsi="Cambria" w:cs="Arial"/>
      <w:lang w:val="fr-FR"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rPr>
  </w:style>
  <w:style w:type="paragraph" w:customStyle="1" w:styleId="Heading2bis">
    <w:name w:val="Heading 2 bis"/>
    <w:basedOn w:val="Heading1bis"/>
    <w:link w:val="Heading2bisChar"/>
    <w:qFormat/>
    <w:rsid w:val="00CD3780"/>
    <w:pPr>
      <w:numPr>
        <w:numId w:val="17"/>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fr-FR"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fr-FR"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fr-FR" w:eastAsia="en-US"/>
    </w:rPr>
  </w:style>
  <w:style w:type="table" w:customStyle="1" w:styleId="TableGrid2">
    <w:name w:val="Table Grid2"/>
    <w:basedOn w:val="TableNormal"/>
    <w:next w:val="TableGrid"/>
    <w:uiPriority w:val="39"/>
    <w:rsid w:val="00313F99"/>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25-05-f.pdf" TargetMode="External"/><Relationship Id="rId13" Type="http://schemas.openxmlformats.org/officeDocument/2006/relationships/hyperlink" Target="https://iccat.int/Documents/Recs/compendiopdf-f/2025-05-f.pdf" TargetMode="Externa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cfr.gov/current/title-50/section-635.27"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iccat.int/Documents/Recs/compendiopdf-f/2025-05-f.pdf"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www.fisheries.noaa.gov/atlantic-highly-migratory-species/atlantic-highly-migratory-species-landings-upda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iccat.int/Documents/Recs/compendiopdf-f/2025-05-f.pdf" TargetMode="External"/><Relationship Id="rId5" Type="http://schemas.openxmlformats.org/officeDocument/2006/relationships/webSettings" Target="webSettings.xml"/><Relationship Id="rId15" Type="http://schemas.openxmlformats.org/officeDocument/2006/relationships/hyperlink" Target="https://iccat.int/Documents/Recs/compendiopdf-f/2025-05-f.pdf" TargetMode="External"/><Relationship Id="rId23" Type="http://schemas.openxmlformats.org/officeDocument/2006/relationships/hyperlink" Target="https://iccat.int/Documents/Recs/compendiopdf-f/2025-05-f.pdf" TargetMode="External"/><Relationship Id="rId10" Type="http://schemas.openxmlformats.org/officeDocument/2006/relationships/footer" Target="footer1.xml"/><Relationship Id="rId19" Type="http://schemas.openxmlformats.org/officeDocument/2006/relationships/hyperlink" Target="https://www.fisheries.noaa.gov/atlantic-highly-migratory-species/atlantic-highly-migratory-species-stock-assessment-and-fisheries-evaluation-report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www.ecfr.gov/current/title-50/section-635.27"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3C3C-847A-46C2-ABBC-3A37DA45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7845</Words>
  <Characters>41740</Characters>
  <Application>Microsoft Office Word</Application>
  <DocSecurity>4</DocSecurity>
  <Lines>695</Lines>
  <Paragraphs>198</Paragraphs>
  <ScaleCrop>false</ScaleCrop>
  <HeadingPairs>
    <vt:vector size="2" baseType="variant">
      <vt:variant>
        <vt:lpstr>Title</vt:lpstr>
      </vt:variant>
      <vt:variant>
        <vt:i4>1</vt:i4>
      </vt:variant>
    </vt:vector>
  </HeadingPairs>
  <TitlesOfParts>
    <vt:vector size="1" baseType="lpstr">
      <vt:lpstr>19th Regular Meeting</vt:lpstr>
    </vt:vector>
  </TitlesOfParts>
  <Company>ICCAT</Company>
  <LinksUpToDate>false</LinksUpToDate>
  <CharactersWithSpaces>49387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19th Regular Meeting</dc:title>
  <dc:creator>vrestrepo</dc:creator>
  <cp:lastModifiedBy>Marisa de Andrés</cp:lastModifiedBy>
  <cp:revision>2</cp:revision>
  <cp:lastPrinted>2025-07-16T12:20:00Z</cp:lastPrinted>
  <dcterms:created xsi:type="dcterms:W3CDTF">2026-10-27T14:26:00Z</dcterms:created>
  <dcterms:modified xsi:type="dcterms:W3CDTF">2026-10-27T14:26:00Z</dcterms:modified>
</cp:coreProperties>
</file>