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68FDAF49" w:rsidR="000B0920" w:rsidRPr="00E41AEC" w:rsidRDefault="00857C38" w:rsidP="00857C38">
      <w:pPr>
        <w:jc w:val="right"/>
        <w:rPr>
          <w:rFonts w:ascii="Cambria" w:hAnsi="Cambria"/>
          <w:sz w:val="20"/>
          <w:szCs w:val="20"/>
        </w:rPr>
      </w:pPr>
      <w:r w:rsidRPr="00E41AEC">
        <w:rPr>
          <w:rFonts w:ascii="Cambria" w:hAnsi="Cambria"/>
          <w:b/>
          <w:bCs/>
          <w:sz w:val="20"/>
          <w:szCs w:val="20"/>
        </w:rPr>
        <w:t>Original</w:t>
      </w:r>
      <w:r w:rsidRPr="00E41AEC">
        <w:rPr>
          <w:rFonts w:ascii="Cambria" w:hAnsi="Cambria"/>
          <w:sz w:val="20"/>
          <w:szCs w:val="20"/>
        </w:rPr>
        <w:t xml:space="preserve">: </w:t>
      </w:r>
      <w:r w:rsidR="004E1379" w:rsidRPr="00E41AEC">
        <w:rPr>
          <w:rFonts w:ascii="Cambria" w:hAnsi="Cambria"/>
          <w:sz w:val="20"/>
          <w:szCs w:val="20"/>
        </w:rPr>
        <w:t>inglés</w:t>
      </w:r>
    </w:p>
    <w:p w14:paraId="546FFD34" w14:textId="77777777" w:rsidR="00857C38" w:rsidRPr="00E41AEC" w:rsidRDefault="00857C38" w:rsidP="00857C38">
      <w:pPr>
        <w:jc w:val="right"/>
        <w:rPr>
          <w:rFonts w:ascii="Cambria" w:hAnsi="Cambria"/>
          <w:sz w:val="20"/>
          <w:szCs w:val="20"/>
        </w:rPr>
      </w:pPr>
    </w:p>
    <w:p w14:paraId="3CB6C27F" w14:textId="0BC8715E" w:rsidR="00554AB0" w:rsidRPr="00E41AEC" w:rsidRDefault="00554AB0" w:rsidP="00554AB0">
      <w:pPr>
        <w:jc w:val="center"/>
        <w:rPr>
          <w:rFonts w:ascii="Cambria" w:hAnsi="Cambria"/>
          <w:b/>
          <w:bCs/>
          <w:sz w:val="20"/>
          <w:szCs w:val="20"/>
        </w:rPr>
      </w:pPr>
      <w:r w:rsidRPr="00E41AEC">
        <w:rPr>
          <w:rFonts w:ascii="Cambria" w:hAnsi="Cambria"/>
          <w:b/>
          <w:bCs/>
          <w:sz w:val="20"/>
          <w:szCs w:val="20"/>
        </w:rPr>
        <w:t>R</w:t>
      </w:r>
      <w:r w:rsidR="004E1379" w:rsidRPr="00E41AEC">
        <w:rPr>
          <w:rFonts w:ascii="Cambria" w:hAnsi="Cambria"/>
          <w:b/>
          <w:bCs/>
          <w:sz w:val="20"/>
          <w:szCs w:val="20"/>
        </w:rPr>
        <w:t xml:space="preserve">espuestas y recomendaciones del SCRS pertinentes para la Subcomisión </w:t>
      </w:r>
      <w:r w:rsidR="00E41AEC">
        <w:rPr>
          <w:rFonts w:ascii="Cambria" w:hAnsi="Cambria"/>
          <w:b/>
          <w:bCs/>
          <w:sz w:val="20"/>
          <w:szCs w:val="20"/>
        </w:rPr>
        <w:t>2</w:t>
      </w:r>
    </w:p>
    <w:p w14:paraId="16DB48D3" w14:textId="77777777" w:rsidR="009353F0" w:rsidRPr="00E41AEC" w:rsidRDefault="009353F0" w:rsidP="00857C38">
      <w:pPr>
        <w:jc w:val="center"/>
        <w:rPr>
          <w:rFonts w:ascii="Cambria" w:hAnsi="Cambria"/>
          <w:b/>
          <w:bCs/>
          <w:sz w:val="20"/>
          <w:szCs w:val="20"/>
        </w:rPr>
      </w:pPr>
    </w:p>
    <w:p w14:paraId="6058AC61" w14:textId="6F86AD8C" w:rsidR="004E1379" w:rsidRPr="004E1379" w:rsidRDefault="004E1379" w:rsidP="004E1379">
      <w:pPr>
        <w:jc w:val="both"/>
        <w:rPr>
          <w:rFonts w:ascii="Cambria" w:eastAsia="Aptos" w:hAnsi="Cambria" w:cs="Aptos"/>
          <w:sz w:val="20"/>
          <w:szCs w:val="20"/>
          <w14:ligatures w14:val="standardContextual"/>
        </w:rPr>
      </w:pPr>
      <w:r w:rsidRPr="004E1379">
        <w:rPr>
          <w:rFonts w:ascii="Cambria" w:eastAsia="Aptos" w:hAnsi="Cambria" w:cs="Aptos"/>
          <w:sz w:val="20"/>
          <w:szCs w:val="20"/>
          <w14:ligatures w14:val="standardContextual"/>
        </w:rPr>
        <w:t xml:space="preserve">Las respuestas de 2026 a la Comisión y las recomendaciones del SCRS relativas a la Subcomisión </w:t>
      </w:r>
      <w:r w:rsidR="004227E2">
        <w:rPr>
          <w:rFonts w:ascii="Cambria" w:eastAsia="Aptos" w:hAnsi="Cambria" w:cs="Aptos"/>
          <w:sz w:val="20"/>
          <w:szCs w:val="20"/>
          <w14:ligatures w14:val="standardContextual"/>
        </w:rPr>
        <w:t>2</w:t>
      </w:r>
      <w:r w:rsidRPr="004E1379">
        <w:rPr>
          <w:rFonts w:ascii="Cambria" w:eastAsia="Aptos" w:hAnsi="Cambria" w:cs="Aptos"/>
          <w:sz w:val="20"/>
          <w:szCs w:val="20"/>
          <w14:ligatures w14:val="standardContextual"/>
        </w:rPr>
        <w:t xml:space="preserve"> fueron recopiladas por la Secretaría directamente a partir del informe de la reunión plenaria del SCRS de 2026 (documento PLE-104). Las recomendaciones con implicaciones financieras no figuran en el presente documento, ya que se incluyen en el apéndice 2 del presupuesto de ICCAT (documento STF-203).</w:t>
      </w:r>
    </w:p>
    <w:p w14:paraId="206D36BB" w14:textId="77777777" w:rsidR="009353F0" w:rsidRPr="004E1379" w:rsidRDefault="009353F0" w:rsidP="009353F0">
      <w:pPr>
        <w:rPr>
          <w:rFonts w:ascii="Cambria" w:hAnsi="Cambria"/>
          <w:b/>
          <w:bCs/>
          <w:sz w:val="20"/>
          <w:szCs w:val="20"/>
        </w:rPr>
      </w:pPr>
    </w:p>
    <w:p w14:paraId="2CE71E95" w14:textId="77777777" w:rsidR="004E1379" w:rsidRPr="00E41AEC" w:rsidRDefault="009353F0" w:rsidP="009353F0">
      <w:pPr>
        <w:rPr>
          <w:rFonts w:ascii="Cambria" w:hAnsi="Cambria"/>
          <w:b/>
          <w:bCs/>
          <w:sz w:val="20"/>
          <w:szCs w:val="20"/>
        </w:rPr>
      </w:pPr>
      <w:r w:rsidRPr="00E41AEC">
        <w:rPr>
          <w:rFonts w:ascii="Cambria" w:hAnsi="Cambria"/>
          <w:b/>
          <w:bCs/>
          <w:sz w:val="20"/>
          <w:szCs w:val="20"/>
        </w:rPr>
        <w:t>R</w:t>
      </w:r>
      <w:r w:rsidR="004E1379" w:rsidRPr="00E41AEC">
        <w:rPr>
          <w:rFonts w:ascii="Cambria" w:hAnsi="Cambria"/>
          <w:b/>
          <w:bCs/>
          <w:sz w:val="20"/>
          <w:szCs w:val="20"/>
        </w:rPr>
        <w:t>espuestas a la Comisión</w:t>
      </w:r>
    </w:p>
    <w:p w14:paraId="3961E050" w14:textId="77777777" w:rsidR="004E1379" w:rsidRPr="00E41AEC" w:rsidRDefault="004E1379" w:rsidP="00F81087">
      <w:pPr>
        <w:jc w:val="both"/>
        <w:rPr>
          <w:rFonts w:ascii="Cambria" w:hAnsi="Cambria"/>
          <w:b/>
          <w:i/>
          <w:sz w:val="20"/>
          <w:szCs w:val="20"/>
        </w:rPr>
      </w:pPr>
    </w:p>
    <w:p w14:paraId="460A2EF5" w14:textId="0527DBBE" w:rsidR="00D55CA0" w:rsidRPr="00D55CA0" w:rsidRDefault="00D55CA0" w:rsidP="00D55CA0">
      <w:pPr>
        <w:tabs>
          <w:tab w:val="right" w:leader="dot" w:pos="8505"/>
          <w:tab w:val="right" w:pos="9072"/>
        </w:tabs>
        <w:autoSpaceDE w:val="0"/>
        <w:autoSpaceDN w:val="0"/>
        <w:adjustRightInd w:val="0"/>
        <w:ind w:right="4"/>
        <w:jc w:val="both"/>
        <w:rPr>
          <w:rFonts w:ascii="Cambria" w:hAnsi="Cambria"/>
          <w:bCs/>
          <w:i/>
          <w:sz w:val="20"/>
          <w:szCs w:val="20"/>
        </w:rPr>
      </w:pPr>
      <w:r w:rsidRPr="00D55CA0">
        <w:rPr>
          <w:rFonts w:ascii="Cambria" w:hAnsi="Cambria"/>
          <w:bCs/>
          <w:i/>
          <w:sz w:val="20"/>
          <w:szCs w:val="20"/>
        </w:rPr>
        <w:t>Atún blanco</w:t>
      </w:r>
      <w:r w:rsidRPr="00D55CA0">
        <w:rPr>
          <w:rFonts w:ascii="Cambria" w:hAnsi="Cambria"/>
          <w:bCs/>
          <w:i/>
          <w:sz w:val="20"/>
          <w:szCs w:val="20"/>
        </w:rPr>
        <w:t xml:space="preserve"> del Atlántico norte</w:t>
      </w:r>
    </w:p>
    <w:p w14:paraId="0FB83A8F" w14:textId="77777777" w:rsidR="00D55CA0" w:rsidRPr="0099704B" w:rsidRDefault="00D55CA0" w:rsidP="00D55CA0">
      <w:pPr>
        <w:tabs>
          <w:tab w:val="right" w:leader="dot" w:pos="8505"/>
          <w:tab w:val="right" w:pos="9072"/>
        </w:tabs>
        <w:autoSpaceDE w:val="0"/>
        <w:autoSpaceDN w:val="0"/>
        <w:adjustRightInd w:val="0"/>
        <w:ind w:right="4"/>
        <w:jc w:val="both"/>
        <w:rPr>
          <w:rFonts w:ascii="Cambria" w:hAnsi="Cambria"/>
          <w:b/>
          <w:i/>
          <w:sz w:val="20"/>
          <w:szCs w:val="20"/>
        </w:rPr>
      </w:pPr>
    </w:p>
    <w:p w14:paraId="29AB335A" w14:textId="77777777" w:rsidR="00D55CA0" w:rsidRPr="000A5982" w:rsidRDefault="00D55CA0" w:rsidP="00D55CA0">
      <w:pPr>
        <w:tabs>
          <w:tab w:val="left" w:pos="0"/>
          <w:tab w:val="right" w:leader="dot" w:pos="8505"/>
          <w:tab w:val="right" w:pos="9072"/>
        </w:tabs>
        <w:autoSpaceDE w:val="0"/>
        <w:autoSpaceDN w:val="0"/>
        <w:adjustRightInd w:val="0"/>
        <w:ind w:right="4"/>
        <w:jc w:val="both"/>
        <w:rPr>
          <w:rFonts w:ascii="Cambria" w:hAnsi="Cambria"/>
          <w:i/>
          <w:sz w:val="20"/>
          <w:szCs w:val="20"/>
        </w:rPr>
      </w:pPr>
      <w:r w:rsidRPr="000A5982">
        <w:rPr>
          <w:rFonts w:ascii="Cambria" w:hAnsi="Cambria"/>
          <w:b/>
          <w:i/>
          <w:sz w:val="20"/>
          <w:szCs w:val="20"/>
        </w:rPr>
        <w:t>19.8 El SCRS evaluará la existencia de circunstancias excepcionales (EC) y la Comisión actuará de conformidad con el Protocolo sobre circunstancias excepcionales establecido en el Anexo 2</w:t>
      </w:r>
      <w:hyperlink r:id="rId8" w:history="1">
        <w:r w:rsidRPr="000A5982">
          <w:rPr>
            <w:rStyle w:val="Hyperlink"/>
            <w:rFonts w:ascii="Cambria" w:hAnsi="Cambria"/>
            <w:b/>
            <w:i/>
            <w:sz w:val="20"/>
            <w:szCs w:val="20"/>
            <w:u w:val="none"/>
          </w:rPr>
          <w:t>, Rec. 21-04</w:t>
        </w:r>
      </w:hyperlink>
      <w:r w:rsidRPr="000A5982">
        <w:rPr>
          <w:rFonts w:ascii="Cambria" w:hAnsi="Cambria"/>
          <w:b/>
          <w:i/>
          <w:sz w:val="20"/>
          <w:szCs w:val="20"/>
        </w:rPr>
        <w:t>, párr. 4</w:t>
      </w:r>
    </w:p>
    <w:p w14:paraId="27DDCE67" w14:textId="77777777" w:rsidR="00D55CA0" w:rsidRPr="000A5982" w:rsidRDefault="00D55CA0" w:rsidP="00D55CA0">
      <w:pPr>
        <w:pBdr>
          <w:top w:val="nil"/>
          <w:left w:val="nil"/>
          <w:bottom w:val="nil"/>
          <w:right w:val="nil"/>
          <w:between w:val="nil"/>
        </w:pBdr>
        <w:tabs>
          <w:tab w:val="left" w:pos="720"/>
          <w:tab w:val="left" w:pos="426"/>
          <w:tab w:val="left" w:pos="567"/>
          <w:tab w:val="right" w:pos="8505"/>
          <w:tab w:val="right" w:pos="9072"/>
        </w:tabs>
        <w:ind w:left="426" w:right="4" w:hanging="426"/>
        <w:jc w:val="both"/>
        <w:rPr>
          <w:rFonts w:ascii="Cambria" w:eastAsia="Cambria" w:hAnsi="Cambria" w:cs="Cambria"/>
          <w:b/>
          <w:i/>
          <w:color w:val="000000"/>
          <w:sz w:val="20"/>
          <w:szCs w:val="20"/>
        </w:rPr>
      </w:pPr>
    </w:p>
    <w:p w14:paraId="0343FC92" w14:textId="77777777" w:rsidR="00D55CA0" w:rsidRPr="000A5982" w:rsidRDefault="00D55CA0" w:rsidP="00D55CA0">
      <w:pPr>
        <w:jc w:val="both"/>
        <w:rPr>
          <w:rFonts w:ascii="Cambria" w:eastAsia="Cambria" w:hAnsi="Cambria" w:cs="Cambria"/>
          <w:b/>
          <w:color w:val="000000"/>
          <w:sz w:val="20"/>
          <w:szCs w:val="20"/>
        </w:rPr>
      </w:pPr>
      <w:r w:rsidRPr="000A5982">
        <w:rPr>
          <w:rFonts w:ascii="Cambria" w:hAnsi="Cambria"/>
          <w:b/>
          <w:color w:val="000000"/>
          <w:sz w:val="20"/>
          <w:szCs w:val="20"/>
        </w:rPr>
        <w:t xml:space="preserve">Contexto: </w:t>
      </w:r>
      <w:r w:rsidRPr="000A5982">
        <w:rPr>
          <w:rFonts w:ascii="Cambria" w:hAnsi="Cambria"/>
          <w:i/>
          <w:sz w:val="20"/>
          <w:szCs w:val="20"/>
        </w:rPr>
        <w:t>El SCRS evaluará la aparición de circunstancias excepcionales (EC) y la Comisión actuará de acuerdo con el Protocolo sobre circunstancias excepcionales que figura en el Anexo 2.</w:t>
      </w:r>
    </w:p>
    <w:p w14:paraId="623D1486" w14:textId="77777777" w:rsidR="00D55CA0" w:rsidRPr="000A5982" w:rsidRDefault="00D55CA0" w:rsidP="00D55CA0">
      <w:pPr>
        <w:tabs>
          <w:tab w:val="left" w:pos="426"/>
          <w:tab w:val="left" w:pos="567"/>
          <w:tab w:val="left" w:pos="720"/>
          <w:tab w:val="right" w:pos="8505"/>
          <w:tab w:val="right" w:pos="9072"/>
        </w:tabs>
        <w:ind w:left="426" w:right="4" w:hanging="426"/>
        <w:jc w:val="right"/>
        <w:rPr>
          <w:rFonts w:ascii="Cambria" w:eastAsia="Cambria" w:hAnsi="Cambria" w:cs="Cambria"/>
          <w:b/>
          <w:i/>
          <w:color w:val="000000"/>
          <w:sz w:val="20"/>
          <w:szCs w:val="20"/>
        </w:rPr>
      </w:pPr>
    </w:p>
    <w:p w14:paraId="5C494E51" w14:textId="77777777" w:rsidR="00D55CA0" w:rsidRPr="000A5982" w:rsidRDefault="00D55CA0" w:rsidP="00D55CA0">
      <w:pPr>
        <w:autoSpaceDE w:val="0"/>
        <w:autoSpaceDN w:val="0"/>
        <w:adjustRightInd w:val="0"/>
        <w:jc w:val="both"/>
        <w:rPr>
          <w:rFonts w:ascii="Cambria" w:hAnsi="Cambria" w:cs="Cambria"/>
          <w:color w:val="000000"/>
          <w:sz w:val="20"/>
          <w:szCs w:val="20"/>
        </w:rPr>
      </w:pPr>
      <w:r w:rsidRPr="000A5982">
        <w:rPr>
          <w:rFonts w:ascii="Cambria" w:hAnsi="Cambria"/>
          <w:sz w:val="20"/>
          <w:szCs w:val="20"/>
        </w:rPr>
        <w:t xml:space="preserve">De acuerdo con el Protocolo de circunstancias excepcionales para el atún blanco del Atlántico norte, recogido en la </w:t>
      </w:r>
      <w:hyperlink r:id="rId9" w:history="1">
        <w:r w:rsidRPr="000A5982">
          <w:rPr>
            <w:rFonts w:ascii="Cambria" w:hAnsi="Cambria"/>
            <w:color w:val="0563C1" w:themeColor="hyperlink"/>
            <w:sz w:val="20"/>
            <w:szCs w:val="20"/>
          </w:rPr>
          <w:t>Rec. 21-04</w:t>
        </w:r>
      </w:hyperlink>
      <w:r w:rsidRPr="000A5982">
        <w:rPr>
          <w:rFonts w:ascii="Cambria" w:hAnsi="Cambria"/>
          <w:color w:val="000000"/>
          <w:sz w:val="20"/>
          <w:szCs w:val="20"/>
        </w:rPr>
        <w:t>,</w:t>
      </w:r>
      <w:r w:rsidRPr="000A5982">
        <w:rPr>
          <w:rFonts w:ascii="Cambria" w:hAnsi="Cambria"/>
          <w:sz w:val="20"/>
          <w:szCs w:val="20"/>
        </w:rPr>
        <w:t xml:space="preserve"> se revisaron los indicadores relacionados con las capturas, la CPUE, la biomasa relativa y la mortalidad por pesca relativa.</w:t>
      </w:r>
      <w:r w:rsidRPr="000A5982">
        <w:rPr>
          <w:rFonts w:ascii="Cambria" w:hAnsi="Cambria"/>
          <w:color w:val="000000"/>
          <w:sz w:val="20"/>
          <w:szCs w:val="20"/>
        </w:rPr>
        <w:t xml:space="preserve"> </w:t>
      </w:r>
    </w:p>
    <w:p w14:paraId="034E7104" w14:textId="77777777" w:rsidR="00D55CA0" w:rsidRPr="000A5982" w:rsidRDefault="00D55CA0" w:rsidP="00D55CA0">
      <w:pPr>
        <w:autoSpaceDE w:val="0"/>
        <w:autoSpaceDN w:val="0"/>
        <w:adjustRightInd w:val="0"/>
        <w:jc w:val="both"/>
        <w:rPr>
          <w:rFonts w:ascii="Cambria" w:hAnsi="Cambria" w:cs="Cambria"/>
          <w:color w:val="000000"/>
          <w:sz w:val="20"/>
          <w:szCs w:val="20"/>
        </w:rPr>
      </w:pPr>
    </w:p>
    <w:p w14:paraId="73525608" w14:textId="77777777" w:rsidR="00D55CA0" w:rsidRPr="000A5982" w:rsidRDefault="00D55CA0" w:rsidP="00D55CA0">
      <w:pPr>
        <w:autoSpaceDE w:val="0"/>
        <w:autoSpaceDN w:val="0"/>
        <w:adjustRightInd w:val="0"/>
        <w:jc w:val="both"/>
        <w:rPr>
          <w:rFonts w:ascii="Cambria" w:hAnsi="Cambria"/>
          <w:sz w:val="20"/>
          <w:szCs w:val="20"/>
        </w:rPr>
      </w:pPr>
      <w:r w:rsidRPr="000A5982">
        <w:rPr>
          <w:rFonts w:ascii="Cambria" w:hAnsi="Cambria"/>
          <w:sz w:val="20"/>
          <w:szCs w:val="20"/>
        </w:rPr>
        <w:t>Desde la adopción del MP, las capturas han sido inferiores al TAC en todos los años, excepto en 2019, cuando este se superó en un 3,5 % (</w:t>
      </w:r>
      <w:r w:rsidRPr="000A5982">
        <w:rPr>
          <w:rFonts w:ascii="Cambria" w:hAnsi="Cambria"/>
          <w:b/>
          <w:bCs/>
          <w:sz w:val="20"/>
          <w:szCs w:val="20"/>
        </w:rPr>
        <w:t>Figura 19.8.1</w:t>
      </w:r>
      <w:r w:rsidRPr="000A5982">
        <w:rPr>
          <w:rFonts w:ascii="Cambria" w:hAnsi="Cambria"/>
          <w:sz w:val="20"/>
          <w:szCs w:val="20"/>
        </w:rPr>
        <w:t xml:space="preserve">). </w:t>
      </w:r>
    </w:p>
    <w:p w14:paraId="38BB57DC" w14:textId="77777777" w:rsidR="00D55CA0" w:rsidRPr="000A5982" w:rsidRDefault="00D55CA0" w:rsidP="00D55CA0">
      <w:pPr>
        <w:autoSpaceDE w:val="0"/>
        <w:autoSpaceDN w:val="0"/>
        <w:adjustRightInd w:val="0"/>
        <w:jc w:val="both"/>
        <w:rPr>
          <w:rFonts w:ascii="Cambria" w:hAnsi="Cambria"/>
          <w:sz w:val="20"/>
          <w:szCs w:val="20"/>
        </w:rPr>
      </w:pPr>
    </w:p>
    <w:p w14:paraId="06267382" w14:textId="77777777" w:rsidR="00D55CA0" w:rsidRPr="000A5982" w:rsidRDefault="00D55CA0" w:rsidP="00D55CA0">
      <w:pPr>
        <w:autoSpaceDE w:val="0"/>
        <w:autoSpaceDN w:val="0"/>
        <w:adjustRightInd w:val="0"/>
        <w:jc w:val="both"/>
        <w:rPr>
          <w:rFonts w:ascii="Cambria" w:hAnsi="Cambria"/>
          <w:sz w:val="20"/>
          <w:szCs w:val="20"/>
        </w:rPr>
      </w:pPr>
      <w:r w:rsidRPr="000A5982">
        <w:rPr>
          <w:rFonts w:ascii="Cambria" w:hAnsi="Cambria"/>
          <w:sz w:val="20"/>
          <w:szCs w:val="20"/>
        </w:rPr>
        <w:t>Las series de CPUE actualizadas se sitúan entre de los percentiles 2,5 -97,5 de los valores de las CPUE estandarizadas utilizados para realizar las simulaciones de circuito cerrado en la MSE. La única excepción es el valor de 2018 de la CPUE de la flota de cebo vivo española, que es ligeramente superior a los valores utilizados en la MSE (</w:t>
      </w:r>
      <w:r w:rsidRPr="000A5982">
        <w:rPr>
          <w:rFonts w:ascii="Cambria" w:hAnsi="Cambria"/>
          <w:b/>
          <w:bCs/>
          <w:sz w:val="20"/>
          <w:szCs w:val="20"/>
        </w:rPr>
        <w:t>Figura 19.8.2</w:t>
      </w:r>
      <w:r w:rsidRPr="000A5982">
        <w:rPr>
          <w:rFonts w:ascii="Cambria" w:hAnsi="Cambria"/>
          <w:sz w:val="20"/>
          <w:szCs w:val="20"/>
        </w:rPr>
        <w:t>).</w:t>
      </w:r>
    </w:p>
    <w:p w14:paraId="0C29FAE0" w14:textId="77777777" w:rsidR="00D55CA0" w:rsidRPr="000A5982" w:rsidRDefault="00D55CA0" w:rsidP="00D55CA0">
      <w:pPr>
        <w:autoSpaceDE w:val="0"/>
        <w:autoSpaceDN w:val="0"/>
        <w:adjustRightInd w:val="0"/>
        <w:jc w:val="both"/>
        <w:rPr>
          <w:rFonts w:ascii="Cambria" w:hAnsi="Cambria"/>
          <w:sz w:val="20"/>
          <w:szCs w:val="20"/>
        </w:rPr>
      </w:pPr>
    </w:p>
    <w:p w14:paraId="418A2324" w14:textId="77777777" w:rsidR="00D55CA0" w:rsidRPr="000A5982" w:rsidRDefault="00D55CA0" w:rsidP="00D55CA0">
      <w:pPr>
        <w:autoSpaceDE w:val="0"/>
        <w:autoSpaceDN w:val="0"/>
        <w:adjustRightInd w:val="0"/>
        <w:jc w:val="both"/>
        <w:rPr>
          <w:rFonts w:ascii="Cambria" w:eastAsiaTheme="minorHAnsi" w:hAnsi="Cambria" w:cs="Cambria"/>
          <w:color w:val="000000"/>
          <w:sz w:val="20"/>
          <w:szCs w:val="20"/>
        </w:rPr>
      </w:pPr>
      <w:r w:rsidRPr="000A5982">
        <w:rPr>
          <w:rFonts w:ascii="Cambria" w:eastAsiaTheme="minorHAnsi" w:hAnsi="Cambria" w:cs="Cambria"/>
          <w:color w:val="000000"/>
          <w:sz w:val="20"/>
          <w:szCs w:val="20"/>
        </w:rPr>
        <w:t xml:space="preserve">El MP adoptado se volvió a ejecutar en 2026. La biomasa relativa y la mortalidad por pesca relativa del stock de la </w:t>
      </w:r>
      <w:proofErr w:type="spellStart"/>
      <w:r w:rsidRPr="000A5982">
        <w:rPr>
          <w:rFonts w:ascii="Cambria" w:eastAsiaTheme="minorHAnsi" w:hAnsi="Cambria" w:cs="Cambria"/>
          <w:color w:val="000000"/>
          <w:sz w:val="20"/>
          <w:szCs w:val="20"/>
        </w:rPr>
        <w:t>reejecución</w:t>
      </w:r>
      <w:proofErr w:type="spellEnd"/>
      <w:r w:rsidRPr="000A5982">
        <w:rPr>
          <w:rFonts w:ascii="Cambria" w:eastAsiaTheme="minorHAnsi" w:hAnsi="Cambria" w:cs="Cambria"/>
          <w:color w:val="000000"/>
          <w:sz w:val="20"/>
          <w:szCs w:val="20"/>
        </w:rPr>
        <w:t xml:space="preserve"> del MP se compararon con el rango de valores comprendido entre los percentiles 2,5 y 97,5 de cualquier año, generado cualquier año por el modelo de producción del MP aceptado durante las pruebas de la MSE (</w:t>
      </w:r>
      <w:r w:rsidRPr="000A5982">
        <w:rPr>
          <w:rFonts w:ascii="Cambria" w:eastAsiaTheme="minorHAnsi" w:hAnsi="Cambria" w:cs="Cambria"/>
          <w:b/>
          <w:bCs/>
          <w:color w:val="000000"/>
          <w:sz w:val="20"/>
          <w:szCs w:val="20"/>
        </w:rPr>
        <w:t>Figuras 19.8.3, 19.8.4</w:t>
      </w:r>
      <w:r w:rsidRPr="000A5982">
        <w:rPr>
          <w:rFonts w:ascii="Cambria" w:eastAsiaTheme="minorHAnsi" w:hAnsi="Cambria" w:cs="Cambria"/>
          <w:color w:val="000000"/>
          <w:sz w:val="20"/>
          <w:szCs w:val="20"/>
        </w:rPr>
        <w:t>). Las estimaciones se sitúan dentro de los valores (intervalo de confianza (CI) del 95 %) estimados en las simulaciones de la MSE.</w:t>
      </w:r>
    </w:p>
    <w:p w14:paraId="6B72E5A8" w14:textId="77777777" w:rsidR="00D55CA0" w:rsidRPr="000A5982" w:rsidRDefault="00D55CA0" w:rsidP="00D55CA0">
      <w:pPr>
        <w:autoSpaceDE w:val="0"/>
        <w:autoSpaceDN w:val="0"/>
        <w:adjustRightInd w:val="0"/>
        <w:jc w:val="both"/>
        <w:rPr>
          <w:rFonts w:ascii="Cambria" w:eastAsiaTheme="minorHAnsi" w:hAnsi="Cambria" w:cs="Cambria"/>
          <w:color w:val="000000"/>
          <w:sz w:val="20"/>
          <w:szCs w:val="20"/>
        </w:rPr>
      </w:pPr>
    </w:p>
    <w:p w14:paraId="31E1461C" w14:textId="77777777" w:rsidR="00D55CA0" w:rsidRPr="000A5982" w:rsidRDefault="00D55CA0" w:rsidP="00D55CA0">
      <w:pPr>
        <w:jc w:val="both"/>
        <w:rPr>
          <w:rFonts w:ascii="Cambria" w:hAnsi="Cambria"/>
          <w:b/>
          <w:bCs/>
          <w:sz w:val="20"/>
          <w:szCs w:val="20"/>
        </w:rPr>
      </w:pPr>
      <w:r w:rsidRPr="000A5982">
        <w:rPr>
          <w:rFonts w:ascii="Cambria" w:hAnsi="Cambria"/>
          <w:sz w:val="20"/>
          <w:szCs w:val="20"/>
        </w:rPr>
        <w:t>En resumen, el Comité concluyó que no se habían identificado circunstancia(s) excepcional(es) que impidieran la aplicación del MP adoptado para fijar el TAC para el periodo 2027-2029.</w:t>
      </w:r>
    </w:p>
    <w:p w14:paraId="2A4B5F30" w14:textId="77777777" w:rsidR="00D55CA0" w:rsidRPr="000A5982" w:rsidRDefault="00D55CA0" w:rsidP="00D55CA0">
      <w:pPr>
        <w:autoSpaceDE w:val="0"/>
        <w:autoSpaceDN w:val="0"/>
        <w:adjustRightInd w:val="0"/>
        <w:rPr>
          <w:rFonts w:ascii="Cambria" w:hAnsi="Cambria" w:cs="Cambria"/>
          <w:color w:val="000000"/>
          <w:sz w:val="20"/>
          <w:szCs w:val="20"/>
        </w:rPr>
      </w:pPr>
    </w:p>
    <w:p w14:paraId="288F8510" w14:textId="77777777" w:rsidR="00D55CA0" w:rsidRPr="000A5982" w:rsidRDefault="00D55CA0" w:rsidP="00D55CA0">
      <w:pPr>
        <w:jc w:val="center"/>
        <w:rPr>
          <w:rFonts w:ascii="Cambria" w:hAnsi="Cambria"/>
          <w:b/>
          <w:bCs/>
          <w:sz w:val="20"/>
          <w:szCs w:val="20"/>
        </w:rPr>
      </w:pPr>
      <w:r w:rsidRPr="000A5982">
        <w:rPr>
          <w:rFonts w:ascii="Cambria" w:hAnsi="Cambria"/>
          <w:noProof/>
          <w:sz w:val="20"/>
          <w:szCs w:val="20"/>
        </w:rPr>
        <w:lastRenderedPageBreak/>
        <w:drawing>
          <wp:inline distT="0" distB="0" distL="0" distR="0" wp14:anchorId="0E1E3412" wp14:editId="37C04D9D">
            <wp:extent cx="3323590" cy="2886075"/>
            <wp:effectExtent l="0" t="0" r="0" b="9525"/>
            <wp:docPr id="7204662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466209" name="Imagen 2"/>
                    <pic:cNvPicPr>
                      <a:picLocks noChangeAspect="1"/>
                    </pic:cNvPicPr>
                  </pic:nvPicPr>
                  <pic:blipFill rotWithShape="1">
                    <a:blip r:embed="rId10" cstate="print">
                      <a:extLst>
                        <a:ext uri="{28A0092B-C50C-407E-A947-70E740481C1C}">
                          <a14:useLocalDpi xmlns:a14="http://schemas.microsoft.com/office/drawing/2010/main" val="0"/>
                        </a:ext>
                      </a:extLst>
                    </a:blip>
                    <a:srcRect b="67438"/>
                    <a:stretch>
                      <a:fillRect/>
                    </a:stretch>
                  </pic:blipFill>
                  <pic:spPr bwMode="auto">
                    <a:xfrm>
                      <a:off x="0" y="0"/>
                      <a:ext cx="3323590" cy="2886075"/>
                    </a:xfrm>
                    <a:prstGeom prst="rect">
                      <a:avLst/>
                    </a:prstGeom>
                    <a:noFill/>
                    <a:ln>
                      <a:noFill/>
                    </a:ln>
                    <a:extLst>
                      <a:ext uri="{53640926-AAD7-44D8-BBD7-CCE9431645EC}">
                        <a14:shadowObscured xmlns:a14="http://schemas.microsoft.com/office/drawing/2010/main"/>
                      </a:ext>
                    </a:extLst>
                  </pic:spPr>
                </pic:pic>
              </a:graphicData>
            </a:graphic>
          </wp:inline>
        </w:drawing>
      </w:r>
    </w:p>
    <w:p w14:paraId="24F07B60" w14:textId="77777777" w:rsidR="00D55CA0" w:rsidRPr="000A5982" w:rsidRDefault="00D55CA0" w:rsidP="00D55CA0">
      <w:pPr>
        <w:jc w:val="both"/>
        <w:rPr>
          <w:rFonts w:ascii="Cambria" w:hAnsi="Cambria"/>
          <w:sz w:val="20"/>
          <w:szCs w:val="20"/>
        </w:rPr>
      </w:pPr>
      <w:r w:rsidRPr="000A5982">
        <w:rPr>
          <w:rFonts w:ascii="Cambria" w:hAnsi="Cambria"/>
          <w:b/>
          <w:sz w:val="20"/>
          <w:szCs w:val="20"/>
        </w:rPr>
        <w:t>Figura 19.8.1</w:t>
      </w:r>
      <w:r w:rsidRPr="000A5982">
        <w:rPr>
          <w:rFonts w:ascii="Cambria" w:hAnsi="Cambria"/>
          <w:sz w:val="20"/>
          <w:szCs w:val="20"/>
        </w:rPr>
        <w:t xml:space="preserve"> Capturas comunicadas de atún blanco del norte (Tarea 1NC, barras) y TAC (línea continua).  Las barras marrones indican los años en que las capturas superaron el TAC. Cabe destacar que el TAC para el atún blanco del norte establecido con la norma de control de la captura o el MP comenzó en 2018. </w:t>
      </w:r>
    </w:p>
    <w:p w14:paraId="38B9CD12" w14:textId="77777777" w:rsidR="00D55CA0" w:rsidRPr="000A5982" w:rsidRDefault="00D55CA0" w:rsidP="00D55CA0">
      <w:pPr>
        <w:spacing w:after="160"/>
        <w:rPr>
          <w:rFonts w:ascii="Cambria" w:hAnsi="Cambria"/>
          <w:b/>
          <w:bCs/>
          <w:sz w:val="20"/>
          <w:szCs w:val="20"/>
        </w:rPr>
      </w:pPr>
    </w:p>
    <w:p w14:paraId="4AFCF20C" w14:textId="77777777" w:rsidR="00D55CA0" w:rsidRPr="000A5982" w:rsidRDefault="00D55CA0" w:rsidP="00D55CA0">
      <w:pPr>
        <w:rPr>
          <w:rFonts w:ascii="Cambria" w:hAnsi="Cambria"/>
          <w:sz w:val="20"/>
          <w:szCs w:val="20"/>
        </w:rPr>
      </w:pPr>
      <w:r w:rsidRPr="000A5982">
        <w:rPr>
          <w:rFonts w:ascii="Cambria" w:hAnsi="Cambria"/>
          <w:noProof/>
          <w:sz w:val="20"/>
          <w:szCs w:val="20"/>
        </w:rPr>
        <w:drawing>
          <wp:inline distT="0" distB="0" distL="0" distR="0" wp14:anchorId="676E46EA" wp14:editId="0CA378C5">
            <wp:extent cx="5732145" cy="3821430"/>
            <wp:effectExtent l="0" t="0" r="1905" b="7620"/>
            <wp:docPr id="196862329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2145" cy="3821430"/>
                    </a:xfrm>
                    <a:prstGeom prst="rect">
                      <a:avLst/>
                    </a:prstGeom>
                    <a:noFill/>
                    <a:ln>
                      <a:noFill/>
                    </a:ln>
                  </pic:spPr>
                </pic:pic>
              </a:graphicData>
            </a:graphic>
          </wp:inline>
        </w:drawing>
      </w:r>
      <w:r w:rsidRPr="000A5982">
        <w:rPr>
          <w:rFonts w:ascii="Cambria" w:hAnsi="Cambria"/>
          <w:b/>
          <w:sz w:val="20"/>
          <w:szCs w:val="20"/>
        </w:rPr>
        <w:t>Figura 19.8.2</w:t>
      </w:r>
      <w:r w:rsidRPr="000A5982">
        <w:rPr>
          <w:rFonts w:ascii="Cambria" w:hAnsi="Cambria"/>
          <w:sz w:val="20"/>
          <w:szCs w:val="20"/>
        </w:rPr>
        <w:t>. Trayectorias de CPUE simuladas en la MSE (gráfica de cajas) y CPUE estandarizadas (línea sólida) disponibles en 2026.</w:t>
      </w:r>
    </w:p>
    <w:p w14:paraId="64DE8D46" w14:textId="77777777" w:rsidR="00D55CA0" w:rsidRPr="000A5982" w:rsidRDefault="00D55CA0" w:rsidP="00D55CA0">
      <w:pPr>
        <w:spacing w:after="160"/>
        <w:rPr>
          <w:rFonts w:ascii="Cambria" w:hAnsi="Cambria"/>
          <w:sz w:val="20"/>
          <w:szCs w:val="20"/>
        </w:rPr>
      </w:pPr>
    </w:p>
    <w:p w14:paraId="48DEAB3E" w14:textId="77777777" w:rsidR="00D55CA0" w:rsidRPr="000A5982" w:rsidRDefault="00D55CA0" w:rsidP="00D55CA0">
      <w:pPr>
        <w:rPr>
          <w:rFonts w:ascii="Cambria" w:hAnsi="Cambria"/>
          <w:sz w:val="20"/>
          <w:szCs w:val="20"/>
        </w:rPr>
      </w:pPr>
    </w:p>
    <w:p w14:paraId="215C4A2F" w14:textId="77777777" w:rsidR="00D55CA0" w:rsidRPr="000A5982" w:rsidRDefault="00D55CA0" w:rsidP="00D55CA0">
      <w:pPr>
        <w:rPr>
          <w:rFonts w:ascii="Cambria" w:hAnsi="Cambria"/>
          <w:sz w:val="20"/>
          <w:szCs w:val="20"/>
        </w:rPr>
      </w:pPr>
    </w:p>
    <w:p w14:paraId="6C96ACB0" w14:textId="77777777" w:rsidR="00D55CA0" w:rsidRPr="0099704B" w:rsidRDefault="00D55CA0" w:rsidP="00D55CA0">
      <w:pPr>
        <w:jc w:val="both"/>
        <w:rPr>
          <w:rFonts w:ascii="Cambria" w:hAnsi="Cambria"/>
          <w:sz w:val="20"/>
          <w:szCs w:val="20"/>
        </w:rPr>
      </w:pPr>
      <w:r w:rsidRPr="000A5982">
        <w:rPr>
          <w:rFonts w:ascii="Cambria" w:hAnsi="Cambria"/>
          <w:noProof/>
          <w:sz w:val="20"/>
          <w:szCs w:val="20"/>
        </w:rPr>
        <w:lastRenderedPageBreak/>
        <w:drawing>
          <wp:inline distT="0" distB="0" distL="0" distR="0" wp14:anchorId="765CD768" wp14:editId="62C0B9AC">
            <wp:extent cx="5732145" cy="3209925"/>
            <wp:effectExtent l="0" t="0" r="1905" b="9525"/>
            <wp:docPr id="147915572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2145" cy="3209925"/>
                    </a:xfrm>
                    <a:prstGeom prst="rect">
                      <a:avLst/>
                    </a:prstGeom>
                    <a:noFill/>
                    <a:ln>
                      <a:noFill/>
                    </a:ln>
                  </pic:spPr>
                </pic:pic>
              </a:graphicData>
            </a:graphic>
          </wp:inline>
        </w:drawing>
      </w:r>
      <w:r w:rsidRPr="000A5982">
        <w:rPr>
          <w:rFonts w:ascii="Cambria" w:hAnsi="Cambria"/>
          <w:b/>
          <w:sz w:val="20"/>
          <w:szCs w:val="20"/>
        </w:rPr>
        <w:t>Figura 19.8.3</w:t>
      </w:r>
      <w:r w:rsidRPr="000A5982">
        <w:rPr>
          <w:rFonts w:ascii="Cambria" w:hAnsi="Cambria"/>
          <w:sz w:val="20"/>
          <w:szCs w:val="20"/>
        </w:rPr>
        <w:t>. Biomasa relativa (B/ B</w:t>
      </w:r>
      <w:r w:rsidRPr="000A5982">
        <w:rPr>
          <w:rFonts w:ascii="Cambria" w:hAnsi="Cambria"/>
          <w:sz w:val="20"/>
          <w:szCs w:val="20"/>
          <w:vertAlign w:val="subscript"/>
        </w:rPr>
        <w:t>RMS</w:t>
      </w:r>
      <w:r w:rsidRPr="000A5982">
        <w:rPr>
          <w:rFonts w:ascii="Cambria" w:hAnsi="Cambria"/>
          <w:sz w:val="20"/>
          <w:szCs w:val="20"/>
        </w:rPr>
        <w:t xml:space="preserve">) estimada en los MP de la MSE (gráfica de cajas, las cajas representan un intervalo de confianza del 50 % y los bigotes un intervalo de confianza del 95 %) y estimaciones </w:t>
      </w:r>
      <w:r w:rsidRPr="0099704B">
        <w:rPr>
          <w:rFonts w:ascii="Cambria" w:hAnsi="Cambria"/>
          <w:sz w:val="20"/>
          <w:szCs w:val="20"/>
        </w:rPr>
        <w:t>d</w:t>
      </w:r>
      <w:r w:rsidRPr="000A5982">
        <w:rPr>
          <w:rFonts w:ascii="Cambria" w:hAnsi="Cambria"/>
          <w:sz w:val="20"/>
          <w:szCs w:val="20"/>
        </w:rPr>
        <w:t>el modelo MP</w:t>
      </w:r>
      <w:r w:rsidRPr="0099704B">
        <w:rPr>
          <w:rFonts w:ascii="Cambria" w:hAnsi="Cambria"/>
          <w:sz w:val="20"/>
          <w:szCs w:val="20"/>
        </w:rPr>
        <w:t xml:space="preserve"> de </w:t>
      </w:r>
      <w:r w:rsidRPr="000A5982">
        <w:rPr>
          <w:rFonts w:ascii="Cambria" w:hAnsi="Cambria"/>
          <w:sz w:val="20"/>
          <w:szCs w:val="20"/>
        </w:rPr>
        <w:t>2026 (</w:t>
      </w:r>
      <w:r w:rsidRPr="0099704B">
        <w:rPr>
          <w:rFonts w:ascii="Cambria" w:hAnsi="Cambria"/>
          <w:sz w:val="20"/>
          <w:szCs w:val="20"/>
        </w:rPr>
        <w:t>l</w:t>
      </w:r>
      <w:r w:rsidRPr="000A5982">
        <w:rPr>
          <w:rFonts w:ascii="Cambria" w:hAnsi="Cambria"/>
          <w:sz w:val="20"/>
          <w:szCs w:val="20"/>
        </w:rPr>
        <w:t>ínea continua</w:t>
      </w:r>
      <w:r w:rsidRPr="0099704B">
        <w:rPr>
          <w:rFonts w:ascii="Cambria" w:hAnsi="Cambria"/>
          <w:sz w:val="20"/>
          <w:szCs w:val="20"/>
        </w:rPr>
        <w:t>).</w:t>
      </w:r>
    </w:p>
    <w:p w14:paraId="6B6BBDF1" w14:textId="77777777" w:rsidR="00D55CA0" w:rsidRPr="0099704B" w:rsidRDefault="00D55CA0" w:rsidP="00D55CA0">
      <w:pPr>
        <w:rPr>
          <w:rFonts w:ascii="Cambria" w:hAnsi="Cambria"/>
          <w:sz w:val="20"/>
          <w:szCs w:val="20"/>
        </w:rPr>
      </w:pPr>
    </w:p>
    <w:p w14:paraId="1F62B6DF" w14:textId="77777777" w:rsidR="00D55CA0" w:rsidRPr="0099704B" w:rsidRDefault="00D55CA0" w:rsidP="00D55CA0">
      <w:pPr>
        <w:jc w:val="both"/>
        <w:rPr>
          <w:rFonts w:ascii="Cambria" w:hAnsi="Cambria"/>
          <w:sz w:val="20"/>
          <w:szCs w:val="20"/>
        </w:rPr>
      </w:pPr>
      <w:r w:rsidRPr="000A5982">
        <w:rPr>
          <w:rFonts w:ascii="Cambria" w:hAnsi="Cambria"/>
          <w:noProof/>
          <w:sz w:val="20"/>
          <w:szCs w:val="20"/>
        </w:rPr>
        <w:drawing>
          <wp:inline distT="0" distB="0" distL="0" distR="0" wp14:anchorId="169FF64B" wp14:editId="11B869ED">
            <wp:extent cx="5732145" cy="3209925"/>
            <wp:effectExtent l="0" t="0" r="1905" b="9525"/>
            <wp:docPr id="52783414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2145" cy="3209925"/>
                    </a:xfrm>
                    <a:prstGeom prst="rect">
                      <a:avLst/>
                    </a:prstGeom>
                    <a:noFill/>
                    <a:ln>
                      <a:noFill/>
                    </a:ln>
                  </pic:spPr>
                </pic:pic>
              </a:graphicData>
            </a:graphic>
          </wp:inline>
        </w:drawing>
      </w:r>
      <w:r w:rsidRPr="000A5982">
        <w:rPr>
          <w:rFonts w:ascii="Cambria" w:hAnsi="Cambria"/>
          <w:b/>
          <w:sz w:val="20"/>
          <w:szCs w:val="20"/>
        </w:rPr>
        <w:t>Figura 19.8.4</w:t>
      </w:r>
      <w:r w:rsidRPr="000A5982">
        <w:rPr>
          <w:rFonts w:ascii="Cambria" w:hAnsi="Cambria"/>
          <w:sz w:val="20"/>
          <w:szCs w:val="20"/>
        </w:rPr>
        <w:t>. Mortalidad por pesca relativa (F/ F</w:t>
      </w:r>
      <w:r w:rsidRPr="000A5982">
        <w:rPr>
          <w:rFonts w:ascii="Cambria" w:hAnsi="Cambria"/>
          <w:sz w:val="20"/>
          <w:szCs w:val="20"/>
          <w:vertAlign w:val="subscript"/>
        </w:rPr>
        <w:t>RMS</w:t>
      </w:r>
      <w:r w:rsidRPr="000A5982">
        <w:rPr>
          <w:rFonts w:ascii="Cambria" w:hAnsi="Cambria"/>
          <w:sz w:val="20"/>
          <w:szCs w:val="20"/>
        </w:rPr>
        <w:t>) estimada en los MP de la MSE (gráfica de cajas, las cajas representan un intervalo de confianza del 50 % y los bigotes un intervalo de confianza del 95 %) y estimaciones del modelo MP de 2026 (línea continua).</w:t>
      </w:r>
    </w:p>
    <w:p w14:paraId="290E4747" w14:textId="77777777" w:rsidR="00D55CA0" w:rsidRPr="0099704B" w:rsidRDefault="00D55CA0" w:rsidP="00D55CA0">
      <w:pPr>
        <w:rPr>
          <w:rFonts w:ascii="Cambria" w:hAnsi="Cambria"/>
          <w:sz w:val="20"/>
          <w:szCs w:val="20"/>
        </w:rPr>
      </w:pPr>
    </w:p>
    <w:p w14:paraId="23D14676" w14:textId="77777777" w:rsidR="00D55CA0" w:rsidRPr="000A5982" w:rsidRDefault="00D55CA0" w:rsidP="00D55CA0">
      <w:pPr>
        <w:tabs>
          <w:tab w:val="center" w:pos="4513"/>
          <w:tab w:val="left" w:pos="6804"/>
        </w:tabs>
        <w:jc w:val="both"/>
        <w:rPr>
          <w:rFonts w:ascii="Cambria" w:hAnsi="Cambria"/>
          <w:b/>
          <w:i/>
          <w:iCs/>
          <w:sz w:val="20"/>
          <w:szCs w:val="20"/>
        </w:rPr>
      </w:pPr>
      <w:r w:rsidRPr="000A5982">
        <w:rPr>
          <w:rFonts w:ascii="Cambria" w:hAnsi="Cambria"/>
          <w:b/>
          <w:bCs/>
          <w:i/>
          <w:iCs/>
          <w:sz w:val="20"/>
          <w:szCs w:val="20"/>
        </w:rPr>
        <w:t xml:space="preserve">19.9 El SCRS continuará con el desarrollo de un marco nuevo de una MSE para respaldar la posible adopción de un nuevo MP por parte de la Comisión a más tardar en 2026 y para el establecimiento de un TAC para el periodo de ordenación 2027-2030, </w:t>
      </w:r>
      <w:hyperlink r:id="rId14" w:history="1">
        <w:r w:rsidRPr="000A5982">
          <w:rPr>
            <w:rStyle w:val="Hyperlink"/>
            <w:rFonts w:ascii="Cambria" w:hAnsi="Cambria"/>
            <w:b/>
            <w:i/>
            <w:sz w:val="20"/>
            <w:szCs w:val="20"/>
            <w:u w:val="none"/>
          </w:rPr>
          <w:t>Rec. 21-04</w:t>
        </w:r>
      </w:hyperlink>
      <w:r w:rsidRPr="000A5982">
        <w:rPr>
          <w:rFonts w:ascii="Cambria" w:hAnsi="Cambria"/>
          <w:b/>
          <w:bCs/>
          <w:i/>
          <w:iCs/>
          <w:sz w:val="20"/>
          <w:szCs w:val="20"/>
        </w:rPr>
        <w:t xml:space="preserve">, para 18 </w:t>
      </w:r>
    </w:p>
    <w:p w14:paraId="2E88E446" w14:textId="77777777" w:rsidR="00D55CA0" w:rsidRPr="000A5982" w:rsidRDefault="00D55CA0" w:rsidP="00D55CA0">
      <w:pPr>
        <w:tabs>
          <w:tab w:val="center" w:pos="4513"/>
          <w:tab w:val="left" w:pos="6804"/>
        </w:tabs>
        <w:jc w:val="both"/>
        <w:rPr>
          <w:rFonts w:ascii="Cambria" w:hAnsi="Cambria"/>
          <w:b/>
          <w:i/>
          <w:iCs/>
          <w:sz w:val="20"/>
          <w:szCs w:val="20"/>
        </w:rPr>
      </w:pPr>
    </w:p>
    <w:p w14:paraId="54AA2F3D" w14:textId="77777777" w:rsidR="00D55CA0" w:rsidRPr="000A5982" w:rsidRDefault="00D55CA0" w:rsidP="00D55CA0">
      <w:pPr>
        <w:autoSpaceDE w:val="0"/>
        <w:autoSpaceDN w:val="0"/>
        <w:adjustRightInd w:val="0"/>
        <w:contextualSpacing/>
        <w:jc w:val="both"/>
        <w:rPr>
          <w:rFonts w:ascii="Cambria" w:hAnsi="Cambria"/>
          <w:i/>
          <w:iCs/>
          <w:sz w:val="20"/>
          <w:szCs w:val="20"/>
        </w:rPr>
      </w:pPr>
      <w:r w:rsidRPr="000A5982">
        <w:rPr>
          <w:rFonts w:ascii="Cambria" w:hAnsi="Cambria"/>
          <w:b/>
          <w:sz w:val="20"/>
          <w:szCs w:val="20"/>
        </w:rPr>
        <w:t>Contexto:</w:t>
      </w:r>
      <w:r w:rsidRPr="000A5982">
        <w:rPr>
          <w:rFonts w:ascii="Cambria" w:hAnsi="Cambria"/>
          <w:i/>
          <w:sz w:val="20"/>
          <w:szCs w:val="20"/>
        </w:rPr>
        <w:t xml:space="preserve"> El SCRS continuará con el desarrollo de un marco nuevo de una MSE para respaldar la posible adopción de un nuevo MP por parte de la Comisión a más tardar en 2026 y para el establecimiento de un TAC para el periodo de ordenación 2027-2030.</w:t>
      </w:r>
    </w:p>
    <w:p w14:paraId="1FE320E3" w14:textId="77777777" w:rsidR="00D55CA0" w:rsidRPr="000A5982" w:rsidRDefault="00D55CA0" w:rsidP="00D55CA0">
      <w:pPr>
        <w:tabs>
          <w:tab w:val="right" w:leader="dot" w:pos="8505"/>
          <w:tab w:val="right" w:pos="9072"/>
        </w:tabs>
        <w:ind w:right="-1"/>
        <w:contextualSpacing/>
        <w:jc w:val="both"/>
        <w:rPr>
          <w:rFonts w:ascii="Cambria" w:eastAsiaTheme="minorHAnsi" w:hAnsi="Cambria" w:cstheme="minorBidi"/>
          <w:sz w:val="20"/>
          <w:szCs w:val="20"/>
        </w:rPr>
      </w:pPr>
    </w:p>
    <w:p w14:paraId="67716341" w14:textId="77777777" w:rsidR="00D55CA0" w:rsidRPr="0099704B" w:rsidRDefault="00D55CA0" w:rsidP="00D55CA0">
      <w:pPr>
        <w:autoSpaceDE w:val="0"/>
        <w:autoSpaceDN w:val="0"/>
        <w:adjustRightInd w:val="0"/>
        <w:contextualSpacing/>
        <w:jc w:val="both"/>
        <w:rPr>
          <w:rFonts w:ascii="Cambria" w:hAnsi="Cambria"/>
          <w:bCs/>
          <w:i/>
          <w:iCs/>
          <w:sz w:val="20"/>
          <w:szCs w:val="20"/>
        </w:rPr>
      </w:pPr>
      <w:r w:rsidRPr="000A5982">
        <w:rPr>
          <w:rFonts w:ascii="Cambria" w:hAnsi="Cambria"/>
          <w:bCs/>
          <w:i/>
          <w:iCs/>
          <w:sz w:val="20"/>
          <w:szCs w:val="20"/>
        </w:rPr>
        <w:lastRenderedPageBreak/>
        <w:t>A este respecto, también se solicita al SCRS que explore la posibilidad de definir posibles índices de CPUE adicionales, para complementar los presentados en el Apéndice A del Anexo 1, así como que asesore sobre cómo se tendrán en cuenta los posibles cambios medioambientales en el desarrollo de este marco.</w:t>
      </w:r>
    </w:p>
    <w:p w14:paraId="03F996B3" w14:textId="77777777" w:rsidR="00D55CA0" w:rsidRPr="0099704B" w:rsidRDefault="00D55CA0" w:rsidP="00D55CA0">
      <w:pPr>
        <w:autoSpaceDE w:val="0"/>
        <w:autoSpaceDN w:val="0"/>
        <w:adjustRightInd w:val="0"/>
        <w:contextualSpacing/>
        <w:jc w:val="both"/>
        <w:rPr>
          <w:rFonts w:ascii="Cambria" w:hAnsi="Cambria"/>
          <w:bCs/>
          <w:i/>
          <w:iCs/>
          <w:sz w:val="20"/>
          <w:szCs w:val="20"/>
        </w:rPr>
      </w:pPr>
    </w:p>
    <w:p w14:paraId="1916FB97" w14:textId="77777777" w:rsidR="00D55CA0" w:rsidRPr="000A5982" w:rsidRDefault="00D55CA0" w:rsidP="00D55CA0">
      <w:pPr>
        <w:jc w:val="both"/>
        <w:rPr>
          <w:rFonts w:ascii="Cambria" w:hAnsi="Cambria"/>
          <w:color w:val="000000" w:themeColor="text1"/>
          <w:sz w:val="20"/>
          <w:szCs w:val="20"/>
        </w:rPr>
      </w:pPr>
      <w:r w:rsidRPr="000A5982">
        <w:rPr>
          <w:rFonts w:ascii="Cambria" w:hAnsi="Cambria"/>
          <w:color w:val="000000" w:themeColor="text1"/>
          <w:sz w:val="20"/>
          <w:szCs w:val="20"/>
        </w:rPr>
        <w:t>Se volvió a ejecutar el MP adoptado para el atún blanco del norte (</w:t>
      </w:r>
      <w:hyperlink r:id="rId15" w:history="1">
        <w:r w:rsidRPr="000A5982">
          <w:rPr>
            <w:rStyle w:val="Hyperlink"/>
            <w:rFonts w:ascii="Cambria" w:hAnsi="Cambria"/>
            <w:sz w:val="20"/>
            <w:szCs w:val="20"/>
            <w:u w:val="none"/>
          </w:rPr>
          <w:t>Rec. 21-04</w:t>
        </w:r>
      </w:hyperlink>
      <w:r w:rsidRPr="000A5982">
        <w:rPr>
          <w:rFonts w:ascii="Cambria" w:hAnsi="Cambria"/>
          <w:color w:val="000000" w:themeColor="text1"/>
          <w:sz w:val="20"/>
          <w:szCs w:val="20"/>
        </w:rPr>
        <w:t>), lo que dio como resultado un TAC para el periodo 2027-2029 de 50.000 t.</w:t>
      </w:r>
    </w:p>
    <w:p w14:paraId="21BE89ED" w14:textId="77777777" w:rsidR="00D55CA0" w:rsidRPr="000A5982" w:rsidRDefault="00D55CA0" w:rsidP="00D55CA0">
      <w:pPr>
        <w:jc w:val="both"/>
        <w:rPr>
          <w:rFonts w:ascii="Cambria" w:hAnsi="Cambria"/>
          <w:color w:val="000000" w:themeColor="text1"/>
          <w:sz w:val="20"/>
          <w:szCs w:val="20"/>
        </w:rPr>
      </w:pPr>
    </w:p>
    <w:p w14:paraId="25BE1A2C" w14:textId="77777777" w:rsidR="00D55CA0" w:rsidRPr="000A5982" w:rsidRDefault="00D55CA0" w:rsidP="00D55CA0">
      <w:pPr>
        <w:jc w:val="both"/>
        <w:rPr>
          <w:rFonts w:ascii="Cambria" w:hAnsi="Cambria"/>
          <w:i/>
          <w:iCs/>
          <w:color w:val="000000" w:themeColor="text1"/>
          <w:sz w:val="20"/>
          <w:szCs w:val="20"/>
        </w:rPr>
      </w:pPr>
      <w:r w:rsidRPr="000A5982">
        <w:rPr>
          <w:rFonts w:ascii="Cambria" w:hAnsi="Cambria"/>
          <w:i/>
          <w:iCs/>
          <w:color w:val="000000" w:themeColor="text1"/>
          <w:sz w:val="20"/>
          <w:szCs w:val="20"/>
        </w:rPr>
        <w:t>Nuevo marco de MSE</w:t>
      </w:r>
    </w:p>
    <w:p w14:paraId="08FED1FF" w14:textId="77777777" w:rsidR="00D55CA0" w:rsidRPr="000A5982" w:rsidRDefault="00D55CA0" w:rsidP="00D55CA0">
      <w:pPr>
        <w:jc w:val="both"/>
        <w:rPr>
          <w:rFonts w:ascii="Cambria" w:hAnsi="Cambria"/>
          <w:color w:val="000000" w:themeColor="text1"/>
          <w:sz w:val="20"/>
          <w:szCs w:val="20"/>
        </w:rPr>
      </w:pPr>
    </w:p>
    <w:p w14:paraId="32CAC61B" w14:textId="77777777" w:rsidR="00D55CA0" w:rsidRPr="000A5982" w:rsidRDefault="00D55CA0" w:rsidP="00D55CA0">
      <w:pPr>
        <w:jc w:val="both"/>
        <w:rPr>
          <w:rFonts w:ascii="Cambria" w:hAnsi="Cambria"/>
          <w:color w:val="000000" w:themeColor="text1"/>
          <w:sz w:val="20"/>
          <w:szCs w:val="20"/>
        </w:rPr>
      </w:pPr>
      <w:r w:rsidRPr="000A5982">
        <w:rPr>
          <w:rFonts w:ascii="Cambria" w:hAnsi="Cambria"/>
          <w:color w:val="000000" w:themeColor="text1"/>
          <w:sz w:val="20"/>
          <w:szCs w:val="20"/>
        </w:rPr>
        <w:t xml:space="preserve">El nuevo marco de evaluación de estrategias de ordenación (MSE) se basa en la evaluación de referencia del stock de 2023 y en los posteriores avances metodológicos analizados por el SCRS. Los detalles técnicos, incluidos los modelos operativos (OM) y los procedimientos de ordenación candidatos (CMP) figuran en </w:t>
      </w:r>
      <w:r w:rsidRPr="000A5982">
        <w:rPr>
          <w:rFonts w:ascii="Cambria" w:hAnsi="Cambria"/>
          <w:sz w:val="20"/>
          <w:szCs w:val="20"/>
        </w:rPr>
        <w:t xml:space="preserve">Urtizberea </w:t>
      </w:r>
      <w:r w:rsidRPr="000A5982">
        <w:rPr>
          <w:rFonts w:ascii="Cambria" w:hAnsi="Cambria"/>
          <w:i/>
          <w:iCs/>
          <w:sz w:val="20"/>
          <w:szCs w:val="20"/>
        </w:rPr>
        <w:t>et al.</w:t>
      </w:r>
      <w:r w:rsidRPr="000A5982">
        <w:rPr>
          <w:rFonts w:ascii="Cambria" w:hAnsi="Cambria"/>
          <w:sz w:val="20"/>
          <w:szCs w:val="20"/>
        </w:rPr>
        <w:t xml:space="preserve"> </w:t>
      </w:r>
      <w:r w:rsidRPr="000A5982">
        <w:rPr>
          <w:rFonts w:ascii="Cambria" w:hAnsi="Cambria"/>
          <w:color w:val="000000" w:themeColor="text1"/>
          <w:sz w:val="20"/>
          <w:szCs w:val="20"/>
        </w:rPr>
        <w:t>(SCRS/2026/190), en el documento de especificaciones de prueba (TSD) y en la aplicación Shiny (</w:t>
      </w:r>
      <w:hyperlink r:id="rId16" w:history="1">
        <w:r w:rsidRPr="000A5982">
          <w:rPr>
            <w:rFonts w:ascii="Cambria" w:hAnsi="Cambria"/>
            <w:sz w:val="20"/>
            <w:szCs w:val="20"/>
          </w:rPr>
          <w:t>FLBEIA Shiny App</w:t>
        </w:r>
      </w:hyperlink>
      <w:r w:rsidRPr="000A5982">
        <w:rPr>
          <w:rFonts w:ascii="Cambria" w:hAnsi="Cambria"/>
          <w:color w:val="000000" w:themeColor="text1"/>
          <w:sz w:val="20"/>
          <w:szCs w:val="20"/>
        </w:rPr>
        <w:t>).</w:t>
      </w:r>
    </w:p>
    <w:p w14:paraId="281EC291" w14:textId="77777777" w:rsidR="00D55CA0" w:rsidRPr="000A5982" w:rsidRDefault="00D55CA0" w:rsidP="00D55CA0">
      <w:pPr>
        <w:jc w:val="both"/>
        <w:rPr>
          <w:rFonts w:ascii="Cambria" w:hAnsi="Cambria"/>
          <w:color w:val="000000" w:themeColor="text1"/>
          <w:sz w:val="20"/>
          <w:szCs w:val="20"/>
        </w:rPr>
      </w:pPr>
    </w:p>
    <w:p w14:paraId="3F1AF677" w14:textId="77777777" w:rsidR="00D55CA0" w:rsidRPr="000A5982" w:rsidRDefault="00D55CA0" w:rsidP="00D55CA0">
      <w:pPr>
        <w:jc w:val="both"/>
        <w:rPr>
          <w:rFonts w:ascii="Cambria" w:hAnsi="Cambria"/>
          <w:color w:val="000000" w:themeColor="text1"/>
          <w:sz w:val="20"/>
          <w:szCs w:val="20"/>
        </w:rPr>
      </w:pPr>
      <w:r w:rsidRPr="000A5982">
        <w:rPr>
          <w:rFonts w:ascii="Cambria" w:hAnsi="Cambria"/>
          <w:color w:val="000000" w:themeColor="text1"/>
          <w:sz w:val="20"/>
          <w:szCs w:val="20"/>
        </w:rPr>
        <w:t xml:space="preserve">Debido a los cambios introducidos en el marco de la MSE, fue necesario revisar ligeramente el MP adoptado. En aras de la claridad, se utiliza el término «MP actualizado» para referirse a esta versión actualizada del MP adoptado en la </w:t>
      </w:r>
      <w:hyperlink r:id="rId17" w:history="1">
        <w:r w:rsidRPr="000A5982">
          <w:rPr>
            <w:rStyle w:val="Hyperlink"/>
            <w:rFonts w:ascii="Cambria" w:hAnsi="Cambria"/>
            <w:sz w:val="20"/>
            <w:szCs w:val="20"/>
            <w:u w:val="none"/>
          </w:rPr>
          <w:t>Rec. 21-04</w:t>
        </w:r>
      </w:hyperlink>
      <w:r w:rsidRPr="000A5982">
        <w:rPr>
          <w:rFonts w:ascii="Cambria" w:hAnsi="Cambria"/>
          <w:color w:val="000000" w:themeColor="text1"/>
          <w:sz w:val="20"/>
          <w:szCs w:val="20"/>
        </w:rPr>
        <w:t>.</w:t>
      </w:r>
    </w:p>
    <w:p w14:paraId="086DF924" w14:textId="77777777" w:rsidR="00D55CA0" w:rsidRPr="000A5982" w:rsidRDefault="00D55CA0" w:rsidP="00D55CA0">
      <w:pPr>
        <w:jc w:val="both"/>
        <w:rPr>
          <w:rFonts w:ascii="Cambria" w:hAnsi="Cambria"/>
          <w:color w:val="000000" w:themeColor="text1"/>
          <w:sz w:val="20"/>
          <w:szCs w:val="20"/>
        </w:rPr>
      </w:pPr>
    </w:p>
    <w:p w14:paraId="7DFB9F9C" w14:textId="77777777" w:rsidR="00D55CA0" w:rsidRPr="000A5982" w:rsidRDefault="00D55CA0" w:rsidP="00D55CA0">
      <w:pPr>
        <w:jc w:val="both"/>
        <w:rPr>
          <w:rFonts w:ascii="Cambria" w:hAnsi="Cambria"/>
          <w:color w:val="000000" w:themeColor="text1"/>
          <w:sz w:val="20"/>
          <w:szCs w:val="20"/>
        </w:rPr>
      </w:pPr>
      <w:r w:rsidRPr="000A5982">
        <w:rPr>
          <w:rFonts w:ascii="Cambria" w:hAnsi="Cambria"/>
          <w:sz w:val="20"/>
          <w:szCs w:val="20"/>
        </w:rPr>
        <w:t>Los ensayos realizados en el marco</w:t>
      </w:r>
      <w:r w:rsidRPr="0099704B">
        <w:rPr>
          <w:rFonts w:ascii="Cambria" w:hAnsi="Cambria"/>
          <w:sz w:val="20"/>
          <w:szCs w:val="20"/>
        </w:rPr>
        <w:t xml:space="preserve"> </w:t>
      </w:r>
      <w:r w:rsidRPr="000A5982">
        <w:rPr>
          <w:rFonts w:ascii="Cambria" w:hAnsi="Cambria"/>
          <w:sz w:val="20"/>
          <w:szCs w:val="20"/>
        </w:rPr>
        <w:t>de la nueva MSE indican que se prevé que el MP actualizado</w:t>
      </w:r>
      <w:r w:rsidRPr="000A5982">
        <w:rPr>
          <w:rFonts w:ascii="Cambria" w:hAnsi="Cambria"/>
          <w:color w:val="000000" w:themeColor="text1"/>
          <w:sz w:val="20"/>
          <w:szCs w:val="20"/>
        </w:rPr>
        <w:t xml:space="preserve"> permita alcanzar los objetivos de ordenación en lo relativo al estado y la seguridad del stock (</w:t>
      </w:r>
      <w:r w:rsidRPr="000A5982">
        <w:rPr>
          <w:rFonts w:ascii="Cambria" w:hAnsi="Cambria"/>
          <w:b/>
          <w:bCs/>
          <w:color w:val="000000" w:themeColor="text1"/>
          <w:sz w:val="20"/>
          <w:szCs w:val="20"/>
        </w:rPr>
        <w:t>Tabla 19.9.2</w:t>
      </w:r>
      <w:r w:rsidRPr="000A5982">
        <w:rPr>
          <w:rFonts w:ascii="Cambria" w:hAnsi="Cambria"/>
          <w:color w:val="000000" w:themeColor="text1"/>
          <w:sz w:val="20"/>
          <w:szCs w:val="20"/>
        </w:rPr>
        <w:t xml:space="preserve">, </w:t>
      </w:r>
      <w:r w:rsidRPr="000A5982">
        <w:rPr>
          <w:rFonts w:ascii="Cambria" w:hAnsi="Cambria"/>
          <w:b/>
          <w:bCs/>
          <w:color w:val="000000" w:themeColor="text1"/>
          <w:sz w:val="20"/>
          <w:szCs w:val="20"/>
        </w:rPr>
        <w:t>Figura 19.9.1</w:t>
      </w:r>
      <w:r w:rsidRPr="000A5982">
        <w:rPr>
          <w:rFonts w:ascii="Cambria" w:hAnsi="Cambria"/>
          <w:color w:val="000000" w:themeColor="text1"/>
          <w:sz w:val="20"/>
          <w:szCs w:val="20"/>
        </w:rPr>
        <w:t>). Las p</w:t>
      </w:r>
      <w:r w:rsidRPr="000A5982">
        <w:rPr>
          <w:rFonts w:ascii="Cambria" w:hAnsi="Cambria"/>
          <w:color w:val="000000" w:themeColor="text1"/>
          <w:sz w:val="20"/>
        </w:rPr>
        <w:t xml:space="preserve">ruebas de robustez que simulaban posibles efectos del cambio climático, entre ellos un reclutamiento menor con una mayor variabilidad, también mostraron un desempeño satisfactorio </w:t>
      </w:r>
      <w:r w:rsidRPr="000A5982">
        <w:rPr>
          <w:rFonts w:ascii="Cambria" w:hAnsi="Cambria"/>
          <w:color w:val="000000" w:themeColor="text1"/>
          <w:sz w:val="20"/>
          <w:szCs w:val="20"/>
        </w:rPr>
        <w:t>(</w:t>
      </w:r>
      <w:r w:rsidRPr="000A5982">
        <w:rPr>
          <w:rFonts w:ascii="Cambria" w:hAnsi="Cambria"/>
          <w:b/>
          <w:bCs/>
          <w:color w:val="000000" w:themeColor="text1"/>
          <w:sz w:val="20"/>
          <w:szCs w:val="20"/>
        </w:rPr>
        <w:t>Figura 19.9.2</w:t>
      </w:r>
      <w:r w:rsidRPr="000A5982">
        <w:rPr>
          <w:rFonts w:ascii="Cambria" w:hAnsi="Cambria"/>
          <w:color w:val="000000" w:themeColor="text1"/>
          <w:sz w:val="20"/>
          <w:szCs w:val="20"/>
        </w:rPr>
        <w:t>)</w:t>
      </w:r>
      <w:r w:rsidRPr="000A5982">
        <w:rPr>
          <w:rFonts w:ascii="Cambria" w:hAnsi="Cambria"/>
          <w:color w:val="000000" w:themeColor="text1"/>
          <w:sz w:val="20"/>
        </w:rPr>
        <w:t>. En estos escenarios, el MP actualizado respondió a los importantes (20 %)</w:t>
      </w:r>
      <w:r>
        <w:rPr>
          <w:rFonts w:ascii="Cambria" w:hAnsi="Cambria"/>
          <w:color w:val="000000" w:themeColor="text1"/>
          <w:sz w:val="20"/>
        </w:rPr>
        <w:t xml:space="preserve"> </w:t>
      </w:r>
      <w:r w:rsidRPr="000A5982">
        <w:rPr>
          <w:rFonts w:ascii="Cambria" w:hAnsi="Cambria"/>
          <w:color w:val="000000" w:themeColor="text1"/>
          <w:sz w:val="20"/>
        </w:rPr>
        <w:t>descensos del reclutamiento reduciendo el Total admisible de captura (TAC), lo que permitió mantener el estado y la seguridad del stock.</w:t>
      </w:r>
    </w:p>
    <w:p w14:paraId="39271317" w14:textId="77777777" w:rsidR="00D55CA0" w:rsidRPr="000A5982" w:rsidRDefault="00D55CA0" w:rsidP="00D55CA0">
      <w:pPr>
        <w:jc w:val="both"/>
        <w:rPr>
          <w:rFonts w:ascii="Cambria" w:hAnsi="Cambria"/>
          <w:color w:val="000000" w:themeColor="text1"/>
          <w:sz w:val="20"/>
          <w:szCs w:val="20"/>
        </w:rPr>
      </w:pPr>
    </w:p>
    <w:p w14:paraId="2B143718" w14:textId="77777777" w:rsidR="00D55CA0" w:rsidRPr="000A5982" w:rsidRDefault="00D55CA0" w:rsidP="00D55CA0">
      <w:pPr>
        <w:jc w:val="both"/>
        <w:rPr>
          <w:rFonts w:ascii="Cambria" w:hAnsi="Cambria"/>
          <w:color w:val="000000" w:themeColor="text1"/>
          <w:sz w:val="20"/>
          <w:szCs w:val="20"/>
        </w:rPr>
      </w:pPr>
      <w:r w:rsidRPr="000A5982">
        <w:rPr>
          <w:rFonts w:ascii="Cambria" w:hAnsi="Cambria"/>
          <w:color w:val="000000" w:themeColor="text1"/>
          <w:sz w:val="20"/>
        </w:rPr>
        <w:t>La nueva MSE se utilizó para evaluar el desempeño de siete CMP, entre los que figuran variantes del CMP actual basado en modelos con una restricción de estabilidad adicional (±10 %) o una mayor mortalidad por pesca objetivo (F</w:t>
      </w:r>
      <w:r w:rsidRPr="000A5982">
        <w:rPr>
          <w:rFonts w:ascii="Cambria" w:hAnsi="Cambria"/>
          <w:color w:val="000000" w:themeColor="text1"/>
          <w:sz w:val="20"/>
          <w:vertAlign w:val="subscript"/>
        </w:rPr>
        <w:t>RMS</w:t>
      </w:r>
      <w:r w:rsidRPr="000A5982">
        <w:rPr>
          <w:rFonts w:ascii="Cambria" w:hAnsi="Cambria"/>
          <w:color w:val="000000" w:themeColor="text1"/>
          <w:sz w:val="20"/>
        </w:rPr>
        <w:t xml:space="preserve">), así como CMP empíricos basados en la relación captura por unidad de esfuerzo (CPUE) o en un enfoque de captura </w:t>
      </w:r>
      <w:proofErr w:type="spellStart"/>
      <w:r w:rsidRPr="000A5982">
        <w:rPr>
          <w:rFonts w:ascii="Cambria" w:hAnsi="Cambria"/>
          <w:color w:val="000000" w:themeColor="text1"/>
          <w:sz w:val="20"/>
        </w:rPr>
        <w:t>seudoconstante</w:t>
      </w:r>
      <w:proofErr w:type="spellEnd"/>
      <w:r w:rsidRPr="000A5982">
        <w:rPr>
          <w:rFonts w:ascii="Cambria" w:hAnsi="Cambria"/>
          <w:color w:val="000000" w:themeColor="text1"/>
          <w:sz w:val="20"/>
        </w:rPr>
        <w:t xml:space="preserve"> </w:t>
      </w:r>
      <w:r w:rsidRPr="000A5982">
        <w:rPr>
          <w:rFonts w:ascii="Cambria" w:hAnsi="Cambria"/>
          <w:color w:val="000000" w:themeColor="text1"/>
          <w:sz w:val="20"/>
          <w:szCs w:val="20"/>
        </w:rPr>
        <w:t>(</w:t>
      </w:r>
      <w:r w:rsidRPr="000A5982">
        <w:rPr>
          <w:rFonts w:ascii="Cambria" w:hAnsi="Cambria"/>
          <w:b/>
          <w:bCs/>
          <w:color w:val="000000" w:themeColor="text1"/>
          <w:sz w:val="20"/>
          <w:szCs w:val="20"/>
        </w:rPr>
        <w:t>tabl</w:t>
      </w:r>
      <w:r>
        <w:rPr>
          <w:rFonts w:ascii="Cambria" w:hAnsi="Cambria"/>
          <w:b/>
          <w:bCs/>
          <w:color w:val="000000" w:themeColor="text1"/>
          <w:sz w:val="20"/>
          <w:szCs w:val="20"/>
        </w:rPr>
        <w:t>a</w:t>
      </w:r>
      <w:r w:rsidRPr="000A5982">
        <w:rPr>
          <w:rFonts w:ascii="Cambria" w:hAnsi="Cambria"/>
          <w:b/>
          <w:bCs/>
          <w:color w:val="000000" w:themeColor="text1"/>
          <w:sz w:val="20"/>
          <w:szCs w:val="20"/>
        </w:rPr>
        <w:t xml:space="preserve"> 19.9.1</w:t>
      </w:r>
      <w:r w:rsidRPr="0099704B">
        <w:rPr>
          <w:rFonts w:ascii="Cambria" w:hAnsi="Cambria"/>
          <w:color w:val="000000" w:themeColor="text1"/>
          <w:sz w:val="20"/>
          <w:szCs w:val="20"/>
        </w:rPr>
        <w:t>).</w:t>
      </w:r>
    </w:p>
    <w:p w14:paraId="4192501C" w14:textId="77777777" w:rsidR="00D55CA0" w:rsidRPr="000A5982" w:rsidRDefault="00D55CA0" w:rsidP="00D55CA0">
      <w:pPr>
        <w:jc w:val="both"/>
        <w:rPr>
          <w:rFonts w:ascii="Cambria" w:hAnsi="Cambria"/>
          <w:color w:val="000000" w:themeColor="text1"/>
          <w:sz w:val="20"/>
          <w:szCs w:val="20"/>
        </w:rPr>
      </w:pPr>
    </w:p>
    <w:p w14:paraId="25182B73" w14:textId="77777777" w:rsidR="00D55CA0" w:rsidRPr="000A5982" w:rsidRDefault="00D55CA0" w:rsidP="00D55CA0">
      <w:pPr>
        <w:pStyle w:val="Caption"/>
        <w:rPr>
          <w:rFonts w:ascii="Cambria" w:hAnsi="Cambria"/>
          <w:i w:val="0"/>
          <w:color w:val="000000" w:themeColor="text1"/>
          <w:sz w:val="20"/>
        </w:rPr>
      </w:pPr>
      <w:r w:rsidRPr="000A5982">
        <w:rPr>
          <w:rFonts w:ascii="Cambria" w:hAnsi="Cambria"/>
          <w:b/>
          <w:i w:val="0"/>
          <w:color w:val="000000" w:themeColor="text1"/>
          <w:sz w:val="20"/>
        </w:rPr>
        <w:t>Tabla 19.9.</w:t>
      </w:r>
      <w:r w:rsidRPr="000A5982">
        <w:rPr>
          <w:rFonts w:ascii="Cambria" w:hAnsi="Cambria"/>
          <w:b/>
          <w:i w:val="0"/>
          <w:color w:val="000000" w:themeColor="text1"/>
          <w:sz w:val="20"/>
        </w:rPr>
        <w:fldChar w:fldCharType="begin"/>
      </w:r>
      <w:r w:rsidRPr="000A5982">
        <w:rPr>
          <w:rFonts w:ascii="Cambria" w:hAnsi="Cambria"/>
          <w:b/>
          <w:i w:val="0"/>
          <w:color w:val="000000" w:themeColor="text1"/>
          <w:sz w:val="20"/>
        </w:rPr>
        <w:instrText xml:space="preserve"> SEQ Table \* ARABIC </w:instrText>
      </w:r>
      <w:r w:rsidRPr="000A5982">
        <w:rPr>
          <w:rFonts w:ascii="Cambria" w:hAnsi="Cambria"/>
          <w:b/>
          <w:i w:val="0"/>
          <w:color w:val="000000" w:themeColor="text1"/>
          <w:sz w:val="20"/>
        </w:rPr>
        <w:fldChar w:fldCharType="separate"/>
      </w:r>
      <w:r w:rsidRPr="000A5982">
        <w:rPr>
          <w:rFonts w:ascii="Cambria" w:hAnsi="Cambria"/>
          <w:b/>
          <w:i w:val="0"/>
          <w:noProof/>
          <w:color w:val="000000" w:themeColor="text1"/>
          <w:sz w:val="20"/>
        </w:rPr>
        <w:t>1</w:t>
      </w:r>
      <w:r w:rsidRPr="000A5982">
        <w:rPr>
          <w:rFonts w:ascii="Cambria" w:hAnsi="Cambria"/>
          <w:b/>
          <w:i w:val="0"/>
          <w:color w:val="000000" w:themeColor="text1"/>
          <w:sz w:val="20"/>
        </w:rPr>
        <w:fldChar w:fldCharType="end"/>
      </w:r>
      <w:r w:rsidRPr="000A5982">
        <w:rPr>
          <w:rFonts w:ascii="Cambria" w:hAnsi="Cambria"/>
          <w:color w:val="000000" w:themeColor="text1"/>
          <w:sz w:val="20"/>
        </w:rPr>
        <w:t xml:space="preserve">. </w:t>
      </w:r>
      <w:r w:rsidRPr="000A5982">
        <w:rPr>
          <w:rFonts w:ascii="Cambria" w:hAnsi="Cambria"/>
          <w:i w:val="0"/>
          <w:color w:val="000000" w:themeColor="text1"/>
          <w:sz w:val="20"/>
        </w:rPr>
        <w:t>Código y descripción de los siete CMP evaluados en 2026.</w:t>
      </w:r>
    </w:p>
    <w:tbl>
      <w:tblPr>
        <w:tblStyle w:val="Table"/>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420"/>
        <w:gridCol w:w="1140"/>
        <w:gridCol w:w="7074"/>
      </w:tblGrid>
      <w:tr w:rsidR="00D55CA0" w:rsidRPr="0099704B" w14:paraId="3B95B050" w14:textId="77777777" w:rsidTr="00A45A18">
        <w:trPr>
          <w:tblHeader/>
        </w:trPr>
        <w:tc>
          <w:tcPr>
            <w:tcW w:w="1420" w:type="dxa"/>
            <w:vAlign w:val="center"/>
          </w:tcPr>
          <w:p w14:paraId="2B47961F" w14:textId="77777777" w:rsidR="00D55CA0" w:rsidRPr="000A5982" w:rsidRDefault="00D55CA0" w:rsidP="00A45A18">
            <w:pPr>
              <w:pStyle w:val="Compact"/>
              <w:jc w:val="center"/>
              <w:rPr>
                <w:rFonts w:ascii="Cambria" w:hAnsi="Cambria"/>
                <w:b/>
                <w:bCs/>
                <w:i/>
                <w:iCs/>
                <w:color w:val="000000" w:themeColor="text1"/>
                <w:sz w:val="20"/>
                <w:szCs w:val="20"/>
              </w:rPr>
            </w:pPr>
            <w:r w:rsidRPr="000A5982">
              <w:rPr>
                <w:rFonts w:ascii="Cambria" w:hAnsi="Cambria"/>
                <w:b/>
                <w:i/>
                <w:color w:val="000000" w:themeColor="text1"/>
                <w:sz w:val="20"/>
              </w:rPr>
              <w:t>Código</w:t>
            </w:r>
          </w:p>
        </w:tc>
        <w:tc>
          <w:tcPr>
            <w:tcW w:w="1140" w:type="dxa"/>
            <w:vAlign w:val="center"/>
          </w:tcPr>
          <w:p w14:paraId="7456F7B4" w14:textId="77777777" w:rsidR="00D55CA0" w:rsidRPr="000A5982" w:rsidRDefault="00D55CA0" w:rsidP="00A45A18">
            <w:pPr>
              <w:pStyle w:val="Compact"/>
              <w:jc w:val="center"/>
              <w:rPr>
                <w:rFonts w:ascii="Cambria" w:hAnsi="Cambria"/>
                <w:b/>
                <w:bCs/>
                <w:i/>
                <w:iCs/>
                <w:color w:val="000000" w:themeColor="text1"/>
                <w:sz w:val="20"/>
                <w:szCs w:val="20"/>
              </w:rPr>
            </w:pPr>
            <w:r w:rsidRPr="000A5982">
              <w:rPr>
                <w:rFonts w:ascii="Cambria" w:hAnsi="Cambria"/>
                <w:b/>
                <w:i/>
                <w:color w:val="000000" w:themeColor="text1"/>
                <w:sz w:val="20"/>
              </w:rPr>
              <w:t>Tipo</w:t>
            </w:r>
          </w:p>
        </w:tc>
        <w:tc>
          <w:tcPr>
            <w:tcW w:w="7074" w:type="dxa"/>
            <w:vAlign w:val="center"/>
          </w:tcPr>
          <w:p w14:paraId="4769A96E" w14:textId="77777777" w:rsidR="00D55CA0" w:rsidRPr="000A5982" w:rsidRDefault="00D55CA0" w:rsidP="00A45A18">
            <w:pPr>
              <w:pStyle w:val="Compact"/>
              <w:jc w:val="center"/>
              <w:rPr>
                <w:rFonts w:ascii="Cambria" w:hAnsi="Cambria"/>
                <w:b/>
                <w:bCs/>
                <w:i/>
                <w:iCs/>
                <w:color w:val="000000" w:themeColor="text1"/>
                <w:sz w:val="20"/>
                <w:szCs w:val="20"/>
              </w:rPr>
            </w:pPr>
            <w:r w:rsidRPr="000A5982">
              <w:rPr>
                <w:rFonts w:ascii="Cambria" w:hAnsi="Cambria"/>
                <w:b/>
                <w:i/>
                <w:color w:val="000000" w:themeColor="text1"/>
                <w:sz w:val="20"/>
              </w:rPr>
              <w:t>Descripción</w:t>
            </w:r>
          </w:p>
        </w:tc>
      </w:tr>
      <w:tr w:rsidR="00D55CA0" w:rsidRPr="0099704B" w14:paraId="5BE76345" w14:textId="77777777" w:rsidTr="00A45A18">
        <w:tc>
          <w:tcPr>
            <w:tcW w:w="1420" w:type="dxa"/>
            <w:vAlign w:val="center"/>
          </w:tcPr>
          <w:p w14:paraId="7899AE3F" w14:textId="77777777" w:rsidR="00D55CA0" w:rsidRPr="000A5982" w:rsidRDefault="00D55CA0" w:rsidP="00A45A18">
            <w:pPr>
              <w:pStyle w:val="Compact"/>
              <w:jc w:val="center"/>
              <w:rPr>
                <w:rFonts w:ascii="Cambria" w:hAnsi="Cambria"/>
                <w:color w:val="000000" w:themeColor="text1"/>
                <w:sz w:val="20"/>
                <w:szCs w:val="20"/>
              </w:rPr>
            </w:pPr>
            <w:r w:rsidRPr="000A5982">
              <w:rPr>
                <w:rFonts w:ascii="Cambria" w:hAnsi="Cambria"/>
                <w:color w:val="000000" w:themeColor="text1"/>
                <w:sz w:val="20"/>
              </w:rPr>
              <w:t>25%_F0.8_B1</w:t>
            </w:r>
          </w:p>
        </w:tc>
        <w:tc>
          <w:tcPr>
            <w:tcW w:w="1140" w:type="dxa"/>
            <w:vAlign w:val="center"/>
          </w:tcPr>
          <w:p w14:paraId="3ABEA824" w14:textId="77777777" w:rsidR="00D55CA0" w:rsidRPr="000A5982" w:rsidRDefault="00D55CA0" w:rsidP="00A45A18">
            <w:pPr>
              <w:pStyle w:val="Compact"/>
              <w:jc w:val="center"/>
              <w:rPr>
                <w:rFonts w:ascii="Cambria" w:hAnsi="Cambria"/>
                <w:color w:val="000000" w:themeColor="text1"/>
                <w:sz w:val="20"/>
                <w:szCs w:val="20"/>
              </w:rPr>
            </w:pPr>
            <w:r w:rsidRPr="000A5982">
              <w:rPr>
                <w:rFonts w:ascii="Cambria" w:hAnsi="Cambria"/>
                <w:color w:val="000000" w:themeColor="text1"/>
                <w:sz w:val="20"/>
              </w:rPr>
              <w:t>Basado en modelos</w:t>
            </w:r>
          </w:p>
        </w:tc>
        <w:tc>
          <w:tcPr>
            <w:tcW w:w="7074" w:type="dxa"/>
            <w:vAlign w:val="center"/>
          </w:tcPr>
          <w:p w14:paraId="3F452D4B" w14:textId="77777777" w:rsidR="00D55CA0" w:rsidRPr="000A5982" w:rsidRDefault="00D55CA0" w:rsidP="00A45A18">
            <w:pPr>
              <w:pStyle w:val="Compact"/>
              <w:jc w:val="both"/>
              <w:rPr>
                <w:rFonts w:ascii="Cambria" w:hAnsi="Cambria"/>
                <w:color w:val="000000" w:themeColor="text1"/>
                <w:sz w:val="20"/>
                <w:szCs w:val="20"/>
              </w:rPr>
            </w:pPr>
            <w:r w:rsidRPr="000A5982">
              <w:rPr>
                <w:rFonts w:ascii="Cambria" w:hAnsi="Cambria"/>
                <w:color w:val="000000" w:themeColor="text1"/>
                <w:sz w:val="20"/>
              </w:rPr>
              <w:t xml:space="preserve">MP actualizado: TAC derivado de una HCR basada en modelos: </w:t>
            </w:r>
            <w:proofErr w:type="spellStart"/>
            <w:r w:rsidRPr="000A5982">
              <w:rPr>
                <w:rFonts w:ascii="Cambria" w:hAnsi="Cambria"/>
                <w:color w:val="000000" w:themeColor="text1"/>
                <w:sz w:val="20"/>
              </w:rPr>
              <w:t>F_tgt</w:t>
            </w:r>
            <w:proofErr w:type="spellEnd"/>
            <w:r w:rsidRPr="000A5982">
              <w:rPr>
                <w:rFonts w:ascii="Cambria" w:hAnsi="Cambria"/>
                <w:color w:val="000000" w:themeColor="text1"/>
                <w:sz w:val="20"/>
              </w:rPr>
              <w:t>=0.8*F</w:t>
            </w:r>
            <w:r w:rsidRPr="000A5982">
              <w:rPr>
                <w:rFonts w:ascii="Cambria" w:hAnsi="Cambria"/>
                <w:color w:val="000000" w:themeColor="text1"/>
                <w:sz w:val="20"/>
                <w:vertAlign w:val="subscript"/>
              </w:rPr>
              <w:t>RMS</w:t>
            </w:r>
            <w:r w:rsidRPr="000A5982">
              <w:rPr>
                <w:rFonts w:ascii="Cambria" w:hAnsi="Cambria"/>
                <w:color w:val="000000" w:themeColor="text1"/>
                <w:sz w:val="20"/>
              </w:rPr>
              <w:t xml:space="preserve">, </w:t>
            </w:r>
            <w:proofErr w:type="spellStart"/>
            <w:r w:rsidRPr="000A5982">
              <w:rPr>
                <w:rFonts w:ascii="Cambria" w:hAnsi="Cambria"/>
                <w:color w:val="000000" w:themeColor="text1"/>
                <w:sz w:val="20"/>
              </w:rPr>
              <w:t>B_thr</w:t>
            </w:r>
            <w:proofErr w:type="spellEnd"/>
            <w:r w:rsidRPr="000A5982">
              <w:rPr>
                <w:rFonts w:ascii="Cambria" w:hAnsi="Cambria"/>
                <w:color w:val="000000" w:themeColor="text1"/>
                <w:sz w:val="20"/>
              </w:rPr>
              <w:t>=B</w:t>
            </w:r>
            <w:r w:rsidRPr="000A5982">
              <w:rPr>
                <w:rFonts w:ascii="Cambria" w:hAnsi="Cambria"/>
                <w:color w:val="000000" w:themeColor="text1"/>
                <w:sz w:val="20"/>
                <w:vertAlign w:val="subscript"/>
              </w:rPr>
              <w:t>RMS</w:t>
            </w:r>
            <w:r w:rsidRPr="000A5982">
              <w:rPr>
                <w:rFonts w:ascii="Cambria" w:hAnsi="Cambria"/>
                <w:color w:val="000000" w:themeColor="text1"/>
                <w:sz w:val="20"/>
              </w:rPr>
              <w:t xml:space="preserve">. Aumento máximo del TAC del 25 % y disminución máxima del 20 % entre periodos de ordenación consecutivos. El TAC no puede superar 50.000 t. </w:t>
            </w:r>
          </w:p>
        </w:tc>
      </w:tr>
      <w:tr w:rsidR="00D55CA0" w:rsidRPr="0099704B" w14:paraId="76AFCE8F" w14:textId="77777777" w:rsidTr="00A45A18">
        <w:tc>
          <w:tcPr>
            <w:tcW w:w="1420" w:type="dxa"/>
            <w:vAlign w:val="center"/>
          </w:tcPr>
          <w:p w14:paraId="56D843C7" w14:textId="77777777" w:rsidR="00D55CA0" w:rsidRPr="000A5982" w:rsidRDefault="00D55CA0" w:rsidP="00A45A18">
            <w:pPr>
              <w:pStyle w:val="Compact"/>
              <w:jc w:val="center"/>
              <w:rPr>
                <w:rFonts w:ascii="Cambria" w:hAnsi="Cambria"/>
                <w:color w:val="000000" w:themeColor="text1"/>
                <w:sz w:val="20"/>
                <w:szCs w:val="20"/>
              </w:rPr>
            </w:pPr>
            <w:r w:rsidRPr="000A5982">
              <w:rPr>
                <w:rFonts w:ascii="Cambria" w:hAnsi="Cambria"/>
                <w:color w:val="000000" w:themeColor="text1"/>
                <w:sz w:val="20"/>
              </w:rPr>
              <w:t>10%_F0.8_B1</w:t>
            </w:r>
          </w:p>
        </w:tc>
        <w:tc>
          <w:tcPr>
            <w:tcW w:w="1140" w:type="dxa"/>
            <w:vAlign w:val="center"/>
          </w:tcPr>
          <w:p w14:paraId="41AD10D8" w14:textId="77777777" w:rsidR="00D55CA0" w:rsidRPr="000A5982" w:rsidRDefault="00D55CA0" w:rsidP="00A45A18">
            <w:pPr>
              <w:pStyle w:val="Compact"/>
              <w:jc w:val="center"/>
              <w:rPr>
                <w:rFonts w:ascii="Cambria" w:hAnsi="Cambria"/>
                <w:color w:val="000000" w:themeColor="text1"/>
                <w:sz w:val="20"/>
                <w:szCs w:val="20"/>
              </w:rPr>
            </w:pPr>
            <w:r w:rsidRPr="000A5982">
              <w:rPr>
                <w:rFonts w:ascii="Cambria" w:hAnsi="Cambria"/>
                <w:color w:val="000000" w:themeColor="text1"/>
                <w:sz w:val="20"/>
              </w:rPr>
              <w:t>Basado en modelos</w:t>
            </w:r>
          </w:p>
        </w:tc>
        <w:tc>
          <w:tcPr>
            <w:tcW w:w="7074" w:type="dxa"/>
            <w:vAlign w:val="center"/>
          </w:tcPr>
          <w:p w14:paraId="276C095C" w14:textId="77777777" w:rsidR="00D55CA0" w:rsidRPr="000A5982" w:rsidRDefault="00D55CA0" w:rsidP="00A45A18">
            <w:pPr>
              <w:pStyle w:val="Compact"/>
              <w:jc w:val="both"/>
              <w:rPr>
                <w:rFonts w:ascii="Cambria" w:hAnsi="Cambria"/>
                <w:color w:val="000000" w:themeColor="text1"/>
                <w:sz w:val="20"/>
                <w:szCs w:val="20"/>
              </w:rPr>
            </w:pPr>
            <w:r w:rsidRPr="000A5982">
              <w:rPr>
                <w:rFonts w:ascii="Cambria" w:hAnsi="Cambria"/>
                <w:color w:val="000000" w:themeColor="text1"/>
                <w:sz w:val="20"/>
              </w:rPr>
              <w:t xml:space="preserve">TAC derivado de una HCR basada en modelos: </w:t>
            </w:r>
            <w:proofErr w:type="spellStart"/>
            <w:r w:rsidRPr="000A5982">
              <w:rPr>
                <w:rFonts w:ascii="Cambria" w:hAnsi="Cambria"/>
                <w:color w:val="000000" w:themeColor="text1"/>
                <w:sz w:val="20"/>
              </w:rPr>
              <w:t>F_tgt</w:t>
            </w:r>
            <w:proofErr w:type="spellEnd"/>
            <w:r w:rsidRPr="000A5982">
              <w:rPr>
                <w:rFonts w:ascii="Cambria" w:hAnsi="Cambria"/>
                <w:color w:val="000000" w:themeColor="text1"/>
                <w:sz w:val="20"/>
              </w:rPr>
              <w:t>=0.8*F</w:t>
            </w:r>
            <w:r w:rsidRPr="000A5982">
              <w:rPr>
                <w:rFonts w:ascii="Cambria" w:hAnsi="Cambria"/>
                <w:color w:val="000000" w:themeColor="text1"/>
                <w:sz w:val="20"/>
                <w:vertAlign w:val="subscript"/>
              </w:rPr>
              <w:t>RMS</w:t>
            </w:r>
            <w:r w:rsidRPr="000A5982">
              <w:rPr>
                <w:rFonts w:ascii="Cambria" w:hAnsi="Cambria"/>
                <w:color w:val="000000" w:themeColor="text1"/>
                <w:sz w:val="20"/>
              </w:rPr>
              <w:t xml:space="preserve">, </w:t>
            </w:r>
            <w:proofErr w:type="spellStart"/>
            <w:r w:rsidRPr="000A5982">
              <w:rPr>
                <w:rFonts w:ascii="Cambria" w:hAnsi="Cambria"/>
                <w:color w:val="000000" w:themeColor="text1"/>
                <w:sz w:val="20"/>
              </w:rPr>
              <w:t>B_thr</w:t>
            </w:r>
            <w:proofErr w:type="spellEnd"/>
            <w:r w:rsidRPr="000A5982">
              <w:rPr>
                <w:rFonts w:ascii="Cambria" w:hAnsi="Cambria"/>
                <w:color w:val="000000" w:themeColor="text1"/>
                <w:sz w:val="20"/>
              </w:rPr>
              <w:t>=B</w:t>
            </w:r>
            <w:r w:rsidRPr="000A5982">
              <w:rPr>
                <w:rFonts w:ascii="Cambria" w:hAnsi="Cambria"/>
                <w:color w:val="000000" w:themeColor="text1"/>
                <w:sz w:val="20"/>
                <w:vertAlign w:val="subscript"/>
              </w:rPr>
              <w:t>RMS</w:t>
            </w:r>
            <w:r w:rsidRPr="000A5982">
              <w:rPr>
                <w:rFonts w:ascii="Cambria" w:hAnsi="Cambria"/>
                <w:color w:val="000000" w:themeColor="text1"/>
                <w:sz w:val="20"/>
              </w:rPr>
              <w:t>. Variación máxima del TAC del 10 % entre periodos de ordenación consecutivos. El TAC no puede superar 50.000 t.</w:t>
            </w:r>
          </w:p>
        </w:tc>
      </w:tr>
      <w:tr w:rsidR="00D55CA0" w:rsidRPr="0099704B" w14:paraId="4B09BCB9" w14:textId="77777777" w:rsidTr="00A45A18">
        <w:tc>
          <w:tcPr>
            <w:tcW w:w="1420" w:type="dxa"/>
            <w:vAlign w:val="center"/>
          </w:tcPr>
          <w:p w14:paraId="5194305F" w14:textId="77777777" w:rsidR="00D55CA0" w:rsidRPr="000A5982" w:rsidRDefault="00D55CA0" w:rsidP="00A45A18">
            <w:pPr>
              <w:pStyle w:val="Compact"/>
              <w:jc w:val="center"/>
              <w:rPr>
                <w:rFonts w:ascii="Cambria" w:hAnsi="Cambria"/>
                <w:color w:val="000000" w:themeColor="text1"/>
                <w:sz w:val="20"/>
                <w:szCs w:val="20"/>
              </w:rPr>
            </w:pPr>
            <w:r w:rsidRPr="000A5982">
              <w:rPr>
                <w:rFonts w:ascii="Cambria" w:hAnsi="Cambria"/>
                <w:color w:val="000000" w:themeColor="text1"/>
                <w:sz w:val="20"/>
              </w:rPr>
              <w:t>25%_F1_B1</w:t>
            </w:r>
          </w:p>
        </w:tc>
        <w:tc>
          <w:tcPr>
            <w:tcW w:w="1140" w:type="dxa"/>
            <w:vAlign w:val="center"/>
          </w:tcPr>
          <w:p w14:paraId="3D10800F" w14:textId="77777777" w:rsidR="00D55CA0" w:rsidRPr="000A5982" w:rsidRDefault="00D55CA0" w:rsidP="00A45A18">
            <w:pPr>
              <w:pStyle w:val="Compact"/>
              <w:jc w:val="center"/>
              <w:rPr>
                <w:rFonts w:ascii="Cambria" w:hAnsi="Cambria"/>
                <w:color w:val="000000" w:themeColor="text1"/>
                <w:sz w:val="20"/>
                <w:szCs w:val="20"/>
              </w:rPr>
            </w:pPr>
            <w:r w:rsidRPr="000A5982">
              <w:rPr>
                <w:rFonts w:ascii="Cambria" w:hAnsi="Cambria"/>
                <w:color w:val="000000" w:themeColor="text1"/>
                <w:sz w:val="20"/>
              </w:rPr>
              <w:t>Basado en modelos</w:t>
            </w:r>
          </w:p>
        </w:tc>
        <w:tc>
          <w:tcPr>
            <w:tcW w:w="7074" w:type="dxa"/>
            <w:vAlign w:val="center"/>
          </w:tcPr>
          <w:p w14:paraId="3D0D873B" w14:textId="77777777" w:rsidR="00D55CA0" w:rsidRPr="000A5982" w:rsidRDefault="00D55CA0" w:rsidP="00A45A18">
            <w:pPr>
              <w:pStyle w:val="Compact"/>
              <w:jc w:val="both"/>
              <w:rPr>
                <w:rFonts w:ascii="Cambria" w:hAnsi="Cambria"/>
                <w:color w:val="000000" w:themeColor="text1"/>
                <w:sz w:val="20"/>
                <w:szCs w:val="20"/>
              </w:rPr>
            </w:pPr>
            <w:r w:rsidRPr="000A5982">
              <w:rPr>
                <w:rFonts w:ascii="Cambria" w:hAnsi="Cambria"/>
                <w:color w:val="000000" w:themeColor="text1"/>
                <w:sz w:val="20"/>
              </w:rPr>
              <w:t xml:space="preserve">TAC derivado de una HCR basada en modelos: </w:t>
            </w:r>
            <w:proofErr w:type="spellStart"/>
            <w:r w:rsidRPr="000A5982">
              <w:rPr>
                <w:rFonts w:ascii="Cambria" w:hAnsi="Cambria"/>
                <w:color w:val="000000" w:themeColor="text1"/>
                <w:sz w:val="20"/>
              </w:rPr>
              <w:t>F_tgt</w:t>
            </w:r>
            <w:proofErr w:type="spellEnd"/>
            <w:r w:rsidRPr="000A5982">
              <w:rPr>
                <w:rFonts w:ascii="Cambria" w:hAnsi="Cambria"/>
                <w:color w:val="000000" w:themeColor="text1"/>
                <w:sz w:val="20"/>
              </w:rPr>
              <w:t xml:space="preserve"> = F</w:t>
            </w:r>
            <w:r w:rsidRPr="000A5982">
              <w:rPr>
                <w:rFonts w:ascii="Cambria" w:hAnsi="Cambria"/>
                <w:color w:val="000000" w:themeColor="text1"/>
                <w:sz w:val="20"/>
                <w:vertAlign w:val="subscript"/>
              </w:rPr>
              <w:t>RMS</w:t>
            </w:r>
            <w:r w:rsidRPr="000A5982">
              <w:rPr>
                <w:rFonts w:ascii="Cambria" w:hAnsi="Cambria"/>
                <w:color w:val="000000" w:themeColor="text1"/>
                <w:sz w:val="20"/>
              </w:rPr>
              <w:t xml:space="preserve">, </w:t>
            </w:r>
            <w:proofErr w:type="spellStart"/>
            <w:r w:rsidRPr="000A5982">
              <w:rPr>
                <w:rFonts w:ascii="Cambria" w:hAnsi="Cambria"/>
                <w:color w:val="000000" w:themeColor="text1"/>
                <w:sz w:val="20"/>
              </w:rPr>
              <w:t>B_thr</w:t>
            </w:r>
            <w:proofErr w:type="spellEnd"/>
            <w:r w:rsidRPr="000A5982">
              <w:rPr>
                <w:rFonts w:ascii="Cambria" w:hAnsi="Cambria"/>
                <w:color w:val="000000" w:themeColor="text1"/>
                <w:sz w:val="20"/>
              </w:rPr>
              <w:t xml:space="preserve"> ==B</w:t>
            </w:r>
            <w:r w:rsidRPr="000A5982">
              <w:rPr>
                <w:rFonts w:ascii="Cambria" w:hAnsi="Cambria"/>
                <w:color w:val="000000" w:themeColor="text1"/>
                <w:sz w:val="20"/>
                <w:vertAlign w:val="subscript"/>
              </w:rPr>
              <w:t>RMS</w:t>
            </w:r>
            <w:r w:rsidRPr="000A5982">
              <w:rPr>
                <w:rFonts w:ascii="Cambria" w:hAnsi="Cambria"/>
                <w:color w:val="000000" w:themeColor="text1"/>
                <w:sz w:val="20"/>
              </w:rPr>
              <w:t>. Aumento máximo del TAC del 25 % y disminución máxima del 20 % entre periodos de ordenación consecutivos. El TAC no puede superar 50.000 t.</w:t>
            </w:r>
          </w:p>
        </w:tc>
      </w:tr>
      <w:tr w:rsidR="00D55CA0" w:rsidRPr="0099704B" w14:paraId="318C3A10" w14:textId="77777777" w:rsidTr="00A45A18">
        <w:tc>
          <w:tcPr>
            <w:tcW w:w="1420" w:type="dxa"/>
            <w:vAlign w:val="center"/>
          </w:tcPr>
          <w:p w14:paraId="4F99DA53" w14:textId="77777777" w:rsidR="00D55CA0" w:rsidRPr="000A5982" w:rsidRDefault="00D55CA0" w:rsidP="00A45A18">
            <w:pPr>
              <w:pStyle w:val="Compact"/>
              <w:jc w:val="center"/>
              <w:rPr>
                <w:rFonts w:ascii="Cambria" w:hAnsi="Cambria"/>
                <w:color w:val="000000" w:themeColor="text1"/>
                <w:sz w:val="20"/>
                <w:szCs w:val="20"/>
              </w:rPr>
            </w:pPr>
            <w:r w:rsidRPr="000A5982">
              <w:rPr>
                <w:rFonts w:ascii="Cambria" w:hAnsi="Cambria"/>
                <w:color w:val="000000" w:themeColor="text1"/>
                <w:sz w:val="20"/>
              </w:rPr>
              <w:t>10%_F1_B1</w:t>
            </w:r>
          </w:p>
        </w:tc>
        <w:tc>
          <w:tcPr>
            <w:tcW w:w="1140" w:type="dxa"/>
            <w:vAlign w:val="center"/>
          </w:tcPr>
          <w:p w14:paraId="5C59892D" w14:textId="77777777" w:rsidR="00D55CA0" w:rsidRPr="000A5982" w:rsidRDefault="00D55CA0" w:rsidP="00A45A18">
            <w:pPr>
              <w:pStyle w:val="Compact"/>
              <w:jc w:val="center"/>
              <w:rPr>
                <w:rFonts w:ascii="Cambria" w:hAnsi="Cambria"/>
                <w:color w:val="000000" w:themeColor="text1"/>
                <w:sz w:val="20"/>
                <w:szCs w:val="20"/>
              </w:rPr>
            </w:pPr>
            <w:r w:rsidRPr="000A5982">
              <w:rPr>
                <w:rFonts w:ascii="Cambria" w:hAnsi="Cambria"/>
                <w:color w:val="000000" w:themeColor="text1"/>
                <w:sz w:val="20"/>
              </w:rPr>
              <w:t>Basado en modelos</w:t>
            </w:r>
          </w:p>
        </w:tc>
        <w:tc>
          <w:tcPr>
            <w:tcW w:w="7074" w:type="dxa"/>
            <w:vAlign w:val="center"/>
          </w:tcPr>
          <w:p w14:paraId="71F07A2E" w14:textId="77777777" w:rsidR="00D55CA0" w:rsidRPr="000A5982" w:rsidRDefault="00D55CA0" w:rsidP="00A45A18">
            <w:pPr>
              <w:pStyle w:val="Compact"/>
              <w:jc w:val="both"/>
              <w:rPr>
                <w:rFonts w:ascii="Cambria" w:hAnsi="Cambria"/>
                <w:color w:val="000000" w:themeColor="text1"/>
                <w:sz w:val="20"/>
                <w:szCs w:val="20"/>
              </w:rPr>
            </w:pPr>
            <w:r w:rsidRPr="000A5982">
              <w:rPr>
                <w:rFonts w:ascii="Cambria" w:hAnsi="Cambria"/>
                <w:color w:val="000000" w:themeColor="text1"/>
                <w:sz w:val="20"/>
              </w:rPr>
              <w:t xml:space="preserve">TAC derivado de una HCR basada en modelos: </w:t>
            </w:r>
            <w:proofErr w:type="spellStart"/>
            <w:r w:rsidRPr="000A5982">
              <w:rPr>
                <w:rFonts w:ascii="Cambria" w:hAnsi="Cambria"/>
                <w:color w:val="000000" w:themeColor="text1"/>
                <w:sz w:val="20"/>
              </w:rPr>
              <w:t>F_tgt</w:t>
            </w:r>
            <w:proofErr w:type="spellEnd"/>
            <w:r w:rsidRPr="000A5982">
              <w:rPr>
                <w:rFonts w:ascii="Cambria" w:hAnsi="Cambria"/>
                <w:color w:val="000000" w:themeColor="text1"/>
                <w:sz w:val="20"/>
              </w:rPr>
              <w:t>= F</w:t>
            </w:r>
            <w:r w:rsidRPr="000A5982">
              <w:rPr>
                <w:rFonts w:ascii="Cambria" w:hAnsi="Cambria"/>
                <w:color w:val="000000" w:themeColor="text1"/>
                <w:sz w:val="20"/>
                <w:vertAlign w:val="subscript"/>
              </w:rPr>
              <w:t>RMS</w:t>
            </w:r>
            <w:r w:rsidRPr="000A5982">
              <w:rPr>
                <w:rFonts w:ascii="Cambria" w:hAnsi="Cambria"/>
                <w:color w:val="000000" w:themeColor="text1"/>
                <w:sz w:val="20"/>
              </w:rPr>
              <w:t xml:space="preserve">, </w:t>
            </w:r>
            <w:proofErr w:type="spellStart"/>
            <w:r w:rsidRPr="000A5982">
              <w:rPr>
                <w:rFonts w:ascii="Cambria" w:hAnsi="Cambria"/>
                <w:color w:val="000000" w:themeColor="text1"/>
                <w:sz w:val="20"/>
              </w:rPr>
              <w:t>B_thr</w:t>
            </w:r>
            <w:proofErr w:type="spellEnd"/>
            <w:r w:rsidRPr="000A5982">
              <w:rPr>
                <w:rFonts w:ascii="Cambria" w:hAnsi="Cambria"/>
                <w:color w:val="000000" w:themeColor="text1"/>
                <w:sz w:val="20"/>
              </w:rPr>
              <w:t>= B</w:t>
            </w:r>
            <w:r w:rsidRPr="000A5982">
              <w:rPr>
                <w:rFonts w:ascii="Cambria" w:hAnsi="Cambria"/>
                <w:color w:val="000000" w:themeColor="text1"/>
                <w:sz w:val="20"/>
                <w:vertAlign w:val="subscript"/>
              </w:rPr>
              <w:t>RMS</w:t>
            </w:r>
            <w:r w:rsidRPr="000A5982">
              <w:rPr>
                <w:rFonts w:ascii="Cambria" w:hAnsi="Cambria"/>
                <w:color w:val="000000" w:themeColor="text1"/>
                <w:sz w:val="20"/>
              </w:rPr>
              <w:t>. Variación máxima del TAC del 10 % entre periodos de ordenación consecutivos. El TAC no puede superar 50.000 t.</w:t>
            </w:r>
          </w:p>
        </w:tc>
      </w:tr>
      <w:tr w:rsidR="00D55CA0" w:rsidRPr="0099704B" w14:paraId="59D4EF70" w14:textId="77777777" w:rsidTr="00A45A18">
        <w:tc>
          <w:tcPr>
            <w:tcW w:w="1420" w:type="dxa"/>
            <w:vAlign w:val="center"/>
          </w:tcPr>
          <w:p w14:paraId="6B9C3B52" w14:textId="77777777" w:rsidR="00D55CA0" w:rsidRPr="000A5982" w:rsidRDefault="00D55CA0" w:rsidP="00A45A18">
            <w:pPr>
              <w:pStyle w:val="Compact"/>
              <w:jc w:val="center"/>
              <w:rPr>
                <w:rFonts w:ascii="Cambria" w:hAnsi="Cambria"/>
                <w:color w:val="000000" w:themeColor="text1"/>
                <w:sz w:val="20"/>
                <w:szCs w:val="20"/>
              </w:rPr>
            </w:pPr>
            <w:r w:rsidRPr="000A5982">
              <w:rPr>
                <w:rFonts w:ascii="Cambria" w:hAnsi="Cambria"/>
                <w:color w:val="000000" w:themeColor="text1"/>
                <w:sz w:val="20"/>
              </w:rPr>
              <w:t xml:space="preserve">15%_PCCatch </w:t>
            </w:r>
          </w:p>
        </w:tc>
        <w:tc>
          <w:tcPr>
            <w:tcW w:w="1140" w:type="dxa"/>
            <w:vAlign w:val="center"/>
          </w:tcPr>
          <w:p w14:paraId="639CABE1" w14:textId="77777777" w:rsidR="00D55CA0" w:rsidRPr="000A5982" w:rsidRDefault="00D55CA0" w:rsidP="00A45A18">
            <w:pPr>
              <w:pStyle w:val="Compact"/>
              <w:jc w:val="center"/>
              <w:rPr>
                <w:rFonts w:ascii="Cambria" w:hAnsi="Cambria"/>
                <w:color w:val="000000" w:themeColor="text1"/>
                <w:sz w:val="20"/>
                <w:szCs w:val="20"/>
              </w:rPr>
            </w:pPr>
            <w:r w:rsidRPr="000A5982">
              <w:rPr>
                <w:rFonts w:ascii="Cambria" w:hAnsi="Cambria"/>
                <w:color w:val="000000" w:themeColor="text1"/>
                <w:sz w:val="20"/>
              </w:rPr>
              <w:t>Empírico</w:t>
            </w:r>
          </w:p>
        </w:tc>
        <w:tc>
          <w:tcPr>
            <w:tcW w:w="7074" w:type="dxa"/>
            <w:vAlign w:val="center"/>
          </w:tcPr>
          <w:p w14:paraId="0C7AB095" w14:textId="77777777" w:rsidR="00D55CA0" w:rsidRPr="000A5982" w:rsidRDefault="00D55CA0" w:rsidP="00A45A18">
            <w:pPr>
              <w:pStyle w:val="Compact"/>
              <w:jc w:val="both"/>
              <w:rPr>
                <w:rFonts w:ascii="Cambria" w:hAnsi="Cambria"/>
                <w:color w:val="000000" w:themeColor="text1"/>
                <w:sz w:val="20"/>
                <w:szCs w:val="20"/>
              </w:rPr>
            </w:pPr>
            <w:r w:rsidRPr="000A5982">
              <w:rPr>
                <w:rFonts w:ascii="Cambria" w:hAnsi="Cambria"/>
                <w:color w:val="000000" w:themeColor="text1"/>
                <w:sz w:val="20"/>
              </w:rPr>
              <w:t>El TAC es constante (42.000 t) si el índice combinado supera el valor de referencia. Variación máxima del TAC del 15% entre periodos de ordenación consecutivos. El TAC no puede superar las 42.000 t.</w:t>
            </w:r>
          </w:p>
        </w:tc>
      </w:tr>
      <w:tr w:rsidR="00D55CA0" w:rsidRPr="0099704B" w14:paraId="1D361E06" w14:textId="77777777" w:rsidTr="00A45A18">
        <w:tc>
          <w:tcPr>
            <w:tcW w:w="1420" w:type="dxa"/>
            <w:vAlign w:val="center"/>
          </w:tcPr>
          <w:p w14:paraId="58F27513" w14:textId="77777777" w:rsidR="00D55CA0" w:rsidRPr="000A5982" w:rsidRDefault="00D55CA0" w:rsidP="00A45A18">
            <w:pPr>
              <w:pStyle w:val="Compact"/>
              <w:jc w:val="center"/>
              <w:rPr>
                <w:rFonts w:ascii="Cambria" w:hAnsi="Cambria"/>
                <w:color w:val="000000" w:themeColor="text1"/>
                <w:sz w:val="20"/>
                <w:szCs w:val="20"/>
              </w:rPr>
            </w:pPr>
            <w:r w:rsidRPr="000A5982">
              <w:rPr>
                <w:rFonts w:ascii="Cambria" w:hAnsi="Cambria"/>
                <w:color w:val="000000" w:themeColor="text1"/>
                <w:sz w:val="20"/>
              </w:rPr>
              <w:t>10%_Emp_W</w:t>
            </w:r>
          </w:p>
        </w:tc>
        <w:tc>
          <w:tcPr>
            <w:tcW w:w="1140" w:type="dxa"/>
            <w:vAlign w:val="center"/>
          </w:tcPr>
          <w:p w14:paraId="68824E7D" w14:textId="77777777" w:rsidR="00D55CA0" w:rsidRPr="000A5982" w:rsidRDefault="00D55CA0" w:rsidP="00A45A18">
            <w:pPr>
              <w:pStyle w:val="Compact"/>
              <w:jc w:val="center"/>
              <w:rPr>
                <w:rFonts w:ascii="Cambria" w:hAnsi="Cambria"/>
                <w:color w:val="000000" w:themeColor="text1"/>
                <w:sz w:val="20"/>
                <w:szCs w:val="20"/>
              </w:rPr>
            </w:pPr>
            <w:r w:rsidRPr="000A5982">
              <w:rPr>
                <w:rFonts w:ascii="Cambria" w:hAnsi="Cambria"/>
                <w:color w:val="000000" w:themeColor="text1"/>
                <w:sz w:val="20"/>
              </w:rPr>
              <w:t>Empírico</w:t>
            </w:r>
          </w:p>
        </w:tc>
        <w:tc>
          <w:tcPr>
            <w:tcW w:w="7074" w:type="dxa"/>
            <w:vAlign w:val="center"/>
          </w:tcPr>
          <w:p w14:paraId="6A0A0386" w14:textId="77777777" w:rsidR="00D55CA0" w:rsidRPr="000A5982" w:rsidRDefault="00D55CA0" w:rsidP="00A45A18">
            <w:pPr>
              <w:pStyle w:val="Compact"/>
              <w:jc w:val="both"/>
              <w:rPr>
                <w:rFonts w:ascii="Cambria" w:hAnsi="Cambria"/>
                <w:color w:val="000000" w:themeColor="text1"/>
                <w:sz w:val="20"/>
                <w:szCs w:val="20"/>
              </w:rPr>
            </w:pPr>
            <w:r w:rsidRPr="000A5982">
              <w:rPr>
                <w:rFonts w:ascii="Cambria" w:hAnsi="Cambria"/>
                <w:sz w:val="20"/>
              </w:rPr>
              <w:t>TAC derivado de una HCR empírica (ratio índice combinado). Variación máxima del TAC del 10 % entre periodos de ordenación consecutivos. El TAC no puede superar 50.000 t.</w:t>
            </w:r>
          </w:p>
        </w:tc>
      </w:tr>
      <w:tr w:rsidR="00D55CA0" w:rsidRPr="0099704B" w14:paraId="183A6CF2" w14:textId="77777777" w:rsidTr="00A45A18">
        <w:tc>
          <w:tcPr>
            <w:tcW w:w="1420" w:type="dxa"/>
            <w:vAlign w:val="center"/>
          </w:tcPr>
          <w:p w14:paraId="402A86B3" w14:textId="77777777" w:rsidR="00D55CA0" w:rsidRPr="000A5982" w:rsidRDefault="00D55CA0" w:rsidP="00A45A18">
            <w:pPr>
              <w:pStyle w:val="Compact"/>
              <w:jc w:val="center"/>
              <w:rPr>
                <w:rFonts w:ascii="Cambria" w:hAnsi="Cambria"/>
                <w:color w:val="000000" w:themeColor="text1"/>
                <w:sz w:val="20"/>
                <w:szCs w:val="20"/>
              </w:rPr>
            </w:pPr>
            <w:r w:rsidRPr="000A5982">
              <w:rPr>
                <w:rFonts w:ascii="Cambria" w:hAnsi="Cambria"/>
                <w:color w:val="000000" w:themeColor="text1"/>
                <w:sz w:val="20"/>
              </w:rPr>
              <w:t>25%_Emp_W</w:t>
            </w:r>
          </w:p>
        </w:tc>
        <w:tc>
          <w:tcPr>
            <w:tcW w:w="1140" w:type="dxa"/>
            <w:vAlign w:val="center"/>
          </w:tcPr>
          <w:p w14:paraId="3A7E558C" w14:textId="77777777" w:rsidR="00D55CA0" w:rsidRPr="000A5982" w:rsidRDefault="00D55CA0" w:rsidP="00A45A18">
            <w:pPr>
              <w:pStyle w:val="Compact"/>
              <w:jc w:val="center"/>
              <w:rPr>
                <w:rFonts w:ascii="Cambria" w:hAnsi="Cambria"/>
                <w:color w:val="000000" w:themeColor="text1"/>
                <w:sz w:val="20"/>
                <w:szCs w:val="20"/>
              </w:rPr>
            </w:pPr>
            <w:r w:rsidRPr="000A5982">
              <w:rPr>
                <w:rFonts w:ascii="Cambria" w:hAnsi="Cambria"/>
                <w:color w:val="000000" w:themeColor="text1"/>
                <w:sz w:val="20"/>
              </w:rPr>
              <w:t>Empírico</w:t>
            </w:r>
          </w:p>
        </w:tc>
        <w:tc>
          <w:tcPr>
            <w:tcW w:w="7074" w:type="dxa"/>
            <w:vAlign w:val="center"/>
          </w:tcPr>
          <w:p w14:paraId="1BA4B181" w14:textId="77777777" w:rsidR="00D55CA0" w:rsidRPr="000A5982" w:rsidRDefault="00D55CA0" w:rsidP="00A45A18">
            <w:pPr>
              <w:pStyle w:val="Compact"/>
              <w:keepNext/>
              <w:jc w:val="both"/>
              <w:rPr>
                <w:rFonts w:ascii="Cambria" w:hAnsi="Cambria"/>
                <w:color w:val="000000" w:themeColor="text1"/>
                <w:sz w:val="20"/>
                <w:szCs w:val="20"/>
              </w:rPr>
            </w:pPr>
            <w:r w:rsidRPr="000A5982">
              <w:rPr>
                <w:rFonts w:ascii="Cambria" w:hAnsi="Cambria"/>
                <w:sz w:val="20"/>
              </w:rPr>
              <w:t>TAC derivado de la HCR empírica (ratio índice combinado). Aumento máximo del TAC del 25 % y disminución máxima del 20 % entre periodos de ordenación consecutivos. El TAC no puede superar 50.000 t.</w:t>
            </w:r>
          </w:p>
        </w:tc>
      </w:tr>
    </w:tbl>
    <w:p w14:paraId="1472338B" w14:textId="77777777" w:rsidR="00D55CA0" w:rsidRPr="000A5982" w:rsidRDefault="00D55CA0" w:rsidP="00D55CA0">
      <w:pPr>
        <w:jc w:val="both"/>
        <w:rPr>
          <w:rFonts w:ascii="Cambria" w:hAnsi="Cambria"/>
          <w:color w:val="000000" w:themeColor="text1"/>
          <w:sz w:val="20"/>
        </w:rPr>
      </w:pPr>
    </w:p>
    <w:p w14:paraId="7C3014BD" w14:textId="77777777" w:rsidR="00D55CA0" w:rsidRPr="000A5982" w:rsidRDefault="00D55CA0" w:rsidP="00D55CA0">
      <w:pPr>
        <w:jc w:val="both"/>
        <w:rPr>
          <w:rFonts w:ascii="Cambria" w:hAnsi="Cambria"/>
          <w:color w:val="000000" w:themeColor="text1"/>
          <w:sz w:val="20"/>
          <w:szCs w:val="20"/>
        </w:rPr>
      </w:pPr>
      <w:r w:rsidRPr="000A5982">
        <w:rPr>
          <w:rFonts w:ascii="Cambria" w:hAnsi="Cambria"/>
          <w:color w:val="000000" w:themeColor="text1"/>
          <w:sz w:val="20"/>
        </w:rPr>
        <w:lastRenderedPageBreak/>
        <w:t>Se prevé que los siete CMP permitan cumplir los objetivos de ordenación actuales (</w:t>
      </w:r>
      <w:r w:rsidRPr="000A5982">
        <w:rPr>
          <w:rFonts w:ascii="Cambria" w:hAnsi="Cambria"/>
          <w:b/>
          <w:bCs/>
          <w:color w:val="000000" w:themeColor="text1"/>
          <w:sz w:val="20"/>
        </w:rPr>
        <w:t>Figura 19.9.1</w:t>
      </w:r>
      <w:r w:rsidRPr="000A5982">
        <w:rPr>
          <w:rFonts w:ascii="Cambria" w:hAnsi="Cambria"/>
          <w:color w:val="000000" w:themeColor="text1"/>
          <w:sz w:val="20"/>
        </w:rPr>
        <w:t xml:space="preserve">), lo que indica que hay margen para seleccionar un CMP alternativo en función de los indicadores de desempeño relativos al estado del stock, la seguridad, el rendimiento y la estabilidad. En la </w:t>
      </w:r>
      <w:r w:rsidRPr="000A5982">
        <w:rPr>
          <w:rFonts w:ascii="Cambria" w:hAnsi="Cambria"/>
          <w:b/>
          <w:bCs/>
          <w:color w:val="000000" w:themeColor="text1"/>
          <w:sz w:val="20"/>
        </w:rPr>
        <w:t>Tabla 19.9.2</w:t>
      </w:r>
      <w:r w:rsidRPr="000A5982">
        <w:rPr>
          <w:rFonts w:ascii="Cambria" w:hAnsi="Cambria"/>
          <w:color w:val="000000" w:themeColor="text1"/>
          <w:sz w:val="20"/>
        </w:rPr>
        <w:t xml:space="preserve"> se resumen estos factores de compensación; se pueden consultar resultados más detallados en la aplicación Shiny (</w:t>
      </w:r>
      <w:hyperlink r:id="rId18" w:history="1">
        <w:r w:rsidRPr="000A5982">
          <w:rPr>
            <w:rStyle w:val="Hyperlink"/>
            <w:rFonts w:ascii="Cambria" w:hAnsi="Cambria"/>
            <w:color w:val="000000" w:themeColor="text1"/>
            <w:sz w:val="20"/>
            <w:u w:val="none"/>
          </w:rPr>
          <w:t>aplicación Shiny de FLBEIA</w:t>
        </w:r>
      </w:hyperlink>
      <w:r w:rsidRPr="000A5982">
        <w:rPr>
          <w:rFonts w:ascii="Cambria" w:hAnsi="Cambria"/>
          <w:color w:val="000000" w:themeColor="text1"/>
          <w:sz w:val="20"/>
        </w:rPr>
        <w:t xml:space="preserve">). En la </w:t>
      </w:r>
      <w:r w:rsidRPr="000A5982">
        <w:rPr>
          <w:rFonts w:ascii="Cambria" w:hAnsi="Cambria"/>
          <w:b/>
          <w:bCs/>
          <w:color w:val="000000" w:themeColor="text1"/>
          <w:sz w:val="20"/>
        </w:rPr>
        <w:t>Figura 19.9.2</w:t>
      </w:r>
      <w:r w:rsidRPr="000A5982">
        <w:rPr>
          <w:rFonts w:ascii="Cambria" w:hAnsi="Cambria"/>
          <w:color w:val="000000" w:themeColor="text1"/>
          <w:sz w:val="20"/>
        </w:rPr>
        <w:t xml:space="preserve"> se muestran las tendencias previstas del estado del stock en un escenario de reducción del reclutamiento del 20 % (escenario de robustez).</w:t>
      </w:r>
    </w:p>
    <w:p w14:paraId="5B988E2B" w14:textId="77777777" w:rsidR="00D55CA0" w:rsidRPr="000A5982" w:rsidRDefault="00D55CA0" w:rsidP="00D55CA0">
      <w:pPr>
        <w:jc w:val="both"/>
        <w:rPr>
          <w:rFonts w:ascii="Cambria" w:hAnsi="Cambria"/>
          <w:color w:val="000000" w:themeColor="text1"/>
          <w:sz w:val="20"/>
          <w:szCs w:val="20"/>
        </w:rPr>
      </w:pPr>
    </w:p>
    <w:p w14:paraId="0692FD0A" w14:textId="77777777" w:rsidR="00D55CA0" w:rsidRPr="0099704B" w:rsidRDefault="00D55CA0" w:rsidP="00D55CA0">
      <w:pPr>
        <w:pStyle w:val="Caption"/>
        <w:jc w:val="both"/>
        <w:rPr>
          <w:rFonts w:ascii="Cambria" w:hAnsi="Cambria"/>
          <w:iCs/>
          <w:color w:val="000000" w:themeColor="text1"/>
          <w:sz w:val="20"/>
        </w:rPr>
      </w:pPr>
      <w:r w:rsidRPr="000A5982">
        <w:rPr>
          <w:rFonts w:ascii="Cambria" w:hAnsi="Cambria"/>
          <w:b/>
          <w:i w:val="0"/>
          <w:color w:val="000000" w:themeColor="text1"/>
          <w:sz w:val="20"/>
        </w:rPr>
        <w:t>Tabla 19.9.</w:t>
      </w:r>
      <w:r w:rsidRPr="000A5982">
        <w:rPr>
          <w:rFonts w:ascii="Cambria" w:hAnsi="Cambria"/>
          <w:b/>
          <w:i w:val="0"/>
          <w:color w:val="000000" w:themeColor="text1"/>
          <w:sz w:val="20"/>
        </w:rPr>
        <w:fldChar w:fldCharType="begin"/>
      </w:r>
      <w:r w:rsidRPr="000A5982">
        <w:rPr>
          <w:rFonts w:ascii="Cambria" w:hAnsi="Cambria"/>
          <w:b/>
          <w:i w:val="0"/>
          <w:color w:val="000000" w:themeColor="text1"/>
          <w:sz w:val="20"/>
        </w:rPr>
        <w:instrText xml:space="preserve"> SEQ Table \* ARABIC </w:instrText>
      </w:r>
      <w:r w:rsidRPr="000A5982">
        <w:rPr>
          <w:rFonts w:ascii="Cambria" w:hAnsi="Cambria"/>
          <w:b/>
          <w:i w:val="0"/>
          <w:color w:val="000000" w:themeColor="text1"/>
          <w:sz w:val="20"/>
        </w:rPr>
        <w:fldChar w:fldCharType="separate"/>
      </w:r>
      <w:r w:rsidRPr="000A5982">
        <w:rPr>
          <w:rFonts w:ascii="Cambria" w:hAnsi="Cambria"/>
          <w:b/>
          <w:i w:val="0"/>
          <w:noProof/>
          <w:color w:val="000000" w:themeColor="text1"/>
          <w:sz w:val="20"/>
        </w:rPr>
        <w:t>2</w:t>
      </w:r>
      <w:r w:rsidRPr="000A5982">
        <w:rPr>
          <w:rFonts w:ascii="Cambria" w:hAnsi="Cambria"/>
          <w:b/>
          <w:i w:val="0"/>
          <w:color w:val="000000" w:themeColor="text1"/>
          <w:sz w:val="20"/>
        </w:rPr>
        <w:fldChar w:fldCharType="end"/>
      </w:r>
      <w:r w:rsidRPr="000A5982">
        <w:rPr>
          <w:rFonts w:ascii="Cambria" w:hAnsi="Cambria"/>
          <w:b/>
          <w:i w:val="0"/>
          <w:color w:val="000000" w:themeColor="text1"/>
          <w:sz w:val="20"/>
        </w:rPr>
        <w:t>.</w:t>
      </w:r>
      <w:r w:rsidRPr="000A5982">
        <w:rPr>
          <w:rFonts w:ascii="Cambria" w:hAnsi="Cambria"/>
          <w:i w:val="0"/>
          <w:color w:val="000000" w:themeColor="text1"/>
          <w:sz w:val="20"/>
        </w:rPr>
        <w:t xml:space="preserve"> Desempeño de los siete CMP evaluados en 2026 con el conjunto de referencia de modelos operativos. Entre los indicadores se incluyen PGK (probabilidad de situarse en el cuadrante verde de Kobe en los próximos 30 años), </w:t>
      </w:r>
      <w:proofErr w:type="spellStart"/>
      <w:r w:rsidRPr="000A5982">
        <w:rPr>
          <w:rFonts w:ascii="Cambria" w:hAnsi="Cambria"/>
          <w:i w:val="0"/>
          <w:color w:val="000000" w:themeColor="text1"/>
          <w:sz w:val="20"/>
        </w:rPr>
        <w:t>PBlim</w:t>
      </w:r>
      <w:proofErr w:type="spellEnd"/>
      <w:r w:rsidRPr="000A5982">
        <w:rPr>
          <w:rFonts w:ascii="Cambria" w:hAnsi="Cambria"/>
          <w:i w:val="0"/>
          <w:color w:val="000000" w:themeColor="text1"/>
          <w:sz w:val="20"/>
        </w:rPr>
        <w:t xml:space="preserve"> (probabilidad de que el stock se sitúe por encima del punto de referencia límite adoptado (40% B</w:t>
      </w:r>
      <w:r w:rsidRPr="000A5982">
        <w:rPr>
          <w:rFonts w:ascii="Cambria" w:hAnsi="Cambria"/>
          <w:i w:val="0"/>
          <w:color w:val="000000" w:themeColor="text1"/>
          <w:sz w:val="20"/>
          <w:vertAlign w:val="subscript"/>
        </w:rPr>
        <w:t>RMS</w:t>
      </w:r>
      <w:r w:rsidRPr="000A5982">
        <w:rPr>
          <w:rFonts w:ascii="Cambria" w:hAnsi="Cambria"/>
          <w:i w:val="0"/>
          <w:color w:val="000000" w:themeColor="text1"/>
          <w:sz w:val="20"/>
        </w:rPr>
        <w:t xml:space="preserve">), </w:t>
      </w:r>
      <w:proofErr w:type="spellStart"/>
      <w:r w:rsidRPr="000A5982">
        <w:rPr>
          <w:rFonts w:ascii="Cambria" w:hAnsi="Cambria"/>
          <w:i w:val="0"/>
          <w:color w:val="000000" w:themeColor="text1"/>
          <w:sz w:val="20"/>
        </w:rPr>
        <w:t>Tsrt</w:t>
      </w:r>
      <w:proofErr w:type="spellEnd"/>
      <w:r w:rsidRPr="000A5982">
        <w:rPr>
          <w:rFonts w:ascii="Cambria" w:hAnsi="Cambria"/>
          <w:i w:val="0"/>
          <w:color w:val="000000" w:themeColor="text1"/>
          <w:sz w:val="20"/>
        </w:rPr>
        <w:t xml:space="preserve"> (media del</w:t>
      </w:r>
      <w:r w:rsidRPr="0099704B">
        <w:rPr>
          <w:rFonts w:ascii="Cambria" w:hAnsi="Cambria"/>
          <w:i w:val="0"/>
          <w:color w:val="000000" w:themeColor="text1"/>
          <w:sz w:val="20"/>
        </w:rPr>
        <w:t xml:space="preserve"> </w:t>
      </w:r>
      <w:r w:rsidRPr="000A5982">
        <w:rPr>
          <w:rFonts w:ascii="Cambria" w:hAnsi="Cambria"/>
          <w:i w:val="0"/>
          <w:color w:val="000000" w:themeColor="text1"/>
          <w:sz w:val="20"/>
        </w:rPr>
        <w:t xml:space="preserve">TAC en los años 1-3), </w:t>
      </w:r>
      <w:proofErr w:type="spellStart"/>
      <w:r w:rsidRPr="000A5982">
        <w:rPr>
          <w:rFonts w:ascii="Cambria" w:hAnsi="Cambria"/>
          <w:i w:val="0"/>
          <w:color w:val="000000" w:themeColor="text1"/>
          <w:sz w:val="20"/>
        </w:rPr>
        <w:t>Tmed</w:t>
      </w:r>
      <w:proofErr w:type="spellEnd"/>
      <w:r w:rsidRPr="000A5982">
        <w:rPr>
          <w:rFonts w:ascii="Cambria" w:hAnsi="Cambria"/>
          <w:i w:val="0"/>
          <w:color w:val="000000" w:themeColor="text1"/>
          <w:sz w:val="20"/>
        </w:rPr>
        <w:t xml:space="preserve"> (media del</w:t>
      </w:r>
      <w:r w:rsidRPr="0099704B">
        <w:rPr>
          <w:rFonts w:ascii="Cambria" w:hAnsi="Cambria"/>
          <w:i w:val="0"/>
          <w:color w:val="000000" w:themeColor="text1"/>
          <w:sz w:val="20"/>
        </w:rPr>
        <w:t xml:space="preserve"> </w:t>
      </w:r>
      <w:r w:rsidRPr="000A5982">
        <w:rPr>
          <w:rFonts w:ascii="Cambria" w:hAnsi="Cambria"/>
          <w:i w:val="0"/>
          <w:color w:val="000000" w:themeColor="text1"/>
          <w:sz w:val="20"/>
        </w:rPr>
        <w:t xml:space="preserve">TAC en los años 5-10), </w:t>
      </w:r>
      <w:proofErr w:type="spellStart"/>
      <w:r w:rsidRPr="000A5982">
        <w:rPr>
          <w:rFonts w:ascii="Cambria" w:hAnsi="Cambria"/>
          <w:i w:val="0"/>
          <w:color w:val="000000" w:themeColor="text1"/>
          <w:sz w:val="20"/>
        </w:rPr>
        <w:t>Tlon</w:t>
      </w:r>
      <w:proofErr w:type="spellEnd"/>
      <w:r w:rsidRPr="000A5982">
        <w:rPr>
          <w:rFonts w:ascii="Cambria" w:hAnsi="Cambria"/>
          <w:i w:val="0"/>
          <w:color w:val="000000" w:themeColor="text1"/>
          <w:sz w:val="20"/>
        </w:rPr>
        <w:t xml:space="preserve"> (media del</w:t>
      </w:r>
      <w:r w:rsidRPr="0099704B">
        <w:rPr>
          <w:rFonts w:ascii="Cambria" w:hAnsi="Cambria"/>
          <w:i w:val="0"/>
          <w:color w:val="000000" w:themeColor="text1"/>
          <w:sz w:val="20"/>
        </w:rPr>
        <w:t xml:space="preserve"> </w:t>
      </w:r>
      <w:r w:rsidRPr="000A5982">
        <w:rPr>
          <w:rFonts w:ascii="Cambria" w:hAnsi="Cambria"/>
          <w:i w:val="0"/>
          <w:color w:val="000000" w:themeColor="text1"/>
          <w:sz w:val="20"/>
        </w:rPr>
        <w:t>TAC en los años 1</w:t>
      </w:r>
      <w:r>
        <w:rPr>
          <w:rFonts w:ascii="Cambria" w:hAnsi="Cambria"/>
          <w:i w:val="0"/>
          <w:color w:val="000000" w:themeColor="text1"/>
          <w:sz w:val="20"/>
        </w:rPr>
        <w:t>5</w:t>
      </w:r>
      <w:r w:rsidRPr="000A5982">
        <w:rPr>
          <w:rFonts w:ascii="Cambria" w:hAnsi="Cambria"/>
          <w:i w:val="0"/>
          <w:color w:val="000000" w:themeColor="text1"/>
          <w:sz w:val="20"/>
        </w:rPr>
        <w:t>-</w:t>
      </w:r>
      <w:r>
        <w:rPr>
          <w:rFonts w:ascii="Cambria" w:hAnsi="Cambria"/>
          <w:i w:val="0"/>
          <w:color w:val="000000" w:themeColor="text1"/>
          <w:sz w:val="20"/>
        </w:rPr>
        <w:t>30</w:t>
      </w:r>
      <w:r w:rsidRPr="000A5982">
        <w:rPr>
          <w:rFonts w:ascii="Cambria" w:hAnsi="Cambria"/>
          <w:i w:val="0"/>
          <w:color w:val="000000" w:themeColor="text1"/>
          <w:sz w:val="20"/>
        </w:rPr>
        <w:t>) y Tc (media del</w:t>
      </w:r>
      <w:r w:rsidRPr="0099704B">
        <w:rPr>
          <w:rFonts w:ascii="Cambria" w:hAnsi="Cambria"/>
          <w:i w:val="0"/>
          <w:color w:val="000000" w:themeColor="text1"/>
          <w:sz w:val="20"/>
        </w:rPr>
        <w:t xml:space="preserve"> </w:t>
      </w:r>
      <w:r w:rsidRPr="000A5982">
        <w:rPr>
          <w:rFonts w:ascii="Cambria" w:hAnsi="Cambria"/>
          <w:i w:val="0"/>
          <w:color w:val="000000" w:themeColor="text1"/>
          <w:sz w:val="20"/>
        </w:rPr>
        <w:t>cambio proporcional absoluto medio (%) en el TAC). El TAC1 es el TAC derivado de la aplicación de cada CMP para el periodo 2027-2029.</w:t>
      </w:r>
      <w:r w:rsidRPr="000A5982">
        <w:rPr>
          <w:rFonts w:ascii="Cambria" w:hAnsi="Cambria"/>
          <w:iCs/>
          <w:color w:val="000000" w:themeColor="text1"/>
          <w:sz w:val="20"/>
        </w:rPr>
        <w:t xml:space="preserve"> </w:t>
      </w:r>
      <w:r w:rsidRPr="000A5982">
        <w:rPr>
          <w:rFonts w:ascii="Cambria" w:hAnsi="Cambria"/>
          <w:i w:val="0"/>
          <w:color w:val="000000" w:themeColor="text1"/>
          <w:sz w:val="20"/>
        </w:rPr>
        <w:t>L</w:t>
      </w:r>
      <w:r w:rsidRPr="0099704B">
        <w:rPr>
          <w:rFonts w:ascii="Cambria" w:hAnsi="Cambria"/>
          <w:i w:val="0"/>
          <w:color w:val="000000" w:themeColor="text1"/>
          <w:sz w:val="20"/>
        </w:rPr>
        <w:t>os valores corresponden a la media de las iteraciones de los OM a lo largo de los años de proyección (2027-2057).</w:t>
      </w:r>
    </w:p>
    <w:p w14:paraId="50020DF2" w14:textId="77777777" w:rsidR="00D55CA0" w:rsidRPr="000A5982" w:rsidRDefault="00D55CA0" w:rsidP="00D55CA0">
      <w:pPr>
        <w:pStyle w:val="Caption"/>
        <w:jc w:val="both"/>
        <w:rPr>
          <w:rFonts w:ascii="Cambria" w:hAnsi="Cambria"/>
          <w:i w:val="0"/>
          <w:color w:val="000000" w:themeColor="text1"/>
          <w:sz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6"/>
        <w:gridCol w:w="1134"/>
        <w:gridCol w:w="851"/>
        <w:gridCol w:w="992"/>
        <w:gridCol w:w="1134"/>
        <w:gridCol w:w="992"/>
        <w:gridCol w:w="851"/>
        <w:gridCol w:w="1417"/>
      </w:tblGrid>
      <w:tr w:rsidR="00D55CA0" w:rsidRPr="0099704B" w14:paraId="0CC4B880" w14:textId="77777777" w:rsidTr="00A45A18">
        <w:trPr>
          <w:trHeight w:val="300"/>
        </w:trPr>
        <w:tc>
          <w:tcPr>
            <w:tcW w:w="1696" w:type="dxa"/>
            <w:vAlign w:val="center"/>
            <w:hideMark/>
          </w:tcPr>
          <w:p w14:paraId="79DDE848" w14:textId="77777777" w:rsidR="00D55CA0" w:rsidRPr="000A5982" w:rsidRDefault="00D55CA0" w:rsidP="00A45A18">
            <w:pPr>
              <w:jc w:val="center"/>
              <w:rPr>
                <w:rFonts w:ascii="Cambria" w:hAnsi="Cambria"/>
                <w:b/>
                <w:bCs/>
                <w:i/>
                <w:iCs/>
                <w:color w:val="000000"/>
                <w:sz w:val="20"/>
                <w:szCs w:val="20"/>
              </w:rPr>
            </w:pPr>
            <w:r w:rsidRPr="000A5982">
              <w:rPr>
                <w:rFonts w:ascii="Cambria" w:hAnsi="Cambria"/>
                <w:b/>
                <w:i/>
                <w:color w:val="000000"/>
                <w:sz w:val="20"/>
              </w:rPr>
              <w:t>CMP</w:t>
            </w:r>
          </w:p>
        </w:tc>
        <w:tc>
          <w:tcPr>
            <w:tcW w:w="1134" w:type="dxa"/>
            <w:vAlign w:val="center"/>
            <w:hideMark/>
          </w:tcPr>
          <w:p w14:paraId="51251D86" w14:textId="77777777" w:rsidR="00D55CA0" w:rsidRPr="000A5982" w:rsidRDefault="00D55CA0" w:rsidP="00A45A18">
            <w:pPr>
              <w:jc w:val="center"/>
              <w:rPr>
                <w:rFonts w:ascii="Cambria" w:hAnsi="Cambria"/>
                <w:b/>
                <w:bCs/>
                <w:i/>
                <w:iCs/>
                <w:color w:val="000000"/>
                <w:sz w:val="20"/>
                <w:szCs w:val="20"/>
              </w:rPr>
            </w:pPr>
            <w:r w:rsidRPr="000A5982">
              <w:rPr>
                <w:rFonts w:ascii="Cambria" w:hAnsi="Cambria"/>
                <w:b/>
                <w:i/>
                <w:color w:val="000000"/>
                <w:sz w:val="20"/>
              </w:rPr>
              <w:t>PGK</w:t>
            </w:r>
          </w:p>
        </w:tc>
        <w:tc>
          <w:tcPr>
            <w:tcW w:w="851" w:type="dxa"/>
            <w:vAlign w:val="center"/>
            <w:hideMark/>
          </w:tcPr>
          <w:p w14:paraId="17EA71D4" w14:textId="77777777" w:rsidR="00D55CA0" w:rsidRPr="000A5982" w:rsidRDefault="00D55CA0" w:rsidP="00A45A18">
            <w:pPr>
              <w:jc w:val="center"/>
              <w:rPr>
                <w:rFonts w:ascii="Cambria" w:hAnsi="Cambria"/>
                <w:b/>
                <w:bCs/>
                <w:i/>
                <w:iCs/>
                <w:color w:val="000000"/>
                <w:sz w:val="20"/>
                <w:szCs w:val="20"/>
              </w:rPr>
            </w:pPr>
            <w:proofErr w:type="spellStart"/>
            <w:r w:rsidRPr="000A5982">
              <w:rPr>
                <w:rFonts w:ascii="Cambria" w:hAnsi="Cambria"/>
                <w:b/>
                <w:i/>
                <w:color w:val="000000"/>
                <w:sz w:val="20"/>
              </w:rPr>
              <w:t>PBlim</w:t>
            </w:r>
            <w:proofErr w:type="spellEnd"/>
          </w:p>
        </w:tc>
        <w:tc>
          <w:tcPr>
            <w:tcW w:w="992" w:type="dxa"/>
            <w:vAlign w:val="center"/>
            <w:hideMark/>
          </w:tcPr>
          <w:p w14:paraId="181D84D2" w14:textId="77777777" w:rsidR="00D55CA0" w:rsidRPr="000A5982" w:rsidRDefault="00D55CA0" w:rsidP="00A45A18">
            <w:pPr>
              <w:jc w:val="center"/>
              <w:rPr>
                <w:rFonts w:ascii="Cambria" w:hAnsi="Cambria"/>
                <w:b/>
                <w:bCs/>
                <w:i/>
                <w:iCs/>
                <w:color w:val="000000"/>
                <w:sz w:val="20"/>
                <w:szCs w:val="20"/>
              </w:rPr>
            </w:pPr>
            <w:proofErr w:type="spellStart"/>
            <w:r w:rsidRPr="000A5982">
              <w:rPr>
                <w:rFonts w:ascii="Cambria" w:hAnsi="Cambria"/>
                <w:b/>
                <w:i/>
                <w:color w:val="000000"/>
                <w:sz w:val="20"/>
              </w:rPr>
              <w:t>Tstr</w:t>
            </w:r>
            <w:proofErr w:type="spellEnd"/>
          </w:p>
        </w:tc>
        <w:tc>
          <w:tcPr>
            <w:tcW w:w="1134" w:type="dxa"/>
            <w:vAlign w:val="center"/>
            <w:hideMark/>
          </w:tcPr>
          <w:p w14:paraId="3F7D259C" w14:textId="77777777" w:rsidR="00D55CA0" w:rsidRPr="000A5982" w:rsidRDefault="00D55CA0" w:rsidP="00A45A18">
            <w:pPr>
              <w:jc w:val="center"/>
              <w:rPr>
                <w:rFonts w:ascii="Cambria" w:hAnsi="Cambria"/>
                <w:b/>
                <w:bCs/>
                <w:i/>
                <w:iCs/>
                <w:color w:val="000000"/>
                <w:sz w:val="20"/>
                <w:szCs w:val="20"/>
              </w:rPr>
            </w:pPr>
            <w:proofErr w:type="spellStart"/>
            <w:r w:rsidRPr="000A5982">
              <w:rPr>
                <w:rFonts w:ascii="Cambria" w:hAnsi="Cambria"/>
                <w:b/>
                <w:i/>
                <w:color w:val="000000"/>
                <w:sz w:val="20"/>
              </w:rPr>
              <w:t>Tmed</w:t>
            </w:r>
            <w:proofErr w:type="spellEnd"/>
          </w:p>
        </w:tc>
        <w:tc>
          <w:tcPr>
            <w:tcW w:w="992" w:type="dxa"/>
            <w:vAlign w:val="center"/>
            <w:hideMark/>
          </w:tcPr>
          <w:p w14:paraId="3F18A9CA" w14:textId="77777777" w:rsidR="00D55CA0" w:rsidRPr="000A5982" w:rsidRDefault="00D55CA0" w:rsidP="00A45A18">
            <w:pPr>
              <w:jc w:val="center"/>
              <w:rPr>
                <w:rFonts w:ascii="Cambria" w:hAnsi="Cambria"/>
                <w:b/>
                <w:bCs/>
                <w:i/>
                <w:iCs/>
                <w:color w:val="000000"/>
                <w:sz w:val="20"/>
                <w:szCs w:val="20"/>
              </w:rPr>
            </w:pPr>
            <w:proofErr w:type="spellStart"/>
            <w:r w:rsidRPr="000A5982">
              <w:rPr>
                <w:rFonts w:ascii="Cambria" w:hAnsi="Cambria"/>
                <w:b/>
                <w:i/>
                <w:color w:val="000000"/>
                <w:sz w:val="20"/>
              </w:rPr>
              <w:t>Tlon</w:t>
            </w:r>
            <w:proofErr w:type="spellEnd"/>
          </w:p>
        </w:tc>
        <w:tc>
          <w:tcPr>
            <w:tcW w:w="851" w:type="dxa"/>
            <w:vAlign w:val="center"/>
            <w:hideMark/>
          </w:tcPr>
          <w:p w14:paraId="3036753D" w14:textId="77777777" w:rsidR="00D55CA0" w:rsidRPr="000A5982" w:rsidRDefault="00D55CA0" w:rsidP="00A45A18">
            <w:pPr>
              <w:jc w:val="center"/>
              <w:rPr>
                <w:rFonts w:ascii="Cambria" w:hAnsi="Cambria"/>
                <w:b/>
                <w:bCs/>
                <w:i/>
                <w:iCs/>
                <w:color w:val="000000"/>
                <w:sz w:val="20"/>
                <w:szCs w:val="20"/>
              </w:rPr>
            </w:pPr>
            <w:r w:rsidRPr="000A5982">
              <w:rPr>
                <w:rFonts w:ascii="Cambria" w:hAnsi="Cambria"/>
                <w:b/>
                <w:i/>
                <w:color w:val="000000"/>
                <w:sz w:val="20"/>
              </w:rPr>
              <w:t>Tc</w:t>
            </w:r>
          </w:p>
        </w:tc>
        <w:tc>
          <w:tcPr>
            <w:tcW w:w="1417" w:type="dxa"/>
            <w:vAlign w:val="center"/>
            <w:hideMark/>
          </w:tcPr>
          <w:p w14:paraId="343C6A3F" w14:textId="77777777" w:rsidR="00D55CA0" w:rsidRPr="000A5982" w:rsidRDefault="00D55CA0" w:rsidP="00A45A18">
            <w:pPr>
              <w:jc w:val="center"/>
              <w:rPr>
                <w:rFonts w:ascii="Cambria" w:hAnsi="Cambria"/>
                <w:b/>
                <w:bCs/>
                <w:i/>
                <w:iCs/>
                <w:color w:val="000000"/>
                <w:sz w:val="20"/>
                <w:szCs w:val="20"/>
              </w:rPr>
            </w:pPr>
            <w:r w:rsidRPr="000A5982">
              <w:rPr>
                <w:rFonts w:ascii="Cambria" w:hAnsi="Cambria"/>
                <w:b/>
                <w:i/>
                <w:color w:val="000000"/>
                <w:sz w:val="20"/>
              </w:rPr>
              <w:t>TAC1</w:t>
            </w:r>
          </w:p>
        </w:tc>
      </w:tr>
      <w:tr w:rsidR="00D55CA0" w:rsidRPr="0099704B" w14:paraId="2E85D34B" w14:textId="77777777" w:rsidTr="00A45A18">
        <w:trPr>
          <w:trHeight w:val="300"/>
        </w:trPr>
        <w:tc>
          <w:tcPr>
            <w:tcW w:w="1696" w:type="dxa"/>
            <w:vAlign w:val="center"/>
            <w:hideMark/>
          </w:tcPr>
          <w:p w14:paraId="71E6B028"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25%_F0.8_B1</w:t>
            </w:r>
          </w:p>
        </w:tc>
        <w:tc>
          <w:tcPr>
            <w:tcW w:w="1134" w:type="dxa"/>
            <w:vAlign w:val="center"/>
            <w:hideMark/>
          </w:tcPr>
          <w:p w14:paraId="3A00EE6F"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0,97</w:t>
            </w:r>
          </w:p>
        </w:tc>
        <w:tc>
          <w:tcPr>
            <w:tcW w:w="851" w:type="dxa"/>
            <w:vAlign w:val="center"/>
            <w:hideMark/>
          </w:tcPr>
          <w:p w14:paraId="50C7F48F"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1</w:t>
            </w:r>
          </w:p>
        </w:tc>
        <w:tc>
          <w:tcPr>
            <w:tcW w:w="992" w:type="dxa"/>
            <w:vAlign w:val="center"/>
            <w:hideMark/>
          </w:tcPr>
          <w:p w14:paraId="21FE02CB"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48.455</w:t>
            </w:r>
          </w:p>
        </w:tc>
        <w:tc>
          <w:tcPr>
            <w:tcW w:w="1134" w:type="dxa"/>
            <w:vAlign w:val="center"/>
            <w:hideMark/>
          </w:tcPr>
          <w:p w14:paraId="28BDEE5A"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43.019</w:t>
            </w:r>
          </w:p>
        </w:tc>
        <w:tc>
          <w:tcPr>
            <w:tcW w:w="992" w:type="dxa"/>
            <w:vAlign w:val="center"/>
            <w:hideMark/>
          </w:tcPr>
          <w:p w14:paraId="196DCCE9"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38.092</w:t>
            </w:r>
          </w:p>
        </w:tc>
        <w:tc>
          <w:tcPr>
            <w:tcW w:w="851" w:type="dxa"/>
            <w:vAlign w:val="center"/>
            <w:hideMark/>
          </w:tcPr>
          <w:p w14:paraId="245AD4CC"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7</w:t>
            </w:r>
          </w:p>
        </w:tc>
        <w:tc>
          <w:tcPr>
            <w:tcW w:w="1417" w:type="dxa"/>
            <w:vAlign w:val="center"/>
            <w:hideMark/>
          </w:tcPr>
          <w:p w14:paraId="4BA25AE5"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50.000</w:t>
            </w:r>
          </w:p>
        </w:tc>
      </w:tr>
      <w:tr w:rsidR="00D55CA0" w:rsidRPr="0099704B" w14:paraId="38722BC8" w14:textId="77777777" w:rsidTr="00A45A18">
        <w:trPr>
          <w:trHeight w:val="300"/>
        </w:trPr>
        <w:tc>
          <w:tcPr>
            <w:tcW w:w="1696" w:type="dxa"/>
            <w:vAlign w:val="center"/>
            <w:hideMark/>
          </w:tcPr>
          <w:p w14:paraId="5F079E64"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10%_F0.8_B1</w:t>
            </w:r>
          </w:p>
        </w:tc>
        <w:tc>
          <w:tcPr>
            <w:tcW w:w="1134" w:type="dxa"/>
            <w:vAlign w:val="center"/>
            <w:hideMark/>
          </w:tcPr>
          <w:p w14:paraId="42543A5E"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0,96</w:t>
            </w:r>
          </w:p>
        </w:tc>
        <w:tc>
          <w:tcPr>
            <w:tcW w:w="851" w:type="dxa"/>
            <w:vAlign w:val="center"/>
            <w:hideMark/>
          </w:tcPr>
          <w:p w14:paraId="34501266"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1</w:t>
            </w:r>
          </w:p>
        </w:tc>
        <w:tc>
          <w:tcPr>
            <w:tcW w:w="992" w:type="dxa"/>
            <w:vAlign w:val="center"/>
            <w:hideMark/>
          </w:tcPr>
          <w:p w14:paraId="7EDE9C42"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48.695</w:t>
            </w:r>
          </w:p>
        </w:tc>
        <w:tc>
          <w:tcPr>
            <w:tcW w:w="1134" w:type="dxa"/>
            <w:vAlign w:val="center"/>
            <w:hideMark/>
          </w:tcPr>
          <w:p w14:paraId="3D1D7B93"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44.202</w:t>
            </w:r>
          </w:p>
        </w:tc>
        <w:tc>
          <w:tcPr>
            <w:tcW w:w="992" w:type="dxa"/>
            <w:vAlign w:val="center"/>
            <w:hideMark/>
          </w:tcPr>
          <w:p w14:paraId="2F1A89F3"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37.671</w:t>
            </w:r>
          </w:p>
        </w:tc>
        <w:tc>
          <w:tcPr>
            <w:tcW w:w="851" w:type="dxa"/>
            <w:vAlign w:val="center"/>
            <w:hideMark/>
          </w:tcPr>
          <w:p w14:paraId="282AF70F"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6</w:t>
            </w:r>
          </w:p>
        </w:tc>
        <w:tc>
          <w:tcPr>
            <w:tcW w:w="1417" w:type="dxa"/>
            <w:vAlign w:val="center"/>
            <w:hideMark/>
          </w:tcPr>
          <w:p w14:paraId="1354D4BE"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50.000</w:t>
            </w:r>
          </w:p>
        </w:tc>
      </w:tr>
      <w:tr w:rsidR="00D55CA0" w:rsidRPr="0099704B" w14:paraId="233568AF" w14:textId="77777777" w:rsidTr="00A45A18">
        <w:trPr>
          <w:trHeight w:val="300"/>
        </w:trPr>
        <w:tc>
          <w:tcPr>
            <w:tcW w:w="1696" w:type="dxa"/>
            <w:vAlign w:val="center"/>
            <w:hideMark/>
          </w:tcPr>
          <w:p w14:paraId="0F065853"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25 %_F1_B1</w:t>
            </w:r>
          </w:p>
        </w:tc>
        <w:tc>
          <w:tcPr>
            <w:tcW w:w="1134" w:type="dxa"/>
            <w:vAlign w:val="center"/>
            <w:hideMark/>
          </w:tcPr>
          <w:p w14:paraId="01771244"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0,86</w:t>
            </w:r>
          </w:p>
        </w:tc>
        <w:tc>
          <w:tcPr>
            <w:tcW w:w="851" w:type="dxa"/>
            <w:vAlign w:val="center"/>
            <w:hideMark/>
          </w:tcPr>
          <w:p w14:paraId="50047153"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1</w:t>
            </w:r>
          </w:p>
        </w:tc>
        <w:tc>
          <w:tcPr>
            <w:tcW w:w="992" w:type="dxa"/>
            <w:vAlign w:val="center"/>
            <w:hideMark/>
          </w:tcPr>
          <w:p w14:paraId="557C66F4"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49.838</w:t>
            </w:r>
          </w:p>
        </w:tc>
        <w:tc>
          <w:tcPr>
            <w:tcW w:w="1134" w:type="dxa"/>
            <w:vAlign w:val="center"/>
            <w:hideMark/>
          </w:tcPr>
          <w:p w14:paraId="20866FDD"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47.471</w:t>
            </w:r>
          </w:p>
        </w:tc>
        <w:tc>
          <w:tcPr>
            <w:tcW w:w="992" w:type="dxa"/>
            <w:vAlign w:val="center"/>
            <w:hideMark/>
          </w:tcPr>
          <w:p w14:paraId="607E473A"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39.924</w:t>
            </w:r>
          </w:p>
        </w:tc>
        <w:tc>
          <w:tcPr>
            <w:tcW w:w="851" w:type="dxa"/>
            <w:vAlign w:val="center"/>
            <w:hideMark/>
          </w:tcPr>
          <w:p w14:paraId="677F6305"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9</w:t>
            </w:r>
          </w:p>
        </w:tc>
        <w:tc>
          <w:tcPr>
            <w:tcW w:w="1417" w:type="dxa"/>
            <w:vAlign w:val="center"/>
            <w:hideMark/>
          </w:tcPr>
          <w:p w14:paraId="1D06A6B0"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50.000</w:t>
            </w:r>
          </w:p>
        </w:tc>
      </w:tr>
      <w:tr w:rsidR="00D55CA0" w:rsidRPr="0099704B" w14:paraId="48C29274" w14:textId="77777777" w:rsidTr="00A45A18">
        <w:trPr>
          <w:trHeight w:val="300"/>
        </w:trPr>
        <w:tc>
          <w:tcPr>
            <w:tcW w:w="1696" w:type="dxa"/>
            <w:vAlign w:val="center"/>
            <w:hideMark/>
          </w:tcPr>
          <w:p w14:paraId="52FDC4A2"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10%_F1_B1</w:t>
            </w:r>
          </w:p>
        </w:tc>
        <w:tc>
          <w:tcPr>
            <w:tcW w:w="1134" w:type="dxa"/>
            <w:vAlign w:val="center"/>
            <w:hideMark/>
          </w:tcPr>
          <w:p w14:paraId="6C6D6A7E"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0,84</w:t>
            </w:r>
          </w:p>
        </w:tc>
        <w:tc>
          <w:tcPr>
            <w:tcW w:w="851" w:type="dxa"/>
            <w:vAlign w:val="center"/>
            <w:hideMark/>
          </w:tcPr>
          <w:p w14:paraId="3C9B5657"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1</w:t>
            </w:r>
          </w:p>
        </w:tc>
        <w:tc>
          <w:tcPr>
            <w:tcW w:w="992" w:type="dxa"/>
            <w:vAlign w:val="center"/>
            <w:hideMark/>
          </w:tcPr>
          <w:p w14:paraId="2E4C171B"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49.853</w:t>
            </w:r>
          </w:p>
        </w:tc>
        <w:tc>
          <w:tcPr>
            <w:tcW w:w="1134" w:type="dxa"/>
            <w:vAlign w:val="center"/>
            <w:hideMark/>
          </w:tcPr>
          <w:p w14:paraId="381F35EF"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47.994</w:t>
            </w:r>
          </w:p>
        </w:tc>
        <w:tc>
          <w:tcPr>
            <w:tcW w:w="992" w:type="dxa"/>
            <w:vAlign w:val="center"/>
            <w:hideMark/>
          </w:tcPr>
          <w:p w14:paraId="2064E479"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39.651</w:t>
            </w:r>
          </w:p>
        </w:tc>
        <w:tc>
          <w:tcPr>
            <w:tcW w:w="851" w:type="dxa"/>
            <w:vAlign w:val="center"/>
            <w:hideMark/>
          </w:tcPr>
          <w:p w14:paraId="599DB6D8"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6</w:t>
            </w:r>
          </w:p>
        </w:tc>
        <w:tc>
          <w:tcPr>
            <w:tcW w:w="1417" w:type="dxa"/>
            <w:vAlign w:val="center"/>
            <w:hideMark/>
          </w:tcPr>
          <w:p w14:paraId="127C61DA"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50.000</w:t>
            </w:r>
          </w:p>
        </w:tc>
      </w:tr>
      <w:tr w:rsidR="00D55CA0" w:rsidRPr="0099704B" w14:paraId="3A84B97F" w14:textId="77777777" w:rsidTr="00A45A18">
        <w:trPr>
          <w:trHeight w:val="300"/>
        </w:trPr>
        <w:tc>
          <w:tcPr>
            <w:tcW w:w="1696" w:type="dxa"/>
            <w:vAlign w:val="center"/>
            <w:hideMark/>
          </w:tcPr>
          <w:p w14:paraId="6B795710"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15%_PCCatch</w:t>
            </w:r>
          </w:p>
        </w:tc>
        <w:tc>
          <w:tcPr>
            <w:tcW w:w="1134" w:type="dxa"/>
            <w:vAlign w:val="center"/>
            <w:hideMark/>
          </w:tcPr>
          <w:p w14:paraId="290DE25F"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1</w:t>
            </w:r>
          </w:p>
        </w:tc>
        <w:tc>
          <w:tcPr>
            <w:tcW w:w="851" w:type="dxa"/>
            <w:vAlign w:val="center"/>
            <w:hideMark/>
          </w:tcPr>
          <w:p w14:paraId="14B21D2C"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1</w:t>
            </w:r>
          </w:p>
        </w:tc>
        <w:tc>
          <w:tcPr>
            <w:tcW w:w="992" w:type="dxa"/>
            <w:vAlign w:val="center"/>
            <w:hideMark/>
          </w:tcPr>
          <w:p w14:paraId="1015DF7A"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42.000</w:t>
            </w:r>
          </w:p>
        </w:tc>
        <w:tc>
          <w:tcPr>
            <w:tcW w:w="1134" w:type="dxa"/>
            <w:vAlign w:val="center"/>
            <w:hideMark/>
          </w:tcPr>
          <w:p w14:paraId="322B1187"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42.000</w:t>
            </w:r>
          </w:p>
        </w:tc>
        <w:tc>
          <w:tcPr>
            <w:tcW w:w="992" w:type="dxa"/>
            <w:vAlign w:val="center"/>
            <w:hideMark/>
          </w:tcPr>
          <w:p w14:paraId="394C4973"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41.536</w:t>
            </w:r>
          </w:p>
        </w:tc>
        <w:tc>
          <w:tcPr>
            <w:tcW w:w="851" w:type="dxa"/>
            <w:vAlign w:val="center"/>
            <w:hideMark/>
          </w:tcPr>
          <w:p w14:paraId="3EAA9FB6"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1</w:t>
            </w:r>
          </w:p>
        </w:tc>
        <w:tc>
          <w:tcPr>
            <w:tcW w:w="1417" w:type="dxa"/>
            <w:vAlign w:val="center"/>
            <w:hideMark/>
          </w:tcPr>
          <w:p w14:paraId="32BDE847"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42.000</w:t>
            </w:r>
          </w:p>
        </w:tc>
      </w:tr>
      <w:tr w:rsidR="00D55CA0" w:rsidRPr="0099704B" w14:paraId="2EA99FC3" w14:textId="77777777" w:rsidTr="00A45A18">
        <w:trPr>
          <w:trHeight w:val="300"/>
        </w:trPr>
        <w:tc>
          <w:tcPr>
            <w:tcW w:w="1696" w:type="dxa"/>
            <w:vAlign w:val="center"/>
            <w:hideMark/>
          </w:tcPr>
          <w:p w14:paraId="10CCFE7A"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10%_Emp_W</w:t>
            </w:r>
          </w:p>
        </w:tc>
        <w:tc>
          <w:tcPr>
            <w:tcW w:w="1134" w:type="dxa"/>
            <w:vAlign w:val="center"/>
            <w:hideMark/>
          </w:tcPr>
          <w:p w14:paraId="234B50C9"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0,96</w:t>
            </w:r>
          </w:p>
        </w:tc>
        <w:tc>
          <w:tcPr>
            <w:tcW w:w="851" w:type="dxa"/>
            <w:vAlign w:val="center"/>
            <w:hideMark/>
          </w:tcPr>
          <w:p w14:paraId="1B66E6EB"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1</w:t>
            </w:r>
          </w:p>
        </w:tc>
        <w:tc>
          <w:tcPr>
            <w:tcW w:w="992" w:type="dxa"/>
            <w:vAlign w:val="center"/>
            <w:hideMark/>
          </w:tcPr>
          <w:p w14:paraId="55B58C2D"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49.594</w:t>
            </w:r>
          </w:p>
        </w:tc>
        <w:tc>
          <w:tcPr>
            <w:tcW w:w="1134" w:type="dxa"/>
            <w:vAlign w:val="center"/>
            <w:hideMark/>
          </w:tcPr>
          <w:p w14:paraId="30CF8D24"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43.168</w:t>
            </w:r>
          </w:p>
        </w:tc>
        <w:tc>
          <w:tcPr>
            <w:tcW w:w="992" w:type="dxa"/>
            <w:vAlign w:val="center"/>
            <w:hideMark/>
          </w:tcPr>
          <w:p w14:paraId="25665C0C"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39.370</w:t>
            </w:r>
          </w:p>
        </w:tc>
        <w:tc>
          <w:tcPr>
            <w:tcW w:w="851" w:type="dxa"/>
            <w:vAlign w:val="center"/>
            <w:hideMark/>
          </w:tcPr>
          <w:p w14:paraId="62E5F426"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7</w:t>
            </w:r>
          </w:p>
        </w:tc>
        <w:tc>
          <w:tcPr>
            <w:tcW w:w="1417" w:type="dxa"/>
            <w:vAlign w:val="center"/>
            <w:hideMark/>
          </w:tcPr>
          <w:p w14:paraId="2AD4540F"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46.306</w:t>
            </w:r>
          </w:p>
        </w:tc>
      </w:tr>
      <w:tr w:rsidR="00D55CA0" w:rsidRPr="0099704B" w14:paraId="7F576D7E" w14:textId="77777777" w:rsidTr="00A45A18">
        <w:trPr>
          <w:trHeight w:val="300"/>
        </w:trPr>
        <w:tc>
          <w:tcPr>
            <w:tcW w:w="1696" w:type="dxa"/>
            <w:vAlign w:val="center"/>
            <w:hideMark/>
          </w:tcPr>
          <w:p w14:paraId="3C62CD4A"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25%_Emp_W</w:t>
            </w:r>
          </w:p>
        </w:tc>
        <w:tc>
          <w:tcPr>
            <w:tcW w:w="1134" w:type="dxa"/>
            <w:vAlign w:val="center"/>
            <w:hideMark/>
          </w:tcPr>
          <w:p w14:paraId="356A545E"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0,98</w:t>
            </w:r>
          </w:p>
        </w:tc>
        <w:tc>
          <w:tcPr>
            <w:tcW w:w="851" w:type="dxa"/>
            <w:vAlign w:val="center"/>
            <w:hideMark/>
          </w:tcPr>
          <w:p w14:paraId="4B3374BD"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1</w:t>
            </w:r>
          </w:p>
        </w:tc>
        <w:tc>
          <w:tcPr>
            <w:tcW w:w="992" w:type="dxa"/>
            <w:vAlign w:val="center"/>
            <w:hideMark/>
          </w:tcPr>
          <w:p w14:paraId="1012414B"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49.582</w:t>
            </w:r>
          </w:p>
        </w:tc>
        <w:tc>
          <w:tcPr>
            <w:tcW w:w="1134" w:type="dxa"/>
            <w:vAlign w:val="center"/>
            <w:hideMark/>
          </w:tcPr>
          <w:p w14:paraId="275F8A6D"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39.600</w:t>
            </w:r>
          </w:p>
        </w:tc>
        <w:tc>
          <w:tcPr>
            <w:tcW w:w="992" w:type="dxa"/>
            <w:vAlign w:val="center"/>
            <w:hideMark/>
          </w:tcPr>
          <w:p w14:paraId="174E4992"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37.289</w:t>
            </w:r>
          </w:p>
        </w:tc>
        <w:tc>
          <w:tcPr>
            <w:tcW w:w="851" w:type="dxa"/>
            <w:vAlign w:val="center"/>
            <w:hideMark/>
          </w:tcPr>
          <w:p w14:paraId="316934F1"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11</w:t>
            </w:r>
          </w:p>
        </w:tc>
        <w:tc>
          <w:tcPr>
            <w:tcW w:w="1417" w:type="dxa"/>
            <w:vAlign w:val="center"/>
            <w:hideMark/>
          </w:tcPr>
          <w:p w14:paraId="2C20BF4B" w14:textId="77777777" w:rsidR="00D55CA0" w:rsidRPr="000A5982" w:rsidRDefault="00D55CA0" w:rsidP="00A45A18">
            <w:pPr>
              <w:jc w:val="center"/>
              <w:rPr>
                <w:rFonts w:ascii="Cambria" w:hAnsi="Cambria"/>
                <w:color w:val="000000"/>
                <w:sz w:val="20"/>
                <w:szCs w:val="20"/>
              </w:rPr>
            </w:pPr>
            <w:r w:rsidRPr="000A5982">
              <w:rPr>
                <w:rFonts w:ascii="Cambria" w:hAnsi="Cambria"/>
                <w:color w:val="000000"/>
                <w:sz w:val="20"/>
              </w:rPr>
              <w:t>46.306</w:t>
            </w:r>
          </w:p>
        </w:tc>
      </w:tr>
    </w:tbl>
    <w:p w14:paraId="58108564" w14:textId="77777777" w:rsidR="00D55CA0" w:rsidRPr="000A5982" w:rsidRDefault="00D55CA0" w:rsidP="00D55CA0">
      <w:pPr>
        <w:rPr>
          <w:rFonts w:ascii="Cambria" w:hAnsi="Cambria"/>
          <w:color w:val="000000" w:themeColor="text1"/>
          <w:sz w:val="20"/>
          <w:szCs w:val="20"/>
          <w:lang w:val="en-GB"/>
        </w:rPr>
      </w:pPr>
    </w:p>
    <w:p w14:paraId="0CDA28AB" w14:textId="77777777" w:rsidR="00D55CA0" w:rsidRPr="000A5982" w:rsidRDefault="00D55CA0" w:rsidP="00D55CA0">
      <w:pPr>
        <w:keepNext/>
        <w:jc w:val="center"/>
        <w:rPr>
          <w:color w:val="000000" w:themeColor="text1"/>
        </w:rPr>
      </w:pPr>
      <w:r w:rsidRPr="000A5982">
        <w:rPr>
          <w:noProof/>
        </w:rPr>
        <w:drawing>
          <wp:inline distT="0" distB="0" distL="0" distR="0" wp14:anchorId="6AC451EE" wp14:editId="08881771">
            <wp:extent cx="3695700" cy="2311400"/>
            <wp:effectExtent l="0" t="0" r="0" b="0"/>
            <wp:docPr id="49" name="Picture"/>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9"/>
                    <a:stretch>
                      <a:fillRect/>
                    </a:stretch>
                  </pic:blipFill>
                  <pic:spPr bwMode="auto">
                    <a:xfrm>
                      <a:off x="0" y="0"/>
                      <a:ext cx="3695700" cy="2311400"/>
                    </a:xfrm>
                    <a:prstGeom prst="rect">
                      <a:avLst/>
                    </a:prstGeom>
                    <a:noFill/>
                    <a:ln w="9525">
                      <a:noFill/>
                      <a:headEnd/>
                      <a:tailEnd/>
                    </a:ln>
                  </pic:spPr>
                </pic:pic>
              </a:graphicData>
            </a:graphic>
          </wp:inline>
        </w:drawing>
      </w:r>
    </w:p>
    <w:p w14:paraId="2856EBB5" w14:textId="77777777" w:rsidR="00D55CA0" w:rsidRPr="000A5982" w:rsidRDefault="00D55CA0" w:rsidP="00D55CA0">
      <w:pPr>
        <w:pStyle w:val="Caption"/>
        <w:jc w:val="both"/>
        <w:rPr>
          <w:rFonts w:ascii="Cambria" w:hAnsi="Cambria"/>
          <w:i w:val="0"/>
          <w:color w:val="000000" w:themeColor="text1"/>
          <w:sz w:val="20"/>
        </w:rPr>
      </w:pPr>
      <w:r w:rsidRPr="000A5982">
        <w:rPr>
          <w:rFonts w:ascii="Cambria" w:hAnsi="Cambria"/>
          <w:b/>
          <w:i w:val="0"/>
          <w:color w:val="000000" w:themeColor="text1"/>
          <w:sz w:val="20"/>
        </w:rPr>
        <w:t xml:space="preserve">Figura </w:t>
      </w:r>
      <w:r w:rsidRPr="000A5982">
        <w:rPr>
          <w:rFonts w:ascii="Cambria" w:hAnsi="Cambria"/>
          <w:b/>
          <w:i w:val="0"/>
          <w:color w:val="000000" w:themeColor="text1"/>
          <w:sz w:val="20"/>
        </w:rPr>
        <w:fldChar w:fldCharType="begin"/>
      </w:r>
      <w:r w:rsidRPr="000A5982">
        <w:rPr>
          <w:rFonts w:ascii="Cambria" w:hAnsi="Cambria"/>
          <w:b/>
          <w:i w:val="0"/>
          <w:color w:val="000000" w:themeColor="text1"/>
          <w:sz w:val="20"/>
        </w:rPr>
        <w:instrText xml:space="preserve"> SEQ Figure. \* ARABIC </w:instrText>
      </w:r>
      <w:r w:rsidRPr="000A5982">
        <w:rPr>
          <w:rFonts w:ascii="Cambria" w:hAnsi="Cambria"/>
          <w:b/>
          <w:i w:val="0"/>
          <w:color w:val="000000" w:themeColor="text1"/>
          <w:sz w:val="20"/>
        </w:rPr>
        <w:fldChar w:fldCharType="separate"/>
      </w:r>
      <w:r w:rsidRPr="000A5982">
        <w:rPr>
          <w:rFonts w:ascii="Cambria" w:hAnsi="Cambria"/>
          <w:b/>
          <w:i w:val="0"/>
          <w:noProof/>
          <w:color w:val="000000" w:themeColor="text1"/>
          <w:sz w:val="20"/>
        </w:rPr>
        <w:t>1</w:t>
      </w:r>
      <w:r w:rsidRPr="000A5982">
        <w:rPr>
          <w:rFonts w:ascii="Cambria" w:hAnsi="Cambria"/>
          <w:b/>
          <w:i w:val="0"/>
          <w:color w:val="000000" w:themeColor="text1"/>
          <w:sz w:val="20"/>
        </w:rPr>
        <w:fldChar w:fldCharType="end"/>
      </w:r>
      <w:r w:rsidRPr="000A5982">
        <w:rPr>
          <w:rFonts w:ascii="Cambria" w:hAnsi="Cambria"/>
          <w:b/>
          <w:i w:val="0"/>
          <w:color w:val="000000" w:themeColor="text1"/>
          <w:sz w:val="20"/>
        </w:rPr>
        <w:t>9.9.1</w:t>
      </w:r>
      <w:r w:rsidRPr="000A5982">
        <w:rPr>
          <w:rFonts w:ascii="Cambria" w:hAnsi="Cambria"/>
          <w:b/>
          <w:color w:val="000000" w:themeColor="text1"/>
          <w:sz w:val="20"/>
        </w:rPr>
        <w:t>.</w:t>
      </w:r>
      <w:r w:rsidRPr="000A5982">
        <w:rPr>
          <w:rFonts w:ascii="Cambria" w:hAnsi="Cambria"/>
          <w:b/>
          <w:i w:val="0"/>
          <w:color w:val="000000" w:themeColor="text1"/>
          <w:sz w:val="20"/>
        </w:rPr>
        <w:t xml:space="preserve"> </w:t>
      </w:r>
      <w:r w:rsidRPr="000A5982">
        <w:rPr>
          <w:rFonts w:ascii="Cambria" w:hAnsi="Cambria"/>
          <w:i w:val="0"/>
          <w:color w:val="000000" w:themeColor="text1"/>
          <w:sz w:val="20"/>
        </w:rPr>
        <w:t>Serie temporal del estado estimado del atún blanco del Atlántico norte con los siete CMP evaluados en 2026 en el contexto del nuevo marco de la MSE (conjunto de referencia de modelos operativos). Para cada año, los colores indican la probabilidad de que el stock se sitúe en cada uno de los cuadrantes de Kobe. La línea punteada indica una probabilidad del 60 % de que el stock se sitúe en el cuadrante verde del diagrama de Kobe.</w:t>
      </w:r>
    </w:p>
    <w:p w14:paraId="299D5273" w14:textId="77777777" w:rsidR="00D55CA0" w:rsidRPr="000A5982" w:rsidRDefault="00D55CA0" w:rsidP="00D55CA0">
      <w:pPr>
        <w:pStyle w:val="Caption"/>
        <w:jc w:val="both"/>
        <w:rPr>
          <w:rFonts w:ascii="Cambria" w:hAnsi="Cambria"/>
          <w:i w:val="0"/>
          <w:color w:val="000000" w:themeColor="text1"/>
          <w:sz w:val="20"/>
        </w:rPr>
      </w:pPr>
    </w:p>
    <w:p w14:paraId="1370DB80" w14:textId="77777777" w:rsidR="00D55CA0" w:rsidRPr="000A5982" w:rsidRDefault="00D55CA0" w:rsidP="00D55CA0">
      <w:pPr>
        <w:pStyle w:val="Caption"/>
        <w:jc w:val="center"/>
        <w:rPr>
          <w:rFonts w:ascii="Cambria" w:hAnsi="Cambria"/>
          <w:i w:val="0"/>
          <w:iCs/>
          <w:color w:val="000000" w:themeColor="text1"/>
          <w:sz w:val="20"/>
          <w:szCs w:val="20"/>
        </w:rPr>
      </w:pPr>
      <w:r w:rsidRPr="000A5982">
        <w:rPr>
          <w:rFonts w:ascii="Cambria" w:hAnsi="Cambria"/>
          <w:i w:val="0"/>
          <w:noProof/>
          <w:color w:val="000000" w:themeColor="text1"/>
          <w:sz w:val="20"/>
          <w:szCs w:val="20"/>
        </w:rPr>
        <w:lastRenderedPageBreak/>
        <w:drawing>
          <wp:inline distT="0" distB="0" distL="0" distR="0" wp14:anchorId="67F806D1" wp14:editId="312A65AE">
            <wp:extent cx="4254500" cy="3402752"/>
            <wp:effectExtent l="0" t="0" r="0" b="7620"/>
            <wp:docPr id="3165107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61190" cy="3408103"/>
                    </a:xfrm>
                    <a:prstGeom prst="rect">
                      <a:avLst/>
                    </a:prstGeom>
                    <a:noFill/>
                    <a:ln>
                      <a:noFill/>
                    </a:ln>
                  </pic:spPr>
                </pic:pic>
              </a:graphicData>
            </a:graphic>
          </wp:inline>
        </w:drawing>
      </w:r>
    </w:p>
    <w:p w14:paraId="6BA1692E" w14:textId="77777777" w:rsidR="00D55CA0" w:rsidRPr="000A5982" w:rsidRDefault="00D55CA0" w:rsidP="00D55CA0">
      <w:pPr>
        <w:pStyle w:val="Caption"/>
        <w:jc w:val="both"/>
        <w:rPr>
          <w:rFonts w:ascii="Cambria" w:hAnsi="Cambria"/>
          <w:i w:val="0"/>
          <w:color w:val="000000" w:themeColor="text1"/>
          <w:sz w:val="20"/>
        </w:rPr>
      </w:pPr>
      <w:r w:rsidRPr="000A5982">
        <w:rPr>
          <w:rFonts w:ascii="Cambria" w:hAnsi="Cambria"/>
          <w:b/>
          <w:bCs/>
          <w:i w:val="0"/>
          <w:iCs/>
          <w:color w:val="000000" w:themeColor="text1"/>
          <w:sz w:val="20"/>
          <w:szCs w:val="20"/>
        </w:rPr>
        <w:t>Figura 19.9.2</w:t>
      </w:r>
      <w:r w:rsidRPr="000A5982">
        <w:rPr>
          <w:rFonts w:ascii="Cambria" w:hAnsi="Cambria"/>
          <w:b/>
          <w:bCs/>
          <w:color w:val="000000" w:themeColor="text1"/>
          <w:sz w:val="20"/>
          <w:szCs w:val="20"/>
        </w:rPr>
        <w:t>.</w:t>
      </w:r>
      <w:r w:rsidRPr="000A5982">
        <w:rPr>
          <w:rFonts w:ascii="Cambria" w:hAnsi="Cambria"/>
          <w:b/>
          <w:bCs/>
          <w:i w:val="0"/>
          <w:color w:val="000000" w:themeColor="text1"/>
          <w:sz w:val="20"/>
          <w:szCs w:val="20"/>
        </w:rPr>
        <w:t xml:space="preserve"> </w:t>
      </w:r>
      <w:r w:rsidRPr="000A5982">
        <w:rPr>
          <w:rFonts w:ascii="Cambria" w:hAnsi="Cambria"/>
          <w:i w:val="0"/>
          <w:color w:val="000000" w:themeColor="text1"/>
          <w:sz w:val="20"/>
        </w:rPr>
        <w:t>Serie temporal del estado estimado del atún blanco del Atlántico norte con los siete CMP evaluados en 2026 en el contexto del nuevo marco de la MSE (prueba de robustez en un escenario con una reducción del reclutamiento del 20 % debido al cambio climático). Para cada año, los colores indican la probabilidad de que el stock se sitúe en cada uno de los cuadrantes de Kobe. La línea punteada indica una probabilidad del 60 % de que el stock se sitúe en el cuadrante verde del diagrama de Kobe.</w:t>
      </w:r>
    </w:p>
    <w:p w14:paraId="2A4D05F2" w14:textId="77777777" w:rsidR="00D55CA0" w:rsidRPr="000A5982" w:rsidRDefault="00D55CA0" w:rsidP="00D55CA0">
      <w:pPr>
        <w:jc w:val="both"/>
        <w:rPr>
          <w:rFonts w:ascii="Cambria" w:hAnsi="Cambria"/>
          <w:color w:val="000000" w:themeColor="text1"/>
          <w:sz w:val="20"/>
        </w:rPr>
      </w:pPr>
      <w:r w:rsidRPr="000A5982">
        <w:rPr>
          <w:rFonts w:ascii="Cambria" w:hAnsi="Cambria"/>
          <w:color w:val="000000" w:themeColor="text1"/>
          <w:sz w:val="20"/>
        </w:rPr>
        <w:t>Si se selecciona el MP actualizado, o una versión modificada del mismo, el grupo recomienda actualizar las especificaciones técnicas del MP que figuran en el apéndice A del anexo 1 de la Rec. 21-04 para reflejar los últimos avances en el software de modelos de producción (</w:t>
      </w:r>
      <w:r w:rsidRPr="000A5982">
        <w:rPr>
          <w:rFonts w:ascii="Cambria" w:hAnsi="Cambria"/>
          <w:b/>
          <w:color w:val="000000" w:themeColor="text1"/>
          <w:sz w:val="20"/>
        </w:rPr>
        <w:t>Tabla 19.9.3</w:t>
      </w:r>
      <w:r w:rsidRPr="000A5982">
        <w:rPr>
          <w:rFonts w:ascii="Cambria" w:hAnsi="Cambria"/>
          <w:color w:val="000000" w:themeColor="text1"/>
          <w:sz w:val="20"/>
        </w:rPr>
        <w:t>) y los índices de CPUE utilizados en la última evaluación comparativa (</w:t>
      </w:r>
      <w:r w:rsidRPr="000A5982">
        <w:rPr>
          <w:rFonts w:ascii="Cambria" w:hAnsi="Cambria"/>
          <w:b/>
          <w:color w:val="000000" w:themeColor="text1"/>
          <w:sz w:val="20"/>
        </w:rPr>
        <w:t>Tabla 19.9.4</w:t>
      </w:r>
      <w:r w:rsidRPr="000A5982">
        <w:rPr>
          <w:rFonts w:ascii="Cambria" w:hAnsi="Cambria"/>
          <w:color w:val="000000" w:themeColor="text1"/>
          <w:sz w:val="20"/>
        </w:rPr>
        <w:t>). Las modificaciones propuestas son las siguientes:</w:t>
      </w:r>
    </w:p>
    <w:p w14:paraId="67E9CEAF" w14:textId="77777777" w:rsidR="00D55CA0" w:rsidRPr="000A5982" w:rsidRDefault="00D55CA0" w:rsidP="00D55CA0">
      <w:pPr>
        <w:jc w:val="both"/>
        <w:rPr>
          <w:rFonts w:ascii="Cambria" w:hAnsi="Cambria"/>
          <w:color w:val="000000" w:themeColor="text1"/>
          <w:sz w:val="20"/>
          <w:szCs w:val="20"/>
        </w:rPr>
      </w:pPr>
    </w:p>
    <w:p w14:paraId="0FAAEB24" w14:textId="77777777" w:rsidR="00D55CA0" w:rsidRPr="000A5982" w:rsidRDefault="00D55CA0" w:rsidP="00D55CA0">
      <w:pPr>
        <w:jc w:val="both"/>
        <w:rPr>
          <w:rFonts w:ascii="Cambria" w:hAnsi="Cambria"/>
          <w:color w:val="000000" w:themeColor="text1"/>
          <w:sz w:val="20"/>
          <w:szCs w:val="20"/>
        </w:rPr>
      </w:pPr>
    </w:p>
    <w:p w14:paraId="2B0B7635" w14:textId="77777777" w:rsidR="00D55CA0" w:rsidRPr="000A5982" w:rsidRDefault="00D55CA0" w:rsidP="00D55CA0">
      <w:pPr>
        <w:pStyle w:val="Caption"/>
        <w:rPr>
          <w:rFonts w:ascii="Cambria" w:hAnsi="Cambria"/>
          <w:color w:val="000000" w:themeColor="text1"/>
          <w:sz w:val="20"/>
          <w:szCs w:val="20"/>
        </w:rPr>
      </w:pPr>
      <w:r w:rsidRPr="000A5982">
        <w:rPr>
          <w:rFonts w:ascii="Cambria" w:hAnsi="Cambria"/>
          <w:b/>
          <w:i w:val="0"/>
          <w:color w:val="000000" w:themeColor="text1"/>
          <w:sz w:val="20"/>
        </w:rPr>
        <w:t>Tabla 19.9.</w:t>
      </w:r>
      <w:r w:rsidRPr="000A5982">
        <w:rPr>
          <w:rFonts w:ascii="Cambria" w:hAnsi="Cambria"/>
          <w:b/>
          <w:i w:val="0"/>
          <w:color w:val="000000" w:themeColor="text1"/>
          <w:sz w:val="20"/>
        </w:rPr>
        <w:fldChar w:fldCharType="begin"/>
      </w:r>
      <w:r w:rsidRPr="000A5982">
        <w:rPr>
          <w:rFonts w:ascii="Cambria" w:hAnsi="Cambria"/>
          <w:b/>
          <w:i w:val="0"/>
          <w:color w:val="000000" w:themeColor="text1"/>
          <w:sz w:val="20"/>
        </w:rPr>
        <w:instrText xml:space="preserve"> SEQ Table \* ARABIC </w:instrText>
      </w:r>
      <w:r w:rsidRPr="000A5982">
        <w:rPr>
          <w:rFonts w:ascii="Cambria" w:hAnsi="Cambria"/>
          <w:b/>
          <w:i w:val="0"/>
          <w:color w:val="000000" w:themeColor="text1"/>
          <w:sz w:val="20"/>
        </w:rPr>
        <w:fldChar w:fldCharType="separate"/>
      </w:r>
      <w:r w:rsidRPr="000A5982">
        <w:rPr>
          <w:rFonts w:ascii="Cambria" w:hAnsi="Cambria"/>
          <w:b/>
          <w:i w:val="0"/>
          <w:noProof/>
          <w:color w:val="000000" w:themeColor="text1"/>
          <w:sz w:val="20"/>
        </w:rPr>
        <w:t>3</w:t>
      </w:r>
      <w:r w:rsidRPr="000A5982">
        <w:rPr>
          <w:rFonts w:ascii="Cambria" w:hAnsi="Cambria"/>
          <w:b/>
          <w:i w:val="0"/>
          <w:color w:val="000000" w:themeColor="text1"/>
          <w:sz w:val="20"/>
        </w:rPr>
        <w:fldChar w:fldCharType="end"/>
      </w:r>
      <w:r w:rsidRPr="000A5982">
        <w:rPr>
          <w:rFonts w:ascii="Cambria" w:hAnsi="Cambria"/>
          <w:b/>
          <w:i w:val="0"/>
          <w:color w:val="000000" w:themeColor="text1"/>
          <w:sz w:val="20"/>
        </w:rPr>
        <w:t xml:space="preserve">. </w:t>
      </w:r>
      <w:r w:rsidRPr="000A5982">
        <w:rPr>
          <w:rFonts w:ascii="Cambria" w:hAnsi="Cambria"/>
          <w:i w:val="0"/>
          <w:color w:val="000000" w:themeColor="text1"/>
          <w:sz w:val="20"/>
        </w:rPr>
        <w:t>Especificaciones del modelo dinámico de biomasa, donde "t" es el año de la iteración del procedimiento de ordenación para establecer el TAC de los años t+1, t+2 y t+3</w:t>
      </w:r>
    </w:p>
    <w:tbl>
      <w:tblPr>
        <w:tblStyle w:val="TableGrid"/>
        <w:tblW w:w="8190" w:type="dxa"/>
        <w:tblInd w:w="535" w:type="dxa"/>
        <w:tblLook w:val="04A0" w:firstRow="1" w:lastRow="0" w:firstColumn="1" w:lastColumn="0" w:noHBand="0" w:noVBand="1"/>
      </w:tblPr>
      <w:tblGrid>
        <w:gridCol w:w="1555"/>
        <w:gridCol w:w="2469"/>
        <w:gridCol w:w="4166"/>
      </w:tblGrid>
      <w:tr w:rsidR="00D55CA0" w:rsidRPr="0099704B" w14:paraId="733EC6DA" w14:textId="77777777" w:rsidTr="00A45A18">
        <w:tc>
          <w:tcPr>
            <w:tcW w:w="1555" w:type="dxa"/>
          </w:tcPr>
          <w:p w14:paraId="71C29695" w14:textId="77777777" w:rsidR="00D55CA0" w:rsidRPr="000A5982" w:rsidRDefault="00D55CA0" w:rsidP="00A45A18">
            <w:pPr>
              <w:rPr>
                <w:rFonts w:ascii="Cambria" w:hAnsi="Cambria"/>
                <w:b/>
                <w:bCs/>
                <w:i/>
                <w:iCs/>
                <w:color w:val="000000" w:themeColor="text1"/>
                <w:sz w:val="20"/>
                <w:szCs w:val="20"/>
              </w:rPr>
            </w:pPr>
            <w:r w:rsidRPr="000A5982">
              <w:rPr>
                <w:rFonts w:ascii="Cambria" w:hAnsi="Cambria"/>
                <w:b/>
                <w:i/>
                <w:color w:val="000000" w:themeColor="text1"/>
                <w:sz w:val="20"/>
              </w:rPr>
              <w:t>Software</w:t>
            </w:r>
          </w:p>
        </w:tc>
        <w:tc>
          <w:tcPr>
            <w:tcW w:w="2469" w:type="dxa"/>
          </w:tcPr>
          <w:p w14:paraId="5117CF55" w14:textId="77777777" w:rsidR="00D55CA0" w:rsidRPr="000A5982" w:rsidRDefault="00D55CA0" w:rsidP="00A45A18">
            <w:pPr>
              <w:rPr>
                <w:rFonts w:ascii="Cambria" w:hAnsi="Cambria"/>
                <w:b/>
                <w:bCs/>
                <w:i/>
                <w:iCs/>
                <w:color w:val="000000" w:themeColor="text1"/>
                <w:sz w:val="20"/>
                <w:szCs w:val="20"/>
              </w:rPr>
            </w:pPr>
            <w:r w:rsidRPr="000A5982">
              <w:rPr>
                <w:rFonts w:ascii="Cambria" w:hAnsi="Cambria"/>
                <w:b/>
                <w:i/>
                <w:color w:val="000000" w:themeColor="text1"/>
                <w:sz w:val="20"/>
              </w:rPr>
              <w:t>Modelo</w:t>
            </w:r>
          </w:p>
        </w:tc>
        <w:tc>
          <w:tcPr>
            <w:tcW w:w="4166" w:type="dxa"/>
          </w:tcPr>
          <w:p w14:paraId="1979DDCD" w14:textId="77777777" w:rsidR="00D55CA0" w:rsidRPr="000A5982" w:rsidRDefault="00D55CA0" w:rsidP="00A45A18">
            <w:pPr>
              <w:rPr>
                <w:rFonts w:ascii="Cambria" w:hAnsi="Cambria"/>
                <w:b/>
                <w:bCs/>
                <w:i/>
                <w:iCs/>
                <w:color w:val="000000" w:themeColor="text1"/>
                <w:sz w:val="20"/>
                <w:szCs w:val="20"/>
              </w:rPr>
            </w:pPr>
            <w:r w:rsidRPr="000A5982">
              <w:rPr>
                <w:rFonts w:ascii="Cambria" w:hAnsi="Cambria"/>
                <w:b/>
                <w:i/>
                <w:color w:val="000000" w:themeColor="text1"/>
                <w:sz w:val="20"/>
              </w:rPr>
              <w:t>Series de captura</w:t>
            </w:r>
          </w:p>
        </w:tc>
      </w:tr>
      <w:tr w:rsidR="00D55CA0" w:rsidRPr="0099704B" w14:paraId="663AB4CF" w14:textId="77777777" w:rsidTr="00A45A18">
        <w:tc>
          <w:tcPr>
            <w:tcW w:w="1555" w:type="dxa"/>
          </w:tcPr>
          <w:p w14:paraId="4A5FA10A" w14:textId="77777777" w:rsidR="00D55CA0" w:rsidRPr="000A5982" w:rsidRDefault="00D55CA0" w:rsidP="00A45A18">
            <w:pPr>
              <w:rPr>
                <w:rFonts w:ascii="Cambria" w:hAnsi="Cambria"/>
                <w:color w:val="000000" w:themeColor="text1"/>
                <w:sz w:val="20"/>
                <w:szCs w:val="20"/>
              </w:rPr>
            </w:pPr>
            <w:proofErr w:type="spellStart"/>
            <w:r w:rsidRPr="000A5982">
              <w:rPr>
                <w:rFonts w:ascii="Cambria" w:hAnsi="Cambria"/>
                <w:color w:val="000000" w:themeColor="text1"/>
                <w:sz w:val="20"/>
              </w:rPr>
              <w:t>SPiCT</w:t>
            </w:r>
            <w:proofErr w:type="spellEnd"/>
          </w:p>
        </w:tc>
        <w:tc>
          <w:tcPr>
            <w:tcW w:w="2469" w:type="dxa"/>
          </w:tcPr>
          <w:p w14:paraId="51B1E29C"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Modelo de producción excedente</w:t>
            </w:r>
          </w:p>
        </w:tc>
        <w:tc>
          <w:tcPr>
            <w:tcW w:w="4166" w:type="dxa"/>
          </w:tcPr>
          <w:p w14:paraId="304F5CAE"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Inicio en 1930</w:t>
            </w:r>
          </w:p>
          <w:p w14:paraId="6FA3492A" w14:textId="77777777" w:rsidR="00D55CA0" w:rsidRPr="000A5982" w:rsidRDefault="00D55CA0" w:rsidP="00A45A18">
            <w:pPr>
              <w:keepNext/>
              <w:rPr>
                <w:rFonts w:ascii="Cambria" w:hAnsi="Cambria"/>
                <w:color w:val="000000" w:themeColor="text1"/>
                <w:sz w:val="20"/>
                <w:szCs w:val="20"/>
              </w:rPr>
            </w:pPr>
            <w:r w:rsidRPr="000A5982">
              <w:rPr>
                <w:rFonts w:ascii="Cambria" w:hAnsi="Cambria"/>
                <w:color w:val="000000" w:themeColor="text1"/>
                <w:sz w:val="20"/>
              </w:rPr>
              <w:t>Año final: t-1</w:t>
            </w:r>
          </w:p>
        </w:tc>
      </w:tr>
    </w:tbl>
    <w:p w14:paraId="75376068" w14:textId="77777777" w:rsidR="00D55CA0" w:rsidRPr="000A5982" w:rsidRDefault="00D55CA0" w:rsidP="00D55CA0">
      <w:pPr>
        <w:rPr>
          <w:rFonts w:ascii="Cambria" w:hAnsi="Cambria"/>
          <w:color w:val="000000" w:themeColor="text1"/>
          <w:sz w:val="20"/>
          <w:szCs w:val="20"/>
        </w:rPr>
      </w:pPr>
    </w:p>
    <w:p w14:paraId="687A759B" w14:textId="77777777" w:rsidR="00D55CA0" w:rsidRPr="000A5982" w:rsidRDefault="00D55CA0" w:rsidP="00D55CA0">
      <w:pPr>
        <w:rPr>
          <w:rFonts w:ascii="Cambria" w:hAnsi="Cambria"/>
          <w:color w:val="000000" w:themeColor="text1"/>
          <w:sz w:val="20"/>
          <w:szCs w:val="20"/>
        </w:rPr>
      </w:pPr>
    </w:p>
    <w:p w14:paraId="3CFEB704" w14:textId="77777777" w:rsidR="00D55CA0" w:rsidRPr="000A5982" w:rsidRDefault="00D55CA0" w:rsidP="00D55CA0">
      <w:pPr>
        <w:pStyle w:val="Caption"/>
        <w:jc w:val="both"/>
        <w:rPr>
          <w:rFonts w:ascii="Cambria" w:hAnsi="Cambria"/>
          <w:color w:val="000000" w:themeColor="text1"/>
          <w:sz w:val="20"/>
          <w:szCs w:val="20"/>
        </w:rPr>
      </w:pPr>
      <w:r w:rsidRPr="000A5982">
        <w:rPr>
          <w:rFonts w:ascii="Cambria" w:hAnsi="Cambria"/>
          <w:b/>
          <w:i w:val="0"/>
          <w:color w:val="000000" w:themeColor="text1"/>
          <w:sz w:val="20"/>
        </w:rPr>
        <w:t>Tabla 19.9.</w:t>
      </w:r>
      <w:r w:rsidRPr="000A5982">
        <w:rPr>
          <w:rFonts w:ascii="Cambria" w:hAnsi="Cambria"/>
          <w:b/>
          <w:i w:val="0"/>
          <w:color w:val="000000" w:themeColor="text1"/>
          <w:sz w:val="20"/>
        </w:rPr>
        <w:fldChar w:fldCharType="begin"/>
      </w:r>
      <w:r w:rsidRPr="000A5982">
        <w:rPr>
          <w:rFonts w:ascii="Cambria" w:hAnsi="Cambria"/>
          <w:b/>
          <w:i w:val="0"/>
          <w:color w:val="000000" w:themeColor="text1"/>
          <w:sz w:val="20"/>
        </w:rPr>
        <w:instrText xml:space="preserve"> SEQ Table \* ARABIC </w:instrText>
      </w:r>
      <w:r w:rsidRPr="000A5982">
        <w:rPr>
          <w:rFonts w:ascii="Cambria" w:hAnsi="Cambria"/>
          <w:b/>
          <w:i w:val="0"/>
          <w:color w:val="000000" w:themeColor="text1"/>
          <w:sz w:val="20"/>
        </w:rPr>
        <w:fldChar w:fldCharType="separate"/>
      </w:r>
      <w:r w:rsidRPr="000A5982">
        <w:rPr>
          <w:rFonts w:ascii="Cambria" w:hAnsi="Cambria"/>
          <w:b/>
          <w:i w:val="0"/>
          <w:noProof/>
          <w:color w:val="000000" w:themeColor="text1"/>
          <w:sz w:val="20"/>
        </w:rPr>
        <w:t>4</w:t>
      </w:r>
      <w:r w:rsidRPr="000A5982">
        <w:rPr>
          <w:rFonts w:ascii="Cambria" w:hAnsi="Cambria"/>
          <w:b/>
          <w:i w:val="0"/>
          <w:color w:val="000000" w:themeColor="text1"/>
          <w:sz w:val="20"/>
        </w:rPr>
        <w:fldChar w:fldCharType="end"/>
      </w:r>
      <w:r w:rsidRPr="000A5982">
        <w:rPr>
          <w:rFonts w:ascii="Cambria" w:hAnsi="Cambria"/>
          <w:b/>
          <w:i w:val="0"/>
          <w:color w:val="000000" w:themeColor="text1"/>
          <w:sz w:val="20"/>
        </w:rPr>
        <w:t xml:space="preserve">. </w:t>
      </w:r>
      <w:r w:rsidRPr="000A5982">
        <w:rPr>
          <w:rFonts w:ascii="Cambria" w:hAnsi="Cambria"/>
          <w:i w:val="0"/>
          <w:color w:val="000000" w:themeColor="text1"/>
          <w:sz w:val="20"/>
        </w:rPr>
        <w:t>Índices de CPUE y sus años de inicio, donde "t" es el año de la iteración del MP para establecer el TAC de los años t+1, t+2 y t+3.</w:t>
      </w:r>
    </w:p>
    <w:tbl>
      <w:tblPr>
        <w:tblStyle w:val="TableGrid"/>
        <w:tblW w:w="8190" w:type="dxa"/>
        <w:tblInd w:w="535" w:type="dxa"/>
        <w:tblLook w:val="04A0" w:firstRow="1" w:lastRow="0" w:firstColumn="1" w:lastColumn="0" w:noHBand="0" w:noVBand="1"/>
      </w:tblPr>
      <w:tblGrid>
        <w:gridCol w:w="3004"/>
        <w:gridCol w:w="3006"/>
        <w:gridCol w:w="2180"/>
      </w:tblGrid>
      <w:tr w:rsidR="00D55CA0" w:rsidRPr="0099704B" w14:paraId="55EA9F82" w14:textId="77777777" w:rsidTr="00A45A18">
        <w:tc>
          <w:tcPr>
            <w:tcW w:w="3004" w:type="dxa"/>
          </w:tcPr>
          <w:p w14:paraId="12BFEA06" w14:textId="77777777" w:rsidR="00D55CA0" w:rsidRPr="000A5982" w:rsidRDefault="00D55CA0" w:rsidP="00A45A18">
            <w:pPr>
              <w:rPr>
                <w:rFonts w:ascii="Cambria" w:hAnsi="Cambria"/>
                <w:b/>
                <w:bCs/>
                <w:i/>
                <w:iCs/>
                <w:color w:val="000000" w:themeColor="text1"/>
                <w:sz w:val="20"/>
                <w:szCs w:val="20"/>
              </w:rPr>
            </w:pPr>
            <w:r w:rsidRPr="000A5982">
              <w:rPr>
                <w:rFonts w:ascii="Cambria" w:hAnsi="Cambria"/>
                <w:b/>
                <w:i/>
                <w:color w:val="000000" w:themeColor="text1"/>
                <w:sz w:val="20"/>
              </w:rPr>
              <w:t>Índice</w:t>
            </w:r>
          </w:p>
        </w:tc>
        <w:tc>
          <w:tcPr>
            <w:tcW w:w="3006" w:type="dxa"/>
          </w:tcPr>
          <w:p w14:paraId="6781AC4A" w14:textId="77777777" w:rsidR="00D55CA0" w:rsidRPr="000A5982" w:rsidRDefault="00D55CA0" w:rsidP="00A45A18">
            <w:pPr>
              <w:jc w:val="center"/>
              <w:rPr>
                <w:rFonts w:ascii="Cambria" w:hAnsi="Cambria"/>
                <w:b/>
                <w:bCs/>
                <w:i/>
                <w:iCs/>
                <w:color w:val="000000" w:themeColor="text1"/>
                <w:sz w:val="20"/>
                <w:szCs w:val="20"/>
              </w:rPr>
            </w:pPr>
            <w:r w:rsidRPr="000A5982">
              <w:rPr>
                <w:rFonts w:ascii="Cambria" w:hAnsi="Cambria"/>
                <w:b/>
                <w:i/>
                <w:color w:val="000000" w:themeColor="text1"/>
                <w:sz w:val="20"/>
              </w:rPr>
              <w:t>Primer año</w:t>
            </w:r>
          </w:p>
        </w:tc>
        <w:tc>
          <w:tcPr>
            <w:tcW w:w="2180" w:type="dxa"/>
          </w:tcPr>
          <w:p w14:paraId="74BB70FD" w14:textId="77777777" w:rsidR="00D55CA0" w:rsidRPr="000A5982" w:rsidRDefault="00D55CA0" w:rsidP="00A45A18">
            <w:pPr>
              <w:rPr>
                <w:rFonts w:ascii="Cambria" w:hAnsi="Cambria"/>
                <w:b/>
                <w:bCs/>
                <w:i/>
                <w:iCs/>
                <w:color w:val="000000" w:themeColor="text1"/>
                <w:sz w:val="20"/>
                <w:szCs w:val="20"/>
              </w:rPr>
            </w:pPr>
            <w:r w:rsidRPr="000A5982">
              <w:rPr>
                <w:rFonts w:ascii="Cambria" w:hAnsi="Cambria"/>
                <w:b/>
                <w:i/>
                <w:color w:val="000000" w:themeColor="text1"/>
                <w:sz w:val="20"/>
              </w:rPr>
              <w:t>Año final</w:t>
            </w:r>
          </w:p>
        </w:tc>
      </w:tr>
      <w:tr w:rsidR="00D55CA0" w:rsidRPr="0099704B" w14:paraId="1386AE26" w14:textId="77777777" w:rsidTr="00A45A18">
        <w:tc>
          <w:tcPr>
            <w:tcW w:w="3004" w:type="dxa"/>
          </w:tcPr>
          <w:p w14:paraId="24F612F9"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Palangre venezolano</w:t>
            </w:r>
          </w:p>
        </w:tc>
        <w:tc>
          <w:tcPr>
            <w:tcW w:w="3006" w:type="dxa"/>
          </w:tcPr>
          <w:p w14:paraId="0F429EA5" w14:textId="77777777" w:rsidR="00D55CA0" w:rsidRPr="000A5982" w:rsidRDefault="00D55CA0" w:rsidP="00A45A18">
            <w:pPr>
              <w:jc w:val="center"/>
              <w:rPr>
                <w:rFonts w:ascii="Cambria" w:hAnsi="Cambria"/>
                <w:color w:val="000000" w:themeColor="text1"/>
                <w:sz w:val="20"/>
                <w:szCs w:val="20"/>
              </w:rPr>
            </w:pPr>
            <w:r w:rsidRPr="000A5982">
              <w:rPr>
                <w:rFonts w:ascii="Cambria" w:hAnsi="Cambria"/>
                <w:color w:val="000000" w:themeColor="text1"/>
                <w:sz w:val="20"/>
              </w:rPr>
              <w:t>1991</w:t>
            </w:r>
          </w:p>
        </w:tc>
        <w:tc>
          <w:tcPr>
            <w:tcW w:w="2180" w:type="dxa"/>
          </w:tcPr>
          <w:p w14:paraId="09CCDEA9"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2017</w:t>
            </w:r>
          </w:p>
        </w:tc>
      </w:tr>
      <w:tr w:rsidR="00D55CA0" w:rsidRPr="0099704B" w14:paraId="24E37708" w14:textId="77777777" w:rsidTr="00A45A18">
        <w:tc>
          <w:tcPr>
            <w:tcW w:w="3004" w:type="dxa"/>
          </w:tcPr>
          <w:p w14:paraId="30D3967C"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Palangre de Estados Unidos norte</w:t>
            </w:r>
          </w:p>
        </w:tc>
        <w:tc>
          <w:tcPr>
            <w:tcW w:w="3006" w:type="dxa"/>
          </w:tcPr>
          <w:p w14:paraId="4040F31B" w14:textId="77777777" w:rsidR="00D55CA0" w:rsidRPr="000A5982" w:rsidRDefault="00D55CA0" w:rsidP="00A45A18">
            <w:pPr>
              <w:jc w:val="center"/>
              <w:rPr>
                <w:rFonts w:ascii="Cambria" w:hAnsi="Cambria"/>
                <w:color w:val="000000" w:themeColor="text1"/>
                <w:sz w:val="20"/>
                <w:szCs w:val="20"/>
              </w:rPr>
            </w:pPr>
            <w:r w:rsidRPr="000A5982">
              <w:rPr>
                <w:rFonts w:ascii="Cambria" w:hAnsi="Cambria"/>
                <w:color w:val="000000" w:themeColor="text1"/>
                <w:sz w:val="20"/>
              </w:rPr>
              <w:t>1987</w:t>
            </w:r>
          </w:p>
        </w:tc>
        <w:tc>
          <w:tcPr>
            <w:tcW w:w="2180" w:type="dxa"/>
          </w:tcPr>
          <w:p w14:paraId="16BB2768"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t-1</w:t>
            </w:r>
          </w:p>
        </w:tc>
      </w:tr>
      <w:tr w:rsidR="00D55CA0" w:rsidRPr="0099704B" w14:paraId="104BE73D" w14:textId="77777777" w:rsidTr="00A45A18">
        <w:tc>
          <w:tcPr>
            <w:tcW w:w="3004" w:type="dxa"/>
          </w:tcPr>
          <w:p w14:paraId="455A34DD"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Palangre de Estados Unidos sur</w:t>
            </w:r>
          </w:p>
        </w:tc>
        <w:tc>
          <w:tcPr>
            <w:tcW w:w="3006" w:type="dxa"/>
          </w:tcPr>
          <w:p w14:paraId="30AADCA6" w14:textId="77777777" w:rsidR="00D55CA0" w:rsidRPr="000A5982" w:rsidRDefault="00D55CA0" w:rsidP="00A45A18">
            <w:pPr>
              <w:jc w:val="center"/>
              <w:rPr>
                <w:rFonts w:ascii="Cambria" w:hAnsi="Cambria"/>
                <w:color w:val="000000" w:themeColor="text1"/>
                <w:sz w:val="20"/>
                <w:szCs w:val="20"/>
              </w:rPr>
            </w:pPr>
            <w:r w:rsidRPr="000A5982">
              <w:rPr>
                <w:rFonts w:ascii="Cambria" w:hAnsi="Cambria"/>
                <w:color w:val="000000" w:themeColor="text1"/>
                <w:sz w:val="20"/>
              </w:rPr>
              <w:t>1987</w:t>
            </w:r>
          </w:p>
        </w:tc>
        <w:tc>
          <w:tcPr>
            <w:tcW w:w="2180" w:type="dxa"/>
          </w:tcPr>
          <w:p w14:paraId="25DFA865"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t-1</w:t>
            </w:r>
          </w:p>
        </w:tc>
      </w:tr>
      <w:tr w:rsidR="00D55CA0" w:rsidRPr="0099704B" w14:paraId="798DC873" w14:textId="77777777" w:rsidTr="00A45A18">
        <w:tc>
          <w:tcPr>
            <w:tcW w:w="3004" w:type="dxa"/>
          </w:tcPr>
          <w:p w14:paraId="4AF2B9A5"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 xml:space="preserve">Palangre tardío de Taipei </w:t>
            </w:r>
            <w:proofErr w:type="gramStart"/>
            <w:r w:rsidRPr="000A5982">
              <w:rPr>
                <w:rFonts w:ascii="Cambria" w:hAnsi="Cambria"/>
                <w:color w:val="000000" w:themeColor="text1"/>
                <w:sz w:val="20"/>
              </w:rPr>
              <w:t>Chino</w:t>
            </w:r>
            <w:proofErr w:type="gramEnd"/>
            <w:r w:rsidRPr="000A5982">
              <w:rPr>
                <w:rFonts w:ascii="Cambria" w:hAnsi="Cambria"/>
                <w:color w:val="000000" w:themeColor="text1"/>
                <w:sz w:val="20"/>
              </w:rPr>
              <w:t xml:space="preserve"> norte</w:t>
            </w:r>
          </w:p>
        </w:tc>
        <w:tc>
          <w:tcPr>
            <w:tcW w:w="3006" w:type="dxa"/>
          </w:tcPr>
          <w:p w14:paraId="5CC8C868" w14:textId="77777777" w:rsidR="00D55CA0" w:rsidRPr="000A5982" w:rsidRDefault="00D55CA0" w:rsidP="00A45A18">
            <w:pPr>
              <w:jc w:val="center"/>
              <w:rPr>
                <w:rFonts w:ascii="Cambria" w:hAnsi="Cambria"/>
                <w:color w:val="000000" w:themeColor="text1"/>
                <w:sz w:val="20"/>
                <w:szCs w:val="20"/>
              </w:rPr>
            </w:pPr>
            <w:r w:rsidRPr="000A5982">
              <w:rPr>
                <w:rFonts w:ascii="Cambria" w:hAnsi="Cambria"/>
                <w:color w:val="000000" w:themeColor="text1"/>
                <w:sz w:val="20"/>
              </w:rPr>
              <w:t>1999</w:t>
            </w:r>
          </w:p>
        </w:tc>
        <w:tc>
          <w:tcPr>
            <w:tcW w:w="2180" w:type="dxa"/>
          </w:tcPr>
          <w:p w14:paraId="1DBD12FA"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t-1</w:t>
            </w:r>
          </w:p>
        </w:tc>
      </w:tr>
      <w:tr w:rsidR="00D55CA0" w:rsidRPr="0099704B" w14:paraId="1557CCE6" w14:textId="77777777" w:rsidTr="00A45A18">
        <w:tc>
          <w:tcPr>
            <w:tcW w:w="3004" w:type="dxa"/>
          </w:tcPr>
          <w:p w14:paraId="4F4FD67E"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 xml:space="preserve">Palangre tardío de Taipei </w:t>
            </w:r>
            <w:proofErr w:type="gramStart"/>
            <w:r w:rsidRPr="000A5982">
              <w:rPr>
                <w:rFonts w:ascii="Cambria" w:hAnsi="Cambria"/>
                <w:color w:val="000000" w:themeColor="text1"/>
                <w:sz w:val="20"/>
              </w:rPr>
              <w:t>Chino</w:t>
            </w:r>
            <w:proofErr w:type="gramEnd"/>
            <w:r w:rsidRPr="000A5982">
              <w:rPr>
                <w:rFonts w:ascii="Cambria" w:hAnsi="Cambria"/>
                <w:color w:val="000000" w:themeColor="text1"/>
                <w:sz w:val="20"/>
              </w:rPr>
              <w:t xml:space="preserve"> sur</w:t>
            </w:r>
          </w:p>
        </w:tc>
        <w:tc>
          <w:tcPr>
            <w:tcW w:w="3006" w:type="dxa"/>
          </w:tcPr>
          <w:p w14:paraId="44E47D36" w14:textId="77777777" w:rsidR="00D55CA0" w:rsidRPr="000A5982" w:rsidRDefault="00D55CA0" w:rsidP="00A45A18">
            <w:pPr>
              <w:jc w:val="center"/>
              <w:rPr>
                <w:rFonts w:ascii="Cambria" w:hAnsi="Cambria"/>
                <w:color w:val="000000" w:themeColor="text1"/>
                <w:sz w:val="20"/>
                <w:szCs w:val="20"/>
              </w:rPr>
            </w:pPr>
            <w:r w:rsidRPr="000A5982">
              <w:rPr>
                <w:rFonts w:ascii="Cambria" w:hAnsi="Cambria"/>
                <w:color w:val="000000" w:themeColor="text1"/>
                <w:sz w:val="20"/>
              </w:rPr>
              <w:t>1999</w:t>
            </w:r>
          </w:p>
        </w:tc>
        <w:tc>
          <w:tcPr>
            <w:tcW w:w="2180" w:type="dxa"/>
          </w:tcPr>
          <w:p w14:paraId="0CA44781"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t-1</w:t>
            </w:r>
          </w:p>
        </w:tc>
      </w:tr>
      <w:tr w:rsidR="00D55CA0" w:rsidRPr="0099704B" w14:paraId="67677FFD" w14:textId="77777777" w:rsidTr="00A45A18">
        <w:tc>
          <w:tcPr>
            <w:tcW w:w="3004" w:type="dxa"/>
          </w:tcPr>
          <w:p w14:paraId="645C4D66"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Palangre tardío de Japón norte</w:t>
            </w:r>
          </w:p>
        </w:tc>
        <w:tc>
          <w:tcPr>
            <w:tcW w:w="3006" w:type="dxa"/>
          </w:tcPr>
          <w:p w14:paraId="44122496" w14:textId="77777777" w:rsidR="00D55CA0" w:rsidRPr="000A5982" w:rsidRDefault="00D55CA0" w:rsidP="00A45A18">
            <w:pPr>
              <w:jc w:val="center"/>
              <w:rPr>
                <w:rFonts w:ascii="Cambria" w:hAnsi="Cambria"/>
                <w:color w:val="000000" w:themeColor="text1"/>
                <w:sz w:val="20"/>
                <w:szCs w:val="20"/>
              </w:rPr>
            </w:pPr>
            <w:r w:rsidRPr="000A5982">
              <w:rPr>
                <w:rFonts w:ascii="Cambria" w:hAnsi="Cambria"/>
                <w:color w:val="000000" w:themeColor="text1"/>
                <w:sz w:val="20"/>
              </w:rPr>
              <w:t>1988</w:t>
            </w:r>
          </w:p>
        </w:tc>
        <w:tc>
          <w:tcPr>
            <w:tcW w:w="2180" w:type="dxa"/>
          </w:tcPr>
          <w:p w14:paraId="071262DE"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2009</w:t>
            </w:r>
          </w:p>
        </w:tc>
      </w:tr>
      <w:tr w:rsidR="00D55CA0" w:rsidRPr="0099704B" w14:paraId="47A1E387" w14:textId="77777777" w:rsidTr="00A45A18">
        <w:tc>
          <w:tcPr>
            <w:tcW w:w="3004" w:type="dxa"/>
          </w:tcPr>
          <w:p w14:paraId="08A60699"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Palangre tardío de Japón sur</w:t>
            </w:r>
          </w:p>
        </w:tc>
        <w:tc>
          <w:tcPr>
            <w:tcW w:w="3006" w:type="dxa"/>
          </w:tcPr>
          <w:p w14:paraId="6457CE75" w14:textId="77777777" w:rsidR="00D55CA0" w:rsidRPr="000A5982" w:rsidRDefault="00D55CA0" w:rsidP="00A45A18">
            <w:pPr>
              <w:jc w:val="center"/>
              <w:rPr>
                <w:rFonts w:ascii="Cambria" w:hAnsi="Cambria"/>
                <w:color w:val="000000" w:themeColor="text1"/>
                <w:sz w:val="20"/>
                <w:szCs w:val="20"/>
              </w:rPr>
            </w:pPr>
            <w:r w:rsidRPr="000A5982">
              <w:rPr>
                <w:rFonts w:ascii="Cambria" w:hAnsi="Cambria"/>
                <w:color w:val="000000" w:themeColor="text1"/>
                <w:sz w:val="20"/>
              </w:rPr>
              <w:t>1988</w:t>
            </w:r>
          </w:p>
        </w:tc>
        <w:tc>
          <w:tcPr>
            <w:tcW w:w="2180" w:type="dxa"/>
          </w:tcPr>
          <w:p w14:paraId="17984529"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t-1</w:t>
            </w:r>
          </w:p>
        </w:tc>
      </w:tr>
      <w:tr w:rsidR="00D55CA0" w:rsidRPr="0099704B" w14:paraId="7EC76F9F" w14:textId="77777777" w:rsidTr="00A45A18">
        <w:tc>
          <w:tcPr>
            <w:tcW w:w="3004" w:type="dxa"/>
          </w:tcPr>
          <w:p w14:paraId="28A27D46" w14:textId="77777777" w:rsidR="00D55CA0" w:rsidRPr="000A5982" w:rsidRDefault="00D55CA0" w:rsidP="00A45A18">
            <w:pPr>
              <w:rPr>
                <w:rFonts w:ascii="Cambria" w:hAnsi="Cambria"/>
                <w:color w:val="000000" w:themeColor="text1"/>
                <w:sz w:val="20"/>
                <w:szCs w:val="20"/>
              </w:rPr>
            </w:pPr>
            <w:r w:rsidRPr="000A5982">
              <w:rPr>
                <w:rFonts w:ascii="Cambria" w:hAnsi="Cambria"/>
                <w:color w:val="000000" w:themeColor="text1"/>
                <w:sz w:val="20"/>
              </w:rPr>
              <w:t>Cebo vivo de UE-España</w:t>
            </w:r>
          </w:p>
        </w:tc>
        <w:tc>
          <w:tcPr>
            <w:tcW w:w="3006" w:type="dxa"/>
          </w:tcPr>
          <w:p w14:paraId="7CACA7FD" w14:textId="77777777" w:rsidR="00D55CA0" w:rsidRPr="000A5982" w:rsidRDefault="00D55CA0" w:rsidP="00A45A18">
            <w:pPr>
              <w:jc w:val="center"/>
              <w:rPr>
                <w:rFonts w:ascii="Cambria" w:hAnsi="Cambria"/>
                <w:color w:val="000000" w:themeColor="text1"/>
                <w:sz w:val="20"/>
                <w:szCs w:val="20"/>
              </w:rPr>
            </w:pPr>
            <w:r w:rsidRPr="000A5982">
              <w:rPr>
                <w:rFonts w:ascii="Cambria" w:hAnsi="Cambria"/>
                <w:color w:val="000000" w:themeColor="text1"/>
                <w:sz w:val="20"/>
              </w:rPr>
              <w:t>1981</w:t>
            </w:r>
          </w:p>
        </w:tc>
        <w:tc>
          <w:tcPr>
            <w:tcW w:w="2180" w:type="dxa"/>
          </w:tcPr>
          <w:p w14:paraId="06B592A5" w14:textId="77777777" w:rsidR="00D55CA0" w:rsidRPr="0099704B" w:rsidRDefault="00D55CA0" w:rsidP="00A45A18">
            <w:pPr>
              <w:rPr>
                <w:rFonts w:ascii="Cambria" w:hAnsi="Cambria"/>
                <w:color w:val="000000" w:themeColor="text1"/>
                <w:sz w:val="20"/>
                <w:szCs w:val="20"/>
              </w:rPr>
            </w:pPr>
            <w:r w:rsidRPr="000A5982">
              <w:rPr>
                <w:rFonts w:ascii="Cambria" w:hAnsi="Cambria"/>
                <w:color w:val="000000" w:themeColor="text1"/>
                <w:sz w:val="20"/>
              </w:rPr>
              <w:t>t-1</w:t>
            </w:r>
          </w:p>
        </w:tc>
      </w:tr>
    </w:tbl>
    <w:p w14:paraId="441222FE" w14:textId="77777777" w:rsidR="00D55CA0" w:rsidRPr="0099704B" w:rsidRDefault="00D55CA0" w:rsidP="00D55CA0">
      <w:pPr>
        <w:pStyle w:val="Caption"/>
        <w:rPr>
          <w:rFonts w:ascii="Cambria" w:hAnsi="Cambria"/>
          <w:i w:val="0"/>
          <w:iCs/>
          <w:sz w:val="20"/>
          <w:szCs w:val="20"/>
        </w:rPr>
      </w:pPr>
    </w:p>
    <w:p w14:paraId="2EAFD765" w14:textId="72821DC4" w:rsidR="00D55CA0" w:rsidRPr="00D55CA0" w:rsidRDefault="00D55CA0" w:rsidP="00D55CA0">
      <w:pPr>
        <w:tabs>
          <w:tab w:val="center" w:pos="4513"/>
          <w:tab w:val="left" w:pos="6804"/>
        </w:tabs>
        <w:jc w:val="both"/>
        <w:rPr>
          <w:rFonts w:ascii="Cambria" w:hAnsi="Cambria"/>
          <w:i/>
          <w:iCs/>
          <w:sz w:val="20"/>
          <w:szCs w:val="20"/>
        </w:rPr>
      </w:pPr>
      <w:r w:rsidRPr="00D55CA0">
        <w:rPr>
          <w:rFonts w:ascii="Cambria" w:hAnsi="Cambria"/>
          <w:i/>
          <w:iCs/>
          <w:sz w:val="20"/>
          <w:szCs w:val="20"/>
        </w:rPr>
        <w:lastRenderedPageBreak/>
        <w:t>Atún blanco del Mediterráneo</w:t>
      </w:r>
    </w:p>
    <w:p w14:paraId="5EC50899" w14:textId="77777777" w:rsidR="00D55CA0" w:rsidRDefault="00D55CA0" w:rsidP="00D55CA0">
      <w:pPr>
        <w:tabs>
          <w:tab w:val="center" w:pos="4513"/>
          <w:tab w:val="left" w:pos="6804"/>
        </w:tabs>
        <w:jc w:val="both"/>
        <w:rPr>
          <w:rFonts w:ascii="Cambria" w:hAnsi="Cambria"/>
          <w:b/>
          <w:bCs/>
          <w:i/>
          <w:iCs/>
          <w:sz w:val="20"/>
          <w:szCs w:val="20"/>
        </w:rPr>
      </w:pPr>
    </w:p>
    <w:p w14:paraId="06D54A69" w14:textId="4A475C61" w:rsidR="00D55CA0" w:rsidRPr="0099704B" w:rsidRDefault="00D55CA0" w:rsidP="00D55CA0">
      <w:pPr>
        <w:tabs>
          <w:tab w:val="center" w:pos="4513"/>
          <w:tab w:val="left" w:pos="6804"/>
        </w:tabs>
        <w:jc w:val="both"/>
        <w:rPr>
          <w:rFonts w:ascii="Cambria" w:hAnsi="Cambria"/>
          <w:b/>
          <w:bCs/>
          <w:i/>
          <w:iCs/>
          <w:sz w:val="20"/>
          <w:szCs w:val="20"/>
        </w:rPr>
      </w:pPr>
      <w:r w:rsidRPr="000A5982">
        <w:rPr>
          <w:rFonts w:ascii="Cambria" w:hAnsi="Cambria"/>
          <w:b/>
          <w:bCs/>
          <w:i/>
          <w:iCs/>
          <w:sz w:val="20"/>
          <w:szCs w:val="20"/>
        </w:rPr>
        <w:t xml:space="preserve">19.10 En 2026, o en cualquier año posterior identificado por el SCRS en 2025, debido a limitaciones de datos que le impidan continuar con su trabajo, el SCRS facilitará una evaluación actualizada del estado del stock basándose en los datos más recientes disponibles, </w:t>
      </w:r>
      <w:hyperlink r:id="rId21">
        <w:r w:rsidRPr="000A5982">
          <w:rPr>
            <w:rStyle w:val="InternetLink"/>
            <w:rFonts w:ascii="Cambria" w:hAnsi="Cambria"/>
            <w:b/>
            <w:bCs/>
            <w:i/>
            <w:iCs/>
            <w:sz w:val="20"/>
            <w:szCs w:val="20"/>
            <w:u w:val="none"/>
          </w:rPr>
          <w:t>Rec. 24-08</w:t>
        </w:r>
      </w:hyperlink>
      <w:r w:rsidRPr="000A5982">
        <w:rPr>
          <w:rFonts w:ascii="Cambria" w:hAnsi="Cambria"/>
          <w:b/>
          <w:bCs/>
          <w:i/>
          <w:iCs/>
          <w:sz w:val="20"/>
          <w:szCs w:val="20"/>
        </w:rPr>
        <w:t>, para 11</w:t>
      </w:r>
      <w:r w:rsidRPr="0099704B">
        <w:rPr>
          <w:rFonts w:ascii="Cambria" w:hAnsi="Cambria"/>
          <w:b/>
          <w:i/>
          <w:sz w:val="20"/>
          <w:szCs w:val="20"/>
        </w:rPr>
        <w:t xml:space="preserve"> </w:t>
      </w:r>
    </w:p>
    <w:p w14:paraId="3F945358" w14:textId="77777777" w:rsidR="00D55CA0" w:rsidRPr="0099704B" w:rsidRDefault="00D55CA0" w:rsidP="00D55CA0">
      <w:pPr>
        <w:widowControl w:val="0"/>
        <w:autoSpaceDE w:val="0"/>
        <w:autoSpaceDN w:val="0"/>
        <w:ind w:right="-2"/>
        <w:jc w:val="both"/>
        <w:rPr>
          <w:rFonts w:ascii="Cambria" w:hAnsi="Cambria"/>
          <w:b/>
          <w:bCs/>
          <w:sz w:val="20"/>
          <w:szCs w:val="20"/>
        </w:rPr>
      </w:pPr>
    </w:p>
    <w:p w14:paraId="384E2F76" w14:textId="77777777" w:rsidR="00D55CA0" w:rsidRPr="000A5982" w:rsidRDefault="00D55CA0" w:rsidP="00D55CA0">
      <w:pPr>
        <w:widowControl w:val="0"/>
        <w:ind w:right="-2"/>
        <w:jc w:val="both"/>
        <w:rPr>
          <w:rFonts w:ascii="Cambria" w:eastAsia="Calibri" w:hAnsi="Cambria" w:cs="Cambria"/>
          <w:i/>
          <w:iCs/>
          <w:sz w:val="20"/>
          <w:szCs w:val="20"/>
        </w:rPr>
      </w:pPr>
      <w:r w:rsidRPr="000A5982">
        <w:rPr>
          <w:rFonts w:ascii="Cambria" w:hAnsi="Cambria"/>
          <w:b/>
          <w:sz w:val="20"/>
          <w:szCs w:val="20"/>
        </w:rPr>
        <w:t>Contexto:</w:t>
      </w:r>
      <w:r w:rsidRPr="000A5982">
        <w:rPr>
          <w:rFonts w:ascii="Cambria" w:hAnsi="Cambria"/>
          <w:i/>
          <w:sz w:val="20"/>
          <w:szCs w:val="20"/>
        </w:rPr>
        <w:t xml:space="preserve"> En 2026, o en cualquier año posterior identificado por el SCRS en 2025 debido a limitaciones de datos que le impidan continuar con su trabajo, el SCRS facilitará una evaluación actualizada del estado del stock basándose en los datos más recientes disponibles. Evaluará la eficacia de este plan de recuperación y facilitará asesoramiento sobre posibles enmiendas de las diferentes medidas incluidas en este plan. El SCRS asesorará a la Comisión sobre las características apropiadas del arte de pesca, el periodo de cierre mencionado en el párrafo 9, así como sobre la talla mínima que se tiene que implementar para el atún blanco del Mediterráneo.</w:t>
      </w:r>
    </w:p>
    <w:p w14:paraId="2A7F8933" w14:textId="77777777" w:rsidR="00D55CA0" w:rsidRPr="000A5982" w:rsidRDefault="00D55CA0" w:rsidP="00D55CA0">
      <w:pPr>
        <w:widowControl w:val="0"/>
        <w:ind w:right="-2"/>
        <w:jc w:val="both"/>
        <w:rPr>
          <w:rFonts w:ascii="Cambria" w:hAnsi="Cambria"/>
          <w:i/>
          <w:iCs/>
          <w:sz w:val="20"/>
          <w:szCs w:val="20"/>
        </w:rPr>
      </w:pPr>
    </w:p>
    <w:p w14:paraId="79BF405E" w14:textId="77777777" w:rsidR="00D55CA0" w:rsidRPr="000A5982" w:rsidRDefault="00D55CA0" w:rsidP="00D55CA0">
      <w:pPr>
        <w:widowControl w:val="0"/>
        <w:ind w:right="-2"/>
        <w:jc w:val="both"/>
        <w:rPr>
          <w:rFonts w:ascii="Cambria" w:hAnsi="Cambria"/>
          <w:sz w:val="20"/>
          <w:szCs w:val="20"/>
        </w:rPr>
      </w:pPr>
      <w:r w:rsidRPr="000A5982">
        <w:rPr>
          <w:rFonts w:ascii="Cambria" w:hAnsi="Cambria"/>
          <w:sz w:val="20"/>
          <w:szCs w:val="20"/>
        </w:rPr>
        <w:t xml:space="preserve">El Comité recordó que la última evaluación de stock de atún blanco del Mediterráneo se llevó a cabo en 2024 utilizando datos hasta 2022, y que, a pesar de los recientes avances en lo que respecta a los datos de capturas y al tratamiento del índice larvario, persisten importantes incertidumbres (capturas históricas, características del ciclo vital de la especie) que siguen impidiendo realizar una nueva evaluación sólida. Por lo tanto, aconsejó que la próxima evaluación completa no se programara antes de 2028 y cuando ya que se hayan abordado estas importantes incertidumbres. </w:t>
      </w:r>
    </w:p>
    <w:p w14:paraId="391543FE" w14:textId="77777777" w:rsidR="00D55CA0" w:rsidRPr="000A5982" w:rsidRDefault="00D55CA0" w:rsidP="00D55CA0">
      <w:pPr>
        <w:widowControl w:val="0"/>
        <w:ind w:right="-2"/>
        <w:jc w:val="both"/>
        <w:rPr>
          <w:rFonts w:ascii="Cambria" w:hAnsi="Cambria"/>
          <w:sz w:val="20"/>
          <w:szCs w:val="20"/>
        </w:rPr>
      </w:pPr>
    </w:p>
    <w:p w14:paraId="7FDE4C33" w14:textId="77777777" w:rsidR="00D55CA0" w:rsidRPr="0099704B" w:rsidRDefault="00D55CA0" w:rsidP="00D55CA0">
      <w:pPr>
        <w:widowControl w:val="0"/>
        <w:ind w:right="-2"/>
        <w:jc w:val="both"/>
        <w:rPr>
          <w:rFonts w:ascii="Cambria" w:hAnsi="Cambria"/>
          <w:sz w:val="20"/>
          <w:szCs w:val="20"/>
        </w:rPr>
      </w:pPr>
      <w:r w:rsidRPr="000A5982">
        <w:rPr>
          <w:rFonts w:ascii="Cambria" w:hAnsi="Cambria"/>
          <w:sz w:val="20"/>
          <w:szCs w:val="20"/>
        </w:rPr>
        <w:t xml:space="preserve">Como se indica en su respuesta de 2024 a la Comisión (sección 19.8 del </w:t>
      </w:r>
      <w:hyperlink r:id="rId22" w:history="1">
        <w:r w:rsidRPr="000A5982">
          <w:rPr>
            <w:rStyle w:val="Hyperlink"/>
            <w:rFonts w:ascii="Cambria" w:hAnsi="Cambria"/>
            <w:i/>
            <w:sz w:val="20"/>
            <w:szCs w:val="20"/>
            <w:u w:val="none"/>
          </w:rPr>
          <w:t>Informe del periodo bienal 2024-2025, Parte I (2024), Vol. 2)</w:t>
        </w:r>
      </w:hyperlink>
      <w:r w:rsidRPr="000A5982">
        <w:rPr>
          <w:rFonts w:ascii="Cambria" w:hAnsi="Cambria"/>
          <w:sz w:val="20"/>
          <w:szCs w:val="20"/>
        </w:rPr>
        <w:t>, el Comité consideró que los cambios en los artes aportarían pocos beneficios, ya que la mayoría de las capturas son superiores a la talla de primera madurez, y señaló que las vedas otoño-invierno adoptadas en 2022 pueden estar contribuyendo a reducir el esfuerzo pesquero, aunque su efecto aún no puede cuantificarse. En cuanto a la talla mínima, el Comité reiteró que dicha medida tendría un beneficio limitado o nulo, dada la composición actual de las capturas, y podría dar lugar a una potencial mortalidad por descarte elevada. La eficacia del plan de recuperación puede evaluarse de forma óptima mediante una evaluación completa del stock.</w:t>
      </w:r>
    </w:p>
    <w:p w14:paraId="29817349" w14:textId="5248985E" w:rsidR="007C25E0" w:rsidRDefault="007C25E0" w:rsidP="007C25E0">
      <w:pPr>
        <w:tabs>
          <w:tab w:val="left" w:pos="5845"/>
        </w:tabs>
        <w:rPr>
          <w:rFonts w:ascii="Cambria" w:hAnsi="Cambria"/>
          <w:sz w:val="20"/>
          <w:szCs w:val="20"/>
        </w:rPr>
      </w:pPr>
    </w:p>
    <w:p w14:paraId="4571E25F" w14:textId="1D5EB144" w:rsidR="007C25E0" w:rsidRDefault="007C25E0" w:rsidP="007C25E0">
      <w:pPr>
        <w:tabs>
          <w:tab w:val="left" w:pos="5845"/>
        </w:tabs>
        <w:rPr>
          <w:rFonts w:ascii="Cambria" w:hAnsi="Cambria"/>
          <w:b/>
          <w:bCs/>
          <w:sz w:val="20"/>
          <w:szCs w:val="20"/>
        </w:rPr>
      </w:pPr>
      <w:r w:rsidRPr="007C25E0">
        <w:rPr>
          <w:rFonts w:ascii="Cambria" w:hAnsi="Cambria"/>
          <w:b/>
          <w:bCs/>
          <w:sz w:val="20"/>
          <w:szCs w:val="20"/>
        </w:rPr>
        <w:t>Recomendaciones</w:t>
      </w:r>
    </w:p>
    <w:p w14:paraId="5EEC4743" w14:textId="77777777" w:rsidR="007C25E0" w:rsidRDefault="007C25E0" w:rsidP="007C25E0">
      <w:pPr>
        <w:tabs>
          <w:tab w:val="left" w:pos="5845"/>
        </w:tabs>
        <w:rPr>
          <w:rFonts w:ascii="Cambria" w:hAnsi="Cambria"/>
          <w:b/>
          <w:bCs/>
          <w:sz w:val="20"/>
          <w:szCs w:val="20"/>
        </w:rPr>
      </w:pPr>
    </w:p>
    <w:p w14:paraId="5E2A9DE0" w14:textId="77777777" w:rsidR="00D55CA0" w:rsidRPr="00D55CA0" w:rsidRDefault="00D55CA0" w:rsidP="00D55CA0">
      <w:pPr>
        <w:tabs>
          <w:tab w:val="center" w:pos="4513"/>
          <w:tab w:val="left" w:pos="6804"/>
        </w:tabs>
        <w:jc w:val="both"/>
        <w:rPr>
          <w:rFonts w:ascii="Cambria" w:hAnsi="Cambria"/>
          <w:i/>
          <w:iCs/>
          <w:sz w:val="20"/>
          <w:szCs w:val="20"/>
        </w:rPr>
      </w:pPr>
      <w:r w:rsidRPr="00D55CA0">
        <w:rPr>
          <w:rFonts w:ascii="Cambria" w:hAnsi="Cambria"/>
          <w:i/>
          <w:iCs/>
          <w:sz w:val="20"/>
          <w:szCs w:val="20"/>
        </w:rPr>
        <w:t>Atún blanco del Mediterráneo</w:t>
      </w:r>
    </w:p>
    <w:p w14:paraId="7E7B604E" w14:textId="77777777" w:rsidR="00D55CA0" w:rsidRDefault="00D55CA0" w:rsidP="007C25E0">
      <w:pPr>
        <w:tabs>
          <w:tab w:val="left" w:pos="5845"/>
        </w:tabs>
        <w:rPr>
          <w:rFonts w:ascii="Cambria" w:hAnsi="Cambria"/>
          <w:b/>
          <w:bCs/>
          <w:sz w:val="20"/>
          <w:szCs w:val="20"/>
        </w:rPr>
      </w:pPr>
    </w:p>
    <w:p w14:paraId="42659026" w14:textId="77777777" w:rsidR="00D55CA0" w:rsidRPr="000A5982" w:rsidRDefault="00D55CA0" w:rsidP="00D04B05">
      <w:pPr>
        <w:numPr>
          <w:ilvl w:val="0"/>
          <w:numId w:val="1"/>
        </w:numPr>
        <w:tabs>
          <w:tab w:val="left" w:pos="113"/>
          <w:tab w:val="left" w:pos="360"/>
        </w:tabs>
        <w:jc w:val="both"/>
        <w:rPr>
          <w:rFonts w:ascii="Cambria" w:eastAsia="Calibri" w:hAnsi="Cambria"/>
          <w:sz w:val="20"/>
          <w:szCs w:val="20"/>
        </w:rPr>
      </w:pPr>
      <w:r w:rsidRPr="000A5982">
        <w:rPr>
          <w:rFonts w:ascii="Cambria" w:hAnsi="Cambria"/>
          <w:sz w:val="20"/>
        </w:rPr>
        <w:t xml:space="preserve">Para mejorar el asesoramiento sobre la ordenación del stock mediterráneo, los programas de investigación deberían centrarse en los puntos clave </w:t>
      </w:r>
    </w:p>
    <w:p w14:paraId="4D57EA7B" w14:textId="77777777" w:rsidR="00D55CA0" w:rsidRPr="000A5982" w:rsidRDefault="00D55CA0" w:rsidP="00D55CA0">
      <w:pPr>
        <w:pStyle w:val="ListParagraph"/>
        <w:rPr>
          <w:rFonts w:ascii="Cambria" w:hAnsi="Cambria"/>
          <w:sz w:val="20"/>
          <w:szCs w:val="20"/>
        </w:rPr>
      </w:pPr>
    </w:p>
    <w:p w14:paraId="40CB4102" w14:textId="77777777" w:rsidR="00D55CA0" w:rsidRPr="000A5982" w:rsidRDefault="00D55CA0" w:rsidP="00D04B05">
      <w:pPr>
        <w:pStyle w:val="ListParagraph"/>
        <w:numPr>
          <w:ilvl w:val="0"/>
          <w:numId w:val="2"/>
        </w:numPr>
        <w:tabs>
          <w:tab w:val="left" w:pos="113"/>
          <w:tab w:val="left" w:pos="360"/>
        </w:tabs>
        <w:ind w:left="1134" w:hanging="283"/>
        <w:contextualSpacing/>
        <w:jc w:val="both"/>
        <w:rPr>
          <w:rFonts w:ascii="Cambria" w:hAnsi="Cambria"/>
          <w:sz w:val="20"/>
          <w:szCs w:val="20"/>
        </w:rPr>
      </w:pPr>
      <w:r w:rsidRPr="000A5982">
        <w:rPr>
          <w:rFonts w:ascii="Cambria" w:hAnsi="Cambria"/>
          <w:sz w:val="20"/>
        </w:rPr>
        <w:t xml:space="preserve">Mejora de las estadísticas pesqueras mediante la recuperación de datos, un análisis integrado del crecimiento, la mejora de las distribuciones previas de </w:t>
      </w:r>
      <w:r w:rsidRPr="000A5982">
        <w:rPr>
          <w:rFonts w:ascii="Cambria" w:hAnsi="Cambria"/>
          <w:i/>
          <w:iCs/>
          <w:sz w:val="20"/>
        </w:rPr>
        <w:t>r</w:t>
      </w:r>
      <w:r w:rsidRPr="000A5982">
        <w:rPr>
          <w:rFonts w:ascii="Cambria" w:hAnsi="Cambria"/>
          <w:sz w:val="20"/>
        </w:rPr>
        <w:t xml:space="preserve"> y </w:t>
      </w:r>
      <w:r w:rsidRPr="000A5982">
        <w:rPr>
          <w:rFonts w:ascii="Cambria" w:hAnsi="Cambria"/>
          <w:i/>
          <w:iCs/>
          <w:sz w:val="20"/>
        </w:rPr>
        <w:t>K</w:t>
      </w:r>
      <w:r w:rsidRPr="000A5982">
        <w:rPr>
          <w:rFonts w:ascii="Cambria" w:hAnsi="Cambria"/>
          <w:sz w:val="20"/>
        </w:rPr>
        <w:t>, el desarrollo de una captura por unidad de esfuerzo (CPUE) conjunta para el palangre, y efectos medioambientales. </w:t>
      </w:r>
    </w:p>
    <w:p w14:paraId="5089B8C6" w14:textId="77777777" w:rsidR="00D55CA0" w:rsidRPr="000A5982" w:rsidRDefault="00D55CA0" w:rsidP="00D55CA0">
      <w:pPr>
        <w:tabs>
          <w:tab w:val="left" w:pos="113"/>
          <w:tab w:val="left" w:pos="360"/>
        </w:tabs>
        <w:jc w:val="both"/>
        <w:rPr>
          <w:rFonts w:ascii="Cambria" w:eastAsia="Calibri" w:hAnsi="Cambria"/>
          <w:sz w:val="20"/>
          <w:szCs w:val="20"/>
        </w:rPr>
      </w:pPr>
    </w:p>
    <w:p w14:paraId="41039B31" w14:textId="66BD83DB" w:rsidR="00D55CA0" w:rsidRPr="00D55CA0" w:rsidRDefault="00D55CA0" w:rsidP="00D04B05">
      <w:pPr>
        <w:pStyle w:val="ListParagraph"/>
        <w:numPr>
          <w:ilvl w:val="0"/>
          <w:numId w:val="2"/>
        </w:numPr>
        <w:tabs>
          <w:tab w:val="left" w:pos="113"/>
          <w:tab w:val="left" w:pos="360"/>
        </w:tabs>
        <w:ind w:left="1134" w:hanging="283"/>
        <w:contextualSpacing/>
        <w:jc w:val="both"/>
        <w:rPr>
          <w:rFonts w:ascii="Cambria" w:hAnsi="Cambria"/>
          <w:b/>
          <w:bCs/>
          <w:sz w:val="20"/>
          <w:szCs w:val="20"/>
        </w:rPr>
      </w:pPr>
      <w:r w:rsidRPr="000A5982">
        <w:rPr>
          <w:rFonts w:ascii="Cambria" w:hAnsi="Cambria"/>
          <w:sz w:val="20"/>
        </w:rPr>
        <w:t>Dado el éxito de la iniciativa para crear la Red de Investigación sobre el Atún Blanco del Mediterráneo, se recomienda adoptar las medidas necesarias para consolidarla, con el objetivo de definir las prioridades y necesidades de investigación e identificar posibles sinergias que aumenten la capacidad del grupo para responder a la Comisión</w:t>
      </w:r>
      <w:r>
        <w:rPr>
          <w:rFonts w:ascii="Cambria" w:hAnsi="Cambria"/>
          <w:sz w:val="20"/>
        </w:rPr>
        <w:t>.</w:t>
      </w:r>
    </w:p>
    <w:p w14:paraId="15446176" w14:textId="77777777" w:rsidR="00D55CA0" w:rsidRDefault="00D55CA0" w:rsidP="00D55CA0">
      <w:pPr>
        <w:tabs>
          <w:tab w:val="left" w:pos="113"/>
          <w:tab w:val="left" w:pos="360"/>
        </w:tabs>
        <w:contextualSpacing/>
        <w:jc w:val="both"/>
        <w:rPr>
          <w:rFonts w:ascii="Cambria" w:hAnsi="Cambria"/>
          <w:b/>
          <w:bCs/>
          <w:sz w:val="20"/>
          <w:szCs w:val="20"/>
        </w:rPr>
      </w:pPr>
    </w:p>
    <w:p w14:paraId="42FFCC4B" w14:textId="438B34B0" w:rsidR="00D55CA0" w:rsidRDefault="00D55CA0" w:rsidP="00D55CA0">
      <w:pPr>
        <w:tabs>
          <w:tab w:val="left" w:pos="113"/>
          <w:tab w:val="left" w:pos="360"/>
        </w:tabs>
        <w:contextualSpacing/>
        <w:jc w:val="both"/>
        <w:rPr>
          <w:rFonts w:ascii="Cambria" w:hAnsi="Cambria"/>
          <w:i/>
          <w:iCs/>
          <w:sz w:val="20"/>
          <w:szCs w:val="20"/>
        </w:rPr>
      </w:pPr>
      <w:r w:rsidRPr="00D55CA0">
        <w:rPr>
          <w:rFonts w:ascii="Cambria" w:hAnsi="Cambria"/>
          <w:i/>
          <w:iCs/>
          <w:sz w:val="20"/>
          <w:szCs w:val="20"/>
        </w:rPr>
        <w:t>Atún rojo</w:t>
      </w:r>
    </w:p>
    <w:p w14:paraId="63625A8B" w14:textId="77777777" w:rsidR="00D55CA0" w:rsidRDefault="00D55CA0" w:rsidP="00D55CA0">
      <w:pPr>
        <w:tabs>
          <w:tab w:val="left" w:pos="113"/>
          <w:tab w:val="left" w:pos="360"/>
        </w:tabs>
        <w:contextualSpacing/>
        <w:jc w:val="both"/>
        <w:rPr>
          <w:rFonts w:ascii="Cambria" w:hAnsi="Cambria"/>
          <w:i/>
          <w:iCs/>
          <w:sz w:val="20"/>
          <w:szCs w:val="20"/>
        </w:rPr>
      </w:pPr>
    </w:p>
    <w:p w14:paraId="3A10596B" w14:textId="77777777" w:rsidR="00D55CA0" w:rsidRPr="000A5982" w:rsidRDefault="00D55CA0" w:rsidP="00D04B05">
      <w:pPr>
        <w:keepLines/>
        <w:widowControl w:val="0"/>
        <w:numPr>
          <w:ilvl w:val="0"/>
          <w:numId w:val="3"/>
        </w:numPr>
        <w:spacing w:after="160"/>
        <w:ind w:left="425" w:hanging="425"/>
        <w:jc w:val="both"/>
        <w:rPr>
          <w:rFonts w:ascii="Cambria" w:eastAsia="Cambria" w:hAnsi="Cambria" w:cs="Cambria"/>
          <w:sz w:val="20"/>
          <w:szCs w:val="20"/>
        </w:rPr>
      </w:pPr>
      <w:r w:rsidRPr="000A5982">
        <w:rPr>
          <w:rFonts w:ascii="Cambria" w:eastAsiaTheme="minorEastAsia" w:hAnsi="Cambria" w:cstheme="minorBidi"/>
          <w:kern w:val="2"/>
          <w:sz w:val="20"/>
          <w14:ligatures w14:val="standardContextual"/>
        </w:rPr>
        <w:t xml:space="preserve">A fin de facilitar un proceso basado en la IA para la recopilación y el almacenamiento de las mediciones de longitud en la primera transferencia de atún rojo («Proyecto de enmienda de la </w:t>
      </w:r>
      <w:hyperlink r:id="rId23" w:tgtFrame="_blank" w:tooltip="https://www.iccat.int/documents/recs/compendiopdf-s/2025-04-s.pdf" w:history="1">
        <w:r w:rsidRPr="000A5982">
          <w:rPr>
            <w:rFonts w:ascii="Cambria" w:eastAsiaTheme="minorEastAsia" w:hAnsi="Cambria" w:cstheme="minorBidi"/>
            <w:color w:val="0563C1" w:themeColor="hyperlink"/>
            <w:kern w:val="2"/>
            <w:sz w:val="20"/>
            <w14:ligatures w14:val="standardContextual"/>
          </w:rPr>
          <w:t>Recomendación 25</w:t>
        </w:r>
        <w:r w:rsidRPr="000A5982">
          <w:rPr>
            <w:rFonts w:ascii="Cambria" w:eastAsiaTheme="minorEastAsia" w:hAnsi="Cambria" w:cstheme="minorBidi"/>
            <w:color w:val="0563C1" w:themeColor="hyperlink"/>
            <w:kern w:val="2"/>
            <w:sz w:val="20"/>
            <w:vertAlign w:val="subscript"/>
            <w14:ligatures w14:val="standardContextual"/>
          </w:rPr>
          <w:t>-</w:t>
        </w:r>
        <w:r w:rsidRPr="000A5982">
          <w:rPr>
            <w:rFonts w:ascii="Cambria" w:eastAsiaTheme="minorEastAsia" w:hAnsi="Cambria" w:cstheme="minorBidi"/>
            <w:color w:val="0563C1" w:themeColor="hyperlink"/>
            <w:kern w:val="2"/>
            <w:sz w:val="20"/>
            <w14:ligatures w14:val="standardContextual"/>
          </w:rPr>
          <w:t>04</w:t>
        </w:r>
      </w:hyperlink>
      <w:r w:rsidRPr="000A5982">
        <w:rPr>
          <w:rFonts w:ascii="Cambria" w:eastAsiaTheme="minorEastAsia" w:hAnsi="Cambria" w:cstheme="minorBidi"/>
          <w:kern w:val="2"/>
          <w:sz w:val="20"/>
          <w14:ligatures w14:val="standardContextual"/>
        </w:rPr>
        <w:t xml:space="preserve">» [IMM_03/i2026]), el SCRS recomienda que la Comisión considere la posibilidad de crear un grupo técnico integrado por el SCRS y otros órganos pertinentes de la Comisión (PWG), con el objetivo de establecer los criterios técnicos y las especificaciones exigidos en virtud del párrafo 173 de la </w:t>
      </w:r>
      <w:hyperlink r:id="rId24" w:history="1">
        <w:r w:rsidRPr="000A5982">
          <w:rPr>
            <w:rFonts w:ascii="Cambria" w:eastAsiaTheme="minorEastAsia" w:hAnsi="Cambria" w:cstheme="minorBidi"/>
            <w:color w:val="0563C1" w:themeColor="hyperlink"/>
            <w:kern w:val="2"/>
            <w:sz w:val="20"/>
            <w14:ligatures w14:val="standardContextual"/>
          </w:rPr>
          <w:t>Rec. 25</w:t>
        </w:r>
        <w:r w:rsidRPr="000A5982">
          <w:rPr>
            <w:rFonts w:ascii="Cambria" w:eastAsiaTheme="minorEastAsia" w:hAnsi="Cambria" w:cstheme="minorBidi"/>
            <w:color w:val="0563C1" w:themeColor="hyperlink"/>
            <w:kern w:val="2"/>
            <w:sz w:val="20"/>
            <w:vertAlign w:val="subscript"/>
            <w14:ligatures w14:val="standardContextual"/>
          </w:rPr>
          <w:t>-</w:t>
        </w:r>
        <w:r w:rsidRPr="000A5982">
          <w:rPr>
            <w:rFonts w:ascii="Cambria" w:eastAsiaTheme="minorEastAsia" w:hAnsi="Cambria" w:cstheme="minorBidi"/>
            <w:color w:val="0563C1" w:themeColor="hyperlink"/>
            <w:kern w:val="2"/>
            <w:sz w:val="20"/>
            <w14:ligatures w14:val="standardContextual"/>
          </w:rPr>
          <w:t>04</w:t>
        </w:r>
      </w:hyperlink>
      <w:r w:rsidRPr="000A5982">
        <w:rPr>
          <w:rFonts w:ascii="Cambria" w:eastAsiaTheme="minorEastAsia" w:hAnsi="Cambria" w:cstheme="minorBidi"/>
          <w:kern w:val="2"/>
          <w:sz w:val="20"/>
          <w14:ligatures w14:val="standardContextual"/>
        </w:rPr>
        <w:t>, para la evaluación de los sistemas basados en IA en la primera transferencia o la introducción en jaulas.</w:t>
      </w:r>
    </w:p>
    <w:p w14:paraId="20433910" w14:textId="77777777" w:rsidR="00D55CA0" w:rsidRPr="000A5982" w:rsidRDefault="00D55CA0" w:rsidP="00D04B05">
      <w:pPr>
        <w:widowControl w:val="0"/>
        <w:numPr>
          <w:ilvl w:val="0"/>
          <w:numId w:val="3"/>
        </w:numPr>
        <w:spacing w:after="160"/>
        <w:ind w:left="426" w:hanging="426"/>
        <w:jc w:val="both"/>
        <w:rPr>
          <w:rFonts w:ascii="Cambria" w:eastAsia="Cambria" w:hAnsi="Cambria" w:cs="Cambria"/>
          <w:sz w:val="20"/>
          <w:szCs w:val="20"/>
        </w:rPr>
      </w:pPr>
      <w:r w:rsidRPr="000A5982">
        <w:rPr>
          <w:rFonts w:ascii="Cambria" w:eastAsiaTheme="minorEastAsia" w:hAnsi="Cambria" w:cstheme="minorBidi"/>
          <w:kern w:val="2"/>
          <w:sz w:val="20"/>
          <w14:ligatures w14:val="standardContextual"/>
        </w:rPr>
        <w:t xml:space="preserve">Reconociendo que importantes datos de talla de Tarea 2 (ST-04) del cerco del Mediterráneo no han sido comunicados a tiempo, el Comité reitera la necesidad de que las CPC cumplan con sus obligaciones en materia de comunicación de datos adoptadas por la Comisión. El Comité reconoció también que </w:t>
      </w:r>
      <w:r w:rsidRPr="000A5982">
        <w:rPr>
          <w:rFonts w:ascii="Cambria" w:eastAsiaTheme="minorEastAsia" w:hAnsi="Cambria" w:cstheme="minorBidi"/>
          <w:kern w:val="2"/>
          <w:sz w:val="20"/>
          <w14:ligatures w14:val="standardContextual"/>
        </w:rPr>
        <w:lastRenderedPageBreak/>
        <w:t>algunas CPC, aunque no todas, han enviado sus datos de talla obtenidos en operaciones en granjas (ST-06) y las instó a continuar trabajando con la Secretaría con el objetivo de asegurar que estos datos se facilitan a tiempo para las evaluaciones de stock.</w:t>
      </w:r>
    </w:p>
    <w:p w14:paraId="425E6332" w14:textId="77777777" w:rsidR="00D55CA0" w:rsidRPr="00D55CA0" w:rsidRDefault="00D55CA0" w:rsidP="00D55CA0">
      <w:pPr>
        <w:tabs>
          <w:tab w:val="left" w:pos="113"/>
          <w:tab w:val="left" w:pos="360"/>
        </w:tabs>
        <w:contextualSpacing/>
        <w:jc w:val="both"/>
        <w:rPr>
          <w:rFonts w:ascii="Cambria" w:hAnsi="Cambria"/>
          <w:i/>
          <w:iCs/>
          <w:sz w:val="20"/>
          <w:szCs w:val="20"/>
        </w:rPr>
      </w:pPr>
    </w:p>
    <w:sectPr w:rsidR="00D55CA0" w:rsidRPr="00D55CA0" w:rsidSect="001D38A7">
      <w:headerReference w:type="default" r:id="rId25"/>
      <w:footerReference w:type="default" r:id="rId26"/>
      <w:pgSz w:w="11907"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B666D" w14:textId="77777777" w:rsidR="00D04B05" w:rsidRDefault="00D04B05" w:rsidP="00DD4C39">
      <w:r>
        <w:separator/>
      </w:r>
    </w:p>
  </w:endnote>
  <w:endnote w:type="continuationSeparator" w:id="0">
    <w:p w14:paraId="4A67FC52" w14:textId="77777777" w:rsidR="00D04B05" w:rsidRDefault="00D04B05"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D04B05"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B1590" w14:textId="77777777" w:rsidR="00D04B05" w:rsidRDefault="00D04B05" w:rsidP="00DD4C39">
      <w:r>
        <w:separator/>
      </w:r>
    </w:p>
  </w:footnote>
  <w:footnote w:type="continuationSeparator" w:id="0">
    <w:p w14:paraId="7651EE39" w14:textId="77777777" w:rsidR="00D04B05" w:rsidRDefault="00D04B05"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3C09D3AD" w:rsidR="004F39B9" w:rsidRPr="00793F38" w:rsidRDefault="00857C38"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PA</w:t>
    </w:r>
    <w:r w:rsidR="00E41AEC">
      <w:rPr>
        <w:rFonts w:ascii="Cambria" w:eastAsia="Calibri" w:hAnsi="Cambria"/>
        <w:b/>
        <w:bCs/>
        <w:sz w:val="20"/>
        <w:szCs w:val="20"/>
        <w:lang w:val="en-US"/>
      </w:rPr>
      <w:t>2</w:t>
    </w:r>
    <w:r w:rsidR="004F39B9" w:rsidRPr="00793F38">
      <w:rPr>
        <w:rFonts w:ascii="Cambria" w:eastAsia="Calibri" w:hAnsi="Cambria"/>
        <w:b/>
        <w:bCs/>
        <w:sz w:val="20"/>
        <w:szCs w:val="20"/>
        <w:lang w:val="en-US"/>
      </w:rPr>
      <w:t>_</w:t>
    </w:r>
    <w:r w:rsidR="00E41AEC">
      <w:rPr>
        <w:rFonts w:ascii="Cambria" w:eastAsia="Calibri" w:hAnsi="Cambria"/>
        <w:b/>
        <w:bCs/>
        <w:sz w:val="20"/>
        <w:szCs w:val="20"/>
        <w:lang w:val="en-US"/>
      </w:rPr>
      <w:t>604</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216C66F8"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D55CA0">
      <w:rPr>
        <w:rFonts w:ascii="Cambria" w:hAnsi="Cambria"/>
        <w:b/>
        <w:bCs/>
        <w:noProof/>
        <w:sz w:val="16"/>
        <w:szCs w:val="16"/>
        <w:lang w:val="es-ES_tradnl"/>
      </w:rPr>
      <w:t>14/10/2026 12:21</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137FA"/>
    <w:multiLevelType w:val="hybridMultilevel"/>
    <w:tmpl w:val="60889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2130999"/>
    <w:multiLevelType w:val="hybridMultilevel"/>
    <w:tmpl w:val="E9D04DB0"/>
    <w:lvl w:ilvl="0" w:tplc="FA7869DC">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7B1288"/>
    <w:multiLevelType w:val="multilevel"/>
    <w:tmpl w:val="4F224384"/>
    <w:lvl w:ilvl="0">
      <w:start w:val="4"/>
      <w:numFmt w:val="bullet"/>
      <w:lvlText w:val="-"/>
      <w:lvlJc w:val="left"/>
      <w:pPr>
        <w:ind w:left="720" w:hanging="360"/>
      </w:pPr>
      <w:rPr>
        <w:rFonts w:ascii="Cambria" w:hAnsi="Cambria" w:cs="Cambria"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318971705">
    <w:abstractNumId w:val="2"/>
  </w:num>
  <w:num w:numId="2" w16cid:durableId="1585190823">
    <w:abstractNumId w:val="0"/>
  </w:num>
  <w:num w:numId="3" w16cid:durableId="179425175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48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38A7"/>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65B1"/>
    <w:rsid w:val="00226609"/>
    <w:rsid w:val="002317E7"/>
    <w:rsid w:val="00232D1D"/>
    <w:rsid w:val="002360A7"/>
    <w:rsid w:val="00240A3D"/>
    <w:rsid w:val="00242005"/>
    <w:rsid w:val="00242111"/>
    <w:rsid w:val="00246631"/>
    <w:rsid w:val="00246705"/>
    <w:rsid w:val="00247B9A"/>
    <w:rsid w:val="00250C2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2C3D"/>
    <w:rsid w:val="002D3D37"/>
    <w:rsid w:val="002D7AD8"/>
    <w:rsid w:val="002D7D0D"/>
    <w:rsid w:val="002D7E3A"/>
    <w:rsid w:val="002E24FF"/>
    <w:rsid w:val="002E25F5"/>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27E2"/>
    <w:rsid w:val="00423112"/>
    <w:rsid w:val="00424411"/>
    <w:rsid w:val="00426AE7"/>
    <w:rsid w:val="00427D62"/>
    <w:rsid w:val="004329FC"/>
    <w:rsid w:val="00433870"/>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1379"/>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07EB4"/>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4AB0"/>
    <w:rsid w:val="00557E7E"/>
    <w:rsid w:val="005606E4"/>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36F6"/>
    <w:rsid w:val="005847DE"/>
    <w:rsid w:val="00585A74"/>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255C"/>
    <w:rsid w:val="005B593C"/>
    <w:rsid w:val="005B7B50"/>
    <w:rsid w:val="005C03B4"/>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30BEA"/>
    <w:rsid w:val="00630C1F"/>
    <w:rsid w:val="0063147D"/>
    <w:rsid w:val="00631B05"/>
    <w:rsid w:val="00635265"/>
    <w:rsid w:val="00635DBD"/>
    <w:rsid w:val="00642E30"/>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A4722"/>
    <w:rsid w:val="007B10F9"/>
    <w:rsid w:val="007B2DE7"/>
    <w:rsid w:val="007B4D4C"/>
    <w:rsid w:val="007C21CB"/>
    <w:rsid w:val="007C25E0"/>
    <w:rsid w:val="007C4A02"/>
    <w:rsid w:val="007C4E4F"/>
    <w:rsid w:val="007D08A0"/>
    <w:rsid w:val="007D1671"/>
    <w:rsid w:val="007D413A"/>
    <w:rsid w:val="007D5CA9"/>
    <w:rsid w:val="007E4C2D"/>
    <w:rsid w:val="007E654F"/>
    <w:rsid w:val="007E69D1"/>
    <w:rsid w:val="007F4EF3"/>
    <w:rsid w:val="0080033F"/>
    <w:rsid w:val="008042B6"/>
    <w:rsid w:val="00805EFF"/>
    <w:rsid w:val="00811FA1"/>
    <w:rsid w:val="008121F9"/>
    <w:rsid w:val="00816217"/>
    <w:rsid w:val="0081636C"/>
    <w:rsid w:val="00817E09"/>
    <w:rsid w:val="008207DE"/>
    <w:rsid w:val="00821CFF"/>
    <w:rsid w:val="00821F16"/>
    <w:rsid w:val="00823236"/>
    <w:rsid w:val="008234F6"/>
    <w:rsid w:val="00824E8C"/>
    <w:rsid w:val="00825C70"/>
    <w:rsid w:val="00825E5C"/>
    <w:rsid w:val="0082620B"/>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9B8"/>
    <w:rsid w:val="00925F1C"/>
    <w:rsid w:val="00926560"/>
    <w:rsid w:val="0093035A"/>
    <w:rsid w:val="00931531"/>
    <w:rsid w:val="009320AA"/>
    <w:rsid w:val="00932594"/>
    <w:rsid w:val="009353F0"/>
    <w:rsid w:val="0093573B"/>
    <w:rsid w:val="009373EA"/>
    <w:rsid w:val="00946422"/>
    <w:rsid w:val="009466F7"/>
    <w:rsid w:val="00947D0F"/>
    <w:rsid w:val="00952C5B"/>
    <w:rsid w:val="0095464C"/>
    <w:rsid w:val="00955E79"/>
    <w:rsid w:val="00957027"/>
    <w:rsid w:val="00961741"/>
    <w:rsid w:val="0096664A"/>
    <w:rsid w:val="00972DB9"/>
    <w:rsid w:val="00975089"/>
    <w:rsid w:val="0097663E"/>
    <w:rsid w:val="00983C8D"/>
    <w:rsid w:val="009854B5"/>
    <w:rsid w:val="00991363"/>
    <w:rsid w:val="00994404"/>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70D"/>
    <w:rsid w:val="00A526B0"/>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41715"/>
    <w:rsid w:val="00B42DBE"/>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3207"/>
    <w:rsid w:val="00C14930"/>
    <w:rsid w:val="00C150D6"/>
    <w:rsid w:val="00C160F6"/>
    <w:rsid w:val="00C174B5"/>
    <w:rsid w:val="00C23619"/>
    <w:rsid w:val="00C246EC"/>
    <w:rsid w:val="00C271DF"/>
    <w:rsid w:val="00C30735"/>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3363"/>
    <w:rsid w:val="00D04B05"/>
    <w:rsid w:val="00D0610E"/>
    <w:rsid w:val="00D117BF"/>
    <w:rsid w:val="00D122FD"/>
    <w:rsid w:val="00D13812"/>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5CA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7C35"/>
    <w:rsid w:val="00DA0BB3"/>
    <w:rsid w:val="00DA0CA2"/>
    <w:rsid w:val="00DA0CF2"/>
    <w:rsid w:val="00DA165A"/>
    <w:rsid w:val="00DA3223"/>
    <w:rsid w:val="00DA5D27"/>
    <w:rsid w:val="00DA5D99"/>
    <w:rsid w:val="00DA684F"/>
    <w:rsid w:val="00DA711E"/>
    <w:rsid w:val="00DA79F5"/>
    <w:rsid w:val="00DB026B"/>
    <w:rsid w:val="00DB0D9F"/>
    <w:rsid w:val="00DB2942"/>
    <w:rsid w:val="00DB3557"/>
    <w:rsid w:val="00DB416A"/>
    <w:rsid w:val="00DB71C2"/>
    <w:rsid w:val="00DD1B58"/>
    <w:rsid w:val="00DD4C39"/>
    <w:rsid w:val="00DD69CC"/>
    <w:rsid w:val="00DD72FD"/>
    <w:rsid w:val="00DE2507"/>
    <w:rsid w:val="00DE7887"/>
    <w:rsid w:val="00DF0742"/>
    <w:rsid w:val="00DF09DD"/>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1AEC"/>
    <w:rsid w:val="00E43856"/>
    <w:rsid w:val="00E4458D"/>
    <w:rsid w:val="00E445A6"/>
    <w:rsid w:val="00E45CF8"/>
    <w:rsid w:val="00E466CC"/>
    <w:rsid w:val="00E556A9"/>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2707"/>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1087"/>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uiPriority w:val="99"/>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qFormat/>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qFormat/>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 w:type="character" w:customStyle="1" w:styleId="CommentReference1">
    <w:name w:val="Comment Reference1"/>
    <w:basedOn w:val="DefaultParagraphFont"/>
    <w:uiPriority w:val="99"/>
    <w:semiHidden/>
    <w:unhideWhenUsed/>
    <w:rsid w:val="00F81087"/>
    <w:rPr>
      <w:sz w:val="16"/>
      <w:szCs w:val="16"/>
    </w:rPr>
  </w:style>
  <w:style w:type="table" w:styleId="TableGrid">
    <w:name w:val="Table Grid"/>
    <w:basedOn w:val="TableNormal"/>
    <w:uiPriority w:val="39"/>
    <w:rsid w:val="00D55CA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BodyText"/>
    <w:qFormat/>
    <w:rsid w:val="00D55CA0"/>
    <w:pPr>
      <w:spacing w:before="36" w:after="36"/>
      <w:jc w:val="left"/>
    </w:pPr>
    <w:rPr>
      <w:rFonts w:asciiTheme="minorHAnsi" w:eastAsiaTheme="minorHAnsi" w:hAnsiTheme="minorHAnsi" w:cstheme="minorBidi"/>
      <w:b w:val="0"/>
      <w:bCs w:val="0"/>
      <w:lang w:eastAsia="en-US"/>
    </w:rPr>
  </w:style>
  <w:style w:type="table" w:customStyle="1" w:styleId="Table">
    <w:name w:val="Table"/>
    <w:semiHidden/>
    <w:unhideWhenUsed/>
    <w:qFormat/>
    <w:rsid w:val="00D55CA0"/>
    <w:pPr>
      <w:spacing w:after="200" w:line="240" w:lineRule="auto"/>
    </w:pPr>
    <w:rPr>
      <w:sz w:val="24"/>
      <w:szCs w:val="24"/>
    </w:rPr>
    <w:tblPr>
      <w:tblInd w:w="0" w:type="dxa"/>
      <w:tblCellMar>
        <w:top w:w="0" w:type="dxa"/>
        <w:left w:w="108" w:type="dxa"/>
        <w:bottom w:w="0" w:type="dxa"/>
        <w:right w:w="108" w:type="dxa"/>
      </w:tblCellMar>
    </w:tblPr>
  </w:style>
  <w:style w:type="paragraph" w:styleId="Caption">
    <w:name w:val="caption"/>
    <w:basedOn w:val="Normal"/>
    <w:link w:val="CaptionChar"/>
    <w:qFormat/>
    <w:rsid w:val="00D55CA0"/>
    <w:pPr>
      <w:spacing w:after="120"/>
    </w:pPr>
    <w:rPr>
      <w:rFonts w:asciiTheme="minorHAnsi" w:eastAsiaTheme="minorHAnsi" w:hAnsiTheme="minorHAnsi" w:cstheme="minorBidi"/>
      <w:i/>
    </w:rPr>
  </w:style>
  <w:style w:type="character" w:customStyle="1" w:styleId="CaptionChar">
    <w:name w:val="Caption Char"/>
    <w:basedOn w:val="DefaultParagraphFont"/>
    <w:link w:val="Caption"/>
    <w:rsid w:val="00D55CA0"/>
    <w:rPr>
      <w:i/>
      <w:sz w:val="24"/>
      <w:szCs w:val="24"/>
    </w:rPr>
  </w:style>
  <w:style w:type="character" w:customStyle="1" w:styleId="InternetLink">
    <w:name w:val="Internet Link"/>
    <w:basedOn w:val="DefaultParagraphFont"/>
    <w:uiPriority w:val="99"/>
    <w:unhideWhenUsed/>
    <w:rsid w:val="00D55C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s/2021-04-s.pdf" TargetMode="External"/><Relationship Id="rId13" Type="http://schemas.openxmlformats.org/officeDocument/2006/relationships/image" Target="media/image4.tiff"/><Relationship Id="rId18" Type="http://schemas.openxmlformats.org/officeDocument/2006/relationships/hyperlink" Target="https://github.com/flr/FLBEIAshiny"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iccat.int/Documents/Recs/compendiopdf-s/2024-08-s.pdf" TargetMode="Externa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hyperlink" Target="https://www.iccat.int/Documents/Recs/compendiopdf-s/2021-04-s.pd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aztigps.shinyapps.io/shinyflbeia/?dataset=NALB" TargetMode="External"/><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24" Type="http://schemas.openxmlformats.org/officeDocument/2006/relationships/hyperlink" Target="https://www.iccat.int/Documents/Recs/compendiopdf-s/2025-04-s.pdf" TargetMode="External"/><Relationship Id="rId5" Type="http://schemas.openxmlformats.org/officeDocument/2006/relationships/webSettings" Target="webSettings.xml"/><Relationship Id="rId15" Type="http://schemas.openxmlformats.org/officeDocument/2006/relationships/hyperlink" Target="https://www.iccat.int/Documents/Recs/compendiopdf-s/2021-04-s.pdf" TargetMode="External"/><Relationship Id="rId23" Type="http://schemas.openxmlformats.org/officeDocument/2006/relationships/hyperlink" Target="https://www.iccat.int/Documents/Recs/compendiopdf-s/2025-04-s.pdf" TargetMode="Externa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www.iccat.int/Documents/Recs/compendiopdf-s/2021-04-s.pdf" TargetMode="External"/><Relationship Id="rId14" Type="http://schemas.openxmlformats.org/officeDocument/2006/relationships/hyperlink" Target="https://www.iccat.int/Documents/Recs/compendiopdf-s/2021-04-s.pdf" TargetMode="External"/><Relationship Id="rId22" Type="http://schemas.openxmlformats.org/officeDocument/2006/relationships/hyperlink" Target="https://www.iccat.int/Documents/BienRep/REP_ES_24-25-I-2.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2532</Words>
  <Characters>14434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16933</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2026-10-14T08:00:00Z</dcterms:created>
  <dcterms:modified xsi:type="dcterms:W3CDTF">2026-10-14T10:48:00Z</dcterms:modified>
</cp:coreProperties>
</file>