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6A7474ED" w:rsidR="000B0920" w:rsidRPr="00554AB0" w:rsidRDefault="00857C38" w:rsidP="00857C38">
      <w:pPr>
        <w:jc w:val="right"/>
        <w:rPr>
          <w:rFonts w:ascii="Cambria" w:hAnsi="Cambria"/>
          <w:sz w:val="20"/>
          <w:szCs w:val="20"/>
          <w:lang w:val="fr-FR"/>
        </w:rPr>
      </w:pPr>
      <w:r w:rsidRPr="00554AB0">
        <w:rPr>
          <w:rFonts w:ascii="Cambria" w:hAnsi="Cambria"/>
          <w:b/>
          <w:bCs/>
          <w:sz w:val="20"/>
          <w:szCs w:val="20"/>
          <w:lang w:val="fr-FR"/>
        </w:rPr>
        <w:t>Original</w:t>
      </w:r>
      <w:r w:rsidR="00506FB9">
        <w:rPr>
          <w:rFonts w:ascii="Cambria" w:hAnsi="Cambria"/>
          <w:b/>
          <w:bCs/>
          <w:sz w:val="20"/>
          <w:szCs w:val="20"/>
          <w:lang w:val="fr-FR"/>
        </w:rPr>
        <w:t xml:space="preserve"> </w:t>
      </w:r>
      <w:r w:rsidRPr="00554AB0">
        <w:rPr>
          <w:rFonts w:ascii="Cambria" w:hAnsi="Cambria"/>
          <w:sz w:val="20"/>
          <w:szCs w:val="20"/>
          <w:lang w:val="fr-FR"/>
        </w:rPr>
        <w:t xml:space="preserve">: </w:t>
      </w:r>
      <w:r w:rsidR="009353F0" w:rsidRPr="00554AB0">
        <w:rPr>
          <w:rFonts w:ascii="Cambria" w:hAnsi="Cambria"/>
          <w:sz w:val="20"/>
          <w:szCs w:val="20"/>
          <w:lang w:val="fr-FR"/>
        </w:rPr>
        <w:t>anglais</w:t>
      </w:r>
    </w:p>
    <w:p w14:paraId="546FFD34" w14:textId="77777777" w:rsidR="00857C38" w:rsidRPr="00554AB0" w:rsidRDefault="00857C38" w:rsidP="00857C38">
      <w:pPr>
        <w:jc w:val="right"/>
        <w:rPr>
          <w:rFonts w:ascii="Cambria" w:hAnsi="Cambria"/>
          <w:sz w:val="20"/>
          <w:szCs w:val="20"/>
          <w:lang w:val="fr-FR"/>
        </w:rPr>
      </w:pPr>
    </w:p>
    <w:p w14:paraId="3CB6C27F" w14:textId="5B783BE5" w:rsidR="00554AB0" w:rsidRDefault="00554AB0" w:rsidP="00554AB0">
      <w:pPr>
        <w:jc w:val="center"/>
        <w:rPr>
          <w:rFonts w:ascii="Cambria" w:hAnsi="Cambria"/>
          <w:b/>
          <w:bCs/>
          <w:sz w:val="20"/>
          <w:szCs w:val="20"/>
          <w:lang w:val="fr-FR"/>
        </w:rPr>
      </w:pPr>
      <w:r w:rsidRPr="009353F0">
        <w:rPr>
          <w:rFonts w:ascii="Cambria" w:hAnsi="Cambria"/>
          <w:b/>
          <w:bCs/>
          <w:sz w:val="20"/>
          <w:szCs w:val="20"/>
          <w:lang w:val="fr-FR"/>
        </w:rPr>
        <w:t xml:space="preserve">Réponses et recommandations du SCRS concernant la Sous-commission </w:t>
      </w:r>
      <w:r w:rsidR="00CB7323">
        <w:rPr>
          <w:rFonts w:ascii="Cambria" w:hAnsi="Cambria"/>
          <w:b/>
          <w:bCs/>
          <w:sz w:val="20"/>
          <w:szCs w:val="20"/>
          <w:lang w:val="fr-FR"/>
        </w:rPr>
        <w:t>2</w:t>
      </w:r>
    </w:p>
    <w:p w14:paraId="16DB48D3" w14:textId="77777777" w:rsidR="009353F0" w:rsidRPr="00554AB0" w:rsidRDefault="009353F0" w:rsidP="00857C38">
      <w:pPr>
        <w:jc w:val="center"/>
        <w:rPr>
          <w:rFonts w:ascii="Cambria" w:hAnsi="Cambria"/>
          <w:b/>
          <w:bCs/>
          <w:sz w:val="20"/>
          <w:szCs w:val="20"/>
          <w:lang w:val="fr-FR"/>
        </w:rPr>
      </w:pPr>
    </w:p>
    <w:p w14:paraId="6ADB0791" w14:textId="15B5F483" w:rsidR="009353F0" w:rsidRPr="009353F0" w:rsidRDefault="009353F0" w:rsidP="009353F0">
      <w:pPr>
        <w:jc w:val="both"/>
        <w:rPr>
          <w:rFonts w:ascii="Cambria" w:eastAsia="Aptos" w:hAnsi="Cambria" w:cs="Aptos"/>
          <w:sz w:val="20"/>
          <w:szCs w:val="20"/>
          <w:lang w:val="fr-FR"/>
          <w14:ligatures w14:val="standardContextual"/>
        </w:rPr>
      </w:pPr>
      <w:r w:rsidRPr="009353F0">
        <w:rPr>
          <w:rFonts w:ascii="Cambria" w:eastAsia="Aptos" w:hAnsi="Cambria" w:cs="Aptos"/>
          <w:sz w:val="20"/>
          <w:szCs w:val="20"/>
          <w:lang w:val="fr-FR"/>
          <w14:ligatures w14:val="standardContextual"/>
        </w:rPr>
        <w:t xml:space="preserve">Les réponses de 2026 adressées à la Commission et les recommandations du SCRS concernant la </w:t>
      </w:r>
      <w:r w:rsidRPr="00F81087">
        <w:rPr>
          <w:rFonts w:ascii="Cambria" w:hAnsi="Cambria"/>
          <w:sz w:val="20"/>
          <w:szCs w:val="20"/>
          <w:lang w:val="fr-FR"/>
        </w:rPr>
        <w:t>Sous</w:t>
      </w:r>
      <w:r w:rsidRPr="009353F0">
        <w:rPr>
          <w:rFonts w:ascii="Cambria" w:eastAsia="Aptos" w:hAnsi="Cambria" w:cs="Aptos"/>
          <w:sz w:val="20"/>
          <w:szCs w:val="20"/>
          <w:lang w:val="fr-FR"/>
          <w14:ligatures w14:val="standardContextual"/>
        </w:rPr>
        <w:t xml:space="preserve">-commission </w:t>
      </w:r>
      <w:r w:rsidR="00CB7323">
        <w:rPr>
          <w:rFonts w:ascii="Cambria" w:eastAsia="Aptos" w:hAnsi="Cambria" w:cs="Aptos"/>
          <w:sz w:val="20"/>
          <w:szCs w:val="20"/>
          <w:lang w:val="fr-FR"/>
          <w14:ligatures w14:val="standardContextual"/>
        </w:rPr>
        <w:t>2</w:t>
      </w:r>
      <w:r w:rsidRPr="009353F0">
        <w:rPr>
          <w:rFonts w:ascii="Cambria" w:eastAsia="Aptos" w:hAnsi="Cambria" w:cs="Aptos"/>
          <w:sz w:val="20"/>
          <w:szCs w:val="20"/>
          <w:lang w:val="fr-FR"/>
          <w14:ligatures w14:val="standardContextual"/>
        </w:rPr>
        <w:t xml:space="preserve"> ont été compilées par le Secrétariat directement à partir du rapport de la réunion plénière du SCRS de 2026 (document PLE-104). Les recommandations ayant des implications financières ne figurent pas dans le présent document, car elles sont incluses dans l’appendice 2 du budget de l’ICCAT (document STF-203).</w:t>
      </w:r>
    </w:p>
    <w:p w14:paraId="206D36BB" w14:textId="77777777" w:rsidR="009353F0" w:rsidRDefault="009353F0" w:rsidP="009353F0">
      <w:pPr>
        <w:rPr>
          <w:rFonts w:ascii="Cambria" w:hAnsi="Cambria"/>
          <w:b/>
          <w:bCs/>
          <w:sz w:val="20"/>
          <w:szCs w:val="20"/>
          <w:lang w:val="fr-FR"/>
        </w:rPr>
      </w:pPr>
    </w:p>
    <w:p w14:paraId="6FBDB035" w14:textId="4422AA64" w:rsidR="00F81087" w:rsidRDefault="009353F0" w:rsidP="009353F0">
      <w:pPr>
        <w:rPr>
          <w:rFonts w:ascii="Cambria" w:hAnsi="Cambria"/>
          <w:b/>
          <w:bCs/>
          <w:sz w:val="20"/>
          <w:szCs w:val="20"/>
          <w:lang w:val="fr-FR"/>
        </w:rPr>
      </w:pPr>
      <w:r w:rsidRPr="009353F0">
        <w:rPr>
          <w:rFonts w:ascii="Cambria" w:hAnsi="Cambria"/>
          <w:b/>
          <w:bCs/>
          <w:sz w:val="20"/>
          <w:szCs w:val="20"/>
          <w:lang w:val="fr-FR"/>
        </w:rPr>
        <w:t xml:space="preserve">Réponses </w:t>
      </w:r>
      <w:r w:rsidR="00554AB0">
        <w:rPr>
          <w:rFonts w:ascii="Cambria" w:hAnsi="Cambria"/>
          <w:b/>
          <w:bCs/>
          <w:sz w:val="20"/>
          <w:szCs w:val="20"/>
          <w:lang w:val="fr-FR"/>
        </w:rPr>
        <w:t>à la Commission</w:t>
      </w:r>
      <w:r w:rsidR="00554AB0">
        <w:rPr>
          <w:rFonts w:ascii="Cambria" w:hAnsi="Cambria"/>
          <w:b/>
          <w:bCs/>
          <w:sz w:val="20"/>
          <w:szCs w:val="20"/>
          <w:lang w:val="fr-FR"/>
        </w:rPr>
        <w:br/>
      </w:r>
    </w:p>
    <w:p w14:paraId="49DDC276" w14:textId="1EDD0C5A" w:rsidR="00302854" w:rsidRPr="00302854" w:rsidRDefault="00302854" w:rsidP="009353F0">
      <w:pPr>
        <w:rPr>
          <w:rFonts w:ascii="Cambria" w:hAnsi="Cambria"/>
          <w:i/>
          <w:iCs/>
          <w:sz w:val="20"/>
          <w:szCs w:val="20"/>
          <w:lang w:val="fr-FR"/>
        </w:rPr>
      </w:pPr>
      <w:r w:rsidRPr="00302854">
        <w:rPr>
          <w:rFonts w:ascii="Cambria" w:hAnsi="Cambria"/>
          <w:i/>
          <w:iCs/>
          <w:sz w:val="20"/>
          <w:szCs w:val="20"/>
          <w:lang w:val="fr-FR"/>
        </w:rPr>
        <w:t>Germon du Nord</w:t>
      </w:r>
    </w:p>
    <w:p w14:paraId="6520F728" w14:textId="6F9D5D25" w:rsidR="00F81087" w:rsidRDefault="00F81087" w:rsidP="00F81087">
      <w:pPr>
        <w:spacing w:after="160" w:line="259" w:lineRule="auto"/>
        <w:rPr>
          <w:rFonts w:ascii="Cambria" w:hAnsi="Cambria"/>
          <w:b/>
          <w:bCs/>
          <w:sz w:val="20"/>
          <w:szCs w:val="20"/>
          <w:lang w:val="fr-FR"/>
        </w:rPr>
      </w:pPr>
    </w:p>
    <w:p w14:paraId="59114B47" w14:textId="77777777" w:rsidR="00302854" w:rsidRPr="00302854" w:rsidRDefault="00302854" w:rsidP="00302854">
      <w:pPr>
        <w:tabs>
          <w:tab w:val="left" w:pos="0"/>
          <w:tab w:val="right" w:leader="dot" w:pos="8505"/>
          <w:tab w:val="right" w:pos="9072"/>
        </w:tabs>
        <w:autoSpaceDE w:val="0"/>
        <w:autoSpaceDN w:val="0"/>
        <w:adjustRightInd w:val="0"/>
        <w:ind w:right="4"/>
        <w:jc w:val="both"/>
        <w:rPr>
          <w:rFonts w:ascii="Cambria" w:hAnsi="Cambria"/>
          <w:b/>
          <w:bCs/>
          <w:i/>
          <w:iCs/>
          <w:sz w:val="20"/>
          <w:szCs w:val="20"/>
          <w:lang w:val="fr-FR"/>
        </w:rPr>
      </w:pPr>
      <w:r w:rsidRPr="00302854">
        <w:rPr>
          <w:rFonts w:ascii="Cambria" w:hAnsi="Cambria"/>
          <w:b/>
          <w:i/>
          <w:sz w:val="20"/>
          <w:szCs w:val="20"/>
          <w:lang w:val="fr-FR"/>
        </w:rPr>
        <w:t xml:space="preserve">19.8 Le SCRS devra évaluer la survenance de circonstances exceptionnelles (EC) et la Commission devra agir conformément au Protocole de circonstances exceptionnelles figurant à l’annexe 2, </w:t>
      </w:r>
      <w:hyperlink r:id="rId8" w:history="1">
        <w:r w:rsidRPr="00302854">
          <w:rPr>
            <w:rStyle w:val="Hyperlink"/>
            <w:rFonts w:ascii="Cambria" w:hAnsi="Cambria"/>
            <w:b/>
            <w:i/>
            <w:sz w:val="20"/>
            <w:szCs w:val="20"/>
            <w:u w:val="none"/>
            <w:lang w:val="fr-FR"/>
          </w:rPr>
          <w:t>Rec. 21-04</w:t>
        </w:r>
      </w:hyperlink>
      <w:r w:rsidRPr="00302854">
        <w:rPr>
          <w:rFonts w:ascii="Cambria" w:hAnsi="Cambria"/>
          <w:b/>
          <w:i/>
          <w:color w:val="000000"/>
          <w:sz w:val="20"/>
          <w:szCs w:val="20"/>
          <w:lang w:val="fr-FR"/>
        </w:rPr>
        <w:t xml:space="preserve">, </w:t>
      </w:r>
      <w:r w:rsidRPr="00302854">
        <w:rPr>
          <w:rFonts w:ascii="Cambria" w:hAnsi="Cambria"/>
          <w:b/>
          <w:bCs/>
          <w:i/>
          <w:iCs/>
          <w:sz w:val="20"/>
          <w:szCs w:val="20"/>
          <w:lang w:val="fr-FR"/>
        </w:rPr>
        <w:t>paragraphe</w:t>
      </w:r>
      <w:r w:rsidRPr="00302854">
        <w:rPr>
          <w:rFonts w:ascii="Cambria" w:hAnsi="Cambria"/>
          <w:b/>
          <w:i/>
          <w:color w:val="000000"/>
          <w:sz w:val="20"/>
          <w:szCs w:val="20"/>
          <w:lang w:val="fr-FR"/>
        </w:rPr>
        <w:t xml:space="preserve"> 4</w:t>
      </w:r>
      <w:r w:rsidRPr="00302854">
        <w:rPr>
          <w:rFonts w:ascii="Cambria" w:hAnsi="Cambria"/>
          <w:sz w:val="20"/>
          <w:szCs w:val="20"/>
          <w:lang w:val="fr-FR"/>
        </w:rPr>
        <w:t xml:space="preserve"> </w:t>
      </w:r>
    </w:p>
    <w:p w14:paraId="0781C301" w14:textId="77777777" w:rsidR="00302854" w:rsidRPr="00302854" w:rsidRDefault="00302854" w:rsidP="00302854">
      <w:pPr>
        <w:pBdr>
          <w:top w:val="nil"/>
          <w:left w:val="nil"/>
          <w:bottom w:val="nil"/>
          <w:right w:val="nil"/>
          <w:between w:val="nil"/>
        </w:pBdr>
        <w:tabs>
          <w:tab w:val="left" w:pos="720"/>
          <w:tab w:val="left" w:pos="426"/>
          <w:tab w:val="left" w:pos="567"/>
          <w:tab w:val="right" w:pos="8505"/>
          <w:tab w:val="right" w:pos="9072"/>
        </w:tabs>
        <w:ind w:left="426" w:right="4" w:hanging="426"/>
        <w:jc w:val="both"/>
        <w:rPr>
          <w:rFonts w:ascii="Cambria" w:eastAsia="Cambria" w:hAnsi="Cambria" w:cs="Cambria"/>
          <w:b/>
          <w:i/>
          <w:color w:val="000000"/>
          <w:sz w:val="20"/>
          <w:szCs w:val="20"/>
          <w:lang w:val="fr-FR"/>
        </w:rPr>
      </w:pPr>
    </w:p>
    <w:p w14:paraId="1822B989" w14:textId="77777777" w:rsidR="00302854" w:rsidRPr="00302854" w:rsidRDefault="00302854" w:rsidP="00302854">
      <w:pPr>
        <w:jc w:val="both"/>
        <w:rPr>
          <w:rFonts w:ascii="Cambria" w:hAnsi="Cambria"/>
          <w:sz w:val="20"/>
          <w:szCs w:val="20"/>
          <w:lang w:val="fr-FR"/>
        </w:rPr>
      </w:pPr>
      <w:r w:rsidRPr="00302854">
        <w:rPr>
          <w:rFonts w:ascii="Cambria" w:hAnsi="Cambria"/>
          <w:b/>
          <w:i/>
          <w:iCs/>
          <w:color w:val="000000"/>
          <w:sz w:val="20"/>
          <w:szCs w:val="20"/>
          <w:lang w:val="fr-FR"/>
        </w:rPr>
        <w:t>Contexte</w:t>
      </w:r>
      <w:r w:rsidRPr="00302854">
        <w:rPr>
          <w:rFonts w:ascii="Cambria" w:hAnsi="Cambria"/>
          <w:b/>
          <w:color w:val="000000"/>
          <w:sz w:val="20"/>
          <w:szCs w:val="20"/>
          <w:lang w:val="fr-FR"/>
        </w:rPr>
        <w:t xml:space="preserve"> : </w:t>
      </w:r>
      <w:r w:rsidRPr="00302854">
        <w:rPr>
          <w:rFonts w:ascii="Cambria" w:hAnsi="Cambria"/>
          <w:i/>
          <w:sz w:val="20"/>
          <w:szCs w:val="20"/>
          <w:lang w:val="fr-FR"/>
        </w:rPr>
        <w:t>Le SCRS devra évaluer la survenance de circonstances exceptionnelles (EC) et la Commission devra agir conformément au Protocole relatif aux circonstances exceptionnelles figurant à l'annexe 2.</w:t>
      </w:r>
    </w:p>
    <w:p w14:paraId="07346AC8" w14:textId="77777777" w:rsidR="00302854" w:rsidRPr="00302854" w:rsidRDefault="00302854" w:rsidP="00302854">
      <w:pPr>
        <w:tabs>
          <w:tab w:val="right" w:leader="dot" w:pos="8505"/>
          <w:tab w:val="right" w:pos="9072"/>
        </w:tabs>
        <w:ind w:right="-1"/>
        <w:contextualSpacing/>
        <w:jc w:val="both"/>
        <w:rPr>
          <w:rFonts w:ascii="Cambria" w:eastAsiaTheme="minorHAnsi" w:hAnsi="Cambria" w:cstheme="minorBidi"/>
          <w:sz w:val="20"/>
          <w:szCs w:val="20"/>
          <w:lang w:val="fr-FR"/>
        </w:rPr>
      </w:pPr>
    </w:p>
    <w:p w14:paraId="00F11C01" w14:textId="77777777" w:rsidR="00302854" w:rsidRPr="00302854" w:rsidRDefault="00302854" w:rsidP="00302854">
      <w:pPr>
        <w:autoSpaceDE w:val="0"/>
        <w:autoSpaceDN w:val="0"/>
        <w:adjustRightInd w:val="0"/>
        <w:jc w:val="both"/>
        <w:rPr>
          <w:rFonts w:ascii="Cambria" w:hAnsi="Cambria" w:cs="Cambria"/>
          <w:color w:val="000000"/>
          <w:sz w:val="20"/>
          <w:szCs w:val="20"/>
          <w:lang w:val="fr-FR"/>
        </w:rPr>
      </w:pPr>
      <w:r w:rsidRPr="00302854">
        <w:rPr>
          <w:rFonts w:ascii="Cambria" w:hAnsi="Cambria"/>
          <w:sz w:val="20"/>
          <w:szCs w:val="20"/>
          <w:lang w:val="fr-FR"/>
        </w:rPr>
        <w:t xml:space="preserve">Conformément au protocole de circonstances exceptionnelles (EC) pour le germon de l'Atlantique Nord figurant dans la </w:t>
      </w:r>
      <w:hyperlink r:id="rId9" w:history="1">
        <w:r w:rsidRPr="00302854">
          <w:rPr>
            <w:rStyle w:val="Hyperlink"/>
            <w:rFonts w:ascii="Cambria" w:hAnsi="Cambria"/>
            <w:sz w:val="20"/>
            <w:szCs w:val="20"/>
            <w:u w:val="none"/>
            <w:lang w:val="fr-FR"/>
          </w:rPr>
          <w:t>Rec. 21-04</w:t>
        </w:r>
      </w:hyperlink>
      <w:r w:rsidRPr="00302854">
        <w:rPr>
          <w:rFonts w:ascii="Cambria" w:hAnsi="Cambria"/>
          <w:color w:val="000000"/>
          <w:sz w:val="20"/>
          <w:szCs w:val="20"/>
          <w:lang w:val="fr-FR"/>
        </w:rPr>
        <w:t xml:space="preserve">, </w:t>
      </w:r>
      <w:r w:rsidRPr="00302854">
        <w:rPr>
          <w:rFonts w:ascii="Cambria" w:hAnsi="Cambria"/>
          <w:sz w:val="20"/>
          <w:szCs w:val="20"/>
          <w:lang w:val="fr-FR"/>
        </w:rPr>
        <w:t>les indicateurs relatifs à la capture, à la CPUE, à la biomasse relative et à la mortalité par pêche relative ont été révisés.</w:t>
      </w:r>
      <w:r w:rsidRPr="00302854">
        <w:rPr>
          <w:rFonts w:ascii="Cambria" w:hAnsi="Cambria"/>
          <w:color w:val="000000"/>
          <w:sz w:val="20"/>
          <w:szCs w:val="20"/>
          <w:lang w:val="fr-FR"/>
        </w:rPr>
        <w:t xml:space="preserve"> </w:t>
      </w:r>
    </w:p>
    <w:p w14:paraId="3CCBFF52" w14:textId="77777777" w:rsidR="00302854" w:rsidRPr="00302854" w:rsidRDefault="00302854" w:rsidP="00302854">
      <w:pPr>
        <w:autoSpaceDE w:val="0"/>
        <w:autoSpaceDN w:val="0"/>
        <w:adjustRightInd w:val="0"/>
        <w:jc w:val="both"/>
        <w:rPr>
          <w:rFonts w:ascii="Cambria" w:hAnsi="Cambria" w:cs="Cambria"/>
          <w:color w:val="000000"/>
          <w:sz w:val="20"/>
          <w:szCs w:val="20"/>
          <w:lang w:val="fr-FR"/>
        </w:rPr>
      </w:pPr>
    </w:p>
    <w:p w14:paraId="790EC607" w14:textId="77777777" w:rsidR="00302854" w:rsidRPr="00302854" w:rsidRDefault="00302854" w:rsidP="00302854">
      <w:pPr>
        <w:autoSpaceDE w:val="0"/>
        <w:autoSpaceDN w:val="0"/>
        <w:adjustRightInd w:val="0"/>
        <w:jc w:val="both"/>
        <w:rPr>
          <w:rFonts w:ascii="Cambria" w:hAnsi="Cambria"/>
          <w:sz w:val="20"/>
          <w:szCs w:val="20"/>
          <w:lang w:val="fr-FR"/>
        </w:rPr>
      </w:pPr>
      <w:r w:rsidRPr="00302854">
        <w:rPr>
          <w:rFonts w:ascii="Cambria" w:hAnsi="Cambria"/>
          <w:sz w:val="20"/>
          <w:szCs w:val="20"/>
          <w:lang w:val="fr-FR"/>
        </w:rPr>
        <w:t>Depuis l'adoption de la MP, les captures ont été inférieures au TAC toutes les années, sauf en 2019, où celui-ci a été dépassé de 3,5% (</w:t>
      </w:r>
      <w:r w:rsidRPr="00302854">
        <w:rPr>
          <w:rFonts w:ascii="Cambria" w:hAnsi="Cambria"/>
          <w:b/>
          <w:bCs/>
          <w:sz w:val="20"/>
          <w:szCs w:val="20"/>
          <w:lang w:val="fr-FR"/>
        </w:rPr>
        <w:t>figure 19.8.1</w:t>
      </w:r>
      <w:r w:rsidRPr="00302854">
        <w:rPr>
          <w:rFonts w:ascii="Cambria" w:hAnsi="Cambria"/>
          <w:sz w:val="20"/>
          <w:szCs w:val="20"/>
          <w:lang w:val="fr-FR"/>
        </w:rPr>
        <w:t xml:space="preserve">). </w:t>
      </w:r>
    </w:p>
    <w:p w14:paraId="46CFECA9" w14:textId="77777777" w:rsidR="00302854" w:rsidRPr="00302854" w:rsidRDefault="00302854" w:rsidP="00302854">
      <w:pPr>
        <w:autoSpaceDE w:val="0"/>
        <w:autoSpaceDN w:val="0"/>
        <w:adjustRightInd w:val="0"/>
        <w:jc w:val="both"/>
        <w:rPr>
          <w:rFonts w:ascii="Cambria" w:hAnsi="Cambria"/>
          <w:sz w:val="20"/>
          <w:szCs w:val="20"/>
          <w:lang w:val="fr-FR"/>
        </w:rPr>
      </w:pPr>
    </w:p>
    <w:p w14:paraId="31B6DB73" w14:textId="77777777" w:rsidR="00302854" w:rsidRPr="00302854" w:rsidRDefault="00302854" w:rsidP="00302854">
      <w:pPr>
        <w:autoSpaceDE w:val="0"/>
        <w:autoSpaceDN w:val="0"/>
        <w:adjustRightInd w:val="0"/>
        <w:jc w:val="both"/>
        <w:rPr>
          <w:rFonts w:ascii="Cambria" w:hAnsi="Cambria"/>
          <w:sz w:val="20"/>
          <w:szCs w:val="20"/>
          <w:lang w:val="fr-FR"/>
        </w:rPr>
      </w:pPr>
      <w:r w:rsidRPr="00302854">
        <w:rPr>
          <w:rFonts w:ascii="Cambria" w:hAnsi="Cambria"/>
          <w:sz w:val="20"/>
          <w:szCs w:val="20"/>
          <w:lang w:val="fr-FR"/>
        </w:rPr>
        <w:t>Les séries actualisées de CPUE se situent dans le centile 2,5-97,5 des valeurs de la CPUE standardisée utilisées pour effectuer les simulations en boucle fermée dans la MSE. La seule exception est la valeur de 2018 de la CPUE des canneurs espagnols, qui est légèrement supérieure aux valeurs utilisées dans la MSE (</w:t>
      </w:r>
      <w:r w:rsidRPr="00302854">
        <w:rPr>
          <w:rFonts w:ascii="Cambria" w:hAnsi="Cambria"/>
          <w:b/>
          <w:bCs/>
          <w:sz w:val="20"/>
          <w:szCs w:val="20"/>
          <w:lang w:val="fr-FR"/>
        </w:rPr>
        <w:t>figure 19.8.2</w:t>
      </w:r>
      <w:r w:rsidRPr="00302854">
        <w:rPr>
          <w:rFonts w:ascii="Cambria" w:hAnsi="Cambria"/>
          <w:sz w:val="20"/>
          <w:szCs w:val="20"/>
          <w:lang w:val="fr-FR"/>
        </w:rPr>
        <w:t>).</w:t>
      </w:r>
    </w:p>
    <w:p w14:paraId="4F0D8C44" w14:textId="77777777" w:rsidR="00302854" w:rsidRPr="00302854" w:rsidRDefault="00302854" w:rsidP="00302854">
      <w:pPr>
        <w:autoSpaceDE w:val="0"/>
        <w:autoSpaceDN w:val="0"/>
        <w:adjustRightInd w:val="0"/>
        <w:jc w:val="both"/>
        <w:rPr>
          <w:rFonts w:ascii="Cambria" w:hAnsi="Cambria"/>
          <w:sz w:val="20"/>
          <w:szCs w:val="20"/>
          <w:lang w:val="fr-FR"/>
        </w:rPr>
      </w:pPr>
    </w:p>
    <w:p w14:paraId="55CADD1A" w14:textId="77777777" w:rsidR="00302854" w:rsidRPr="00302854" w:rsidRDefault="00302854" w:rsidP="00302854">
      <w:pPr>
        <w:pStyle w:val="Default"/>
        <w:jc w:val="both"/>
        <w:rPr>
          <w:sz w:val="20"/>
          <w:szCs w:val="20"/>
          <w:lang w:val="fr-FR"/>
        </w:rPr>
      </w:pPr>
      <w:r w:rsidRPr="00302854">
        <w:rPr>
          <w:sz w:val="20"/>
          <w:szCs w:val="20"/>
          <w:lang w:val="fr-FR"/>
        </w:rPr>
        <w:t>La MP adoptée a fait l'objet d'une nouvelle exécution en 2026. La biomasse relative du stock et la mortalité par pêche de la MP réexécutée ont été comparées à la gamme de valeurs des centiles 2,5 et 97,5 pour n'importe quelle année de la gamme de valeurs des centiles 2,5 et 97,5 pour n'importe quelle année produite par le modèle de production de la MP acceptée pendant les tests de la MSE (</w:t>
      </w:r>
      <w:r w:rsidRPr="00302854">
        <w:rPr>
          <w:b/>
          <w:bCs/>
          <w:sz w:val="20"/>
          <w:szCs w:val="20"/>
          <w:lang w:val="fr-FR"/>
        </w:rPr>
        <w:t>figures</w:t>
      </w:r>
      <w:r w:rsidRPr="00302854">
        <w:rPr>
          <w:sz w:val="20"/>
          <w:szCs w:val="20"/>
          <w:lang w:val="fr-FR"/>
        </w:rPr>
        <w:t xml:space="preserve"> </w:t>
      </w:r>
      <w:r w:rsidRPr="00302854">
        <w:rPr>
          <w:b/>
          <w:bCs/>
          <w:sz w:val="20"/>
          <w:szCs w:val="20"/>
          <w:lang w:val="fr-FR"/>
        </w:rPr>
        <w:t>19.8.3, 19.8.4</w:t>
      </w:r>
      <w:r w:rsidRPr="00302854">
        <w:rPr>
          <w:sz w:val="20"/>
          <w:szCs w:val="20"/>
          <w:lang w:val="fr-FR"/>
        </w:rPr>
        <w:t>). Les estimations s’inscrivent dans les valeurs (intervalle de confiance (IC) de 95%) estimées dans les simulations de la MSE.</w:t>
      </w:r>
      <w:r w:rsidRPr="00302854">
        <w:rPr>
          <w:sz w:val="20"/>
          <w:szCs w:val="20"/>
          <w:lang w:val="fr-FR"/>
        </w:rPr>
        <w:tab/>
      </w:r>
    </w:p>
    <w:p w14:paraId="62910476" w14:textId="77777777" w:rsidR="00302854" w:rsidRPr="00302854" w:rsidRDefault="00302854" w:rsidP="00302854">
      <w:pPr>
        <w:pStyle w:val="Default"/>
        <w:jc w:val="both"/>
        <w:rPr>
          <w:sz w:val="20"/>
          <w:szCs w:val="20"/>
          <w:lang w:val="fr-FR"/>
        </w:rPr>
      </w:pPr>
    </w:p>
    <w:p w14:paraId="706510C9" w14:textId="77777777" w:rsidR="00302854" w:rsidRPr="00302854" w:rsidRDefault="00302854" w:rsidP="00302854">
      <w:pPr>
        <w:jc w:val="both"/>
        <w:rPr>
          <w:rFonts w:ascii="Cambria" w:hAnsi="Cambria"/>
          <w:b/>
          <w:bCs/>
          <w:sz w:val="20"/>
          <w:szCs w:val="20"/>
          <w:lang w:val="fr-FR"/>
        </w:rPr>
      </w:pPr>
      <w:r w:rsidRPr="00302854">
        <w:rPr>
          <w:rFonts w:ascii="Cambria" w:hAnsi="Cambria"/>
          <w:sz w:val="20"/>
          <w:szCs w:val="20"/>
          <w:lang w:val="fr-FR"/>
        </w:rPr>
        <w:t>En résumé, le Comité a conclu qu’aucune circonstance exceptionnelle n’avait été identifiée empêchant l’application de la MP adoptée pour établir le TAC pour la période 2027-2029.</w:t>
      </w:r>
    </w:p>
    <w:p w14:paraId="7041DAC4" w14:textId="77777777" w:rsidR="00302854" w:rsidRPr="00302854" w:rsidRDefault="00302854" w:rsidP="00302854">
      <w:pPr>
        <w:spacing w:after="160" w:line="259" w:lineRule="auto"/>
        <w:rPr>
          <w:rFonts w:ascii="Cambria" w:hAnsi="Cambria" w:cs="Cambria"/>
          <w:color w:val="000000"/>
          <w:sz w:val="20"/>
          <w:szCs w:val="20"/>
          <w:lang w:val="fr-FR"/>
        </w:rPr>
      </w:pPr>
    </w:p>
    <w:p w14:paraId="297272D6" w14:textId="77777777" w:rsidR="00302854" w:rsidRPr="00302854" w:rsidRDefault="00302854" w:rsidP="00302854">
      <w:pPr>
        <w:autoSpaceDE w:val="0"/>
        <w:autoSpaceDN w:val="0"/>
        <w:adjustRightInd w:val="0"/>
        <w:rPr>
          <w:rFonts w:ascii="Cambria" w:hAnsi="Cambria" w:cs="Cambria"/>
          <w:color w:val="000000"/>
          <w:sz w:val="20"/>
          <w:szCs w:val="20"/>
          <w:lang w:val="fr-FR"/>
        </w:rPr>
      </w:pPr>
    </w:p>
    <w:p w14:paraId="26AC494B" w14:textId="77777777" w:rsidR="00302854" w:rsidRPr="007B779F" w:rsidRDefault="00302854" w:rsidP="00302854">
      <w:pPr>
        <w:jc w:val="center"/>
        <w:rPr>
          <w:rFonts w:ascii="Cambria" w:hAnsi="Cambria"/>
          <w:b/>
          <w:bCs/>
          <w:sz w:val="20"/>
          <w:szCs w:val="20"/>
        </w:rPr>
      </w:pPr>
      <w:r w:rsidRPr="007B779F">
        <w:rPr>
          <w:rFonts w:ascii="Cambria" w:hAnsi="Cambria"/>
          <w:noProof/>
          <w:sz w:val="20"/>
          <w:szCs w:val="20"/>
        </w:rPr>
        <w:lastRenderedPageBreak/>
        <w:drawing>
          <wp:inline distT="0" distB="0" distL="0" distR="0" wp14:anchorId="7E6FDD6D" wp14:editId="248E9FA0">
            <wp:extent cx="3323590" cy="2886075"/>
            <wp:effectExtent l="0" t="0" r="0" b="9525"/>
            <wp:docPr id="720466209" name="Imagen 2" descr="P14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466209" name="Imagen 2" descr="P1425#yIS1"/>
                    <pic:cNvPicPr>
                      <a:picLocks noChangeAspect="1"/>
                    </pic:cNvPicPr>
                  </pic:nvPicPr>
                  <pic:blipFill rotWithShape="1">
                    <a:blip r:embed="rId10" cstate="print">
                      <a:extLst>
                        <a:ext uri="{28A0092B-C50C-407E-A947-70E740481C1C}">
                          <a14:useLocalDpi xmlns:a14="http://schemas.microsoft.com/office/drawing/2010/main" val="0"/>
                        </a:ext>
                      </a:extLst>
                    </a:blip>
                    <a:srcRect b="67438"/>
                    <a:stretch>
                      <a:fillRect/>
                    </a:stretch>
                  </pic:blipFill>
                  <pic:spPr bwMode="auto">
                    <a:xfrm>
                      <a:off x="0" y="0"/>
                      <a:ext cx="3323590" cy="2886075"/>
                    </a:xfrm>
                    <a:prstGeom prst="rect">
                      <a:avLst/>
                    </a:prstGeom>
                    <a:noFill/>
                    <a:ln>
                      <a:noFill/>
                    </a:ln>
                    <a:extLst>
                      <a:ext uri="{53640926-AAD7-44D8-BBD7-CCE9431645EC}">
                        <a14:shadowObscured xmlns:a14="http://schemas.microsoft.com/office/drawing/2010/main"/>
                      </a:ext>
                    </a:extLst>
                  </pic:spPr>
                </pic:pic>
              </a:graphicData>
            </a:graphic>
          </wp:inline>
        </w:drawing>
      </w:r>
    </w:p>
    <w:p w14:paraId="3A849C03" w14:textId="77777777" w:rsidR="00302854" w:rsidRPr="00302854" w:rsidRDefault="00302854" w:rsidP="00302854">
      <w:pPr>
        <w:jc w:val="both"/>
        <w:rPr>
          <w:rFonts w:ascii="Cambria" w:hAnsi="Cambria"/>
          <w:sz w:val="20"/>
          <w:szCs w:val="20"/>
          <w:lang w:val="fr-FR"/>
        </w:rPr>
      </w:pPr>
      <w:r w:rsidRPr="00302854">
        <w:rPr>
          <w:rFonts w:ascii="Cambria" w:hAnsi="Cambria"/>
          <w:b/>
          <w:bCs/>
          <w:sz w:val="20"/>
          <w:szCs w:val="20"/>
          <w:lang w:val="fr-FR"/>
        </w:rPr>
        <w:t>Figure 19.8.1.</w:t>
      </w:r>
      <w:r w:rsidRPr="00302854">
        <w:rPr>
          <w:rFonts w:ascii="Cambria" w:hAnsi="Cambria"/>
          <w:sz w:val="20"/>
          <w:szCs w:val="20"/>
          <w:lang w:val="fr-FR"/>
        </w:rPr>
        <w:t xml:space="preserve"> Captures déclarées de germon du Nord (tâche 1NC, barres) et TAC (ligne continue).  Les barres brunes indiquent les années où les captures ont dépassé le TAC. Il convient de noter que le TAC établi avec la règle de contrôle de l’exploitation ou la MP pour le germon du Nord a commencé en 2018. </w:t>
      </w:r>
    </w:p>
    <w:p w14:paraId="0C61E9CC" w14:textId="77777777" w:rsidR="00302854" w:rsidRPr="00302854" w:rsidRDefault="00302854" w:rsidP="00302854">
      <w:pPr>
        <w:rPr>
          <w:rFonts w:ascii="Cambria" w:hAnsi="Cambria"/>
          <w:sz w:val="20"/>
          <w:szCs w:val="20"/>
          <w:lang w:val="fr-FR"/>
        </w:rPr>
      </w:pPr>
    </w:p>
    <w:p w14:paraId="2352EE42" w14:textId="77777777" w:rsidR="00302854" w:rsidRPr="00302854" w:rsidRDefault="00302854" w:rsidP="00302854">
      <w:pPr>
        <w:rPr>
          <w:rFonts w:ascii="Cambria" w:hAnsi="Cambria"/>
          <w:sz w:val="20"/>
          <w:szCs w:val="20"/>
          <w:lang w:val="fr-FR"/>
        </w:rPr>
      </w:pPr>
      <w:r w:rsidRPr="007B779F">
        <w:rPr>
          <w:rFonts w:ascii="Cambria" w:hAnsi="Cambria"/>
          <w:noProof/>
          <w:sz w:val="20"/>
          <w:szCs w:val="20"/>
        </w:rPr>
        <w:drawing>
          <wp:inline distT="0" distB="0" distL="0" distR="0" wp14:anchorId="0E8E8EE0" wp14:editId="0E0BE15F">
            <wp:extent cx="5732145" cy="3821430"/>
            <wp:effectExtent l="0" t="0" r="1905" b="7620"/>
            <wp:docPr id="1968623294" name="Imagen 2" descr="P142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23294" name="Imagen 2" descr="P1429#yIS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2145" cy="3821430"/>
                    </a:xfrm>
                    <a:prstGeom prst="rect">
                      <a:avLst/>
                    </a:prstGeom>
                    <a:noFill/>
                    <a:ln>
                      <a:noFill/>
                    </a:ln>
                  </pic:spPr>
                </pic:pic>
              </a:graphicData>
            </a:graphic>
          </wp:inline>
        </w:drawing>
      </w:r>
      <w:r w:rsidRPr="00302854">
        <w:rPr>
          <w:rFonts w:ascii="Cambria" w:hAnsi="Cambria"/>
          <w:b/>
          <w:sz w:val="20"/>
          <w:szCs w:val="20"/>
          <w:lang w:val="fr-FR"/>
        </w:rPr>
        <w:t>Figure 19.8.2</w:t>
      </w:r>
      <w:r w:rsidRPr="00302854">
        <w:rPr>
          <w:rFonts w:ascii="Cambria" w:hAnsi="Cambria"/>
          <w:sz w:val="20"/>
          <w:szCs w:val="20"/>
          <w:lang w:val="fr-FR"/>
        </w:rPr>
        <w:t>. Trajectoires de CPUE simulées dans la MSE (diagrammes en boîte à moustaches) et CPUE standardisées (ligne continue) disponibles en 2026.</w:t>
      </w:r>
    </w:p>
    <w:p w14:paraId="3F8B27D4" w14:textId="77777777" w:rsidR="00302854" w:rsidRPr="00302854" w:rsidRDefault="00302854" w:rsidP="00302854">
      <w:pPr>
        <w:spacing w:after="160" w:line="259" w:lineRule="auto"/>
        <w:rPr>
          <w:rFonts w:ascii="Cambria" w:hAnsi="Cambria"/>
          <w:sz w:val="20"/>
          <w:szCs w:val="20"/>
          <w:lang w:val="fr-FR"/>
        </w:rPr>
      </w:pPr>
    </w:p>
    <w:p w14:paraId="5883BF4A" w14:textId="77777777" w:rsidR="00302854" w:rsidRPr="00302854" w:rsidRDefault="00302854" w:rsidP="00302854">
      <w:pPr>
        <w:jc w:val="both"/>
        <w:rPr>
          <w:rFonts w:ascii="Cambria" w:hAnsi="Cambria"/>
          <w:sz w:val="20"/>
          <w:szCs w:val="20"/>
          <w:lang w:val="fr-FR"/>
        </w:rPr>
      </w:pPr>
    </w:p>
    <w:p w14:paraId="514E5A77" w14:textId="77777777" w:rsidR="00302854" w:rsidRPr="00302854" w:rsidRDefault="00302854" w:rsidP="00302854">
      <w:pPr>
        <w:jc w:val="both"/>
        <w:rPr>
          <w:rFonts w:ascii="Cambria" w:hAnsi="Cambria"/>
          <w:sz w:val="20"/>
          <w:szCs w:val="20"/>
          <w:lang w:val="fr-FR"/>
        </w:rPr>
      </w:pPr>
    </w:p>
    <w:p w14:paraId="45F1663D" w14:textId="77777777" w:rsidR="00302854" w:rsidRPr="00302854" w:rsidRDefault="00302854" w:rsidP="00302854">
      <w:pPr>
        <w:rPr>
          <w:rFonts w:ascii="Cambria" w:hAnsi="Cambria"/>
          <w:sz w:val="20"/>
          <w:szCs w:val="20"/>
          <w:lang w:val="fr-FR"/>
        </w:rPr>
      </w:pPr>
    </w:p>
    <w:p w14:paraId="58EC1849" w14:textId="77777777" w:rsidR="00302854" w:rsidRPr="00302854" w:rsidRDefault="00302854" w:rsidP="00302854">
      <w:pPr>
        <w:jc w:val="both"/>
        <w:rPr>
          <w:rFonts w:ascii="Cambria" w:hAnsi="Cambria"/>
          <w:sz w:val="20"/>
          <w:szCs w:val="20"/>
          <w:lang w:val="fr-FR"/>
        </w:rPr>
      </w:pPr>
      <w:r w:rsidRPr="007B779F">
        <w:rPr>
          <w:rFonts w:ascii="Cambria" w:hAnsi="Cambria"/>
          <w:noProof/>
          <w:sz w:val="20"/>
          <w:szCs w:val="20"/>
        </w:rPr>
        <w:lastRenderedPageBreak/>
        <w:drawing>
          <wp:inline distT="0" distB="0" distL="0" distR="0" wp14:anchorId="78D1C39D" wp14:editId="224A5087">
            <wp:extent cx="5732145" cy="3209925"/>
            <wp:effectExtent l="0" t="0" r="1905" b="9525"/>
            <wp:docPr id="1479155720" name="Imagen 5" descr="P14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55720" name="Imagen 5" descr="P1434#yIS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2145" cy="3209925"/>
                    </a:xfrm>
                    <a:prstGeom prst="rect">
                      <a:avLst/>
                    </a:prstGeom>
                    <a:noFill/>
                    <a:ln>
                      <a:noFill/>
                    </a:ln>
                  </pic:spPr>
                </pic:pic>
              </a:graphicData>
            </a:graphic>
          </wp:inline>
        </w:drawing>
      </w:r>
      <w:r w:rsidRPr="00302854">
        <w:rPr>
          <w:rFonts w:ascii="Cambria" w:hAnsi="Cambria"/>
          <w:b/>
          <w:sz w:val="20"/>
          <w:szCs w:val="20"/>
          <w:lang w:val="fr-FR"/>
        </w:rPr>
        <w:t>Figure 19.8.3</w:t>
      </w:r>
      <w:r w:rsidRPr="00302854">
        <w:rPr>
          <w:rFonts w:ascii="Cambria" w:hAnsi="Cambria"/>
          <w:sz w:val="20"/>
          <w:szCs w:val="20"/>
          <w:lang w:val="fr-FR"/>
        </w:rPr>
        <w:t>. Biomasse relative (B/B</w:t>
      </w:r>
      <w:r w:rsidRPr="00302854">
        <w:rPr>
          <w:rFonts w:ascii="Cambria" w:hAnsi="Cambria"/>
          <w:sz w:val="20"/>
          <w:szCs w:val="20"/>
          <w:vertAlign w:val="subscript"/>
          <w:lang w:val="fr-FR"/>
        </w:rPr>
        <w:t>PME</w:t>
      </w:r>
      <w:r w:rsidRPr="00302854">
        <w:rPr>
          <w:rFonts w:ascii="Cambria" w:hAnsi="Cambria"/>
          <w:sz w:val="20"/>
          <w:szCs w:val="20"/>
          <w:lang w:val="fr-FR"/>
        </w:rPr>
        <w:t>) estimée dans les PM de la MSE (diagramme en boîte à moustaches, les boîtes représentent les IC de 50% et les moustaches les IC de 95%) et estimations du modèle de MP de 2026 (ligne continue).</w:t>
      </w:r>
    </w:p>
    <w:p w14:paraId="746C9876" w14:textId="77777777" w:rsidR="00302854" w:rsidRPr="00302854" w:rsidRDefault="00302854" w:rsidP="00302854">
      <w:pPr>
        <w:rPr>
          <w:rFonts w:ascii="Cambria" w:hAnsi="Cambria"/>
          <w:sz w:val="20"/>
          <w:szCs w:val="20"/>
          <w:lang w:val="fr-FR"/>
        </w:rPr>
      </w:pPr>
    </w:p>
    <w:p w14:paraId="0521CEF2" w14:textId="77777777" w:rsidR="00302854" w:rsidRPr="00302854" w:rsidRDefault="00302854" w:rsidP="00302854">
      <w:pPr>
        <w:jc w:val="both"/>
        <w:rPr>
          <w:rFonts w:ascii="Cambria" w:hAnsi="Cambria"/>
          <w:sz w:val="20"/>
          <w:szCs w:val="20"/>
          <w:lang w:val="fr-FR"/>
        </w:rPr>
      </w:pPr>
      <w:r w:rsidRPr="007B779F">
        <w:rPr>
          <w:rFonts w:ascii="Cambria" w:hAnsi="Cambria"/>
          <w:noProof/>
          <w:sz w:val="20"/>
          <w:szCs w:val="20"/>
        </w:rPr>
        <w:drawing>
          <wp:inline distT="0" distB="0" distL="0" distR="0" wp14:anchorId="18001380" wp14:editId="55F8E1C7">
            <wp:extent cx="5732145" cy="3209925"/>
            <wp:effectExtent l="0" t="0" r="1905" b="9525"/>
            <wp:docPr id="527834142" name="Imagen 6" descr="P143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834142" name="Imagen 6" descr="P1436#yIS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2145" cy="3209925"/>
                    </a:xfrm>
                    <a:prstGeom prst="rect">
                      <a:avLst/>
                    </a:prstGeom>
                    <a:noFill/>
                    <a:ln>
                      <a:noFill/>
                    </a:ln>
                  </pic:spPr>
                </pic:pic>
              </a:graphicData>
            </a:graphic>
          </wp:inline>
        </w:drawing>
      </w:r>
      <w:r w:rsidRPr="00302854">
        <w:rPr>
          <w:rFonts w:ascii="Cambria" w:hAnsi="Cambria"/>
          <w:b/>
          <w:sz w:val="20"/>
          <w:szCs w:val="20"/>
          <w:lang w:val="fr-FR"/>
        </w:rPr>
        <w:t>Figure 19.8.4</w:t>
      </w:r>
      <w:r w:rsidRPr="00302854">
        <w:rPr>
          <w:rFonts w:ascii="Cambria" w:hAnsi="Cambria"/>
          <w:sz w:val="20"/>
          <w:szCs w:val="20"/>
          <w:lang w:val="fr-FR"/>
        </w:rPr>
        <w:t>. Mortalité par pêche relative (F/F</w:t>
      </w:r>
      <w:r w:rsidRPr="00302854">
        <w:rPr>
          <w:rFonts w:ascii="Cambria" w:hAnsi="Cambria"/>
          <w:sz w:val="20"/>
          <w:szCs w:val="20"/>
          <w:vertAlign w:val="subscript"/>
          <w:lang w:val="fr-FR"/>
        </w:rPr>
        <w:t>PME</w:t>
      </w:r>
      <w:r w:rsidRPr="00302854">
        <w:rPr>
          <w:rFonts w:ascii="Cambria" w:hAnsi="Cambria"/>
          <w:sz w:val="20"/>
          <w:szCs w:val="20"/>
          <w:lang w:val="fr-FR"/>
        </w:rPr>
        <w:t>) estimée dans les MP de la MSE (diagramme en boîte à moustaches, les boîtes représentent les IC de 50% et les moustaches les IC de 95%) et estimations du modèle de MP de 2026 (ligne continue).</w:t>
      </w:r>
    </w:p>
    <w:p w14:paraId="7D0CD8ED" w14:textId="77777777" w:rsidR="00302854" w:rsidRPr="00302854" w:rsidRDefault="00302854" w:rsidP="00302854">
      <w:pPr>
        <w:rPr>
          <w:rFonts w:ascii="Cambria" w:hAnsi="Cambria"/>
          <w:sz w:val="20"/>
          <w:szCs w:val="20"/>
          <w:lang w:val="fr-FR"/>
        </w:rPr>
      </w:pPr>
    </w:p>
    <w:p w14:paraId="70EAF315" w14:textId="77777777" w:rsidR="00302854" w:rsidRPr="00302854" w:rsidRDefault="00302854" w:rsidP="00302854">
      <w:pPr>
        <w:spacing w:after="160" w:line="259" w:lineRule="auto"/>
        <w:jc w:val="both"/>
        <w:rPr>
          <w:rFonts w:ascii="Cambria" w:hAnsi="Cambria"/>
          <w:b/>
          <w:bCs/>
          <w:i/>
          <w:iCs/>
          <w:sz w:val="20"/>
          <w:szCs w:val="20"/>
          <w:lang w:val="fr-FR"/>
        </w:rPr>
      </w:pPr>
      <w:r w:rsidRPr="00302854">
        <w:rPr>
          <w:rFonts w:ascii="Cambria" w:hAnsi="Cambria"/>
          <w:b/>
          <w:bCs/>
          <w:i/>
          <w:iCs/>
          <w:sz w:val="20"/>
          <w:szCs w:val="20"/>
          <w:lang w:val="fr-FR"/>
        </w:rPr>
        <w:t xml:space="preserve">19.9 Le SCRS devra poursuivre le développement d'un nouveau cadre de MSE afin de soutenir l’éventuelle adoption d’une nouvelle MP par la Commission au plus tard en 2026 et de l’établissement d'un TAC pour la période de gestion 2027-2030, </w:t>
      </w:r>
      <w:hyperlink r:id="rId14" w:history="1">
        <w:r w:rsidRPr="00302854">
          <w:rPr>
            <w:rStyle w:val="Hyperlink"/>
            <w:rFonts w:ascii="Cambria" w:hAnsi="Cambria"/>
            <w:b/>
            <w:i/>
            <w:sz w:val="20"/>
            <w:szCs w:val="20"/>
            <w:u w:val="none"/>
            <w:lang w:val="fr-FR"/>
          </w:rPr>
          <w:t>Rec. 21-04</w:t>
        </w:r>
      </w:hyperlink>
      <w:r w:rsidRPr="00302854">
        <w:rPr>
          <w:rFonts w:ascii="Cambria" w:hAnsi="Cambria"/>
          <w:b/>
          <w:sz w:val="20"/>
          <w:szCs w:val="20"/>
          <w:lang w:val="fr-FR"/>
        </w:rPr>
        <w:t>,</w:t>
      </w:r>
      <w:r w:rsidRPr="00302854">
        <w:rPr>
          <w:rFonts w:ascii="Cambria" w:hAnsi="Cambria"/>
          <w:b/>
          <w:i/>
          <w:sz w:val="20"/>
          <w:szCs w:val="20"/>
          <w:lang w:val="fr-FR"/>
        </w:rPr>
        <w:t xml:space="preserve"> </w:t>
      </w:r>
      <w:r w:rsidRPr="00302854">
        <w:rPr>
          <w:rFonts w:ascii="Cambria" w:hAnsi="Cambria"/>
          <w:b/>
          <w:bCs/>
          <w:i/>
          <w:iCs/>
          <w:sz w:val="20"/>
          <w:szCs w:val="20"/>
          <w:lang w:val="fr-FR"/>
        </w:rPr>
        <w:t>paragraphe</w:t>
      </w:r>
      <w:r w:rsidRPr="00302854">
        <w:rPr>
          <w:rFonts w:ascii="Cambria" w:hAnsi="Cambria"/>
          <w:b/>
          <w:i/>
          <w:sz w:val="20"/>
          <w:szCs w:val="20"/>
          <w:lang w:val="fr-FR"/>
        </w:rPr>
        <w:t xml:space="preserve"> 18</w:t>
      </w:r>
      <w:r w:rsidRPr="00302854">
        <w:rPr>
          <w:rFonts w:ascii="Cambria" w:hAnsi="Cambria"/>
          <w:i/>
          <w:sz w:val="20"/>
          <w:szCs w:val="20"/>
          <w:lang w:val="fr-FR"/>
        </w:rPr>
        <w:t xml:space="preserve"> </w:t>
      </w:r>
    </w:p>
    <w:p w14:paraId="007C578E" w14:textId="77777777" w:rsidR="00302854" w:rsidRPr="00302854" w:rsidRDefault="00302854" w:rsidP="00302854">
      <w:pPr>
        <w:tabs>
          <w:tab w:val="center" w:pos="4513"/>
          <w:tab w:val="left" w:pos="6804"/>
        </w:tabs>
        <w:jc w:val="both"/>
        <w:rPr>
          <w:rFonts w:ascii="Cambria" w:hAnsi="Cambria"/>
          <w:b/>
          <w:i/>
          <w:iCs/>
          <w:sz w:val="20"/>
          <w:szCs w:val="20"/>
          <w:lang w:val="fr-FR"/>
        </w:rPr>
      </w:pPr>
    </w:p>
    <w:p w14:paraId="3D379DDB" w14:textId="77777777" w:rsidR="00302854" w:rsidRPr="00302854" w:rsidRDefault="00302854" w:rsidP="00302854">
      <w:pPr>
        <w:autoSpaceDE w:val="0"/>
        <w:autoSpaceDN w:val="0"/>
        <w:adjustRightInd w:val="0"/>
        <w:contextualSpacing/>
        <w:jc w:val="both"/>
        <w:rPr>
          <w:rFonts w:ascii="Cambria" w:hAnsi="Cambria"/>
          <w:i/>
          <w:iCs/>
          <w:sz w:val="20"/>
          <w:szCs w:val="20"/>
          <w:lang w:val="fr-FR"/>
        </w:rPr>
      </w:pPr>
      <w:r w:rsidRPr="00302854">
        <w:rPr>
          <w:rFonts w:ascii="Cambria" w:hAnsi="Cambria"/>
          <w:b/>
          <w:sz w:val="20"/>
          <w:szCs w:val="20"/>
          <w:lang w:val="fr-FR"/>
        </w:rPr>
        <w:t>Contexte :</w:t>
      </w:r>
      <w:r w:rsidRPr="00302854">
        <w:rPr>
          <w:rFonts w:ascii="Cambria" w:hAnsi="Cambria"/>
          <w:i/>
          <w:sz w:val="20"/>
          <w:szCs w:val="20"/>
          <w:lang w:val="fr-FR"/>
        </w:rPr>
        <w:t xml:space="preserve"> Le SCRS devra poursuivre le développement d'un nouveau cadre de MSE afin de soutenir l’éventuelle adoption d’une nouvelle MP par la Commission au plus tard en 2026 et de l’établissement d'un TAC pour la période de gestion 2027-2030.</w:t>
      </w:r>
    </w:p>
    <w:p w14:paraId="19AFA80A" w14:textId="77777777" w:rsidR="00302854" w:rsidRPr="00302854" w:rsidRDefault="00302854" w:rsidP="00302854">
      <w:pPr>
        <w:tabs>
          <w:tab w:val="right" w:leader="dot" w:pos="8505"/>
          <w:tab w:val="right" w:pos="9072"/>
        </w:tabs>
        <w:ind w:right="-1"/>
        <w:contextualSpacing/>
        <w:jc w:val="both"/>
        <w:rPr>
          <w:rFonts w:ascii="Cambria" w:eastAsiaTheme="minorHAnsi" w:hAnsi="Cambria" w:cstheme="minorBidi"/>
          <w:sz w:val="20"/>
          <w:szCs w:val="20"/>
          <w:lang w:val="fr-FR"/>
        </w:rPr>
      </w:pPr>
    </w:p>
    <w:p w14:paraId="02CE3F89" w14:textId="77777777" w:rsidR="00302854" w:rsidRPr="00302854" w:rsidRDefault="00302854" w:rsidP="00302854">
      <w:pPr>
        <w:tabs>
          <w:tab w:val="right" w:leader="dot" w:pos="8505"/>
          <w:tab w:val="right" w:pos="9072"/>
        </w:tabs>
        <w:ind w:right="-1"/>
        <w:contextualSpacing/>
        <w:jc w:val="both"/>
        <w:rPr>
          <w:rFonts w:ascii="Cambria" w:eastAsiaTheme="minorHAnsi" w:hAnsi="Cambria" w:cstheme="minorBidi"/>
          <w:i/>
          <w:iCs/>
          <w:sz w:val="20"/>
          <w:szCs w:val="20"/>
          <w:lang w:val="fr-FR"/>
        </w:rPr>
      </w:pPr>
      <w:r w:rsidRPr="00302854">
        <w:rPr>
          <w:rFonts w:ascii="Cambria" w:eastAsiaTheme="minorHAnsi" w:hAnsi="Cambria" w:cstheme="minorBidi"/>
          <w:i/>
          <w:iCs/>
          <w:sz w:val="20"/>
          <w:szCs w:val="20"/>
          <w:lang w:val="fr-FR"/>
        </w:rPr>
        <w:t>À cet égard, il est également demandé au SCRS d'explorer la possibilité de définir des indices de CPUE supplémentaires potentiels, afin de compléter ceux déclarés à l'appendice A de l'annexe 1, ainsi que d'émettre un avis sur la façon dont les éventuels changements environnementaux seront pris en compte dans le développement de ce cadre.</w:t>
      </w:r>
    </w:p>
    <w:p w14:paraId="3D680B37" w14:textId="77777777" w:rsidR="00302854" w:rsidRPr="00302854" w:rsidRDefault="00302854" w:rsidP="00302854">
      <w:pPr>
        <w:jc w:val="both"/>
        <w:rPr>
          <w:rFonts w:ascii="Cambria" w:hAnsi="Cambria"/>
          <w:b/>
          <w:bCs/>
          <w:i/>
          <w:iCs/>
          <w:sz w:val="20"/>
          <w:szCs w:val="20"/>
          <w:lang w:val="fr-FR"/>
        </w:rPr>
      </w:pPr>
    </w:p>
    <w:p w14:paraId="5B830969" w14:textId="77777777" w:rsidR="00302854" w:rsidRPr="00302854" w:rsidRDefault="00302854" w:rsidP="00302854">
      <w:pPr>
        <w:rPr>
          <w:rFonts w:ascii="Cambria" w:hAnsi="Cambria"/>
          <w:color w:val="000000" w:themeColor="text1"/>
          <w:sz w:val="20"/>
          <w:szCs w:val="20"/>
          <w:lang w:val="fr-FR"/>
        </w:rPr>
      </w:pPr>
      <w:r w:rsidRPr="00302854">
        <w:rPr>
          <w:rFonts w:ascii="Cambria" w:hAnsi="Cambria"/>
          <w:color w:val="000000" w:themeColor="text1"/>
          <w:sz w:val="20"/>
          <w:szCs w:val="20"/>
          <w:lang w:val="fr-FR"/>
        </w:rPr>
        <w:t>La MP adoptée pour le germon du Nord (Rec. 21-04) a été réexécutée ; cela s'est traduit par un TAC de 50.000 t pour la période 2027-2029.</w:t>
      </w:r>
    </w:p>
    <w:p w14:paraId="4D0CD61D" w14:textId="77777777" w:rsidR="00302854" w:rsidRPr="00302854" w:rsidRDefault="00302854" w:rsidP="00302854">
      <w:pPr>
        <w:rPr>
          <w:rFonts w:ascii="Cambria" w:hAnsi="Cambria"/>
          <w:color w:val="000000" w:themeColor="text1"/>
          <w:sz w:val="20"/>
          <w:szCs w:val="20"/>
          <w:lang w:val="fr-FR"/>
        </w:rPr>
      </w:pPr>
    </w:p>
    <w:p w14:paraId="007EEFA1" w14:textId="77777777" w:rsidR="00302854" w:rsidRPr="00302854" w:rsidRDefault="00302854" w:rsidP="00302854">
      <w:pPr>
        <w:rPr>
          <w:rFonts w:ascii="Cambria" w:hAnsi="Cambria"/>
          <w:i/>
          <w:iCs/>
          <w:color w:val="000000" w:themeColor="text1"/>
          <w:sz w:val="20"/>
          <w:szCs w:val="20"/>
          <w:lang w:val="fr-FR"/>
        </w:rPr>
      </w:pPr>
      <w:r w:rsidRPr="00302854">
        <w:rPr>
          <w:rFonts w:ascii="Cambria" w:hAnsi="Cambria"/>
          <w:i/>
          <w:iCs/>
          <w:color w:val="000000" w:themeColor="text1"/>
          <w:sz w:val="20"/>
          <w:szCs w:val="20"/>
          <w:lang w:val="fr-FR"/>
        </w:rPr>
        <w:t>Nouveau cadre de la MSE</w:t>
      </w:r>
    </w:p>
    <w:p w14:paraId="20BBA5D8" w14:textId="77777777" w:rsidR="00302854" w:rsidRPr="00302854" w:rsidRDefault="00302854" w:rsidP="00302854">
      <w:pPr>
        <w:rPr>
          <w:rFonts w:ascii="Cambria" w:hAnsi="Cambria"/>
          <w:color w:val="000000" w:themeColor="text1"/>
          <w:sz w:val="20"/>
          <w:szCs w:val="20"/>
          <w:lang w:val="fr-FR"/>
        </w:rPr>
      </w:pPr>
    </w:p>
    <w:p w14:paraId="59D60558" w14:textId="77777777" w:rsidR="00302854" w:rsidRPr="00302854" w:rsidRDefault="00302854" w:rsidP="00302854">
      <w:pPr>
        <w:jc w:val="both"/>
        <w:rPr>
          <w:rFonts w:ascii="Cambria" w:hAnsi="Cambria"/>
          <w:color w:val="000000" w:themeColor="text1"/>
          <w:sz w:val="20"/>
          <w:szCs w:val="20"/>
          <w:lang w:val="fr-FR"/>
        </w:rPr>
      </w:pPr>
      <w:r w:rsidRPr="00302854">
        <w:rPr>
          <w:rFonts w:ascii="Cambria" w:hAnsi="Cambria"/>
          <w:color w:val="000000" w:themeColor="text1"/>
          <w:sz w:val="20"/>
          <w:szCs w:val="20"/>
          <w:lang w:val="fr-FR"/>
        </w:rPr>
        <w:t xml:space="preserve">Le nouveau cadre d'évaluation de la stratégie de gestion (MSE) s'appuie sur l'évaluation de référence des stocks de 2023 et sur les évolutions méthodologiques qui ont suivi, qui ont été discutées par le SCRS. </w:t>
      </w:r>
      <w:r w:rsidRPr="00302854">
        <w:rPr>
          <w:rFonts w:ascii="Cambria" w:hAnsi="Cambria"/>
          <w:sz w:val="20"/>
          <w:szCs w:val="20"/>
          <w:lang w:val="fr-FR"/>
        </w:rPr>
        <w:t xml:space="preserve">Les détails techniques, notamment les modèles opérationnels (OM) et les procédures de gestion potentielles (CMP), sont présentés dans </w:t>
      </w:r>
      <w:proofErr w:type="spellStart"/>
      <w:r w:rsidRPr="00302854">
        <w:rPr>
          <w:rFonts w:ascii="Cambria" w:hAnsi="Cambria"/>
          <w:sz w:val="20"/>
          <w:szCs w:val="20"/>
          <w:lang w:val="fr-FR"/>
        </w:rPr>
        <w:t>Urtizberea</w:t>
      </w:r>
      <w:proofErr w:type="spellEnd"/>
      <w:r w:rsidRPr="00302854">
        <w:rPr>
          <w:rFonts w:ascii="Cambria" w:hAnsi="Cambria"/>
          <w:sz w:val="20"/>
          <w:szCs w:val="20"/>
          <w:lang w:val="fr-FR"/>
        </w:rPr>
        <w:t xml:space="preserve"> </w:t>
      </w:r>
      <w:r w:rsidRPr="00302854">
        <w:rPr>
          <w:rFonts w:ascii="Cambria" w:hAnsi="Cambria"/>
          <w:i/>
          <w:iCs/>
          <w:sz w:val="20"/>
          <w:szCs w:val="20"/>
          <w:lang w:val="fr-FR"/>
        </w:rPr>
        <w:t>et al</w:t>
      </w:r>
      <w:r w:rsidRPr="00302854">
        <w:rPr>
          <w:rFonts w:ascii="Cambria" w:hAnsi="Cambria"/>
          <w:sz w:val="20"/>
          <w:szCs w:val="20"/>
          <w:lang w:val="fr-FR"/>
        </w:rPr>
        <w:t>., (</w:t>
      </w:r>
      <w:r w:rsidRPr="00302854">
        <w:rPr>
          <w:rFonts w:ascii="Cambria" w:hAnsi="Cambria"/>
          <w:color w:val="000000" w:themeColor="text1"/>
          <w:sz w:val="20"/>
          <w:szCs w:val="20"/>
          <w:lang w:val="fr-FR"/>
        </w:rPr>
        <w:t>SCRS/2026/190)</w:t>
      </w:r>
      <w:r w:rsidRPr="00302854">
        <w:rPr>
          <w:rFonts w:ascii="Cambria" w:hAnsi="Cambria"/>
          <w:sz w:val="20"/>
          <w:szCs w:val="20"/>
          <w:lang w:val="fr-FR"/>
        </w:rPr>
        <w:t xml:space="preserve">, ainsi que dans le </w:t>
      </w:r>
      <w:hyperlink r:id="rId15" w:history="1">
        <w:r w:rsidRPr="00302854">
          <w:rPr>
            <w:rStyle w:val="Hyperlink"/>
            <w:rFonts w:ascii="Cambria" w:hAnsi="Cambria"/>
            <w:sz w:val="20"/>
            <w:szCs w:val="20"/>
            <w:u w:val="none"/>
            <w:lang w:val="fr-FR"/>
          </w:rPr>
          <w:t xml:space="preserve">document de spécification des essais </w:t>
        </w:r>
      </w:hyperlink>
      <w:r w:rsidRPr="00302854">
        <w:rPr>
          <w:rFonts w:ascii="Cambria" w:hAnsi="Cambria"/>
          <w:sz w:val="20"/>
          <w:szCs w:val="20"/>
          <w:lang w:val="fr-FR"/>
        </w:rPr>
        <w:t xml:space="preserve">(TSD) et dans l’application Shiny </w:t>
      </w:r>
      <w:r w:rsidRPr="00302854">
        <w:rPr>
          <w:rFonts w:ascii="Cambria" w:hAnsi="Cambria"/>
          <w:color w:val="000000" w:themeColor="text1"/>
          <w:sz w:val="20"/>
          <w:szCs w:val="20"/>
          <w:lang w:val="fr-FR"/>
        </w:rPr>
        <w:t>(</w:t>
      </w:r>
      <w:hyperlink r:id="rId16" w:history="1">
        <w:r w:rsidRPr="00302854">
          <w:rPr>
            <w:rStyle w:val="Hyperlink"/>
            <w:rFonts w:ascii="Cambria" w:hAnsi="Cambria"/>
            <w:color w:val="000000" w:themeColor="text1"/>
            <w:sz w:val="20"/>
            <w:szCs w:val="20"/>
            <w:u w:val="none"/>
            <w:lang w:val="fr-FR"/>
          </w:rPr>
          <w:t>FLBEIA Shiny App</w:t>
        </w:r>
      </w:hyperlink>
      <w:r w:rsidRPr="00302854">
        <w:rPr>
          <w:rFonts w:ascii="Cambria" w:hAnsi="Cambria"/>
          <w:color w:val="000000" w:themeColor="text1"/>
          <w:sz w:val="20"/>
          <w:szCs w:val="20"/>
          <w:lang w:val="fr-FR"/>
        </w:rPr>
        <w:t>).</w:t>
      </w:r>
    </w:p>
    <w:p w14:paraId="0297D6F4" w14:textId="77777777" w:rsidR="00302854" w:rsidRPr="00302854" w:rsidRDefault="00302854" w:rsidP="00302854">
      <w:pPr>
        <w:jc w:val="both"/>
        <w:rPr>
          <w:rFonts w:ascii="Cambria" w:hAnsi="Cambria"/>
          <w:color w:val="000000" w:themeColor="text1"/>
          <w:sz w:val="20"/>
          <w:szCs w:val="20"/>
          <w:lang w:val="fr-FR"/>
        </w:rPr>
      </w:pPr>
    </w:p>
    <w:p w14:paraId="161DFF7F" w14:textId="77777777" w:rsidR="00302854" w:rsidRPr="00302854" w:rsidRDefault="00302854" w:rsidP="00302854">
      <w:pPr>
        <w:jc w:val="both"/>
        <w:rPr>
          <w:rFonts w:ascii="Cambria" w:hAnsi="Cambria"/>
          <w:color w:val="000000" w:themeColor="text1"/>
          <w:sz w:val="20"/>
          <w:szCs w:val="20"/>
          <w:lang w:val="fr-FR"/>
        </w:rPr>
      </w:pPr>
      <w:r w:rsidRPr="00302854">
        <w:rPr>
          <w:rFonts w:ascii="Cambria" w:hAnsi="Cambria"/>
          <w:color w:val="000000" w:themeColor="text1"/>
          <w:sz w:val="20"/>
          <w:szCs w:val="20"/>
          <w:lang w:val="fr-FR"/>
        </w:rPr>
        <w:t>En raison de modifications apportées au cadre de la MSE, la MP adoptée a dû être légèrement révisée. Par souci de clarté, on utilise le terme « MP mise à jour » pour désigner cette version actualisée de la MP adoptée en vertu de la Rec. 21-04.</w:t>
      </w:r>
    </w:p>
    <w:p w14:paraId="17DF6F1A" w14:textId="77777777" w:rsidR="00302854" w:rsidRPr="00302854" w:rsidRDefault="00302854" w:rsidP="00302854">
      <w:pPr>
        <w:jc w:val="both"/>
        <w:rPr>
          <w:rFonts w:ascii="Cambria" w:hAnsi="Cambria"/>
          <w:color w:val="000000" w:themeColor="text1"/>
          <w:sz w:val="20"/>
          <w:szCs w:val="20"/>
          <w:lang w:val="fr-FR"/>
        </w:rPr>
      </w:pPr>
    </w:p>
    <w:p w14:paraId="71B5F941" w14:textId="77777777" w:rsidR="00302854" w:rsidRPr="00302854" w:rsidRDefault="00302854" w:rsidP="00302854">
      <w:pPr>
        <w:jc w:val="both"/>
        <w:rPr>
          <w:rFonts w:ascii="Cambria" w:hAnsi="Cambria"/>
          <w:color w:val="000000" w:themeColor="text1"/>
          <w:sz w:val="20"/>
          <w:szCs w:val="20"/>
          <w:lang w:val="fr-FR"/>
        </w:rPr>
      </w:pPr>
      <w:r w:rsidRPr="00302854">
        <w:rPr>
          <w:rFonts w:ascii="Cambria" w:hAnsi="Cambria"/>
          <w:sz w:val="20"/>
          <w:szCs w:val="20"/>
          <w:lang w:val="fr-FR"/>
        </w:rPr>
        <w:t>Les essais réalisés dans le contexte du cadre de la nouvelle MSE indiquent que la MP actualisée</w:t>
      </w:r>
      <w:hyperlink r:id="rId17" w:history="1"/>
      <w:r w:rsidRPr="00302854">
        <w:rPr>
          <w:lang w:val="fr-FR"/>
        </w:rPr>
        <w:t xml:space="preserve"> </w:t>
      </w:r>
      <w:r w:rsidRPr="00302854">
        <w:rPr>
          <w:rFonts w:ascii="Cambria" w:hAnsi="Cambria"/>
          <w:sz w:val="20"/>
          <w:szCs w:val="20"/>
          <w:lang w:val="fr-FR"/>
        </w:rPr>
        <w:t xml:space="preserve">devrait permettre d'atteindre les objectifs de gestion en matière d'état et de sécurité du stock </w:t>
      </w:r>
      <w:r w:rsidRPr="00302854">
        <w:rPr>
          <w:rFonts w:ascii="Cambria" w:hAnsi="Cambria"/>
          <w:color w:val="000000" w:themeColor="text1"/>
          <w:sz w:val="20"/>
          <w:szCs w:val="20"/>
          <w:lang w:val="fr-FR"/>
        </w:rPr>
        <w:t>(</w:t>
      </w:r>
      <w:r w:rsidRPr="00302854">
        <w:rPr>
          <w:rFonts w:ascii="Cambria" w:hAnsi="Cambria"/>
          <w:b/>
          <w:bCs/>
          <w:color w:val="000000" w:themeColor="text1"/>
          <w:sz w:val="20"/>
          <w:szCs w:val="20"/>
          <w:lang w:val="fr-FR"/>
        </w:rPr>
        <w:t>tableau 19.9.2</w:t>
      </w:r>
      <w:r w:rsidRPr="00302854">
        <w:rPr>
          <w:rFonts w:ascii="Cambria" w:hAnsi="Cambria"/>
          <w:color w:val="000000" w:themeColor="text1"/>
          <w:sz w:val="20"/>
          <w:szCs w:val="20"/>
          <w:lang w:val="fr-FR"/>
        </w:rPr>
        <w:t xml:space="preserve">, </w:t>
      </w:r>
      <w:r w:rsidRPr="00302854">
        <w:rPr>
          <w:rFonts w:ascii="Cambria" w:hAnsi="Cambria"/>
          <w:b/>
          <w:bCs/>
          <w:color w:val="000000" w:themeColor="text1"/>
          <w:sz w:val="20"/>
          <w:szCs w:val="20"/>
          <w:lang w:val="fr-FR"/>
        </w:rPr>
        <w:t>figure 19.9.1</w:t>
      </w:r>
      <w:r w:rsidRPr="00302854">
        <w:rPr>
          <w:rFonts w:ascii="Cambria" w:hAnsi="Cambria"/>
          <w:color w:val="000000" w:themeColor="text1"/>
          <w:sz w:val="20"/>
          <w:szCs w:val="20"/>
          <w:lang w:val="fr-FR"/>
        </w:rPr>
        <w:t>).</w:t>
      </w:r>
      <w:r w:rsidRPr="00302854">
        <w:rPr>
          <w:rFonts w:ascii="Cambria" w:hAnsi="Cambria"/>
          <w:sz w:val="20"/>
          <w:szCs w:val="20"/>
          <w:lang w:val="fr-FR"/>
        </w:rPr>
        <w:t xml:space="preserve"> </w:t>
      </w:r>
      <w:r w:rsidRPr="00302854">
        <w:rPr>
          <w:rFonts w:ascii="Cambria" w:hAnsi="Cambria"/>
          <w:color w:val="000000" w:themeColor="text1"/>
          <w:sz w:val="20"/>
          <w:szCs w:val="20"/>
          <w:lang w:val="fr-FR"/>
        </w:rPr>
        <w:t>Les tests de robustesse simulant les impacts potentiels du changement climatique, notamment une baisse du recrutement et une variabilité accrue de celui-ci, ont également montré des résultats satisfaisants (</w:t>
      </w:r>
      <w:r w:rsidRPr="00302854">
        <w:rPr>
          <w:rFonts w:ascii="Cambria" w:hAnsi="Cambria"/>
          <w:b/>
          <w:bCs/>
          <w:color w:val="000000" w:themeColor="text1"/>
          <w:sz w:val="20"/>
          <w:szCs w:val="20"/>
          <w:lang w:val="fr-FR"/>
        </w:rPr>
        <w:t>figure 19.9.2</w:t>
      </w:r>
      <w:r w:rsidRPr="00302854">
        <w:rPr>
          <w:rFonts w:ascii="Cambria" w:hAnsi="Cambria"/>
          <w:color w:val="000000" w:themeColor="text1"/>
          <w:sz w:val="20"/>
          <w:szCs w:val="20"/>
          <w:lang w:val="fr-FR"/>
        </w:rPr>
        <w:t>). Dans ces scénarios, la MP actualisée a réagi à la baisse significative (20%) du recrutement en réduisant le total admissible des captures (TAC), préservant ainsi l'état et la sécurité des stocks.</w:t>
      </w:r>
    </w:p>
    <w:p w14:paraId="6D283762" w14:textId="77777777" w:rsidR="00302854" w:rsidRPr="00302854" w:rsidRDefault="00302854" w:rsidP="00302854">
      <w:pPr>
        <w:jc w:val="both"/>
        <w:rPr>
          <w:rFonts w:ascii="Cambria" w:hAnsi="Cambria"/>
          <w:color w:val="000000" w:themeColor="text1"/>
          <w:sz w:val="20"/>
          <w:szCs w:val="20"/>
          <w:lang w:val="fr-FR"/>
        </w:rPr>
      </w:pPr>
    </w:p>
    <w:p w14:paraId="3AE1A5B6" w14:textId="77777777" w:rsidR="00302854" w:rsidRPr="00302854" w:rsidRDefault="00302854" w:rsidP="00302854">
      <w:pPr>
        <w:jc w:val="both"/>
        <w:rPr>
          <w:rFonts w:ascii="Cambria" w:hAnsi="Cambria"/>
          <w:color w:val="000000" w:themeColor="text1"/>
          <w:sz w:val="20"/>
          <w:szCs w:val="20"/>
          <w:lang w:val="fr-FR"/>
        </w:rPr>
      </w:pPr>
      <w:r w:rsidRPr="00302854">
        <w:rPr>
          <w:rFonts w:ascii="Cambria" w:hAnsi="Cambria"/>
          <w:color w:val="000000" w:themeColor="text1"/>
          <w:sz w:val="20"/>
          <w:szCs w:val="20"/>
          <w:lang w:val="fr-FR"/>
        </w:rPr>
        <w:t>La nouvelle MSE a été utilisée pour évaluer les performances de sept CMP, parmi lesquelles figuraient des variantes de la MP actualisée assorties d'une contrainte de stabilité supplémentaire (±10 %) ou d'un taux de mortalité par pêche cible (F</w:t>
      </w:r>
      <w:r w:rsidRPr="00302854">
        <w:rPr>
          <w:rFonts w:ascii="Cambria" w:hAnsi="Cambria"/>
          <w:color w:val="000000" w:themeColor="text1"/>
          <w:sz w:val="20"/>
          <w:szCs w:val="20"/>
          <w:vertAlign w:val="subscript"/>
          <w:lang w:val="fr-FR"/>
        </w:rPr>
        <w:t>PME</w:t>
      </w:r>
      <w:r w:rsidRPr="00302854">
        <w:rPr>
          <w:rFonts w:ascii="Cambria" w:hAnsi="Cambria"/>
          <w:color w:val="000000" w:themeColor="text1"/>
          <w:sz w:val="20"/>
          <w:szCs w:val="20"/>
          <w:lang w:val="fr-FR"/>
        </w:rPr>
        <w:t>) plus élevé, ainsi que des CMP empiriques basées sur le ratio de capture par unité d'effort (CPUE) ou sur une approche de capture pseudo-constante (</w:t>
      </w:r>
      <w:r w:rsidRPr="00302854">
        <w:rPr>
          <w:rFonts w:ascii="Cambria" w:hAnsi="Cambria"/>
          <w:b/>
          <w:bCs/>
          <w:color w:val="000000" w:themeColor="text1"/>
          <w:sz w:val="20"/>
          <w:szCs w:val="20"/>
          <w:lang w:val="fr-FR"/>
        </w:rPr>
        <w:t>tableau 19.9.1</w:t>
      </w:r>
      <w:r w:rsidRPr="00302854">
        <w:rPr>
          <w:rFonts w:ascii="Cambria" w:hAnsi="Cambria"/>
          <w:color w:val="000000" w:themeColor="text1"/>
          <w:sz w:val="20"/>
          <w:szCs w:val="20"/>
          <w:lang w:val="fr-FR"/>
        </w:rPr>
        <w:t>).</w:t>
      </w:r>
    </w:p>
    <w:p w14:paraId="7D9EFB60" w14:textId="77777777" w:rsidR="00302854" w:rsidRPr="00302854" w:rsidRDefault="00302854" w:rsidP="00302854">
      <w:pPr>
        <w:jc w:val="both"/>
        <w:rPr>
          <w:rFonts w:ascii="Cambria" w:hAnsi="Cambria"/>
          <w:color w:val="000000" w:themeColor="text1"/>
          <w:sz w:val="20"/>
          <w:szCs w:val="20"/>
          <w:lang w:val="fr-FR"/>
        </w:rPr>
      </w:pPr>
    </w:p>
    <w:p w14:paraId="571E7DEC" w14:textId="77777777" w:rsidR="00302854" w:rsidRPr="007B779F" w:rsidRDefault="00302854" w:rsidP="00302854">
      <w:pPr>
        <w:pStyle w:val="Caption"/>
        <w:rPr>
          <w:rFonts w:ascii="Cambria" w:hAnsi="Cambria"/>
          <w:color w:val="000000" w:themeColor="text1"/>
          <w:sz w:val="20"/>
          <w:szCs w:val="20"/>
        </w:rPr>
      </w:pPr>
      <w:r w:rsidRPr="007B779F">
        <w:rPr>
          <w:rFonts w:ascii="Cambria" w:hAnsi="Cambria"/>
          <w:b/>
          <w:i w:val="0"/>
          <w:color w:val="000000" w:themeColor="text1"/>
          <w:sz w:val="20"/>
          <w:szCs w:val="20"/>
        </w:rPr>
        <w:t>Tableau 19.9.1</w:t>
      </w:r>
      <w:r w:rsidRPr="007B779F">
        <w:rPr>
          <w:rFonts w:ascii="Cambria" w:hAnsi="Cambria"/>
          <w:color w:val="000000" w:themeColor="text1"/>
          <w:sz w:val="20"/>
          <w:szCs w:val="20"/>
        </w:rPr>
        <w:t xml:space="preserve">. </w:t>
      </w:r>
      <w:r w:rsidRPr="007B779F">
        <w:rPr>
          <w:rFonts w:ascii="Cambria" w:hAnsi="Cambria"/>
          <w:i w:val="0"/>
          <w:color w:val="000000" w:themeColor="text1"/>
          <w:sz w:val="20"/>
          <w:szCs w:val="20"/>
        </w:rPr>
        <w:t>Code et description des sept CMP évaluées en 2026.</w:t>
      </w:r>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420"/>
        <w:gridCol w:w="1140"/>
        <w:gridCol w:w="6501"/>
      </w:tblGrid>
      <w:tr w:rsidR="00302854" w:rsidRPr="007B779F" w14:paraId="4925EF2C" w14:textId="77777777" w:rsidTr="00A45A18">
        <w:trPr>
          <w:tblHeader/>
        </w:trPr>
        <w:tc>
          <w:tcPr>
            <w:tcW w:w="1413" w:type="dxa"/>
            <w:vAlign w:val="center"/>
          </w:tcPr>
          <w:p w14:paraId="47D19DE0" w14:textId="77777777" w:rsidR="00302854" w:rsidRPr="007B779F" w:rsidRDefault="00302854" w:rsidP="00A45A18">
            <w:pPr>
              <w:pStyle w:val="Compact"/>
              <w:jc w:val="center"/>
              <w:rPr>
                <w:rFonts w:ascii="Cambria" w:hAnsi="Cambria"/>
                <w:b/>
                <w:bCs/>
                <w:i/>
                <w:iCs/>
                <w:color w:val="000000" w:themeColor="text1"/>
                <w:sz w:val="20"/>
                <w:szCs w:val="20"/>
              </w:rPr>
            </w:pPr>
            <w:r w:rsidRPr="007B779F">
              <w:rPr>
                <w:rFonts w:ascii="Cambria" w:hAnsi="Cambria"/>
                <w:b/>
                <w:i/>
                <w:color w:val="000000" w:themeColor="text1"/>
                <w:sz w:val="20"/>
                <w:szCs w:val="20"/>
              </w:rPr>
              <w:t>Code</w:t>
            </w:r>
          </w:p>
        </w:tc>
        <w:tc>
          <w:tcPr>
            <w:tcW w:w="1134" w:type="dxa"/>
            <w:vAlign w:val="center"/>
          </w:tcPr>
          <w:p w14:paraId="4FA27DBB" w14:textId="77777777" w:rsidR="00302854" w:rsidRPr="007B779F" w:rsidRDefault="00302854" w:rsidP="00A45A18">
            <w:pPr>
              <w:pStyle w:val="Compact"/>
              <w:jc w:val="center"/>
              <w:rPr>
                <w:rFonts w:ascii="Cambria" w:hAnsi="Cambria"/>
                <w:b/>
                <w:bCs/>
                <w:i/>
                <w:iCs/>
                <w:color w:val="000000" w:themeColor="text1"/>
                <w:sz w:val="20"/>
                <w:szCs w:val="20"/>
              </w:rPr>
            </w:pPr>
            <w:r w:rsidRPr="007B779F">
              <w:rPr>
                <w:rFonts w:ascii="Cambria" w:hAnsi="Cambria"/>
                <w:b/>
                <w:i/>
                <w:color w:val="000000" w:themeColor="text1"/>
                <w:sz w:val="20"/>
                <w:szCs w:val="20"/>
              </w:rPr>
              <w:t>Type</w:t>
            </w:r>
          </w:p>
        </w:tc>
        <w:tc>
          <w:tcPr>
            <w:tcW w:w="6469" w:type="dxa"/>
            <w:vAlign w:val="center"/>
          </w:tcPr>
          <w:p w14:paraId="27BE433B" w14:textId="77777777" w:rsidR="00302854" w:rsidRPr="007B779F" w:rsidRDefault="00302854" w:rsidP="00A45A18">
            <w:pPr>
              <w:pStyle w:val="Compact"/>
              <w:jc w:val="center"/>
              <w:rPr>
                <w:rFonts w:ascii="Cambria" w:hAnsi="Cambria"/>
                <w:b/>
                <w:bCs/>
                <w:i/>
                <w:iCs/>
                <w:color w:val="000000" w:themeColor="text1"/>
                <w:sz w:val="20"/>
                <w:szCs w:val="20"/>
              </w:rPr>
            </w:pPr>
            <w:r w:rsidRPr="007B779F">
              <w:rPr>
                <w:rFonts w:ascii="Cambria" w:hAnsi="Cambria"/>
                <w:b/>
                <w:i/>
                <w:color w:val="000000" w:themeColor="text1"/>
                <w:sz w:val="20"/>
                <w:szCs w:val="20"/>
              </w:rPr>
              <w:t>Description</w:t>
            </w:r>
          </w:p>
        </w:tc>
      </w:tr>
      <w:tr w:rsidR="00302854" w:rsidRPr="007B779F" w14:paraId="34FB653C" w14:textId="77777777" w:rsidTr="00A45A18">
        <w:tc>
          <w:tcPr>
            <w:tcW w:w="1413" w:type="dxa"/>
            <w:vAlign w:val="center"/>
          </w:tcPr>
          <w:p w14:paraId="4F55426D" w14:textId="77777777" w:rsidR="00302854" w:rsidRPr="007B779F" w:rsidRDefault="00302854" w:rsidP="00A45A18">
            <w:pPr>
              <w:pStyle w:val="Compact"/>
              <w:jc w:val="center"/>
              <w:rPr>
                <w:rFonts w:ascii="Cambria" w:hAnsi="Cambria"/>
                <w:color w:val="000000" w:themeColor="text1"/>
                <w:sz w:val="20"/>
                <w:szCs w:val="20"/>
              </w:rPr>
            </w:pPr>
            <w:r w:rsidRPr="007B779F">
              <w:rPr>
                <w:rFonts w:ascii="Cambria" w:hAnsi="Cambria"/>
                <w:color w:val="000000" w:themeColor="text1"/>
                <w:sz w:val="20"/>
                <w:szCs w:val="20"/>
              </w:rPr>
              <w:t>25%_F0,8_B1</w:t>
            </w:r>
          </w:p>
        </w:tc>
        <w:tc>
          <w:tcPr>
            <w:tcW w:w="1134" w:type="dxa"/>
            <w:vAlign w:val="center"/>
          </w:tcPr>
          <w:p w14:paraId="14E22877" w14:textId="77777777" w:rsidR="00302854" w:rsidRPr="007B779F" w:rsidRDefault="00302854" w:rsidP="00A45A18">
            <w:pPr>
              <w:pStyle w:val="Compact"/>
              <w:jc w:val="center"/>
              <w:rPr>
                <w:rFonts w:ascii="Cambria" w:hAnsi="Cambria"/>
                <w:color w:val="000000" w:themeColor="text1"/>
                <w:sz w:val="20"/>
                <w:szCs w:val="20"/>
              </w:rPr>
            </w:pPr>
            <w:r w:rsidRPr="007B779F">
              <w:rPr>
                <w:rFonts w:ascii="Cambria" w:hAnsi="Cambria"/>
                <w:color w:val="000000" w:themeColor="text1"/>
                <w:sz w:val="20"/>
                <w:szCs w:val="20"/>
              </w:rPr>
              <w:t>Reposant sur des modèles</w:t>
            </w:r>
          </w:p>
        </w:tc>
        <w:tc>
          <w:tcPr>
            <w:tcW w:w="6469" w:type="dxa"/>
            <w:vAlign w:val="center"/>
          </w:tcPr>
          <w:p w14:paraId="4337210A" w14:textId="77777777" w:rsidR="00302854" w:rsidRPr="007B779F" w:rsidRDefault="00302854" w:rsidP="00A45A18">
            <w:pPr>
              <w:pStyle w:val="Compact"/>
              <w:jc w:val="both"/>
              <w:rPr>
                <w:rFonts w:ascii="Cambria" w:hAnsi="Cambria"/>
                <w:color w:val="000000" w:themeColor="text1"/>
                <w:sz w:val="20"/>
                <w:szCs w:val="20"/>
              </w:rPr>
            </w:pPr>
            <w:r w:rsidRPr="007B779F">
              <w:rPr>
                <w:rFonts w:ascii="Cambria" w:hAnsi="Cambria"/>
                <w:color w:val="000000" w:themeColor="text1"/>
                <w:sz w:val="20"/>
                <w:szCs w:val="20"/>
              </w:rPr>
              <w:t xml:space="preserve">MP actualisée : TAC issu </w:t>
            </w:r>
            <w:proofErr w:type="gramStart"/>
            <w:r w:rsidRPr="007B779F">
              <w:rPr>
                <w:rFonts w:ascii="Cambria" w:hAnsi="Cambria"/>
                <w:color w:val="000000" w:themeColor="text1"/>
                <w:sz w:val="20"/>
                <w:szCs w:val="20"/>
              </w:rPr>
              <w:t>d'une HCR</w:t>
            </w:r>
            <w:proofErr w:type="gramEnd"/>
            <w:r w:rsidRPr="007B779F">
              <w:rPr>
                <w:rFonts w:ascii="Cambria" w:hAnsi="Cambria"/>
                <w:color w:val="000000" w:themeColor="text1"/>
                <w:sz w:val="20"/>
                <w:szCs w:val="20"/>
              </w:rPr>
              <w:t xml:space="preserve"> reposant sur des modèles : </w:t>
            </w:r>
            <w:proofErr w:type="spellStart"/>
            <w:r w:rsidRPr="007B779F">
              <w:rPr>
                <w:rFonts w:ascii="Cambria" w:hAnsi="Cambria"/>
                <w:color w:val="000000" w:themeColor="text1"/>
                <w:sz w:val="20"/>
                <w:szCs w:val="20"/>
              </w:rPr>
              <w:t>F_tgt</w:t>
            </w:r>
            <w:proofErr w:type="spellEnd"/>
            <w:r w:rsidRPr="007B779F">
              <w:rPr>
                <w:rFonts w:ascii="Cambria" w:hAnsi="Cambria"/>
                <w:color w:val="000000" w:themeColor="text1"/>
                <w:sz w:val="20"/>
                <w:szCs w:val="20"/>
              </w:rPr>
              <w:t>=0,8*F</w:t>
            </w:r>
            <w:r w:rsidRPr="007B779F">
              <w:rPr>
                <w:rFonts w:ascii="Cambria" w:hAnsi="Cambria"/>
                <w:color w:val="000000" w:themeColor="text1"/>
                <w:sz w:val="20"/>
                <w:szCs w:val="20"/>
                <w:vertAlign w:val="subscript"/>
              </w:rPr>
              <w:t>PME</w:t>
            </w:r>
            <w:r w:rsidRPr="007B779F">
              <w:rPr>
                <w:rFonts w:ascii="Cambria" w:hAnsi="Cambria"/>
                <w:color w:val="000000" w:themeColor="text1"/>
                <w:sz w:val="20"/>
                <w:szCs w:val="20"/>
              </w:rPr>
              <w:t xml:space="preserve">, </w:t>
            </w:r>
            <w:proofErr w:type="spellStart"/>
            <w:r w:rsidRPr="007B779F">
              <w:rPr>
                <w:rFonts w:ascii="Cambria" w:hAnsi="Cambria"/>
                <w:color w:val="000000" w:themeColor="text1"/>
                <w:sz w:val="20"/>
                <w:szCs w:val="20"/>
              </w:rPr>
              <w:t>B_thr</w:t>
            </w:r>
            <w:proofErr w:type="spellEnd"/>
            <w:r w:rsidRPr="007B779F">
              <w:rPr>
                <w:rFonts w:ascii="Cambria" w:hAnsi="Cambria"/>
                <w:color w:val="000000" w:themeColor="text1"/>
                <w:sz w:val="20"/>
                <w:szCs w:val="20"/>
              </w:rPr>
              <w:t>=B</w:t>
            </w:r>
            <w:r w:rsidRPr="007B779F">
              <w:rPr>
                <w:rFonts w:ascii="Cambria" w:hAnsi="Cambria"/>
                <w:color w:val="000000" w:themeColor="text1"/>
                <w:sz w:val="20"/>
                <w:szCs w:val="20"/>
                <w:vertAlign w:val="subscript"/>
              </w:rPr>
              <w:t>PME</w:t>
            </w:r>
            <w:r w:rsidRPr="007B779F">
              <w:rPr>
                <w:rFonts w:ascii="Cambria" w:hAnsi="Cambria"/>
                <w:color w:val="000000" w:themeColor="text1"/>
                <w:sz w:val="20"/>
                <w:szCs w:val="20"/>
              </w:rPr>
              <w:t xml:space="preserve">. Augmentation maximale de 25 % et diminution maximale de 20 % du TAC entre deux périodes de gestion consécutives. Le TAC ne peut dépasser 50.000 t </w:t>
            </w:r>
          </w:p>
        </w:tc>
      </w:tr>
      <w:tr w:rsidR="00302854" w:rsidRPr="007B779F" w14:paraId="7EB6522C" w14:textId="77777777" w:rsidTr="00A45A18">
        <w:tc>
          <w:tcPr>
            <w:tcW w:w="1413" w:type="dxa"/>
            <w:vAlign w:val="center"/>
          </w:tcPr>
          <w:p w14:paraId="2B677827" w14:textId="77777777" w:rsidR="00302854" w:rsidRPr="007B779F" w:rsidRDefault="00302854" w:rsidP="00A45A18">
            <w:pPr>
              <w:pStyle w:val="Compact"/>
              <w:jc w:val="center"/>
              <w:rPr>
                <w:rFonts w:ascii="Cambria" w:hAnsi="Cambria"/>
                <w:color w:val="000000" w:themeColor="text1"/>
                <w:sz w:val="20"/>
                <w:szCs w:val="20"/>
              </w:rPr>
            </w:pPr>
            <w:r w:rsidRPr="007B779F">
              <w:rPr>
                <w:rFonts w:ascii="Cambria" w:hAnsi="Cambria"/>
                <w:color w:val="000000" w:themeColor="text1"/>
                <w:sz w:val="20"/>
                <w:szCs w:val="20"/>
              </w:rPr>
              <w:t>10%_F0,8_B1</w:t>
            </w:r>
          </w:p>
        </w:tc>
        <w:tc>
          <w:tcPr>
            <w:tcW w:w="1134" w:type="dxa"/>
            <w:vAlign w:val="center"/>
          </w:tcPr>
          <w:p w14:paraId="3B794357" w14:textId="77777777" w:rsidR="00302854" w:rsidRPr="007B779F" w:rsidRDefault="00302854" w:rsidP="00A45A18">
            <w:pPr>
              <w:pStyle w:val="Compact"/>
              <w:jc w:val="center"/>
              <w:rPr>
                <w:rFonts w:ascii="Cambria" w:hAnsi="Cambria"/>
                <w:color w:val="000000" w:themeColor="text1"/>
                <w:sz w:val="20"/>
                <w:szCs w:val="20"/>
              </w:rPr>
            </w:pPr>
            <w:r w:rsidRPr="007B779F">
              <w:rPr>
                <w:rFonts w:ascii="Cambria" w:hAnsi="Cambria"/>
                <w:color w:val="000000" w:themeColor="text1"/>
                <w:sz w:val="20"/>
                <w:szCs w:val="20"/>
              </w:rPr>
              <w:t>Reposant sur des modèles</w:t>
            </w:r>
          </w:p>
        </w:tc>
        <w:tc>
          <w:tcPr>
            <w:tcW w:w="6469" w:type="dxa"/>
            <w:vAlign w:val="center"/>
          </w:tcPr>
          <w:p w14:paraId="36192BE9" w14:textId="77777777" w:rsidR="00302854" w:rsidRPr="007B779F" w:rsidRDefault="00302854" w:rsidP="00A45A18">
            <w:pPr>
              <w:pStyle w:val="Compact"/>
              <w:jc w:val="both"/>
              <w:rPr>
                <w:rFonts w:ascii="Cambria" w:hAnsi="Cambria"/>
                <w:color w:val="000000" w:themeColor="text1"/>
                <w:sz w:val="20"/>
                <w:szCs w:val="20"/>
              </w:rPr>
            </w:pPr>
            <w:r w:rsidRPr="007B779F">
              <w:rPr>
                <w:rFonts w:ascii="Cambria" w:hAnsi="Cambria"/>
                <w:color w:val="000000" w:themeColor="text1"/>
                <w:sz w:val="20"/>
                <w:szCs w:val="20"/>
              </w:rPr>
              <w:t xml:space="preserve">TAC issu </w:t>
            </w:r>
            <w:proofErr w:type="gramStart"/>
            <w:r w:rsidRPr="007B779F">
              <w:rPr>
                <w:rFonts w:ascii="Cambria" w:hAnsi="Cambria"/>
                <w:color w:val="000000" w:themeColor="text1"/>
                <w:sz w:val="20"/>
                <w:szCs w:val="20"/>
              </w:rPr>
              <w:t>d'une HCR</w:t>
            </w:r>
            <w:proofErr w:type="gramEnd"/>
            <w:r w:rsidRPr="007B779F">
              <w:rPr>
                <w:rFonts w:ascii="Cambria" w:hAnsi="Cambria"/>
                <w:color w:val="000000" w:themeColor="text1"/>
                <w:sz w:val="20"/>
                <w:szCs w:val="20"/>
              </w:rPr>
              <w:t xml:space="preserve"> reposant sur des modèles : </w:t>
            </w:r>
            <w:proofErr w:type="spellStart"/>
            <w:r w:rsidRPr="007B779F">
              <w:rPr>
                <w:rFonts w:ascii="Cambria" w:hAnsi="Cambria"/>
                <w:color w:val="000000" w:themeColor="text1"/>
                <w:sz w:val="20"/>
                <w:szCs w:val="20"/>
              </w:rPr>
              <w:t>F_tgt</w:t>
            </w:r>
            <w:proofErr w:type="spellEnd"/>
            <w:r w:rsidRPr="007B779F">
              <w:rPr>
                <w:rFonts w:ascii="Cambria" w:hAnsi="Cambria"/>
                <w:color w:val="000000" w:themeColor="text1"/>
                <w:sz w:val="20"/>
                <w:szCs w:val="20"/>
              </w:rPr>
              <w:t>=0,8*F</w:t>
            </w:r>
            <w:r w:rsidRPr="007B779F">
              <w:rPr>
                <w:rFonts w:ascii="Cambria" w:hAnsi="Cambria"/>
                <w:color w:val="000000" w:themeColor="text1"/>
                <w:sz w:val="20"/>
                <w:szCs w:val="20"/>
                <w:vertAlign w:val="subscript"/>
              </w:rPr>
              <w:t>PME</w:t>
            </w:r>
            <w:r w:rsidRPr="007B779F">
              <w:rPr>
                <w:rFonts w:ascii="Cambria" w:hAnsi="Cambria"/>
                <w:color w:val="000000" w:themeColor="text1"/>
                <w:sz w:val="20"/>
                <w:szCs w:val="20"/>
              </w:rPr>
              <w:t xml:space="preserve">, </w:t>
            </w:r>
            <w:proofErr w:type="spellStart"/>
            <w:r w:rsidRPr="007B779F">
              <w:rPr>
                <w:rFonts w:ascii="Cambria" w:hAnsi="Cambria"/>
                <w:color w:val="000000" w:themeColor="text1"/>
                <w:sz w:val="20"/>
                <w:szCs w:val="20"/>
              </w:rPr>
              <w:t>B_thr</w:t>
            </w:r>
            <w:proofErr w:type="spellEnd"/>
            <w:r w:rsidRPr="007B779F">
              <w:rPr>
                <w:rFonts w:ascii="Cambria" w:hAnsi="Cambria"/>
                <w:color w:val="000000" w:themeColor="text1"/>
                <w:sz w:val="20"/>
                <w:szCs w:val="20"/>
              </w:rPr>
              <w:t>=B</w:t>
            </w:r>
            <w:r w:rsidRPr="007B779F">
              <w:rPr>
                <w:rFonts w:ascii="Cambria" w:hAnsi="Cambria"/>
                <w:color w:val="000000" w:themeColor="text1"/>
                <w:sz w:val="20"/>
                <w:szCs w:val="20"/>
                <w:vertAlign w:val="subscript"/>
              </w:rPr>
              <w:t>PME</w:t>
            </w:r>
            <w:r w:rsidRPr="007B779F">
              <w:rPr>
                <w:rFonts w:ascii="Cambria" w:hAnsi="Cambria"/>
                <w:color w:val="000000" w:themeColor="text1"/>
                <w:sz w:val="20"/>
                <w:szCs w:val="20"/>
              </w:rPr>
              <w:t>. Changement maximal de 10 % du TAC entre deux périodes de gestion consécutives. Le TAC ne peut dépasser 50.000 t</w:t>
            </w:r>
          </w:p>
        </w:tc>
      </w:tr>
      <w:tr w:rsidR="00302854" w:rsidRPr="007B779F" w14:paraId="35E67E96" w14:textId="77777777" w:rsidTr="00A45A18">
        <w:tc>
          <w:tcPr>
            <w:tcW w:w="1413" w:type="dxa"/>
            <w:vAlign w:val="center"/>
          </w:tcPr>
          <w:p w14:paraId="337B5B98" w14:textId="77777777" w:rsidR="00302854" w:rsidRPr="007B779F" w:rsidRDefault="00302854" w:rsidP="00A45A18">
            <w:pPr>
              <w:pStyle w:val="Compact"/>
              <w:jc w:val="center"/>
              <w:rPr>
                <w:rFonts w:ascii="Cambria" w:hAnsi="Cambria"/>
                <w:color w:val="000000" w:themeColor="text1"/>
                <w:sz w:val="20"/>
                <w:szCs w:val="20"/>
              </w:rPr>
            </w:pPr>
            <w:r w:rsidRPr="007B779F">
              <w:rPr>
                <w:rFonts w:ascii="Cambria" w:hAnsi="Cambria"/>
                <w:color w:val="000000" w:themeColor="text1"/>
                <w:sz w:val="20"/>
                <w:szCs w:val="20"/>
              </w:rPr>
              <w:t>25%_F1_B1</w:t>
            </w:r>
          </w:p>
        </w:tc>
        <w:tc>
          <w:tcPr>
            <w:tcW w:w="1134" w:type="dxa"/>
            <w:vAlign w:val="center"/>
          </w:tcPr>
          <w:p w14:paraId="1E75A891" w14:textId="77777777" w:rsidR="00302854" w:rsidRPr="007B779F" w:rsidRDefault="00302854" w:rsidP="00A45A18">
            <w:pPr>
              <w:pStyle w:val="Compact"/>
              <w:jc w:val="center"/>
              <w:rPr>
                <w:rFonts w:ascii="Cambria" w:hAnsi="Cambria"/>
                <w:color w:val="000000" w:themeColor="text1"/>
                <w:sz w:val="20"/>
                <w:szCs w:val="20"/>
              </w:rPr>
            </w:pPr>
            <w:r w:rsidRPr="007B779F">
              <w:rPr>
                <w:rFonts w:ascii="Cambria" w:hAnsi="Cambria"/>
                <w:color w:val="000000" w:themeColor="text1"/>
                <w:sz w:val="20"/>
                <w:szCs w:val="20"/>
              </w:rPr>
              <w:t>Reposant sur des modèles</w:t>
            </w:r>
          </w:p>
        </w:tc>
        <w:tc>
          <w:tcPr>
            <w:tcW w:w="6469" w:type="dxa"/>
            <w:vAlign w:val="center"/>
          </w:tcPr>
          <w:p w14:paraId="22D08E0E" w14:textId="77777777" w:rsidR="00302854" w:rsidRPr="007B779F" w:rsidRDefault="00302854" w:rsidP="00A45A18">
            <w:pPr>
              <w:pStyle w:val="Compact"/>
              <w:jc w:val="both"/>
              <w:rPr>
                <w:rFonts w:ascii="Cambria" w:hAnsi="Cambria"/>
                <w:color w:val="000000" w:themeColor="text1"/>
                <w:sz w:val="20"/>
                <w:szCs w:val="20"/>
              </w:rPr>
            </w:pPr>
            <w:r w:rsidRPr="007B779F">
              <w:rPr>
                <w:rFonts w:ascii="Cambria" w:hAnsi="Cambria"/>
                <w:color w:val="000000" w:themeColor="text1"/>
                <w:sz w:val="20"/>
                <w:szCs w:val="20"/>
              </w:rPr>
              <w:t xml:space="preserve">TAC issu </w:t>
            </w:r>
            <w:proofErr w:type="gramStart"/>
            <w:r w:rsidRPr="007B779F">
              <w:rPr>
                <w:rFonts w:ascii="Cambria" w:hAnsi="Cambria"/>
                <w:color w:val="000000" w:themeColor="text1"/>
                <w:sz w:val="20"/>
                <w:szCs w:val="20"/>
              </w:rPr>
              <w:t>d'une HCR</w:t>
            </w:r>
            <w:proofErr w:type="gramEnd"/>
            <w:r w:rsidRPr="007B779F">
              <w:rPr>
                <w:rFonts w:ascii="Cambria" w:hAnsi="Cambria"/>
                <w:color w:val="000000" w:themeColor="text1"/>
                <w:sz w:val="20"/>
                <w:szCs w:val="20"/>
              </w:rPr>
              <w:t xml:space="preserve"> reposant sur des modèles : </w:t>
            </w:r>
            <w:proofErr w:type="spellStart"/>
            <w:r w:rsidRPr="007B779F">
              <w:rPr>
                <w:rFonts w:ascii="Cambria" w:hAnsi="Cambria"/>
                <w:color w:val="000000" w:themeColor="text1"/>
                <w:sz w:val="20"/>
                <w:szCs w:val="20"/>
              </w:rPr>
              <w:t>F_tgt</w:t>
            </w:r>
            <w:proofErr w:type="spellEnd"/>
            <w:r w:rsidRPr="007B779F">
              <w:rPr>
                <w:rFonts w:ascii="Cambria" w:hAnsi="Cambria"/>
                <w:color w:val="000000" w:themeColor="text1"/>
                <w:sz w:val="20"/>
                <w:szCs w:val="20"/>
              </w:rPr>
              <w:t>= F</w:t>
            </w:r>
            <w:r w:rsidRPr="007B779F">
              <w:rPr>
                <w:rFonts w:ascii="Cambria" w:hAnsi="Cambria"/>
                <w:color w:val="000000" w:themeColor="text1"/>
                <w:sz w:val="20"/>
                <w:szCs w:val="20"/>
                <w:vertAlign w:val="subscript"/>
              </w:rPr>
              <w:t>PME</w:t>
            </w:r>
            <w:r w:rsidRPr="007B779F">
              <w:rPr>
                <w:rFonts w:ascii="Cambria" w:hAnsi="Cambria"/>
                <w:color w:val="000000" w:themeColor="text1"/>
                <w:sz w:val="20"/>
                <w:szCs w:val="20"/>
              </w:rPr>
              <w:t xml:space="preserve">, </w:t>
            </w:r>
            <w:proofErr w:type="spellStart"/>
            <w:r w:rsidRPr="007B779F">
              <w:rPr>
                <w:rFonts w:ascii="Cambria" w:hAnsi="Cambria"/>
                <w:color w:val="000000" w:themeColor="text1"/>
                <w:sz w:val="20"/>
                <w:szCs w:val="20"/>
              </w:rPr>
              <w:t>B_thr</w:t>
            </w:r>
            <w:proofErr w:type="spellEnd"/>
            <w:r w:rsidRPr="007B779F">
              <w:rPr>
                <w:rFonts w:ascii="Cambria" w:hAnsi="Cambria"/>
                <w:color w:val="000000" w:themeColor="text1"/>
                <w:sz w:val="20"/>
                <w:szCs w:val="20"/>
              </w:rPr>
              <w:t>= B</w:t>
            </w:r>
            <w:r w:rsidRPr="007B779F">
              <w:rPr>
                <w:rFonts w:ascii="Cambria" w:hAnsi="Cambria"/>
                <w:color w:val="000000" w:themeColor="text1"/>
                <w:sz w:val="20"/>
                <w:szCs w:val="20"/>
                <w:vertAlign w:val="subscript"/>
              </w:rPr>
              <w:t>PME</w:t>
            </w:r>
            <w:r w:rsidRPr="007B779F">
              <w:rPr>
                <w:rFonts w:ascii="Cambria" w:hAnsi="Cambria"/>
                <w:color w:val="000000" w:themeColor="text1"/>
                <w:sz w:val="20"/>
                <w:szCs w:val="20"/>
              </w:rPr>
              <w:t>. Augmentation maximale de 25 % et diminution maximale de 20 % du TAC entre deux périodes de gestion consécutives. Le TAC ne peut dépasser 50.000 t</w:t>
            </w:r>
          </w:p>
        </w:tc>
      </w:tr>
      <w:tr w:rsidR="00302854" w:rsidRPr="007B779F" w14:paraId="1C0D5A44" w14:textId="77777777" w:rsidTr="00A45A18">
        <w:tc>
          <w:tcPr>
            <w:tcW w:w="1413" w:type="dxa"/>
            <w:vAlign w:val="center"/>
          </w:tcPr>
          <w:p w14:paraId="66930F9D" w14:textId="77777777" w:rsidR="00302854" w:rsidRPr="007B779F" w:rsidRDefault="00302854" w:rsidP="00A45A18">
            <w:pPr>
              <w:pStyle w:val="Compact"/>
              <w:jc w:val="center"/>
              <w:rPr>
                <w:rFonts w:ascii="Cambria" w:hAnsi="Cambria"/>
                <w:color w:val="000000" w:themeColor="text1"/>
                <w:sz w:val="20"/>
                <w:szCs w:val="20"/>
              </w:rPr>
            </w:pPr>
            <w:r w:rsidRPr="007B779F">
              <w:rPr>
                <w:rFonts w:ascii="Cambria" w:hAnsi="Cambria"/>
                <w:color w:val="000000" w:themeColor="text1"/>
                <w:sz w:val="20"/>
                <w:szCs w:val="20"/>
              </w:rPr>
              <w:t>10%_F1_B1</w:t>
            </w:r>
          </w:p>
        </w:tc>
        <w:tc>
          <w:tcPr>
            <w:tcW w:w="1134" w:type="dxa"/>
            <w:vAlign w:val="center"/>
          </w:tcPr>
          <w:p w14:paraId="32CAF30C" w14:textId="77777777" w:rsidR="00302854" w:rsidRPr="007B779F" w:rsidRDefault="00302854" w:rsidP="00A45A18">
            <w:pPr>
              <w:pStyle w:val="Compact"/>
              <w:jc w:val="center"/>
              <w:rPr>
                <w:rFonts w:ascii="Cambria" w:hAnsi="Cambria"/>
                <w:color w:val="000000" w:themeColor="text1"/>
                <w:sz w:val="20"/>
                <w:szCs w:val="20"/>
              </w:rPr>
            </w:pPr>
            <w:r w:rsidRPr="007B779F">
              <w:rPr>
                <w:rFonts w:ascii="Cambria" w:hAnsi="Cambria"/>
                <w:color w:val="000000" w:themeColor="text1"/>
                <w:sz w:val="20"/>
                <w:szCs w:val="20"/>
              </w:rPr>
              <w:t>Reposant sur des modèles</w:t>
            </w:r>
          </w:p>
        </w:tc>
        <w:tc>
          <w:tcPr>
            <w:tcW w:w="6469" w:type="dxa"/>
            <w:vAlign w:val="center"/>
          </w:tcPr>
          <w:p w14:paraId="2EDAD440" w14:textId="77777777" w:rsidR="00302854" w:rsidRPr="007B779F" w:rsidRDefault="00302854" w:rsidP="00A45A18">
            <w:pPr>
              <w:pStyle w:val="Compact"/>
              <w:jc w:val="both"/>
              <w:rPr>
                <w:rFonts w:ascii="Cambria" w:hAnsi="Cambria"/>
                <w:color w:val="000000" w:themeColor="text1"/>
                <w:sz w:val="20"/>
                <w:szCs w:val="20"/>
              </w:rPr>
            </w:pPr>
            <w:r w:rsidRPr="007B779F">
              <w:rPr>
                <w:rFonts w:ascii="Cambria" w:hAnsi="Cambria"/>
                <w:color w:val="000000" w:themeColor="text1"/>
                <w:sz w:val="20"/>
                <w:szCs w:val="20"/>
              </w:rPr>
              <w:t xml:space="preserve">TAC issu </w:t>
            </w:r>
            <w:proofErr w:type="gramStart"/>
            <w:r w:rsidRPr="007B779F">
              <w:rPr>
                <w:rFonts w:ascii="Cambria" w:hAnsi="Cambria"/>
                <w:color w:val="000000" w:themeColor="text1"/>
                <w:sz w:val="20"/>
                <w:szCs w:val="20"/>
              </w:rPr>
              <w:t>d'une HCR</w:t>
            </w:r>
            <w:proofErr w:type="gramEnd"/>
            <w:r w:rsidRPr="007B779F">
              <w:rPr>
                <w:rFonts w:ascii="Cambria" w:hAnsi="Cambria"/>
                <w:color w:val="000000" w:themeColor="text1"/>
                <w:sz w:val="20"/>
                <w:szCs w:val="20"/>
              </w:rPr>
              <w:t xml:space="preserve"> reposant sur des modèles : </w:t>
            </w:r>
            <w:proofErr w:type="spellStart"/>
            <w:r w:rsidRPr="007B779F">
              <w:rPr>
                <w:rFonts w:ascii="Cambria" w:hAnsi="Cambria"/>
                <w:color w:val="000000" w:themeColor="text1"/>
                <w:sz w:val="20"/>
                <w:szCs w:val="20"/>
              </w:rPr>
              <w:t>F_tgt</w:t>
            </w:r>
            <w:proofErr w:type="spellEnd"/>
            <w:r w:rsidRPr="007B779F">
              <w:rPr>
                <w:rFonts w:ascii="Cambria" w:hAnsi="Cambria"/>
                <w:color w:val="000000" w:themeColor="text1"/>
                <w:sz w:val="20"/>
                <w:szCs w:val="20"/>
              </w:rPr>
              <w:t>= F</w:t>
            </w:r>
            <w:r w:rsidRPr="007B779F">
              <w:rPr>
                <w:rFonts w:ascii="Cambria" w:hAnsi="Cambria"/>
                <w:color w:val="000000" w:themeColor="text1"/>
                <w:sz w:val="20"/>
                <w:szCs w:val="20"/>
                <w:vertAlign w:val="subscript"/>
              </w:rPr>
              <w:t>PME</w:t>
            </w:r>
            <w:r w:rsidRPr="007B779F">
              <w:rPr>
                <w:rFonts w:ascii="Cambria" w:hAnsi="Cambria"/>
                <w:color w:val="000000" w:themeColor="text1"/>
                <w:sz w:val="20"/>
                <w:szCs w:val="20"/>
              </w:rPr>
              <w:t xml:space="preserve">, </w:t>
            </w:r>
            <w:proofErr w:type="spellStart"/>
            <w:r w:rsidRPr="007B779F">
              <w:rPr>
                <w:rFonts w:ascii="Cambria" w:hAnsi="Cambria"/>
                <w:color w:val="000000" w:themeColor="text1"/>
                <w:sz w:val="20"/>
                <w:szCs w:val="20"/>
              </w:rPr>
              <w:t>B_thr</w:t>
            </w:r>
            <w:proofErr w:type="spellEnd"/>
            <w:r w:rsidRPr="007B779F">
              <w:rPr>
                <w:rFonts w:ascii="Cambria" w:hAnsi="Cambria"/>
                <w:color w:val="000000" w:themeColor="text1"/>
                <w:sz w:val="20"/>
                <w:szCs w:val="20"/>
              </w:rPr>
              <w:t>= B</w:t>
            </w:r>
            <w:r w:rsidRPr="007B779F">
              <w:rPr>
                <w:rFonts w:ascii="Cambria" w:hAnsi="Cambria"/>
                <w:color w:val="000000" w:themeColor="text1"/>
                <w:sz w:val="20"/>
                <w:szCs w:val="20"/>
                <w:vertAlign w:val="subscript"/>
              </w:rPr>
              <w:t>PME</w:t>
            </w:r>
            <w:r w:rsidRPr="007B779F">
              <w:rPr>
                <w:rFonts w:ascii="Cambria" w:hAnsi="Cambria"/>
                <w:color w:val="000000" w:themeColor="text1"/>
                <w:sz w:val="20"/>
                <w:szCs w:val="20"/>
              </w:rPr>
              <w:t>. Changement maximal de 10 % du TAC entre deux périodes de gestion consécutives. Le TAC ne peut dépasser 50.000 t</w:t>
            </w:r>
          </w:p>
        </w:tc>
      </w:tr>
      <w:tr w:rsidR="00302854" w:rsidRPr="007B779F" w14:paraId="02DFF961" w14:textId="77777777" w:rsidTr="00A45A18">
        <w:tc>
          <w:tcPr>
            <w:tcW w:w="1413" w:type="dxa"/>
            <w:vAlign w:val="center"/>
          </w:tcPr>
          <w:p w14:paraId="474CB353" w14:textId="77777777" w:rsidR="00302854" w:rsidRPr="007B779F" w:rsidRDefault="00302854" w:rsidP="00A45A18">
            <w:pPr>
              <w:pStyle w:val="Compact"/>
              <w:jc w:val="center"/>
              <w:rPr>
                <w:rFonts w:ascii="Cambria" w:hAnsi="Cambria"/>
                <w:color w:val="000000" w:themeColor="text1"/>
                <w:sz w:val="20"/>
                <w:szCs w:val="20"/>
              </w:rPr>
            </w:pPr>
            <w:r w:rsidRPr="007B779F">
              <w:rPr>
                <w:rFonts w:ascii="Cambria" w:hAnsi="Cambria"/>
                <w:color w:val="000000" w:themeColor="text1"/>
                <w:sz w:val="20"/>
                <w:szCs w:val="20"/>
              </w:rPr>
              <w:t xml:space="preserve">15%_PCCatch </w:t>
            </w:r>
          </w:p>
        </w:tc>
        <w:tc>
          <w:tcPr>
            <w:tcW w:w="1134" w:type="dxa"/>
            <w:vAlign w:val="center"/>
          </w:tcPr>
          <w:p w14:paraId="64886213" w14:textId="77777777" w:rsidR="00302854" w:rsidRPr="007B779F" w:rsidRDefault="00302854" w:rsidP="00A45A18">
            <w:pPr>
              <w:pStyle w:val="Compact"/>
              <w:jc w:val="center"/>
              <w:rPr>
                <w:rFonts w:ascii="Cambria" w:hAnsi="Cambria"/>
                <w:color w:val="000000" w:themeColor="text1"/>
                <w:sz w:val="20"/>
                <w:szCs w:val="20"/>
              </w:rPr>
            </w:pPr>
            <w:r w:rsidRPr="007B779F">
              <w:rPr>
                <w:rFonts w:ascii="Cambria" w:hAnsi="Cambria"/>
                <w:color w:val="000000" w:themeColor="text1"/>
                <w:sz w:val="20"/>
                <w:szCs w:val="20"/>
              </w:rPr>
              <w:t>Empirique</w:t>
            </w:r>
          </w:p>
        </w:tc>
        <w:tc>
          <w:tcPr>
            <w:tcW w:w="6469" w:type="dxa"/>
            <w:vAlign w:val="center"/>
          </w:tcPr>
          <w:p w14:paraId="5F275475" w14:textId="77777777" w:rsidR="00302854" w:rsidRPr="007B779F" w:rsidRDefault="00302854" w:rsidP="00A45A18">
            <w:pPr>
              <w:pStyle w:val="Compact"/>
              <w:jc w:val="both"/>
              <w:rPr>
                <w:rFonts w:ascii="Cambria" w:hAnsi="Cambria"/>
                <w:color w:val="000000" w:themeColor="text1"/>
                <w:sz w:val="20"/>
                <w:szCs w:val="20"/>
              </w:rPr>
            </w:pPr>
            <w:r w:rsidRPr="007B779F">
              <w:rPr>
                <w:rFonts w:ascii="Cambria" w:hAnsi="Cambria"/>
                <w:color w:val="000000" w:themeColor="text1"/>
                <w:sz w:val="20"/>
                <w:szCs w:val="20"/>
              </w:rPr>
              <w:t>Le TAC reste inchangé (42.000 t) si l'indice combiné dépasse la valeur de référence. Changement maximal de 15 % du TAC entre deux périodes de gestion consécutives. Le TAC ne peut pas dépasser 42.000 t.</w:t>
            </w:r>
          </w:p>
        </w:tc>
      </w:tr>
      <w:tr w:rsidR="00302854" w:rsidRPr="007B779F" w14:paraId="5CD4EC90" w14:textId="77777777" w:rsidTr="00A45A18">
        <w:tc>
          <w:tcPr>
            <w:tcW w:w="1413" w:type="dxa"/>
            <w:vAlign w:val="center"/>
          </w:tcPr>
          <w:p w14:paraId="656EAECA" w14:textId="77777777" w:rsidR="00302854" w:rsidRPr="007B779F" w:rsidRDefault="00302854" w:rsidP="00A45A18">
            <w:pPr>
              <w:pStyle w:val="Compact"/>
              <w:jc w:val="center"/>
              <w:rPr>
                <w:rFonts w:ascii="Cambria" w:hAnsi="Cambria"/>
                <w:color w:val="000000" w:themeColor="text1"/>
                <w:sz w:val="20"/>
                <w:szCs w:val="20"/>
              </w:rPr>
            </w:pPr>
            <w:r w:rsidRPr="007B779F">
              <w:rPr>
                <w:rFonts w:ascii="Cambria" w:hAnsi="Cambria"/>
                <w:color w:val="000000" w:themeColor="text1"/>
                <w:sz w:val="20"/>
                <w:szCs w:val="20"/>
              </w:rPr>
              <w:t>10%_Emp_W</w:t>
            </w:r>
          </w:p>
        </w:tc>
        <w:tc>
          <w:tcPr>
            <w:tcW w:w="1134" w:type="dxa"/>
            <w:vAlign w:val="center"/>
          </w:tcPr>
          <w:p w14:paraId="62347032" w14:textId="77777777" w:rsidR="00302854" w:rsidRPr="007B779F" w:rsidRDefault="00302854" w:rsidP="00A45A18">
            <w:pPr>
              <w:pStyle w:val="Compact"/>
              <w:jc w:val="center"/>
              <w:rPr>
                <w:rFonts w:ascii="Cambria" w:hAnsi="Cambria"/>
                <w:color w:val="000000" w:themeColor="text1"/>
                <w:sz w:val="20"/>
                <w:szCs w:val="20"/>
              </w:rPr>
            </w:pPr>
            <w:r w:rsidRPr="007B779F">
              <w:rPr>
                <w:rFonts w:ascii="Cambria" w:hAnsi="Cambria"/>
                <w:color w:val="000000" w:themeColor="text1"/>
                <w:sz w:val="20"/>
                <w:szCs w:val="20"/>
              </w:rPr>
              <w:t>Empirique</w:t>
            </w:r>
          </w:p>
        </w:tc>
        <w:tc>
          <w:tcPr>
            <w:tcW w:w="6469" w:type="dxa"/>
            <w:vAlign w:val="center"/>
          </w:tcPr>
          <w:p w14:paraId="10C125D4" w14:textId="77777777" w:rsidR="00302854" w:rsidRPr="007B779F" w:rsidRDefault="00302854" w:rsidP="00A45A18">
            <w:pPr>
              <w:pStyle w:val="Compact"/>
              <w:jc w:val="both"/>
              <w:rPr>
                <w:rFonts w:ascii="Cambria" w:hAnsi="Cambria"/>
                <w:color w:val="000000" w:themeColor="text1"/>
                <w:sz w:val="20"/>
                <w:szCs w:val="20"/>
              </w:rPr>
            </w:pPr>
            <w:r w:rsidRPr="007B779F">
              <w:rPr>
                <w:rFonts w:ascii="Cambria" w:hAnsi="Cambria"/>
                <w:sz w:val="20"/>
                <w:szCs w:val="20"/>
              </w:rPr>
              <w:t xml:space="preserve">TAC issu </w:t>
            </w:r>
            <w:proofErr w:type="gramStart"/>
            <w:r w:rsidRPr="007B779F">
              <w:rPr>
                <w:rFonts w:ascii="Cambria" w:hAnsi="Cambria"/>
                <w:sz w:val="20"/>
                <w:szCs w:val="20"/>
              </w:rPr>
              <w:t>d’une HCR empirique</w:t>
            </w:r>
            <w:proofErr w:type="gramEnd"/>
            <w:r w:rsidRPr="007B779F">
              <w:rPr>
                <w:rFonts w:ascii="Cambria" w:hAnsi="Cambria"/>
                <w:sz w:val="20"/>
                <w:szCs w:val="20"/>
              </w:rPr>
              <w:t xml:space="preserve"> (ratio d'indice combiné). Changement maximal de 10 % du TAC entre deux périodes de gestion consécutives. Le TAC ne peut dépasser 50.000 t</w:t>
            </w:r>
          </w:p>
        </w:tc>
      </w:tr>
      <w:tr w:rsidR="00302854" w:rsidRPr="007B779F" w14:paraId="62A0DE6F" w14:textId="77777777" w:rsidTr="00A45A18">
        <w:tc>
          <w:tcPr>
            <w:tcW w:w="1413" w:type="dxa"/>
            <w:vAlign w:val="center"/>
          </w:tcPr>
          <w:p w14:paraId="6F843324" w14:textId="77777777" w:rsidR="00302854" w:rsidRPr="007B779F" w:rsidRDefault="00302854" w:rsidP="00A45A18">
            <w:pPr>
              <w:pStyle w:val="Compact"/>
              <w:jc w:val="center"/>
              <w:rPr>
                <w:rFonts w:ascii="Cambria" w:hAnsi="Cambria"/>
                <w:color w:val="000000" w:themeColor="text1"/>
                <w:sz w:val="20"/>
                <w:szCs w:val="20"/>
              </w:rPr>
            </w:pPr>
            <w:r w:rsidRPr="007B779F">
              <w:rPr>
                <w:rFonts w:ascii="Cambria" w:hAnsi="Cambria"/>
                <w:color w:val="000000" w:themeColor="text1"/>
                <w:sz w:val="20"/>
                <w:szCs w:val="20"/>
              </w:rPr>
              <w:lastRenderedPageBreak/>
              <w:t>25%_Emp_W</w:t>
            </w:r>
          </w:p>
        </w:tc>
        <w:tc>
          <w:tcPr>
            <w:tcW w:w="1134" w:type="dxa"/>
            <w:vAlign w:val="center"/>
          </w:tcPr>
          <w:p w14:paraId="3DAADC52" w14:textId="77777777" w:rsidR="00302854" w:rsidRPr="007B779F" w:rsidRDefault="00302854" w:rsidP="00A45A18">
            <w:pPr>
              <w:pStyle w:val="Compact"/>
              <w:jc w:val="center"/>
              <w:rPr>
                <w:rFonts w:ascii="Cambria" w:hAnsi="Cambria"/>
                <w:color w:val="000000" w:themeColor="text1"/>
                <w:sz w:val="20"/>
                <w:szCs w:val="20"/>
              </w:rPr>
            </w:pPr>
            <w:r w:rsidRPr="007B779F">
              <w:rPr>
                <w:rFonts w:ascii="Cambria" w:hAnsi="Cambria"/>
                <w:color w:val="000000" w:themeColor="text1"/>
                <w:sz w:val="20"/>
                <w:szCs w:val="20"/>
              </w:rPr>
              <w:t>Empirique</w:t>
            </w:r>
          </w:p>
        </w:tc>
        <w:tc>
          <w:tcPr>
            <w:tcW w:w="6469" w:type="dxa"/>
            <w:vAlign w:val="center"/>
          </w:tcPr>
          <w:p w14:paraId="5ED31386" w14:textId="77777777" w:rsidR="00302854" w:rsidRPr="007B779F" w:rsidRDefault="00302854" w:rsidP="00A45A18">
            <w:pPr>
              <w:pStyle w:val="Compact"/>
              <w:keepNext/>
              <w:jc w:val="both"/>
              <w:rPr>
                <w:rFonts w:ascii="Cambria" w:hAnsi="Cambria"/>
                <w:color w:val="000000" w:themeColor="text1"/>
                <w:sz w:val="20"/>
                <w:szCs w:val="20"/>
              </w:rPr>
            </w:pPr>
            <w:r w:rsidRPr="007B779F">
              <w:rPr>
                <w:rFonts w:ascii="Cambria" w:hAnsi="Cambria"/>
                <w:sz w:val="20"/>
                <w:szCs w:val="20"/>
              </w:rPr>
              <w:t xml:space="preserve">TAC issu </w:t>
            </w:r>
            <w:proofErr w:type="gramStart"/>
            <w:r w:rsidRPr="007B779F">
              <w:rPr>
                <w:rFonts w:ascii="Cambria" w:hAnsi="Cambria"/>
                <w:sz w:val="20"/>
                <w:szCs w:val="20"/>
              </w:rPr>
              <w:t>d’une HCR empirique</w:t>
            </w:r>
            <w:proofErr w:type="gramEnd"/>
            <w:r w:rsidRPr="007B779F">
              <w:rPr>
                <w:rFonts w:ascii="Cambria" w:hAnsi="Cambria"/>
                <w:sz w:val="20"/>
                <w:szCs w:val="20"/>
              </w:rPr>
              <w:t xml:space="preserve"> (ratio d'indice combiné). Augmentation maximale de 25 % et diminution maximale de 20 % du TAC entre deux périodes de gestion consécutives. Le TAC ne peut dépasser 50.000 t</w:t>
            </w:r>
          </w:p>
        </w:tc>
      </w:tr>
    </w:tbl>
    <w:p w14:paraId="50823199" w14:textId="77777777" w:rsidR="00302854" w:rsidRPr="007B779F" w:rsidRDefault="00302854" w:rsidP="00302854">
      <w:pPr>
        <w:jc w:val="both"/>
        <w:rPr>
          <w:rFonts w:ascii="Cambria" w:hAnsi="Cambria"/>
          <w:color w:val="000000" w:themeColor="text1"/>
          <w:sz w:val="20"/>
          <w:szCs w:val="20"/>
        </w:rPr>
      </w:pPr>
    </w:p>
    <w:p w14:paraId="2DB59C4A" w14:textId="77777777" w:rsidR="00302854" w:rsidRPr="00302854" w:rsidRDefault="00302854" w:rsidP="00302854">
      <w:pPr>
        <w:jc w:val="both"/>
        <w:rPr>
          <w:rFonts w:ascii="Cambria" w:hAnsi="Cambria"/>
          <w:color w:val="000000" w:themeColor="text1"/>
          <w:sz w:val="20"/>
          <w:szCs w:val="20"/>
          <w:lang w:val="fr-FR"/>
        </w:rPr>
      </w:pPr>
      <w:r w:rsidRPr="00302854">
        <w:rPr>
          <w:rFonts w:ascii="Cambria" w:hAnsi="Cambria"/>
          <w:color w:val="000000" w:themeColor="text1"/>
          <w:sz w:val="20"/>
          <w:szCs w:val="20"/>
          <w:lang w:val="fr-FR"/>
        </w:rPr>
        <w:t>Les sept CMP devraient toutes atteindre les objectifs de gestion actuels (</w:t>
      </w:r>
      <w:r w:rsidRPr="00302854">
        <w:rPr>
          <w:rFonts w:ascii="Cambria" w:hAnsi="Cambria"/>
          <w:b/>
          <w:bCs/>
          <w:color w:val="000000" w:themeColor="text1"/>
          <w:sz w:val="20"/>
          <w:szCs w:val="20"/>
          <w:lang w:val="fr-FR"/>
        </w:rPr>
        <w:t>figure 19.9.1</w:t>
      </w:r>
      <w:r w:rsidRPr="00302854">
        <w:rPr>
          <w:rFonts w:ascii="Cambria" w:hAnsi="Cambria"/>
          <w:color w:val="000000" w:themeColor="text1"/>
          <w:sz w:val="20"/>
          <w:szCs w:val="20"/>
          <w:lang w:val="fr-FR"/>
        </w:rPr>
        <w:t xml:space="preserve">), ce qui laisse la possibilité de choisir une autre CMP en fonction des indicateurs de performance relatifs à l'état du stock, à la sécurité, à la production et à la stabilité. Le </w:t>
      </w:r>
      <w:r w:rsidRPr="00302854">
        <w:rPr>
          <w:rFonts w:ascii="Cambria" w:hAnsi="Cambria"/>
          <w:b/>
          <w:bCs/>
          <w:color w:val="000000" w:themeColor="text1"/>
          <w:sz w:val="20"/>
          <w:szCs w:val="20"/>
          <w:lang w:val="fr-FR"/>
        </w:rPr>
        <w:t>tableau 19.9.2</w:t>
      </w:r>
      <w:r w:rsidRPr="00302854">
        <w:rPr>
          <w:rFonts w:ascii="Cambria" w:hAnsi="Cambria"/>
          <w:color w:val="000000" w:themeColor="text1"/>
          <w:sz w:val="20"/>
          <w:szCs w:val="20"/>
          <w:lang w:val="fr-FR"/>
        </w:rPr>
        <w:t xml:space="preserve"> résume ces compromis ; des résultats plus détaillés sont disponibles dans l'application Shiny (</w:t>
      </w:r>
      <w:hyperlink r:id="rId18" w:history="1">
        <w:r w:rsidRPr="00302854">
          <w:rPr>
            <w:rStyle w:val="Hyperlink"/>
            <w:rFonts w:ascii="Cambria" w:hAnsi="Cambria"/>
            <w:sz w:val="20"/>
            <w:szCs w:val="20"/>
            <w:u w:val="none"/>
            <w:lang w:val="fr-FR"/>
          </w:rPr>
          <w:t>FLBEIA Shiny App</w:t>
        </w:r>
      </w:hyperlink>
      <w:r w:rsidRPr="00302854">
        <w:rPr>
          <w:rFonts w:ascii="Cambria" w:hAnsi="Cambria"/>
          <w:color w:val="000000" w:themeColor="text1"/>
          <w:sz w:val="20"/>
          <w:szCs w:val="20"/>
          <w:lang w:val="fr-FR"/>
        </w:rPr>
        <w:t xml:space="preserve">). La </w:t>
      </w:r>
      <w:r w:rsidRPr="00302854">
        <w:rPr>
          <w:rFonts w:ascii="Cambria" w:hAnsi="Cambria"/>
          <w:b/>
          <w:bCs/>
          <w:color w:val="000000" w:themeColor="text1"/>
          <w:sz w:val="20"/>
          <w:szCs w:val="20"/>
          <w:lang w:val="fr-FR"/>
        </w:rPr>
        <w:t>figure 19.9.2</w:t>
      </w:r>
      <w:r w:rsidRPr="00302854">
        <w:rPr>
          <w:rFonts w:ascii="Cambria" w:hAnsi="Cambria"/>
          <w:color w:val="000000" w:themeColor="text1"/>
          <w:sz w:val="20"/>
          <w:szCs w:val="20"/>
          <w:lang w:val="fr-FR"/>
        </w:rPr>
        <w:t xml:space="preserve"> présente les tendances prévues de l'état des stocks dans le cadre d'un scénario de réduction de 20 % du recrutement (scénario de robustesse).</w:t>
      </w:r>
    </w:p>
    <w:p w14:paraId="2B399754" w14:textId="77777777" w:rsidR="00302854" w:rsidRPr="00302854" w:rsidRDefault="00302854" w:rsidP="00302854">
      <w:pPr>
        <w:jc w:val="both"/>
        <w:rPr>
          <w:rFonts w:ascii="Cambria" w:hAnsi="Cambria"/>
          <w:color w:val="000000" w:themeColor="text1"/>
          <w:sz w:val="20"/>
          <w:szCs w:val="20"/>
          <w:lang w:val="fr-FR"/>
        </w:rPr>
      </w:pPr>
    </w:p>
    <w:p w14:paraId="5B6F4030" w14:textId="77777777" w:rsidR="00302854" w:rsidRPr="00302854" w:rsidRDefault="00302854" w:rsidP="00302854">
      <w:pPr>
        <w:spacing w:after="120"/>
        <w:jc w:val="both"/>
        <w:rPr>
          <w:rFonts w:ascii="Cambria" w:eastAsia="Aptos" w:hAnsi="Cambria"/>
          <w:i/>
          <w:color w:val="000000"/>
          <w:sz w:val="20"/>
          <w:szCs w:val="20"/>
          <w:lang w:val="fr-FR"/>
        </w:rPr>
      </w:pPr>
      <w:r w:rsidRPr="00302854">
        <w:rPr>
          <w:rFonts w:ascii="Cambria" w:eastAsia="Aptos" w:hAnsi="Cambria"/>
          <w:b/>
          <w:color w:val="000000"/>
          <w:sz w:val="20"/>
          <w:szCs w:val="22"/>
          <w:lang w:val="fr-FR"/>
        </w:rPr>
        <w:t>Tableau 19.9.2.</w:t>
      </w:r>
      <w:r w:rsidRPr="00302854">
        <w:rPr>
          <w:rFonts w:ascii="Cambria" w:eastAsia="Aptos" w:hAnsi="Cambria"/>
          <w:color w:val="000000"/>
          <w:sz w:val="20"/>
          <w:szCs w:val="22"/>
          <w:lang w:val="fr-FR"/>
        </w:rPr>
        <w:t xml:space="preserve"> Performance des 7 CMP évaluées en 2026 selon l'ensemble de référence des OM. Les indicateurs comprennent la PGK (probabilité de se situer dans le quadrant vert du diagramme de Kobe sur une période de 30 ans), </w:t>
      </w:r>
      <w:proofErr w:type="spellStart"/>
      <w:r w:rsidRPr="00302854">
        <w:rPr>
          <w:rFonts w:ascii="Cambria" w:eastAsia="Aptos" w:hAnsi="Cambria"/>
          <w:color w:val="000000"/>
          <w:sz w:val="20"/>
          <w:szCs w:val="22"/>
          <w:lang w:val="fr-FR"/>
        </w:rPr>
        <w:t>P</w:t>
      </w:r>
      <w:r w:rsidRPr="00302854">
        <w:rPr>
          <w:rFonts w:ascii="Cambria" w:eastAsia="Aptos" w:hAnsi="Cambria"/>
          <w:color w:val="000000"/>
          <w:sz w:val="20"/>
          <w:szCs w:val="22"/>
          <w:vertAlign w:val="subscript"/>
          <w:lang w:val="fr-FR"/>
        </w:rPr>
        <w:t>Blim</w:t>
      </w:r>
      <w:proofErr w:type="spellEnd"/>
      <w:r w:rsidRPr="00302854">
        <w:rPr>
          <w:rFonts w:ascii="Cambria" w:eastAsia="Aptos" w:hAnsi="Cambria"/>
          <w:color w:val="000000"/>
          <w:sz w:val="20"/>
          <w:szCs w:val="22"/>
          <w:lang w:val="fr-FR"/>
        </w:rPr>
        <w:t xml:space="preserve"> (probabilité de se situer au-dessus du point de référence limite adopté (40 % de B</w:t>
      </w:r>
      <w:r w:rsidRPr="00302854">
        <w:rPr>
          <w:rFonts w:ascii="Cambria" w:eastAsia="Aptos" w:hAnsi="Cambria"/>
          <w:color w:val="000000"/>
          <w:sz w:val="20"/>
          <w:szCs w:val="22"/>
          <w:vertAlign w:val="subscript"/>
          <w:lang w:val="fr-FR"/>
        </w:rPr>
        <w:t>PME</w:t>
      </w:r>
      <w:r w:rsidRPr="00302854">
        <w:rPr>
          <w:rFonts w:ascii="Cambria" w:eastAsia="Aptos" w:hAnsi="Cambria"/>
          <w:color w:val="000000"/>
          <w:sz w:val="20"/>
          <w:szCs w:val="22"/>
          <w:lang w:val="fr-FR"/>
        </w:rPr>
        <w:t xml:space="preserve">)), </w:t>
      </w:r>
      <w:proofErr w:type="spellStart"/>
      <w:r w:rsidRPr="00302854">
        <w:rPr>
          <w:rFonts w:ascii="Cambria" w:eastAsia="Aptos" w:hAnsi="Cambria"/>
          <w:color w:val="000000"/>
          <w:sz w:val="20"/>
          <w:szCs w:val="22"/>
          <w:lang w:val="fr-FR"/>
        </w:rPr>
        <w:t>Tsrt</w:t>
      </w:r>
      <w:proofErr w:type="spellEnd"/>
      <w:r w:rsidRPr="00302854">
        <w:rPr>
          <w:rFonts w:ascii="Cambria" w:eastAsia="Aptos" w:hAnsi="Cambria"/>
          <w:color w:val="000000"/>
          <w:sz w:val="20"/>
          <w:szCs w:val="22"/>
          <w:lang w:val="fr-FR"/>
        </w:rPr>
        <w:t xml:space="preserve"> (moyenne du TAC pour les années 1 à 3), </w:t>
      </w:r>
      <w:proofErr w:type="spellStart"/>
      <w:r w:rsidRPr="00302854">
        <w:rPr>
          <w:rFonts w:ascii="Cambria" w:eastAsia="Aptos" w:hAnsi="Cambria"/>
          <w:color w:val="000000"/>
          <w:sz w:val="20"/>
          <w:szCs w:val="22"/>
          <w:lang w:val="fr-FR"/>
        </w:rPr>
        <w:t>T</w:t>
      </w:r>
      <w:r w:rsidRPr="00302854">
        <w:rPr>
          <w:rFonts w:ascii="Cambria" w:eastAsia="Aptos" w:hAnsi="Cambria"/>
          <w:color w:val="000000"/>
          <w:sz w:val="20"/>
          <w:szCs w:val="22"/>
          <w:vertAlign w:val="subscript"/>
          <w:lang w:val="fr-FR"/>
        </w:rPr>
        <w:t>med</w:t>
      </w:r>
      <w:proofErr w:type="spellEnd"/>
      <w:r w:rsidRPr="00302854">
        <w:rPr>
          <w:rFonts w:ascii="Cambria" w:eastAsia="Aptos" w:hAnsi="Cambria"/>
          <w:color w:val="000000"/>
          <w:sz w:val="20"/>
          <w:szCs w:val="22"/>
          <w:lang w:val="fr-FR"/>
        </w:rPr>
        <w:t xml:space="preserve"> (moyenne du TAC pour les années 5 à 10), </w:t>
      </w:r>
      <w:proofErr w:type="spellStart"/>
      <w:r w:rsidRPr="00302854">
        <w:rPr>
          <w:rFonts w:ascii="Cambria" w:eastAsia="Aptos" w:hAnsi="Cambria"/>
          <w:color w:val="000000"/>
          <w:sz w:val="20"/>
          <w:szCs w:val="22"/>
          <w:lang w:val="fr-FR"/>
        </w:rPr>
        <w:t>T</w:t>
      </w:r>
      <w:r w:rsidRPr="00302854">
        <w:rPr>
          <w:rFonts w:ascii="Cambria" w:eastAsia="Aptos" w:hAnsi="Cambria"/>
          <w:color w:val="000000"/>
          <w:sz w:val="20"/>
          <w:szCs w:val="22"/>
          <w:vertAlign w:val="subscript"/>
          <w:lang w:val="fr-FR"/>
        </w:rPr>
        <w:t>lon</w:t>
      </w:r>
      <w:proofErr w:type="spellEnd"/>
      <w:r w:rsidRPr="00302854">
        <w:rPr>
          <w:rFonts w:ascii="Cambria" w:eastAsia="Aptos" w:hAnsi="Cambria"/>
          <w:color w:val="000000"/>
          <w:sz w:val="20"/>
          <w:szCs w:val="22"/>
          <w:lang w:val="fr-FR"/>
        </w:rPr>
        <w:t xml:space="preserve"> (moyenne du TAC pour les années 15 à 30) et Tc (moyenne de la variation proportionnelle absolue (%) du TAC). Le TAC1 correspond au TAC résultant de l'application de chaque CMP pour la période 2027-2029. Les valeurs correspondent à la moyenne calculée sur l'ensemble des itérations des OM pour toutes les années de projection (2027-2057).</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6"/>
        <w:gridCol w:w="1134"/>
        <w:gridCol w:w="851"/>
        <w:gridCol w:w="992"/>
        <w:gridCol w:w="1134"/>
        <w:gridCol w:w="992"/>
        <w:gridCol w:w="851"/>
        <w:gridCol w:w="1417"/>
      </w:tblGrid>
      <w:tr w:rsidR="00302854" w:rsidRPr="007B779F" w14:paraId="0D6F2547" w14:textId="77777777" w:rsidTr="00A45A18">
        <w:trPr>
          <w:trHeight w:val="300"/>
        </w:trPr>
        <w:tc>
          <w:tcPr>
            <w:tcW w:w="1696" w:type="dxa"/>
            <w:vAlign w:val="center"/>
            <w:hideMark/>
          </w:tcPr>
          <w:p w14:paraId="55FE6700" w14:textId="77777777" w:rsidR="00302854" w:rsidRPr="007B779F" w:rsidRDefault="00302854" w:rsidP="00A45A18">
            <w:pPr>
              <w:jc w:val="center"/>
              <w:rPr>
                <w:rFonts w:ascii="Cambria" w:hAnsi="Cambria"/>
                <w:b/>
                <w:bCs/>
                <w:i/>
                <w:iCs/>
                <w:color w:val="000000"/>
                <w:sz w:val="20"/>
                <w:szCs w:val="20"/>
              </w:rPr>
            </w:pPr>
            <w:r w:rsidRPr="007B779F">
              <w:rPr>
                <w:rFonts w:ascii="Cambria" w:hAnsi="Cambria"/>
                <w:b/>
                <w:i/>
                <w:color w:val="000000"/>
                <w:sz w:val="20"/>
                <w:szCs w:val="20"/>
              </w:rPr>
              <w:t>CMP</w:t>
            </w:r>
          </w:p>
        </w:tc>
        <w:tc>
          <w:tcPr>
            <w:tcW w:w="1134" w:type="dxa"/>
            <w:vAlign w:val="center"/>
            <w:hideMark/>
          </w:tcPr>
          <w:p w14:paraId="1BC2449E" w14:textId="77777777" w:rsidR="00302854" w:rsidRPr="007B779F" w:rsidRDefault="00302854" w:rsidP="00A45A18">
            <w:pPr>
              <w:jc w:val="center"/>
              <w:rPr>
                <w:rFonts w:ascii="Cambria" w:hAnsi="Cambria"/>
                <w:b/>
                <w:bCs/>
                <w:i/>
                <w:iCs/>
                <w:color w:val="000000"/>
                <w:sz w:val="20"/>
                <w:szCs w:val="20"/>
              </w:rPr>
            </w:pPr>
            <w:r w:rsidRPr="007B779F">
              <w:rPr>
                <w:rFonts w:ascii="Cambria" w:hAnsi="Cambria"/>
                <w:b/>
                <w:i/>
                <w:color w:val="000000"/>
                <w:sz w:val="20"/>
                <w:szCs w:val="20"/>
              </w:rPr>
              <w:t>PGK</w:t>
            </w:r>
          </w:p>
        </w:tc>
        <w:tc>
          <w:tcPr>
            <w:tcW w:w="851" w:type="dxa"/>
            <w:vAlign w:val="center"/>
            <w:hideMark/>
          </w:tcPr>
          <w:p w14:paraId="06CF1E2B" w14:textId="77777777" w:rsidR="00302854" w:rsidRPr="007B779F" w:rsidRDefault="00302854" w:rsidP="00A45A18">
            <w:pPr>
              <w:jc w:val="center"/>
              <w:rPr>
                <w:rFonts w:ascii="Cambria" w:hAnsi="Cambria"/>
                <w:b/>
                <w:bCs/>
                <w:i/>
                <w:iCs/>
                <w:color w:val="000000"/>
                <w:sz w:val="20"/>
                <w:szCs w:val="20"/>
              </w:rPr>
            </w:pPr>
            <w:proofErr w:type="spellStart"/>
            <w:r w:rsidRPr="007B779F">
              <w:rPr>
                <w:rFonts w:ascii="Cambria" w:hAnsi="Cambria"/>
                <w:b/>
                <w:i/>
                <w:color w:val="000000"/>
                <w:sz w:val="20"/>
                <w:szCs w:val="20"/>
              </w:rPr>
              <w:t>PBlim</w:t>
            </w:r>
            <w:proofErr w:type="spellEnd"/>
          </w:p>
        </w:tc>
        <w:tc>
          <w:tcPr>
            <w:tcW w:w="992" w:type="dxa"/>
            <w:vAlign w:val="center"/>
            <w:hideMark/>
          </w:tcPr>
          <w:p w14:paraId="52C51702" w14:textId="77777777" w:rsidR="00302854" w:rsidRPr="007B779F" w:rsidRDefault="00302854" w:rsidP="00A45A18">
            <w:pPr>
              <w:jc w:val="center"/>
              <w:rPr>
                <w:rFonts w:ascii="Cambria" w:hAnsi="Cambria"/>
                <w:b/>
                <w:bCs/>
                <w:i/>
                <w:iCs/>
                <w:color w:val="000000"/>
                <w:sz w:val="20"/>
                <w:szCs w:val="20"/>
              </w:rPr>
            </w:pPr>
            <w:proofErr w:type="spellStart"/>
            <w:r w:rsidRPr="007B779F">
              <w:rPr>
                <w:rFonts w:ascii="Cambria" w:hAnsi="Cambria"/>
                <w:b/>
                <w:i/>
                <w:color w:val="000000"/>
                <w:sz w:val="20"/>
                <w:szCs w:val="20"/>
              </w:rPr>
              <w:t>Tstr</w:t>
            </w:r>
            <w:proofErr w:type="spellEnd"/>
          </w:p>
        </w:tc>
        <w:tc>
          <w:tcPr>
            <w:tcW w:w="1134" w:type="dxa"/>
            <w:vAlign w:val="center"/>
            <w:hideMark/>
          </w:tcPr>
          <w:p w14:paraId="6E109B30" w14:textId="77777777" w:rsidR="00302854" w:rsidRPr="007B779F" w:rsidRDefault="00302854" w:rsidP="00A45A18">
            <w:pPr>
              <w:jc w:val="center"/>
              <w:rPr>
                <w:rFonts w:ascii="Cambria" w:hAnsi="Cambria"/>
                <w:b/>
                <w:bCs/>
                <w:i/>
                <w:iCs/>
                <w:color w:val="000000"/>
                <w:sz w:val="20"/>
                <w:szCs w:val="20"/>
              </w:rPr>
            </w:pPr>
            <w:proofErr w:type="spellStart"/>
            <w:r w:rsidRPr="007B779F">
              <w:rPr>
                <w:rFonts w:ascii="Cambria" w:hAnsi="Cambria"/>
                <w:b/>
                <w:i/>
                <w:color w:val="000000"/>
                <w:sz w:val="20"/>
                <w:szCs w:val="20"/>
              </w:rPr>
              <w:t>Tmed</w:t>
            </w:r>
            <w:proofErr w:type="spellEnd"/>
          </w:p>
        </w:tc>
        <w:tc>
          <w:tcPr>
            <w:tcW w:w="992" w:type="dxa"/>
            <w:vAlign w:val="center"/>
            <w:hideMark/>
          </w:tcPr>
          <w:p w14:paraId="0E1E7D1F" w14:textId="77777777" w:rsidR="00302854" w:rsidRPr="007B779F" w:rsidRDefault="00302854" w:rsidP="00A45A18">
            <w:pPr>
              <w:jc w:val="center"/>
              <w:rPr>
                <w:rFonts w:ascii="Cambria" w:hAnsi="Cambria"/>
                <w:b/>
                <w:bCs/>
                <w:i/>
                <w:iCs/>
                <w:color w:val="000000"/>
                <w:sz w:val="20"/>
                <w:szCs w:val="20"/>
              </w:rPr>
            </w:pPr>
            <w:proofErr w:type="spellStart"/>
            <w:r w:rsidRPr="007B779F">
              <w:rPr>
                <w:rFonts w:ascii="Cambria" w:hAnsi="Cambria"/>
                <w:b/>
                <w:i/>
                <w:color w:val="000000"/>
                <w:sz w:val="20"/>
                <w:szCs w:val="20"/>
              </w:rPr>
              <w:t>Tlon</w:t>
            </w:r>
            <w:proofErr w:type="spellEnd"/>
          </w:p>
        </w:tc>
        <w:tc>
          <w:tcPr>
            <w:tcW w:w="851" w:type="dxa"/>
            <w:vAlign w:val="center"/>
            <w:hideMark/>
          </w:tcPr>
          <w:p w14:paraId="42B2CB54" w14:textId="77777777" w:rsidR="00302854" w:rsidRPr="007B779F" w:rsidRDefault="00302854" w:rsidP="00A45A18">
            <w:pPr>
              <w:jc w:val="center"/>
              <w:rPr>
                <w:rFonts w:ascii="Cambria" w:hAnsi="Cambria"/>
                <w:b/>
                <w:bCs/>
                <w:i/>
                <w:iCs/>
                <w:color w:val="000000"/>
                <w:sz w:val="20"/>
                <w:szCs w:val="20"/>
              </w:rPr>
            </w:pPr>
            <w:r w:rsidRPr="007B779F">
              <w:rPr>
                <w:rFonts w:ascii="Cambria" w:hAnsi="Cambria"/>
                <w:b/>
                <w:i/>
                <w:color w:val="000000"/>
                <w:sz w:val="20"/>
                <w:szCs w:val="20"/>
              </w:rPr>
              <w:t>Tc</w:t>
            </w:r>
          </w:p>
        </w:tc>
        <w:tc>
          <w:tcPr>
            <w:tcW w:w="1417" w:type="dxa"/>
            <w:vAlign w:val="center"/>
            <w:hideMark/>
          </w:tcPr>
          <w:p w14:paraId="602F30C7" w14:textId="77777777" w:rsidR="00302854" w:rsidRPr="007B779F" w:rsidRDefault="00302854" w:rsidP="00A45A18">
            <w:pPr>
              <w:jc w:val="center"/>
              <w:rPr>
                <w:rFonts w:ascii="Cambria" w:hAnsi="Cambria"/>
                <w:b/>
                <w:bCs/>
                <w:i/>
                <w:iCs/>
                <w:color w:val="000000"/>
                <w:sz w:val="20"/>
                <w:szCs w:val="20"/>
              </w:rPr>
            </w:pPr>
            <w:r w:rsidRPr="007B779F">
              <w:rPr>
                <w:rFonts w:ascii="Cambria" w:hAnsi="Cambria"/>
                <w:b/>
                <w:i/>
                <w:color w:val="000000"/>
                <w:sz w:val="20"/>
                <w:szCs w:val="20"/>
              </w:rPr>
              <w:t>TAC1</w:t>
            </w:r>
          </w:p>
        </w:tc>
      </w:tr>
      <w:tr w:rsidR="00302854" w:rsidRPr="007B779F" w14:paraId="28DD736F" w14:textId="77777777" w:rsidTr="00A45A18">
        <w:trPr>
          <w:trHeight w:val="300"/>
        </w:trPr>
        <w:tc>
          <w:tcPr>
            <w:tcW w:w="1696" w:type="dxa"/>
            <w:vAlign w:val="center"/>
            <w:hideMark/>
          </w:tcPr>
          <w:p w14:paraId="7BF5C63E"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25%_F0,8_B1</w:t>
            </w:r>
          </w:p>
        </w:tc>
        <w:tc>
          <w:tcPr>
            <w:tcW w:w="1134" w:type="dxa"/>
            <w:vAlign w:val="center"/>
            <w:hideMark/>
          </w:tcPr>
          <w:p w14:paraId="1EC3343B"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0,97</w:t>
            </w:r>
          </w:p>
        </w:tc>
        <w:tc>
          <w:tcPr>
            <w:tcW w:w="851" w:type="dxa"/>
            <w:vAlign w:val="center"/>
            <w:hideMark/>
          </w:tcPr>
          <w:p w14:paraId="41B79114"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1</w:t>
            </w:r>
          </w:p>
        </w:tc>
        <w:tc>
          <w:tcPr>
            <w:tcW w:w="992" w:type="dxa"/>
            <w:vAlign w:val="center"/>
            <w:hideMark/>
          </w:tcPr>
          <w:p w14:paraId="3A457758"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48.455</w:t>
            </w:r>
          </w:p>
        </w:tc>
        <w:tc>
          <w:tcPr>
            <w:tcW w:w="1134" w:type="dxa"/>
            <w:vAlign w:val="center"/>
            <w:hideMark/>
          </w:tcPr>
          <w:p w14:paraId="160044F6"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43.019</w:t>
            </w:r>
          </w:p>
        </w:tc>
        <w:tc>
          <w:tcPr>
            <w:tcW w:w="992" w:type="dxa"/>
            <w:vAlign w:val="center"/>
            <w:hideMark/>
          </w:tcPr>
          <w:p w14:paraId="23624A9D"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38.092</w:t>
            </w:r>
          </w:p>
        </w:tc>
        <w:tc>
          <w:tcPr>
            <w:tcW w:w="851" w:type="dxa"/>
            <w:vAlign w:val="center"/>
            <w:hideMark/>
          </w:tcPr>
          <w:p w14:paraId="0CD53A30"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7</w:t>
            </w:r>
          </w:p>
        </w:tc>
        <w:tc>
          <w:tcPr>
            <w:tcW w:w="1417" w:type="dxa"/>
            <w:vAlign w:val="center"/>
            <w:hideMark/>
          </w:tcPr>
          <w:p w14:paraId="6B25EC0C"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50.000</w:t>
            </w:r>
          </w:p>
        </w:tc>
      </w:tr>
      <w:tr w:rsidR="00302854" w:rsidRPr="007B779F" w14:paraId="1DCD2AB9" w14:textId="77777777" w:rsidTr="00A45A18">
        <w:trPr>
          <w:trHeight w:val="300"/>
        </w:trPr>
        <w:tc>
          <w:tcPr>
            <w:tcW w:w="1696" w:type="dxa"/>
            <w:vAlign w:val="center"/>
            <w:hideMark/>
          </w:tcPr>
          <w:p w14:paraId="52A23287"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10%_F0,8_B1</w:t>
            </w:r>
          </w:p>
        </w:tc>
        <w:tc>
          <w:tcPr>
            <w:tcW w:w="1134" w:type="dxa"/>
            <w:vAlign w:val="center"/>
            <w:hideMark/>
          </w:tcPr>
          <w:p w14:paraId="337950A4"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0,96</w:t>
            </w:r>
          </w:p>
        </w:tc>
        <w:tc>
          <w:tcPr>
            <w:tcW w:w="851" w:type="dxa"/>
            <w:vAlign w:val="center"/>
            <w:hideMark/>
          </w:tcPr>
          <w:p w14:paraId="5017771F"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1</w:t>
            </w:r>
          </w:p>
        </w:tc>
        <w:tc>
          <w:tcPr>
            <w:tcW w:w="992" w:type="dxa"/>
            <w:vAlign w:val="center"/>
            <w:hideMark/>
          </w:tcPr>
          <w:p w14:paraId="2F41CE68"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48.695</w:t>
            </w:r>
          </w:p>
        </w:tc>
        <w:tc>
          <w:tcPr>
            <w:tcW w:w="1134" w:type="dxa"/>
            <w:vAlign w:val="center"/>
            <w:hideMark/>
          </w:tcPr>
          <w:p w14:paraId="0A984613"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44.202</w:t>
            </w:r>
          </w:p>
        </w:tc>
        <w:tc>
          <w:tcPr>
            <w:tcW w:w="992" w:type="dxa"/>
            <w:vAlign w:val="center"/>
            <w:hideMark/>
          </w:tcPr>
          <w:p w14:paraId="0EC4F5A9"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37.671</w:t>
            </w:r>
          </w:p>
        </w:tc>
        <w:tc>
          <w:tcPr>
            <w:tcW w:w="851" w:type="dxa"/>
            <w:vAlign w:val="center"/>
            <w:hideMark/>
          </w:tcPr>
          <w:p w14:paraId="3511150F"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6</w:t>
            </w:r>
          </w:p>
        </w:tc>
        <w:tc>
          <w:tcPr>
            <w:tcW w:w="1417" w:type="dxa"/>
            <w:vAlign w:val="center"/>
            <w:hideMark/>
          </w:tcPr>
          <w:p w14:paraId="6B61B0EB"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50.000</w:t>
            </w:r>
          </w:p>
        </w:tc>
      </w:tr>
      <w:tr w:rsidR="00302854" w:rsidRPr="007B779F" w14:paraId="21CA4117" w14:textId="77777777" w:rsidTr="00A45A18">
        <w:trPr>
          <w:trHeight w:val="300"/>
        </w:trPr>
        <w:tc>
          <w:tcPr>
            <w:tcW w:w="1696" w:type="dxa"/>
            <w:vAlign w:val="center"/>
            <w:hideMark/>
          </w:tcPr>
          <w:p w14:paraId="62ECBEB7"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25%_F1_B1</w:t>
            </w:r>
          </w:p>
        </w:tc>
        <w:tc>
          <w:tcPr>
            <w:tcW w:w="1134" w:type="dxa"/>
            <w:vAlign w:val="center"/>
            <w:hideMark/>
          </w:tcPr>
          <w:p w14:paraId="2F5D6592"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0,86</w:t>
            </w:r>
          </w:p>
        </w:tc>
        <w:tc>
          <w:tcPr>
            <w:tcW w:w="851" w:type="dxa"/>
            <w:vAlign w:val="center"/>
            <w:hideMark/>
          </w:tcPr>
          <w:p w14:paraId="2D0E6BE1"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1</w:t>
            </w:r>
          </w:p>
        </w:tc>
        <w:tc>
          <w:tcPr>
            <w:tcW w:w="992" w:type="dxa"/>
            <w:vAlign w:val="center"/>
            <w:hideMark/>
          </w:tcPr>
          <w:p w14:paraId="1D4D686A"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49.838</w:t>
            </w:r>
          </w:p>
        </w:tc>
        <w:tc>
          <w:tcPr>
            <w:tcW w:w="1134" w:type="dxa"/>
            <w:vAlign w:val="center"/>
            <w:hideMark/>
          </w:tcPr>
          <w:p w14:paraId="3DAB5D89"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47.471</w:t>
            </w:r>
          </w:p>
        </w:tc>
        <w:tc>
          <w:tcPr>
            <w:tcW w:w="992" w:type="dxa"/>
            <w:vAlign w:val="center"/>
            <w:hideMark/>
          </w:tcPr>
          <w:p w14:paraId="72301EFE"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39.924</w:t>
            </w:r>
          </w:p>
        </w:tc>
        <w:tc>
          <w:tcPr>
            <w:tcW w:w="851" w:type="dxa"/>
            <w:vAlign w:val="center"/>
            <w:hideMark/>
          </w:tcPr>
          <w:p w14:paraId="3B21E864"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9</w:t>
            </w:r>
          </w:p>
        </w:tc>
        <w:tc>
          <w:tcPr>
            <w:tcW w:w="1417" w:type="dxa"/>
            <w:vAlign w:val="center"/>
            <w:hideMark/>
          </w:tcPr>
          <w:p w14:paraId="1EDD1062"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50.000</w:t>
            </w:r>
          </w:p>
        </w:tc>
      </w:tr>
      <w:tr w:rsidR="00302854" w:rsidRPr="007B779F" w14:paraId="62978257" w14:textId="77777777" w:rsidTr="00A45A18">
        <w:trPr>
          <w:trHeight w:val="300"/>
        </w:trPr>
        <w:tc>
          <w:tcPr>
            <w:tcW w:w="1696" w:type="dxa"/>
            <w:vAlign w:val="center"/>
            <w:hideMark/>
          </w:tcPr>
          <w:p w14:paraId="672FDFC0"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10%_F1_B1</w:t>
            </w:r>
          </w:p>
        </w:tc>
        <w:tc>
          <w:tcPr>
            <w:tcW w:w="1134" w:type="dxa"/>
            <w:vAlign w:val="center"/>
            <w:hideMark/>
          </w:tcPr>
          <w:p w14:paraId="32A7C522"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0,84</w:t>
            </w:r>
          </w:p>
        </w:tc>
        <w:tc>
          <w:tcPr>
            <w:tcW w:w="851" w:type="dxa"/>
            <w:vAlign w:val="center"/>
            <w:hideMark/>
          </w:tcPr>
          <w:p w14:paraId="694270E8"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1</w:t>
            </w:r>
          </w:p>
        </w:tc>
        <w:tc>
          <w:tcPr>
            <w:tcW w:w="992" w:type="dxa"/>
            <w:vAlign w:val="center"/>
            <w:hideMark/>
          </w:tcPr>
          <w:p w14:paraId="34F26007"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49.853</w:t>
            </w:r>
          </w:p>
        </w:tc>
        <w:tc>
          <w:tcPr>
            <w:tcW w:w="1134" w:type="dxa"/>
            <w:vAlign w:val="center"/>
            <w:hideMark/>
          </w:tcPr>
          <w:p w14:paraId="515ACE06"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47.994</w:t>
            </w:r>
          </w:p>
        </w:tc>
        <w:tc>
          <w:tcPr>
            <w:tcW w:w="992" w:type="dxa"/>
            <w:vAlign w:val="center"/>
            <w:hideMark/>
          </w:tcPr>
          <w:p w14:paraId="239EA216"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39.651</w:t>
            </w:r>
          </w:p>
        </w:tc>
        <w:tc>
          <w:tcPr>
            <w:tcW w:w="851" w:type="dxa"/>
            <w:vAlign w:val="center"/>
            <w:hideMark/>
          </w:tcPr>
          <w:p w14:paraId="17BCDAAB"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6</w:t>
            </w:r>
          </w:p>
        </w:tc>
        <w:tc>
          <w:tcPr>
            <w:tcW w:w="1417" w:type="dxa"/>
            <w:vAlign w:val="center"/>
            <w:hideMark/>
          </w:tcPr>
          <w:p w14:paraId="431DA032"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50.000</w:t>
            </w:r>
          </w:p>
        </w:tc>
      </w:tr>
      <w:tr w:rsidR="00302854" w:rsidRPr="007B779F" w14:paraId="779BBEC5" w14:textId="77777777" w:rsidTr="00A45A18">
        <w:trPr>
          <w:trHeight w:val="300"/>
        </w:trPr>
        <w:tc>
          <w:tcPr>
            <w:tcW w:w="1696" w:type="dxa"/>
            <w:vAlign w:val="center"/>
            <w:hideMark/>
          </w:tcPr>
          <w:p w14:paraId="69703E30"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15%_PCCatch</w:t>
            </w:r>
          </w:p>
        </w:tc>
        <w:tc>
          <w:tcPr>
            <w:tcW w:w="1134" w:type="dxa"/>
            <w:vAlign w:val="center"/>
            <w:hideMark/>
          </w:tcPr>
          <w:p w14:paraId="120E9793"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1</w:t>
            </w:r>
          </w:p>
        </w:tc>
        <w:tc>
          <w:tcPr>
            <w:tcW w:w="851" w:type="dxa"/>
            <w:vAlign w:val="center"/>
            <w:hideMark/>
          </w:tcPr>
          <w:p w14:paraId="54D9979A"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1</w:t>
            </w:r>
          </w:p>
        </w:tc>
        <w:tc>
          <w:tcPr>
            <w:tcW w:w="992" w:type="dxa"/>
            <w:vAlign w:val="center"/>
            <w:hideMark/>
          </w:tcPr>
          <w:p w14:paraId="3A99C770"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42.000</w:t>
            </w:r>
          </w:p>
        </w:tc>
        <w:tc>
          <w:tcPr>
            <w:tcW w:w="1134" w:type="dxa"/>
            <w:vAlign w:val="center"/>
            <w:hideMark/>
          </w:tcPr>
          <w:p w14:paraId="3884DB05"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42.000</w:t>
            </w:r>
          </w:p>
        </w:tc>
        <w:tc>
          <w:tcPr>
            <w:tcW w:w="992" w:type="dxa"/>
            <w:vAlign w:val="center"/>
            <w:hideMark/>
          </w:tcPr>
          <w:p w14:paraId="5BD325A8"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41.536</w:t>
            </w:r>
          </w:p>
        </w:tc>
        <w:tc>
          <w:tcPr>
            <w:tcW w:w="851" w:type="dxa"/>
            <w:vAlign w:val="center"/>
            <w:hideMark/>
          </w:tcPr>
          <w:p w14:paraId="4E588BE0"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1</w:t>
            </w:r>
          </w:p>
        </w:tc>
        <w:tc>
          <w:tcPr>
            <w:tcW w:w="1417" w:type="dxa"/>
            <w:vAlign w:val="center"/>
            <w:hideMark/>
          </w:tcPr>
          <w:p w14:paraId="35FAF528"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42.000</w:t>
            </w:r>
          </w:p>
        </w:tc>
      </w:tr>
      <w:tr w:rsidR="00302854" w:rsidRPr="007B779F" w14:paraId="4F99AD99" w14:textId="77777777" w:rsidTr="00A45A18">
        <w:trPr>
          <w:trHeight w:val="300"/>
        </w:trPr>
        <w:tc>
          <w:tcPr>
            <w:tcW w:w="1696" w:type="dxa"/>
            <w:vAlign w:val="center"/>
            <w:hideMark/>
          </w:tcPr>
          <w:p w14:paraId="2CF27119"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10%_Emp_W</w:t>
            </w:r>
          </w:p>
        </w:tc>
        <w:tc>
          <w:tcPr>
            <w:tcW w:w="1134" w:type="dxa"/>
            <w:vAlign w:val="center"/>
            <w:hideMark/>
          </w:tcPr>
          <w:p w14:paraId="6BE9845A"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0,96</w:t>
            </w:r>
          </w:p>
        </w:tc>
        <w:tc>
          <w:tcPr>
            <w:tcW w:w="851" w:type="dxa"/>
            <w:vAlign w:val="center"/>
            <w:hideMark/>
          </w:tcPr>
          <w:p w14:paraId="78875A57"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1</w:t>
            </w:r>
          </w:p>
        </w:tc>
        <w:tc>
          <w:tcPr>
            <w:tcW w:w="992" w:type="dxa"/>
            <w:vAlign w:val="center"/>
            <w:hideMark/>
          </w:tcPr>
          <w:p w14:paraId="7BA1C04D"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49.594</w:t>
            </w:r>
          </w:p>
        </w:tc>
        <w:tc>
          <w:tcPr>
            <w:tcW w:w="1134" w:type="dxa"/>
            <w:vAlign w:val="center"/>
            <w:hideMark/>
          </w:tcPr>
          <w:p w14:paraId="075B3E31"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43.168</w:t>
            </w:r>
          </w:p>
        </w:tc>
        <w:tc>
          <w:tcPr>
            <w:tcW w:w="992" w:type="dxa"/>
            <w:vAlign w:val="center"/>
            <w:hideMark/>
          </w:tcPr>
          <w:p w14:paraId="526D86C9"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39.370</w:t>
            </w:r>
          </w:p>
        </w:tc>
        <w:tc>
          <w:tcPr>
            <w:tcW w:w="851" w:type="dxa"/>
            <w:vAlign w:val="center"/>
            <w:hideMark/>
          </w:tcPr>
          <w:p w14:paraId="4ED8B492"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7</w:t>
            </w:r>
          </w:p>
        </w:tc>
        <w:tc>
          <w:tcPr>
            <w:tcW w:w="1417" w:type="dxa"/>
            <w:vAlign w:val="center"/>
            <w:hideMark/>
          </w:tcPr>
          <w:p w14:paraId="6A941FED"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46.306</w:t>
            </w:r>
          </w:p>
        </w:tc>
      </w:tr>
      <w:tr w:rsidR="00302854" w:rsidRPr="007B779F" w14:paraId="5AA739FD" w14:textId="77777777" w:rsidTr="00A45A18">
        <w:trPr>
          <w:trHeight w:val="300"/>
        </w:trPr>
        <w:tc>
          <w:tcPr>
            <w:tcW w:w="1696" w:type="dxa"/>
            <w:vAlign w:val="center"/>
            <w:hideMark/>
          </w:tcPr>
          <w:p w14:paraId="55A5B301"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25%_Emp_W</w:t>
            </w:r>
          </w:p>
        </w:tc>
        <w:tc>
          <w:tcPr>
            <w:tcW w:w="1134" w:type="dxa"/>
            <w:vAlign w:val="center"/>
            <w:hideMark/>
          </w:tcPr>
          <w:p w14:paraId="50D100D5"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0,98</w:t>
            </w:r>
          </w:p>
        </w:tc>
        <w:tc>
          <w:tcPr>
            <w:tcW w:w="851" w:type="dxa"/>
            <w:vAlign w:val="center"/>
            <w:hideMark/>
          </w:tcPr>
          <w:p w14:paraId="7D19D28D"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1</w:t>
            </w:r>
          </w:p>
        </w:tc>
        <w:tc>
          <w:tcPr>
            <w:tcW w:w="992" w:type="dxa"/>
            <w:vAlign w:val="center"/>
            <w:hideMark/>
          </w:tcPr>
          <w:p w14:paraId="62AF6FFE"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49.582</w:t>
            </w:r>
          </w:p>
        </w:tc>
        <w:tc>
          <w:tcPr>
            <w:tcW w:w="1134" w:type="dxa"/>
            <w:vAlign w:val="center"/>
            <w:hideMark/>
          </w:tcPr>
          <w:p w14:paraId="7F685E61"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39.600</w:t>
            </w:r>
          </w:p>
        </w:tc>
        <w:tc>
          <w:tcPr>
            <w:tcW w:w="992" w:type="dxa"/>
            <w:vAlign w:val="center"/>
            <w:hideMark/>
          </w:tcPr>
          <w:p w14:paraId="61F999C9"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37.289</w:t>
            </w:r>
          </w:p>
        </w:tc>
        <w:tc>
          <w:tcPr>
            <w:tcW w:w="851" w:type="dxa"/>
            <w:vAlign w:val="center"/>
            <w:hideMark/>
          </w:tcPr>
          <w:p w14:paraId="3F8D993F"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11</w:t>
            </w:r>
          </w:p>
        </w:tc>
        <w:tc>
          <w:tcPr>
            <w:tcW w:w="1417" w:type="dxa"/>
            <w:vAlign w:val="center"/>
            <w:hideMark/>
          </w:tcPr>
          <w:p w14:paraId="363CEEF0" w14:textId="77777777" w:rsidR="00302854" w:rsidRPr="007B779F" w:rsidRDefault="00302854" w:rsidP="00A45A18">
            <w:pPr>
              <w:jc w:val="center"/>
              <w:rPr>
                <w:rFonts w:ascii="Cambria" w:hAnsi="Cambria"/>
                <w:color w:val="000000"/>
                <w:sz w:val="20"/>
                <w:szCs w:val="20"/>
              </w:rPr>
            </w:pPr>
            <w:r w:rsidRPr="007B779F">
              <w:rPr>
                <w:rFonts w:ascii="Cambria" w:hAnsi="Cambria"/>
                <w:color w:val="000000"/>
                <w:sz w:val="20"/>
                <w:szCs w:val="20"/>
              </w:rPr>
              <w:t>46.306</w:t>
            </w:r>
          </w:p>
        </w:tc>
      </w:tr>
    </w:tbl>
    <w:p w14:paraId="5C687FB7" w14:textId="77777777" w:rsidR="00302854" w:rsidRPr="007B779F" w:rsidRDefault="00302854" w:rsidP="00302854">
      <w:pPr>
        <w:rPr>
          <w:rFonts w:ascii="Cambria" w:hAnsi="Cambria"/>
          <w:color w:val="000000" w:themeColor="text1"/>
          <w:sz w:val="20"/>
          <w:szCs w:val="20"/>
          <w:lang w:val="en-GB"/>
        </w:rPr>
      </w:pPr>
    </w:p>
    <w:p w14:paraId="2FF88365" w14:textId="77777777" w:rsidR="00302854" w:rsidRPr="007B779F" w:rsidRDefault="00302854" w:rsidP="00302854">
      <w:pPr>
        <w:keepNext/>
        <w:jc w:val="center"/>
        <w:rPr>
          <w:rFonts w:ascii="Cambria" w:hAnsi="Cambria"/>
          <w:color w:val="000000" w:themeColor="text1"/>
          <w:sz w:val="20"/>
          <w:szCs w:val="20"/>
        </w:rPr>
      </w:pPr>
      <w:r w:rsidRPr="007B779F">
        <w:rPr>
          <w:rFonts w:ascii="Cambria" w:hAnsi="Cambria"/>
          <w:noProof/>
          <w:sz w:val="20"/>
          <w:szCs w:val="20"/>
        </w:rPr>
        <w:drawing>
          <wp:inline distT="0" distB="0" distL="0" distR="0" wp14:anchorId="47FA65AF" wp14:editId="6C1BD4F8">
            <wp:extent cx="4405558" cy="3215811"/>
            <wp:effectExtent l="0" t="0" r="0" b="3810"/>
            <wp:docPr id="49" name="Picture" descr="P1569#yIS1"/>
            <wp:cNvGraphicFramePr/>
            <a:graphic xmlns:a="http://schemas.openxmlformats.org/drawingml/2006/main">
              <a:graphicData uri="http://schemas.openxmlformats.org/drawingml/2006/picture">
                <pic:pic xmlns:pic="http://schemas.openxmlformats.org/drawingml/2006/picture">
                  <pic:nvPicPr>
                    <pic:cNvPr id="49" name="Picture" descr="P1569#yIS1"/>
                    <pic:cNvPicPr/>
                  </pic:nvPicPr>
                  <pic:blipFill>
                    <a:blip r:embed="rId19"/>
                    <a:stretch>
                      <a:fillRect/>
                    </a:stretch>
                  </pic:blipFill>
                  <pic:spPr bwMode="auto">
                    <a:xfrm>
                      <a:off x="0" y="0"/>
                      <a:ext cx="4412700" cy="3221024"/>
                    </a:xfrm>
                    <a:prstGeom prst="rect">
                      <a:avLst/>
                    </a:prstGeom>
                    <a:noFill/>
                    <a:ln w="9525">
                      <a:noFill/>
                      <a:headEnd/>
                      <a:tailEnd/>
                    </a:ln>
                  </pic:spPr>
                </pic:pic>
              </a:graphicData>
            </a:graphic>
          </wp:inline>
        </w:drawing>
      </w:r>
    </w:p>
    <w:p w14:paraId="6BD59374" w14:textId="77777777" w:rsidR="00302854" w:rsidRPr="00302854" w:rsidRDefault="00302854" w:rsidP="00302854">
      <w:pPr>
        <w:spacing w:after="120"/>
        <w:jc w:val="both"/>
        <w:rPr>
          <w:rFonts w:ascii="Cambria" w:eastAsia="Aptos" w:hAnsi="Cambria"/>
          <w:color w:val="000000"/>
          <w:sz w:val="20"/>
          <w:szCs w:val="20"/>
          <w:lang w:val="fr-FR"/>
        </w:rPr>
      </w:pPr>
      <w:r w:rsidRPr="00302854">
        <w:rPr>
          <w:rFonts w:ascii="Cambria" w:eastAsia="Aptos" w:hAnsi="Cambria"/>
          <w:b/>
          <w:color w:val="000000"/>
          <w:sz w:val="20"/>
          <w:szCs w:val="22"/>
          <w:lang w:val="fr-FR"/>
        </w:rPr>
        <w:t>Figure 19.9.</w:t>
      </w:r>
      <w:r w:rsidRPr="007B779F">
        <w:rPr>
          <w:rFonts w:ascii="Cambria" w:eastAsia="Aptos" w:hAnsi="Cambria"/>
          <w:b/>
          <w:color w:val="000000"/>
          <w:sz w:val="20"/>
          <w:szCs w:val="22"/>
        </w:rPr>
        <w:fldChar w:fldCharType="begin"/>
      </w:r>
      <w:r w:rsidRPr="00302854">
        <w:rPr>
          <w:rFonts w:ascii="Cambria" w:eastAsia="Aptos" w:hAnsi="Cambria"/>
          <w:b/>
          <w:color w:val="000000"/>
          <w:sz w:val="20"/>
          <w:szCs w:val="22"/>
          <w:lang w:val="fr-FR"/>
        </w:rPr>
        <w:instrText xml:space="preserve"> SEQ Figure. \* ARABIC </w:instrText>
      </w:r>
      <w:r w:rsidRPr="007B779F">
        <w:rPr>
          <w:rFonts w:ascii="Cambria" w:eastAsia="Aptos" w:hAnsi="Cambria"/>
          <w:b/>
          <w:color w:val="000000"/>
          <w:sz w:val="20"/>
          <w:szCs w:val="22"/>
        </w:rPr>
        <w:fldChar w:fldCharType="separate"/>
      </w:r>
      <w:r w:rsidRPr="00302854">
        <w:rPr>
          <w:rFonts w:ascii="Cambria" w:eastAsia="Aptos" w:hAnsi="Cambria"/>
          <w:b/>
          <w:noProof/>
          <w:color w:val="000000"/>
          <w:sz w:val="20"/>
          <w:szCs w:val="22"/>
          <w:lang w:val="fr-FR"/>
        </w:rPr>
        <w:t>1</w:t>
      </w:r>
      <w:r w:rsidRPr="007B779F">
        <w:rPr>
          <w:rFonts w:ascii="Cambria" w:eastAsia="Aptos" w:hAnsi="Cambria"/>
          <w:b/>
          <w:color w:val="000000"/>
          <w:sz w:val="20"/>
          <w:szCs w:val="22"/>
        </w:rPr>
        <w:fldChar w:fldCharType="end"/>
      </w:r>
      <w:r w:rsidRPr="00302854">
        <w:rPr>
          <w:rFonts w:ascii="Cambria" w:eastAsia="Aptos" w:hAnsi="Cambria"/>
          <w:b/>
          <w:i/>
          <w:color w:val="000000"/>
          <w:sz w:val="20"/>
          <w:szCs w:val="22"/>
          <w:lang w:val="fr-FR"/>
        </w:rPr>
        <w:t>.</w:t>
      </w:r>
      <w:r w:rsidRPr="00302854">
        <w:rPr>
          <w:rFonts w:ascii="Cambria" w:eastAsia="Aptos" w:hAnsi="Cambria"/>
          <w:b/>
          <w:color w:val="000000"/>
          <w:sz w:val="20"/>
          <w:szCs w:val="22"/>
          <w:lang w:val="fr-FR"/>
        </w:rPr>
        <w:t xml:space="preserve"> </w:t>
      </w:r>
      <w:r w:rsidRPr="00302854">
        <w:rPr>
          <w:rFonts w:ascii="Cambria" w:eastAsia="Aptos" w:hAnsi="Cambria"/>
          <w:color w:val="000000"/>
          <w:sz w:val="20"/>
          <w:szCs w:val="22"/>
          <w:lang w:val="fr-FR"/>
        </w:rPr>
        <w:t xml:space="preserve">Série temporelle de l'état estimé du germon de l'Atlantique Nord selon les 7 CMP évaluées en 2026 dans le contexte du nouveau cadre de la MSE (ensemble de référence des modèles opérationnels). Pour chaque année, les couleurs indiquent la probabilité que le stock se situe dans chacun des quadrants de Kobe. La ligne pointillée indique que le stock a une probabilité de 60 % de se situer dans le quadrant vert du diagramme de Kobe. </w:t>
      </w:r>
    </w:p>
    <w:p w14:paraId="7B86BA34" w14:textId="77777777" w:rsidR="00302854" w:rsidRPr="007B779F" w:rsidRDefault="00302854" w:rsidP="00302854">
      <w:pPr>
        <w:jc w:val="center"/>
        <w:rPr>
          <w:rFonts w:ascii="Cambria" w:hAnsi="Cambria"/>
          <w:color w:val="000000" w:themeColor="text1"/>
          <w:sz w:val="20"/>
          <w:szCs w:val="20"/>
        </w:rPr>
      </w:pPr>
      <w:r w:rsidRPr="007B779F">
        <w:rPr>
          <w:rFonts w:ascii="Cambria" w:hAnsi="Cambria"/>
          <w:i/>
          <w:noProof/>
          <w:color w:val="000000" w:themeColor="text1"/>
          <w:sz w:val="20"/>
          <w:szCs w:val="20"/>
        </w:rPr>
        <w:lastRenderedPageBreak/>
        <w:drawing>
          <wp:inline distT="0" distB="0" distL="0" distR="0" wp14:anchorId="02C62B9A" wp14:editId="07837004">
            <wp:extent cx="4254500" cy="3402752"/>
            <wp:effectExtent l="0" t="0" r="0" b="7620"/>
            <wp:docPr id="348542067" name="Imagen 1" descr="P15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42067" name="Imagen 1" descr="P1571#yIS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61190" cy="3408103"/>
                    </a:xfrm>
                    <a:prstGeom prst="rect">
                      <a:avLst/>
                    </a:prstGeom>
                    <a:noFill/>
                    <a:ln>
                      <a:noFill/>
                    </a:ln>
                  </pic:spPr>
                </pic:pic>
              </a:graphicData>
            </a:graphic>
          </wp:inline>
        </w:drawing>
      </w:r>
    </w:p>
    <w:p w14:paraId="7AA260D6" w14:textId="77777777" w:rsidR="00302854" w:rsidRPr="00302854" w:rsidRDefault="00302854" w:rsidP="00302854">
      <w:pPr>
        <w:spacing w:after="120"/>
        <w:jc w:val="both"/>
        <w:rPr>
          <w:rFonts w:ascii="Cambria" w:hAnsi="Cambria"/>
          <w:color w:val="000000" w:themeColor="text1"/>
          <w:sz w:val="20"/>
          <w:szCs w:val="20"/>
          <w:lang w:val="fr-FR"/>
        </w:rPr>
      </w:pPr>
      <w:r w:rsidRPr="00302854">
        <w:rPr>
          <w:rFonts w:ascii="Cambria" w:hAnsi="Cambria"/>
          <w:b/>
          <w:color w:val="000000" w:themeColor="text1"/>
          <w:sz w:val="20"/>
          <w:szCs w:val="20"/>
          <w:lang w:val="fr-FR"/>
        </w:rPr>
        <w:t xml:space="preserve">Figure 19.9.2. </w:t>
      </w:r>
      <w:r w:rsidRPr="00302854">
        <w:rPr>
          <w:rFonts w:ascii="Cambria" w:hAnsi="Cambria"/>
          <w:color w:val="000000" w:themeColor="text1"/>
          <w:sz w:val="20"/>
          <w:szCs w:val="20"/>
          <w:lang w:val="fr-FR"/>
        </w:rPr>
        <w:t xml:space="preserve">Série temporelle de l'état estimé du germon de l'Atlantique Nord selon les 7 CMP évaluées en 2026 dans le contexte du nouveau cadre de la MSE (test de robustesse dans un scénario prévoyant une baisse de 20 % du recrutement due au changement climatique). </w:t>
      </w:r>
      <w:r w:rsidRPr="00302854">
        <w:rPr>
          <w:rFonts w:ascii="Cambria" w:eastAsia="Aptos" w:hAnsi="Cambria"/>
          <w:color w:val="000000"/>
          <w:sz w:val="20"/>
          <w:szCs w:val="22"/>
          <w:lang w:val="fr-FR"/>
        </w:rPr>
        <w:t xml:space="preserve">Pour chaque année, les couleurs indiquent la probabilité que le stock se situe dans chacun des quadrants de Kobe. La ligne pointillée indique que le stock a une probabilité de 60 % de se situer dans le quadrant vert du diagramme de Kobe. </w:t>
      </w:r>
      <w:r w:rsidRPr="00302854">
        <w:rPr>
          <w:rFonts w:ascii="Cambria" w:hAnsi="Cambria"/>
          <w:color w:val="000000" w:themeColor="text1"/>
          <w:sz w:val="20"/>
          <w:szCs w:val="20"/>
          <w:lang w:val="fr-FR"/>
        </w:rPr>
        <w:t>Si la MP actualisée reposant sur des modèles, ou une version modifiée de celle-ci, est retenue, le Groupe recommande de mettre à jour les spécifications techniques de la MP figurant à l’appendice A de l’annexe 1 de la Rec. 21-04 afin de tenir compte des évolutions récentes des logiciels de modélisation de production (</w:t>
      </w:r>
      <w:r w:rsidRPr="00302854">
        <w:rPr>
          <w:rFonts w:ascii="Cambria" w:hAnsi="Cambria"/>
          <w:b/>
          <w:bCs/>
          <w:color w:val="000000" w:themeColor="text1"/>
          <w:sz w:val="20"/>
          <w:szCs w:val="20"/>
          <w:lang w:val="fr-FR"/>
        </w:rPr>
        <w:t>tableau 19.3.3</w:t>
      </w:r>
      <w:r w:rsidRPr="00302854">
        <w:rPr>
          <w:rFonts w:ascii="Cambria" w:hAnsi="Cambria"/>
          <w:color w:val="000000" w:themeColor="text1"/>
          <w:sz w:val="20"/>
          <w:szCs w:val="20"/>
          <w:lang w:val="fr-FR"/>
        </w:rPr>
        <w:t>) et des indices CPUE utilisés dans la dernière évaluation de référence (</w:t>
      </w:r>
      <w:r w:rsidRPr="00302854">
        <w:rPr>
          <w:rFonts w:ascii="Cambria" w:hAnsi="Cambria"/>
          <w:b/>
          <w:bCs/>
          <w:color w:val="000000" w:themeColor="text1"/>
          <w:sz w:val="20"/>
          <w:szCs w:val="20"/>
          <w:lang w:val="fr-FR"/>
        </w:rPr>
        <w:t>tableau 19.9.4</w:t>
      </w:r>
      <w:r w:rsidRPr="00302854">
        <w:rPr>
          <w:rFonts w:ascii="Cambria" w:hAnsi="Cambria"/>
          <w:color w:val="000000" w:themeColor="text1"/>
          <w:sz w:val="20"/>
          <w:szCs w:val="20"/>
          <w:lang w:val="fr-FR"/>
        </w:rPr>
        <w:t>). Les spécifications proposées sont les suivantes :</w:t>
      </w:r>
    </w:p>
    <w:p w14:paraId="4269ED00" w14:textId="77777777" w:rsidR="00302854" w:rsidRPr="00302854" w:rsidRDefault="00302854" w:rsidP="00302854">
      <w:pPr>
        <w:jc w:val="both"/>
        <w:rPr>
          <w:rFonts w:ascii="Cambria" w:hAnsi="Cambria"/>
          <w:color w:val="000000" w:themeColor="text1"/>
          <w:sz w:val="20"/>
          <w:szCs w:val="20"/>
          <w:lang w:val="fr-FR"/>
        </w:rPr>
      </w:pPr>
    </w:p>
    <w:p w14:paraId="74B5EB32" w14:textId="77777777" w:rsidR="00302854" w:rsidRPr="00302854" w:rsidRDefault="00302854" w:rsidP="00302854">
      <w:pPr>
        <w:jc w:val="both"/>
        <w:rPr>
          <w:rFonts w:ascii="Cambria" w:hAnsi="Cambria"/>
          <w:color w:val="000000" w:themeColor="text1"/>
          <w:sz w:val="20"/>
          <w:szCs w:val="20"/>
          <w:lang w:val="fr-FR"/>
        </w:rPr>
      </w:pPr>
    </w:p>
    <w:p w14:paraId="020CC0F9" w14:textId="77777777" w:rsidR="00302854" w:rsidRPr="007B779F" w:rsidRDefault="00302854" w:rsidP="00302854">
      <w:pPr>
        <w:pStyle w:val="Caption"/>
        <w:rPr>
          <w:rFonts w:ascii="Cambria" w:hAnsi="Cambria"/>
          <w:color w:val="000000" w:themeColor="text1"/>
          <w:sz w:val="20"/>
          <w:szCs w:val="20"/>
        </w:rPr>
      </w:pPr>
      <w:r w:rsidRPr="007B779F">
        <w:rPr>
          <w:rFonts w:ascii="Cambria" w:hAnsi="Cambria"/>
          <w:b/>
          <w:i w:val="0"/>
          <w:color w:val="000000" w:themeColor="text1"/>
          <w:sz w:val="20"/>
          <w:szCs w:val="20"/>
        </w:rPr>
        <w:t xml:space="preserve">Tableau 19.9.3. </w:t>
      </w:r>
      <w:r w:rsidRPr="007B779F">
        <w:rPr>
          <w:rFonts w:ascii="Cambria" w:hAnsi="Cambria"/>
          <w:i w:val="0"/>
          <w:color w:val="000000" w:themeColor="text1"/>
          <w:sz w:val="20"/>
          <w:szCs w:val="20"/>
        </w:rPr>
        <w:t>Spécifications du modèle dynamique de la biomasse ; où « t » est l'année de l'itération de la procédure de gestion pour établir le TAC pour les années t+1, t+2 et t+3.</w:t>
      </w:r>
    </w:p>
    <w:tbl>
      <w:tblPr>
        <w:tblStyle w:val="TableGrid"/>
        <w:tblW w:w="7792" w:type="dxa"/>
        <w:jc w:val="center"/>
        <w:tblInd w:w="0" w:type="dxa"/>
        <w:tblLook w:val="04A0" w:firstRow="1" w:lastRow="0" w:firstColumn="1" w:lastColumn="0" w:noHBand="0" w:noVBand="1"/>
      </w:tblPr>
      <w:tblGrid>
        <w:gridCol w:w="1555"/>
        <w:gridCol w:w="2469"/>
        <w:gridCol w:w="3768"/>
      </w:tblGrid>
      <w:tr w:rsidR="00302854" w:rsidRPr="007B779F" w14:paraId="57F979E3" w14:textId="77777777" w:rsidTr="00A45A18">
        <w:trPr>
          <w:jc w:val="center"/>
        </w:trPr>
        <w:tc>
          <w:tcPr>
            <w:tcW w:w="1555" w:type="dxa"/>
          </w:tcPr>
          <w:p w14:paraId="3E53C1D6" w14:textId="77777777" w:rsidR="00302854" w:rsidRPr="007B779F" w:rsidRDefault="00302854" w:rsidP="00A45A18">
            <w:pPr>
              <w:rPr>
                <w:rFonts w:ascii="Cambria" w:hAnsi="Cambria"/>
                <w:b/>
                <w:bCs/>
                <w:i/>
                <w:iCs/>
                <w:color w:val="000000" w:themeColor="text1"/>
                <w:sz w:val="20"/>
                <w:szCs w:val="20"/>
              </w:rPr>
            </w:pPr>
            <w:r w:rsidRPr="007B779F">
              <w:rPr>
                <w:rFonts w:ascii="Cambria" w:hAnsi="Cambria"/>
                <w:b/>
                <w:i/>
                <w:color w:val="000000" w:themeColor="text1"/>
                <w:sz w:val="20"/>
                <w:szCs w:val="20"/>
              </w:rPr>
              <w:t>Logiciel</w:t>
            </w:r>
          </w:p>
        </w:tc>
        <w:tc>
          <w:tcPr>
            <w:tcW w:w="2469" w:type="dxa"/>
          </w:tcPr>
          <w:p w14:paraId="2E3FFD1F" w14:textId="77777777" w:rsidR="00302854" w:rsidRPr="007B779F" w:rsidRDefault="00302854" w:rsidP="00A45A18">
            <w:pPr>
              <w:rPr>
                <w:rFonts w:ascii="Cambria" w:hAnsi="Cambria"/>
                <w:b/>
                <w:bCs/>
                <w:i/>
                <w:iCs/>
                <w:color w:val="000000" w:themeColor="text1"/>
                <w:sz w:val="20"/>
                <w:szCs w:val="20"/>
              </w:rPr>
            </w:pPr>
            <w:r w:rsidRPr="007B779F">
              <w:rPr>
                <w:rFonts w:ascii="Cambria" w:hAnsi="Cambria"/>
                <w:b/>
                <w:i/>
                <w:color w:val="000000" w:themeColor="text1"/>
                <w:sz w:val="20"/>
                <w:szCs w:val="20"/>
              </w:rPr>
              <w:t>Modèle</w:t>
            </w:r>
          </w:p>
        </w:tc>
        <w:tc>
          <w:tcPr>
            <w:tcW w:w="3768" w:type="dxa"/>
          </w:tcPr>
          <w:p w14:paraId="67DE5897" w14:textId="77777777" w:rsidR="00302854" w:rsidRPr="007B779F" w:rsidRDefault="00302854" w:rsidP="00A45A18">
            <w:pPr>
              <w:rPr>
                <w:rFonts w:ascii="Cambria" w:hAnsi="Cambria"/>
                <w:b/>
                <w:bCs/>
                <w:i/>
                <w:iCs/>
                <w:color w:val="000000" w:themeColor="text1"/>
                <w:sz w:val="20"/>
                <w:szCs w:val="20"/>
              </w:rPr>
            </w:pPr>
            <w:r w:rsidRPr="007B779F">
              <w:rPr>
                <w:rFonts w:ascii="Cambria" w:hAnsi="Cambria"/>
                <w:b/>
                <w:i/>
                <w:color w:val="000000" w:themeColor="text1"/>
                <w:sz w:val="20"/>
                <w:szCs w:val="20"/>
              </w:rPr>
              <w:t>Séries de capture</w:t>
            </w:r>
          </w:p>
        </w:tc>
      </w:tr>
      <w:tr w:rsidR="00302854" w:rsidRPr="00302854" w14:paraId="4CDAF2D0" w14:textId="77777777" w:rsidTr="00A45A18">
        <w:trPr>
          <w:jc w:val="center"/>
        </w:trPr>
        <w:tc>
          <w:tcPr>
            <w:tcW w:w="1555" w:type="dxa"/>
          </w:tcPr>
          <w:p w14:paraId="18C5DBEC" w14:textId="77777777" w:rsidR="00302854" w:rsidRPr="007B779F" w:rsidRDefault="00302854" w:rsidP="00A45A18">
            <w:pPr>
              <w:rPr>
                <w:rFonts w:ascii="Cambria" w:hAnsi="Cambria"/>
                <w:color w:val="000000" w:themeColor="text1"/>
                <w:sz w:val="20"/>
                <w:szCs w:val="20"/>
              </w:rPr>
            </w:pPr>
            <w:proofErr w:type="spellStart"/>
            <w:r w:rsidRPr="007B779F">
              <w:rPr>
                <w:rFonts w:ascii="Cambria" w:hAnsi="Cambria"/>
                <w:color w:val="000000" w:themeColor="text1"/>
                <w:sz w:val="20"/>
                <w:szCs w:val="20"/>
              </w:rPr>
              <w:t>SPiCT</w:t>
            </w:r>
            <w:proofErr w:type="spellEnd"/>
          </w:p>
        </w:tc>
        <w:tc>
          <w:tcPr>
            <w:tcW w:w="2469" w:type="dxa"/>
          </w:tcPr>
          <w:p w14:paraId="7992BA22" w14:textId="77777777" w:rsidR="00302854" w:rsidRPr="007B779F" w:rsidRDefault="00302854" w:rsidP="00A45A18">
            <w:pPr>
              <w:rPr>
                <w:rFonts w:ascii="Cambria" w:hAnsi="Cambria"/>
                <w:color w:val="000000" w:themeColor="text1"/>
                <w:sz w:val="20"/>
                <w:szCs w:val="20"/>
              </w:rPr>
            </w:pPr>
            <w:r w:rsidRPr="007B779F">
              <w:rPr>
                <w:rFonts w:ascii="Cambria" w:hAnsi="Cambria"/>
                <w:color w:val="000000" w:themeColor="text1"/>
                <w:sz w:val="20"/>
                <w:szCs w:val="20"/>
              </w:rPr>
              <w:t>Modèle de production excédentaire</w:t>
            </w:r>
          </w:p>
        </w:tc>
        <w:tc>
          <w:tcPr>
            <w:tcW w:w="3768" w:type="dxa"/>
          </w:tcPr>
          <w:p w14:paraId="0CFB9C8C" w14:textId="77777777" w:rsidR="00302854" w:rsidRPr="007B779F" w:rsidRDefault="00302854" w:rsidP="00A45A18">
            <w:pPr>
              <w:rPr>
                <w:rFonts w:ascii="Cambria" w:hAnsi="Cambria"/>
                <w:color w:val="000000" w:themeColor="text1"/>
                <w:sz w:val="20"/>
                <w:szCs w:val="20"/>
              </w:rPr>
            </w:pPr>
            <w:r w:rsidRPr="007B779F">
              <w:rPr>
                <w:rFonts w:ascii="Cambria" w:hAnsi="Cambria"/>
                <w:color w:val="000000" w:themeColor="text1"/>
                <w:sz w:val="20"/>
                <w:szCs w:val="20"/>
              </w:rPr>
              <w:t>Début en 1930</w:t>
            </w:r>
          </w:p>
          <w:p w14:paraId="2BB15371" w14:textId="77777777" w:rsidR="00302854" w:rsidRPr="007B779F" w:rsidRDefault="00302854" w:rsidP="00A45A18">
            <w:pPr>
              <w:keepNext/>
              <w:rPr>
                <w:rFonts w:ascii="Cambria" w:hAnsi="Cambria"/>
                <w:color w:val="000000" w:themeColor="text1"/>
                <w:sz w:val="20"/>
                <w:szCs w:val="20"/>
              </w:rPr>
            </w:pPr>
            <w:r w:rsidRPr="007B779F">
              <w:rPr>
                <w:rFonts w:ascii="Cambria" w:hAnsi="Cambria"/>
                <w:color w:val="000000" w:themeColor="text1"/>
                <w:sz w:val="20"/>
                <w:szCs w:val="20"/>
              </w:rPr>
              <w:t xml:space="preserve">Année finale : t-1 </w:t>
            </w:r>
          </w:p>
        </w:tc>
      </w:tr>
    </w:tbl>
    <w:p w14:paraId="06A1EA76" w14:textId="77777777" w:rsidR="00302854" w:rsidRPr="00302854" w:rsidRDefault="00302854" w:rsidP="00302854">
      <w:pPr>
        <w:rPr>
          <w:rFonts w:ascii="Cambria" w:hAnsi="Cambria"/>
          <w:color w:val="000000" w:themeColor="text1"/>
          <w:sz w:val="20"/>
          <w:szCs w:val="20"/>
          <w:lang w:val="fr-FR"/>
        </w:rPr>
      </w:pPr>
    </w:p>
    <w:p w14:paraId="0CAC5CA1" w14:textId="77777777" w:rsidR="00302854" w:rsidRPr="007B779F" w:rsidRDefault="00302854" w:rsidP="00302854">
      <w:pPr>
        <w:pStyle w:val="Caption"/>
        <w:jc w:val="both"/>
        <w:rPr>
          <w:rFonts w:ascii="Cambria" w:hAnsi="Cambria"/>
          <w:color w:val="000000" w:themeColor="text1"/>
          <w:sz w:val="20"/>
          <w:szCs w:val="20"/>
        </w:rPr>
      </w:pPr>
      <w:r w:rsidRPr="007B779F">
        <w:rPr>
          <w:rFonts w:ascii="Cambria" w:hAnsi="Cambria"/>
          <w:b/>
          <w:i w:val="0"/>
          <w:color w:val="000000" w:themeColor="text1"/>
          <w:sz w:val="20"/>
          <w:szCs w:val="20"/>
        </w:rPr>
        <w:t xml:space="preserve">Tableau 19.9.4. </w:t>
      </w:r>
      <w:r w:rsidRPr="007B779F">
        <w:rPr>
          <w:rFonts w:ascii="Cambria" w:hAnsi="Cambria"/>
          <w:i w:val="0"/>
          <w:color w:val="000000" w:themeColor="text1"/>
          <w:sz w:val="20"/>
          <w:szCs w:val="20"/>
        </w:rPr>
        <w:t>Indices de CPUE et leurs années de départ ; où « t » est l'année de l'itération de la MP pour l’établissement du TAC pour les années t+1, t+2 et t+3.</w:t>
      </w:r>
    </w:p>
    <w:tbl>
      <w:tblPr>
        <w:tblStyle w:val="TableGrid"/>
        <w:tblW w:w="0" w:type="auto"/>
        <w:tblInd w:w="0" w:type="dxa"/>
        <w:tblLook w:val="04A0" w:firstRow="1" w:lastRow="0" w:firstColumn="1" w:lastColumn="0" w:noHBand="0" w:noVBand="1"/>
      </w:tblPr>
      <w:tblGrid>
        <w:gridCol w:w="3005"/>
        <w:gridCol w:w="3006"/>
        <w:gridCol w:w="3006"/>
      </w:tblGrid>
      <w:tr w:rsidR="00302854" w:rsidRPr="007B779F" w14:paraId="21BAFB8A" w14:textId="77777777" w:rsidTr="00A45A18">
        <w:tc>
          <w:tcPr>
            <w:tcW w:w="3005" w:type="dxa"/>
          </w:tcPr>
          <w:p w14:paraId="4B6A42F6" w14:textId="77777777" w:rsidR="00302854" w:rsidRPr="007B779F" w:rsidRDefault="00302854" w:rsidP="00A45A18">
            <w:pPr>
              <w:rPr>
                <w:rFonts w:ascii="Cambria" w:hAnsi="Cambria"/>
                <w:b/>
                <w:bCs/>
                <w:i/>
                <w:iCs/>
                <w:color w:val="000000" w:themeColor="text1"/>
                <w:sz w:val="20"/>
                <w:szCs w:val="20"/>
              </w:rPr>
            </w:pPr>
            <w:r w:rsidRPr="007B779F">
              <w:rPr>
                <w:rFonts w:ascii="Cambria" w:hAnsi="Cambria"/>
                <w:b/>
                <w:i/>
                <w:color w:val="000000" w:themeColor="text1"/>
                <w:sz w:val="20"/>
                <w:szCs w:val="20"/>
              </w:rPr>
              <w:t>Indice</w:t>
            </w:r>
          </w:p>
        </w:tc>
        <w:tc>
          <w:tcPr>
            <w:tcW w:w="3006" w:type="dxa"/>
          </w:tcPr>
          <w:p w14:paraId="4697B33B" w14:textId="77777777" w:rsidR="00302854" w:rsidRPr="007B779F" w:rsidRDefault="00302854" w:rsidP="00A45A18">
            <w:pPr>
              <w:jc w:val="center"/>
              <w:rPr>
                <w:rFonts w:ascii="Cambria" w:hAnsi="Cambria"/>
                <w:b/>
                <w:bCs/>
                <w:i/>
                <w:iCs/>
                <w:color w:val="000000" w:themeColor="text1"/>
                <w:sz w:val="20"/>
                <w:szCs w:val="20"/>
              </w:rPr>
            </w:pPr>
            <w:r w:rsidRPr="007B779F">
              <w:rPr>
                <w:rFonts w:ascii="Cambria" w:hAnsi="Cambria"/>
                <w:b/>
                <w:i/>
                <w:color w:val="000000" w:themeColor="text1"/>
                <w:sz w:val="20"/>
                <w:szCs w:val="20"/>
              </w:rPr>
              <w:t>Première année</w:t>
            </w:r>
          </w:p>
        </w:tc>
        <w:tc>
          <w:tcPr>
            <w:tcW w:w="3006" w:type="dxa"/>
          </w:tcPr>
          <w:p w14:paraId="44C3AC6F" w14:textId="77777777" w:rsidR="00302854" w:rsidRPr="007B779F" w:rsidRDefault="00302854" w:rsidP="00A45A18">
            <w:pPr>
              <w:rPr>
                <w:rFonts w:ascii="Cambria" w:hAnsi="Cambria"/>
                <w:b/>
                <w:bCs/>
                <w:i/>
                <w:iCs/>
                <w:color w:val="000000" w:themeColor="text1"/>
                <w:sz w:val="20"/>
                <w:szCs w:val="20"/>
              </w:rPr>
            </w:pPr>
            <w:r w:rsidRPr="007B779F">
              <w:rPr>
                <w:rFonts w:ascii="Cambria" w:hAnsi="Cambria"/>
                <w:b/>
                <w:i/>
                <w:color w:val="000000" w:themeColor="text1"/>
                <w:sz w:val="20"/>
                <w:szCs w:val="20"/>
              </w:rPr>
              <w:t>Année finale</w:t>
            </w:r>
          </w:p>
        </w:tc>
      </w:tr>
      <w:tr w:rsidR="00302854" w:rsidRPr="007B779F" w14:paraId="1857AA98" w14:textId="77777777" w:rsidTr="00A45A18">
        <w:tc>
          <w:tcPr>
            <w:tcW w:w="3005" w:type="dxa"/>
          </w:tcPr>
          <w:p w14:paraId="1D508F1D" w14:textId="77777777" w:rsidR="00302854" w:rsidRPr="007B779F" w:rsidRDefault="00302854" w:rsidP="00A45A18">
            <w:pPr>
              <w:rPr>
                <w:rFonts w:ascii="Cambria" w:hAnsi="Cambria"/>
                <w:color w:val="000000" w:themeColor="text1"/>
                <w:sz w:val="20"/>
                <w:szCs w:val="20"/>
              </w:rPr>
            </w:pPr>
            <w:r w:rsidRPr="007B779F">
              <w:rPr>
                <w:rFonts w:ascii="Cambria" w:hAnsi="Cambria"/>
                <w:color w:val="000000" w:themeColor="text1"/>
                <w:sz w:val="20"/>
                <w:szCs w:val="20"/>
              </w:rPr>
              <w:t>Palangriers du Venezuela</w:t>
            </w:r>
          </w:p>
        </w:tc>
        <w:tc>
          <w:tcPr>
            <w:tcW w:w="3006" w:type="dxa"/>
          </w:tcPr>
          <w:p w14:paraId="368F04EE" w14:textId="77777777" w:rsidR="00302854" w:rsidRPr="007B779F" w:rsidRDefault="00302854" w:rsidP="00A45A18">
            <w:pPr>
              <w:jc w:val="center"/>
              <w:rPr>
                <w:rFonts w:ascii="Cambria" w:hAnsi="Cambria"/>
                <w:color w:val="000000" w:themeColor="text1"/>
                <w:sz w:val="20"/>
                <w:szCs w:val="20"/>
              </w:rPr>
            </w:pPr>
            <w:r w:rsidRPr="007B779F">
              <w:rPr>
                <w:rFonts w:ascii="Cambria" w:hAnsi="Cambria"/>
                <w:color w:val="000000" w:themeColor="text1"/>
                <w:sz w:val="20"/>
                <w:szCs w:val="20"/>
              </w:rPr>
              <w:t>1991</w:t>
            </w:r>
          </w:p>
        </w:tc>
        <w:tc>
          <w:tcPr>
            <w:tcW w:w="3006" w:type="dxa"/>
          </w:tcPr>
          <w:p w14:paraId="27BCFD8C" w14:textId="77777777" w:rsidR="00302854" w:rsidRPr="007B779F" w:rsidRDefault="00302854" w:rsidP="00A45A18">
            <w:pPr>
              <w:rPr>
                <w:rFonts w:ascii="Cambria" w:hAnsi="Cambria"/>
                <w:color w:val="000000" w:themeColor="text1"/>
                <w:sz w:val="20"/>
                <w:szCs w:val="20"/>
              </w:rPr>
            </w:pPr>
            <w:r w:rsidRPr="007B779F">
              <w:rPr>
                <w:rFonts w:ascii="Cambria" w:hAnsi="Cambria"/>
                <w:color w:val="000000" w:themeColor="text1"/>
                <w:sz w:val="20"/>
                <w:szCs w:val="20"/>
              </w:rPr>
              <w:t>2017</w:t>
            </w:r>
          </w:p>
        </w:tc>
      </w:tr>
      <w:tr w:rsidR="00302854" w:rsidRPr="007B779F" w14:paraId="0AF86B7C" w14:textId="77777777" w:rsidTr="00A45A18">
        <w:tc>
          <w:tcPr>
            <w:tcW w:w="3005" w:type="dxa"/>
          </w:tcPr>
          <w:p w14:paraId="76384EAD" w14:textId="77777777" w:rsidR="00302854" w:rsidRPr="007B779F" w:rsidRDefault="00302854" w:rsidP="00A45A18">
            <w:pPr>
              <w:rPr>
                <w:rFonts w:ascii="Cambria" w:hAnsi="Cambria"/>
                <w:color w:val="000000" w:themeColor="text1"/>
                <w:sz w:val="20"/>
                <w:szCs w:val="20"/>
              </w:rPr>
            </w:pPr>
            <w:r w:rsidRPr="007B779F">
              <w:rPr>
                <w:rFonts w:ascii="Cambria" w:hAnsi="Cambria"/>
                <w:color w:val="000000" w:themeColor="text1"/>
                <w:sz w:val="20"/>
                <w:szCs w:val="20"/>
              </w:rPr>
              <w:t>Palangriers des États-Unis Nord</w:t>
            </w:r>
          </w:p>
        </w:tc>
        <w:tc>
          <w:tcPr>
            <w:tcW w:w="3006" w:type="dxa"/>
          </w:tcPr>
          <w:p w14:paraId="692F2B4C" w14:textId="77777777" w:rsidR="00302854" w:rsidRPr="007B779F" w:rsidRDefault="00302854" w:rsidP="00A45A18">
            <w:pPr>
              <w:jc w:val="center"/>
              <w:rPr>
                <w:rFonts w:ascii="Cambria" w:hAnsi="Cambria"/>
                <w:color w:val="000000" w:themeColor="text1"/>
                <w:sz w:val="20"/>
                <w:szCs w:val="20"/>
              </w:rPr>
            </w:pPr>
            <w:r w:rsidRPr="007B779F">
              <w:rPr>
                <w:rFonts w:ascii="Cambria" w:hAnsi="Cambria"/>
                <w:color w:val="000000" w:themeColor="text1"/>
                <w:sz w:val="20"/>
                <w:szCs w:val="20"/>
              </w:rPr>
              <w:t>1987</w:t>
            </w:r>
          </w:p>
        </w:tc>
        <w:tc>
          <w:tcPr>
            <w:tcW w:w="3006" w:type="dxa"/>
          </w:tcPr>
          <w:p w14:paraId="519CE48A" w14:textId="77777777" w:rsidR="00302854" w:rsidRPr="007B779F" w:rsidRDefault="00302854" w:rsidP="00A45A18">
            <w:pPr>
              <w:rPr>
                <w:rFonts w:ascii="Cambria" w:hAnsi="Cambria"/>
                <w:color w:val="000000" w:themeColor="text1"/>
                <w:sz w:val="20"/>
                <w:szCs w:val="20"/>
              </w:rPr>
            </w:pPr>
            <w:proofErr w:type="gramStart"/>
            <w:r w:rsidRPr="007B779F">
              <w:rPr>
                <w:rFonts w:ascii="Cambria" w:hAnsi="Cambria"/>
                <w:color w:val="000000" w:themeColor="text1"/>
                <w:sz w:val="20"/>
                <w:szCs w:val="20"/>
              </w:rPr>
              <w:t>t</w:t>
            </w:r>
            <w:proofErr w:type="gramEnd"/>
            <w:r w:rsidRPr="007B779F">
              <w:rPr>
                <w:rFonts w:ascii="Cambria" w:hAnsi="Cambria"/>
                <w:color w:val="000000" w:themeColor="text1"/>
                <w:sz w:val="20"/>
                <w:szCs w:val="20"/>
              </w:rPr>
              <w:t xml:space="preserve">-1  </w:t>
            </w:r>
          </w:p>
        </w:tc>
      </w:tr>
      <w:tr w:rsidR="00302854" w:rsidRPr="007B779F" w14:paraId="31C6B971" w14:textId="77777777" w:rsidTr="00A45A18">
        <w:tc>
          <w:tcPr>
            <w:tcW w:w="3005" w:type="dxa"/>
          </w:tcPr>
          <w:p w14:paraId="7740365B" w14:textId="77777777" w:rsidR="00302854" w:rsidRPr="007B779F" w:rsidRDefault="00302854" w:rsidP="00A45A18">
            <w:pPr>
              <w:rPr>
                <w:rFonts w:ascii="Cambria" w:hAnsi="Cambria"/>
                <w:color w:val="000000" w:themeColor="text1"/>
                <w:sz w:val="20"/>
                <w:szCs w:val="20"/>
              </w:rPr>
            </w:pPr>
            <w:r w:rsidRPr="007B779F">
              <w:rPr>
                <w:rFonts w:ascii="Cambria" w:hAnsi="Cambria"/>
                <w:color w:val="000000" w:themeColor="text1"/>
                <w:sz w:val="20"/>
                <w:szCs w:val="20"/>
              </w:rPr>
              <w:t>Palangriers des États-Unis Sud</w:t>
            </w:r>
          </w:p>
        </w:tc>
        <w:tc>
          <w:tcPr>
            <w:tcW w:w="3006" w:type="dxa"/>
          </w:tcPr>
          <w:p w14:paraId="757237BE" w14:textId="77777777" w:rsidR="00302854" w:rsidRPr="007B779F" w:rsidRDefault="00302854" w:rsidP="00A45A18">
            <w:pPr>
              <w:jc w:val="center"/>
              <w:rPr>
                <w:rFonts w:ascii="Cambria" w:hAnsi="Cambria"/>
                <w:color w:val="000000" w:themeColor="text1"/>
                <w:sz w:val="20"/>
                <w:szCs w:val="20"/>
              </w:rPr>
            </w:pPr>
            <w:r w:rsidRPr="007B779F">
              <w:rPr>
                <w:rFonts w:ascii="Cambria" w:hAnsi="Cambria"/>
                <w:color w:val="000000" w:themeColor="text1"/>
                <w:sz w:val="20"/>
                <w:szCs w:val="20"/>
              </w:rPr>
              <w:t>1987</w:t>
            </w:r>
          </w:p>
        </w:tc>
        <w:tc>
          <w:tcPr>
            <w:tcW w:w="3006" w:type="dxa"/>
          </w:tcPr>
          <w:p w14:paraId="39D16970" w14:textId="77777777" w:rsidR="00302854" w:rsidRPr="007B779F" w:rsidRDefault="00302854" w:rsidP="00A45A18">
            <w:pPr>
              <w:rPr>
                <w:rFonts w:ascii="Cambria" w:hAnsi="Cambria"/>
                <w:color w:val="000000" w:themeColor="text1"/>
                <w:sz w:val="20"/>
                <w:szCs w:val="20"/>
              </w:rPr>
            </w:pPr>
            <w:proofErr w:type="gramStart"/>
            <w:r w:rsidRPr="007B779F">
              <w:rPr>
                <w:rFonts w:ascii="Cambria" w:hAnsi="Cambria"/>
                <w:color w:val="000000" w:themeColor="text1"/>
                <w:sz w:val="20"/>
                <w:szCs w:val="20"/>
              </w:rPr>
              <w:t>t</w:t>
            </w:r>
            <w:proofErr w:type="gramEnd"/>
            <w:r w:rsidRPr="007B779F">
              <w:rPr>
                <w:rFonts w:ascii="Cambria" w:hAnsi="Cambria"/>
                <w:color w:val="000000" w:themeColor="text1"/>
                <w:sz w:val="20"/>
                <w:szCs w:val="20"/>
              </w:rPr>
              <w:t xml:space="preserve">-1  </w:t>
            </w:r>
          </w:p>
        </w:tc>
      </w:tr>
      <w:tr w:rsidR="00302854" w:rsidRPr="007B779F" w14:paraId="3C265B8B" w14:textId="77777777" w:rsidTr="00A45A18">
        <w:tc>
          <w:tcPr>
            <w:tcW w:w="3005" w:type="dxa"/>
          </w:tcPr>
          <w:p w14:paraId="2FC4F008" w14:textId="77777777" w:rsidR="00302854" w:rsidRPr="007B779F" w:rsidRDefault="00302854" w:rsidP="00A45A18">
            <w:pPr>
              <w:rPr>
                <w:rFonts w:ascii="Cambria" w:hAnsi="Cambria"/>
                <w:color w:val="000000" w:themeColor="text1"/>
                <w:sz w:val="20"/>
                <w:szCs w:val="20"/>
              </w:rPr>
            </w:pPr>
            <w:r w:rsidRPr="007B779F">
              <w:rPr>
                <w:rFonts w:ascii="Cambria" w:hAnsi="Cambria"/>
                <w:color w:val="000000" w:themeColor="text1"/>
                <w:sz w:val="20"/>
                <w:szCs w:val="20"/>
              </w:rPr>
              <w:t xml:space="preserve">Fin de la série LL Nord du Taipei chinois </w:t>
            </w:r>
          </w:p>
        </w:tc>
        <w:tc>
          <w:tcPr>
            <w:tcW w:w="3006" w:type="dxa"/>
          </w:tcPr>
          <w:p w14:paraId="31391D6D" w14:textId="77777777" w:rsidR="00302854" w:rsidRPr="007B779F" w:rsidRDefault="00302854" w:rsidP="00A45A18">
            <w:pPr>
              <w:jc w:val="center"/>
              <w:rPr>
                <w:rFonts w:ascii="Cambria" w:hAnsi="Cambria"/>
                <w:color w:val="000000" w:themeColor="text1"/>
                <w:sz w:val="20"/>
                <w:szCs w:val="20"/>
              </w:rPr>
            </w:pPr>
            <w:r w:rsidRPr="007B779F">
              <w:rPr>
                <w:rFonts w:ascii="Cambria" w:hAnsi="Cambria"/>
                <w:color w:val="000000" w:themeColor="text1"/>
                <w:sz w:val="20"/>
                <w:szCs w:val="20"/>
              </w:rPr>
              <w:t>1999</w:t>
            </w:r>
          </w:p>
        </w:tc>
        <w:tc>
          <w:tcPr>
            <w:tcW w:w="3006" w:type="dxa"/>
          </w:tcPr>
          <w:p w14:paraId="772AB31D" w14:textId="77777777" w:rsidR="00302854" w:rsidRPr="007B779F" w:rsidRDefault="00302854" w:rsidP="00A45A18">
            <w:pPr>
              <w:rPr>
                <w:rFonts w:ascii="Cambria" w:hAnsi="Cambria"/>
                <w:color w:val="000000" w:themeColor="text1"/>
                <w:sz w:val="20"/>
                <w:szCs w:val="20"/>
              </w:rPr>
            </w:pPr>
            <w:proofErr w:type="gramStart"/>
            <w:r w:rsidRPr="007B779F">
              <w:rPr>
                <w:rFonts w:ascii="Cambria" w:hAnsi="Cambria"/>
                <w:color w:val="000000" w:themeColor="text1"/>
                <w:sz w:val="20"/>
                <w:szCs w:val="20"/>
              </w:rPr>
              <w:t>t</w:t>
            </w:r>
            <w:proofErr w:type="gramEnd"/>
            <w:r w:rsidRPr="007B779F">
              <w:rPr>
                <w:rFonts w:ascii="Cambria" w:hAnsi="Cambria"/>
                <w:color w:val="000000" w:themeColor="text1"/>
                <w:sz w:val="20"/>
                <w:szCs w:val="20"/>
              </w:rPr>
              <w:t xml:space="preserve">-1  </w:t>
            </w:r>
          </w:p>
        </w:tc>
      </w:tr>
      <w:tr w:rsidR="00302854" w:rsidRPr="007B779F" w14:paraId="4A6AB68A" w14:textId="77777777" w:rsidTr="00A45A18">
        <w:tc>
          <w:tcPr>
            <w:tcW w:w="3005" w:type="dxa"/>
          </w:tcPr>
          <w:p w14:paraId="2692AEA7" w14:textId="77777777" w:rsidR="00302854" w:rsidRPr="007B779F" w:rsidRDefault="00302854" w:rsidP="00A45A18">
            <w:pPr>
              <w:rPr>
                <w:rFonts w:ascii="Cambria" w:hAnsi="Cambria"/>
                <w:color w:val="000000" w:themeColor="text1"/>
                <w:sz w:val="20"/>
                <w:szCs w:val="20"/>
              </w:rPr>
            </w:pPr>
            <w:r w:rsidRPr="007B779F">
              <w:rPr>
                <w:rFonts w:ascii="Cambria" w:hAnsi="Cambria"/>
                <w:color w:val="000000" w:themeColor="text1"/>
                <w:sz w:val="20"/>
                <w:szCs w:val="20"/>
              </w:rPr>
              <w:t xml:space="preserve">Fin de la série LL Sud du Taipei chinois </w:t>
            </w:r>
          </w:p>
        </w:tc>
        <w:tc>
          <w:tcPr>
            <w:tcW w:w="3006" w:type="dxa"/>
          </w:tcPr>
          <w:p w14:paraId="6442F743" w14:textId="77777777" w:rsidR="00302854" w:rsidRPr="007B779F" w:rsidRDefault="00302854" w:rsidP="00A45A18">
            <w:pPr>
              <w:jc w:val="center"/>
              <w:rPr>
                <w:rFonts w:ascii="Cambria" w:hAnsi="Cambria"/>
                <w:color w:val="000000" w:themeColor="text1"/>
                <w:sz w:val="20"/>
                <w:szCs w:val="20"/>
              </w:rPr>
            </w:pPr>
            <w:r w:rsidRPr="007B779F">
              <w:rPr>
                <w:rFonts w:ascii="Cambria" w:hAnsi="Cambria"/>
                <w:color w:val="000000" w:themeColor="text1"/>
                <w:sz w:val="20"/>
                <w:szCs w:val="20"/>
              </w:rPr>
              <w:t>1999</w:t>
            </w:r>
          </w:p>
        </w:tc>
        <w:tc>
          <w:tcPr>
            <w:tcW w:w="3006" w:type="dxa"/>
          </w:tcPr>
          <w:p w14:paraId="7814A0D3" w14:textId="77777777" w:rsidR="00302854" w:rsidRPr="007B779F" w:rsidRDefault="00302854" w:rsidP="00A45A18">
            <w:pPr>
              <w:rPr>
                <w:rFonts w:ascii="Cambria" w:hAnsi="Cambria"/>
                <w:color w:val="000000" w:themeColor="text1"/>
                <w:sz w:val="20"/>
                <w:szCs w:val="20"/>
              </w:rPr>
            </w:pPr>
            <w:proofErr w:type="gramStart"/>
            <w:r w:rsidRPr="007B779F">
              <w:rPr>
                <w:rFonts w:ascii="Cambria" w:hAnsi="Cambria"/>
                <w:color w:val="000000" w:themeColor="text1"/>
                <w:sz w:val="20"/>
                <w:szCs w:val="20"/>
              </w:rPr>
              <w:t>t</w:t>
            </w:r>
            <w:proofErr w:type="gramEnd"/>
            <w:r w:rsidRPr="007B779F">
              <w:rPr>
                <w:rFonts w:ascii="Cambria" w:hAnsi="Cambria"/>
                <w:color w:val="000000" w:themeColor="text1"/>
                <w:sz w:val="20"/>
                <w:szCs w:val="20"/>
              </w:rPr>
              <w:t xml:space="preserve">-1  </w:t>
            </w:r>
          </w:p>
        </w:tc>
      </w:tr>
      <w:tr w:rsidR="00302854" w:rsidRPr="007B779F" w14:paraId="456C9A59" w14:textId="77777777" w:rsidTr="00A45A18">
        <w:tc>
          <w:tcPr>
            <w:tcW w:w="3005" w:type="dxa"/>
          </w:tcPr>
          <w:p w14:paraId="7AE99795" w14:textId="77777777" w:rsidR="00302854" w:rsidRPr="007B779F" w:rsidRDefault="00302854" w:rsidP="00A45A18">
            <w:pPr>
              <w:rPr>
                <w:rFonts w:ascii="Cambria" w:hAnsi="Cambria"/>
                <w:color w:val="000000" w:themeColor="text1"/>
                <w:sz w:val="20"/>
                <w:szCs w:val="20"/>
              </w:rPr>
            </w:pPr>
            <w:r w:rsidRPr="007B779F">
              <w:rPr>
                <w:rFonts w:ascii="Cambria" w:hAnsi="Cambria"/>
                <w:color w:val="000000" w:themeColor="text1"/>
                <w:sz w:val="20"/>
                <w:szCs w:val="20"/>
              </w:rPr>
              <w:t>Fin de la série LL Nord du Japon</w:t>
            </w:r>
          </w:p>
        </w:tc>
        <w:tc>
          <w:tcPr>
            <w:tcW w:w="3006" w:type="dxa"/>
          </w:tcPr>
          <w:p w14:paraId="6E692BF5" w14:textId="77777777" w:rsidR="00302854" w:rsidRPr="007B779F" w:rsidRDefault="00302854" w:rsidP="00A45A18">
            <w:pPr>
              <w:jc w:val="center"/>
              <w:rPr>
                <w:rFonts w:ascii="Cambria" w:hAnsi="Cambria"/>
                <w:color w:val="000000" w:themeColor="text1"/>
                <w:sz w:val="20"/>
                <w:szCs w:val="20"/>
              </w:rPr>
            </w:pPr>
            <w:r w:rsidRPr="007B779F">
              <w:rPr>
                <w:rFonts w:ascii="Cambria" w:hAnsi="Cambria"/>
                <w:color w:val="000000" w:themeColor="text1"/>
                <w:sz w:val="20"/>
                <w:szCs w:val="20"/>
              </w:rPr>
              <w:t>1988</w:t>
            </w:r>
          </w:p>
        </w:tc>
        <w:tc>
          <w:tcPr>
            <w:tcW w:w="3006" w:type="dxa"/>
          </w:tcPr>
          <w:p w14:paraId="53C84785" w14:textId="77777777" w:rsidR="00302854" w:rsidRPr="007B779F" w:rsidRDefault="00302854" w:rsidP="00A45A18">
            <w:pPr>
              <w:rPr>
                <w:rFonts w:ascii="Cambria" w:hAnsi="Cambria"/>
                <w:color w:val="000000" w:themeColor="text1"/>
                <w:sz w:val="20"/>
                <w:szCs w:val="20"/>
              </w:rPr>
            </w:pPr>
            <w:r w:rsidRPr="007B779F">
              <w:rPr>
                <w:rFonts w:ascii="Cambria" w:hAnsi="Cambria"/>
                <w:color w:val="000000" w:themeColor="text1"/>
                <w:sz w:val="20"/>
                <w:szCs w:val="20"/>
              </w:rPr>
              <w:t>2009</w:t>
            </w:r>
          </w:p>
        </w:tc>
      </w:tr>
      <w:tr w:rsidR="00302854" w:rsidRPr="007B779F" w14:paraId="32812DB9" w14:textId="77777777" w:rsidTr="00A45A18">
        <w:tc>
          <w:tcPr>
            <w:tcW w:w="3005" w:type="dxa"/>
          </w:tcPr>
          <w:p w14:paraId="726A2AC9" w14:textId="77777777" w:rsidR="00302854" w:rsidRPr="007B779F" w:rsidRDefault="00302854" w:rsidP="00A45A18">
            <w:pPr>
              <w:rPr>
                <w:rFonts w:ascii="Cambria" w:hAnsi="Cambria"/>
                <w:color w:val="000000" w:themeColor="text1"/>
                <w:sz w:val="20"/>
                <w:szCs w:val="20"/>
              </w:rPr>
            </w:pPr>
            <w:r w:rsidRPr="007B779F">
              <w:rPr>
                <w:rFonts w:ascii="Cambria" w:hAnsi="Cambria"/>
                <w:color w:val="000000" w:themeColor="text1"/>
                <w:sz w:val="20"/>
                <w:szCs w:val="20"/>
              </w:rPr>
              <w:t>Fin de la série LL Sud du Japon</w:t>
            </w:r>
          </w:p>
        </w:tc>
        <w:tc>
          <w:tcPr>
            <w:tcW w:w="3006" w:type="dxa"/>
          </w:tcPr>
          <w:p w14:paraId="6DF854C8" w14:textId="77777777" w:rsidR="00302854" w:rsidRPr="007B779F" w:rsidRDefault="00302854" w:rsidP="00A45A18">
            <w:pPr>
              <w:jc w:val="center"/>
              <w:rPr>
                <w:rFonts w:ascii="Cambria" w:hAnsi="Cambria"/>
                <w:color w:val="000000" w:themeColor="text1"/>
                <w:sz w:val="20"/>
                <w:szCs w:val="20"/>
              </w:rPr>
            </w:pPr>
            <w:r w:rsidRPr="007B779F">
              <w:rPr>
                <w:rFonts w:ascii="Cambria" w:hAnsi="Cambria"/>
                <w:color w:val="000000" w:themeColor="text1"/>
                <w:sz w:val="20"/>
                <w:szCs w:val="20"/>
              </w:rPr>
              <w:t>1988</w:t>
            </w:r>
          </w:p>
        </w:tc>
        <w:tc>
          <w:tcPr>
            <w:tcW w:w="3006" w:type="dxa"/>
          </w:tcPr>
          <w:p w14:paraId="6AD96EEB" w14:textId="77777777" w:rsidR="00302854" w:rsidRPr="007B779F" w:rsidRDefault="00302854" w:rsidP="00A45A18">
            <w:pPr>
              <w:rPr>
                <w:rFonts w:ascii="Cambria" w:hAnsi="Cambria"/>
                <w:color w:val="000000" w:themeColor="text1"/>
                <w:sz w:val="20"/>
                <w:szCs w:val="20"/>
              </w:rPr>
            </w:pPr>
            <w:proofErr w:type="gramStart"/>
            <w:r w:rsidRPr="007B779F">
              <w:rPr>
                <w:rFonts w:ascii="Cambria" w:hAnsi="Cambria"/>
                <w:color w:val="000000" w:themeColor="text1"/>
                <w:sz w:val="20"/>
                <w:szCs w:val="20"/>
              </w:rPr>
              <w:t>t</w:t>
            </w:r>
            <w:proofErr w:type="gramEnd"/>
            <w:r w:rsidRPr="007B779F">
              <w:rPr>
                <w:rFonts w:ascii="Cambria" w:hAnsi="Cambria"/>
                <w:color w:val="000000" w:themeColor="text1"/>
                <w:sz w:val="20"/>
                <w:szCs w:val="20"/>
              </w:rPr>
              <w:t xml:space="preserve">-1  </w:t>
            </w:r>
          </w:p>
        </w:tc>
      </w:tr>
      <w:tr w:rsidR="00302854" w:rsidRPr="007B779F" w14:paraId="298EA7A7" w14:textId="77777777" w:rsidTr="00A45A18">
        <w:tc>
          <w:tcPr>
            <w:tcW w:w="3005" w:type="dxa"/>
          </w:tcPr>
          <w:p w14:paraId="20C3F1E5" w14:textId="77777777" w:rsidR="00302854" w:rsidRPr="007B779F" w:rsidRDefault="00302854" w:rsidP="00A45A18">
            <w:pPr>
              <w:rPr>
                <w:rFonts w:ascii="Cambria" w:hAnsi="Cambria"/>
                <w:color w:val="000000" w:themeColor="text1"/>
                <w:sz w:val="20"/>
                <w:szCs w:val="20"/>
              </w:rPr>
            </w:pPr>
            <w:r w:rsidRPr="007B779F">
              <w:rPr>
                <w:rFonts w:ascii="Cambria" w:hAnsi="Cambria"/>
                <w:color w:val="000000" w:themeColor="text1"/>
                <w:sz w:val="20"/>
                <w:szCs w:val="20"/>
              </w:rPr>
              <w:t>Canneurs UE-Espagne</w:t>
            </w:r>
          </w:p>
        </w:tc>
        <w:tc>
          <w:tcPr>
            <w:tcW w:w="3006" w:type="dxa"/>
          </w:tcPr>
          <w:p w14:paraId="18238FF2" w14:textId="77777777" w:rsidR="00302854" w:rsidRPr="007B779F" w:rsidRDefault="00302854" w:rsidP="00A45A18">
            <w:pPr>
              <w:jc w:val="center"/>
              <w:rPr>
                <w:rFonts w:ascii="Cambria" w:hAnsi="Cambria"/>
                <w:color w:val="000000" w:themeColor="text1"/>
                <w:sz w:val="20"/>
                <w:szCs w:val="20"/>
              </w:rPr>
            </w:pPr>
            <w:r w:rsidRPr="007B779F">
              <w:rPr>
                <w:rFonts w:ascii="Cambria" w:hAnsi="Cambria"/>
                <w:color w:val="000000" w:themeColor="text1"/>
                <w:sz w:val="20"/>
                <w:szCs w:val="20"/>
              </w:rPr>
              <w:t>1981</w:t>
            </w:r>
          </w:p>
        </w:tc>
        <w:tc>
          <w:tcPr>
            <w:tcW w:w="3006" w:type="dxa"/>
          </w:tcPr>
          <w:p w14:paraId="275601C5" w14:textId="77777777" w:rsidR="00302854" w:rsidRPr="007B779F" w:rsidRDefault="00302854" w:rsidP="00A45A18">
            <w:pPr>
              <w:rPr>
                <w:rFonts w:ascii="Cambria" w:hAnsi="Cambria"/>
                <w:color w:val="000000" w:themeColor="text1"/>
                <w:sz w:val="20"/>
                <w:szCs w:val="20"/>
              </w:rPr>
            </w:pPr>
            <w:proofErr w:type="gramStart"/>
            <w:r w:rsidRPr="007B779F">
              <w:rPr>
                <w:rFonts w:ascii="Cambria" w:hAnsi="Cambria"/>
                <w:color w:val="000000" w:themeColor="text1"/>
                <w:sz w:val="20"/>
                <w:szCs w:val="20"/>
              </w:rPr>
              <w:t>t</w:t>
            </w:r>
            <w:proofErr w:type="gramEnd"/>
            <w:r w:rsidRPr="007B779F">
              <w:rPr>
                <w:rFonts w:ascii="Cambria" w:hAnsi="Cambria"/>
                <w:color w:val="000000" w:themeColor="text1"/>
                <w:sz w:val="20"/>
                <w:szCs w:val="20"/>
              </w:rPr>
              <w:t xml:space="preserve">-1  </w:t>
            </w:r>
          </w:p>
        </w:tc>
      </w:tr>
    </w:tbl>
    <w:p w14:paraId="60C27746" w14:textId="33FF8C30" w:rsidR="00302854" w:rsidRDefault="00302854" w:rsidP="00302854">
      <w:pPr>
        <w:pStyle w:val="Caption"/>
        <w:rPr>
          <w:rFonts w:ascii="Cambria" w:hAnsi="Cambria"/>
          <w:i w:val="0"/>
          <w:iCs/>
          <w:sz w:val="20"/>
          <w:szCs w:val="20"/>
        </w:rPr>
      </w:pPr>
    </w:p>
    <w:p w14:paraId="6DB1DF42" w14:textId="77777777" w:rsidR="00302854" w:rsidRDefault="00302854">
      <w:pPr>
        <w:spacing w:after="160" w:line="259" w:lineRule="auto"/>
        <w:rPr>
          <w:rFonts w:ascii="Cambria" w:eastAsiaTheme="minorHAnsi" w:hAnsi="Cambria" w:cstheme="minorBidi"/>
          <w:iCs/>
          <w:sz w:val="20"/>
          <w:szCs w:val="20"/>
          <w:lang w:val="fr-FR"/>
        </w:rPr>
      </w:pPr>
      <w:r>
        <w:rPr>
          <w:rFonts w:ascii="Cambria" w:hAnsi="Cambria"/>
          <w:i/>
          <w:iCs/>
          <w:sz w:val="20"/>
          <w:szCs w:val="20"/>
        </w:rPr>
        <w:br w:type="page"/>
      </w:r>
    </w:p>
    <w:p w14:paraId="45C8660B" w14:textId="7B869CA5" w:rsidR="00302854" w:rsidRPr="00E464DF" w:rsidRDefault="00302854" w:rsidP="00302854">
      <w:pPr>
        <w:pStyle w:val="Caption"/>
        <w:rPr>
          <w:rFonts w:ascii="Cambria" w:hAnsi="Cambria"/>
          <w:sz w:val="20"/>
          <w:szCs w:val="20"/>
        </w:rPr>
      </w:pPr>
      <w:r w:rsidRPr="00E464DF">
        <w:rPr>
          <w:rFonts w:ascii="Cambria" w:hAnsi="Cambria"/>
          <w:sz w:val="20"/>
          <w:szCs w:val="20"/>
        </w:rPr>
        <w:lastRenderedPageBreak/>
        <w:t xml:space="preserve">Germon de la </w:t>
      </w:r>
      <w:r w:rsidR="00E464DF" w:rsidRPr="00E464DF">
        <w:rPr>
          <w:rFonts w:ascii="Cambria" w:hAnsi="Cambria"/>
          <w:sz w:val="20"/>
          <w:szCs w:val="20"/>
        </w:rPr>
        <w:t>Méditerranée</w:t>
      </w:r>
    </w:p>
    <w:p w14:paraId="1F66AED2" w14:textId="77777777" w:rsidR="00302854" w:rsidRPr="00302854" w:rsidRDefault="00302854" w:rsidP="00302854">
      <w:pPr>
        <w:spacing w:after="160" w:line="259" w:lineRule="auto"/>
        <w:rPr>
          <w:rFonts w:ascii="Cambria" w:hAnsi="Cambria"/>
          <w:b/>
          <w:bCs/>
          <w:sz w:val="20"/>
          <w:szCs w:val="20"/>
          <w:lang w:val="fr-FR"/>
        </w:rPr>
      </w:pPr>
      <w:r w:rsidRPr="00302854">
        <w:rPr>
          <w:rFonts w:ascii="Cambria" w:hAnsi="Cambria"/>
          <w:b/>
          <w:bCs/>
          <w:i/>
          <w:iCs/>
          <w:sz w:val="20"/>
          <w:szCs w:val="20"/>
          <w:lang w:val="fr-FR"/>
        </w:rPr>
        <w:t xml:space="preserve">19.10 Le SCRS fournira une évaluation actualisée de l’état du stock sur la base des données les plus récentes disponibles, </w:t>
      </w:r>
      <w:hyperlink r:id="rId21" w:history="1">
        <w:r w:rsidRPr="00302854">
          <w:rPr>
            <w:rStyle w:val="Hyperlink"/>
            <w:rFonts w:ascii="Cambria" w:hAnsi="Cambria"/>
            <w:b/>
            <w:i/>
            <w:sz w:val="20"/>
            <w:szCs w:val="20"/>
            <w:u w:val="none"/>
            <w:lang w:val="fr-FR"/>
          </w:rPr>
          <w:t>Rec. 24-08</w:t>
        </w:r>
      </w:hyperlink>
      <w:r w:rsidRPr="00302854">
        <w:rPr>
          <w:rFonts w:ascii="Cambria" w:hAnsi="Cambria"/>
          <w:b/>
          <w:bCs/>
          <w:i/>
          <w:iCs/>
          <w:sz w:val="20"/>
          <w:szCs w:val="20"/>
          <w:lang w:val="fr-FR"/>
        </w:rPr>
        <w:t xml:space="preserve">, paragraphe 11 </w:t>
      </w:r>
    </w:p>
    <w:p w14:paraId="414D6177" w14:textId="77777777" w:rsidR="00302854" w:rsidRPr="00302854" w:rsidRDefault="00302854" w:rsidP="00302854">
      <w:pPr>
        <w:widowControl w:val="0"/>
        <w:ind w:right="-2"/>
        <w:jc w:val="both"/>
        <w:rPr>
          <w:rFonts w:ascii="Cambria" w:eastAsia="Calibri" w:hAnsi="Cambria" w:cs="Cambria"/>
          <w:i/>
          <w:iCs/>
          <w:sz w:val="20"/>
          <w:szCs w:val="20"/>
          <w:lang w:val="fr-FR"/>
        </w:rPr>
      </w:pPr>
      <w:r w:rsidRPr="00302854">
        <w:rPr>
          <w:rFonts w:ascii="Cambria" w:hAnsi="Cambria"/>
          <w:b/>
          <w:sz w:val="20"/>
          <w:szCs w:val="20"/>
          <w:lang w:val="fr-FR"/>
        </w:rPr>
        <w:t>Contexte :</w:t>
      </w:r>
      <w:r w:rsidRPr="00302854">
        <w:rPr>
          <w:rFonts w:ascii="Cambria" w:hAnsi="Cambria"/>
          <w:i/>
          <w:sz w:val="20"/>
          <w:szCs w:val="20"/>
          <w:lang w:val="fr-FR"/>
        </w:rPr>
        <w:t xml:space="preserve"> En 2026, ou lors de toute autre année ultérieure identifiée par le SCRS en 2025 en raison de limitations des données qui l'empêcheraient de poursuivre ses travaux, le SCRS devra fournir une évaluation actualisée de l’état du stock sur la base des données les plus récentes disponibles. Il devra évaluer l'efficacité de ce plan de rétablissement et formuler un avis sur de potentiels amendements aux diverses mesures incluses dans ce plan. Le SCRS devra formuler un avis à la Commission sur les caractéristiques appropriées de l'engin de pêche, la période de fermeture énoncée au paragraphe 9, ainsi que sur la taille minimale à mettre en œuvre pour le germon de la Méditerranée.</w:t>
      </w:r>
    </w:p>
    <w:p w14:paraId="50A0EE64" w14:textId="77777777" w:rsidR="00302854" w:rsidRPr="00302854" w:rsidRDefault="00302854" w:rsidP="00302854">
      <w:pPr>
        <w:widowControl w:val="0"/>
        <w:ind w:right="-2"/>
        <w:jc w:val="both"/>
        <w:rPr>
          <w:rFonts w:ascii="Cambria" w:hAnsi="Cambria"/>
          <w:i/>
          <w:iCs/>
          <w:sz w:val="20"/>
          <w:szCs w:val="20"/>
          <w:lang w:val="fr-FR"/>
        </w:rPr>
      </w:pPr>
    </w:p>
    <w:p w14:paraId="48E65C34" w14:textId="77777777" w:rsidR="00302854" w:rsidRPr="00302854" w:rsidRDefault="00302854" w:rsidP="00302854">
      <w:pPr>
        <w:widowControl w:val="0"/>
        <w:ind w:right="-2"/>
        <w:jc w:val="both"/>
        <w:rPr>
          <w:rFonts w:ascii="Cambria" w:hAnsi="Cambria"/>
          <w:sz w:val="20"/>
          <w:szCs w:val="20"/>
          <w:lang w:val="fr-FR"/>
        </w:rPr>
      </w:pPr>
      <w:r w:rsidRPr="00302854">
        <w:rPr>
          <w:rFonts w:ascii="Cambria" w:hAnsi="Cambria"/>
          <w:sz w:val="20"/>
          <w:szCs w:val="20"/>
          <w:lang w:val="fr-FR"/>
        </w:rPr>
        <w:t xml:space="preserve">Le Comité a rappelé que la dernière évaluation du stock de germon de la Méditerranée a été réalisée en 2024 sur la base de données allant jusqu'à 2022 et que, malgré les progrès récemment réalisés en matière de données de capture et de traitement de l'indice larvaire, des incertitudes majeures (captures historiques, caractéristiques du cycle vital de l'espèce) subsistent et continuent d'empêcher une nouvelle évaluation solide. Il conseillait donc que la prochaine évaluation complète ne soit pas programmée avant 2028, lorsque ces incertitudes majeures auront été dissipées. </w:t>
      </w:r>
    </w:p>
    <w:p w14:paraId="486C039E" w14:textId="77777777" w:rsidR="00302854" w:rsidRPr="00302854" w:rsidRDefault="00302854" w:rsidP="00302854">
      <w:pPr>
        <w:widowControl w:val="0"/>
        <w:ind w:right="-2"/>
        <w:jc w:val="both"/>
        <w:rPr>
          <w:rFonts w:ascii="Cambria" w:hAnsi="Cambria"/>
          <w:sz w:val="20"/>
          <w:szCs w:val="20"/>
          <w:lang w:val="fr-FR"/>
        </w:rPr>
      </w:pPr>
    </w:p>
    <w:p w14:paraId="72D39E3C" w14:textId="77777777" w:rsidR="00302854" w:rsidRPr="00302854" w:rsidRDefault="00302854" w:rsidP="00302854">
      <w:pPr>
        <w:widowControl w:val="0"/>
        <w:ind w:right="-2"/>
        <w:jc w:val="both"/>
        <w:rPr>
          <w:rFonts w:ascii="Cambria" w:hAnsi="Cambria"/>
          <w:sz w:val="20"/>
          <w:szCs w:val="20"/>
          <w:lang w:val="fr-FR"/>
        </w:rPr>
      </w:pPr>
      <w:r w:rsidRPr="00302854">
        <w:rPr>
          <w:rFonts w:ascii="Cambria" w:hAnsi="Cambria"/>
          <w:sz w:val="20"/>
          <w:szCs w:val="20"/>
          <w:lang w:val="fr-FR"/>
        </w:rPr>
        <w:t xml:space="preserve">Comme indiqué dans sa réponse de 2024 à la Commission (section 19.8 du </w:t>
      </w:r>
      <w:hyperlink r:id="rId22" w:history="1"/>
      <w:r w:rsidRPr="00302854">
        <w:rPr>
          <w:rFonts w:ascii="Cambria" w:hAnsi="Cambria"/>
          <w:i/>
          <w:iCs/>
          <w:sz w:val="20"/>
          <w:szCs w:val="20"/>
          <w:lang w:val="fr-FR"/>
        </w:rPr>
        <w:t>Rapport pour la période biennale, 2024-2025, Ière partie (2024), Vol. 2)</w:t>
      </w:r>
      <w:hyperlink r:id="rId23" w:history="1"/>
      <w:r w:rsidRPr="00302854">
        <w:rPr>
          <w:rFonts w:ascii="Cambria" w:hAnsi="Cambria"/>
          <w:sz w:val="20"/>
          <w:szCs w:val="20"/>
          <w:lang w:val="fr-FR"/>
        </w:rPr>
        <w:t>, le Comité a considéré que les modifications apportées aux engins de pêche apporteraient peu d'avantages, étant donné que la plupart des captures sont supérieures à la taille à la première maturité, et il a noté que les fermetures en automne-hiver adoptées en 2022 peuvent contribuer à réduire l'effort de pêche, même si leur effet ne peuvent pas encore être quantifié. En ce qui concerne la taille minimale, le Comité a réaffirmé qu'une telle mesure ne présenterait qu'un intérêt limité, voire nul, compte tenu de la composition actuelle des captures et entraînerait une mortalité potentiellement élevée des rejets. C'est en procédant à une évaluation complète du stock que l'on pourra évaluer au mieux l'efficacité du plan de rétablissement.</w:t>
      </w:r>
    </w:p>
    <w:p w14:paraId="3B6A5BD5" w14:textId="77777777" w:rsidR="00302854" w:rsidRPr="00302854" w:rsidRDefault="00302854" w:rsidP="00302854">
      <w:pPr>
        <w:jc w:val="both"/>
        <w:rPr>
          <w:rFonts w:ascii="Cambria" w:hAnsi="Cambria"/>
          <w:b/>
          <w:bCs/>
          <w:sz w:val="20"/>
          <w:szCs w:val="20"/>
          <w:lang w:val="fr-FR"/>
        </w:rPr>
      </w:pPr>
    </w:p>
    <w:p w14:paraId="7A51D3EA" w14:textId="77777777" w:rsidR="00302854" w:rsidRPr="00302854" w:rsidRDefault="00302854" w:rsidP="00302854">
      <w:pPr>
        <w:jc w:val="both"/>
        <w:rPr>
          <w:rFonts w:ascii="Cambria" w:hAnsi="Cambria"/>
          <w:b/>
          <w:bCs/>
          <w:sz w:val="20"/>
          <w:szCs w:val="20"/>
          <w:lang w:val="fr-FR"/>
        </w:rPr>
      </w:pPr>
    </w:p>
    <w:p w14:paraId="604441CB" w14:textId="0FC2F39C" w:rsidR="00A515E4" w:rsidRPr="00A515E4" w:rsidRDefault="00E464DF" w:rsidP="00E464DF">
      <w:pPr>
        <w:spacing w:after="160" w:line="259" w:lineRule="auto"/>
        <w:rPr>
          <w:rFonts w:ascii="Cambria" w:hAnsi="Cambria"/>
          <w:b/>
          <w:bCs/>
          <w:sz w:val="20"/>
          <w:szCs w:val="20"/>
          <w:lang w:val="fr-FR"/>
        </w:rPr>
      </w:pPr>
      <w:r w:rsidRPr="00E464DF">
        <w:rPr>
          <w:rFonts w:ascii="Cambria" w:hAnsi="Cambria"/>
          <w:b/>
          <w:iCs/>
          <w:sz w:val="20"/>
          <w:szCs w:val="20"/>
          <w:lang w:val="fr-FR"/>
        </w:rPr>
        <w:t>R</w:t>
      </w:r>
      <w:r w:rsidR="00A515E4" w:rsidRPr="00A515E4">
        <w:rPr>
          <w:rFonts w:ascii="Cambria" w:hAnsi="Cambria"/>
          <w:b/>
          <w:bCs/>
          <w:sz w:val="20"/>
          <w:szCs w:val="20"/>
          <w:lang w:val="fr-FR"/>
        </w:rPr>
        <w:t>ecommandations</w:t>
      </w:r>
    </w:p>
    <w:p w14:paraId="450856CD" w14:textId="77777777" w:rsidR="00E464DF" w:rsidRPr="00E464DF" w:rsidRDefault="00E464DF" w:rsidP="00E464DF">
      <w:pPr>
        <w:pStyle w:val="Caption"/>
        <w:rPr>
          <w:rFonts w:ascii="Cambria" w:hAnsi="Cambria"/>
          <w:sz w:val="20"/>
          <w:szCs w:val="20"/>
        </w:rPr>
      </w:pPr>
      <w:r w:rsidRPr="00E464DF">
        <w:rPr>
          <w:rFonts w:ascii="Cambria" w:hAnsi="Cambria"/>
          <w:sz w:val="20"/>
          <w:szCs w:val="20"/>
        </w:rPr>
        <w:t>Germon de la Méditerranée</w:t>
      </w:r>
    </w:p>
    <w:p w14:paraId="1AA39EE6" w14:textId="77777777" w:rsidR="00E464DF" w:rsidRPr="00E464DF" w:rsidRDefault="00E464DF" w:rsidP="00A73CD5">
      <w:pPr>
        <w:numPr>
          <w:ilvl w:val="0"/>
          <w:numId w:val="1"/>
        </w:numPr>
        <w:tabs>
          <w:tab w:val="left" w:pos="113"/>
          <w:tab w:val="left" w:pos="360"/>
        </w:tabs>
        <w:jc w:val="both"/>
        <w:rPr>
          <w:rFonts w:ascii="Cambria" w:eastAsia="Calibri" w:hAnsi="Cambria"/>
          <w:sz w:val="20"/>
          <w:szCs w:val="20"/>
          <w:lang w:val="fr-FR"/>
        </w:rPr>
      </w:pPr>
      <w:r w:rsidRPr="00E464DF">
        <w:rPr>
          <w:rFonts w:ascii="Cambria" w:hAnsi="Cambria"/>
          <w:sz w:val="20"/>
          <w:szCs w:val="20"/>
          <w:lang w:val="fr-FR"/>
        </w:rPr>
        <w:t>Afin de faciliter la formulation d’un avis de gestion plus pertinent du stock méditerranéen, le programme de recherche devrait se concentrer sur les points clés identifiés dans l’évaluation du stock de 2024 et dans d’autres évaluations récentes du stock :</w:t>
      </w:r>
    </w:p>
    <w:p w14:paraId="12139947" w14:textId="77777777" w:rsidR="00E464DF" w:rsidRPr="00E464DF" w:rsidRDefault="00E464DF" w:rsidP="00E464DF">
      <w:pPr>
        <w:pStyle w:val="ListParagraph"/>
        <w:rPr>
          <w:rFonts w:ascii="Cambria" w:hAnsi="Cambria"/>
          <w:sz w:val="20"/>
          <w:szCs w:val="20"/>
          <w:lang w:val="fr-FR"/>
        </w:rPr>
      </w:pPr>
    </w:p>
    <w:p w14:paraId="14EBE35B" w14:textId="77777777" w:rsidR="00E464DF" w:rsidRPr="00E464DF" w:rsidRDefault="00E464DF" w:rsidP="00A73CD5">
      <w:pPr>
        <w:pStyle w:val="ListParagraph"/>
        <w:numPr>
          <w:ilvl w:val="0"/>
          <w:numId w:val="2"/>
        </w:numPr>
        <w:tabs>
          <w:tab w:val="left" w:pos="113"/>
          <w:tab w:val="left" w:pos="360"/>
        </w:tabs>
        <w:ind w:left="1134" w:hanging="283"/>
        <w:contextualSpacing/>
        <w:jc w:val="both"/>
        <w:rPr>
          <w:rFonts w:ascii="Cambria" w:hAnsi="Cambria"/>
          <w:sz w:val="20"/>
          <w:szCs w:val="20"/>
          <w:lang w:val="fr-FR"/>
        </w:rPr>
      </w:pPr>
      <w:r w:rsidRPr="00E464DF">
        <w:rPr>
          <w:rFonts w:ascii="Cambria" w:hAnsi="Cambria"/>
          <w:sz w:val="20"/>
          <w:szCs w:val="20"/>
          <w:lang w:val="fr-FR"/>
        </w:rPr>
        <w:t>L’amélioration des statistiques halieutiques grâce à la récupération des données, une analyse intégrée de la croissance, l'amélioration de la distribution a priori de</w:t>
      </w:r>
      <w:r w:rsidRPr="00E464DF">
        <w:rPr>
          <w:rFonts w:ascii="Cambria" w:hAnsi="Cambria"/>
          <w:i/>
          <w:iCs/>
          <w:sz w:val="20"/>
          <w:szCs w:val="20"/>
          <w:lang w:val="fr-FR"/>
        </w:rPr>
        <w:t xml:space="preserve"> r</w:t>
      </w:r>
      <w:r w:rsidRPr="00E464DF">
        <w:rPr>
          <w:rFonts w:ascii="Cambria" w:hAnsi="Cambria"/>
          <w:sz w:val="20"/>
          <w:szCs w:val="20"/>
          <w:lang w:val="fr-FR"/>
        </w:rPr>
        <w:t xml:space="preserve"> et </w:t>
      </w:r>
      <w:r w:rsidRPr="00E464DF">
        <w:rPr>
          <w:rFonts w:ascii="Cambria" w:hAnsi="Cambria"/>
          <w:i/>
          <w:iCs/>
          <w:sz w:val="20"/>
          <w:szCs w:val="20"/>
          <w:lang w:val="fr-FR"/>
        </w:rPr>
        <w:t>K</w:t>
      </w:r>
      <w:r w:rsidRPr="00E464DF">
        <w:rPr>
          <w:rFonts w:ascii="Cambria" w:hAnsi="Cambria"/>
          <w:sz w:val="20"/>
          <w:szCs w:val="20"/>
          <w:lang w:val="fr-FR"/>
        </w:rPr>
        <w:t>, l'élaboration d'une capture par unité d'effort (CPUE) palangrière conjointe, et les effets environnementaux. </w:t>
      </w:r>
    </w:p>
    <w:p w14:paraId="387DD421" w14:textId="77777777" w:rsidR="00E464DF" w:rsidRPr="00E464DF" w:rsidRDefault="00E464DF" w:rsidP="00E464DF">
      <w:pPr>
        <w:tabs>
          <w:tab w:val="left" w:pos="113"/>
          <w:tab w:val="left" w:pos="360"/>
        </w:tabs>
        <w:jc w:val="both"/>
        <w:rPr>
          <w:rFonts w:ascii="Cambria" w:eastAsia="Calibri" w:hAnsi="Cambria"/>
          <w:sz w:val="20"/>
          <w:szCs w:val="20"/>
          <w:lang w:val="fr-FR"/>
        </w:rPr>
      </w:pPr>
    </w:p>
    <w:p w14:paraId="4E3FC70F" w14:textId="54E5572E" w:rsidR="00E464DF" w:rsidRPr="00E464DF" w:rsidRDefault="00E464DF" w:rsidP="00A73CD5">
      <w:pPr>
        <w:pStyle w:val="ListParagraph"/>
        <w:numPr>
          <w:ilvl w:val="0"/>
          <w:numId w:val="2"/>
        </w:numPr>
        <w:tabs>
          <w:tab w:val="left" w:pos="113"/>
          <w:tab w:val="left" w:pos="360"/>
        </w:tabs>
        <w:ind w:left="1134" w:hanging="283"/>
        <w:contextualSpacing/>
        <w:jc w:val="both"/>
        <w:rPr>
          <w:rFonts w:ascii="Cambria" w:hAnsi="Cambria"/>
          <w:sz w:val="20"/>
          <w:szCs w:val="20"/>
          <w:lang w:val="fr-FR"/>
        </w:rPr>
      </w:pPr>
      <w:r w:rsidRPr="00E464DF">
        <w:rPr>
          <w:rFonts w:ascii="Cambria" w:hAnsi="Cambria"/>
          <w:sz w:val="20"/>
          <w:szCs w:val="20"/>
          <w:lang w:val="fr-FR"/>
        </w:rPr>
        <w:t>Compte tenu du succès de l'initiative visant à mettre en place le Réseau de recherche sur le germon méditerranéen, il est recommandé de prendre les mesures nécessaires pour le consolider, dans le but de définir les priorités et les besoins de recherche et d'identifier les synergies potentielles afin de renforcer la capacité du groupe à répondre à la Commission.</w:t>
      </w:r>
    </w:p>
    <w:p w14:paraId="2445387E" w14:textId="77777777" w:rsidR="00F81087" w:rsidRDefault="00F81087" w:rsidP="00A515E4">
      <w:pPr>
        <w:rPr>
          <w:rFonts w:ascii="Cambria" w:hAnsi="Cambria"/>
          <w:b/>
          <w:bCs/>
          <w:sz w:val="20"/>
          <w:szCs w:val="20"/>
          <w:lang w:val="fr-FR"/>
        </w:rPr>
      </w:pPr>
    </w:p>
    <w:p w14:paraId="0BFA4F24" w14:textId="48F6C8D4" w:rsidR="00E464DF" w:rsidRDefault="00E464DF" w:rsidP="00A515E4">
      <w:pPr>
        <w:rPr>
          <w:rFonts w:ascii="Cambria" w:hAnsi="Cambria"/>
          <w:i/>
          <w:iCs/>
          <w:sz w:val="20"/>
          <w:szCs w:val="20"/>
          <w:lang w:val="fr-FR"/>
        </w:rPr>
      </w:pPr>
      <w:r w:rsidRPr="00E464DF">
        <w:rPr>
          <w:rFonts w:ascii="Cambria" w:hAnsi="Cambria"/>
          <w:i/>
          <w:iCs/>
          <w:sz w:val="20"/>
          <w:szCs w:val="20"/>
          <w:lang w:val="fr-FR"/>
        </w:rPr>
        <w:t>Thon rouge</w:t>
      </w:r>
    </w:p>
    <w:p w14:paraId="4F83D73C" w14:textId="77777777" w:rsidR="00E464DF" w:rsidRDefault="00E464DF" w:rsidP="00A515E4">
      <w:pPr>
        <w:rPr>
          <w:rFonts w:ascii="Cambria" w:hAnsi="Cambria"/>
          <w:i/>
          <w:iCs/>
          <w:sz w:val="20"/>
          <w:szCs w:val="20"/>
          <w:lang w:val="fr-FR"/>
        </w:rPr>
      </w:pPr>
    </w:p>
    <w:p w14:paraId="002C5DAA" w14:textId="77777777" w:rsidR="00E464DF" w:rsidRPr="00E464DF" w:rsidRDefault="00E464DF" w:rsidP="00A73CD5">
      <w:pPr>
        <w:widowControl w:val="0"/>
        <w:numPr>
          <w:ilvl w:val="0"/>
          <w:numId w:val="3"/>
        </w:numPr>
        <w:ind w:left="426" w:hanging="426"/>
        <w:jc w:val="both"/>
        <w:rPr>
          <w:rFonts w:ascii="Cambria" w:eastAsia="Cambria" w:hAnsi="Cambria" w:cs="Cambria"/>
          <w:sz w:val="20"/>
          <w:szCs w:val="20"/>
          <w:lang w:val="fr-FR"/>
        </w:rPr>
      </w:pPr>
      <w:r w:rsidRPr="00E464DF">
        <w:rPr>
          <w:rFonts w:ascii="Cambria" w:hAnsi="Cambria"/>
          <w:sz w:val="20"/>
          <w:szCs w:val="20"/>
          <w:lang w:val="fr-FR"/>
        </w:rPr>
        <w:t xml:space="preserve">Afin de soutenir un processus piloté par l'IA pour la collecte et le stockage des mesures de longueur lors du premier transfert de thon rouge (« Projet d'amendement de la </w:t>
      </w:r>
      <w:hyperlink r:id="rId24" w:tgtFrame="_blank" w:tooltip="https://www.iccat.int/documents/recs/compendiopdf-f/2025-04-f.pdf" w:history="1">
        <w:r w:rsidRPr="00E464DF">
          <w:rPr>
            <w:rStyle w:val="Hyperlink"/>
            <w:rFonts w:ascii="Cambria" w:hAnsi="Cambria"/>
            <w:sz w:val="20"/>
            <w:szCs w:val="20"/>
            <w:u w:val="none"/>
            <w:lang w:val="fr-FR"/>
          </w:rPr>
          <w:t>Recommandation 25-04</w:t>
        </w:r>
      </w:hyperlink>
      <w:r w:rsidRPr="00E464DF">
        <w:rPr>
          <w:rFonts w:ascii="Cambria" w:hAnsi="Cambria"/>
          <w:sz w:val="20"/>
          <w:szCs w:val="20"/>
          <w:lang w:val="fr-FR"/>
        </w:rPr>
        <w:t> » [IMM_03/i2026]), le SCRS recommande que la Commission envisage de mettre en place un groupe technique qui inclurait le SCRS et d’autres organes pertinents de la Commission (PWG) en vue de développer les critères et spécifications techniques requis en vertu du paragraphe 173 de la Rec. 25-04 pour l’évaluation de systèmes basés sur l’IA lors du premier transfert/de la mise en cage.</w:t>
      </w:r>
    </w:p>
    <w:p w14:paraId="4111E9F2" w14:textId="77777777" w:rsidR="00E464DF" w:rsidRPr="00E464DF" w:rsidRDefault="00E464DF" w:rsidP="00E464DF">
      <w:pPr>
        <w:widowControl w:val="0"/>
        <w:ind w:left="426"/>
        <w:jc w:val="both"/>
        <w:rPr>
          <w:rFonts w:ascii="Cambria" w:eastAsia="Cambria" w:hAnsi="Cambria" w:cs="Cambria"/>
          <w:sz w:val="20"/>
          <w:szCs w:val="20"/>
          <w:lang w:val="fr-FR"/>
        </w:rPr>
      </w:pPr>
    </w:p>
    <w:p w14:paraId="6748C2AD" w14:textId="77777777" w:rsidR="00E464DF" w:rsidRPr="00E464DF" w:rsidRDefault="00E464DF" w:rsidP="00A73CD5">
      <w:pPr>
        <w:widowControl w:val="0"/>
        <w:numPr>
          <w:ilvl w:val="0"/>
          <w:numId w:val="3"/>
        </w:numPr>
        <w:ind w:left="426" w:hanging="426"/>
        <w:jc w:val="both"/>
        <w:rPr>
          <w:rFonts w:ascii="Cambria" w:hAnsi="Cambria"/>
          <w:i/>
          <w:iCs/>
          <w:sz w:val="20"/>
          <w:szCs w:val="20"/>
          <w:lang w:val="fr-FR"/>
        </w:rPr>
      </w:pPr>
      <w:r w:rsidRPr="00E464DF">
        <w:rPr>
          <w:rFonts w:ascii="Cambria" w:hAnsi="Cambria"/>
          <w:sz w:val="20"/>
          <w:szCs w:val="20"/>
          <w:lang w:val="fr-FR"/>
        </w:rPr>
        <w:t xml:space="preserve">Constatant que des données importantes de taille de la tâche 2 (ST-04) issues de la pêcherie de senneurs en Méditerranée n’ont pas été déclarées dans les délais impartis, le Comité réaffirme la nécessité pour les CPC de se conformer aux obligations en matière de transmission des données adoptées par la Commission. Le Comité a également reconnu que certaines CPC, mais pas toutes, ont </w:t>
      </w:r>
      <w:r w:rsidRPr="00E464DF">
        <w:rPr>
          <w:rFonts w:ascii="Cambria" w:hAnsi="Cambria"/>
          <w:sz w:val="20"/>
          <w:szCs w:val="20"/>
          <w:lang w:val="fr-FR"/>
        </w:rPr>
        <w:lastRenderedPageBreak/>
        <w:t>transmis leurs données de taille obtenues lors des opérations dans les fermes (ST-06) et les a encouragées à poursuivre leur collaboration avec le Secrétariat afin de garantir que ces données sont fournies en temps utile pour les évaluations des stocks.</w:t>
      </w:r>
      <w:r w:rsidRPr="00E464DF">
        <w:rPr>
          <w:rFonts w:ascii="Cambria" w:hAnsi="Cambria"/>
          <w:i/>
          <w:iCs/>
          <w:sz w:val="20"/>
          <w:szCs w:val="20"/>
          <w:lang w:val="fr-FR"/>
        </w:rPr>
        <w:br w:type="page"/>
      </w:r>
    </w:p>
    <w:sectPr w:rsidR="00E464DF" w:rsidRPr="00E464DF" w:rsidSect="009B2781">
      <w:headerReference w:type="default" r:id="rId25"/>
      <w:footerReference w:type="default" r:id="rId26"/>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E4EE3" w14:textId="77777777" w:rsidR="00A73CD5" w:rsidRDefault="00A73CD5" w:rsidP="00DD4C39">
      <w:r>
        <w:separator/>
      </w:r>
    </w:p>
  </w:endnote>
  <w:endnote w:type="continuationSeparator" w:id="0">
    <w:p w14:paraId="1361C85B" w14:textId="77777777" w:rsidR="00A73CD5" w:rsidRDefault="00A73CD5"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A73CD5"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9283D" w14:textId="77777777" w:rsidR="00A73CD5" w:rsidRDefault="00A73CD5" w:rsidP="00DD4C39">
      <w:r>
        <w:separator/>
      </w:r>
    </w:p>
  </w:footnote>
  <w:footnote w:type="continuationSeparator" w:id="0">
    <w:p w14:paraId="0A7DA413" w14:textId="77777777" w:rsidR="00A73CD5" w:rsidRDefault="00A73CD5"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527ED8A9" w:rsidR="004F39B9" w:rsidRPr="00793F38" w:rsidRDefault="00857C38" w:rsidP="004F39B9">
    <w:pPr>
      <w:tabs>
        <w:tab w:val="center" w:pos="4680"/>
        <w:tab w:val="left" w:pos="6520"/>
        <w:tab w:val="right" w:pos="9360"/>
        <w:tab w:val="right" w:pos="14240"/>
      </w:tabs>
      <w:jc w:val="right"/>
      <w:rPr>
        <w:rFonts w:ascii="Cambria" w:eastAsia="Calibri" w:hAnsi="Cambria"/>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lang w:val="en-US"/>
      </w:rPr>
      <w:t>PA</w:t>
    </w:r>
    <w:r w:rsidR="00C35DCD">
      <w:rPr>
        <w:rFonts w:ascii="Cambria" w:eastAsia="Calibri" w:hAnsi="Cambria"/>
        <w:b/>
        <w:bCs/>
        <w:sz w:val="20"/>
        <w:szCs w:val="20"/>
        <w:lang w:val="en-US"/>
      </w:rPr>
      <w:t>2</w:t>
    </w:r>
    <w:r w:rsidR="004F39B9" w:rsidRPr="00793F38">
      <w:rPr>
        <w:rFonts w:ascii="Cambria" w:eastAsia="Calibri" w:hAnsi="Cambria"/>
        <w:b/>
        <w:bCs/>
        <w:sz w:val="20"/>
        <w:szCs w:val="20"/>
        <w:lang w:val="en-US"/>
      </w:rPr>
      <w:t>_</w:t>
    </w:r>
    <w:r w:rsidR="00C35DCD">
      <w:rPr>
        <w:rFonts w:ascii="Cambria" w:eastAsia="Calibri" w:hAnsi="Cambria"/>
        <w:b/>
        <w:bCs/>
        <w:sz w:val="20"/>
        <w:szCs w:val="20"/>
        <w:lang w:val="en-US"/>
      </w:rPr>
      <w:t>604</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49E6C1AB"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CB7323">
      <w:rPr>
        <w:rFonts w:ascii="Cambria" w:hAnsi="Cambria"/>
        <w:b/>
        <w:bCs/>
        <w:noProof/>
        <w:sz w:val="16"/>
        <w:szCs w:val="16"/>
        <w:lang w:val="es-ES_tradnl"/>
      </w:rPr>
      <w:t>14/10/2026 11:46</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137FA"/>
    <w:multiLevelType w:val="hybridMultilevel"/>
    <w:tmpl w:val="60889B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2130999"/>
    <w:multiLevelType w:val="hybridMultilevel"/>
    <w:tmpl w:val="E9D04DB0"/>
    <w:lvl w:ilvl="0" w:tplc="FA7869DC">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7B1288"/>
    <w:multiLevelType w:val="multilevel"/>
    <w:tmpl w:val="4F224384"/>
    <w:lvl w:ilvl="0">
      <w:start w:val="4"/>
      <w:numFmt w:val="bullet"/>
      <w:lvlText w:val="-"/>
      <w:lvlJc w:val="left"/>
      <w:pPr>
        <w:ind w:left="720" w:hanging="360"/>
      </w:pPr>
      <w:rPr>
        <w:rFonts w:ascii="Cambria" w:hAnsi="Cambria" w:cs="Cambria"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318971705">
    <w:abstractNumId w:val="2"/>
  </w:num>
  <w:num w:numId="2" w16cid:durableId="1585190823">
    <w:abstractNumId w:val="0"/>
  </w:num>
  <w:num w:numId="3" w16cid:durableId="179425175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48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27D8"/>
    <w:rsid w:val="00152B06"/>
    <w:rsid w:val="00152E0C"/>
    <w:rsid w:val="00157B26"/>
    <w:rsid w:val="00160A09"/>
    <w:rsid w:val="00160B49"/>
    <w:rsid w:val="001630E3"/>
    <w:rsid w:val="00167923"/>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3FF"/>
    <w:rsid w:val="0022374D"/>
    <w:rsid w:val="00225464"/>
    <w:rsid w:val="002254CF"/>
    <w:rsid w:val="002265B1"/>
    <w:rsid w:val="00226609"/>
    <w:rsid w:val="002317E7"/>
    <w:rsid w:val="00232D1D"/>
    <w:rsid w:val="002360A7"/>
    <w:rsid w:val="00240A3D"/>
    <w:rsid w:val="00242005"/>
    <w:rsid w:val="00242111"/>
    <w:rsid w:val="00246631"/>
    <w:rsid w:val="00246705"/>
    <w:rsid w:val="00247B9A"/>
    <w:rsid w:val="00250C2F"/>
    <w:rsid w:val="0026489C"/>
    <w:rsid w:val="0027149A"/>
    <w:rsid w:val="00273D43"/>
    <w:rsid w:val="00275529"/>
    <w:rsid w:val="002762AB"/>
    <w:rsid w:val="00282F16"/>
    <w:rsid w:val="0028560B"/>
    <w:rsid w:val="00290481"/>
    <w:rsid w:val="002961C5"/>
    <w:rsid w:val="002A2405"/>
    <w:rsid w:val="002A46C2"/>
    <w:rsid w:val="002A6E00"/>
    <w:rsid w:val="002A70B6"/>
    <w:rsid w:val="002C12A9"/>
    <w:rsid w:val="002C399C"/>
    <w:rsid w:val="002D1035"/>
    <w:rsid w:val="002D2C3D"/>
    <w:rsid w:val="002D3D37"/>
    <w:rsid w:val="002D7AD8"/>
    <w:rsid w:val="002D7D0D"/>
    <w:rsid w:val="002D7E3A"/>
    <w:rsid w:val="002E24FF"/>
    <w:rsid w:val="002E25F5"/>
    <w:rsid w:val="002E724A"/>
    <w:rsid w:val="002F3C9C"/>
    <w:rsid w:val="00300FEF"/>
    <w:rsid w:val="00302854"/>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3112"/>
    <w:rsid w:val="00424411"/>
    <w:rsid w:val="00426AE7"/>
    <w:rsid w:val="00427D62"/>
    <w:rsid w:val="004329FC"/>
    <w:rsid w:val="00433870"/>
    <w:rsid w:val="00435A8B"/>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06FB9"/>
    <w:rsid w:val="00507EB4"/>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4AB0"/>
    <w:rsid w:val="00557E7E"/>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36F6"/>
    <w:rsid w:val="005847DE"/>
    <w:rsid w:val="00585A74"/>
    <w:rsid w:val="00586D4A"/>
    <w:rsid w:val="00587082"/>
    <w:rsid w:val="005903D9"/>
    <w:rsid w:val="005915D1"/>
    <w:rsid w:val="00593A75"/>
    <w:rsid w:val="00594D79"/>
    <w:rsid w:val="00595988"/>
    <w:rsid w:val="00597C04"/>
    <w:rsid w:val="005A64A9"/>
    <w:rsid w:val="005A782F"/>
    <w:rsid w:val="005B0AB8"/>
    <w:rsid w:val="005B0B6E"/>
    <w:rsid w:val="005B0C1A"/>
    <w:rsid w:val="005B152F"/>
    <w:rsid w:val="005B164B"/>
    <w:rsid w:val="005B1C74"/>
    <w:rsid w:val="005B255C"/>
    <w:rsid w:val="005B593C"/>
    <w:rsid w:val="005B7B50"/>
    <w:rsid w:val="005C03B4"/>
    <w:rsid w:val="005C1827"/>
    <w:rsid w:val="005C35E0"/>
    <w:rsid w:val="005C5495"/>
    <w:rsid w:val="005C618B"/>
    <w:rsid w:val="005C6E63"/>
    <w:rsid w:val="005D0160"/>
    <w:rsid w:val="005D2E30"/>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30BEA"/>
    <w:rsid w:val="00630C1F"/>
    <w:rsid w:val="0063147D"/>
    <w:rsid w:val="00631B05"/>
    <w:rsid w:val="00635265"/>
    <w:rsid w:val="00635DBD"/>
    <w:rsid w:val="00642E30"/>
    <w:rsid w:val="006508E3"/>
    <w:rsid w:val="00650AE3"/>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5AC"/>
    <w:rsid w:val="007678A5"/>
    <w:rsid w:val="00767E55"/>
    <w:rsid w:val="00774632"/>
    <w:rsid w:val="00775899"/>
    <w:rsid w:val="00780453"/>
    <w:rsid w:val="0079089F"/>
    <w:rsid w:val="0079380E"/>
    <w:rsid w:val="007A4722"/>
    <w:rsid w:val="007B10F9"/>
    <w:rsid w:val="007B2DE7"/>
    <w:rsid w:val="007B4D4C"/>
    <w:rsid w:val="007C21CB"/>
    <w:rsid w:val="007C4A02"/>
    <w:rsid w:val="007C4E4F"/>
    <w:rsid w:val="007C560A"/>
    <w:rsid w:val="007D08A0"/>
    <w:rsid w:val="007D1671"/>
    <w:rsid w:val="007D413A"/>
    <w:rsid w:val="007D5CA9"/>
    <w:rsid w:val="007E4C2D"/>
    <w:rsid w:val="007E654F"/>
    <w:rsid w:val="007E69D1"/>
    <w:rsid w:val="007F4EF3"/>
    <w:rsid w:val="0080033F"/>
    <w:rsid w:val="008042B6"/>
    <w:rsid w:val="00805EFF"/>
    <w:rsid w:val="00811FA1"/>
    <w:rsid w:val="008121F9"/>
    <w:rsid w:val="00816217"/>
    <w:rsid w:val="0081636C"/>
    <w:rsid w:val="00817E09"/>
    <w:rsid w:val="008207DE"/>
    <w:rsid w:val="00821CFF"/>
    <w:rsid w:val="00821F16"/>
    <w:rsid w:val="00823236"/>
    <w:rsid w:val="008234F6"/>
    <w:rsid w:val="00824E8C"/>
    <w:rsid w:val="00825C70"/>
    <w:rsid w:val="00825E5C"/>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F1C"/>
    <w:rsid w:val="00926560"/>
    <w:rsid w:val="0093035A"/>
    <w:rsid w:val="00931531"/>
    <w:rsid w:val="009320AA"/>
    <w:rsid w:val="00932594"/>
    <w:rsid w:val="009353F0"/>
    <w:rsid w:val="0093573B"/>
    <w:rsid w:val="009373EA"/>
    <w:rsid w:val="00946422"/>
    <w:rsid w:val="009466F7"/>
    <w:rsid w:val="00947D0F"/>
    <w:rsid w:val="00952C5B"/>
    <w:rsid w:val="0095464C"/>
    <w:rsid w:val="00955E79"/>
    <w:rsid w:val="00957027"/>
    <w:rsid w:val="00961741"/>
    <w:rsid w:val="0096664A"/>
    <w:rsid w:val="00972DB9"/>
    <w:rsid w:val="00975089"/>
    <w:rsid w:val="0097663E"/>
    <w:rsid w:val="00983C8D"/>
    <w:rsid w:val="009854B5"/>
    <w:rsid w:val="00991363"/>
    <w:rsid w:val="00994404"/>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5E4"/>
    <w:rsid w:val="00A5170D"/>
    <w:rsid w:val="00A526B0"/>
    <w:rsid w:val="00A552BF"/>
    <w:rsid w:val="00A5555F"/>
    <w:rsid w:val="00A56408"/>
    <w:rsid w:val="00A6083E"/>
    <w:rsid w:val="00A613F3"/>
    <w:rsid w:val="00A6221E"/>
    <w:rsid w:val="00A63553"/>
    <w:rsid w:val="00A70350"/>
    <w:rsid w:val="00A734A9"/>
    <w:rsid w:val="00A73CD5"/>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41715"/>
    <w:rsid w:val="00B42DBE"/>
    <w:rsid w:val="00B46DA7"/>
    <w:rsid w:val="00B474B6"/>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4930"/>
    <w:rsid w:val="00C150D6"/>
    <w:rsid w:val="00C160F6"/>
    <w:rsid w:val="00C174B5"/>
    <w:rsid w:val="00C23619"/>
    <w:rsid w:val="00C246EC"/>
    <w:rsid w:val="00C271DF"/>
    <w:rsid w:val="00C30735"/>
    <w:rsid w:val="00C32ABE"/>
    <w:rsid w:val="00C35DCD"/>
    <w:rsid w:val="00C36FA8"/>
    <w:rsid w:val="00C40A02"/>
    <w:rsid w:val="00C4264F"/>
    <w:rsid w:val="00C450C8"/>
    <w:rsid w:val="00C455F3"/>
    <w:rsid w:val="00C46C3C"/>
    <w:rsid w:val="00C4752D"/>
    <w:rsid w:val="00C50F55"/>
    <w:rsid w:val="00C5160C"/>
    <w:rsid w:val="00C53355"/>
    <w:rsid w:val="00C54F37"/>
    <w:rsid w:val="00C56E2E"/>
    <w:rsid w:val="00C6179C"/>
    <w:rsid w:val="00C62842"/>
    <w:rsid w:val="00C6536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36C1"/>
    <w:rsid w:val="00CA6D93"/>
    <w:rsid w:val="00CA741F"/>
    <w:rsid w:val="00CA7E7D"/>
    <w:rsid w:val="00CA7E8D"/>
    <w:rsid w:val="00CB036C"/>
    <w:rsid w:val="00CB13C0"/>
    <w:rsid w:val="00CB63A7"/>
    <w:rsid w:val="00CB7323"/>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F220B"/>
    <w:rsid w:val="00CF4014"/>
    <w:rsid w:val="00D00925"/>
    <w:rsid w:val="00D03363"/>
    <w:rsid w:val="00D0610E"/>
    <w:rsid w:val="00D117BF"/>
    <w:rsid w:val="00D122FD"/>
    <w:rsid w:val="00D13812"/>
    <w:rsid w:val="00D160C2"/>
    <w:rsid w:val="00D16DB7"/>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7C35"/>
    <w:rsid w:val="00DA0BB3"/>
    <w:rsid w:val="00DA0CA2"/>
    <w:rsid w:val="00DA0CF2"/>
    <w:rsid w:val="00DA165A"/>
    <w:rsid w:val="00DA3223"/>
    <w:rsid w:val="00DA5D27"/>
    <w:rsid w:val="00DA5D99"/>
    <w:rsid w:val="00DA684F"/>
    <w:rsid w:val="00DA711E"/>
    <w:rsid w:val="00DA79F5"/>
    <w:rsid w:val="00DB026B"/>
    <w:rsid w:val="00DB0D9F"/>
    <w:rsid w:val="00DB2942"/>
    <w:rsid w:val="00DB3557"/>
    <w:rsid w:val="00DB416A"/>
    <w:rsid w:val="00DB71C2"/>
    <w:rsid w:val="00DD1B58"/>
    <w:rsid w:val="00DD4C39"/>
    <w:rsid w:val="00DD69CC"/>
    <w:rsid w:val="00DD72FD"/>
    <w:rsid w:val="00DE2507"/>
    <w:rsid w:val="00DE7887"/>
    <w:rsid w:val="00DF0742"/>
    <w:rsid w:val="00DF09DD"/>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E70"/>
    <w:rsid w:val="00E175E6"/>
    <w:rsid w:val="00E207E9"/>
    <w:rsid w:val="00E2165E"/>
    <w:rsid w:val="00E219BD"/>
    <w:rsid w:val="00E234E9"/>
    <w:rsid w:val="00E259C9"/>
    <w:rsid w:val="00E305FB"/>
    <w:rsid w:val="00E3707C"/>
    <w:rsid w:val="00E403BF"/>
    <w:rsid w:val="00E40BBC"/>
    <w:rsid w:val="00E43856"/>
    <w:rsid w:val="00E4458D"/>
    <w:rsid w:val="00E445A6"/>
    <w:rsid w:val="00E45CF8"/>
    <w:rsid w:val="00E464DF"/>
    <w:rsid w:val="00E466CC"/>
    <w:rsid w:val="00E556A9"/>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1087"/>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6884"/>
    <w:rsid w:val="00FC1132"/>
    <w:rsid w:val="00FC1865"/>
    <w:rsid w:val="00FC1C55"/>
    <w:rsid w:val="00FC256E"/>
    <w:rsid w:val="00FC54AD"/>
    <w:rsid w:val="00FD1972"/>
    <w:rsid w:val="00FD1D26"/>
    <w:rsid w:val="00FD3601"/>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uiPriority w:val="99"/>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qFormat/>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qFormat/>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 w:type="character" w:customStyle="1" w:styleId="CommentReference1">
    <w:name w:val="Comment Reference1"/>
    <w:basedOn w:val="DefaultParagraphFont"/>
    <w:uiPriority w:val="99"/>
    <w:semiHidden/>
    <w:unhideWhenUsed/>
    <w:rsid w:val="00F81087"/>
    <w:rPr>
      <w:sz w:val="16"/>
      <w:szCs w:val="16"/>
    </w:rPr>
  </w:style>
  <w:style w:type="table" w:styleId="TableGrid">
    <w:name w:val="Table Grid"/>
    <w:basedOn w:val="TableNormal"/>
    <w:uiPriority w:val="39"/>
    <w:rsid w:val="00302854"/>
    <w:pPr>
      <w:spacing w:after="0" w:line="240" w:lineRule="auto"/>
    </w:pPr>
    <w:rPr>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BodyText"/>
    <w:qFormat/>
    <w:rsid w:val="00302854"/>
    <w:pPr>
      <w:spacing w:before="36" w:after="36"/>
      <w:jc w:val="left"/>
    </w:pPr>
    <w:rPr>
      <w:rFonts w:asciiTheme="minorHAnsi" w:eastAsiaTheme="minorHAnsi" w:hAnsiTheme="minorHAnsi" w:cstheme="minorBidi"/>
      <w:b w:val="0"/>
      <w:bCs w:val="0"/>
      <w:lang w:val="fr-FR" w:eastAsia="en-US"/>
    </w:rPr>
  </w:style>
  <w:style w:type="table" w:customStyle="1" w:styleId="Table">
    <w:name w:val="Table"/>
    <w:semiHidden/>
    <w:unhideWhenUsed/>
    <w:qFormat/>
    <w:rsid w:val="00302854"/>
    <w:pPr>
      <w:spacing w:after="200" w:line="240" w:lineRule="auto"/>
    </w:pPr>
    <w:rPr>
      <w:sz w:val="24"/>
      <w:szCs w:val="24"/>
      <w:lang w:val="fr-FR"/>
    </w:rPr>
    <w:tblPr>
      <w:tblInd w:w="0" w:type="dxa"/>
      <w:tblCellMar>
        <w:top w:w="0" w:type="dxa"/>
        <w:left w:w="108" w:type="dxa"/>
        <w:bottom w:w="0" w:type="dxa"/>
        <w:right w:w="108" w:type="dxa"/>
      </w:tblCellMar>
    </w:tblPr>
  </w:style>
  <w:style w:type="paragraph" w:styleId="Caption">
    <w:name w:val="caption"/>
    <w:basedOn w:val="Normal"/>
    <w:link w:val="CaptionChar"/>
    <w:qFormat/>
    <w:rsid w:val="00302854"/>
    <w:pPr>
      <w:spacing w:after="120"/>
    </w:pPr>
    <w:rPr>
      <w:rFonts w:asciiTheme="minorHAnsi" w:eastAsiaTheme="minorHAnsi" w:hAnsiTheme="minorHAnsi" w:cstheme="minorBidi"/>
      <w:i/>
      <w:lang w:val="fr-FR"/>
    </w:rPr>
  </w:style>
  <w:style w:type="character" w:customStyle="1" w:styleId="CaptionChar">
    <w:name w:val="Caption Char"/>
    <w:basedOn w:val="DefaultParagraphFont"/>
    <w:link w:val="Caption"/>
    <w:rsid w:val="00302854"/>
    <w:rPr>
      <w:i/>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f/2021-04-f.pdf" TargetMode="External"/><Relationship Id="rId13" Type="http://schemas.openxmlformats.org/officeDocument/2006/relationships/image" Target="media/image4.tiff"/><Relationship Id="rId18" Type="http://schemas.openxmlformats.org/officeDocument/2006/relationships/hyperlink" Target="https://github.com/flr/FLBEIAshiny"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iccat.int/Documents/Recs/compendiopdf-f/2024-08-f.pdf" TargetMode="Externa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hyperlink" Target="https://www.iccat.int/Documents/Recs/compendiopdf-f/2021-04-f.pd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aztigps.shinyapps.io/shinyflbeia/?dataset=NALB" TargetMode="External"/><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24" Type="http://schemas.openxmlformats.org/officeDocument/2006/relationships/hyperlink" Target="https://www.iccat.int/Documents/Recs/compendiopdf-f/2025-04-f.pdf" TargetMode="External"/><Relationship Id="rId5" Type="http://schemas.openxmlformats.org/officeDocument/2006/relationships/webSettings" Target="webSettings.xml"/><Relationship Id="rId15" Type="http://schemas.openxmlformats.org/officeDocument/2006/relationships/hyperlink" Target="https://iccat.github.io/nalb-mse-2/TechSpec/Trial_Specs.html" TargetMode="External"/><Relationship Id="rId23" Type="http://schemas.openxmlformats.org/officeDocument/2006/relationships/hyperlink" Target="https://www.iccat.int/Documents/BienRep/REP_FR_24-25-I-2.pdf" TargetMode="Externa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www.iccat.int/Documents/Recs/compendiopdf-f/2021-04-f.pdf" TargetMode="External"/><Relationship Id="rId14" Type="http://schemas.openxmlformats.org/officeDocument/2006/relationships/hyperlink" Target="https://www.iccat.int/Documents/Recs/compendiopdf-f/2021-04-f.pdf" TargetMode="External"/><Relationship Id="rId22" Type="http://schemas.openxmlformats.org/officeDocument/2006/relationships/hyperlink" Target="https://www.iccat.int/Documents/BienRep/REP_FR_24-25-I-2.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2587</Words>
  <Characters>14752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17305</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2026-10-14T10:49:00Z</dcterms:created>
  <dcterms:modified xsi:type="dcterms:W3CDTF">2026-10-14T12:36:00Z</dcterms:modified>
</cp:coreProperties>
</file>