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450C30FA" w:rsidR="000B0920" w:rsidRDefault="00857C38" w:rsidP="00857C38">
      <w:pPr>
        <w:jc w:val="right"/>
        <w:rPr>
          <w:rFonts w:ascii="Cambria" w:hAnsi="Cambria"/>
          <w:sz w:val="20"/>
          <w:szCs w:val="20"/>
          <w:lang w:val="en-US"/>
        </w:rPr>
      </w:pPr>
      <w:r w:rsidRPr="00857C38">
        <w:rPr>
          <w:rFonts w:ascii="Cambria" w:hAnsi="Cambria"/>
          <w:b/>
          <w:bCs/>
          <w:sz w:val="20"/>
          <w:szCs w:val="20"/>
          <w:lang w:val="en-US"/>
        </w:rPr>
        <w:t>Original</w:t>
      </w:r>
      <w:r w:rsidRPr="00857C38">
        <w:rPr>
          <w:rFonts w:ascii="Cambria" w:hAnsi="Cambria"/>
          <w:sz w:val="20"/>
          <w:szCs w:val="20"/>
          <w:lang w:val="en-US"/>
        </w:rPr>
        <w:t>: English</w:t>
      </w:r>
    </w:p>
    <w:p w14:paraId="546FFD34" w14:textId="77777777" w:rsidR="00857C38" w:rsidRDefault="00857C38" w:rsidP="00857C38">
      <w:pPr>
        <w:jc w:val="right"/>
        <w:rPr>
          <w:rFonts w:ascii="Cambria" w:hAnsi="Cambria"/>
          <w:sz w:val="20"/>
          <w:szCs w:val="20"/>
          <w:lang w:val="en-US"/>
        </w:rPr>
      </w:pPr>
    </w:p>
    <w:p w14:paraId="3E977207" w14:textId="58EB5EAA" w:rsidR="00857C38" w:rsidRDefault="00857C38" w:rsidP="00857C38">
      <w:pPr>
        <w:jc w:val="center"/>
        <w:rPr>
          <w:rFonts w:ascii="Cambria" w:hAnsi="Cambria"/>
          <w:b/>
          <w:bCs/>
          <w:sz w:val="20"/>
          <w:szCs w:val="20"/>
          <w:lang w:val="en-US"/>
        </w:rPr>
      </w:pPr>
      <w:r w:rsidRPr="00857C38">
        <w:rPr>
          <w:rFonts w:ascii="Cambria" w:hAnsi="Cambria"/>
          <w:b/>
          <w:bCs/>
          <w:sz w:val="20"/>
          <w:szCs w:val="20"/>
          <w:lang w:val="en-US"/>
        </w:rPr>
        <w:t xml:space="preserve">Responses and recommendations from the SCRS relevant to Panel </w:t>
      </w:r>
      <w:r w:rsidR="00F76738">
        <w:rPr>
          <w:rFonts w:ascii="Cambria" w:hAnsi="Cambria"/>
          <w:b/>
          <w:bCs/>
          <w:sz w:val="20"/>
          <w:szCs w:val="20"/>
          <w:lang w:val="en-US"/>
        </w:rPr>
        <w:t>2</w:t>
      </w:r>
    </w:p>
    <w:p w14:paraId="0E95A3C4" w14:textId="77777777" w:rsidR="00225DE6" w:rsidRPr="00225DE6" w:rsidRDefault="00225DE6" w:rsidP="00857C38">
      <w:pPr>
        <w:jc w:val="center"/>
        <w:rPr>
          <w:rFonts w:ascii="Cambria" w:hAnsi="Cambria"/>
          <w:sz w:val="20"/>
          <w:szCs w:val="20"/>
          <w:lang w:val="en-US"/>
        </w:rPr>
      </w:pPr>
    </w:p>
    <w:p w14:paraId="35FFE817" w14:textId="77777777" w:rsidR="00225DE6" w:rsidRPr="00225DE6" w:rsidRDefault="00225DE6" w:rsidP="00225DE6">
      <w:pPr>
        <w:jc w:val="center"/>
        <w:rPr>
          <w:rFonts w:ascii="Cambria" w:hAnsi="Cambria"/>
          <w:sz w:val="20"/>
          <w:szCs w:val="20"/>
          <w:lang w:val="en-US"/>
        </w:rPr>
      </w:pPr>
    </w:p>
    <w:p w14:paraId="35779A6A" w14:textId="77777777" w:rsidR="00225DE6" w:rsidRDefault="00225DE6" w:rsidP="00225DE6">
      <w:pPr>
        <w:jc w:val="both"/>
        <w:rPr>
          <w:rFonts w:ascii="Cambria" w:hAnsi="Cambria"/>
          <w:sz w:val="20"/>
          <w:szCs w:val="20"/>
          <w:lang w:val="en-US"/>
        </w:rPr>
      </w:pPr>
      <w:r>
        <w:rPr>
          <w:rFonts w:ascii="Cambria" w:hAnsi="Cambria"/>
          <w:sz w:val="20"/>
          <w:szCs w:val="20"/>
          <w:lang w:val="en-US"/>
        </w:rPr>
        <w:t>The 2026 responses to the Commission and recommendations from the SCRS that are relevant to Panel 1 were compiled by the Secretariat directly from the 2026 SCRS Plenary meeting report (document PLE-104). The Recommendations with financial implications are not contained herein, as those are included in Appendix 2 of the ICCAT budget proposal (document STF-203).</w:t>
      </w:r>
    </w:p>
    <w:p w14:paraId="486BA91A" w14:textId="77777777" w:rsidR="00225DE6" w:rsidRDefault="00225DE6" w:rsidP="00225DE6">
      <w:pPr>
        <w:jc w:val="both"/>
        <w:rPr>
          <w:rFonts w:ascii="Cambria" w:hAnsi="Cambria"/>
          <w:sz w:val="20"/>
          <w:szCs w:val="20"/>
          <w:lang w:val="en-US"/>
        </w:rPr>
      </w:pPr>
    </w:p>
    <w:p w14:paraId="6543270E" w14:textId="77777777" w:rsidR="00225DE6" w:rsidRDefault="00225DE6" w:rsidP="00225DE6">
      <w:pPr>
        <w:jc w:val="both"/>
        <w:rPr>
          <w:rFonts w:ascii="Cambria" w:hAnsi="Cambria"/>
          <w:sz w:val="20"/>
          <w:szCs w:val="20"/>
          <w:lang w:val="en-US"/>
        </w:rPr>
      </w:pPr>
    </w:p>
    <w:p w14:paraId="5C3E3168" w14:textId="77777777" w:rsidR="00225DE6" w:rsidRDefault="00225DE6" w:rsidP="00225DE6">
      <w:pPr>
        <w:jc w:val="both"/>
        <w:rPr>
          <w:rFonts w:ascii="Cambria" w:hAnsi="Cambria"/>
          <w:b/>
          <w:bCs/>
          <w:sz w:val="20"/>
          <w:szCs w:val="20"/>
          <w:lang w:val="en-US"/>
        </w:rPr>
      </w:pPr>
      <w:r w:rsidRPr="00E41357">
        <w:rPr>
          <w:rFonts w:ascii="Cambria" w:hAnsi="Cambria"/>
          <w:b/>
          <w:bCs/>
          <w:sz w:val="20"/>
          <w:szCs w:val="20"/>
          <w:lang w:val="en-US"/>
        </w:rPr>
        <w:t>Responses to the Commission</w:t>
      </w:r>
    </w:p>
    <w:p w14:paraId="58FA3D25" w14:textId="77777777" w:rsidR="00225DE6" w:rsidRDefault="00225DE6" w:rsidP="00225DE6">
      <w:pPr>
        <w:jc w:val="both"/>
        <w:rPr>
          <w:rFonts w:ascii="Cambria" w:hAnsi="Cambria"/>
          <w:sz w:val="20"/>
          <w:szCs w:val="20"/>
          <w:lang w:val="en-US"/>
        </w:rPr>
      </w:pPr>
    </w:p>
    <w:p w14:paraId="7543C8BF" w14:textId="6E2B7FD4" w:rsidR="00225DE6" w:rsidRPr="00225DE6" w:rsidRDefault="00225DE6" w:rsidP="00225DE6">
      <w:pPr>
        <w:jc w:val="both"/>
        <w:rPr>
          <w:rFonts w:ascii="Cambria" w:hAnsi="Cambria"/>
          <w:i/>
          <w:iCs/>
          <w:sz w:val="20"/>
          <w:szCs w:val="20"/>
          <w:lang w:val="en-US"/>
        </w:rPr>
      </w:pPr>
      <w:r w:rsidRPr="00225DE6">
        <w:rPr>
          <w:rFonts w:ascii="Cambria" w:hAnsi="Cambria"/>
          <w:i/>
          <w:iCs/>
          <w:sz w:val="20"/>
          <w:szCs w:val="20"/>
          <w:lang w:val="en-US"/>
        </w:rPr>
        <w:t>Northern Atlantic albacore</w:t>
      </w:r>
    </w:p>
    <w:p w14:paraId="34861D31" w14:textId="77777777" w:rsidR="00225DE6" w:rsidRDefault="00225DE6" w:rsidP="00225DE6">
      <w:pPr>
        <w:jc w:val="both"/>
        <w:rPr>
          <w:rFonts w:ascii="Cambria" w:hAnsi="Cambria"/>
          <w:sz w:val="20"/>
          <w:szCs w:val="20"/>
          <w:lang w:val="en-US"/>
        </w:rPr>
      </w:pPr>
    </w:p>
    <w:p w14:paraId="4A22EBBC" w14:textId="2088C9F6" w:rsidR="00225DE6" w:rsidRPr="003D6520" w:rsidRDefault="00225DE6" w:rsidP="00225DE6">
      <w:pPr>
        <w:tabs>
          <w:tab w:val="left" w:pos="0"/>
          <w:tab w:val="right" w:leader="dot" w:pos="8505"/>
          <w:tab w:val="right" w:pos="9072"/>
        </w:tabs>
        <w:autoSpaceDE w:val="0"/>
        <w:autoSpaceDN w:val="0"/>
        <w:adjustRightInd w:val="0"/>
        <w:ind w:right="4"/>
        <w:jc w:val="both"/>
        <w:rPr>
          <w:rFonts w:ascii="Cambria" w:hAnsi="Cambria"/>
          <w:b/>
          <w:bCs/>
          <w:i/>
          <w:iCs/>
          <w:sz w:val="20"/>
          <w:szCs w:val="20"/>
          <w:lang w:val="en-GB"/>
        </w:rPr>
      </w:pPr>
      <w:r w:rsidRPr="003D6520">
        <w:rPr>
          <w:rFonts w:ascii="Cambria" w:eastAsia="Aptos" w:hAnsi="Cambria"/>
          <w:b/>
          <w:bCs/>
          <w:i/>
          <w:iCs/>
          <w:kern w:val="2"/>
          <w:sz w:val="20"/>
          <w:szCs w:val="20"/>
          <w:lang w:val="en-US"/>
          <w14:ligatures w14:val="standardContextual"/>
        </w:rPr>
        <w:t xml:space="preserve">19.8 </w:t>
      </w:r>
      <w:r w:rsidRPr="003D6520">
        <w:rPr>
          <w:rFonts w:ascii="Cambria" w:eastAsia="Cambria" w:hAnsi="Cambria"/>
          <w:b/>
          <w:i/>
          <w:color w:val="000000"/>
          <w:sz w:val="20"/>
          <w:szCs w:val="20"/>
          <w:lang w:val="en-US"/>
        </w:rPr>
        <w:t>The SCRS shall assess the occurrence of exceptional circumstances (ECs</w:t>
      </w:r>
      <w:proofErr w:type="gramStart"/>
      <w:r w:rsidRPr="003D6520">
        <w:rPr>
          <w:rFonts w:ascii="Cambria" w:eastAsia="Cambria" w:hAnsi="Cambria"/>
          <w:b/>
          <w:i/>
          <w:color w:val="000000"/>
          <w:sz w:val="20"/>
          <w:szCs w:val="20"/>
          <w:lang w:val="en-US"/>
        </w:rPr>
        <w:t>)</w:t>
      </w:r>
      <w:proofErr w:type="gramEnd"/>
      <w:r w:rsidRPr="003D6520">
        <w:rPr>
          <w:rFonts w:ascii="Cambria" w:eastAsia="Cambria" w:hAnsi="Cambria"/>
          <w:b/>
          <w:i/>
          <w:color w:val="000000"/>
          <w:sz w:val="20"/>
          <w:szCs w:val="20"/>
          <w:lang w:val="en-US"/>
        </w:rPr>
        <w:t xml:space="preserve"> and the Commission shall act in accordance with the Exceptional Circumstances Protocol </w:t>
      </w:r>
      <w:proofErr w:type="gramStart"/>
      <w:r w:rsidRPr="003D6520">
        <w:rPr>
          <w:rFonts w:ascii="Cambria" w:eastAsia="Cambria" w:hAnsi="Cambria"/>
          <w:b/>
          <w:i/>
          <w:color w:val="000000"/>
          <w:sz w:val="20"/>
          <w:szCs w:val="20"/>
          <w:lang w:val="en-US"/>
        </w:rPr>
        <w:t>sets</w:t>
      </w:r>
      <w:proofErr w:type="gramEnd"/>
      <w:r w:rsidRPr="003D6520">
        <w:rPr>
          <w:rFonts w:ascii="Cambria" w:eastAsia="Cambria" w:hAnsi="Cambria"/>
          <w:b/>
          <w:i/>
          <w:color w:val="000000"/>
          <w:sz w:val="20"/>
          <w:szCs w:val="20"/>
          <w:lang w:val="en-US"/>
        </w:rPr>
        <w:t xml:space="preserve"> out in Annex 2</w:t>
      </w:r>
      <w:r w:rsidRPr="003D6520">
        <w:rPr>
          <w:rFonts w:ascii="Cambria" w:eastAsia="Cambria" w:hAnsi="Cambria" w:cs="Cambria"/>
          <w:b/>
          <w:i/>
          <w:color w:val="000000"/>
          <w:sz w:val="20"/>
          <w:szCs w:val="20"/>
          <w:lang w:val="en-US"/>
        </w:rPr>
        <w:t xml:space="preserve">, </w:t>
      </w:r>
      <w:hyperlink r:id="rId8" w:history="1">
        <w:r w:rsidRPr="003D6520">
          <w:rPr>
            <w:rStyle w:val="Hyperlink"/>
            <w:rFonts w:ascii="Cambria" w:eastAsia="Cambria" w:hAnsi="Cambria"/>
            <w:b/>
            <w:i/>
            <w:sz w:val="20"/>
            <w:szCs w:val="20"/>
            <w:u w:val="none"/>
            <w:lang w:val="en-US"/>
          </w:rPr>
          <w:t>Rec. 21-04</w:t>
        </w:r>
      </w:hyperlink>
      <w:r w:rsidRPr="003D6520">
        <w:rPr>
          <w:rFonts w:ascii="Cambria" w:eastAsia="Cambria" w:hAnsi="Cambria" w:cs="Cambria"/>
          <w:b/>
          <w:i/>
          <w:color w:val="000000"/>
          <w:sz w:val="20"/>
          <w:szCs w:val="20"/>
          <w:lang w:val="en-US"/>
        </w:rPr>
        <w:t xml:space="preserve">, para 4 </w:t>
      </w:r>
    </w:p>
    <w:p w14:paraId="38BA7446" w14:textId="77777777" w:rsidR="00225DE6" w:rsidRPr="003D6520" w:rsidRDefault="00225DE6" w:rsidP="00225DE6">
      <w:pPr>
        <w:pBdr>
          <w:top w:val="nil"/>
          <w:left w:val="nil"/>
          <w:bottom w:val="nil"/>
          <w:right w:val="nil"/>
          <w:between w:val="nil"/>
        </w:pBdr>
        <w:tabs>
          <w:tab w:val="left" w:pos="720"/>
          <w:tab w:val="left" w:pos="426"/>
          <w:tab w:val="left" w:pos="567"/>
          <w:tab w:val="right" w:pos="8505"/>
          <w:tab w:val="right" w:pos="9072"/>
        </w:tabs>
        <w:ind w:left="426" w:right="4" w:hanging="426"/>
        <w:jc w:val="both"/>
        <w:rPr>
          <w:rFonts w:ascii="Cambria" w:eastAsia="Cambria" w:hAnsi="Cambria" w:cs="Cambria"/>
          <w:b/>
          <w:i/>
          <w:color w:val="000000"/>
          <w:sz w:val="20"/>
          <w:szCs w:val="20"/>
          <w:lang w:val="en-GB"/>
        </w:rPr>
      </w:pPr>
    </w:p>
    <w:p w14:paraId="640B6743" w14:textId="77777777" w:rsidR="00225DE6" w:rsidRPr="003D6520" w:rsidRDefault="00225DE6" w:rsidP="00225DE6">
      <w:pPr>
        <w:jc w:val="both"/>
        <w:rPr>
          <w:rFonts w:ascii="Cambria" w:hAnsi="Cambria"/>
          <w:sz w:val="20"/>
          <w:szCs w:val="20"/>
          <w:lang w:val="en-US"/>
        </w:rPr>
      </w:pPr>
      <w:r w:rsidRPr="003D6520">
        <w:rPr>
          <w:rFonts w:ascii="Cambria" w:eastAsia="Cambria" w:hAnsi="Cambria" w:cs="Cambria"/>
          <w:b/>
          <w:color w:val="000000"/>
          <w:sz w:val="20"/>
          <w:szCs w:val="20"/>
          <w:lang w:val="en-US"/>
        </w:rPr>
        <w:t xml:space="preserve">Background: </w:t>
      </w:r>
      <w:r w:rsidRPr="003D6520">
        <w:rPr>
          <w:rFonts w:ascii="Cambria" w:hAnsi="Cambria"/>
          <w:i/>
          <w:iCs/>
          <w:sz w:val="20"/>
          <w:szCs w:val="20"/>
          <w:lang w:val="en-US"/>
        </w:rPr>
        <w:t>The SCRS shall assess the occurrence of exceptional circumstances (ECs</w:t>
      </w:r>
      <w:proofErr w:type="gramStart"/>
      <w:r w:rsidRPr="003D6520">
        <w:rPr>
          <w:rFonts w:ascii="Cambria" w:hAnsi="Cambria"/>
          <w:i/>
          <w:iCs/>
          <w:sz w:val="20"/>
          <w:szCs w:val="20"/>
          <w:lang w:val="en-US"/>
        </w:rPr>
        <w:t>)</w:t>
      </w:r>
      <w:proofErr w:type="gramEnd"/>
      <w:r w:rsidRPr="003D6520">
        <w:rPr>
          <w:rFonts w:ascii="Cambria" w:hAnsi="Cambria"/>
          <w:i/>
          <w:iCs/>
          <w:sz w:val="20"/>
          <w:szCs w:val="20"/>
          <w:lang w:val="en-US"/>
        </w:rPr>
        <w:t xml:space="preserve"> and the Commission shall act in accordance with the Exceptional Circumstances Protocol </w:t>
      </w:r>
      <w:proofErr w:type="gramStart"/>
      <w:r w:rsidRPr="003D6520">
        <w:rPr>
          <w:rFonts w:ascii="Cambria" w:hAnsi="Cambria"/>
          <w:i/>
          <w:iCs/>
          <w:sz w:val="20"/>
          <w:szCs w:val="20"/>
          <w:lang w:val="en-US"/>
        </w:rPr>
        <w:t>sets</w:t>
      </w:r>
      <w:proofErr w:type="gramEnd"/>
      <w:r w:rsidRPr="003D6520">
        <w:rPr>
          <w:rFonts w:ascii="Cambria" w:hAnsi="Cambria"/>
          <w:i/>
          <w:iCs/>
          <w:sz w:val="20"/>
          <w:szCs w:val="20"/>
          <w:lang w:val="en-US"/>
        </w:rPr>
        <w:t xml:space="preserve"> out in Annex 2.</w:t>
      </w:r>
    </w:p>
    <w:p w14:paraId="24855A45" w14:textId="77777777" w:rsidR="00225DE6" w:rsidRPr="003D6520" w:rsidRDefault="00225DE6" w:rsidP="00225DE6">
      <w:pPr>
        <w:tabs>
          <w:tab w:val="right" w:leader="dot" w:pos="8505"/>
          <w:tab w:val="right" w:pos="9072"/>
        </w:tabs>
        <w:ind w:right="-1"/>
        <w:contextualSpacing/>
        <w:jc w:val="both"/>
        <w:rPr>
          <w:rFonts w:ascii="Cambria" w:eastAsiaTheme="minorHAnsi" w:hAnsi="Cambria" w:cstheme="minorBidi"/>
          <w:sz w:val="20"/>
          <w:szCs w:val="20"/>
          <w:lang w:val="en-US"/>
        </w:rPr>
      </w:pPr>
    </w:p>
    <w:p w14:paraId="2AE4D63F" w14:textId="77777777" w:rsidR="00225DE6" w:rsidRPr="003D6520" w:rsidRDefault="00225DE6" w:rsidP="00225DE6">
      <w:pPr>
        <w:autoSpaceDE w:val="0"/>
        <w:autoSpaceDN w:val="0"/>
        <w:adjustRightInd w:val="0"/>
        <w:jc w:val="both"/>
        <w:rPr>
          <w:rFonts w:ascii="Cambria" w:hAnsi="Cambria" w:cs="Cambria"/>
          <w:color w:val="000000"/>
          <w:sz w:val="20"/>
          <w:szCs w:val="20"/>
          <w:lang w:val="en-US"/>
        </w:rPr>
      </w:pPr>
      <w:r w:rsidRPr="003D6520">
        <w:rPr>
          <w:rFonts w:ascii="Cambria" w:hAnsi="Cambria" w:cs="Cambria"/>
          <w:color w:val="000000"/>
          <w:sz w:val="20"/>
          <w:szCs w:val="20"/>
          <w:lang w:val="en-US"/>
        </w:rPr>
        <w:t xml:space="preserve">According to the North Atlantic albacore Exceptional circumstances protocol in </w:t>
      </w:r>
      <w:hyperlink r:id="rId9" w:history="1">
        <w:r w:rsidRPr="003D6520">
          <w:rPr>
            <w:rStyle w:val="Hyperlink"/>
            <w:rFonts w:ascii="Cambria" w:hAnsi="Cambria" w:cs="Cambria"/>
            <w:sz w:val="20"/>
            <w:szCs w:val="20"/>
            <w:u w:val="none"/>
            <w:lang w:val="en-US"/>
          </w:rPr>
          <w:t>Rec. 21-04</w:t>
        </w:r>
      </w:hyperlink>
      <w:r w:rsidRPr="003D6520">
        <w:rPr>
          <w:rFonts w:ascii="Cambria" w:hAnsi="Cambria" w:cs="Cambria"/>
          <w:color w:val="000000"/>
          <w:sz w:val="20"/>
          <w:szCs w:val="20"/>
          <w:lang w:val="en-US"/>
        </w:rPr>
        <w:t xml:space="preserve">, indicators related to catch, CPUE, relative biomass and relative fishing mortality were revised. </w:t>
      </w:r>
    </w:p>
    <w:p w14:paraId="27FBE5D0" w14:textId="77777777" w:rsidR="00225DE6" w:rsidRPr="003D6520" w:rsidRDefault="00225DE6" w:rsidP="00225DE6">
      <w:pPr>
        <w:autoSpaceDE w:val="0"/>
        <w:autoSpaceDN w:val="0"/>
        <w:adjustRightInd w:val="0"/>
        <w:jc w:val="both"/>
        <w:rPr>
          <w:rFonts w:ascii="Cambria" w:hAnsi="Cambria" w:cs="Cambria"/>
          <w:color w:val="000000"/>
          <w:sz w:val="20"/>
          <w:szCs w:val="20"/>
          <w:lang w:val="en-US"/>
        </w:rPr>
      </w:pPr>
    </w:p>
    <w:p w14:paraId="05AC1583" w14:textId="77777777" w:rsidR="00225DE6" w:rsidRPr="003D6520" w:rsidRDefault="00225DE6" w:rsidP="00225DE6">
      <w:pPr>
        <w:autoSpaceDE w:val="0"/>
        <w:autoSpaceDN w:val="0"/>
        <w:adjustRightInd w:val="0"/>
        <w:jc w:val="both"/>
        <w:rPr>
          <w:rFonts w:ascii="Cambria" w:hAnsi="Cambria"/>
          <w:sz w:val="20"/>
          <w:szCs w:val="20"/>
          <w:lang w:val="en-US"/>
        </w:rPr>
      </w:pPr>
      <w:r w:rsidRPr="003D6520">
        <w:rPr>
          <w:rFonts w:ascii="Cambria" w:hAnsi="Cambria"/>
          <w:sz w:val="20"/>
          <w:szCs w:val="20"/>
          <w:lang w:val="en-US"/>
        </w:rPr>
        <w:t>Since the adoption of the MP, catches have been lower than the TAC in all years except in 2019, when it was exceeded by 3.5% (</w:t>
      </w:r>
      <w:r w:rsidRPr="003D6520">
        <w:rPr>
          <w:rFonts w:ascii="Cambria" w:hAnsi="Cambria"/>
          <w:b/>
          <w:bCs/>
          <w:sz w:val="20"/>
          <w:szCs w:val="20"/>
          <w:lang w:val="en-US"/>
        </w:rPr>
        <w:t>Figure 19.8.1</w:t>
      </w:r>
      <w:r w:rsidRPr="003D6520">
        <w:rPr>
          <w:rFonts w:ascii="Cambria" w:hAnsi="Cambria"/>
          <w:sz w:val="20"/>
          <w:szCs w:val="20"/>
          <w:lang w:val="en-US"/>
        </w:rPr>
        <w:t xml:space="preserve">). </w:t>
      </w:r>
    </w:p>
    <w:p w14:paraId="35C1F7DD" w14:textId="77777777" w:rsidR="00225DE6" w:rsidRPr="003D6520" w:rsidRDefault="00225DE6" w:rsidP="00225DE6">
      <w:pPr>
        <w:autoSpaceDE w:val="0"/>
        <w:autoSpaceDN w:val="0"/>
        <w:adjustRightInd w:val="0"/>
        <w:jc w:val="both"/>
        <w:rPr>
          <w:rFonts w:ascii="Cambria" w:hAnsi="Cambria"/>
          <w:sz w:val="20"/>
          <w:szCs w:val="20"/>
          <w:lang w:val="en-US"/>
        </w:rPr>
      </w:pPr>
    </w:p>
    <w:p w14:paraId="6D4EB8BE" w14:textId="77777777" w:rsidR="00225DE6" w:rsidRPr="003D6520" w:rsidRDefault="00225DE6" w:rsidP="00225DE6">
      <w:pPr>
        <w:autoSpaceDE w:val="0"/>
        <w:autoSpaceDN w:val="0"/>
        <w:adjustRightInd w:val="0"/>
        <w:jc w:val="both"/>
        <w:rPr>
          <w:rFonts w:ascii="Cambria" w:hAnsi="Cambria"/>
          <w:sz w:val="20"/>
          <w:szCs w:val="20"/>
          <w:lang w:val="en-US"/>
        </w:rPr>
      </w:pPr>
      <w:r w:rsidRPr="003D6520">
        <w:rPr>
          <w:rFonts w:ascii="Cambria" w:hAnsi="Cambria"/>
          <w:sz w:val="20"/>
          <w:szCs w:val="20"/>
          <w:lang w:val="en-US"/>
        </w:rPr>
        <w:t xml:space="preserve">Updated CPUE series fall within the 2.5-97.5 percentile of the normalized CPUE values used to run the closed-loop simulations in the MSE. The only exception is the 2018 value of the Spanish </w:t>
      </w:r>
      <w:proofErr w:type="spellStart"/>
      <w:r w:rsidRPr="003D6520">
        <w:rPr>
          <w:rFonts w:ascii="Cambria" w:hAnsi="Cambria"/>
          <w:sz w:val="20"/>
          <w:szCs w:val="20"/>
          <w:lang w:val="en-US"/>
        </w:rPr>
        <w:t>baitboat</w:t>
      </w:r>
      <w:proofErr w:type="spellEnd"/>
      <w:r w:rsidRPr="003D6520">
        <w:rPr>
          <w:rFonts w:ascii="Cambria" w:hAnsi="Cambria"/>
          <w:sz w:val="20"/>
          <w:szCs w:val="20"/>
          <w:lang w:val="en-US"/>
        </w:rPr>
        <w:t xml:space="preserve"> CPUE, which is slightly larger than the values used in the MSE (</w:t>
      </w:r>
      <w:r w:rsidRPr="003D6520">
        <w:rPr>
          <w:rFonts w:ascii="Cambria" w:hAnsi="Cambria"/>
          <w:b/>
          <w:bCs/>
          <w:sz w:val="20"/>
          <w:szCs w:val="20"/>
          <w:lang w:val="en-US"/>
        </w:rPr>
        <w:t>Figure 19.8.2</w:t>
      </w:r>
      <w:r w:rsidRPr="003D6520">
        <w:rPr>
          <w:rFonts w:ascii="Cambria" w:hAnsi="Cambria"/>
          <w:sz w:val="20"/>
          <w:szCs w:val="20"/>
          <w:lang w:val="en-US"/>
        </w:rPr>
        <w:t>).</w:t>
      </w:r>
    </w:p>
    <w:p w14:paraId="00123A9A" w14:textId="77777777" w:rsidR="00225DE6" w:rsidRPr="003D6520" w:rsidRDefault="00225DE6" w:rsidP="00225DE6">
      <w:pPr>
        <w:autoSpaceDE w:val="0"/>
        <w:autoSpaceDN w:val="0"/>
        <w:adjustRightInd w:val="0"/>
        <w:jc w:val="both"/>
        <w:rPr>
          <w:rFonts w:ascii="Cambria" w:hAnsi="Cambria"/>
          <w:sz w:val="20"/>
          <w:szCs w:val="20"/>
          <w:lang w:val="en-US"/>
        </w:rPr>
      </w:pPr>
    </w:p>
    <w:p w14:paraId="565ED6DF" w14:textId="77777777" w:rsidR="00225DE6" w:rsidRPr="003D6520" w:rsidRDefault="00225DE6" w:rsidP="00225DE6">
      <w:pPr>
        <w:pStyle w:val="Default"/>
        <w:jc w:val="both"/>
        <w:rPr>
          <w:sz w:val="20"/>
          <w:szCs w:val="20"/>
          <w:lang w:val="en-US"/>
        </w:rPr>
      </w:pPr>
      <w:r w:rsidRPr="003D6520">
        <w:rPr>
          <w:sz w:val="20"/>
          <w:szCs w:val="20"/>
          <w:lang w:val="en-US"/>
        </w:rPr>
        <w:t>The adopted MP was rerun in 2026. Relative stock biomass and fishing mortality of the re-run MP were compared against the 2.5 and 97.5 percentile range of values in any year from the 2.5 and 97.5 percentile range of values in any year produced by the accepted MP’s production model during MSE testing (</w:t>
      </w:r>
      <w:r w:rsidRPr="003D6520">
        <w:rPr>
          <w:b/>
          <w:bCs/>
          <w:sz w:val="20"/>
          <w:szCs w:val="20"/>
          <w:lang w:val="en-US"/>
        </w:rPr>
        <w:t>Figures 19.8.3, 19.8.4</w:t>
      </w:r>
      <w:r w:rsidRPr="003D6520">
        <w:rPr>
          <w:sz w:val="20"/>
          <w:szCs w:val="20"/>
          <w:lang w:val="en-US"/>
        </w:rPr>
        <w:t>). The estimates fall within the values (95% confidence interval (CI)) estimated in the MSE simulations.</w:t>
      </w:r>
    </w:p>
    <w:p w14:paraId="0F661A4F" w14:textId="77777777" w:rsidR="00225DE6" w:rsidRPr="003D6520" w:rsidRDefault="00225DE6" w:rsidP="00225DE6">
      <w:pPr>
        <w:jc w:val="both"/>
        <w:rPr>
          <w:rFonts w:ascii="Cambria" w:hAnsi="Cambria"/>
          <w:sz w:val="20"/>
          <w:szCs w:val="20"/>
          <w:lang w:val="en-US"/>
        </w:rPr>
      </w:pPr>
    </w:p>
    <w:p w14:paraId="5B0BFC06" w14:textId="77777777" w:rsidR="00225DE6" w:rsidRPr="003D6520" w:rsidRDefault="00225DE6" w:rsidP="00225DE6">
      <w:pPr>
        <w:jc w:val="both"/>
        <w:rPr>
          <w:rFonts w:ascii="Cambria" w:hAnsi="Cambria"/>
          <w:b/>
          <w:bCs/>
          <w:sz w:val="20"/>
          <w:szCs w:val="20"/>
          <w:lang w:val="en-US"/>
        </w:rPr>
      </w:pPr>
      <w:r w:rsidRPr="003D6520">
        <w:rPr>
          <w:rFonts w:ascii="Cambria" w:hAnsi="Cambria"/>
          <w:sz w:val="20"/>
          <w:szCs w:val="20"/>
          <w:lang w:val="en-US"/>
        </w:rPr>
        <w:t>In summary, the Committee concluded that no exceptional circumstance(s) were identified that preclude the application of the adopted MP to set the TAC for the period 2027-2029.</w:t>
      </w:r>
    </w:p>
    <w:p w14:paraId="75D05C46" w14:textId="77777777" w:rsidR="00225DE6" w:rsidRPr="003D6520" w:rsidRDefault="00225DE6" w:rsidP="00225DE6">
      <w:pPr>
        <w:autoSpaceDE w:val="0"/>
        <w:autoSpaceDN w:val="0"/>
        <w:adjustRightInd w:val="0"/>
        <w:rPr>
          <w:rFonts w:ascii="Cambria" w:hAnsi="Cambria" w:cs="Cambria"/>
          <w:color w:val="000000"/>
          <w:sz w:val="20"/>
          <w:szCs w:val="20"/>
          <w:lang w:val="en-US"/>
        </w:rPr>
      </w:pPr>
    </w:p>
    <w:p w14:paraId="5570F16C" w14:textId="77777777" w:rsidR="00225DE6" w:rsidRPr="003D6520" w:rsidRDefault="00225DE6" w:rsidP="00225DE6">
      <w:pPr>
        <w:jc w:val="center"/>
        <w:rPr>
          <w:rFonts w:ascii="Cambria" w:hAnsi="Cambria"/>
          <w:b/>
          <w:bCs/>
          <w:sz w:val="20"/>
          <w:szCs w:val="20"/>
        </w:rPr>
      </w:pPr>
      <w:r w:rsidRPr="003D6520">
        <w:rPr>
          <w:noProof/>
          <w14:ligatures w14:val="standardContextual"/>
        </w:rPr>
        <w:lastRenderedPageBreak/>
        <w:drawing>
          <wp:inline distT="0" distB="0" distL="0" distR="0" wp14:anchorId="33927C64" wp14:editId="15BACD57">
            <wp:extent cx="3932797" cy="3415086"/>
            <wp:effectExtent l="0" t="0" r="0" b="0"/>
            <wp:docPr id="720466209"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0466209" name="Imagen 2"/>
                    <pic:cNvPicPr>
                      <a:picLocks noChangeAspect="1"/>
                    </pic:cNvPicPr>
                  </pic:nvPicPr>
                  <pic:blipFill rotWithShape="1">
                    <a:blip r:embed="rId10" cstate="print">
                      <a:extLst>
                        <a:ext uri="{28A0092B-C50C-407E-A947-70E740481C1C}">
                          <a14:useLocalDpi xmlns:a14="http://schemas.microsoft.com/office/drawing/2010/main" val="0"/>
                        </a:ext>
                      </a:extLst>
                    </a:blip>
                    <a:srcRect/>
                    <a:stretch>
                      <a:fillRect/>
                    </a:stretch>
                  </pic:blipFill>
                  <pic:spPr bwMode="auto">
                    <a:xfrm>
                      <a:off x="0" y="0"/>
                      <a:ext cx="3940888" cy="3422112"/>
                    </a:xfrm>
                    <a:prstGeom prst="rect">
                      <a:avLst/>
                    </a:prstGeom>
                    <a:noFill/>
                    <a:ln>
                      <a:noFill/>
                    </a:ln>
                    <a:extLst>
                      <a:ext uri="{53640926-AAD7-44D8-BBD7-CCE9431645EC}">
                        <a14:shadowObscured xmlns:a14="http://schemas.microsoft.com/office/drawing/2010/main"/>
                      </a:ext>
                    </a:extLst>
                  </pic:spPr>
                </pic:pic>
              </a:graphicData>
            </a:graphic>
          </wp:inline>
        </w:drawing>
      </w:r>
    </w:p>
    <w:p w14:paraId="68EAB025" w14:textId="77777777" w:rsidR="00225DE6" w:rsidRPr="003D6520" w:rsidRDefault="00225DE6" w:rsidP="00225DE6">
      <w:pPr>
        <w:jc w:val="both"/>
        <w:rPr>
          <w:rFonts w:ascii="Cambria" w:hAnsi="Cambria"/>
          <w:b/>
          <w:bCs/>
          <w:sz w:val="20"/>
          <w:szCs w:val="20"/>
        </w:rPr>
      </w:pPr>
    </w:p>
    <w:p w14:paraId="0E747B92" w14:textId="77777777" w:rsidR="00225DE6" w:rsidRPr="003D6520" w:rsidRDefault="00225DE6" w:rsidP="00225DE6">
      <w:pPr>
        <w:jc w:val="both"/>
        <w:rPr>
          <w:rFonts w:ascii="Cambria" w:hAnsi="Cambria"/>
          <w:sz w:val="20"/>
          <w:szCs w:val="20"/>
          <w:lang w:val="en-US"/>
        </w:rPr>
      </w:pPr>
      <w:r w:rsidRPr="003D6520">
        <w:rPr>
          <w:rFonts w:ascii="Cambria" w:hAnsi="Cambria"/>
          <w:b/>
          <w:bCs/>
          <w:sz w:val="20"/>
          <w:szCs w:val="20"/>
          <w:lang w:val="en-US"/>
        </w:rPr>
        <w:t>Figure 19.8.1</w:t>
      </w:r>
      <w:r w:rsidRPr="003D6520">
        <w:rPr>
          <w:rFonts w:ascii="Cambria" w:hAnsi="Cambria"/>
          <w:sz w:val="20"/>
          <w:szCs w:val="20"/>
          <w:lang w:val="en-US"/>
        </w:rPr>
        <w:t xml:space="preserve"> ALB-N reported catch (Task 1NC, bars) and TAC (solid line).  Brown bars indicate years when the catch exceeded the TAC. Note that TAC established with the ALB-N harvest control rule or the MP started in 2018. </w:t>
      </w:r>
    </w:p>
    <w:p w14:paraId="25B55ABF" w14:textId="77777777" w:rsidR="00225DE6" w:rsidRPr="003D6520" w:rsidRDefault="00225DE6" w:rsidP="00225DE6">
      <w:pPr>
        <w:rPr>
          <w:rFonts w:ascii="Cambria" w:hAnsi="Cambria"/>
          <w:sz w:val="20"/>
          <w:szCs w:val="20"/>
          <w:lang w:val="en-US"/>
        </w:rPr>
      </w:pPr>
    </w:p>
    <w:p w14:paraId="39670889" w14:textId="77777777" w:rsidR="00225DE6" w:rsidRPr="003D6520" w:rsidRDefault="00225DE6" w:rsidP="00225DE6">
      <w:pPr>
        <w:jc w:val="both"/>
        <w:rPr>
          <w:rFonts w:ascii="Cambria" w:hAnsi="Cambria"/>
          <w:b/>
          <w:bCs/>
          <w:sz w:val="20"/>
          <w:szCs w:val="20"/>
          <w:lang w:val="en-US"/>
        </w:rPr>
      </w:pPr>
      <w:r w:rsidRPr="003D6520">
        <w:rPr>
          <w:noProof/>
        </w:rPr>
        <w:drawing>
          <wp:inline distT="0" distB="0" distL="0" distR="0" wp14:anchorId="3A64413F" wp14:editId="3327E208">
            <wp:extent cx="5732145" cy="3821430"/>
            <wp:effectExtent l="0" t="0" r="1905" b="7620"/>
            <wp:docPr id="196862329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2145" cy="3821430"/>
                    </a:xfrm>
                    <a:prstGeom prst="rect">
                      <a:avLst/>
                    </a:prstGeom>
                    <a:noFill/>
                    <a:ln>
                      <a:noFill/>
                    </a:ln>
                  </pic:spPr>
                </pic:pic>
              </a:graphicData>
            </a:graphic>
          </wp:inline>
        </w:drawing>
      </w:r>
    </w:p>
    <w:p w14:paraId="40BF3D9F" w14:textId="77777777" w:rsidR="00225DE6" w:rsidRPr="003D6520" w:rsidRDefault="00225DE6" w:rsidP="00225DE6">
      <w:pPr>
        <w:jc w:val="both"/>
        <w:rPr>
          <w:rFonts w:ascii="Cambria" w:hAnsi="Cambria"/>
          <w:sz w:val="20"/>
          <w:szCs w:val="20"/>
          <w:lang w:val="en-US"/>
        </w:rPr>
      </w:pPr>
      <w:r w:rsidRPr="003D6520">
        <w:rPr>
          <w:rFonts w:ascii="Cambria" w:hAnsi="Cambria"/>
          <w:b/>
          <w:bCs/>
          <w:sz w:val="20"/>
          <w:szCs w:val="20"/>
          <w:lang w:val="en-US"/>
        </w:rPr>
        <w:t>Figure 19.8.2</w:t>
      </w:r>
      <w:r w:rsidRPr="003D6520">
        <w:rPr>
          <w:rFonts w:ascii="Cambria" w:hAnsi="Cambria"/>
          <w:sz w:val="20"/>
          <w:szCs w:val="20"/>
          <w:lang w:val="en-US"/>
        </w:rPr>
        <w:t xml:space="preserve"> CPUE trajectories simulated in the MSE (boxplots) and standardized CPUEs (solid line) available in 2026.</w:t>
      </w:r>
    </w:p>
    <w:p w14:paraId="03ABCC0A" w14:textId="77777777" w:rsidR="00225DE6" w:rsidRPr="003D6520" w:rsidRDefault="00225DE6" w:rsidP="00225DE6">
      <w:pPr>
        <w:spacing w:after="160" w:line="259" w:lineRule="auto"/>
        <w:rPr>
          <w:rFonts w:ascii="Cambria" w:hAnsi="Cambria"/>
          <w:sz w:val="20"/>
          <w:szCs w:val="20"/>
          <w:lang w:val="en-US"/>
        </w:rPr>
      </w:pPr>
    </w:p>
    <w:p w14:paraId="70BF55D9" w14:textId="77777777" w:rsidR="00225DE6" w:rsidRPr="003D6520" w:rsidRDefault="00225DE6" w:rsidP="00225DE6">
      <w:pPr>
        <w:rPr>
          <w:rFonts w:ascii="Cambria" w:hAnsi="Cambria"/>
          <w:sz w:val="20"/>
          <w:szCs w:val="20"/>
          <w:lang w:val="en-US"/>
        </w:rPr>
      </w:pPr>
    </w:p>
    <w:p w14:paraId="774D6B34" w14:textId="77777777" w:rsidR="00225DE6" w:rsidRPr="003D6520" w:rsidRDefault="00225DE6" w:rsidP="00225DE6">
      <w:pPr>
        <w:jc w:val="both"/>
        <w:rPr>
          <w:rFonts w:ascii="Cambria" w:hAnsi="Cambria"/>
          <w:b/>
          <w:bCs/>
          <w:sz w:val="20"/>
          <w:szCs w:val="20"/>
        </w:rPr>
      </w:pPr>
      <w:r w:rsidRPr="003D6520">
        <w:rPr>
          <w:noProof/>
        </w:rPr>
        <w:lastRenderedPageBreak/>
        <w:drawing>
          <wp:inline distT="0" distB="0" distL="0" distR="0" wp14:anchorId="1C172613" wp14:editId="3F1C6039">
            <wp:extent cx="5732145" cy="3021965"/>
            <wp:effectExtent l="0" t="0" r="1905" b="6985"/>
            <wp:docPr id="1479155720"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a:stretch>
                      <a:fillRect/>
                    </a:stretch>
                  </pic:blipFill>
                  <pic:spPr bwMode="auto">
                    <a:xfrm>
                      <a:off x="0" y="0"/>
                      <a:ext cx="5732145" cy="3021965"/>
                    </a:xfrm>
                    <a:prstGeom prst="rect">
                      <a:avLst/>
                    </a:prstGeom>
                    <a:noFill/>
                    <a:ln>
                      <a:noFill/>
                    </a:ln>
                    <a:extLst>
                      <a:ext uri="{53640926-AAD7-44D8-BBD7-CCE9431645EC}">
                        <a14:shadowObscured xmlns:a14="http://schemas.microsoft.com/office/drawing/2010/main"/>
                      </a:ext>
                    </a:extLst>
                  </pic:spPr>
                </pic:pic>
              </a:graphicData>
            </a:graphic>
          </wp:inline>
        </w:drawing>
      </w:r>
    </w:p>
    <w:p w14:paraId="70169004" w14:textId="77777777" w:rsidR="00225DE6" w:rsidRPr="003D6520" w:rsidRDefault="00225DE6" w:rsidP="00225DE6">
      <w:pPr>
        <w:jc w:val="both"/>
        <w:rPr>
          <w:rFonts w:ascii="Cambria" w:hAnsi="Cambria"/>
          <w:b/>
          <w:bCs/>
          <w:sz w:val="20"/>
          <w:szCs w:val="20"/>
        </w:rPr>
      </w:pPr>
    </w:p>
    <w:p w14:paraId="2C9FD979" w14:textId="77777777" w:rsidR="00225DE6" w:rsidRPr="003D6520" w:rsidRDefault="00225DE6" w:rsidP="00225DE6">
      <w:pPr>
        <w:jc w:val="both"/>
        <w:rPr>
          <w:rFonts w:ascii="Cambria" w:hAnsi="Cambria"/>
          <w:sz w:val="20"/>
          <w:szCs w:val="20"/>
          <w:lang w:val="en-US"/>
        </w:rPr>
      </w:pPr>
      <w:r w:rsidRPr="003D6520">
        <w:rPr>
          <w:rFonts w:ascii="Cambria" w:hAnsi="Cambria"/>
          <w:b/>
          <w:bCs/>
          <w:sz w:val="20"/>
          <w:szCs w:val="20"/>
          <w:lang w:val="en-US"/>
        </w:rPr>
        <w:t>Figure 19.8.3</w:t>
      </w:r>
      <w:r w:rsidRPr="003D6520">
        <w:rPr>
          <w:rFonts w:ascii="Cambria" w:hAnsi="Cambria"/>
          <w:sz w:val="20"/>
          <w:szCs w:val="20"/>
          <w:lang w:val="en-US"/>
        </w:rPr>
        <w:t xml:space="preserve"> Relative biomass (B/B</w:t>
      </w:r>
      <w:r w:rsidRPr="003D6520">
        <w:rPr>
          <w:rFonts w:ascii="Cambria" w:hAnsi="Cambria"/>
          <w:sz w:val="20"/>
          <w:szCs w:val="20"/>
          <w:vertAlign w:val="subscript"/>
          <w:lang w:val="en-US"/>
        </w:rPr>
        <w:t>MSY</w:t>
      </w:r>
      <w:r w:rsidRPr="003D6520">
        <w:rPr>
          <w:rFonts w:ascii="Cambria" w:hAnsi="Cambria"/>
          <w:sz w:val="20"/>
          <w:szCs w:val="20"/>
          <w:lang w:val="en-US"/>
        </w:rPr>
        <w:t>) estimated in the MPs of the MSE (boxplot, boxes represent 50% CI and whiskers 95% CI) and estimates from the 2026 MP model (solid line).</w:t>
      </w:r>
    </w:p>
    <w:p w14:paraId="0B66BFB7" w14:textId="77777777" w:rsidR="00225DE6" w:rsidRPr="003D6520" w:rsidRDefault="00225DE6" w:rsidP="00225DE6">
      <w:pPr>
        <w:jc w:val="both"/>
        <w:rPr>
          <w:rFonts w:ascii="Cambria" w:hAnsi="Cambria"/>
          <w:sz w:val="20"/>
          <w:szCs w:val="20"/>
          <w:lang w:val="en-US"/>
        </w:rPr>
      </w:pPr>
    </w:p>
    <w:p w14:paraId="7FD59144" w14:textId="77777777" w:rsidR="00225DE6" w:rsidRPr="003D6520" w:rsidRDefault="00225DE6" w:rsidP="00225DE6">
      <w:pPr>
        <w:jc w:val="both"/>
        <w:rPr>
          <w:rFonts w:ascii="Cambria" w:hAnsi="Cambria"/>
          <w:sz w:val="20"/>
          <w:szCs w:val="20"/>
        </w:rPr>
      </w:pPr>
      <w:r w:rsidRPr="003D6520">
        <w:rPr>
          <w:noProof/>
        </w:rPr>
        <w:drawing>
          <wp:inline distT="0" distB="0" distL="0" distR="0" wp14:anchorId="3EA442D3" wp14:editId="3EA46382">
            <wp:extent cx="5732145" cy="3037205"/>
            <wp:effectExtent l="0" t="0" r="1905" b="0"/>
            <wp:docPr id="527834142"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a:stretch>
                      <a:fillRect/>
                    </a:stretch>
                  </pic:blipFill>
                  <pic:spPr bwMode="auto">
                    <a:xfrm>
                      <a:off x="0" y="0"/>
                      <a:ext cx="5732145" cy="3037205"/>
                    </a:xfrm>
                    <a:prstGeom prst="rect">
                      <a:avLst/>
                    </a:prstGeom>
                    <a:noFill/>
                    <a:ln>
                      <a:noFill/>
                    </a:ln>
                    <a:extLst>
                      <a:ext uri="{53640926-AAD7-44D8-BBD7-CCE9431645EC}">
                        <a14:shadowObscured xmlns:a14="http://schemas.microsoft.com/office/drawing/2010/main"/>
                      </a:ext>
                    </a:extLst>
                  </pic:spPr>
                </pic:pic>
              </a:graphicData>
            </a:graphic>
          </wp:inline>
        </w:drawing>
      </w:r>
    </w:p>
    <w:p w14:paraId="3F32C9FA" w14:textId="77777777" w:rsidR="00225DE6" w:rsidRPr="003D6520" w:rsidRDefault="00225DE6" w:rsidP="00225DE6">
      <w:pPr>
        <w:jc w:val="both"/>
        <w:rPr>
          <w:rFonts w:ascii="Cambria" w:hAnsi="Cambria"/>
          <w:sz w:val="20"/>
          <w:szCs w:val="20"/>
        </w:rPr>
      </w:pPr>
    </w:p>
    <w:p w14:paraId="1A7B416E" w14:textId="77777777" w:rsidR="00225DE6" w:rsidRPr="003D6520" w:rsidRDefault="00225DE6" w:rsidP="00225DE6">
      <w:pPr>
        <w:jc w:val="both"/>
        <w:rPr>
          <w:rFonts w:ascii="Cambria" w:hAnsi="Cambria"/>
          <w:sz w:val="20"/>
          <w:szCs w:val="20"/>
          <w:lang w:val="en-US"/>
        </w:rPr>
      </w:pPr>
      <w:r w:rsidRPr="003D6520">
        <w:rPr>
          <w:rFonts w:ascii="Cambria" w:hAnsi="Cambria"/>
          <w:b/>
          <w:bCs/>
          <w:sz w:val="20"/>
          <w:szCs w:val="20"/>
          <w:lang w:val="en-US"/>
        </w:rPr>
        <w:t>Figure 19.8.4</w:t>
      </w:r>
      <w:r w:rsidRPr="003D6520">
        <w:rPr>
          <w:rFonts w:ascii="Cambria" w:hAnsi="Cambria"/>
          <w:sz w:val="20"/>
          <w:szCs w:val="20"/>
          <w:lang w:val="en-US"/>
        </w:rPr>
        <w:t xml:space="preserve"> Relative fishing mortality (F/F</w:t>
      </w:r>
      <w:r w:rsidRPr="003D6520">
        <w:rPr>
          <w:rFonts w:ascii="Cambria" w:hAnsi="Cambria"/>
          <w:sz w:val="20"/>
          <w:szCs w:val="20"/>
          <w:vertAlign w:val="subscript"/>
          <w:lang w:val="en-US"/>
        </w:rPr>
        <w:t>MSY</w:t>
      </w:r>
      <w:r w:rsidRPr="003D6520">
        <w:rPr>
          <w:rFonts w:ascii="Cambria" w:hAnsi="Cambria"/>
          <w:sz w:val="20"/>
          <w:szCs w:val="20"/>
          <w:lang w:val="en-US"/>
        </w:rPr>
        <w:t>) estimated in the MPs of the MSE (boxplot, boxes represent 50% CI and whiskers 95% CI) and estimates from the 2026 MP model</w:t>
      </w:r>
      <w:r w:rsidRPr="003D6520">
        <w:rPr>
          <w:rFonts w:ascii="Cambria" w:hAnsi="Cambria"/>
          <w:i/>
          <w:iCs/>
          <w:sz w:val="20"/>
          <w:szCs w:val="20"/>
          <w:lang w:val="en-US"/>
        </w:rPr>
        <w:t xml:space="preserve"> </w:t>
      </w:r>
      <w:r w:rsidRPr="003D6520">
        <w:rPr>
          <w:rFonts w:ascii="Cambria" w:hAnsi="Cambria"/>
          <w:sz w:val="20"/>
          <w:szCs w:val="20"/>
          <w:lang w:val="en-US"/>
        </w:rPr>
        <w:t>(solid line).</w:t>
      </w:r>
    </w:p>
    <w:p w14:paraId="0589E8FD" w14:textId="77777777" w:rsidR="00225DE6" w:rsidRPr="003D6520" w:rsidRDefault="00225DE6" w:rsidP="00225DE6">
      <w:pPr>
        <w:rPr>
          <w:lang w:val="en-US"/>
        </w:rPr>
      </w:pPr>
    </w:p>
    <w:p w14:paraId="16BBE517" w14:textId="77777777" w:rsidR="00225DE6" w:rsidRPr="003D6520" w:rsidRDefault="00225DE6" w:rsidP="00225DE6">
      <w:pPr>
        <w:tabs>
          <w:tab w:val="center" w:pos="4513"/>
          <w:tab w:val="left" w:pos="6804"/>
        </w:tabs>
        <w:jc w:val="both"/>
        <w:rPr>
          <w:rFonts w:ascii="Cambria" w:hAnsi="Cambria"/>
          <w:b/>
          <w:i/>
          <w:iCs/>
          <w:sz w:val="20"/>
          <w:szCs w:val="20"/>
          <w:lang w:val="en-US"/>
        </w:rPr>
      </w:pPr>
    </w:p>
    <w:p w14:paraId="1364D7D6" w14:textId="77777777" w:rsidR="00225DE6" w:rsidRPr="003D6520" w:rsidRDefault="00225DE6" w:rsidP="00225DE6">
      <w:pPr>
        <w:tabs>
          <w:tab w:val="center" w:pos="4513"/>
          <w:tab w:val="left" w:pos="6804"/>
        </w:tabs>
        <w:jc w:val="both"/>
        <w:rPr>
          <w:rFonts w:ascii="Cambria" w:hAnsi="Cambria"/>
          <w:b/>
          <w:i/>
          <w:iCs/>
          <w:sz w:val="20"/>
          <w:szCs w:val="20"/>
          <w:lang w:val="en-US"/>
        </w:rPr>
      </w:pPr>
    </w:p>
    <w:p w14:paraId="1EB8F87F" w14:textId="45EA2919" w:rsidR="00225DE6" w:rsidRPr="003D6520" w:rsidRDefault="00225DE6" w:rsidP="00225DE6">
      <w:pPr>
        <w:tabs>
          <w:tab w:val="center" w:pos="4513"/>
          <w:tab w:val="left" w:pos="6804"/>
        </w:tabs>
        <w:jc w:val="both"/>
        <w:rPr>
          <w:rFonts w:ascii="Cambria" w:hAnsi="Cambria"/>
          <w:b/>
          <w:i/>
          <w:iCs/>
          <w:sz w:val="20"/>
          <w:szCs w:val="20"/>
          <w:lang w:val="en-US"/>
        </w:rPr>
      </w:pPr>
      <w:r w:rsidRPr="003D6520">
        <w:rPr>
          <w:rFonts w:ascii="Cambria" w:hAnsi="Cambria"/>
          <w:b/>
          <w:i/>
          <w:iCs/>
          <w:sz w:val="20"/>
          <w:szCs w:val="20"/>
          <w:lang w:val="en-US"/>
        </w:rPr>
        <w:t xml:space="preserve">19.9 The SCRS shall continue the development of a new MSE framework to support the possible adoption of a new MP no later than 2026 and the setting of a TAC for the management period 2027-2030, </w:t>
      </w:r>
      <w:hyperlink r:id="rId14" w:history="1">
        <w:r w:rsidRPr="003D6520">
          <w:rPr>
            <w:rStyle w:val="Hyperlink"/>
            <w:rFonts w:ascii="Cambria" w:hAnsi="Cambria"/>
            <w:b/>
            <w:i/>
            <w:iCs/>
            <w:sz w:val="20"/>
            <w:szCs w:val="20"/>
            <w:u w:val="none"/>
            <w:lang w:val="en-US"/>
          </w:rPr>
          <w:t>Rec. 21-04</w:t>
        </w:r>
      </w:hyperlink>
      <w:r w:rsidRPr="003D6520">
        <w:rPr>
          <w:rFonts w:ascii="Cambria" w:hAnsi="Cambria"/>
          <w:b/>
          <w:bCs/>
          <w:sz w:val="20"/>
          <w:szCs w:val="20"/>
          <w:lang w:val="en-US"/>
        </w:rPr>
        <w:t>,</w:t>
      </w:r>
      <w:r w:rsidRPr="003D6520">
        <w:rPr>
          <w:rFonts w:ascii="Cambria" w:hAnsi="Cambria"/>
          <w:b/>
          <w:i/>
          <w:iCs/>
          <w:sz w:val="20"/>
          <w:szCs w:val="20"/>
          <w:lang w:val="en-US"/>
        </w:rPr>
        <w:t xml:space="preserve"> para 18</w:t>
      </w:r>
    </w:p>
    <w:p w14:paraId="3921EC1D" w14:textId="77777777" w:rsidR="00225DE6" w:rsidRPr="003D6520" w:rsidRDefault="00225DE6" w:rsidP="00225DE6">
      <w:pPr>
        <w:tabs>
          <w:tab w:val="center" w:pos="4513"/>
          <w:tab w:val="left" w:pos="6804"/>
        </w:tabs>
        <w:jc w:val="both"/>
        <w:rPr>
          <w:rFonts w:ascii="Cambria" w:hAnsi="Cambria"/>
          <w:b/>
          <w:i/>
          <w:sz w:val="20"/>
          <w:lang w:val="en-US"/>
        </w:rPr>
      </w:pPr>
    </w:p>
    <w:p w14:paraId="656BF56A" w14:textId="77777777" w:rsidR="00225DE6" w:rsidRPr="003D6520" w:rsidRDefault="00225DE6" w:rsidP="00225DE6">
      <w:pPr>
        <w:autoSpaceDE w:val="0"/>
        <w:autoSpaceDN w:val="0"/>
        <w:adjustRightInd w:val="0"/>
        <w:contextualSpacing/>
        <w:jc w:val="both"/>
        <w:rPr>
          <w:rFonts w:ascii="Cambria" w:eastAsia="Calibri" w:hAnsi="Cambria" w:cs="Cambria"/>
          <w:i/>
          <w:iCs/>
          <w:sz w:val="20"/>
          <w:szCs w:val="20"/>
          <w:lang w:val="en-US"/>
        </w:rPr>
      </w:pPr>
      <w:r w:rsidRPr="003D6520">
        <w:rPr>
          <w:rFonts w:ascii="Cambria" w:hAnsi="Cambria"/>
          <w:b/>
          <w:sz w:val="20"/>
          <w:lang w:val="en-US"/>
        </w:rPr>
        <w:t>Background</w:t>
      </w:r>
      <w:r w:rsidRPr="003D6520">
        <w:rPr>
          <w:rFonts w:ascii="Cambria" w:hAnsi="Cambria"/>
          <w:b/>
          <w:i/>
          <w:sz w:val="20"/>
          <w:lang w:val="en-US"/>
        </w:rPr>
        <w:t>:</w:t>
      </w:r>
      <w:r w:rsidRPr="003D6520">
        <w:rPr>
          <w:rFonts w:ascii="Cambria" w:hAnsi="Cambria"/>
          <w:i/>
          <w:sz w:val="20"/>
          <w:lang w:val="en-US"/>
        </w:rPr>
        <w:t xml:space="preserve"> </w:t>
      </w:r>
      <w:r w:rsidRPr="003D6520">
        <w:rPr>
          <w:rFonts w:ascii="Cambria" w:hAnsi="Cambria"/>
          <w:bCs/>
          <w:i/>
          <w:iCs/>
          <w:sz w:val="20"/>
          <w:szCs w:val="20"/>
          <w:lang w:val="en-US"/>
        </w:rPr>
        <w:t>The SCRS shall continue the development of a new MSE framework to support the possible adoption of a new MP</w:t>
      </w:r>
      <w:r w:rsidRPr="003D6520">
        <w:rPr>
          <w:rFonts w:ascii="Cambria" w:eastAsia="Calibri" w:hAnsi="Cambria" w:cs="Cambria"/>
          <w:i/>
          <w:iCs/>
          <w:sz w:val="20"/>
          <w:szCs w:val="20"/>
          <w:lang w:val="en-US"/>
        </w:rPr>
        <w:t xml:space="preserve"> by the Commission no later than 2026 and the setting of a TAC for the management period 2027-2030.</w:t>
      </w:r>
    </w:p>
    <w:p w14:paraId="79B2DE63" w14:textId="77777777" w:rsidR="00225DE6" w:rsidRPr="003D6520" w:rsidRDefault="00225DE6" w:rsidP="00225DE6">
      <w:pPr>
        <w:autoSpaceDE w:val="0"/>
        <w:autoSpaceDN w:val="0"/>
        <w:adjustRightInd w:val="0"/>
        <w:contextualSpacing/>
        <w:jc w:val="both"/>
        <w:rPr>
          <w:rFonts w:ascii="Cambria" w:eastAsia="Calibri" w:hAnsi="Cambria" w:cs="Cambria"/>
          <w:i/>
          <w:iCs/>
          <w:sz w:val="20"/>
          <w:szCs w:val="20"/>
          <w:lang w:val="en-US"/>
        </w:rPr>
      </w:pPr>
    </w:p>
    <w:p w14:paraId="5E0A77F8" w14:textId="77777777" w:rsidR="00225DE6" w:rsidRPr="003D6520" w:rsidRDefault="00225DE6" w:rsidP="00225DE6">
      <w:pPr>
        <w:contextualSpacing/>
        <w:jc w:val="both"/>
        <w:rPr>
          <w:rFonts w:ascii="Cambria" w:hAnsi="Cambria"/>
          <w:i/>
          <w:iCs/>
          <w:sz w:val="20"/>
          <w:szCs w:val="20"/>
          <w:lang w:val="en-US"/>
        </w:rPr>
      </w:pPr>
      <w:r w:rsidRPr="003D6520">
        <w:rPr>
          <w:rFonts w:ascii="Cambria" w:hAnsi="Cambria"/>
          <w:i/>
          <w:iCs/>
          <w:sz w:val="20"/>
          <w:szCs w:val="20"/>
          <w:lang w:val="en-US"/>
        </w:rPr>
        <w:lastRenderedPageBreak/>
        <w:t xml:space="preserve">In this respect, the SCRS is also requested to explore the possibility of defining potential additional CPUE indices, to complement those reported in Appendix A of Annex 1, as well as to advise on how possible environmental changes will be </w:t>
      </w:r>
      <w:proofErr w:type="gramStart"/>
      <w:r w:rsidRPr="003D6520">
        <w:rPr>
          <w:rFonts w:ascii="Cambria" w:hAnsi="Cambria"/>
          <w:i/>
          <w:iCs/>
          <w:sz w:val="20"/>
          <w:szCs w:val="20"/>
          <w:lang w:val="en-US"/>
        </w:rPr>
        <w:t>taken into account</w:t>
      </w:r>
      <w:proofErr w:type="gramEnd"/>
      <w:r w:rsidRPr="003D6520">
        <w:rPr>
          <w:rFonts w:ascii="Cambria" w:hAnsi="Cambria"/>
          <w:i/>
          <w:iCs/>
          <w:sz w:val="20"/>
          <w:szCs w:val="20"/>
          <w:lang w:val="en-US"/>
        </w:rPr>
        <w:t xml:space="preserve"> in the development of this framework.</w:t>
      </w:r>
    </w:p>
    <w:p w14:paraId="52A9569C" w14:textId="77777777" w:rsidR="00225DE6" w:rsidRPr="003D6520" w:rsidRDefault="00225DE6" w:rsidP="00225DE6">
      <w:pPr>
        <w:tabs>
          <w:tab w:val="right" w:leader="dot" w:pos="8505"/>
          <w:tab w:val="right" w:pos="9072"/>
        </w:tabs>
        <w:ind w:right="-1"/>
        <w:contextualSpacing/>
        <w:jc w:val="both"/>
        <w:rPr>
          <w:rFonts w:ascii="Cambria" w:eastAsiaTheme="minorHAnsi" w:hAnsi="Cambria" w:cstheme="minorBidi"/>
          <w:sz w:val="20"/>
          <w:szCs w:val="20"/>
          <w:lang w:val="en-US"/>
        </w:rPr>
      </w:pPr>
    </w:p>
    <w:p w14:paraId="456C7FA1" w14:textId="77777777" w:rsidR="00225DE6" w:rsidRPr="003D6520" w:rsidRDefault="00225DE6" w:rsidP="00225DE6">
      <w:pPr>
        <w:jc w:val="both"/>
        <w:rPr>
          <w:rFonts w:ascii="Cambria" w:hAnsi="Cambria"/>
          <w:color w:val="000000" w:themeColor="text1"/>
          <w:sz w:val="20"/>
          <w:szCs w:val="20"/>
          <w:lang w:val="en-US"/>
        </w:rPr>
      </w:pPr>
      <w:r w:rsidRPr="003D6520">
        <w:rPr>
          <w:rFonts w:ascii="Cambria" w:hAnsi="Cambria"/>
          <w:color w:val="000000" w:themeColor="text1"/>
          <w:sz w:val="20"/>
          <w:szCs w:val="20"/>
          <w:lang w:val="en-US"/>
        </w:rPr>
        <w:t>The adopted MP for northern albacore (Rec. 21-04) was re-run, this resulted in a 2027-2029 TAC of 50,000 t.</w:t>
      </w:r>
    </w:p>
    <w:p w14:paraId="6E691EF9" w14:textId="77777777" w:rsidR="00225DE6" w:rsidRPr="003D6520" w:rsidRDefault="00225DE6" w:rsidP="00225DE6">
      <w:pPr>
        <w:jc w:val="both"/>
        <w:rPr>
          <w:rFonts w:ascii="Cambria" w:hAnsi="Cambria"/>
          <w:color w:val="000000" w:themeColor="text1"/>
          <w:sz w:val="20"/>
          <w:szCs w:val="20"/>
          <w:lang w:val="en-US"/>
        </w:rPr>
      </w:pPr>
    </w:p>
    <w:p w14:paraId="51D62E57" w14:textId="77777777" w:rsidR="00225DE6" w:rsidRPr="003D6520" w:rsidRDefault="00225DE6" w:rsidP="00225DE6">
      <w:pPr>
        <w:jc w:val="both"/>
        <w:rPr>
          <w:rFonts w:ascii="Cambria" w:hAnsi="Cambria"/>
          <w:i/>
          <w:iCs/>
          <w:color w:val="000000" w:themeColor="text1"/>
          <w:sz w:val="20"/>
          <w:szCs w:val="20"/>
          <w:lang w:val="en-US"/>
        </w:rPr>
      </w:pPr>
      <w:r w:rsidRPr="003D6520">
        <w:rPr>
          <w:rFonts w:ascii="Cambria" w:hAnsi="Cambria"/>
          <w:i/>
          <w:iCs/>
          <w:color w:val="000000" w:themeColor="text1"/>
          <w:sz w:val="20"/>
          <w:szCs w:val="20"/>
          <w:lang w:val="en-US"/>
        </w:rPr>
        <w:t>New MSE framework</w:t>
      </w:r>
    </w:p>
    <w:p w14:paraId="20BCB16C" w14:textId="77777777" w:rsidR="00225DE6" w:rsidRPr="003D6520" w:rsidRDefault="00225DE6" w:rsidP="00225DE6">
      <w:pPr>
        <w:jc w:val="both"/>
        <w:rPr>
          <w:rFonts w:ascii="Cambria" w:hAnsi="Cambria"/>
          <w:i/>
          <w:iCs/>
          <w:color w:val="000000" w:themeColor="text1"/>
          <w:sz w:val="20"/>
          <w:szCs w:val="20"/>
          <w:lang w:val="en-US"/>
        </w:rPr>
      </w:pPr>
    </w:p>
    <w:p w14:paraId="01EF52B5" w14:textId="77777777" w:rsidR="00225DE6" w:rsidRPr="003D6520" w:rsidRDefault="00225DE6" w:rsidP="00225DE6">
      <w:pPr>
        <w:jc w:val="both"/>
        <w:rPr>
          <w:rFonts w:ascii="Cambria" w:hAnsi="Cambria"/>
          <w:color w:val="000000" w:themeColor="text1"/>
          <w:sz w:val="20"/>
          <w:szCs w:val="20"/>
          <w:lang w:val="en-US"/>
        </w:rPr>
      </w:pPr>
      <w:r w:rsidRPr="003D6520">
        <w:rPr>
          <w:rFonts w:ascii="Cambria" w:hAnsi="Cambria"/>
          <w:color w:val="000000" w:themeColor="text1"/>
          <w:sz w:val="20"/>
          <w:szCs w:val="20"/>
          <w:lang w:val="en-US"/>
        </w:rPr>
        <w:t xml:space="preserve">The new Management Strategy Evaluation (MSE) framework builds on the 2023 benchmark stock assessment and subsequent methodological developments discussed by the SCRS. Technical details, including the operating models (OMs) and candidate management procedures (CMPs), are provided in </w:t>
      </w:r>
      <w:r w:rsidRPr="003D6520">
        <w:rPr>
          <w:rFonts w:ascii="Cambria" w:hAnsi="Cambria"/>
          <w:sz w:val="20"/>
          <w:szCs w:val="20"/>
          <w:lang w:val="en-US"/>
        </w:rPr>
        <w:t xml:space="preserve">Urtizberea </w:t>
      </w:r>
      <w:r w:rsidRPr="003D6520">
        <w:rPr>
          <w:rFonts w:ascii="Cambria" w:hAnsi="Cambria"/>
          <w:i/>
          <w:iCs/>
          <w:sz w:val="20"/>
          <w:szCs w:val="20"/>
          <w:lang w:val="en-US"/>
        </w:rPr>
        <w:t>et al</w:t>
      </w:r>
      <w:r w:rsidRPr="003D6520">
        <w:rPr>
          <w:rFonts w:ascii="Cambria" w:hAnsi="Cambria"/>
          <w:sz w:val="20"/>
          <w:szCs w:val="20"/>
          <w:lang w:val="en-US"/>
        </w:rPr>
        <w:t xml:space="preserve">. </w:t>
      </w:r>
      <w:r w:rsidRPr="003D6520">
        <w:rPr>
          <w:rFonts w:ascii="Cambria" w:hAnsi="Cambria"/>
          <w:color w:val="000000" w:themeColor="text1"/>
          <w:sz w:val="20"/>
          <w:szCs w:val="20"/>
          <w:lang w:val="en-US"/>
        </w:rPr>
        <w:t xml:space="preserve">(SCRS/2026/190), together with the </w:t>
      </w:r>
      <w:hyperlink r:id="rId15" w:history="1">
        <w:r w:rsidRPr="003D6520">
          <w:rPr>
            <w:rStyle w:val="Hyperlink"/>
            <w:rFonts w:ascii="Cambria" w:hAnsi="Cambria"/>
            <w:sz w:val="20"/>
            <w:szCs w:val="20"/>
            <w:u w:val="none"/>
            <w:lang w:val="en-US"/>
          </w:rPr>
          <w:t>Trial Specification Document</w:t>
        </w:r>
      </w:hyperlink>
      <w:r w:rsidRPr="003D6520">
        <w:rPr>
          <w:rFonts w:ascii="Cambria" w:hAnsi="Cambria"/>
          <w:color w:val="000000" w:themeColor="text1"/>
          <w:sz w:val="20"/>
          <w:szCs w:val="20"/>
          <w:lang w:val="en-US"/>
        </w:rPr>
        <w:t xml:space="preserve"> (TSD</w:t>
      </w:r>
      <w:r w:rsidRPr="003D6520">
        <w:rPr>
          <w:rFonts w:ascii="Cambria" w:hAnsi="Cambria"/>
          <w:sz w:val="20"/>
          <w:szCs w:val="20"/>
          <w:lang w:val="en-US"/>
        </w:rPr>
        <w:t>)</w:t>
      </w:r>
      <w:r w:rsidRPr="003D6520">
        <w:rPr>
          <w:rFonts w:ascii="Cambria" w:hAnsi="Cambria"/>
          <w:color w:val="000000" w:themeColor="text1"/>
          <w:sz w:val="20"/>
          <w:szCs w:val="20"/>
          <w:lang w:val="en-US"/>
        </w:rPr>
        <w:t xml:space="preserve"> and Shiny application (</w:t>
      </w:r>
      <w:hyperlink r:id="rId16" w:history="1">
        <w:r w:rsidRPr="003D6520">
          <w:rPr>
            <w:rStyle w:val="Hyperlink"/>
            <w:rFonts w:ascii="Cambria" w:hAnsi="Cambria"/>
            <w:color w:val="000000" w:themeColor="text1"/>
            <w:sz w:val="20"/>
            <w:szCs w:val="20"/>
            <w:u w:val="none"/>
            <w:lang w:val="en-US"/>
          </w:rPr>
          <w:t>FLBEIA Shiny App</w:t>
        </w:r>
      </w:hyperlink>
      <w:r w:rsidRPr="003D6520">
        <w:rPr>
          <w:rFonts w:ascii="Cambria" w:hAnsi="Cambria"/>
          <w:color w:val="000000" w:themeColor="text1"/>
          <w:sz w:val="20"/>
          <w:szCs w:val="20"/>
          <w:lang w:val="en-US"/>
        </w:rPr>
        <w:t>).</w:t>
      </w:r>
    </w:p>
    <w:p w14:paraId="55448E65" w14:textId="77777777" w:rsidR="00225DE6" w:rsidRPr="003D6520" w:rsidRDefault="00225DE6" w:rsidP="00225DE6">
      <w:pPr>
        <w:jc w:val="both"/>
        <w:rPr>
          <w:rFonts w:ascii="Cambria" w:hAnsi="Cambria"/>
          <w:color w:val="000000" w:themeColor="text1"/>
          <w:sz w:val="20"/>
          <w:szCs w:val="20"/>
          <w:lang w:val="en-GB" w:eastAsia="en-GB"/>
        </w:rPr>
      </w:pPr>
    </w:p>
    <w:p w14:paraId="42178BB7" w14:textId="77777777" w:rsidR="00225DE6" w:rsidRPr="003D6520" w:rsidRDefault="00225DE6" w:rsidP="00225DE6">
      <w:pPr>
        <w:jc w:val="both"/>
        <w:rPr>
          <w:rFonts w:ascii="Cambria" w:hAnsi="Cambria"/>
          <w:color w:val="000000" w:themeColor="text1"/>
          <w:sz w:val="20"/>
          <w:szCs w:val="20"/>
          <w:lang w:val="en-US"/>
        </w:rPr>
      </w:pPr>
      <w:r w:rsidRPr="003D6520">
        <w:rPr>
          <w:rFonts w:ascii="Cambria" w:hAnsi="Cambria"/>
          <w:color w:val="000000" w:themeColor="text1"/>
          <w:sz w:val="20"/>
          <w:szCs w:val="20"/>
          <w:lang w:val="en-US"/>
        </w:rPr>
        <w:t>Due to changes in the MSE framework the adopted MP had to be slightly revised. For clarity “</w:t>
      </w:r>
      <w:proofErr w:type="gramStart"/>
      <w:r w:rsidRPr="003D6520">
        <w:rPr>
          <w:rFonts w:ascii="Cambria" w:hAnsi="Cambria"/>
          <w:color w:val="000000" w:themeColor="text1"/>
          <w:sz w:val="20"/>
          <w:szCs w:val="20"/>
          <w:lang w:val="en-US"/>
        </w:rPr>
        <w:t>updated-MP</w:t>
      </w:r>
      <w:proofErr w:type="gramEnd"/>
      <w:r w:rsidRPr="003D6520">
        <w:rPr>
          <w:rFonts w:ascii="Cambria" w:hAnsi="Cambria"/>
          <w:color w:val="000000" w:themeColor="text1"/>
          <w:sz w:val="20"/>
          <w:szCs w:val="20"/>
          <w:lang w:val="en-US"/>
        </w:rPr>
        <w:t>” is used to describe this updated version of the adopted MP in Rec. 21-04).</w:t>
      </w:r>
    </w:p>
    <w:p w14:paraId="1C57BFDA" w14:textId="77777777" w:rsidR="00225DE6" w:rsidRPr="003D6520" w:rsidRDefault="00225DE6" w:rsidP="00225DE6">
      <w:pPr>
        <w:jc w:val="both"/>
        <w:rPr>
          <w:rFonts w:ascii="Cambria" w:hAnsi="Cambria"/>
          <w:color w:val="000000" w:themeColor="text1"/>
          <w:sz w:val="20"/>
          <w:szCs w:val="20"/>
          <w:lang w:val="en-US"/>
        </w:rPr>
      </w:pPr>
    </w:p>
    <w:p w14:paraId="6D67D5E6" w14:textId="77777777" w:rsidR="00225DE6" w:rsidRPr="003D6520" w:rsidRDefault="00225DE6" w:rsidP="00225DE6">
      <w:pPr>
        <w:jc w:val="both"/>
        <w:rPr>
          <w:rFonts w:ascii="Cambria" w:hAnsi="Cambria"/>
          <w:color w:val="000000" w:themeColor="text1"/>
          <w:sz w:val="20"/>
          <w:szCs w:val="20"/>
          <w:lang w:val="en-US"/>
        </w:rPr>
      </w:pPr>
      <w:r w:rsidRPr="003D6520">
        <w:rPr>
          <w:rFonts w:ascii="Cambria" w:hAnsi="Cambria"/>
          <w:color w:val="000000" w:themeColor="text1"/>
          <w:sz w:val="20"/>
          <w:szCs w:val="20"/>
          <w:lang w:val="en-US"/>
        </w:rPr>
        <w:t>Testing under the new MSE framework indicates that the updated-MP is predicted to meet the management objectives of stock status and safety (</w:t>
      </w:r>
      <w:r w:rsidRPr="003D6520">
        <w:rPr>
          <w:rFonts w:ascii="Cambria" w:hAnsi="Cambria"/>
          <w:b/>
          <w:bCs/>
          <w:color w:val="000000" w:themeColor="text1"/>
          <w:sz w:val="20"/>
          <w:szCs w:val="20"/>
          <w:lang w:val="en-US"/>
        </w:rPr>
        <w:t>Table 19.9.2</w:t>
      </w:r>
      <w:r w:rsidRPr="003D6520">
        <w:rPr>
          <w:rFonts w:ascii="Cambria" w:hAnsi="Cambria"/>
          <w:color w:val="000000" w:themeColor="text1"/>
          <w:sz w:val="20"/>
          <w:szCs w:val="20"/>
          <w:lang w:val="en-US"/>
        </w:rPr>
        <w:t xml:space="preserve">, </w:t>
      </w:r>
      <w:r w:rsidRPr="003D6520">
        <w:rPr>
          <w:rFonts w:ascii="Cambria" w:hAnsi="Cambria"/>
          <w:b/>
          <w:bCs/>
          <w:color w:val="000000" w:themeColor="text1"/>
          <w:sz w:val="20"/>
          <w:szCs w:val="20"/>
          <w:lang w:val="en-US"/>
        </w:rPr>
        <w:t>Figure 19.9.1</w:t>
      </w:r>
      <w:r w:rsidRPr="003D6520">
        <w:rPr>
          <w:rFonts w:ascii="Cambria" w:hAnsi="Cambria"/>
          <w:color w:val="000000" w:themeColor="text1"/>
          <w:sz w:val="20"/>
          <w:szCs w:val="20"/>
          <w:lang w:val="en-US"/>
        </w:rPr>
        <w:t>). Robustness tests that simulated potential climate-change impacts, including reduced recruitment and increased recruitment variability, also showed satisfactory performance (</w:t>
      </w:r>
      <w:r w:rsidRPr="003D6520">
        <w:rPr>
          <w:rFonts w:ascii="Cambria" w:hAnsi="Cambria"/>
          <w:b/>
          <w:bCs/>
          <w:color w:val="000000" w:themeColor="text1"/>
          <w:sz w:val="20"/>
          <w:szCs w:val="20"/>
          <w:lang w:val="en-US"/>
        </w:rPr>
        <w:t>Figure 19.9.2</w:t>
      </w:r>
      <w:r w:rsidRPr="003D6520">
        <w:rPr>
          <w:rFonts w:ascii="Cambria" w:hAnsi="Cambria"/>
          <w:color w:val="000000" w:themeColor="text1"/>
          <w:sz w:val="20"/>
          <w:szCs w:val="20"/>
          <w:lang w:val="en-US"/>
        </w:rPr>
        <w:t>). In these scenarios, the updated-MP responded to substantial (20%) recruitment declines by reducing the TAC, thereby maintaining stock status and safety.</w:t>
      </w:r>
    </w:p>
    <w:p w14:paraId="4385D23D" w14:textId="77777777" w:rsidR="00225DE6" w:rsidRPr="003D6520" w:rsidRDefault="00225DE6" w:rsidP="00225DE6">
      <w:pPr>
        <w:jc w:val="both"/>
        <w:rPr>
          <w:rFonts w:ascii="Cambria" w:hAnsi="Cambria"/>
          <w:color w:val="000000" w:themeColor="text1"/>
          <w:sz w:val="20"/>
          <w:szCs w:val="20"/>
          <w:lang w:val="en-US"/>
        </w:rPr>
      </w:pPr>
    </w:p>
    <w:p w14:paraId="7FDF4765" w14:textId="77777777" w:rsidR="00225DE6" w:rsidRDefault="00225DE6" w:rsidP="00225DE6">
      <w:pPr>
        <w:jc w:val="both"/>
        <w:rPr>
          <w:rFonts w:ascii="Cambria" w:hAnsi="Cambria"/>
          <w:color w:val="000000" w:themeColor="text1"/>
          <w:sz w:val="20"/>
          <w:szCs w:val="20"/>
          <w:lang w:val="en-US"/>
        </w:rPr>
      </w:pPr>
      <w:r w:rsidRPr="003D6520">
        <w:rPr>
          <w:rFonts w:ascii="Cambria" w:hAnsi="Cambria"/>
          <w:color w:val="000000" w:themeColor="text1"/>
          <w:sz w:val="20"/>
          <w:szCs w:val="20"/>
          <w:lang w:val="en-US"/>
        </w:rPr>
        <w:t>The new MSE was used to evaluate performance of seven CMPs, including variants of the updated-MP with an additional stability constraint (±10%) or a higher target fishing mortality (F</w:t>
      </w:r>
      <w:r w:rsidRPr="003D6520">
        <w:rPr>
          <w:rFonts w:ascii="Cambria" w:hAnsi="Cambria"/>
          <w:color w:val="000000" w:themeColor="text1"/>
          <w:sz w:val="20"/>
          <w:szCs w:val="20"/>
          <w:vertAlign w:val="subscript"/>
          <w:lang w:val="en-US"/>
        </w:rPr>
        <w:t>MSY</w:t>
      </w:r>
      <w:r w:rsidRPr="003D6520">
        <w:rPr>
          <w:rFonts w:ascii="Cambria" w:hAnsi="Cambria"/>
          <w:color w:val="000000" w:themeColor="text1"/>
          <w:sz w:val="20"/>
          <w:szCs w:val="20"/>
          <w:lang w:val="en-US"/>
        </w:rPr>
        <w:t>), as well as empirical CMPs based on catch per unit effort (CPUE) ratio or a pseudo-constant catch approach (</w:t>
      </w:r>
      <w:r w:rsidRPr="003D6520">
        <w:rPr>
          <w:rFonts w:ascii="Cambria" w:hAnsi="Cambria"/>
          <w:b/>
          <w:bCs/>
          <w:color w:val="000000" w:themeColor="text1"/>
          <w:sz w:val="20"/>
          <w:szCs w:val="20"/>
          <w:lang w:val="en-US"/>
        </w:rPr>
        <w:t>Table 19.9.1</w:t>
      </w:r>
      <w:r w:rsidRPr="003D6520">
        <w:rPr>
          <w:rFonts w:ascii="Cambria" w:hAnsi="Cambria"/>
          <w:color w:val="000000" w:themeColor="text1"/>
          <w:sz w:val="20"/>
          <w:szCs w:val="20"/>
          <w:lang w:val="en-US"/>
        </w:rPr>
        <w:t>).</w:t>
      </w:r>
    </w:p>
    <w:p w14:paraId="5F040B21" w14:textId="77777777" w:rsidR="00571019" w:rsidRPr="003D6520" w:rsidRDefault="00571019" w:rsidP="00225DE6">
      <w:pPr>
        <w:jc w:val="both"/>
        <w:rPr>
          <w:rFonts w:ascii="Cambria" w:hAnsi="Cambria"/>
          <w:color w:val="000000" w:themeColor="text1"/>
          <w:sz w:val="20"/>
          <w:szCs w:val="20"/>
          <w:lang w:val="en-US"/>
        </w:rPr>
      </w:pPr>
    </w:p>
    <w:p w14:paraId="33C2FAB5" w14:textId="77777777" w:rsidR="00225DE6" w:rsidRPr="003D6520" w:rsidRDefault="00225DE6" w:rsidP="00225DE6">
      <w:pPr>
        <w:pStyle w:val="Caption"/>
        <w:rPr>
          <w:rFonts w:ascii="Cambria" w:hAnsi="Cambria"/>
          <w:color w:val="000000" w:themeColor="text1"/>
          <w:sz w:val="20"/>
          <w:szCs w:val="20"/>
        </w:rPr>
      </w:pPr>
      <w:r w:rsidRPr="003D6520">
        <w:rPr>
          <w:rFonts w:ascii="Cambria" w:hAnsi="Cambria"/>
          <w:b/>
          <w:bCs/>
          <w:i w:val="0"/>
          <w:color w:val="000000" w:themeColor="text1"/>
          <w:sz w:val="20"/>
          <w:szCs w:val="20"/>
        </w:rPr>
        <w:t>Table 19.9.</w:t>
      </w:r>
      <w:r w:rsidRPr="003D6520">
        <w:rPr>
          <w:rFonts w:ascii="Cambria" w:hAnsi="Cambria"/>
          <w:b/>
          <w:bCs/>
          <w:i w:val="0"/>
          <w:color w:val="000000" w:themeColor="text1"/>
          <w:sz w:val="20"/>
          <w:szCs w:val="20"/>
        </w:rPr>
        <w:fldChar w:fldCharType="begin"/>
      </w:r>
      <w:r w:rsidRPr="003D6520">
        <w:rPr>
          <w:rFonts w:ascii="Cambria" w:hAnsi="Cambria"/>
          <w:b/>
          <w:bCs/>
          <w:i w:val="0"/>
          <w:color w:val="000000" w:themeColor="text1"/>
          <w:sz w:val="20"/>
          <w:szCs w:val="20"/>
        </w:rPr>
        <w:instrText xml:space="preserve"> SEQ Table \* ARABIC </w:instrText>
      </w:r>
      <w:r w:rsidRPr="003D6520">
        <w:rPr>
          <w:rFonts w:ascii="Cambria" w:hAnsi="Cambria"/>
          <w:b/>
          <w:bCs/>
          <w:i w:val="0"/>
          <w:color w:val="000000" w:themeColor="text1"/>
          <w:sz w:val="20"/>
          <w:szCs w:val="20"/>
        </w:rPr>
        <w:fldChar w:fldCharType="separate"/>
      </w:r>
      <w:r>
        <w:rPr>
          <w:rFonts w:ascii="Cambria" w:hAnsi="Cambria"/>
          <w:b/>
          <w:bCs/>
          <w:i w:val="0"/>
          <w:noProof/>
          <w:color w:val="000000" w:themeColor="text1"/>
          <w:sz w:val="20"/>
          <w:szCs w:val="20"/>
        </w:rPr>
        <w:t>1</w:t>
      </w:r>
      <w:r w:rsidRPr="003D6520">
        <w:rPr>
          <w:rFonts w:ascii="Cambria" w:hAnsi="Cambria"/>
          <w:b/>
          <w:bCs/>
          <w:i w:val="0"/>
          <w:color w:val="000000" w:themeColor="text1"/>
          <w:sz w:val="20"/>
          <w:szCs w:val="20"/>
        </w:rPr>
        <w:fldChar w:fldCharType="end"/>
      </w:r>
      <w:r w:rsidRPr="003D6520">
        <w:rPr>
          <w:rFonts w:ascii="Cambria" w:hAnsi="Cambria"/>
          <w:i w:val="0"/>
          <w:color w:val="000000" w:themeColor="text1"/>
          <w:sz w:val="20"/>
          <w:szCs w:val="20"/>
        </w:rPr>
        <w:t>.</w:t>
      </w:r>
      <w:r w:rsidRPr="003D6520">
        <w:rPr>
          <w:rFonts w:ascii="Cambria" w:hAnsi="Cambria"/>
          <w:color w:val="000000" w:themeColor="text1"/>
          <w:sz w:val="20"/>
          <w:szCs w:val="20"/>
        </w:rPr>
        <w:t xml:space="preserve"> </w:t>
      </w:r>
      <w:r w:rsidRPr="003D6520">
        <w:rPr>
          <w:rFonts w:ascii="Cambria" w:hAnsi="Cambria"/>
          <w:i w:val="0"/>
          <w:color w:val="000000" w:themeColor="text1"/>
          <w:sz w:val="20"/>
          <w:szCs w:val="20"/>
        </w:rPr>
        <w:t>Code and description of the seven CMP evaluated in 2026.</w:t>
      </w:r>
    </w:p>
    <w:tbl>
      <w:tblPr>
        <w:tblStyle w:val="Table"/>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20" w:firstRow="1" w:lastRow="0" w:firstColumn="0" w:lastColumn="0" w:noHBand="0" w:noVBand="0"/>
      </w:tblPr>
      <w:tblGrid>
        <w:gridCol w:w="1420"/>
        <w:gridCol w:w="1140"/>
        <w:gridCol w:w="6501"/>
      </w:tblGrid>
      <w:tr w:rsidR="00225DE6" w:rsidRPr="003D6520" w14:paraId="6B582628" w14:textId="77777777" w:rsidTr="00476829">
        <w:trPr>
          <w:tblHeader/>
        </w:trPr>
        <w:tc>
          <w:tcPr>
            <w:tcW w:w="1413" w:type="dxa"/>
            <w:vAlign w:val="center"/>
          </w:tcPr>
          <w:p w14:paraId="5A18C5E6" w14:textId="77777777" w:rsidR="00225DE6" w:rsidRPr="003D6520" w:rsidRDefault="00225DE6" w:rsidP="00476829">
            <w:pPr>
              <w:pStyle w:val="Compact"/>
              <w:jc w:val="center"/>
              <w:rPr>
                <w:rFonts w:ascii="Cambria" w:hAnsi="Cambria"/>
                <w:b/>
                <w:bCs/>
                <w:i/>
                <w:iCs/>
                <w:color w:val="000000" w:themeColor="text1"/>
                <w:sz w:val="20"/>
                <w:szCs w:val="20"/>
              </w:rPr>
            </w:pPr>
            <w:r w:rsidRPr="003D6520">
              <w:rPr>
                <w:rFonts w:ascii="Cambria" w:hAnsi="Cambria"/>
                <w:b/>
                <w:bCs/>
                <w:i/>
                <w:iCs/>
                <w:color w:val="000000" w:themeColor="text1"/>
                <w:sz w:val="20"/>
                <w:szCs w:val="20"/>
              </w:rPr>
              <w:t>Code</w:t>
            </w:r>
          </w:p>
        </w:tc>
        <w:tc>
          <w:tcPr>
            <w:tcW w:w="1134" w:type="dxa"/>
            <w:vAlign w:val="center"/>
          </w:tcPr>
          <w:p w14:paraId="036CE1B9" w14:textId="77777777" w:rsidR="00225DE6" w:rsidRPr="003D6520" w:rsidRDefault="00225DE6" w:rsidP="00476829">
            <w:pPr>
              <w:pStyle w:val="Compact"/>
              <w:jc w:val="center"/>
              <w:rPr>
                <w:rFonts w:ascii="Cambria" w:hAnsi="Cambria"/>
                <w:b/>
                <w:bCs/>
                <w:i/>
                <w:iCs/>
                <w:color w:val="000000" w:themeColor="text1"/>
                <w:sz w:val="20"/>
                <w:szCs w:val="20"/>
              </w:rPr>
            </w:pPr>
            <w:r w:rsidRPr="003D6520">
              <w:rPr>
                <w:rFonts w:ascii="Cambria" w:hAnsi="Cambria"/>
                <w:b/>
                <w:bCs/>
                <w:i/>
                <w:iCs/>
                <w:color w:val="000000" w:themeColor="text1"/>
                <w:sz w:val="20"/>
                <w:szCs w:val="20"/>
              </w:rPr>
              <w:t>Type</w:t>
            </w:r>
          </w:p>
        </w:tc>
        <w:tc>
          <w:tcPr>
            <w:tcW w:w="6469" w:type="dxa"/>
            <w:vAlign w:val="center"/>
          </w:tcPr>
          <w:p w14:paraId="031C2F88" w14:textId="77777777" w:rsidR="00225DE6" w:rsidRPr="003D6520" w:rsidRDefault="00225DE6" w:rsidP="00476829">
            <w:pPr>
              <w:pStyle w:val="Compact"/>
              <w:jc w:val="center"/>
              <w:rPr>
                <w:rFonts w:ascii="Cambria" w:hAnsi="Cambria"/>
                <w:b/>
                <w:bCs/>
                <w:i/>
                <w:iCs/>
                <w:color w:val="000000" w:themeColor="text1"/>
                <w:sz w:val="20"/>
                <w:szCs w:val="20"/>
              </w:rPr>
            </w:pPr>
            <w:r w:rsidRPr="003D6520">
              <w:rPr>
                <w:rFonts w:ascii="Cambria" w:hAnsi="Cambria"/>
                <w:b/>
                <w:bCs/>
                <w:i/>
                <w:iCs/>
                <w:color w:val="000000" w:themeColor="text1"/>
                <w:sz w:val="20"/>
                <w:szCs w:val="20"/>
              </w:rPr>
              <w:t>Description</w:t>
            </w:r>
          </w:p>
        </w:tc>
      </w:tr>
      <w:tr w:rsidR="00225DE6" w:rsidRPr="003D6520" w14:paraId="7E966F26" w14:textId="77777777" w:rsidTr="00476829">
        <w:tc>
          <w:tcPr>
            <w:tcW w:w="1413" w:type="dxa"/>
            <w:vAlign w:val="center"/>
          </w:tcPr>
          <w:p w14:paraId="2FBCBDC0"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25%_F0.8_B1</w:t>
            </w:r>
          </w:p>
        </w:tc>
        <w:tc>
          <w:tcPr>
            <w:tcW w:w="1134" w:type="dxa"/>
            <w:vAlign w:val="center"/>
          </w:tcPr>
          <w:p w14:paraId="76C84AD5"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Model-Based</w:t>
            </w:r>
          </w:p>
        </w:tc>
        <w:tc>
          <w:tcPr>
            <w:tcW w:w="6469" w:type="dxa"/>
            <w:vAlign w:val="center"/>
          </w:tcPr>
          <w:p w14:paraId="7CEBD6A5" w14:textId="77777777" w:rsidR="00225DE6" w:rsidRPr="003D6520" w:rsidRDefault="00225DE6" w:rsidP="00476829">
            <w:pPr>
              <w:pStyle w:val="Compact"/>
              <w:jc w:val="both"/>
              <w:rPr>
                <w:rFonts w:ascii="Cambria" w:hAnsi="Cambria"/>
                <w:color w:val="000000" w:themeColor="text1"/>
                <w:sz w:val="20"/>
                <w:szCs w:val="20"/>
              </w:rPr>
            </w:pPr>
            <w:r w:rsidRPr="003D6520">
              <w:rPr>
                <w:rFonts w:ascii="Cambria" w:hAnsi="Cambria"/>
                <w:color w:val="000000" w:themeColor="text1"/>
                <w:sz w:val="20"/>
                <w:szCs w:val="20"/>
                <w:lang w:val="en-GB"/>
              </w:rPr>
              <w:t xml:space="preserve">Updated-MP: TAC from model-based HCR: </w:t>
            </w:r>
            <w:proofErr w:type="spellStart"/>
            <w:r w:rsidRPr="003D6520">
              <w:rPr>
                <w:rFonts w:ascii="Cambria" w:hAnsi="Cambria"/>
                <w:color w:val="000000" w:themeColor="text1"/>
                <w:sz w:val="20"/>
                <w:szCs w:val="20"/>
                <w:lang w:val="en-GB"/>
              </w:rPr>
              <w:t>F_tgt</w:t>
            </w:r>
            <w:proofErr w:type="spellEnd"/>
            <w:r w:rsidRPr="003D6520">
              <w:rPr>
                <w:rFonts w:ascii="Cambria" w:hAnsi="Cambria"/>
                <w:color w:val="000000" w:themeColor="text1"/>
                <w:sz w:val="20"/>
                <w:szCs w:val="20"/>
                <w:lang w:val="en-GB"/>
              </w:rPr>
              <w:t>=0.8*F</w:t>
            </w:r>
            <w:r w:rsidRPr="003D6520">
              <w:rPr>
                <w:rFonts w:ascii="Cambria" w:hAnsi="Cambria"/>
                <w:color w:val="000000" w:themeColor="text1"/>
                <w:sz w:val="20"/>
                <w:szCs w:val="20"/>
                <w:vertAlign w:val="subscript"/>
                <w:lang w:val="en-GB"/>
              </w:rPr>
              <w:t>MSY</w:t>
            </w:r>
            <w:r w:rsidRPr="003D6520">
              <w:rPr>
                <w:rFonts w:ascii="Cambria" w:hAnsi="Cambria"/>
                <w:color w:val="000000" w:themeColor="text1"/>
                <w:sz w:val="20"/>
                <w:szCs w:val="20"/>
                <w:lang w:val="en-GB"/>
              </w:rPr>
              <w:t xml:space="preserve">, </w:t>
            </w:r>
            <w:proofErr w:type="spellStart"/>
            <w:r w:rsidRPr="003D6520">
              <w:rPr>
                <w:rFonts w:ascii="Cambria" w:hAnsi="Cambria"/>
                <w:color w:val="000000" w:themeColor="text1"/>
                <w:sz w:val="20"/>
                <w:szCs w:val="20"/>
                <w:lang w:val="en-GB"/>
              </w:rPr>
              <w:t>B_thr</w:t>
            </w:r>
            <w:proofErr w:type="spellEnd"/>
            <w:r w:rsidRPr="003D6520">
              <w:rPr>
                <w:rFonts w:ascii="Cambria" w:hAnsi="Cambria"/>
                <w:color w:val="000000" w:themeColor="text1"/>
                <w:sz w:val="20"/>
                <w:szCs w:val="20"/>
                <w:lang w:val="en-GB"/>
              </w:rPr>
              <w:t>=B</w:t>
            </w:r>
            <w:r w:rsidRPr="003D6520">
              <w:rPr>
                <w:rFonts w:ascii="Cambria" w:hAnsi="Cambria"/>
                <w:color w:val="000000" w:themeColor="text1"/>
                <w:sz w:val="20"/>
                <w:szCs w:val="20"/>
                <w:vertAlign w:val="subscript"/>
                <w:lang w:val="en-GB"/>
              </w:rPr>
              <w:t>MSY</w:t>
            </w:r>
            <w:r w:rsidRPr="003D6520">
              <w:rPr>
                <w:rFonts w:ascii="Cambria" w:hAnsi="Cambria"/>
                <w:color w:val="000000" w:themeColor="text1"/>
                <w:sz w:val="20"/>
                <w:szCs w:val="20"/>
                <w:lang w:val="en-GB"/>
              </w:rPr>
              <w:t xml:space="preserve">. Maximum TAC increase of 25% and decrease of 20% between consecutive management periods. </w:t>
            </w:r>
            <w:r w:rsidRPr="003D6520">
              <w:rPr>
                <w:rFonts w:ascii="Cambria" w:hAnsi="Cambria"/>
                <w:color w:val="000000" w:themeColor="text1"/>
                <w:sz w:val="20"/>
                <w:szCs w:val="20"/>
              </w:rPr>
              <w:t xml:space="preserve">TAC cannot exceed 50,000 t </w:t>
            </w:r>
          </w:p>
        </w:tc>
      </w:tr>
      <w:tr w:rsidR="00225DE6" w:rsidRPr="003D6520" w14:paraId="68D3EDAA" w14:textId="77777777" w:rsidTr="00476829">
        <w:tc>
          <w:tcPr>
            <w:tcW w:w="1413" w:type="dxa"/>
            <w:vAlign w:val="center"/>
          </w:tcPr>
          <w:p w14:paraId="6C3304B4"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10%_F0.8_B1</w:t>
            </w:r>
          </w:p>
        </w:tc>
        <w:tc>
          <w:tcPr>
            <w:tcW w:w="1134" w:type="dxa"/>
            <w:vAlign w:val="center"/>
          </w:tcPr>
          <w:p w14:paraId="7C486FFD"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Model-Based</w:t>
            </w:r>
          </w:p>
        </w:tc>
        <w:tc>
          <w:tcPr>
            <w:tcW w:w="6469" w:type="dxa"/>
            <w:vAlign w:val="center"/>
          </w:tcPr>
          <w:p w14:paraId="01FD2DD5" w14:textId="77777777" w:rsidR="00225DE6" w:rsidRPr="003D6520" w:rsidRDefault="00225DE6" w:rsidP="00476829">
            <w:pPr>
              <w:pStyle w:val="Compact"/>
              <w:jc w:val="both"/>
              <w:rPr>
                <w:rFonts w:ascii="Cambria" w:hAnsi="Cambria"/>
                <w:color w:val="000000" w:themeColor="text1"/>
                <w:sz w:val="20"/>
                <w:szCs w:val="20"/>
              </w:rPr>
            </w:pPr>
            <w:r w:rsidRPr="003D6520">
              <w:rPr>
                <w:rFonts w:ascii="Cambria" w:hAnsi="Cambria"/>
                <w:color w:val="000000" w:themeColor="text1"/>
                <w:sz w:val="20"/>
                <w:szCs w:val="20"/>
                <w:lang w:val="en-GB"/>
              </w:rPr>
              <w:t xml:space="preserve">TAC from model-based HCR: </w:t>
            </w:r>
            <w:proofErr w:type="spellStart"/>
            <w:r w:rsidRPr="003D6520">
              <w:rPr>
                <w:rFonts w:ascii="Cambria" w:hAnsi="Cambria"/>
                <w:color w:val="000000" w:themeColor="text1"/>
                <w:sz w:val="20"/>
                <w:szCs w:val="20"/>
                <w:lang w:val="en-GB"/>
              </w:rPr>
              <w:t>F_tgt</w:t>
            </w:r>
            <w:proofErr w:type="spellEnd"/>
            <w:r w:rsidRPr="003D6520">
              <w:rPr>
                <w:rFonts w:ascii="Cambria" w:hAnsi="Cambria"/>
                <w:color w:val="000000" w:themeColor="text1"/>
                <w:sz w:val="20"/>
                <w:szCs w:val="20"/>
                <w:lang w:val="en-GB"/>
              </w:rPr>
              <w:t>=0.8*F</w:t>
            </w:r>
            <w:r w:rsidRPr="003D6520">
              <w:rPr>
                <w:rFonts w:ascii="Cambria" w:hAnsi="Cambria"/>
                <w:color w:val="000000" w:themeColor="text1"/>
                <w:sz w:val="20"/>
                <w:szCs w:val="20"/>
                <w:vertAlign w:val="subscript"/>
                <w:lang w:val="en-GB"/>
              </w:rPr>
              <w:t>MSY</w:t>
            </w:r>
            <w:r w:rsidRPr="003D6520">
              <w:rPr>
                <w:rFonts w:ascii="Cambria" w:hAnsi="Cambria"/>
                <w:color w:val="000000" w:themeColor="text1"/>
                <w:sz w:val="20"/>
                <w:szCs w:val="20"/>
                <w:lang w:val="en-GB"/>
              </w:rPr>
              <w:t xml:space="preserve">, </w:t>
            </w:r>
            <w:proofErr w:type="spellStart"/>
            <w:r w:rsidRPr="003D6520">
              <w:rPr>
                <w:rFonts w:ascii="Cambria" w:hAnsi="Cambria"/>
                <w:color w:val="000000" w:themeColor="text1"/>
                <w:sz w:val="20"/>
                <w:szCs w:val="20"/>
                <w:lang w:val="en-GB"/>
              </w:rPr>
              <w:t>B_thr</w:t>
            </w:r>
            <w:proofErr w:type="spellEnd"/>
            <w:r w:rsidRPr="003D6520">
              <w:rPr>
                <w:rFonts w:ascii="Cambria" w:hAnsi="Cambria"/>
                <w:color w:val="000000" w:themeColor="text1"/>
                <w:sz w:val="20"/>
                <w:szCs w:val="20"/>
                <w:lang w:val="en-GB"/>
              </w:rPr>
              <w:t>=B</w:t>
            </w:r>
            <w:r w:rsidRPr="003D6520">
              <w:rPr>
                <w:rFonts w:ascii="Cambria" w:hAnsi="Cambria"/>
                <w:color w:val="000000" w:themeColor="text1"/>
                <w:sz w:val="20"/>
                <w:szCs w:val="20"/>
                <w:vertAlign w:val="subscript"/>
                <w:lang w:val="en-GB"/>
              </w:rPr>
              <w:t>MSY</w:t>
            </w:r>
            <w:r w:rsidRPr="003D6520">
              <w:rPr>
                <w:rFonts w:ascii="Cambria" w:hAnsi="Cambria"/>
                <w:color w:val="000000" w:themeColor="text1"/>
                <w:sz w:val="20"/>
                <w:szCs w:val="20"/>
                <w:lang w:val="en-GB"/>
              </w:rPr>
              <w:t xml:space="preserve">. Maximum TAC change of 10% between consecutive management periods. </w:t>
            </w:r>
            <w:r w:rsidRPr="003D6520">
              <w:rPr>
                <w:rFonts w:ascii="Cambria" w:hAnsi="Cambria"/>
                <w:color w:val="000000" w:themeColor="text1"/>
                <w:sz w:val="20"/>
                <w:szCs w:val="20"/>
              </w:rPr>
              <w:t>TAC cannot exceed 50,000 t</w:t>
            </w:r>
          </w:p>
        </w:tc>
      </w:tr>
      <w:tr w:rsidR="00225DE6" w:rsidRPr="003D6520" w14:paraId="27F957BE" w14:textId="77777777" w:rsidTr="00476829">
        <w:tc>
          <w:tcPr>
            <w:tcW w:w="1413" w:type="dxa"/>
            <w:vAlign w:val="center"/>
          </w:tcPr>
          <w:p w14:paraId="25516FD3"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25%_F1_B1</w:t>
            </w:r>
          </w:p>
        </w:tc>
        <w:tc>
          <w:tcPr>
            <w:tcW w:w="1134" w:type="dxa"/>
            <w:vAlign w:val="center"/>
          </w:tcPr>
          <w:p w14:paraId="403BACB2"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Model-Based</w:t>
            </w:r>
          </w:p>
        </w:tc>
        <w:tc>
          <w:tcPr>
            <w:tcW w:w="6469" w:type="dxa"/>
            <w:vAlign w:val="center"/>
          </w:tcPr>
          <w:p w14:paraId="4C5D0799" w14:textId="77777777" w:rsidR="00225DE6" w:rsidRPr="003D6520" w:rsidRDefault="00225DE6" w:rsidP="00476829">
            <w:pPr>
              <w:pStyle w:val="Compact"/>
              <w:jc w:val="both"/>
              <w:rPr>
                <w:rFonts w:ascii="Cambria" w:hAnsi="Cambria"/>
                <w:color w:val="000000" w:themeColor="text1"/>
                <w:sz w:val="20"/>
                <w:szCs w:val="20"/>
              </w:rPr>
            </w:pPr>
            <w:r w:rsidRPr="003D6520">
              <w:rPr>
                <w:rFonts w:ascii="Cambria" w:hAnsi="Cambria"/>
                <w:color w:val="000000" w:themeColor="text1"/>
                <w:sz w:val="20"/>
                <w:szCs w:val="20"/>
                <w:lang w:val="en-GB"/>
              </w:rPr>
              <w:t xml:space="preserve">TAC from model-based HCR: </w:t>
            </w:r>
            <w:proofErr w:type="spellStart"/>
            <w:r w:rsidRPr="003D6520">
              <w:rPr>
                <w:rFonts w:ascii="Cambria" w:hAnsi="Cambria"/>
                <w:color w:val="000000" w:themeColor="text1"/>
                <w:sz w:val="20"/>
                <w:szCs w:val="20"/>
                <w:lang w:val="en-GB"/>
              </w:rPr>
              <w:t>F_tgt</w:t>
            </w:r>
            <w:proofErr w:type="spellEnd"/>
            <w:r w:rsidRPr="003D6520">
              <w:rPr>
                <w:rFonts w:ascii="Cambria" w:hAnsi="Cambria"/>
                <w:color w:val="000000" w:themeColor="text1"/>
                <w:sz w:val="20"/>
                <w:szCs w:val="20"/>
                <w:lang w:val="en-GB"/>
              </w:rPr>
              <w:t>=F</w:t>
            </w:r>
            <w:r w:rsidRPr="003D6520">
              <w:rPr>
                <w:rFonts w:ascii="Cambria" w:hAnsi="Cambria"/>
                <w:color w:val="000000" w:themeColor="text1"/>
                <w:sz w:val="20"/>
                <w:szCs w:val="20"/>
                <w:vertAlign w:val="subscript"/>
                <w:lang w:val="en-GB"/>
              </w:rPr>
              <w:t>MSY</w:t>
            </w:r>
            <w:r w:rsidRPr="003D6520">
              <w:rPr>
                <w:rFonts w:ascii="Cambria" w:hAnsi="Cambria"/>
                <w:color w:val="000000" w:themeColor="text1"/>
                <w:sz w:val="20"/>
                <w:szCs w:val="20"/>
                <w:lang w:val="en-GB"/>
              </w:rPr>
              <w:t xml:space="preserve">, </w:t>
            </w:r>
            <w:proofErr w:type="spellStart"/>
            <w:r w:rsidRPr="003D6520">
              <w:rPr>
                <w:rFonts w:ascii="Cambria" w:hAnsi="Cambria"/>
                <w:color w:val="000000" w:themeColor="text1"/>
                <w:sz w:val="20"/>
                <w:szCs w:val="20"/>
                <w:lang w:val="en-GB"/>
              </w:rPr>
              <w:t>B_thr</w:t>
            </w:r>
            <w:proofErr w:type="spellEnd"/>
            <w:r w:rsidRPr="003D6520">
              <w:rPr>
                <w:rFonts w:ascii="Cambria" w:hAnsi="Cambria"/>
                <w:color w:val="000000" w:themeColor="text1"/>
                <w:sz w:val="20"/>
                <w:szCs w:val="20"/>
                <w:lang w:val="en-GB"/>
              </w:rPr>
              <w:t>=B</w:t>
            </w:r>
            <w:r w:rsidRPr="003D6520">
              <w:rPr>
                <w:rFonts w:ascii="Cambria" w:hAnsi="Cambria"/>
                <w:color w:val="000000" w:themeColor="text1"/>
                <w:sz w:val="20"/>
                <w:szCs w:val="20"/>
                <w:vertAlign w:val="subscript"/>
                <w:lang w:val="en-GB"/>
              </w:rPr>
              <w:t>MSY</w:t>
            </w:r>
            <w:r w:rsidRPr="003D6520">
              <w:rPr>
                <w:rFonts w:ascii="Cambria" w:hAnsi="Cambria"/>
                <w:color w:val="000000" w:themeColor="text1"/>
                <w:sz w:val="20"/>
                <w:szCs w:val="20"/>
                <w:lang w:val="en-GB"/>
              </w:rPr>
              <w:t xml:space="preserve">. Maximum TAC increase of 25% and decrease of 20% between consecutive management periods. </w:t>
            </w:r>
            <w:r w:rsidRPr="003D6520">
              <w:rPr>
                <w:rFonts w:ascii="Cambria" w:hAnsi="Cambria"/>
                <w:color w:val="000000" w:themeColor="text1"/>
                <w:sz w:val="20"/>
                <w:szCs w:val="20"/>
              </w:rPr>
              <w:t>TAC cannot exceed 50,000 t</w:t>
            </w:r>
          </w:p>
        </w:tc>
      </w:tr>
      <w:tr w:rsidR="00225DE6" w:rsidRPr="003D6520" w14:paraId="0D25C826" w14:textId="77777777" w:rsidTr="00476829">
        <w:tc>
          <w:tcPr>
            <w:tcW w:w="1413" w:type="dxa"/>
            <w:vAlign w:val="center"/>
          </w:tcPr>
          <w:p w14:paraId="23A7E1BA"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10%_F1_B1</w:t>
            </w:r>
          </w:p>
        </w:tc>
        <w:tc>
          <w:tcPr>
            <w:tcW w:w="1134" w:type="dxa"/>
            <w:vAlign w:val="center"/>
          </w:tcPr>
          <w:p w14:paraId="7A8B5DE8"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Model-Based</w:t>
            </w:r>
          </w:p>
        </w:tc>
        <w:tc>
          <w:tcPr>
            <w:tcW w:w="6469" w:type="dxa"/>
            <w:vAlign w:val="center"/>
          </w:tcPr>
          <w:p w14:paraId="4F9E761B" w14:textId="77777777" w:rsidR="00225DE6" w:rsidRPr="003D6520" w:rsidRDefault="00225DE6" w:rsidP="00476829">
            <w:pPr>
              <w:pStyle w:val="Compact"/>
              <w:jc w:val="both"/>
              <w:rPr>
                <w:rFonts w:ascii="Cambria" w:hAnsi="Cambria"/>
                <w:color w:val="000000" w:themeColor="text1"/>
                <w:sz w:val="20"/>
                <w:szCs w:val="20"/>
              </w:rPr>
            </w:pPr>
            <w:r w:rsidRPr="003D6520">
              <w:rPr>
                <w:rFonts w:ascii="Cambria" w:hAnsi="Cambria"/>
                <w:color w:val="000000" w:themeColor="text1"/>
                <w:sz w:val="20"/>
                <w:szCs w:val="20"/>
                <w:lang w:val="en-GB"/>
              </w:rPr>
              <w:t xml:space="preserve">TAC from model-based HCR: </w:t>
            </w:r>
            <w:proofErr w:type="spellStart"/>
            <w:r w:rsidRPr="003D6520">
              <w:rPr>
                <w:rFonts w:ascii="Cambria" w:hAnsi="Cambria"/>
                <w:color w:val="000000" w:themeColor="text1"/>
                <w:sz w:val="20"/>
                <w:szCs w:val="20"/>
                <w:lang w:val="en-GB"/>
              </w:rPr>
              <w:t>F_tgt</w:t>
            </w:r>
            <w:proofErr w:type="spellEnd"/>
            <w:r w:rsidRPr="003D6520">
              <w:rPr>
                <w:rFonts w:ascii="Cambria" w:hAnsi="Cambria"/>
                <w:color w:val="000000" w:themeColor="text1"/>
                <w:sz w:val="20"/>
                <w:szCs w:val="20"/>
                <w:lang w:val="en-GB"/>
              </w:rPr>
              <w:t>=F</w:t>
            </w:r>
            <w:r w:rsidRPr="003D6520">
              <w:rPr>
                <w:rFonts w:ascii="Cambria" w:hAnsi="Cambria"/>
                <w:color w:val="000000" w:themeColor="text1"/>
                <w:sz w:val="20"/>
                <w:szCs w:val="20"/>
                <w:vertAlign w:val="subscript"/>
                <w:lang w:val="en-GB"/>
              </w:rPr>
              <w:t>MSY</w:t>
            </w:r>
            <w:r w:rsidRPr="003D6520">
              <w:rPr>
                <w:rFonts w:ascii="Cambria" w:hAnsi="Cambria"/>
                <w:color w:val="000000" w:themeColor="text1"/>
                <w:sz w:val="20"/>
                <w:szCs w:val="20"/>
                <w:lang w:val="en-GB"/>
              </w:rPr>
              <w:t xml:space="preserve">, </w:t>
            </w:r>
            <w:proofErr w:type="spellStart"/>
            <w:r w:rsidRPr="003D6520">
              <w:rPr>
                <w:rFonts w:ascii="Cambria" w:hAnsi="Cambria"/>
                <w:color w:val="000000" w:themeColor="text1"/>
                <w:sz w:val="20"/>
                <w:szCs w:val="20"/>
                <w:lang w:val="en-GB"/>
              </w:rPr>
              <w:t>B_thr</w:t>
            </w:r>
            <w:proofErr w:type="spellEnd"/>
            <w:r w:rsidRPr="003D6520">
              <w:rPr>
                <w:rFonts w:ascii="Cambria" w:hAnsi="Cambria"/>
                <w:color w:val="000000" w:themeColor="text1"/>
                <w:sz w:val="20"/>
                <w:szCs w:val="20"/>
                <w:lang w:val="en-GB"/>
              </w:rPr>
              <w:t>=B</w:t>
            </w:r>
            <w:r w:rsidRPr="003D6520">
              <w:rPr>
                <w:rFonts w:ascii="Cambria" w:hAnsi="Cambria"/>
                <w:color w:val="000000" w:themeColor="text1"/>
                <w:sz w:val="20"/>
                <w:szCs w:val="20"/>
                <w:vertAlign w:val="subscript"/>
                <w:lang w:val="en-GB"/>
              </w:rPr>
              <w:t>MSY</w:t>
            </w:r>
            <w:r w:rsidRPr="003D6520">
              <w:rPr>
                <w:rFonts w:ascii="Cambria" w:hAnsi="Cambria"/>
                <w:color w:val="000000" w:themeColor="text1"/>
                <w:sz w:val="20"/>
                <w:szCs w:val="20"/>
                <w:lang w:val="en-GB"/>
              </w:rPr>
              <w:t xml:space="preserve">. Maximum TAC change of 10% between consecutive management periods. </w:t>
            </w:r>
            <w:r w:rsidRPr="003D6520">
              <w:rPr>
                <w:rFonts w:ascii="Cambria" w:hAnsi="Cambria"/>
                <w:color w:val="000000" w:themeColor="text1"/>
                <w:sz w:val="20"/>
                <w:szCs w:val="20"/>
              </w:rPr>
              <w:t>TAC cannot exceed 50,000 t</w:t>
            </w:r>
          </w:p>
        </w:tc>
      </w:tr>
      <w:tr w:rsidR="00225DE6" w:rsidRPr="007E0A84" w14:paraId="73562D3B" w14:textId="77777777" w:rsidTr="00476829">
        <w:tc>
          <w:tcPr>
            <w:tcW w:w="1413" w:type="dxa"/>
            <w:vAlign w:val="center"/>
          </w:tcPr>
          <w:p w14:paraId="7D7C0137"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 xml:space="preserve">15%_PCCatch </w:t>
            </w:r>
          </w:p>
        </w:tc>
        <w:tc>
          <w:tcPr>
            <w:tcW w:w="1134" w:type="dxa"/>
            <w:vAlign w:val="center"/>
          </w:tcPr>
          <w:p w14:paraId="194789A7"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Empirical</w:t>
            </w:r>
          </w:p>
        </w:tc>
        <w:tc>
          <w:tcPr>
            <w:tcW w:w="6469" w:type="dxa"/>
            <w:vAlign w:val="center"/>
          </w:tcPr>
          <w:p w14:paraId="68788A15" w14:textId="77777777" w:rsidR="00225DE6" w:rsidRPr="003D6520" w:rsidRDefault="00225DE6" w:rsidP="00476829">
            <w:pPr>
              <w:pStyle w:val="Compact"/>
              <w:jc w:val="both"/>
              <w:rPr>
                <w:rFonts w:ascii="Cambria" w:hAnsi="Cambria"/>
                <w:color w:val="000000" w:themeColor="text1"/>
                <w:sz w:val="20"/>
                <w:szCs w:val="20"/>
                <w:lang w:val="en-GB"/>
              </w:rPr>
            </w:pPr>
            <w:r w:rsidRPr="003D6520">
              <w:rPr>
                <w:rFonts w:ascii="Cambria" w:hAnsi="Cambria"/>
                <w:color w:val="000000" w:themeColor="text1"/>
                <w:sz w:val="20"/>
                <w:szCs w:val="20"/>
                <w:lang w:val="en-GB"/>
              </w:rPr>
              <w:t>TAC is constant (42,000 t) if combined index above reference value. Maximum TAC change of 15% between consecutive management periods TAC cannot exceed 42,000 t</w:t>
            </w:r>
          </w:p>
        </w:tc>
      </w:tr>
      <w:tr w:rsidR="00225DE6" w:rsidRPr="003D6520" w14:paraId="1B0768A4" w14:textId="77777777" w:rsidTr="00476829">
        <w:tc>
          <w:tcPr>
            <w:tcW w:w="1413" w:type="dxa"/>
            <w:vAlign w:val="center"/>
          </w:tcPr>
          <w:p w14:paraId="4C1215F6"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10%_Emp_W</w:t>
            </w:r>
          </w:p>
        </w:tc>
        <w:tc>
          <w:tcPr>
            <w:tcW w:w="1134" w:type="dxa"/>
            <w:vAlign w:val="center"/>
          </w:tcPr>
          <w:p w14:paraId="6CE15D00"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Empirical</w:t>
            </w:r>
          </w:p>
        </w:tc>
        <w:tc>
          <w:tcPr>
            <w:tcW w:w="6469" w:type="dxa"/>
            <w:vAlign w:val="center"/>
          </w:tcPr>
          <w:p w14:paraId="1CB9B2A7" w14:textId="77777777" w:rsidR="00225DE6" w:rsidRPr="003D6520" w:rsidRDefault="00225DE6" w:rsidP="00476829">
            <w:pPr>
              <w:pStyle w:val="Compact"/>
              <w:jc w:val="both"/>
              <w:rPr>
                <w:rFonts w:ascii="Cambria" w:hAnsi="Cambria"/>
                <w:color w:val="000000" w:themeColor="text1"/>
                <w:sz w:val="20"/>
                <w:szCs w:val="20"/>
              </w:rPr>
            </w:pPr>
            <w:r w:rsidRPr="003D6520">
              <w:rPr>
                <w:rFonts w:ascii="Cambria" w:hAnsi="Cambria"/>
                <w:sz w:val="20"/>
                <w:szCs w:val="20"/>
              </w:rPr>
              <w:t>TAC from empirical HCR (combined index ratio). Maximum TAC change of 10% between consecutive management periods. TAC cannot exceed 50,000 t</w:t>
            </w:r>
          </w:p>
        </w:tc>
      </w:tr>
      <w:tr w:rsidR="00225DE6" w:rsidRPr="003D6520" w14:paraId="477A6E0B" w14:textId="77777777" w:rsidTr="00476829">
        <w:tc>
          <w:tcPr>
            <w:tcW w:w="1413" w:type="dxa"/>
            <w:vAlign w:val="center"/>
          </w:tcPr>
          <w:p w14:paraId="0646295C"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25%_Emp_W</w:t>
            </w:r>
          </w:p>
        </w:tc>
        <w:tc>
          <w:tcPr>
            <w:tcW w:w="1134" w:type="dxa"/>
            <w:vAlign w:val="center"/>
          </w:tcPr>
          <w:p w14:paraId="4CAD505D" w14:textId="77777777" w:rsidR="00225DE6" w:rsidRPr="003D6520" w:rsidRDefault="00225DE6" w:rsidP="00476829">
            <w:pPr>
              <w:pStyle w:val="Compact"/>
              <w:jc w:val="center"/>
              <w:rPr>
                <w:rFonts w:ascii="Cambria" w:hAnsi="Cambria"/>
                <w:color w:val="000000" w:themeColor="text1"/>
                <w:sz w:val="20"/>
                <w:szCs w:val="20"/>
              </w:rPr>
            </w:pPr>
            <w:r w:rsidRPr="003D6520">
              <w:rPr>
                <w:rFonts w:ascii="Cambria" w:hAnsi="Cambria"/>
                <w:color w:val="000000" w:themeColor="text1"/>
                <w:sz w:val="20"/>
                <w:szCs w:val="20"/>
              </w:rPr>
              <w:t>Empirical</w:t>
            </w:r>
          </w:p>
        </w:tc>
        <w:tc>
          <w:tcPr>
            <w:tcW w:w="6469" w:type="dxa"/>
            <w:vAlign w:val="center"/>
          </w:tcPr>
          <w:p w14:paraId="2FF0E47D" w14:textId="77777777" w:rsidR="00225DE6" w:rsidRPr="003D6520" w:rsidRDefault="00225DE6" w:rsidP="00476829">
            <w:pPr>
              <w:pStyle w:val="Compact"/>
              <w:keepNext/>
              <w:jc w:val="both"/>
              <w:rPr>
                <w:rFonts w:ascii="Cambria" w:hAnsi="Cambria"/>
                <w:color w:val="000000" w:themeColor="text1"/>
                <w:sz w:val="20"/>
                <w:szCs w:val="20"/>
              </w:rPr>
            </w:pPr>
            <w:r w:rsidRPr="003D6520">
              <w:rPr>
                <w:rFonts w:ascii="Cambria" w:hAnsi="Cambria"/>
                <w:sz w:val="20"/>
                <w:szCs w:val="20"/>
              </w:rPr>
              <w:t>TAC from empirical HCR (combined index ratio). Maximum TAC increase of 25% and decrease of 20% between consecutive management periods. TAC cannot exceed 50,000 t</w:t>
            </w:r>
          </w:p>
        </w:tc>
      </w:tr>
    </w:tbl>
    <w:p w14:paraId="3EDC85A5" w14:textId="77777777" w:rsidR="00225DE6" w:rsidRPr="003D6520" w:rsidRDefault="00225DE6" w:rsidP="00225DE6">
      <w:pPr>
        <w:jc w:val="both"/>
        <w:rPr>
          <w:rFonts w:ascii="Cambria" w:hAnsi="Cambria"/>
          <w:color w:val="000000" w:themeColor="text1"/>
          <w:sz w:val="20"/>
          <w:szCs w:val="20"/>
          <w:lang w:val="en-US"/>
        </w:rPr>
      </w:pPr>
    </w:p>
    <w:p w14:paraId="2CFFE921" w14:textId="77777777" w:rsidR="00225DE6" w:rsidRPr="003D6520" w:rsidRDefault="00225DE6" w:rsidP="00225DE6">
      <w:pPr>
        <w:jc w:val="both"/>
        <w:rPr>
          <w:rFonts w:ascii="Cambria" w:hAnsi="Cambria"/>
          <w:color w:val="000000" w:themeColor="text1"/>
          <w:sz w:val="20"/>
          <w:szCs w:val="20"/>
          <w:lang w:val="en-US"/>
        </w:rPr>
      </w:pPr>
      <w:r w:rsidRPr="003D6520">
        <w:rPr>
          <w:rFonts w:ascii="Cambria" w:hAnsi="Cambria"/>
          <w:color w:val="000000" w:themeColor="text1"/>
          <w:sz w:val="20"/>
          <w:szCs w:val="20"/>
          <w:lang w:val="en-US"/>
        </w:rPr>
        <w:t>All seven CMPs are predicted to meet the current management objectives (</w:t>
      </w:r>
      <w:r w:rsidRPr="003D6520">
        <w:rPr>
          <w:rFonts w:ascii="Cambria" w:hAnsi="Cambria"/>
          <w:b/>
          <w:bCs/>
          <w:color w:val="000000" w:themeColor="text1"/>
          <w:sz w:val="20"/>
          <w:szCs w:val="20"/>
          <w:lang w:val="en-US"/>
        </w:rPr>
        <w:t>Figure 19.9.</w:t>
      </w:r>
      <w:r w:rsidRPr="003D6520">
        <w:rPr>
          <w:rFonts w:ascii="Cambria" w:hAnsi="Cambria"/>
          <w:b/>
          <w:color w:val="000000" w:themeColor="text1"/>
          <w:sz w:val="20"/>
          <w:lang w:val="en-US"/>
        </w:rPr>
        <w:t>1</w:t>
      </w:r>
      <w:r w:rsidRPr="003D6520">
        <w:rPr>
          <w:rFonts w:ascii="Cambria" w:hAnsi="Cambria"/>
          <w:color w:val="000000" w:themeColor="text1"/>
          <w:sz w:val="20"/>
          <w:szCs w:val="20"/>
          <w:lang w:val="en-US"/>
        </w:rPr>
        <w:t xml:space="preserve">), indicating scope to select an alternative CMP based on performance indicators for stock status, safety, yield and stability. </w:t>
      </w:r>
      <w:r w:rsidRPr="003D6520">
        <w:rPr>
          <w:rFonts w:ascii="Cambria" w:hAnsi="Cambria"/>
          <w:b/>
          <w:bCs/>
          <w:color w:val="000000" w:themeColor="text1"/>
          <w:sz w:val="20"/>
          <w:szCs w:val="20"/>
          <w:lang w:val="en-US"/>
        </w:rPr>
        <w:t>Table 19.9.</w:t>
      </w:r>
      <w:r w:rsidRPr="003D6520">
        <w:rPr>
          <w:rFonts w:ascii="Cambria" w:hAnsi="Cambria"/>
          <w:b/>
          <w:color w:val="000000" w:themeColor="text1"/>
          <w:sz w:val="20"/>
          <w:lang w:val="en-US"/>
        </w:rPr>
        <w:t>2</w:t>
      </w:r>
      <w:r w:rsidRPr="003D6520">
        <w:rPr>
          <w:rFonts w:ascii="Cambria" w:hAnsi="Cambria"/>
          <w:color w:val="000000" w:themeColor="text1"/>
          <w:sz w:val="20"/>
          <w:szCs w:val="20"/>
          <w:lang w:val="en-US"/>
        </w:rPr>
        <w:t xml:space="preserve"> summarizes these trade-offs, with further detailed results available in the Shiny application </w:t>
      </w:r>
      <w:r w:rsidRPr="003D6520">
        <w:rPr>
          <w:rFonts w:ascii="Cambria" w:hAnsi="Cambria"/>
          <w:color w:val="000000" w:themeColor="text1"/>
          <w:sz w:val="20"/>
          <w:szCs w:val="20"/>
          <w:lang w:val="en-US"/>
        </w:rPr>
        <w:lastRenderedPageBreak/>
        <w:t>(</w:t>
      </w:r>
      <w:hyperlink r:id="rId17" w:history="1">
        <w:r w:rsidRPr="003D6520">
          <w:rPr>
            <w:rStyle w:val="Hyperlink"/>
            <w:rFonts w:ascii="Cambria" w:hAnsi="Cambria"/>
            <w:color w:val="143ADC"/>
            <w:sz w:val="20"/>
            <w:u w:val="none"/>
            <w:lang w:val="en-US"/>
          </w:rPr>
          <w:t>FLBEIA Shiny App</w:t>
        </w:r>
      </w:hyperlink>
      <w:r w:rsidRPr="003D6520">
        <w:rPr>
          <w:rFonts w:ascii="Cambria" w:hAnsi="Cambria"/>
          <w:color w:val="000000" w:themeColor="text1"/>
          <w:sz w:val="20"/>
          <w:szCs w:val="20"/>
          <w:lang w:val="en-US"/>
        </w:rPr>
        <w:t xml:space="preserve">). </w:t>
      </w:r>
      <w:r w:rsidRPr="003D6520">
        <w:rPr>
          <w:rFonts w:ascii="Cambria" w:hAnsi="Cambria"/>
          <w:b/>
          <w:bCs/>
          <w:color w:val="000000" w:themeColor="text1"/>
          <w:sz w:val="20"/>
          <w:szCs w:val="20"/>
          <w:lang w:val="en-US"/>
        </w:rPr>
        <w:t>Figure 19.9.2</w:t>
      </w:r>
      <w:r w:rsidRPr="003D6520">
        <w:rPr>
          <w:rFonts w:ascii="Cambria" w:hAnsi="Cambria"/>
          <w:color w:val="000000" w:themeColor="text1"/>
          <w:sz w:val="20"/>
          <w:szCs w:val="20"/>
          <w:lang w:val="en-US"/>
        </w:rPr>
        <w:t xml:space="preserve"> shows predicted trends of stock status under a 20% recruitment reduction scenario (Robustness scenario).</w:t>
      </w:r>
    </w:p>
    <w:p w14:paraId="709F56D3" w14:textId="77777777" w:rsidR="00225DE6" w:rsidRPr="003D6520" w:rsidRDefault="00225DE6" w:rsidP="00225DE6">
      <w:pPr>
        <w:jc w:val="both"/>
        <w:rPr>
          <w:rFonts w:ascii="Cambria" w:hAnsi="Cambria"/>
          <w:color w:val="000000" w:themeColor="text1"/>
          <w:sz w:val="20"/>
          <w:szCs w:val="20"/>
          <w:lang w:val="en-US"/>
        </w:rPr>
      </w:pPr>
    </w:p>
    <w:p w14:paraId="2BD2D391" w14:textId="77777777" w:rsidR="00225DE6" w:rsidRPr="003D6520" w:rsidRDefault="00225DE6" w:rsidP="00225DE6">
      <w:pPr>
        <w:pStyle w:val="Caption"/>
        <w:jc w:val="both"/>
        <w:rPr>
          <w:rFonts w:ascii="Cambria" w:hAnsi="Cambria"/>
          <w:i w:val="0"/>
          <w:color w:val="000000" w:themeColor="text1"/>
          <w:sz w:val="20"/>
          <w:szCs w:val="20"/>
        </w:rPr>
      </w:pPr>
      <w:r w:rsidRPr="003D6520">
        <w:rPr>
          <w:rFonts w:ascii="Cambria" w:hAnsi="Cambria"/>
          <w:b/>
          <w:bCs/>
          <w:i w:val="0"/>
          <w:iCs/>
          <w:color w:val="000000" w:themeColor="text1"/>
          <w:sz w:val="20"/>
          <w:szCs w:val="20"/>
        </w:rPr>
        <w:t>Table 19.9.</w:t>
      </w:r>
      <w:r w:rsidRPr="003D6520">
        <w:rPr>
          <w:rFonts w:ascii="Cambria" w:hAnsi="Cambria"/>
          <w:b/>
          <w:bCs/>
          <w:i w:val="0"/>
          <w:iCs/>
          <w:color w:val="000000" w:themeColor="text1"/>
          <w:sz w:val="20"/>
          <w:szCs w:val="20"/>
        </w:rPr>
        <w:fldChar w:fldCharType="begin"/>
      </w:r>
      <w:r w:rsidRPr="003D6520">
        <w:rPr>
          <w:rFonts w:ascii="Cambria" w:hAnsi="Cambria"/>
          <w:b/>
          <w:bCs/>
          <w:i w:val="0"/>
          <w:iCs/>
          <w:color w:val="000000" w:themeColor="text1"/>
          <w:sz w:val="20"/>
          <w:szCs w:val="20"/>
        </w:rPr>
        <w:instrText xml:space="preserve"> SEQ Table \* ARABIC </w:instrText>
      </w:r>
      <w:r w:rsidRPr="003D6520">
        <w:rPr>
          <w:rFonts w:ascii="Cambria" w:hAnsi="Cambria"/>
          <w:b/>
          <w:bCs/>
          <w:i w:val="0"/>
          <w:iCs/>
          <w:color w:val="000000" w:themeColor="text1"/>
          <w:sz w:val="20"/>
          <w:szCs w:val="20"/>
        </w:rPr>
        <w:fldChar w:fldCharType="separate"/>
      </w:r>
      <w:r>
        <w:rPr>
          <w:rFonts w:ascii="Cambria" w:hAnsi="Cambria"/>
          <w:b/>
          <w:bCs/>
          <w:i w:val="0"/>
          <w:iCs/>
          <w:noProof/>
          <w:color w:val="000000" w:themeColor="text1"/>
          <w:sz w:val="20"/>
          <w:szCs w:val="20"/>
        </w:rPr>
        <w:t>2</w:t>
      </w:r>
      <w:r w:rsidRPr="003D6520">
        <w:rPr>
          <w:rFonts w:ascii="Cambria" w:hAnsi="Cambria"/>
          <w:b/>
          <w:bCs/>
          <w:i w:val="0"/>
          <w:iCs/>
          <w:color w:val="000000" w:themeColor="text1"/>
          <w:sz w:val="20"/>
          <w:szCs w:val="20"/>
        </w:rPr>
        <w:fldChar w:fldCharType="end"/>
      </w:r>
      <w:r w:rsidRPr="003D6520">
        <w:rPr>
          <w:rFonts w:ascii="Cambria" w:hAnsi="Cambria"/>
          <w:b/>
          <w:bCs/>
          <w:i w:val="0"/>
          <w:iCs/>
          <w:color w:val="000000" w:themeColor="text1"/>
          <w:sz w:val="20"/>
          <w:szCs w:val="20"/>
        </w:rPr>
        <w:t>.</w:t>
      </w:r>
      <w:r w:rsidRPr="003D6520">
        <w:rPr>
          <w:rFonts w:ascii="Cambria" w:hAnsi="Cambria"/>
          <w:i w:val="0"/>
          <w:color w:val="000000" w:themeColor="text1"/>
          <w:sz w:val="20"/>
          <w:szCs w:val="20"/>
        </w:rPr>
        <w:t xml:space="preserve"> Performance of the 7 CMPs evaluated in 2026 under the reference set of OMs. Indicators include PGK (probability of being in the green quadrant of the Kobe plot over 30 years), </w:t>
      </w:r>
      <w:proofErr w:type="spellStart"/>
      <w:r w:rsidRPr="003D6520">
        <w:rPr>
          <w:rFonts w:ascii="Cambria" w:hAnsi="Cambria"/>
          <w:i w:val="0"/>
          <w:color w:val="000000" w:themeColor="text1"/>
          <w:sz w:val="20"/>
          <w:szCs w:val="20"/>
        </w:rPr>
        <w:t>PB</w:t>
      </w:r>
      <w:r w:rsidRPr="003D6520">
        <w:rPr>
          <w:rFonts w:ascii="Cambria" w:hAnsi="Cambria"/>
          <w:i w:val="0"/>
          <w:color w:val="000000" w:themeColor="text1"/>
          <w:sz w:val="20"/>
          <w:szCs w:val="20"/>
          <w:vertAlign w:val="subscript"/>
        </w:rPr>
        <w:t>lim</w:t>
      </w:r>
      <w:proofErr w:type="spellEnd"/>
      <w:r w:rsidRPr="003D6520">
        <w:rPr>
          <w:rFonts w:ascii="Cambria" w:hAnsi="Cambria"/>
          <w:i w:val="0"/>
          <w:color w:val="000000" w:themeColor="text1"/>
          <w:sz w:val="20"/>
          <w:szCs w:val="20"/>
        </w:rPr>
        <w:t xml:space="preserve"> (probability of being above the adopted Limit Reference Point (40% B</w:t>
      </w:r>
      <w:r w:rsidRPr="003D6520">
        <w:rPr>
          <w:rFonts w:ascii="Cambria" w:hAnsi="Cambria"/>
          <w:i w:val="0"/>
          <w:color w:val="000000" w:themeColor="text1"/>
          <w:sz w:val="20"/>
          <w:szCs w:val="20"/>
          <w:vertAlign w:val="subscript"/>
        </w:rPr>
        <w:t>MSY</w:t>
      </w:r>
      <w:r w:rsidRPr="003D6520">
        <w:rPr>
          <w:rFonts w:ascii="Cambria" w:hAnsi="Cambria"/>
          <w:i w:val="0"/>
          <w:color w:val="000000" w:themeColor="text1"/>
          <w:sz w:val="20"/>
          <w:szCs w:val="20"/>
        </w:rPr>
        <w:t xml:space="preserve">), </w:t>
      </w:r>
      <w:proofErr w:type="spellStart"/>
      <w:r w:rsidRPr="003D6520">
        <w:rPr>
          <w:rFonts w:ascii="Cambria" w:hAnsi="Cambria"/>
          <w:i w:val="0"/>
          <w:color w:val="000000" w:themeColor="text1"/>
          <w:sz w:val="20"/>
          <w:szCs w:val="20"/>
        </w:rPr>
        <w:t>Tsrt</w:t>
      </w:r>
      <w:proofErr w:type="spellEnd"/>
      <w:r w:rsidRPr="003D6520">
        <w:rPr>
          <w:rFonts w:ascii="Cambria" w:hAnsi="Cambria"/>
          <w:i w:val="0"/>
          <w:color w:val="000000" w:themeColor="text1"/>
          <w:sz w:val="20"/>
          <w:szCs w:val="20"/>
        </w:rPr>
        <w:t xml:space="preserve"> (mean TAC in years 1-3), </w:t>
      </w:r>
      <w:proofErr w:type="spellStart"/>
      <w:r w:rsidRPr="003D6520">
        <w:rPr>
          <w:rFonts w:ascii="Cambria" w:hAnsi="Cambria"/>
          <w:i w:val="0"/>
          <w:color w:val="000000" w:themeColor="text1"/>
          <w:sz w:val="20"/>
          <w:szCs w:val="20"/>
        </w:rPr>
        <w:t>Tmed</w:t>
      </w:r>
      <w:proofErr w:type="spellEnd"/>
      <w:r w:rsidRPr="003D6520">
        <w:rPr>
          <w:rFonts w:ascii="Cambria" w:hAnsi="Cambria"/>
          <w:i w:val="0"/>
          <w:color w:val="000000" w:themeColor="text1"/>
          <w:sz w:val="20"/>
          <w:szCs w:val="20"/>
        </w:rPr>
        <w:t xml:space="preserve"> (mean TAC in years 5-10), </w:t>
      </w:r>
      <w:proofErr w:type="spellStart"/>
      <w:r w:rsidRPr="003D6520">
        <w:rPr>
          <w:rFonts w:ascii="Cambria" w:hAnsi="Cambria"/>
          <w:i w:val="0"/>
          <w:color w:val="000000" w:themeColor="text1"/>
          <w:sz w:val="20"/>
          <w:szCs w:val="20"/>
        </w:rPr>
        <w:t>Tlon</w:t>
      </w:r>
      <w:proofErr w:type="spellEnd"/>
      <w:r w:rsidRPr="003D6520">
        <w:rPr>
          <w:rFonts w:ascii="Cambria" w:hAnsi="Cambria"/>
          <w:i w:val="0"/>
          <w:color w:val="000000" w:themeColor="text1"/>
          <w:sz w:val="20"/>
          <w:szCs w:val="20"/>
        </w:rPr>
        <w:t xml:space="preserve"> (mean TAC in years 1</w:t>
      </w:r>
      <w:r>
        <w:rPr>
          <w:rFonts w:ascii="Cambria" w:hAnsi="Cambria"/>
          <w:i w:val="0"/>
          <w:color w:val="000000" w:themeColor="text1"/>
          <w:sz w:val="20"/>
          <w:szCs w:val="20"/>
        </w:rPr>
        <w:t>5</w:t>
      </w:r>
      <w:r w:rsidRPr="003D6520">
        <w:rPr>
          <w:rFonts w:ascii="Cambria" w:hAnsi="Cambria"/>
          <w:i w:val="0"/>
          <w:color w:val="000000" w:themeColor="text1"/>
          <w:sz w:val="20"/>
          <w:szCs w:val="20"/>
        </w:rPr>
        <w:t>-</w:t>
      </w:r>
      <w:r>
        <w:rPr>
          <w:rFonts w:ascii="Cambria" w:hAnsi="Cambria"/>
          <w:i w:val="0"/>
          <w:color w:val="000000" w:themeColor="text1"/>
          <w:sz w:val="20"/>
          <w:szCs w:val="20"/>
        </w:rPr>
        <w:t>30</w:t>
      </w:r>
      <w:r w:rsidRPr="003D6520">
        <w:rPr>
          <w:rFonts w:ascii="Cambria" w:hAnsi="Cambria"/>
          <w:i w:val="0"/>
          <w:color w:val="000000" w:themeColor="text1"/>
          <w:sz w:val="20"/>
          <w:szCs w:val="20"/>
        </w:rPr>
        <w:t>) and Tc (mean absolute proportional change (%) in TAC). TAC1 is the TAC derived from the application of each CMP for 2027-2029. Values correspond to the mean over OM iterations across projection years (2027-2057).</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1134"/>
        <w:gridCol w:w="851"/>
        <w:gridCol w:w="992"/>
        <w:gridCol w:w="1134"/>
        <w:gridCol w:w="992"/>
        <w:gridCol w:w="851"/>
        <w:gridCol w:w="1276"/>
      </w:tblGrid>
      <w:tr w:rsidR="00225DE6" w:rsidRPr="003D6520" w14:paraId="4251E23D" w14:textId="77777777" w:rsidTr="00476829">
        <w:trPr>
          <w:trHeight w:val="300"/>
        </w:trPr>
        <w:tc>
          <w:tcPr>
            <w:tcW w:w="1696" w:type="dxa"/>
            <w:vAlign w:val="center"/>
            <w:hideMark/>
          </w:tcPr>
          <w:p w14:paraId="520B1F57" w14:textId="77777777" w:rsidR="00225DE6" w:rsidRPr="003D6520" w:rsidRDefault="00225DE6" w:rsidP="00476829">
            <w:pPr>
              <w:jc w:val="center"/>
              <w:rPr>
                <w:rFonts w:ascii="Cambria" w:hAnsi="Cambria"/>
                <w:b/>
                <w:bCs/>
                <w:i/>
                <w:iCs/>
                <w:color w:val="000000"/>
                <w:sz w:val="20"/>
                <w:szCs w:val="20"/>
              </w:rPr>
            </w:pPr>
            <w:r w:rsidRPr="003D6520">
              <w:rPr>
                <w:rFonts w:ascii="Cambria" w:hAnsi="Cambria"/>
                <w:b/>
                <w:bCs/>
                <w:i/>
                <w:iCs/>
                <w:color w:val="000000"/>
                <w:sz w:val="20"/>
                <w:szCs w:val="20"/>
              </w:rPr>
              <w:t>CMP</w:t>
            </w:r>
          </w:p>
        </w:tc>
        <w:tc>
          <w:tcPr>
            <w:tcW w:w="1134" w:type="dxa"/>
            <w:vAlign w:val="center"/>
            <w:hideMark/>
          </w:tcPr>
          <w:p w14:paraId="0FBE3941" w14:textId="77777777" w:rsidR="00225DE6" w:rsidRPr="003D6520" w:rsidRDefault="00225DE6" w:rsidP="00476829">
            <w:pPr>
              <w:jc w:val="center"/>
              <w:rPr>
                <w:rFonts w:ascii="Cambria" w:hAnsi="Cambria"/>
                <w:b/>
                <w:bCs/>
                <w:i/>
                <w:iCs/>
                <w:color w:val="000000"/>
                <w:sz w:val="20"/>
                <w:szCs w:val="20"/>
              </w:rPr>
            </w:pPr>
            <w:r w:rsidRPr="003D6520">
              <w:rPr>
                <w:rFonts w:ascii="Cambria" w:hAnsi="Cambria"/>
                <w:b/>
                <w:bCs/>
                <w:i/>
                <w:iCs/>
                <w:color w:val="000000"/>
                <w:sz w:val="20"/>
                <w:szCs w:val="20"/>
              </w:rPr>
              <w:t>PGK</w:t>
            </w:r>
          </w:p>
        </w:tc>
        <w:tc>
          <w:tcPr>
            <w:tcW w:w="851" w:type="dxa"/>
            <w:vAlign w:val="center"/>
            <w:hideMark/>
          </w:tcPr>
          <w:p w14:paraId="0FA734A1" w14:textId="77777777" w:rsidR="00225DE6" w:rsidRPr="003D6520" w:rsidRDefault="00225DE6" w:rsidP="00476829">
            <w:pPr>
              <w:jc w:val="center"/>
              <w:rPr>
                <w:rFonts w:ascii="Cambria" w:hAnsi="Cambria"/>
                <w:b/>
                <w:bCs/>
                <w:i/>
                <w:iCs/>
                <w:color w:val="000000"/>
                <w:sz w:val="20"/>
                <w:szCs w:val="20"/>
              </w:rPr>
            </w:pPr>
            <w:proofErr w:type="spellStart"/>
            <w:r w:rsidRPr="003D6520">
              <w:rPr>
                <w:rFonts w:ascii="Cambria" w:hAnsi="Cambria"/>
                <w:b/>
                <w:bCs/>
                <w:i/>
                <w:iCs/>
                <w:color w:val="000000"/>
                <w:sz w:val="20"/>
                <w:szCs w:val="20"/>
              </w:rPr>
              <w:t>PBlim</w:t>
            </w:r>
            <w:proofErr w:type="spellEnd"/>
          </w:p>
        </w:tc>
        <w:tc>
          <w:tcPr>
            <w:tcW w:w="992" w:type="dxa"/>
            <w:vAlign w:val="center"/>
            <w:hideMark/>
          </w:tcPr>
          <w:p w14:paraId="1C9AB8F1" w14:textId="77777777" w:rsidR="00225DE6" w:rsidRPr="003D6520" w:rsidRDefault="00225DE6" w:rsidP="00476829">
            <w:pPr>
              <w:jc w:val="center"/>
              <w:rPr>
                <w:rFonts w:ascii="Cambria" w:hAnsi="Cambria"/>
                <w:b/>
                <w:bCs/>
                <w:i/>
                <w:iCs/>
                <w:color w:val="000000"/>
                <w:sz w:val="20"/>
                <w:szCs w:val="20"/>
              </w:rPr>
            </w:pPr>
            <w:proofErr w:type="spellStart"/>
            <w:r w:rsidRPr="003D6520">
              <w:rPr>
                <w:rFonts w:ascii="Cambria" w:hAnsi="Cambria"/>
                <w:b/>
                <w:bCs/>
                <w:i/>
                <w:iCs/>
                <w:color w:val="000000"/>
                <w:sz w:val="20"/>
                <w:szCs w:val="20"/>
              </w:rPr>
              <w:t>Tstr</w:t>
            </w:r>
            <w:proofErr w:type="spellEnd"/>
          </w:p>
        </w:tc>
        <w:tc>
          <w:tcPr>
            <w:tcW w:w="1134" w:type="dxa"/>
            <w:vAlign w:val="center"/>
            <w:hideMark/>
          </w:tcPr>
          <w:p w14:paraId="76B5AEB8" w14:textId="77777777" w:rsidR="00225DE6" w:rsidRPr="003D6520" w:rsidRDefault="00225DE6" w:rsidP="00476829">
            <w:pPr>
              <w:jc w:val="center"/>
              <w:rPr>
                <w:rFonts w:ascii="Cambria" w:hAnsi="Cambria"/>
                <w:b/>
                <w:bCs/>
                <w:i/>
                <w:iCs/>
                <w:color w:val="000000"/>
                <w:sz w:val="20"/>
                <w:szCs w:val="20"/>
              </w:rPr>
            </w:pPr>
            <w:proofErr w:type="spellStart"/>
            <w:r w:rsidRPr="003D6520">
              <w:rPr>
                <w:rFonts w:ascii="Cambria" w:hAnsi="Cambria"/>
                <w:b/>
                <w:bCs/>
                <w:i/>
                <w:iCs/>
                <w:color w:val="000000"/>
                <w:sz w:val="20"/>
                <w:szCs w:val="20"/>
              </w:rPr>
              <w:t>Tmed</w:t>
            </w:r>
            <w:proofErr w:type="spellEnd"/>
          </w:p>
        </w:tc>
        <w:tc>
          <w:tcPr>
            <w:tcW w:w="992" w:type="dxa"/>
            <w:vAlign w:val="center"/>
            <w:hideMark/>
          </w:tcPr>
          <w:p w14:paraId="32FCB963" w14:textId="77777777" w:rsidR="00225DE6" w:rsidRPr="003D6520" w:rsidRDefault="00225DE6" w:rsidP="00476829">
            <w:pPr>
              <w:jc w:val="center"/>
              <w:rPr>
                <w:rFonts w:ascii="Cambria" w:hAnsi="Cambria"/>
                <w:b/>
                <w:bCs/>
                <w:i/>
                <w:iCs/>
                <w:color w:val="000000"/>
                <w:sz w:val="20"/>
                <w:szCs w:val="20"/>
              </w:rPr>
            </w:pPr>
            <w:proofErr w:type="spellStart"/>
            <w:r w:rsidRPr="003D6520">
              <w:rPr>
                <w:rFonts w:ascii="Cambria" w:hAnsi="Cambria"/>
                <w:b/>
                <w:bCs/>
                <w:i/>
                <w:iCs/>
                <w:color w:val="000000"/>
                <w:sz w:val="20"/>
                <w:szCs w:val="20"/>
              </w:rPr>
              <w:t>Tlon</w:t>
            </w:r>
            <w:proofErr w:type="spellEnd"/>
          </w:p>
        </w:tc>
        <w:tc>
          <w:tcPr>
            <w:tcW w:w="851" w:type="dxa"/>
            <w:vAlign w:val="center"/>
            <w:hideMark/>
          </w:tcPr>
          <w:p w14:paraId="2460DE36" w14:textId="77777777" w:rsidR="00225DE6" w:rsidRPr="003D6520" w:rsidRDefault="00225DE6" w:rsidP="00476829">
            <w:pPr>
              <w:jc w:val="center"/>
              <w:rPr>
                <w:rFonts w:ascii="Cambria" w:hAnsi="Cambria"/>
                <w:b/>
                <w:bCs/>
                <w:i/>
                <w:iCs/>
                <w:color w:val="000000"/>
                <w:sz w:val="20"/>
                <w:szCs w:val="20"/>
              </w:rPr>
            </w:pPr>
            <w:r w:rsidRPr="003D6520">
              <w:rPr>
                <w:rFonts w:ascii="Cambria" w:hAnsi="Cambria"/>
                <w:b/>
                <w:bCs/>
                <w:i/>
                <w:iCs/>
                <w:color w:val="000000"/>
                <w:sz w:val="20"/>
                <w:szCs w:val="20"/>
              </w:rPr>
              <w:t>Tc</w:t>
            </w:r>
          </w:p>
        </w:tc>
        <w:tc>
          <w:tcPr>
            <w:tcW w:w="1276" w:type="dxa"/>
            <w:vAlign w:val="center"/>
            <w:hideMark/>
          </w:tcPr>
          <w:p w14:paraId="33398FE4" w14:textId="77777777" w:rsidR="00225DE6" w:rsidRPr="003D6520" w:rsidRDefault="00225DE6" w:rsidP="00476829">
            <w:pPr>
              <w:jc w:val="center"/>
              <w:rPr>
                <w:rFonts w:ascii="Cambria" w:hAnsi="Cambria"/>
                <w:b/>
                <w:bCs/>
                <w:i/>
                <w:iCs/>
                <w:color w:val="000000"/>
                <w:sz w:val="20"/>
                <w:szCs w:val="20"/>
              </w:rPr>
            </w:pPr>
            <w:r w:rsidRPr="003D6520">
              <w:rPr>
                <w:rFonts w:ascii="Cambria" w:hAnsi="Cambria"/>
                <w:b/>
                <w:bCs/>
                <w:i/>
                <w:iCs/>
                <w:color w:val="000000"/>
                <w:sz w:val="20"/>
                <w:szCs w:val="20"/>
              </w:rPr>
              <w:t>TAC1</w:t>
            </w:r>
          </w:p>
        </w:tc>
      </w:tr>
      <w:tr w:rsidR="00225DE6" w:rsidRPr="003D6520" w14:paraId="233C5B48" w14:textId="77777777" w:rsidTr="00476829">
        <w:trPr>
          <w:trHeight w:val="300"/>
        </w:trPr>
        <w:tc>
          <w:tcPr>
            <w:tcW w:w="1696" w:type="dxa"/>
            <w:vAlign w:val="center"/>
            <w:hideMark/>
          </w:tcPr>
          <w:p w14:paraId="5A6111C7"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25%_F0.8_B1</w:t>
            </w:r>
          </w:p>
        </w:tc>
        <w:tc>
          <w:tcPr>
            <w:tcW w:w="1134" w:type="dxa"/>
            <w:vAlign w:val="center"/>
            <w:hideMark/>
          </w:tcPr>
          <w:p w14:paraId="58F3F468"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0.97</w:t>
            </w:r>
          </w:p>
        </w:tc>
        <w:tc>
          <w:tcPr>
            <w:tcW w:w="851" w:type="dxa"/>
            <w:vAlign w:val="center"/>
            <w:hideMark/>
          </w:tcPr>
          <w:p w14:paraId="21F40FF3"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w:t>
            </w:r>
          </w:p>
        </w:tc>
        <w:tc>
          <w:tcPr>
            <w:tcW w:w="992" w:type="dxa"/>
            <w:vAlign w:val="center"/>
            <w:hideMark/>
          </w:tcPr>
          <w:p w14:paraId="2B14B2C6"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48,455</w:t>
            </w:r>
          </w:p>
        </w:tc>
        <w:tc>
          <w:tcPr>
            <w:tcW w:w="1134" w:type="dxa"/>
            <w:vAlign w:val="center"/>
            <w:hideMark/>
          </w:tcPr>
          <w:p w14:paraId="541B1312"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43,019</w:t>
            </w:r>
          </w:p>
        </w:tc>
        <w:tc>
          <w:tcPr>
            <w:tcW w:w="992" w:type="dxa"/>
            <w:vAlign w:val="center"/>
            <w:hideMark/>
          </w:tcPr>
          <w:p w14:paraId="2DB77BC6"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38,092</w:t>
            </w:r>
          </w:p>
        </w:tc>
        <w:tc>
          <w:tcPr>
            <w:tcW w:w="851" w:type="dxa"/>
            <w:vAlign w:val="center"/>
            <w:hideMark/>
          </w:tcPr>
          <w:p w14:paraId="7314136C"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7</w:t>
            </w:r>
          </w:p>
        </w:tc>
        <w:tc>
          <w:tcPr>
            <w:tcW w:w="1276" w:type="dxa"/>
            <w:vAlign w:val="center"/>
            <w:hideMark/>
          </w:tcPr>
          <w:p w14:paraId="643A14C9"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50,000</w:t>
            </w:r>
          </w:p>
        </w:tc>
      </w:tr>
      <w:tr w:rsidR="00225DE6" w:rsidRPr="003D6520" w14:paraId="43B4F51D" w14:textId="77777777" w:rsidTr="00476829">
        <w:trPr>
          <w:trHeight w:val="300"/>
        </w:trPr>
        <w:tc>
          <w:tcPr>
            <w:tcW w:w="1696" w:type="dxa"/>
            <w:vAlign w:val="center"/>
            <w:hideMark/>
          </w:tcPr>
          <w:p w14:paraId="5D86A116"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10%_F0.8_B1</w:t>
            </w:r>
          </w:p>
        </w:tc>
        <w:tc>
          <w:tcPr>
            <w:tcW w:w="1134" w:type="dxa"/>
            <w:vAlign w:val="center"/>
            <w:hideMark/>
          </w:tcPr>
          <w:p w14:paraId="10DEB138"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0.96</w:t>
            </w:r>
          </w:p>
        </w:tc>
        <w:tc>
          <w:tcPr>
            <w:tcW w:w="851" w:type="dxa"/>
            <w:vAlign w:val="center"/>
            <w:hideMark/>
          </w:tcPr>
          <w:p w14:paraId="4A417E38"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w:t>
            </w:r>
          </w:p>
        </w:tc>
        <w:tc>
          <w:tcPr>
            <w:tcW w:w="992" w:type="dxa"/>
            <w:vAlign w:val="center"/>
            <w:hideMark/>
          </w:tcPr>
          <w:p w14:paraId="4D94121E"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48,695</w:t>
            </w:r>
          </w:p>
        </w:tc>
        <w:tc>
          <w:tcPr>
            <w:tcW w:w="1134" w:type="dxa"/>
            <w:vAlign w:val="center"/>
            <w:hideMark/>
          </w:tcPr>
          <w:p w14:paraId="4487F8B1"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44,202</w:t>
            </w:r>
          </w:p>
        </w:tc>
        <w:tc>
          <w:tcPr>
            <w:tcW w:w="992" w:type="dxa"/>
            <w:vAlign w:val="center"/>
            <w:hideMark/>
          </w:tcPr>
          <w:p w14:paraId="2F5C7871"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37,671</w:t>
            </w:r>
          </w:p>
        </w:tc>
        <w:tc>
          <w:tcPr>
            <w:tcW w:w="851" w:type="dxa"/>
            <w:vAlign w:val="center"/>
            <w:hideMark/>
          </w:tcPr>
          <w:p w14:paraId="09854E3C"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6</w:t>
            </w:r>
          </w:p>
        </w:tc>
        <w:tc>
          <w:tcPr>
            <w:tcW w:w="1276" w:type="dxa"/>
            <w:vAlign w:val="center"/>
            <w:hideMark/>
          </w:tcPr>
          <w:p w14:paraId="5A171CB3"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50,000</w:t>
            </w:r>
          </w:p>
        </w:tc>
      </w:tr>
      <w:tr w:rsidR="00225DE6" w:rsidRPr="003D6520" w14:paraId="52EA284E" w14:textId="77777777" w:rsidTr="00476829">
        <w:trPr>
          <w:trHeight w:val="300"/>
        </w:trPr>
        <w:tc>
          <w:tcPr>
            <w:tcW w:w="1696" w:type="dxa"/>
            <w:vAlign w:val="center"/>
            <w:hideMark/>
          </w:tcPr>
          <w:p w14:paraId="102C3D91"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25%_F1_B1</w:t>
            </w:r>
          </w:p>
        </w:tc>
        <w:tc>
          <w:tcPr>
            <w:tcW w:w="1134" w:type="dxa"/>
            <w:vAlign w:val="center"/>
            <w:hideMark/>
          </w:tcPr>
          <w:p w14:paraId="0C42A9F6"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0.86</w:t>
            </w:r>
          </w:p>
        </w:tc>
        <w:tc>
          <w:tcPr>
            <w:tcW w:w="851" w:type="dxa"/>
            <w:vAlign w:val="center"/>
            <w:hideMark/>
          </w:tcPr>
          <w:p w14:paraId="747F0460"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w:t>
            </w:r>
          </w:p>
        </w:tc>
        <w:tc>
          <w:tcPr>
            <w:tcW w:w="992" w:type="dxa"/>
            <w:vAlign w:val="center"/>
            <w:hideMark/>
          </w:tcPr>
          <w:p w14:paraId="47D7D80D"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49,838</w:t>
            </w:r>
          </w:p>
        </w:tc>
        <w:tc>
          <w:tcPr>
            <w:tcW w:w="1134" w:type="dxa"/>
            <w:vAlign w:val="center"/>
            <w:hideMark/>
          </w:tcPr>
          <w:p w14:paraId="3E884A42"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47,471</w:t>
            </w:r>
          </w:p>
        </w:tc>
        <w:tc>
          <w:tcPr>
            <w:tcW w:w="992" w:type="dxa"/>
            <w:vAlign w:val="center"/>
            <w:hideMark/>
          </w:tcPr>
          <w:p w14:paraId="0D959029"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39,924</w:t>
            </w:r>
          </w:p>
        </w:tc>
        <w:tc>
          <w:tcPr>
            <w:tcW w:w="851" w:type="dxa"/>
            <w:vAlign w:val="center"/>
            <w:hideMark/>
          </w:tcPr>
          <w:p w14:paraId="3DC821A1"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9</w:t>
            </w:r>
          </w:p>
        </w:tc>
        <w:tc>
          <w:tcPr>
            <w:tcW w:w="1276" w:type="dxa"/>
            <w:vAlign w:val="center"/>
            <w:hideMark/>
          </w:tcPr>
          <w:p w14:paraId="41BEE1D3"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50,000</w:t>
            </w:r>
          </w:p>
        </w:tc>
      </w:tr>
      <w:tr w:rsidR="00225DE6" w:rsidRPr="003D6520" w14:paraId="071F6FAF" w14:textId="77777777" w:rsidTr="00476829">
        <w:trPr>
          <w:trHeight w:val="300"/>
        </w:trPr>
        <w:tc>
          <w:tcPr>
            <w:tcW w:w="1696" w:type="dxa"/>
            <w:vAlign w:val="center"/>
            <w:hideMark/>
          </w:tcPr>
          <w:p w14:paraId="7C190B34"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10%_F1_B1</w:t>
            </w:r>
          </w:p>
        </w:tc>
        <w:tc>
          <w:tcPr>
            <w:tcW w:w="1134" w:type="dxa"/>
            <w:vAlign w:val="center"/>
            <w:hideMark/>
          </w:tcPr>
          <w:p w14:paraId="67CFC60B"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0.84</w:t>
            </w:r>
          </w:p>
        </w:tc>
        <w:tc>
          <w:tcPr>
            <w:tcW w:w="851" w:type="dxa"/>
            <w:vAlign w:val="center"/>
            <w:hideMark/>
          </w:tcPr>
          <w:p w14:paraId="28ED9373"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w:t>
            </w:r>
          </w:p>
        </w:tc>
        <w:tc>
          <w:tcPr>
            <w:tcW w:w="992" w:type="dxa"/>
            <w:vAlign w:val="center"/>
            <w:hideMark/>
          </w:tcPr>
          <w:p w14:paraId="3D3E7B7E"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49,853</w:t>
            </w:r>
          </w:p>
        </w:tc>
        <w:tc>
          <w:tcPr>
            <w:tcW w:w="1134" w:type="dxa"/>
            <w:vAlign w:val="center"/>
            <w:hideMark/>
          </w:tcPr>
          <w:p w14:paraId="21146D03"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47,994</w:t>
            </w:r>
          </w:p>
        </w:tc>
        <w:tc>
          <w:tcPr>
            <w:tcW w:w="992" w:type="dxa"/>
            <w:vAlign w:val="center"/>
            <w:hideMark/>
          </w:tcPr>
          <w:p w14:paraId="27A6D692"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39,651</w:t>
            </w:r>
          </w:p>
        </w:tc>
        <w:tc>
          <w:tcPr>
            <w:tcW w:w="851" w:type="dxa"/>
            <w:vAlign w:val="center"/>
            <w:hideMark/>
          </w:tcPr>
          <w:p w14:paraId="468267A5"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6</w:t>
            </w:r>
          </w:p>
        </w:tc>
        <w:tc>
          <w:tcPr>
            <w:tcW w:w="1276" w:type="dxa"/>
            <w:vAlign w:val="center"/>
            <w:hideMark/>
          </w:tcPr>
          <w:p w14:paraId="13CEFF28"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50,000</w:t>
            </w:r>
          </w:p>
        </w:tc>
      </w:tr>
      <w:tr w:rsidR="00225DE6" w:rsidRPr="003D6520" w14:paraId="6968C9C9" w14:textId="77777777" w:rsidTr="00476829">
        <w:trPr>
          <w:trHeight w:val="300"/>
        </w:trPr>
        <w:tc>
          <w:tcPr>
            <w:tcW w:w="1696" w:type="dxa"/>
            <w:vAlign w:val="center"/>
            <w:hideMark/>
          </w:tcPr>
          <w:p w14:paraId="5C0C515B"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15%_PCCatch</w:t>
            </w:r>
          </w:p>
        </w:tc>
        <w:tc>
          <w:tcPr>
            <w:tcW w:w="1134" w:type="dxa"/>
            <w:vAlign w:val="center"/>
            <w:hideMark/>
          </w:tcPr>
          <w:p w14:paraId="5F9A0685"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w:t>
            </w:r>
          </w:p>
        </w:tc>
        <w:tc>
          <w:tcPr>
            <w:tcW w:w="851" w:type="dxa"/>
            <w:vAlign w:val="center"/>
            <w:hideMark/>
          </w:tcPr>
          <w:p w14:paraId="32F8FCD3"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w:t>
            </w:r>
          </w:p>
        </w:tc>
        <w:tc>
          <w:tcPr>
            <w:tcW w:w="992" w:type="dxa"/>
            <w:vAlign w:val="center"/>
            <w:hideMark/>
          </w:tcPr>
          <w:p w14:paraId="150802B2"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42,000</w:t>
            </w:r>
          </w:p>
        </w:tc>
        <w:tc>
          <w:tcPr>
            <w:tcW w:w="1134" w:type="dxa"/>
            <w:vAlign w:val="center"/>
            <w:hideMark/>
          </w:tcPr>
          <w:p w14:paraId="6F5C2A8C"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42,000</w:t>
            </w:r>
          </w:p>
        </w:tc>
        <w:tc>
          <w:tcPr>
            <w:tcW w:w="992" w:type="dxa"/>
            <w:vAlign w:val="center"/>
            <w:hideMark/>
          </w:tcPr>
          <w:p w14:paraId="3DD92C6E"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41,536</w:t>
            </w:r>
          </w:p>
        </w:tc>
        <w:tc>
          <w:tcPr>
            <w:tcW w:w="851" w:type="dxa"/>
            <w:vAlign w:val="center"/>
            <w:hideMark/>
          </w:tcPr>
          <w:p w14:paraId="4F8A3D45"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w:t>
            </w:r>
          </w:p>
        </w:tc>
        <w:tc>
          <w:tcPr>
            <w:tcW w:w="1276" w:type="dxa"/>
            <w:vAlign w:val="center"/>
            <w:hideMark/>
          </w:tcPr>
          <w:p w14:paraId="055D5A95"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42,000</w:t>
            </w:r>
          </w:p>
        </w:tc>
      </w:tr>
      <w:tr w:rsidR="00225DE6" w:rsidRPr="003D6520" w14:paraId="0A4D871D" w14:textId="77777777" w:rsidTr="00476829">
        <w:trPr>
          <w:trHeight w:val="300"/>
        </w:trPr>
        <w:tc>
          <w:tcPr>
            <w:tcW w:w="1696" w:type="dxa"/>
            <w:vAlign w:val="center"/>
            <w:hideMark/>
          </w:tcPr>
          <w:p w14:paraId="7412250B"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10%_Emp_W</w:t>
            </w:r>
          </w:p>
        </w:tc>
        <w:tc>
          <w:tcPr>
            <w:tcW w:w="1134" w:type="dxa"/>
            <w:vAlign w:val="center"/>
            <w:hideMark/>
          </w:tcPr>
          <w:p w14:paraId="77240EF4"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0.96</w:t>
            </w:r>
          </w:p>
        </w:tc>
        <w:tc>
          <w:tcPr>
            <w:tcW w:w="851" w:type="dxa"/>
            <w:vAlign w:val="center"/>
            <w:hideMark/>
          </w:tcPr>
          <w:p w14:paraId="3D5E9F80"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w:t>
            </w:r>
          </w:p>
        </w:tc>
        <w:tc>
          <w:tcPr>
            <w:tcW w:w="992" w:type="dxa"/>
            <w:vAlign w:val="center"/>
            <w:hideMark/>
          </w:tcPr>
          <w:p w14:paraId="7219CAE3"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49,594</w:t>
            </w:r>
          </w:p>
        </w:tc>
        <w:tc>
          <w:tcPr>
            <w:tcW w:w="1134" w:type="dxa"/>
            <w:vAlign w:val="center"/>
            <w:hideMark/>
          </w:tcPr>
          <w:p w14:paraId="62895B0D"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43,168</w:t>
            </w:r>
          </w:p>
        </w:tc>
        <w:tc>
          <w:tcPr>
            <w:tcW w:w="992" w:type="dxa"/>
            <w:vAlign w:val="center"/>
            <w:hideMark/>
          </w:tcPr>
          <w:p w14:paraId="4A76F3D7"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39,370</w:t>
            </w:r>
          </w:p>
        </w:tc>
        <w:tc>
          <w:tcPr>
            <w:tcW w:w="851" w:type="dxa"/>
            <w:vAlign w:val="center"/>
            <w:hideMark/>
          </w:tcPr>
          <w:p w14:paraId="50754B15"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7</w:t>
            </w:r>
          </w:p>
        </w:tc>
        <w:tc>
          <w:tcPr>
            <w:tcW w:w="1276" w:type="dxa"/>
            <w:vAlign w:val="center"/>
            <w:hideMark/>
          </w:tcPr>
          <w:p w14:paraId="3ECE4583"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46,306</w:t>
            </w:r>
          </w:p>
        </w:tc>
      </w:tr>
      <w:tr w:rsidR="00225DE6" w:rsidRPr="003D6520" w14:paraId="2BEDD0D6" w14:textId="77777777" w:rsidTr="00476829">
        <w:trPr>
          <w:trHeight w:val="300"/>
        </w:trPr>
        <w:tc>
          <w:tcPr>
            <w:tcW w:w="1696" w:type="dxa"/>
            <w:vAlign w:val="center"/>
            <w:hideMark/>
          </w:tcPr>
          <w:p w14:paraId="5B4512D0"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25%_Emp_W</w:t>
            </w:r>
          </w:p>
        </w:tc>
        <w:tc>
          <w:tcPr>
            <w:tcW w:w="1134" w:type="dxa"/>
            <w:vAlign w:val="center"/>
            <w:hideMark/>
          </w:tcPr>
          <w:p w14:paraId="03EFA702"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0.98</w:t>
            </w:r>
          </w:p>
        </w:tc>
        <w:tc>
          <w:tcPr>
            <w:tcW w:w="851" w:type="dxa"/>
            <w:vAlign w:val="center"/>
            <w:hideMark/>
          </w:tcPr>
          <w:p w14:paraId="1BE6AB5B"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w:t>
            </w:r>
          </w:p>
        </w:tc>
        <w:tc>
          <w:tcPr>
            <w:tcW w:w="992" w:type="dxa"/>
            <w:vAlign w:val="center"/>
            <w:hideMark/>
          </w:tcPr>
          <w:p w14:paraId="7B487B4D"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49,582</w:t>
            </w:r>
          </w:p>
        </w:tc>
        <w:tc>
          <w:tcPr>
            <w:tcW w:w="1134" w:type="dxa"/>
            <w:vAlign w:val="center"/>
            <w:hideMark/>
          </w:tcPr>
          <w:p w14:paraId="26AF307C"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39,600</w:t>
            </w:r>
          </w:p>
        </w:tc>
        <w:tc>
          <w:tcPr>
            <w:tcW w:w="992" w:type="dxa"/>
            <w:vAlign w:val="center"/>
            <w:hideMark/>
          </w:tcPr>
          <w:p w14:paraId="29E3D419"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37,289</w:t>
            </w:r>
          </w:p>
        </w:tc>
        <w:tc>
          <w:tcPr>
            <w:tcW w:w="851" w:type="dxa"/>
            <w:vAlign w:val="center"/>
            <w:hideMark/>
          </w:tcPr>
          <w:p w14:paraId="244C8EC3"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11</w:t>
            </w:r>
          </w:p>
        </w:tc>
        <w:tc>
          <w:tcPr>
            <w:tcW w:w="1276" w:type="dxa"/>
            <w:vAlign w:val="center"/>
            <w:hideMark/>
          </w:tcPr>
          <w:p w14:paraId="280D93DA" w14:textId="77777777" w:rsidR="00225DE6" w:rsidRPr="003D6520" w:rsidRDefault="00225DE6" w:rsidP="00476829">
            <w:pPr>
              <w:jc w:val="center"/>
              <w:rPr>
                <w:rFonts w:ascii="Cambria" w:hAnsi="Cambria"/>
                <w:color w:val="000000"/>
                <w:sz w:val="20"/>
                <w:szCs w:val="20"/>
              </w:rPr>
            </w:pPr>
            <w:r w:rsidRPr="003D6520">
              <w:rPr>
                <w:rFonts w:ascii="Cambria" w:hAnsi="Cambria"/>
                <w:color w:val="000000"/>
                <w:sz w:val="20"/>
                <w:szCs w:val="20"/>
              </w:rPr>
              <w:t>46,306</w:t>
            </w:r>
          </w:p>
        </w:tc>
      </w:tr>
    </w:tbl>
    <w:p w14:paraId="5D7175E3" w14:textId="77777777" w:rsidR="00225DE6" w:rsidRPr="003D6520" w:rsidRDefault="00225DE6" w:rsidP="00225DE6">
      <w:pPr>
        <w:rPr>
          <w:rFonts w:ascii="Cambria" w:hAnsi="Cambria"/>
          <w:color w:val="000000" w:themeColor="text1"/>
          <w:sz w:val="20"/>
          <w:szCs w:val="20"/>
          <w:lang w:val="en-GB"/>
        </w:rPr>
      </w:pPr>
    </w:p>
    <w:p w14:paraId="64C45EA1" w14:textId="77777777" w:rsidR="00225DE6" w:rsidRPr="003D6520" w:rsidRDefault="00225DE6" w:rsidP="00225DE6">
      <w:pPr>
        <w:keepNext/>
        <w:jc w:val="center"/>
        <w:rPr>
          <w:color w:val="000000" w:themeColor="text1"/>
        </w:rPr>
      </w:pPr>
      <w:r w:rsidRPr="003D6520">
        <w:rPr>
          <w:noProof/>
          <w14:ligatures w14:val="standardContextual"/>
        </w:rPr>
        <w:drawing>
          <wp:inline distT="0" distB="0" distL="0" distR="0" wp14:anchorId="438A3750" wp14:editId="2878BDAC">
            <wp:extent cx="4320933" cy="3271755"/>
            <wp:effectExtent l="0" t="0" r="3810" b="5080"/>
            <wp:docPr id="49" name="Picture"/>
            <wp:cNvGraphicFramePr/>
            <a:graphic xmlns:a="http://schemas.openxmlformats.org/drawingml/2006/main">
              <a:graphicData uri="http://schemas.openxmlformats.org/drawingml/2006/picture">
                <pic:pic xmlns:pic="http://schemas.openxmlformats.org/drawingml/2006/picture">
                  <pic:nvPicPr>
                    <pic:cNvPr id="49" name="Picture"/>
                    <pic:cNvPicPr/>
                  </pic:nvPicPr>
                  <pic:blipFill>
                    <a:blip r:embed="rId18"/>
                    <a:stretch>
                      <a:fillRect/>
                    </a:stretch>
                  </pic:blipFill>
                  <pic:spPr bwMode="auto">
                    <a:xfrm>
                      <a:off x="0" y="0"/>
                      <a:ext cx="4351717" cy="3295064"/>
                    </a:xfrm>
                    <a:prstGeom prst="rect">
                      <a:avLst/>
                    </a:prstGeom>
                    <a:noFill/>
                    <a:ln w="9525">
                      <a:noFill/>
                      <a:headEnd/>
                      <a:tailEnd/>
                    </a:ln>
                  </pic:spPr>
                </pic:pic>
              </a:graphicData>
            </a:graphic>
          </wp:inline>
        </w:drawing>
      </w:r>
    </w:p>
    <w:p w14:paraId="5C6F262C" w14:textId="77777777" w:rsidR="00225DE6" w:rsidRPr="003D6520" w:rsidRDefault="00225DE6" w:rsidP="00225DE6">
      <w:pPr>
        <w:pStyle w:val="Caption"/>
        <w:jc w:val="both"/>
        <w:rPr>
          <w:rFonts w:ascii="Cambria" w:hAnsi="Cambria"/>
          <w:i w:val="0"/>
          <w:iCs/>
          <w:color w:val="000000" w:themeColor="text1"/>
          <w:sz w:val="20"/>
          <w:szCs w:val="20"/>
        </w:rPr>
      </w:pPr>
      <w:r w:rsidRPr="003D6520">
        <w:rPr>
          <w:rFonts w:ascii="Cambria" w:hAnsi="Cambria"/>
          <w:b/>
          <w:bCs/>
          <w:i w:val="0"/>
          <w:iCs/>
          <w:color w:val="000000" w:themeColor="text1"/>
          <w:sz w:val="20"/>
          <w:szCs w:val="20"/>
        </w:rPr>
        <w:t>Figure 19.9.</w:t>
      </w:r>
      <w:r w:rsidRPr="003D6520">
        <w:rPr>
          <w:rFonts w:ascii="Cambria" w:hAnsi="Cambria"/>
          <w:b/>
          <w:bCs/>
          <w:i w:val="0"/>
          <w:iCs/>
          <w:color w:val="000000" w:themeColor="text1"/>
          <w:sz w:val="20"/>
          <w:szCs w:val="20"/>
        </w:rPr>
        <w:fldChar w:fldCharType="begin"/>
      </w:r>
      <w:r w:rsidRPr="003D6520">
        <w:rPr>
          <w:rFonts w:ascii="Cambria" w:hAnsi="Cambria"/>
          <w:b/>
          <w:bCs/>
          <w:i w:val="0"/>
          <w:iCs/>
          <w:color w:val="000000" w:themeColor="text1"/>
          <w:sz w:val="20"/>
          <w:szCs w:val="20"/>
        </w:rPr>
        <w:instrText xml:space="preserve"> SEQ Figure. \* ARABIC </w:instrText>
      </w:r>
      <w:r w:rsidRPr="003D6520">
        <w:rPr>
          <w:rFonts w:ascii="Cambria" w:hAnsi="Cambria"/>
          <w:b/>
          <w:bCs/>
          <w:i w:val="0"/>
          <w:iCs/>
          <w:color w:val="000000" w:themeColor="text1"/>
          <w:sz w:val="20"/>
          <w:szCs w:val="20"/>
        </w:rPr>
        <w:fldChar w:fldCharType="separate"/>
      </w:r>
      <w:r>
        <w:rPr>
          <w:rFonts w:ascii="Cambria" w:hAnsi="Cambria"/>
          <w:b/>
          <w:bCs/>
          <w:i w:val="0"/>
          <w:iCs/>
          <w:noProof/>
          <w:color w:val="000000" w:themeColor="text1"/>
          <w:sz w:val="20"/>
          <w:szCs w:val="20"/>
        </w:rPr>
        <w:t>1</w:t>
      </w:r>
      <w:r w:rsidRPr="003D6520">
        <w:rPr>
          <w:rFonts w:ascii="Cambria" w:hAnsi="Cambria"/>
          <w:b/>
          <w:bCs/>
          <w:i w:val="0"/>
          <w:iCs/>
          <w:color w:val="000000" w:themeColor="text1"/>
          <w:sz w:val="20"/>
          <w:szCs w:val="20"/>
        </w:rPr>
        <w:fldChar w:fldCharType="end"/>
      </w:r>
      <w:r w:rsidRPr="003D6520">
        <w:rPr>
          <w:rFonts w:ascii="Cambria" w:hAnsi="Cambria"/>
          <w:b/>
          <w:bCs/>
          <w:color w:val="000000" w:themeColor="text1"/>
          <w:sz w:val="20"/>
          <w:szCs w:val="20"/>
        </w:rPr>
        <w:t>.</w:t>
      </w:r>
      <w:r w:rsidRPr="003D6520">
        <w:rPr>
          <w:rFonts w:ascii="Cambria" w:hAnsi="Cambria"/>
          <w:b/>
          <w:bCs/>
          <w:i w:val="0"/>
          <w:color w:val="000000" w:themeColor="text1"/>
          <w:sz w:val="20"/>
          <w:szCs w:val="20"/>
        </w:rPr>
        <w:t xml:space="preserve"> </w:t>
      </w:r>
      <w:r w:rsidRPr="003D6520">
        <w:rPr>
          <w:rFonts w:ascii="Cambria" w:hAnsi="Cambria"/>
          <w:i w:val="0"/>
          <w:color w:val="000000" w:themeColor="text1"/>
          <w:sz w:val="20"/>
          <w:szCs w:val="20"/>
        </w:rPr>
        <w:t xml:space="preserve">Time series of the estimated status of North Atlantic albacore under the seven CMPs evaluated in 2026 under the new MSE framework (reference set of operating models). For each year, </w:t>
      </w:r>
      <w:proofErr w:type="spellStart"/>
      <w:r w:rsidRPr="003D6520">
        <w:rPr>
          <w:rFonts w:ascii="Cambria" w:hAnsi="Cambria"/>
          <w:i w:val="0"/>
          <w:color w:val="000000" w:themeColor="text1"/>
          <w:sz w:val="20"/>
          <w:szCs w:val="20"/>
        </w:rPr>
        <w:t>colours</w:t>
      </w:r>
      <w:proofErr w:type="spellEnd"/>
      <w:r w:rsidRPr="003D6520">
        <w:rPr>
          <w:rFonts w:ascii="Cambria" w:hAnsi="Cambria"/>
          <w:i w:val="0"/>
          <w:color w:val="000000" w:themeColor="text1"/>
          <w:sz w:val="20"/>
          <w:szCs w:val="20"/>
        </w:rPr>
        <w:t xml:space="preserve"> indicate the probability of being in each of the Kobe quadrants. The dotted line indicates the 60% probability of being in the green quadrant of the Kobe Plot. </w:t>
      </w:r>
    </w:p>
    <w:p w14:paraId="2F183E1A" w14:textId="77777777" w:rsidR="00225DE6" w:rsidRPr="003D6520" w:rsidRDefault="00225DE6" w:rsidP="00225DE6">
      <w:pPr>
        <w:jc w:val="both"/>
        <w:rPr>
          <w:rFonts w:ascii="Cambria" w:hAnsi="Cambria"/>
          <w:color w:val="000000" w:themeColor="text1"/>
          <w:sz w:val="20"/>
          <w:szCs w:val="20"/>
          <w:lang w:val="en-US"/>
        </w:rPr>
      </w:pPr>
    </w:p>
    <w:p w14:paraId="5013364C" w14:textId="77777777" w:rsidR="00225DE6" w:rsidRPr="003D6520" w:rsidRDefault="00225DE6" w:rsidP="00225DE6">
      <w:pPr>
        <w:jc w:val="center"/>
        <w:rPr>
          <w:rFonts w:ascii="Cambria" w:hAnsi="Cambria"/>
          <w:color w:val="000000" w:themeColor="text1"/>
          <w:sz w:val="20"/>
          <w:szCs w:val="20"/>
          <w:lang w:val="en-US"/>
        </w:rPr>
      </w:pPr>
      <w:r w:rsidRPr="003D6520">
        <w:rPr>
          <w:rFonts w:ascii="Cambria" w:hAnsi="Cambria"/>
          <w:i/>
          <w:noProof/>
          <w:color w:val="000000" w:themeColor="text1"/>
          <w:sz w:val="20"/>
          <w:szCs w:val="20"/>
        </w:rPr>
        <w:lastRenderedPageBreak/>
        <w:drawing>
          <wp:inline distT="0" distB="0" distL="0" distR="0" wp14:anchorId="3B113F82" wp14:editId="79A68332">
            <wp:extent cx="4254500" cy="3402752"/>
            <wp:effectExtent l="0" t="0" r="0" b="7620"/>
            <wp:docPr id="3485420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254500" cy="3402752"/>
                    </a:xfrm>
                    <a:prstGeom prst="rect">
                      <a:avLst/>
                    </a:prstGeom>
                    <a:noFill/>
                    <a:ln>
                      <a:noFill/>
                    </a:ln>
                  </pic:spPr>
                </pic:pic>
              </a:graphicData>
            </a:graphic>
          </wp:inline>
        </w:drawing>
      </w:r>
    </w:p>
    <w:p w14:paraId="0C16ED0F" w14:textId="77777777" w:rsidR="00225DE6" w:rsidRPr="003D6520" w:rsidRDefault="00225DE6" w:rsidP="00225DE6">
      <w:pPr>
        <w:pStyle w:val="Caption"/>
        <w:spacing w:after="0"/>
        <w:jc w:val="both"/>
        <w:rPr>
          <w:rFonts w:ascii="Cambria" w:hAnsi="Cambria"/>
          <w:b/>
          <w:bCs/>
          <w:i w:val="0"/>
          <w:iCs/>
          <w:color w:val="000000" w:themeColor="text1"/>
          <w:sz w:val="20"/>
          <w:szCs w:val="20"/>
        </w:rPr>
      </w:pPr>
    </w:p>
    <w:p w14:paraId="66911E0E" w14:textId="77777777" w:rsidR="00225DE6" w:rsidRPr="003D6520" w:rsidRDefault="00225DE6" w:rsidP="00225DE6">
      <w:pPr>
        <w:pStyle w:val="Caption"/>
        <w:spacing w:after="0"/>
        <w:jc w:val="both"/>
        <w:rPr>
          <w:rFonts w:ascii="Cambria" w:hAnsi="Cambria"/>
          <w:i w:val="0"/>
          <w:color w:val="000000" w:themeColor="text1"/>
          <w:sz w:val="20"/>
          <w:szCs w:val="20"/>
        </w:rPr>
      </w:pPr>
      <w:r w:rsidRPr="003D6520">
        <w:rPr>
          <w:rFonts w:ascii="Cambria" w:hAnsi="Cambria"/>
          <w:b/>
          <w:bCs/>
          <w:i w:val="0"/>
          <w:iCs/>
          <w:color w:val="000000" w:themeColor="text1"/>
          <w:sz w:val="20"/>
          <w:szCs w:val="20"/>
        </w:rPr>
        <w:t>Figure 19.9.2</w:t>
      </w:r>
      <w:r w:rsidRPr="003D6520">
        <w:rPr>
          <w:rFonts w:ascii="Cambria" w:hAnsi="Cambria"/>
          <w:b/>
          <w:bCs/>
          <w:color w:val="000000" w:themeColor="text1"/>
          <w:sz w:val="20"/>
          <w:szCs w:val="20"/>
        </w:rPr>
        <w:t>.</w:t>
      </w:r>
      <w:r w:rsidRPr="003D6520">
        <w:rPr>
          <w:rFonts w:ascii="Cambria" w:hAnsi="Cambria"/>
          <w:b/>
          <w:bCs/>
          <w:i w:val="0"/>
          <w:color w:val="000000" w:themeColor="text1"/>
          <w:sz w:val="20"/>
          <w:szCs w:val="20"/>
        </w:rPr>
        <w:t xml:space="preserve"> </w:t>
      </w:r>
      <w:r w:rsidRPr="003D6520">
        <w:rPr>
          <w:rFonts w:ascii="Cambria" w:hAnsi="Cambria"/>
          <w:i w:val="0"/>
          <w:color w:val="000000" w:themeColor="text1"/>
          <w:sz w:val="20"/>
          <w:szCs w:val="20"/>
        </w:rPr>
        <w:t xml:space="preserve">Time series of the estimated status of North Atlantic albacore under the seven CMPs evaluated in 2026 under the new MSE framework (robustness test in a scenario with a 20% reduction in recruitment due to climate change). For each year, </w:t>
      </w:r>
      <w:proofErr w:type="spellStart"/>
      <w:r w:rsidRPr="003D6520">
        <w:rPr>
          <w:rFonts w:ascii="Cambria" w:hAnsi="Cambria"/>
          <w:i w:val="0"/>
          <w:color w:val="000000" w:themeColor="text1"/>
          <w:sz w:val="20"/>
          <w:szCs w:val="20"/>
        </w:rPr>
        <w:t>colours</w:t>
      </w:r>
      <w:proofErr w:type="spellEnd"/>
      <w:r w:rsidRPr="003D6520">
        <w:rPr>
          <w:rFonts w:ascii="Cambria" w:hAnsi="Cambria"/>
          <w:i w:val="0"/>
          <w:color w:val="000000" w:themeColor="text1"/>
          <w:sz w:val="20"/>
          <w:szCs w:val="20"/>
        </w:rPr>
        <w:t xml:space="preserve"> indicate the probability of being in each of the Kobe quadrants. The dotted line indicates the 60% probability of being in the green quadrant of the Kobe Plot. </w:t>
      </w:r>
    </w:p>
    <w:p w14:paraId="683AF578" w14:textId="77777777" w:rsidR="00225DE6" w:rsidRPr="003D6520" w:rsidRDefault="00225DE6" w:rsidP="00225DE6">
      <w:pPr>
        <w:jc w:val="both"/>
        <w:rPr>
          <w:rFonts w:ascii="Cambria" w:hAnsi="Cambria"/>
          <w:color w:val="000000" w:themeColor="text1"/>
          <w:sz w:val="20"/>
          <w:szCs w:val="20"/>
          <w:lang w:val="en-US"/>
        </w:rPr>
      </w:pPr>
    </w:p>
    <w:p w14:paraId="38E7FC7F" w14:textId="77777777" w:rsidR="00225DE6" w:rsidRPr="003D6520" w:rsidRDefault="00225DE6" w:rsidP="00225DE6">
      <w:pPr>
        <w:jc w:val="both"/>
        <w:rPr>
          <w:rFonts w:ascii="Cambria" w:hAnsi="Cambria"/>
          <w:color w:val="000000" w:themeColor="text1"/>
          <w:sz w:val="20"/>
          <w:szCs w:val="20"/>
          <w:lang w:val="en-US"/>
        </w:rPr>
      </w:pPr>
      <w:r w:rsidRPr="003D6520">
        <w:rPr>
          <w:rFonts w:ascii="Cambria" w:hAnsi="Cambria"/>
          <w:color w:val="000000" w:themeColor="text1"/>
          <w:sz w:val="20"/>
          <w:szCs w:val="20"/>
          <w:lang w:val="en-US"/>
        </w:rPr>
        <w:t>If the updated-MP, or a modified version of it, is selected, the group recommends updating the MP technical specifications in Appendix A of Annex 1 to Rec. 21-04 to reflect recent developments in production model software (</w:t>
      </w:r>
      <w:r w:rsidRPr="003D6520">
        <w:rPr>
          <w:rFonts w:ascii="Cambria" w:hAnsi="Cambria"/>
          <w:b/>
          <w:bCs/>
          <w:color w:val="000000" w:themeColor="text1"/>
          <w:sz w:val="20"/>
          <w:szCs w:val="20"/>
          <w:lang w:val="en-US"/>
        </w:rPr>
        <w:t>Table 19.9.3</w:t>
      </w:r>
      <w:r w:rsidRPr="003D6520">
        <w:rPr>
          <w:rFonts w:ascii="Cambria" w:hAnsi="Cambria"/>
          <w:color w:val="000000" w:themeColor="text1"/>
          <w:sz w:val="20"/>
          <w:szCs w:val="20"/>
          <w:lang w:val="en-US"/>
        </w:rPr>
        <w:t>) and the CPUE indices used in the latest benchmark assessment (</w:t>
      </w:r>
      <w:r w:rsidRPr="003D6520">
        <w:rPr>
          <w:rFonts w:ascii="Cambria" w:hAnsi="Cambria"/>
          <w:b/>
          <w:bCs/>
          <w:color w:val="000000" w:themeColor="text1"/>
          <w:sz w:val="20"/>
          <w:szCs w:val="20"/>
          <w:lang w:val="en-US"/>
        </w:rPr>
        <w:t>Table 19.9.4</w:t>
      </w:r>
      <w:r w:rsidRPr="003D6520">
        <w:rPr>
          <w:rFonts w:ascii="Cambria" w:hAnsi="Cambria"/>
          <w:color w:val="000000" w:themeColor="text1"/>
          <w:sz w:val="20"/>
          <w:szCs w:val="20"/>
          <w:lang w:val="en-US"/>
        </w:rPr>
        <w:t>) the proposed specifications are as follows:</w:t>
      </w:r>
    </w:p>
    <w:p w14:paraId="36CE704D" w14:textId="77777777" w:rsidR="00225DE6" w:rsidRPr="003D6520" w:rsidRDefault="00225DE6" w:rsidP="00225DE6">
      <w:pPr>
        <w:pStyle w:val="Caption"/>
        <w:rPr>
          <w:rFonts w:ascii="Cambria" w:hAnsi="Cambria"/>
          <w:b/>
          <w:bCs/>
          <w:i w:val="0"/>
          <w:iCs/>
          <w:color w:val="000000" w:themeColor="text1"/>
          <w:sz w:val="20"/>
          <w:szCs w:val="20"/>
        </w:rPr>
      </w:pPr>
    </w:p>
    <w:p w14:paraId="28B6FD7C" w14:textId="77777777" w:rsidR="00225DE6" w:rsidRPr="003D6520" w:rsidRDefault="00225DE6" w:rsidP="00225DE6">
      <w:pPr>
        <w:pStyle w:val="Caption"/>
        <w:jc w:val="both"/>
        <w:rPr>
          <w:rFonts w:ascii="Cambria" w:hAnsi="Cambria"/>
          <w:color w:val="000000" w:themeColor="text1"/>
          <w:sz w:val="20"/>
          <w:szCs w:val="20"/>
        </w:rPr>
      </w:pPr>
      <w:r w:rsidRPr="003D6520">
        <w:rPr>
          <w:rFonts w:ascii="Cambria" w:hAnsi="Cambria"/>
          <w:b/>
          <w:bCs/>
          <w:i w:val="0"/>
          <w:iCs/>
          <w:color w:val="000000" w:themeColor="text1"/>
          <w:sz w:val="20"/>
          <w:szCs w:val="20"/>
        </w:rPr>
        <w:t xml:space="preserve">Table 19.9.3. </w:t>
      </w:r>
      <w:r w:rsidRPr="003D6520">
        <w:rPr>
          <w:rFonts w:ascii="Cambria" w:hAnsi="Cambria"/>
          <w:i w:val="0"/>
          <w:color w:val="000000" w:themeColor="text1"/>
          <w:sz w:val="20"/>
          <w:szCs w:val="20"/>
        </w:rPr>
        <w:t>Specifications of the biomass dynamic model where “t” is the year of the Management Procedure iteration for the establishment of the TAC for the years t+1, t+2 and t+3.</w:t>
      </w:r>
    </w:p>
    <w:tbl>
      <w:tblPr>
        <w:tblStyle w:val="TableGrid"/>
        <w:tblW w:w="7792" w:type="dxa"/>
        <w:jc w:val="center"/>
        <w:tblInd w:w="0" w:type="dxa"/>
        <w:tblLook w:val="04A0" w:firstRow="1" w:lastRow="0" w:firstColumn="1" w:lastColumn="0" w:noHBand="0" w:noVBand="1"/>
      </w:tblPr>
      <w:tblGrid>
        <w:gridCol w:w="1413"/>
        <w:gridCol w:w="2551"/>
        <w:gridCol w:w="3828"/>
      </w:tblGrid>
      <w:tr w:rsidR="00225DE6" w:rsidRPr="003D6520" w14:paraId="318977B3" w14:textId="77777777" w:rsidTr="00476829">
        <w:trPr>
          <w:jc w:val="center"/>
        </w:trPr>
        <w:tc>
          <w:tcPr>
            <w:tcW w:w="1413" w:type="dxa"/>
            <w:vAlign w:val="center"/>
          </w:tcPr>
          <w:p w14:paraId="0F274AC7" w14:textId="77777777" w:rsidR="00225DE6" w:rsidRPr="003D6520" w:rsidRDefault="00225DE6" w:rsidP="00476829">
            <w:pPr>
              <w:rPr>
                <w:rFonts w:ascii="Cambria" w:hAnsi="Cambria"/>
                <w:b/>
                <w:bCs/>
                <w:i/>
                <w:iCs/>
                <w:color w:val="000000" w:themeColor="text1"/>
                <w:sz w:val="20"/>
                <w:szCs w:val="20"/>
              </w:rPr>
            </w:pPr>
            <w:r w:rsidRPr="003D6520">
              <w:rPr>
                <w:rFonts w:ascii="Cambria" w:hAnsi="Cambria"/>
                <w:b/>
                <w:bCs/>
                <w:i/>
                <w:iCs/>
                <w:color w:val="000000" w:themeColor="text1"/>
                <w:sz w:val="20"/>
                <w:szCs w:val="20"/>
              </w:rPr>
              <w:t>Software</w:t>
            </w:r>
          </w:p>
        </w:tc>
        <w:tc>
          <w:tcPr>
            <w:tcW w:w="2551" w:type="dxa"/>
            <w:vAlign w:val="center"/>
          </w:tcPr>
          <w:p w14:paraId="716C67C4" w14:textId="77777777" w:rsidR="00225DE6" w:rsidRPr="003D6520" w:rsidRDefault="00225DE6" w:rsidP="00476829">
            <w:pPr>
              <w:jc w:val="center"/>
              <w:rPr>
                <w:rFonts w:ascii="Cambria" w:hAnsi="Cambria"/>
                <w:b/>
                <w:bCs/>
                <w:i/>
                <w:iCs/>
                <w:color w:val="000000" w:themeColor="text1"/>
                <w:sz w:val="20"/>
                <w:szCs w:val="20"/>
              </w:rPr>
            </w:pPr>
            <w:r w:rsidRPr="003D6520">
              <w:rPr>
                <w:rFonts w:ascii="Cambria" w:hAnsi="Cambria"/>
                <w:b/>
                <w:bCs/>
                <w:i/>
                <w:iCs/>
                <w:color w:val="000000" w:themeColor="text1"/>
                <w:sz w:val="20"/>
                <w:szCs w:val="20"/>
              </w:rPr>
              <w:t>Model</w:t>
            </w:r>
          </w:p>
        </w:tc>
        <w:tc>
          <w:tcPr>
            <w:tcW w:w="3828" w:type="dxa"/>
            <w:vAlign w:val="center"/>
          </w:tcPr>
          <w:p w14:paraId="66D5C23C" w14:textId="77777777" w:rsidR="00225DE6" w:rsidRPr="003D6520" w:rsidRDefault="00225DE6" w:rsidP="00476829">
            <w:pPr>
              <w:jc w:val="center"/>
              <w:rPr>
                <w:rFonts w:ascii="Cambria" w:hAnsi="Cambria"/>
                <w:b/>
                <w:bCs/>
                <w:i/>
                <w:iCs/>
                <w:color w:val="000000" w:themeColor="text1"/>
                <w:sz w:val="20"/>
                <w:szCs w:val="20"/>
              </w:rPr>
            </w:pPr>
            <w:r w:rsidRPr="003D6520">
              <w:rPr>
                <w:rFonts w:ascii="Cambria" w:hAnsi="Cambria"/>
                <w:b/>
                <w:bCs/>
                <w:i/>
                <w:iCs/>
                <w:color w:val="000000" w:themeColor="text1"/>
                <w:sz w:val="20"/>
                <w:szCs w:val="20"/>
              </w:rPr>
              <w:t>Catch series</w:t>
            </w:r>
          </w:p>
        </w:tc>
      </w:tr>
      <w:tr w:rsidR="00225DE6" w:rsidRPr="007E0A84" w14:paraId="1F991DB4" w14:textId="77777777" w:rsidTr="00476829">
        <w:trPr>
          <w:jc w:val="center"/>
        </w:trPr>
        <w:tc>
          <w:tcPr>
            <w:tcW w:w="1413" w:type="dxa"/>
            <w:vAlign w:val="center"/>
          </w:tcPr>
          <w:p w14:paraId="01C1EA31" w14:textId="77777777" w:rsidR="00225DE6" w:rsidRPr="003D6520" w:rsidRDefault="00225DE6" w:rsidP="00476829">
            <w:pPr>
              <w:rPr>
                <w:rFonts w:ascii="Cambria" w:hAnsi="Cambria"/>
                <w:color w:val="000000" w:themeColor="text1"/>
                <w:sz w:val="20"/>
                <w:szCs w:val="20"/>
              </w:rPr>
            </w:pPr>
            <w:r w:rsidRPr="003D6520">
              <w:rPr>
                <w:rFonts w:ascii="Cambria" w:hAnsi="Cambria"/>
                <w:color w:val="000000" w:themeColor="text1"/>
                <w:sz w:val="20"/>
                <w:szCs w:val="20"/>
              </w:rPr>
              <w:t>SPiCT</w:t>
            </w:r>
          </w:p>
        </w:tc>
        <w:tc>
          <w:tcPr>
            <w:tcW w:w="2551" w:type="dxa"/>
            <w:vAlign w:val="center"/>
          </w:tcPr>
          <w:p w14:paraId="07421D51"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Surplus production model</w:t>
            </w:r>
          </w:p>
        </w:tc>
        <w:tc>
          <w:tcPr>
            <w:tcW w:w="3828" w:type="dxa"/>
            <w:vAlign w:val="center"/>
          </w:tcPr>
          <w:p w14:paraId="0E6B52CB" w14:textId="77777777" w:rsidR="00225DE6" w:rsidRPr="003D6520" w:rsidRDefault="00225DE6" w:rsidP="00476829">
            <w:pPr>
              <w:jc w:val="center"/>
              <w:rPr>
                <w:rFonts w:ascii="Cambria" w:hAnsi="Cambria"/>
                <w:color w:val="000000" w:themeColor="text1"/>
                <w:sz w:val="20"/>
                <w:szCs w:val="20"/>
                <w:lang w:val="en-US"/>
              </w:rPr>
            </w:pPr>
            <w:r w:rsidRPr="003D6520">
              <w:rPr>
                <w:rFonts w:ascii="Cambria" w:hAnsi="Cambria"/>
                <w:color w:val="000000" w:themeColor="text1"/>
                <w:sz w:val="20"/>
                <w:szCs w:val="20"/>
                <w:lang w:val="en-US"/>
              </w:rPr>
              <w:t>Start in 1930</w:t>
            </w:r>
          </w:p>
          <w:p w14:paraId="46540037" w14:textId="77777777" w:rsidR="00225DE6" w:rsidRPr="003D6520" w:rsidRDefault="00225DE6" w:rsidP="00476829">
            <w:pPr>
              <w:keepNext/>
              <w:jc w:val="center"/>
              <w:rPr>
                <w:rFonts w:ascii="Cambria" w:hAnsi="Cambria"/>
                <w:color w:val="000000" w:themeColor="text1"/>
                <w:sz w:val="20"/>
                <w:szCs w:val="20"/>
                <w:lang w:val="en-US"/>
              </w:rPr>
            </w:pPr>
            <w:r w:rsidRPr="003D6520">
              <w:rPr>
                <w:rFonts w:ascii="Cambria" w:hAnsi="Cambria"/>
                <w:color w:val="000000" w:themeColor="text1"/>
                <w:sz w:val="20"/>
                <w:szCs w:val="20"/>
                <w:lang w:val="en-US"/>
              </w:rPr>
              <w:t xml:space="preserve">Final year: t-1 </w:t>
            </w:r>
          </w:p>
        </w:tc>
      </w:tr>
    </w:tbl>
    <w:p w14:paraId="50154AC5" w14:textId="77777777" w:rsidR="00225DE6" w:rsidRPr="003D6520" w:rsidRDefault="00225DE6" w:rsidP="00225DE6">
      <w:pPr>
        <w:rPr>
          <w:rFonts w:ascii="Cambria" w:hAnsi="Cambria"/>
          <w:color w:val="000000" w:themeColor="text1"/>
          <w:sz w:val="20"/>
          <w:szCs w:val="20"/>
          <w:lang w:val="en-US"/>
        </w:rPr>
      </w:pPr>
    </w:p>
    <w:p w14:paraId="5BE2533D" w14:textId="77777777" w:rsidR="00225DE6" w:rsidRPr="003D6520" w:rsidRDefault="00225DE6" w:rsidP="00225DE6">
      <w:pPr>
        <w:rPr>
          <w:rFonts w:ascii="Cambria" w:hAnsi="Cambria"/>
          <w:color w:val="000000" w:themeColor="text1"/>
          <w:sz w:val="20"/>
          <w:szCs w:val="20"/>
          <w:lang w:val="en-US"/>
        </w:rPr>
      </w:pPr>
    </w:p>
    <w:p w14:paraId="14A025AD" w14:textId="77777777" w:rsidR="00225DE6" w:rsidRPr="003D6520" w:rsidRDefault="00225DE6" w:rsidP="00225DE6">
      <w:pPr>
        <w:pStyle w:val="Caption"/>
        <w:jc w:val="both"/>
        <w:rPr>
          <w:rFonts w:ascii="Cambria" w:hAnsi="Cambria"/>
          <w:color w:val="000000" w:themeColor="text1"/>
          <w:sz w:val="20"/>
          <w:szCs w:val="20"/>
        </w:rPr>
      </w:pPr>
      <w:r w:rsidRPr="003D6520">
        <w:rPr>
          <w:rFonts w:ascii="Cambria" w:hAnsi="Cambria"/>
          <w:b/>
          <w:bCs/>
          <w:i w:val="0"/>
          <w:iCs/>
          <w:color w:val="000000" w:themeColor="text1"/>
          <w:sz w:val="20"/>
          <w:szCs w:val="20"/>
        </w:rPr>
        <w:t xml:space="preserve">Table 19.9.4. </w:t>
      </w:r>
      <w:r w:rsidRPr="003D6520">
        <w:rPr>
          <w:rFonts w:ascii="Cambria" w:hAnsi="Cambria"/>
          <w:i w:val="0"/>
          <w:color w:val="000000" w:themeColor="text1"/>
          <w:sz w:val="20"/>
          <w:szCs w:val="20"/>
        </w:rPr>
        <w:t>CPUE indices and their starting years, where “t” is the year of the MP iteration for the establishment of the TAC for the years t+1, t+2 and t+3.</w:t>
      </w:r>
    </w:p>
    <w:tbl>
      <w:tblPr>
        <w:tblStyle w:val="TableGrid"/>
        <w:tblW w:w="0" w:type="auto"/>
        <w:jc w:val="center"/>
        <w:tblInd w:w="0" w:type="dxa"/>
        <w:tblLook w:val="04A0" w:firstRow="1" w:lastRow="0" w:firstColumn="1" w:lastColumn="0" w:noHBand="0" w:noVBand="1"/>
      </w:tblPr>
      <w:tblGrid>
        <w:gridCol w:w="3119"/>
        <w:gridCol w:w="1560"/>
        <w:gridCol w:w="2976"/>
      </w:tblGrid>
      <w:tr w:rsidR="00225DE6" w:rsidRPr="003D6520" w14:paraId="419D1605" w14:textId="77777777" w:rsidTr="00476829">
        <w:trPr>
          <w:jc w:val="center"/>
        </w:trPr>
        <w:tc>
          <w:tcPr>
            <w:tcW w:w="3119" w:type="dxa"/>
          </w:tcPr>
          <w:p w14:paraId="5ED22182" w14:textId="77777777" w:rsidR="00225DE6" w:rsidRPr="003D6520" w:rsidRDefault="00225DE6" w:rsidP="00476829">
            <w:pPr>
              <w:rPr>
                <w:rFonts w:ascii="Cambria" w:hAnsi="Cambria"/>
                <w:b/>
                <w:bCs/>
                <w:i/>
                <w:iCs/>
                <w:color w:val="000000" w:themeColor="text1"/>
                <w:sz w:val="20"/>
                <w:szCs w:val="20"/>
              </w:rPr>
            </w:pPr>
            <w:r w:rsidRPr="003D6520">
              <w:rPr>
                <w:rFonts w:ascii="Cambria" w:hAnsi="Cambria"/>
                <w:b/>
                <w:bCs/>
                <w:i/>
                <w:iCs/>
                <w:color w:val="000000" w:themeColor="text1"/>
                <w:sz w:val="20"/>
                <w:szCs w:val="20"/>
              </w:rPr>
              <w:t>Index</w:t>
            </w:r>
          </w:p>
        </w:tc>
        <w:tc>
          <w:tcPr>
            <w:tcW w:w="1560" w:type="dxa"/>
          </w:tcPr>
          <w:p w14:paraId="3E5C52E4" w14:textId="77777777" w:rsidR="00225DE6" w:rsidRPr="003D6520" w:rsidRDefault="00225DE6" w:rsidP="00476829">
            <w:pPr>
              <w:jc w:val="center"/>
              <w:rPr>
                <w:rFonts w:ascii="Cambria" w:hAnsi="Cambria"/>
                <w:b/>
                <w:bCs/>
                <w:i/>
                <w:iCs/>
                <w:color w:val="000000" w:themeColor="text1"/>
                <w:sz w:val="20"/>
                <w:szCs w:val="20"/>
              </w:rPr>
            </w:pPr>
            <w:r w:rsidRPr="003D6520">
              <w:rPr>
                <w:rFonts w:ascii="Cambria" w:hAnsi="Cambria"/>
                <w:b/>
                <w:bCs/>
                <w:i/>
                <w:iCs/>
                <w:color w:val="000000" w:themeColor="text1"/>
                <w:sz w:val="20"/>
                <w:szCs w:val="20"/>
              </w:rPr>
              <w:t>First year</w:t>
            </w:r>
          </w:p>
        </w:tc>
        <w:tc>
          <w:tcPr>
            <w:tcW w:w="2976" w:type="dxa"/>
          </w:tcPr>
          <w:p w14:paraId="76E4C66C" w14:textId="77777777" w:rsidR="00225DE6" w:rsidRPr="003D6520" w:rsidRDefault="00225DE6" w:rsidP="00476829">
            <w:pPr>
              <w:jc w:val="center"/>
              <w:rPr>
                <w:rFonts w:ascii="Cambria" w:hAnsi="Cambria"/>
                <w:b/>
                <w:bCs/>
                <w:i/>
                <w:iCs/>
                <w:color w:val="000000" w:themeColor="text1"/>
                <w:sz w:val="20"/>
                <w:szCs w:val="20"/>
              </w:rPr>
            </w:pPr>
            <w:r w:rsidRPr="003D6520">
              <w:rPr>
                <w:rFonts w:ascii="Cambria" w:hAnsi="Cambria"/>
                <w:b/>
                <w:bCs/>
                <w:i/>
                <w:iCs/>
                <w:color w:val="000000" w:themeColor="text1"/>
                <w:sz w:val="20"/>
                <w:szCs w:val="20"/>
              </w:rPr>
              <w:t>Final year</w:t>
            </w:r>
          </w:p>
        </w:tc>
      </w:tr>
      <w:tr w:rsidR="00225DE6" w:rsidRPr="003D6520" w14:paraId="3E3E1D9B" w14:textId="77777777" w:rsidTr="00476829">
        <w:trPr>
          <w:jc w:val="center"/>
        </w:trPr>
        <w:tc>
          <w:tcPr>
            <w:tcW w:w="3119" w:type="dxa"/>
          </w:tcPr>
          <w:p w14:paraId="4262902A" w14:textId="77777777" w:rsidR="00225DE6" w:rsidRPr="003D6520" w:rsidRDefault="00225DE6" w:rsidP="00476829">
            <w:pPr>
              <w:rPr>
                <w:rFonts w:ascii="Cambria" w:hAnsi="Cambria"/>
                <w:color w:val="000000" w:themeColor="text1"/>
                <w:sz w:val="20"/>
                <w:szCs w:val="20"/>
              </w:rPr>
            </w:pPr>
            <w:r w:rsidRPr="003D6520">
              <w:rPr>
                <w:rFonts w:ascii="Cambria" w:hAnsi="Cambria"/>
                <w:color w:val="000000" w:themeColor="text1"/>
                <w:sz w:val="20"/>
                <w:szCs w:val="20"/>
              </w:rPr>
              <w:t>Venezuelan LL</w:t>
            </w:r>
          </w:p>
        </w:tc>
        <w:tc>
          <w:tcPr>
            <w:tcW w:w="1560" w:type="dxa"/>
          </w:tcPr>
          <w:p w14:paraId="5A4166A2"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1991</w:t>
            </w:r>
          </w:p>
        </w:tc>
        <w:tc>
          <w:tcPr>
            <w:tcW w:w="2976" w:type="dxa"/>
          </w:tcPr>
          <w:p w14:paraId="1A0B4AB7"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2017</w:t>
            </w:r>
          </w:p>
        </w:tc>
      </w:tr>
      <w:tr w:rsidR="00225DE6" w:rsidRPr="003D6520" w14:paraId="22B9A99F" w14:textId="77777777" w:rsidTr="00476829">
        <w:trPr>
          <w:jc w:val="center"/>
        </w:trPr>
        <w:tc>
          <w:tcPr>
            <w:tcW w:w="3119" w:type="dxa"/>
          </w:tcPr>
          <w:p w14:paraId="700295F4" w14:textId="77777777" w:rsidR="00225DE6" w:rsidRPr="003D6520" w:rsidRDefault="00225DE6" w:rsidP="00476829">
            <w:pPr>
              <w:rPr>
                <w:rFonts w:ascii="Cambria" w:hAnsi="Cambria"/>
                <w:color w:val="000000" w:themeColor="text1"/>
                <w:sz w:val="20"/>
                <w:szCs w:val="20"/>
              </w:rPr>
            </w:pPr>
            <w:r w:rsidRPr="003D6520">
              <w:rPr>
                <w:rFonts w:ascii="Cambria" w:hAnsi="Cambria"/>
                <w:color w:val="000000" w:themeColor="text1"/>
                <w:sz w:val="20"/>
                <w:szCs w:val="20"/>
              </w:rPr>
              <w:t>US LL North</w:t>
            </w:r>
          </w:p>
        </w:tc>
        <w:tc>
          <w:tcPr>
            <w:tcW w:w="1560" w:type="dxa"/>
          </w:tcPr>
          <w:p w14:paraId="2E3F98E5"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1987</w:t>
            </w:r>
          </w:p>
        </w:tc>
        <w:tc>
          <w:tcPr>
            <w:tcW w:w="2976" w:type="dxa"/>
          </w:tcPr>
          <w:p w14:paraId="58D9485B"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t-1</w:t>
            </w:r>
          </w:p>
        </w:tc>
      </w:tr>
      <w:tr w:rsidR="00225DE6" w:rsidRPr="003D6520" w14:paraId="6C9178B7" w14:textId="77777777" w:rsidTr="00476829">
        <w:trPr>
          <w:jc w:val="center"/>
        </w:trPr>
        <w:tc>
          <w:tcPr>
            <w:tcW w:w="3119" w:type="dxa"/>
          </w:tcPr>
          <w:p w14:paraId="47ACF514" w14:textId="77777777" w:rsidR="00225DE6" w:rsidRPr="003D6520" w:rsidRDefault="00225DE6" w:rsidP="00476829">
            <w:pPr>
              <w:rPr>
                <w:rFonts w:ascii="Cambria" w:hAnsi="Cambria"/>
                <w:color w:val="000000" w:themeColor="text1"/>
                <w:sz w:val="20"/>
                <w:szCs w:val="20"/>
              </w:rPr>
            </w:pPr>
            <w:r w:rsidRPr="003D6520">
              <w:rPr>
                <w:rFonts w:ascii="Cambria" w:hAnsi="Cambria"/>
                <w:color w:val="000000" w:themeColor="text1"/>
                <w:sz w:val="20"/>
                <w:szCs w:val="20"/>
              </w:rPr>
              <w:t>US LL South</w:t>
            </w:r>
          </w:p>
        </w:tc>
        <w:tc>
          <w:tcPr>
            <w:tcW w:w="1560" w:type="dxa"/>
          </w:tcPr>
          <w:p w14:paraId="5142E292"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1987</w:t>
            </w:r>
          </w:p>
        </w:tc>
        <w:tc>
          <w:tcPr>
            <w:tcW w:w="2976" w:type="dxa"/>
          </w:tcPr>
          <w:p w14:paraId="0DFAE0DF"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t-1</w:t>
            </w:r>
          </w:p>
        </w:tc>
      </w:tr>
      <w:tr w:rsidR="00225DE6" w:rsidRPr="003D6520" w14:paraId="0306803B" w14:textId="77777777" w:rsidTr="00476829">
        <w:trPr>
          <w:jc w:val="center"/>
        </w:trPr>
        <w:tc>
          <w:tcPr>
            <w:tcW w:w="3119" w:type="dxa"/>
          </w:tcPr>
          <w:p w14:paraId="23D0FD0B" w14:textId="77777777" w:rsidR="00225DE6" w:rsidRPr="003D6520" w:rsidRDefault="00225DE6" w:rsidP="00476829">
            <w:pPr>
              <w:rPr>
                <w:rFonts w:ascii="Cambria" w:hAnsi="Cambria"/>
                <w:color w:val="000000" w:themeColor="text1"/>
                <w:sz w:val="20"/>
                <w:szCs w:val="20"/>
                <w:lang w:val="en-US"/>
              </w:rPr>
            </w:pPr>
            <w:r w:rsidRPr="003D6520">
              <w:rPr>
                <w:rFonts w:ascii="Cambria" w:hAnsi="Cambria"/>
                <w:color w:val="000000" w:themeColor="text1"/>
                <w:sz w:val="20"/>
                <w:szCs w:val="20"/>
                <w:lang w:val="en-US"/>
              </w:rPr>
              <w:t>Chinese Taipei LL late North</w:t>
            </w:r>
          </w:p>
        </w:tc>
        <w:tc>
          <w:tcPr>
            <w:tcW w:w="1560" w:type="dxa"/>
          </w:tcPr>
          <w:p w14:paraId="23884C84"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1999</w:t>
            </w:r>
          </w:p>
        </w:tc>
        <w:tc>
          <w:tcPr>
            <w:tcW w:w="2976" w:type="dxa"/>
          </w:tcPr>
          <w:p w14:paraId="3EEC1C4D"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t-1</w:t>
            </w:r>
          </w:p>
        </w:tc>
      </w:tr>
      <w:tr w:rsidR="00225DE6" w:rsidRPr="003D6520" w14:paraId="3F4FE30E" w14:textId="77777777" w:rsidTr="00476829">
        <w:trPr>
          <w:jc w:val="center"/>
        </w:trPr>
        <w:tc>
          <w:tcPr>
            <w:tcW w:w="3119" w:type="dxa"/>
          </w:tcPr>
          <w:p w14:paraId="2B720B23" w14:textId="77777777" w:rsidR="00225DE6" w:rsidRPr="003D6520" w:rsidRDefault="00225DE6" w:rsidP="00476829">
            <w:pPr>
              <w:rPr>
                <w:rFonts w:ascii="Cambria" w:hAnsi="Cambria"/>
                <w:color w:val="000000" w:themeColor="text1"/>
                <w:sz w:val="20"/>
                <w:szCs w:val="20"/>
                <w:lang w:val="en-US"/>
              </w:rPr>
            </w:pPr>
            <w:r w:rsidRPr="003D6520">
              <w:rPr>
                <w:rFonts w:ascii="Cambria" w:hAnsi="Cambria"/>
                <w:color w:val="000000" w:themeColor="text1"/>
                <w:sz w:val="20"/>
                <w:szCs w:val="20"/>
                <w:lang w:val="en-US"/>
              </w:rPr>
              <w:t>Chinese Taipei LL late South</w:t>
            </w:r>
          </w:p>
        </w:tc>
        <w:tc>
          <w:tcPr>
            <w:tcW w:w="1560" w:type="dxa"/>
          </w:tcPr>
          <w:p w14:paraId="5121FDEE"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1999</w:t>
            </w:r>
          </w:p>
        </w:tc>
        <w:tc>
          <w:tcPr>
            <w:tcW w:w="2976" w:type="dxa"/>
          </w:tcPr>
          <w:p w14:paraId="2017777E"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t-1</w:t>
            </w:r>
          </w:p>
        </w:tc>
      </w:tr>
      <w:tr w:rsidR="00225DE6" w:rsidRPr="003D6520" w14:paraId="14FA3C92" w14:textId="77777777" w:rsidTr="00476829">
        <w:trPr>
          <w:jc w:val="center"/>
        </w:trPr>
        <w:tc>
          <w:tcPr>
            <w:tcW w:w="3119" w:type="dxa"/>
          </w:tcPr>
          <w:p w14:paraId="76C67875" w14:textId="77777777" w:rsidR="00225DE6" w:rsidRPr="003D6520" w:rsidRDefault="00225DE6" w:rsidP="00476829">
            <w:pPr>
              <w:rPr>
                <w:rFonts w:ascii="Cambria" w:hAnsi="Cambria"/>
                <w:color w:val="000000" w:themeColor="text1"/>
                <w:sz w:val="20"/>
                <w:szCs w:val="20"/>
              </w:rPr>
            </w:pPr>
            <w:r w:rsidRPr="003D6520">
              <w:rPr>
                <w:rFonts w:ascii="Cambria" w:hAnsi="Cambria"/>
                <w:color w:val="000000" w:themeColor="text1"/>
                <w:sz w:val="20"/>
                <w:szCs w:val="20"/>
              </w:rPr>
              <w:t>Japan LL late North</w:t>
            </w:r>
          </w:p>
        </w:tc>
        <w:tc>
          <w:tcPr>
            <w:tcW w:w="1560" w:type="dxa"/>
          </w:tcPr>
          <w:p w14:paraId="370821AE"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1988</w:t>
            </w:r>
          </w:p>
        </w:tc>
        <w:tc>
          <w:tcPr>
            <w:tcW w:w="2976" w:type="dxa"/>
          </w:tcPr>
          <w:p w14:paraId="4E00EFBE"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2009</w:t>
            </w:r>
          </w:p>
        </w:tc>
      </w:tr>
      <w:tr w:rsidR="00225DE6" w:rsidRPr="003D6520" w14:paraId="20480BEE" w14:textId="77777777" w:rsidTr="00476829">
        <w:trPr>
          <w:jc w:val="center"/>
        </w:trPr>
        <w:tc>
          <w:tcPr>
            <w:tcW w:w="3119" w:type="dxa"/>
          </w:tcPr>
          <w:p w14:paraId="5EF259C5" w14:textId="77777777" w:rsidR="00225DE6" w:rsidRPr="003D6520" w:rsidRDefault="00225DE6" w:rsidP="00476829">
            <w:pPr>
              <w:rPr>
                <w:rFonts w:ascii="Cambria" w:hAnsi="Cambria"/>
                <w:color w:val="000000" w:themeColor="text1"/>
                <w:sz w:val="20"/>
                <w:szCs w:val="20"/>
              </w:rPr>
            </w:pPr>
            <w:r w:rsidRPr="003D6520">
              <w:rPr>
                <w:rFonts w:ascii="Cambria" w:hAnsi="Cambria"/>
                <w:color w:val="000000" w:themeColor="text1"/>
                <w:sz w:val="20"/>
                <w:szCs w:val="20"/>
              </w:rPr>
              <w:t>Japan LL late South</w:t>
            </w:r>
          </w:p>
        </w:tc>
        <w:tc>
          <w:tcPr>
            <w:tcW w:w="1560" w:type="dxa"/>
          </w:tcPr>
          <w:p w14:paraId="126AC544"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1988</w:t>
            </w:r>
          </w:p>
        </w:tc>
        <w:tc>
          <w:tcPr>
            <w:tcW w:w="2976" w:type="dxa"/>
          </w:tcPr>
          <w:p w14:paraId="251E8E5B"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t-1</w:t>
            </w:r>
          </w:p>
        </w:tc>
      </w:tr>
      <w:tr w:rsidR="00225DE6" w:rsidRPr="003D6520" w14:paraId="7218093A" w14:textId="77777777" w:rsidTr="00476829">
        <w:trPr>
          <w:jc w:val="center"/>
        </w:trPr>
        <w:tc>
          <w:tcPr>
            <w:tcW w:w="3119" w:type="dxa"/>
          </w:tcPr>
          <w:p w14:paraId="06FE7F42" w14:textId="77777777" w:rsidR="00225DE6" w:rsidRPr="003D6520" w:rsidRDefault="00225DE6" w:rsidP="00476829">
            <w:pPr>
              <w:rPr>
                <w:rFonts w:ascii="Cambria" w:hAnsi="Cambria"/>
                <w:color w:val="000000" w:themeColor="text1"/>
                <w:sz w:val="20"/>
                <w:szCs w:val="20"/>
              </w:rPr>
            </w:pPr>
            <w:r w:rsidRPr="003D6520">
              <w:rPr>
                <w:rFonts w:ascii="Cambria" w:hAnsi="Cambria"/>
                <w:color w:val="000000" w:themeColor="text1"/>
                <w:sz w:val="20"/>
                <w:szCs w:val="20"/>
              </w:rPr>
              <w:t>EU-Spain baitboat</w:t>
            </w:r>
          </w:p>
        </w:tc>
        <w:tc>
          <w:tcPr>
            <w:tcW w:w="1560" w:type="dxa"/>
          </w:tcPr>
          <w:p w14:paraId="6C64B9A0"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1981</w:t>
            </w:r>
          </w:p>
        </w:tc>
        <w:tc>
          <w:tcPr>
            <w:tcW w:w="2976" w:type="dxa"/>
          </w:tcPr>
          <w:p w14:paraId="6F32273C" w14:textId="77777777" w:rsidR="00225DE6" w:rsidRPr="003D6520" w:rsidRDefault="00225DE6" w:rsidP="00476829">
            <w:pPr>
              <w:jc w:val="center"/>
              <w:rPr>
                <w:rFonts w:ascii="Cambria" w:hAnsi="Cambria"/>
                <w:color w:val="000000" w:themeColor="text1"/>
                <w:sz w:val="20"/>
                <w:szCs w:val="20"/>
              </w:rPr>
            </w:pPr>
            <w:r w:rsidRPr="003D6520">
              <w:rPr>
                <w:rFonts w:ascii="Cambria" w:hAnsi="Cambria"/>
                <w:color w:val="000000" w:themeColor="text1"/>
                <w:sz w:val="20"/>
                <w:szCs w:val="20"/>
              </w:rPr>
              <w:t>t-1</w:t>
            </w:r>
          </w:p>
        </w:tc>
      </w:tr>
    </w:tbl>
    <w:p w14:paraId="1F26ED95" w14:textId="77777777" w:rsidR="00225DE6" w:rsidRPr="003D6520" w:rsidRDefault="00225DE6" w:rsidP="00225DE6">
      <w:pPr>
        <w:jc w:val="both"/>
        <w:rPr>
          <w:rFonts w:ascii="Cambria" w:hAnsi="Cambria"/>
          <w:b/>
          <w:bCs/>
          <w:i/>
          <w:iCs/>
          <w:sz w:val="20"/>
          <w:szCs w:val="20"/>
          <w:lang w:val="en-GB"/>
        </w:rPr>
      </w:pPr>
    </w:p>
    <w:p w14:paraId="33753C2E" w14:textId="77777777" w:rsidR="00225DE6" w:rsidRPr="003D6520" w:rsidRDefault="00225DE6" w:rsidP="00225DE6">
      <w:pPr>
        <w:jc w:val="both"/>
        <w:rPr>
          <w:rFonts w:ascii="Cambria" w:hAnsi="Cambria"/>
          <w:b/>
          <w:i/>
          <w:iCs/>
          <w:sz w:val="20"/>
          <w:szCs w:val="20"/>
          <w:lang w:val="en-US"/>
        </w:rPr>
      </w:pPr>
    </w:p>
    <w:p w14:paraId="7B58873A" w14:textId="77777777" w:rsidR="00225DE6" w:rsidRDefault="00225DE6" w:rsidP="00225DE6">
      <w:pPr>
        <w:jc w:val="both"/>
        <w:rPr>
          <w:rFonts w:ascii="Cambria" w:hAnsi="Cambria"/>
          <w:sz w:val="20"/>
          <w:szCs w:val="20"/>
          <w:lang w:val="en-US"/>
        </w:rPr>
      </w:pPr>
    </w:p>
    <w:p w14:paraId="25EF2515" w14:textId="77777777" w:rsidR="00225DE6" w:rsidRDefault="00225DE6" w:rsidP="00225DE6">
      <w:pPr>
        <w:jc w:val="both"/>
        <w:rPr>
          <w:rFonts w:ascii="Cambria" w:hAnsi="Cambria"/>
          <w:sz w:val="20"/>
          <w:szCs w:val="20"/>
          <w:lang w:val="en-US"/>
        </w:rPr>
      </w:pPr>
    </w:p>
    <w:p w14:paraId="0E48A8DF" w14:textId="72E1C04B" w:rsidR="00225DE6" w:rsidRPr="00225DE6" w:rsidRDefault="00225DE6" w:rsidP="00225DE6">
      <w:pPr>
        <w:jc w:val="both"/>
        <w:rPr>
          <w:rFonts w:ascii="Cambria" w:hAnsi="Cambria"/>
          <w:i/>
          <w:iCs/>
          <w:sz w:val="20"/>
          <w:szCs w:val="20"/>
          <w:lang w:val="en-US"/>
        </w:rPr>
      </w:pPr>
      <w:r>
        <w:rPr>
          <w:rFonts w:ascii="Cambria" w:hAnsi="Cambria"/>
          <w:i/>
          <w:iCs/>
          <w:sz w:val="20"/>
          <w:szCs w:val="20"/>
          <w:lang w:val="en-US"/>
        </w:rPr>
        <w:lastRenderedPageBreak/>
        <w:t>Mediterranean</w:t>
      </w:r>
      <w:r w:rsidRPr="00225DE6">
        <w:rPr>
          <w:rFonts w:ascii="Cambria" w:hAnsi="Cambria"/>
          <w:i/>
          <w:iCs/>
          <w:sz w:val="20"/>
          <w:szCs w:val="20"/>
          <w:lang w:val="en-US"/>
        </w:rPr>
        <w:t xml:space="preserve"> albacore</w:t>
      </w:r>
    </w:p>
    <w:p w14:paraId="14831C9A" w14:textId="77777777" w:rsidR="00225DE6" w:rsidRDefault="00225DE6" w:rsidP="00225DE6">
      <w:pPr>
        <w:jc w:val="both"/>
        <w:rPr>
          <w:rFonts w:ascii="Cambria" w:hAnsi="Cambria"/>
          <w:sz w:val="20"/>
          <w:szCs w:val="20"/>
          <w:lang w:val="en-US"/>
        </w:rPr>
      </w:pPr>
    </w:p>
    <w:p w14:paraId="70B80A44" w14:textId="66BEFAE0" w:rsidR="00225DE6" w:rsidRPr="003D6520" w:rsidRDefault="00225DE6" w:rsidP="00225DE6">
      <w:pPr>
        <w:jc w:val="both"/>
        <w:rPr>
          <w:rFonts w:ascii="Cambria" w:hAnsi="Cambria"/>
          <w:b/>
          <w:bCs/>
          <w:i/>
          <w:iCs/>
          <w:sz w:val="20"/>
          <w:szCs w:val="20"/>
          <w:lang w:val="en-GB"/>
        </w:rPr>
      </w:pPr>
      <w:r w:rsidRPr="003D6520">
        <w:rPr>
          <w:rFonts w:ascii="Cambria" w:hAnsi="Cambria"/>
          <w:b/>
          <w:i/>
          <w:iCs/>
          <w:sz w:val="20"/>
          <w:szCs w:val="20"/>
          <w:lang w:val="en-US"/>
        </w:rPr>
        <w:t xml:space="preserve">19.10 </w:t>
      </w:r>
      <w:r w:rsidRPr="003D6520">
        <w:rPr>
          <w:rFonts w:ascii="Cambria" w:hAnsi="Cambria"/>
          <w:b/>
          <w:bCs/>
          <w:i/>
          <w:iCs/>
          <w:sz w:val="20"/>
          <w:szCs w:val="20"/>
          <w:lang w:val="en-US"/>
        </w:rPr>
        <w:t>In 2026, or in any subsequent year identified by the SCRS in 2025 due to data limitations that prevent it from proceeding with its work, the SCRS shall provide an updated assessment of the state of the stock on the basis of the most recent data available</w:t>
      </w:r>
      <w:r w:rsidRPr="003D6520">
        <w:rPr>
          <w:rFonts w:ascii="Cambria" w:hAnsi="Cambria"/>
          <w:b/>
          <w:i/>
          <w:iCs/>
          <w:sz w:val="20"/>
          <w:szCs w:val="20"/>
          <w:lang w:val="en-US"/>
        </w:rPr>
        <w:t xml:space="preserve">, </w:t>
      </w:r>
      <w:hyperlink r:id="rId20">
        <w:r w:rsidRPr="003D6520">
          <w:rPr>
            <w:rStyle w:val="InternetLink"/>
            <w:rFonts w:ascii="Cambria" w:hAnsi="Cambria"/>
            <w:b/>
            <w:i/>
            <w:iCs/>
            <w:sz w:val="20"/>
            <w:szCs w:val="20"/>
            <w:u w:val="none"/>
            <w:lang w:val="en-US"/>
          </w:rPr>
          <w:t>Rec. 24-08</w:t>
        </w:r>
      </w:hyperlink>
      <w:r w:rsidRPr="003D6520">
        <w:rPr>
          <w:rFonts w:ascii="Cambria" w:hAnsi="Cambria"/>
          <w:b/>
          <w:i/>
          <w:iCs/>
          <w:sz w:val="20"/>
          <w:szCs w:val="20"/>
          <w:lang w:val="en-US"/>
        </w:rPr>
        <w:t>, para 11</w:t>
      </w:r>
    </w:p>
    <w:p w14:paraId="5F6ECCC2" w14:textId="77777777" w:rsidR="00225DE6" w:rsidRPr="003D6520" w:rsidRDefault="00225DE6" w:rsidP="00225DE6">
      <w:pPr>
        <w:tabs>
          <w:tab w:val="center" w:pos="4513"/>
          <w:tab w:val="left" w:pos="6804"/>
        </w:tabs>
        <w:jc w:val="both"/>
        <w:rPr>
          <w:rFonts w:ascii="Cambria" w:hAnsi="Cambria"/>
          <w:b/>
          <w:i/>
          <w:iCs/>
          <w:sz w:val="20"/>
          <w:szCs w:val="20"/>
          <w:lang w:val="en-US"/>
        </w:rPr>
      </w:pPr>
    </w:p>
    <w:p w14:paraId="38B22AA2" w14:textId="77777777" w:rsidR="00225DE6" w:rsidRPr="003D6520" w:rsidRDefault="00225DE6" w:rsidP="00225DE6">
      <w:pPr>
        <w:widowControl w:val="0"/>
        <w:ind w:right="-2"/>
        <w:jc w:val="both"/>
        <w:rPr>
          <w:rFonts w:ascii="Cambria" w:eastAsia="Calibri" w:hAnsi="Cambria" w:cs="Cambria"/>
          <w:i/>
          <w:iCs/>
          <w:sz w:val="20"/>
          <w:szCs w:val="20"/>
          <w:lang w:val="en-US"/>
        </w:rPr>
      </w:pPr>
      <w:r w:rsidRPr="003D6520">
        <w:rPr>
          <w:rFonts w:ascii="Cambria" w:hAnsi="Cambria"/>
          <w:b/>
          <w:bCs/>
          <w:sz w:val="20"/>
          <w:szCs w:val="20"/>
          <w:lang w:val="en-US"/>
        </w:rPr>
        <w:t>Background</w:t>
      </w:r>
      <w:r w:rsidRPr="003D6520">
        <w:rPr>
          <w:rFonts w:ascii="Cambria" w:hAnsi="Cambria"/>
          <w:b/>
          <w:bCs/>
          <w:i/>
          <w:iCs/>
          <w:sz w:val="20"/>
          <w:szCs w:val="20"/>
          <w:lang w:val="en-US"/>
        </w:rPr>
        <w:t>:</w:t>
      </w:r>
      <w:r w:rsidRPr="003D6520">
        <w:rPr>
          <w:rFonts w:ascii="Cambria" w:eastAsia="Calibri" w:hAnsi="Cambria" w:cs="Cambria"/>
          <w:i/>
          <w:iCs/>
          <w:sz w:val="20"/>
          <w:szCs w:val="20"/>
          <w:lang w:val="en-US"/>
        </w:rPr>
        <w:t xml:space="preserve"> In 2026, or in any subsequent year identified by the SCRS in 2025 due to data limitations that prevent it from proceeding with its work, the SCRS shall provide an updated assessment of the state of the stock </w:t>
      </w:r>
      <w:proofErr w:type="gramStart"/>
      <w:r w:rsidRPr="003D6520">
        <w:rPr>
          <w:rFonts w:ascii="Cambria" w:eastAsia="Calibri" w:hAnsi="Cambria" w:cs="Cambria"/>
          <w:i/>
          <w:iCs/>
          <w:sz w:val="20"/>
          <w:szCs w:val="20"/>
          <w:lang w:val="en-US"/>
        </w:rPr>
        <w:t>on the basis of</w:t>
      </w:r>
      <w:proofErr w:type="gramEnd"/>
      <w:r w:rsidRPr="003D6520">
        <w:rPr>
          <w:rFonts w:ascii="Cambria" w:eastAsia="Calibri" w:hAnsi="Cambria" w:cs="Cambria"/>
          <w:i/>
          <w:iCs/>
          <w:sz w:val="20"/>
          <w:szCs w:val="20"/>
          <w:lang w:val="en-US"/>
        </w:rPr>
        <w:t xml:space="preserve"> the most recent data available. It </w:t>
      </w:r>
      <w:proofErr w:type="gramStart"/>
      <w:r w:rsidRPr="003D6520">
        <w:rPr>
          <w:rFonts w:ascii="Cambria" w:eastAsia="Calibri" w:hAnsi="Cambria" w:cs="Cambria"/>
          <w:i/>
          <w:iCs/>
          <w:sz w:val="20"/>
          <w:szCs w:val="20"/>
          <w:lang w:val="en-US"/>
        </w:rPr>
        <w:t>shall</w:t>
      </w:r>
      <w:proofErr w:type="gramEnd"/>
      <w:r w:rsidRPr="003D6520">
        <w:rPr>
          <w:rFonts w:ascii="Cambria" w:eastAsia="Calibri" w:hAnsi="Cambria" w:cs="Cambria"/>
          <w:i/>
          <w:iCs/>
          <w:sz w:val="20"/>
          <w:szCs w:val="20"/>
          <w:lang w:val="en-US"/>
        </w:rPr>
        <w:t xml:space="preserve"> assess the effectiveness of this rebuilding plan and provide advice on possible amendments to the various measures within this plan. The SCRS shall advise the Commission on the appropriate characteristics of the fishing gear, the closure period in paragraph 9, as well as the minimum size to be implemented for Mediterranean albacore.</w:t>
      </w:r>
    </w:p>
    <w:p w14:paraId="261A61DE" w14:textId="77777777" w:rsidR="00225DE6" w:rsidRPr="003D6520" w:rsidRDefault="00225DE6" w:rsidP="00225DE6">
      <w:pPr>
        <w:widowControl w:val="0"/>
        <w:ind w:right="-2"/>
        <w:jc w:val="both"/>
        <w:rPr>
          <w:rFonts w:ascii="Cambria" w:hAnsi="Cambria"/>
          <w:i/>
          <w:iCs/>
          <w:sz w:val="20"/>
          <w:szCs w:val="20"/>
          <w:lang w:val="en-US"/>
        </w:rPr>
      </w:pPr>
    </w:p>
    <w:p w14:paraId="5D295365" w14:textId="77777777" w:rsidR="00225DE6" w:rsidRPr="003D6520" w:rsidRDefault="00225DE6" w:rsidP="00225DE6">
      <w:pPr>
        <w:widowControl w:val="0"/>
        <w:ind w:right="-2"/>
        <w:jc w:val="both"/>
        <w:rPr>
          <w:lang w:val="en-US"/>
        </w:rPr>
      </w:pPr>
      <w:r w:rsidRPr="003D6520">
        <w:rPr>
          <w:rFonts w:ascii="Cambria" w:hAnsi="Cambria"/>
          <w:sz w:val="20"/>
          <w:szCs w:val="20"/>
          <w:lang w:val="en-US"/>
        </w:rPr>
        <w:t xml:space="preserve">The Committee recalled that the last stock assessment for Mediterranean albacore was conducted in 2024 using data up to 2022, and that despite recent progress made regarding catch data and the treatment of the larval index, major uncertainties (historical catches, life-history traits of the species) remain and continue to preclude a robust new assessment. It therefore advised that the next full assessment not be scheduled before 2028 and when these major uncertainties are addressed. </w:t>
      </w:r>
    </w:p>
    <w:p w14:paraId="15712A0D" w14:textId="77777777" w:rsidR="00225DE6" w:rsidRPr="003D6520" w:rsidRDefault="00225DE6" w:rsidP="00225DE6">
      <w:pPr>
        <w:widowControl w:val="0"/>
        <w:ind w:right="-2"/>
        <w:jc w:val="both"/>
        <w:rPr>
          <w:rFonts w:ascii="Cambria" w:hAnsi="Cambria"/>
          <w:sz w:val="20"/>
          <w:szCs w:val="20"/>
          <w:lang w:val="en-US"/>
        </w:rPr>
      </w:pPr>
    </w:p>
    <w:p w14:paraId="3166FED4" w14:textId="77777777" w:rsidR="00225DE6" w:rsidRPr="003D6520" w:rsidRDefault="00225DE6" w:rsidP="00225DE6">
      <w:pPr>
        <w:widowControl w:val="0"/>
        <w:ind w:right="-2"/>
        <w:jc w:val="both"/>
        <w:rPr>
          <w:rFonts w:ascii="Cambria" w:hAnsi="Cambria"/>
          <w:sz w:val="20"/>
          <w:szCs w:val="20"/>
          <w:lang w:val="en-US"/>
        </w:rPr>
      </w:pPr>
      <w:r w:rsidRPr="003D6520">
        <w:rPr>
          <w:rFonts w:ascii="Cambria" w:hAnsi="Cambria"/>
          <w:sz w:val="20"/>
          <w:szCs w:val="20"/>
          <w:lang w:val="en-US"/>
        </w:rPr>
        <w:t xml:space="preserve">As stated in its 2024 response to the Commission (section 19.8 of the </w:t>
      </w:r>
      <w:hyperlink r:id="rId21" w:history="1">
        <w:r w:rsidRPr="003D6520">
          <w:rPr>
            <w:rStyle w:val="Hyperlink"/>
            <w:rFonts w:ascii="Cambria" w:hAnsi="Cambria"/>
            <w:i/>
            <w:iCs/>
            <w:sz w:val="20"/>
            <w:szCs w:val="20"/>
            <w:u w:val="none"/>
            <w:lang w:val="en-US"/>
          </w:rPr>
          <w:t>Report for Biennial Period 2024-2025, Part I (2024), Vol. 2</w:t>
        </w:r>
      </w:hyperlink>
      <w:r w:rsidRPr="003D6520">
        <w:rPr>
          <w:rFonts w:ascii="Cambria" w:hAnsi="Cambria"/>
          <w:sz w:val="20"/>
          <w:szCs w:val="20"/>
          <w:lang w:val="en-US"/>
        </w:rPr>
        <w:t>), the Committee considered that changes to fishing gear would provide little benefit, as most catches are above the size at first maturity, and noted that the fall-winter closures adopted in 2022 may be contributing to reduced fishing effort, though their effect cannot yet be quantified. On minimum size, the Committee reiterated that such a measure would be of limited or no benefit given the current catch composition and resulted in potentially high discard mortality. The effectiveness of the rebuilding plan can optimally be evaluated through a full assessment of the stock.</w:t>
      </w:r>
    </w:p>
    <w:p w14:paraId="574AD724" w14:textId="77777777" w:rsidR="00225DE6" w:rsidRPr="003D6520" w:rsidRDefault="00225DE6" w:rsidP="00225DE6">
      <w:pPr>
        <w:widowControl w:val="0"/>
        <w:autoSpaceDE w:val="0"/>
        <w:autoSpaceDN w:val="0"/>
        <w:ind w:right="-2"/>
        <w:jc w:val="both"/>
        <w:rPr>
          <w:rFonts w:ascii="Cambria" w:eastAsia="Cambria" w:hAnsi="Cambria" w:cs="Cambria"/>
          <w:sz w:val="20"/>
          <w:szCs w:val="20"/>
          <w:lang w:val="en-US"/>
        </w:rPr>
      </w:pPr>
    </w:p>
    <w:p w14:paraId="52ADEBD0" w14:textId="77777777" w:rsidR="00225DE6" w:rsidRDefault="00225DE6" w:rsidP="00225DE6">
      <w:pPr>
        <w:jc w:val="both"/>
        <w:rPr>
          <w:rFonts w:ascii="Cambria" w:hAnsi="Cambria"/>
          <w:b/>
          <w:bCs/>
          <w:sz w:val="20"/>
          <w:szCs w:val="20"/>
          <w:lang w:val="en-US"/>
        </w:rPr>
      </w:pPr>
      <w:r>
        <w:rPr>
          <w:rFonts w:ascii="Cambria" w:hAnsi="Cambria"/>
          <w:b/>
          <w:bCs/>
          <w:sz w:val="20"/>
          <w:szCs w:val="20"/>
          <w:lang w:val="en-US"/>
        </w:rPr>
        <w:t>Recommendations</w:t>
      </w:r>
    </w:p>
    <w:p w14:paraId="753C6705" w14:textId="77777777" w:rsidR="00225DE6" w:rsidRDefault="00225DE6" w:rsidP="00225DE6">
      <w:pPr>
        <w:jc w:val="both"/>
        <w:rPr>
          <w:rFonts w:ascii="Cambria" w:hAnsi="Cambria"/>
          <w:sz w:val="20"/>
          <w:szCs w:val="20"/>
          <w:lang w:val="en-US"/>
        </w:rPr>
      </w:pPr>
    </w:p>
    <w:p w14:paraId="5938E818" w14:textId="44D4BD29" w:rsidR="00225DE6" w:rsidRDefault="00225DE6" w:rsidP="00225DE6">
      <w:pPr>
        <w:jc w:val="both"/>
        <w:rPr>
          <w:rFonts w:ascii="Cambria" w:hAnsi="Cambria"/>
          <w:i/>
          <w:iCs/>
          <w:sz w:val="20"/>
          <w:szCs w:val="20"/>
          <w:lang w:val="en-US"/>
        </w:rPr>
      </w:pPr>
      <w:r w:rsidRPr="00225DE6">
        <w:rPr>
          <w:rFonts w:ascii="Cambria" w:hAnsi="Cambria"/>
          <w:i/>
          <w:iCs/>
          <w:sz w:val="20"/>
          <w:szCs w:val="20"/>
          <w:lang w:val="en-US"/>
        </w:rPr>
        <w:t>Mediterranean Albacore</w:t>
      </w:r>
    </w:p>
    <w:p w14:paraId="62ECAB18" w14:textId="77777777" w:rsidR="00225DE6" w:rsidRPr="00225DE6" w:rsidRDefault="00225DE6" w:rsidP="00225DE6">
      <w:pPr>
        <w:jc w:val="both"/>
        <w:rPr>
          <w:rFonts w:ascii="Cambria" w:hAnsi="Cambria"/>
          <w:i/>
          <w:iCs/>
          <w:sz w:val="20"/>
          <w:szCs w:val="20"/>
          <w:lang w:val="en-US"/>
        </w:rPr>
      </w:pPr>
    </w:p>
    <w:p w14:paraId="15916CE2" w14:textId="77777777" w:rsidR="00225DE6" w:rsidRPr="00FD4DA8" w:rsidRDefault="00225DE6" w:rsidP="00FD4DA8">
      <w:pPr>
        <w:pStyle w:val="ListParagraph"/>
        <w:widowControl w:val="0"/>
        <w:numPr>
          <w:ilvl w:val="0"/>
          <w:numId w:val="46"/>
        </w:numPr>
        <w:ind w:left="426" w:hanging="426"/>
        <w:jc w:val="both"/>
        <w:rPr>
          <w:rFonts w:ascii="Cambria" w:eastAsia="Cambria" w:hAnsi="Cambria" w:cs="Cambria"/>
          <w:sz w:val="20"/>
          <w:szCs w:val="20"/>
          <w:lang w:val="en-GB"/>
        </w:rPr>
      </w:pPr>
      <w:proofErr w:type="gramStart"/>
      <w:r w:rsidRPr="00FD4DA8">
        <w:rPr>
          <w:rFonts w:ascii="Cambria" w:eastAsia="Cambria" w:hAnsi="Cambria" w:cs="Cambria"/>
          <w:sz w:val="20"/>
          <w:szCs w:val="20"/>
          <w:lang w:val="en-GB"/>
        </w:rPr>
        <w:t>In order to</w:t>
      </w:r>
      <w:proofErr w:type="gramEnd"/>
      <w:r w:rsidRPr="00FD4DA8">
        <w:rPr>
          <w:rFonts w:ascii="Cambria" w:eastAsia="Cambria" w:hAnsi="Cambria" w:cs="Cambria"/>
          <w:sz w:val="20"/>
          <w:szCs w:val="20"/>
          <w:lang w:val="en-GB"/>
        </w:rPr>
        <w:t xml:space="preserve"> facilitate better management advice of the Mediterranean stock, the research programme should focus on key points:</w:t>
      </w:r>
    </w:p>
    <w:p w14:paraId="070ADAEB" w14:textId="77777777" w:rsidR="00225DE6" w:rsidRPr="003D6520" w:rsidRDefault="00225DE6" w:rsidP="00225DE6">
      <w:pPr>
        <w:widowControl w:val="0"/>
        <w:ind w:left="426"/>
        <w:jc w:val="both"/>
        <w:rPr>
          <w:rFonts w:ascii="Cambria" w:eastAsia="Calibri" w:hAnsi="Cambria"/>
          <w:sz w:val="20"/>
          <w:szCs w:val="20"/>
          <w:lang w:val="en-US"/>
        </w:rPr>
      </w:pPr>
    </w:p>
    <w:p w14:paraId="467D216B" w14:textId="77777777" w:rsidR="00225DE6" w:rsidRPr="003D6520" w:rsidRDefault="00225DE6" w:rsidP="00225DE6">
      <w:pPr>
        <w:pStyle w:val="ListParagraph"/>
        <w:numPr>
          <w:ilvl w:val="0"/>
          <w:numId w:val="45"/>
        </w:numPr>
        <w:tabs>
          <w:tab w:val="left" w:pos="113"/>
          <w:tab w:val="left" w:pos="360"/>
        </w:tabs>
        <w:ind w:left="709" w:hanging="283"/>
        <w:contextualSpacing/>
        <w:jc w:val="both"/>
        <w:rPr>
          <w:rFonts w:ascii="Cambria" w:hAnsi="Cambria"/>
          <w:sz w:val="20"/>
          <w:szCs w:val="20"/>
          <w:lang w:val="en-US"/>
        </w:rPr>
      </w:pPr>
      <w:r w:rsidRPr="003D6520">
        <w:rPr>
          <w:rFonts w:ascii="Cambria" w:hAnsi="Cambria"/>
          <w:sz w:val="20"/>
          <w:szCs w:val="20"/>
          <w:lang w:val="en-US"/>
        </w:rPr>
        <w:t xml:space="preserve">Improvement of fishery statistics through data recovery, an integrated growth analysis, improvement of </w:t>
      </w:r>
      <w:r w:rsidRPr="003D6520">
        <w:rPr>
          <w:rFonts w:ascii="Cambria" w:hAnsi="Cambria"/>
          <w:i/>
          <w:iCs/>
          <w:sz w:val="20"/>
          <w:szCs w:val="20"/>
          <w:lang w:val="en-US"/>
        </w:rPr>
        <w:t>r</w:t>
      </w:r>
      <w:r w:rsidRPr="003D6520">
        <w:rPr>
          <w:rFonts w:ascii="Cambria" w:hAnsi="Cambria"/>
          <w:sz w:val="20"/>
          <w:szCs w:val="20"/>
          <w:lang w:val="en-US"/>
        </w:rPr>
        <w:t xml:space="preserve"> and </w:t>
      </w:r>
      <w:r w:rsidRPr="003D6520">
        <w:rPr>
          <w:rFonts w:ascii="Cambria" w:hAnsi="Cambria"/>
          <w:i/>
          <w:iCs/>
          <w:sz w:val="20"/>
          <w:szCs w:val="20"/>
          <w:lang w:val="en-US"/>
        </w:rPr>
        <w:t>K</w:t>
      </w:r>
      <w:r w:rsidRPr="003D6520">
        <w:rPr>
          <w:rFonts w:ascii="Cambria" w:hAnsi="Cambria"/>
          <w:sz w:val="20"/>
          <w:szCs w:val="20"/>
          <w:lang w:val="en-US"/>
        </w:rPr>
        <w:t xml:space="preserve"> priors, development of a joint longline catch per unit effort (CPUE), and environmental effects. </w:t>
      </w:r>
    </w:p>
    <w:p w14:paraId="4977DA9D" w14:textId="77777777" w:rsidR="00225DE6" w:rsidRPr="003D6520" w:rsidRDefault="00225DE6" w:rsidP="00225DE6">
      <w:pPr>
        <w:tabs>
          <w:tab w:val="left" w:pos="113"/>
          <w:tab w:val="left" w:pos="360"/>
        </w:tabs>
        <w:ind w:left="709" w:hanging="283"/>
        <w:jc w:val="both"/>
        <w:rPr>
          <w:rFonts w:ascii="Cambria" w:eastAsia="Calibri" w:hAnsi="Cambria"/>
          <w:sz w:val="20"/>
          <w:szCs w:val="20"/>
          <w:lang w:val="en-US"/>
        </w:rPr>
      </w:pPr>
    </w:p>
    <w:p w14:paraId="160AA396" w14:textId="65500017" w:rsidR="00225DE6" w:rsidRPr="003D6520" w:rsidRDefault="00225DE6" w:rsidP="00225DE6">
      <w:pPr>
        <w:pStyle w:val="ListParagraph"/>
        <w:numPr>
          <w:ilvl w:val="0"/>
          <w:numId w:val="45"/>
        </w:numPr>
        <w:tabs>
          <w:tab w:val="left" w:pos="113"/>
          <w:tab w:val="left" w:pos="360"/>
        </w:tabs>
        <w:ind w:left="709" w:hanging="283"/>
        <w:contextualSpacing/>
        <w:jc w:val="both"/>
        <w:rPr>
          <w:rFonts w:ascii="Cambria" w:hAnsi="Cambria"/>
          <w:sz w:val="20"/>
          <w:szCs w:val="20"/>
          <w:lang w:val="en-US"/>
        </w:rPr>
      </w:pPr>
      <w:r w:rsidRPr="003D6520">
        <w:rPr>
          <w:rFonts w:ascii="Cambria" w:hAnsi="Cambria"/>
          <w:sz w:val="20"/>
          <w:szCs w:val="20"/>
          <w:lang w:val="en-US"/>
        </w:rPr>
        <w:t>Given the success of the initiative to establish the Mediterranean Albacore Research Network, it is recommended that the necessary steps be taken to consolidate it, with the aim of defining research priorities and needs and identifying potential synergies to enhance the group’s capacity to respond to the Commission</w:t>
      </w:r>
      <w:r w:rsidR="009F6144">
        <w:rPr>
          <w:rFonts w:ascii="Cambria" w:hAnsi="Cambria"/>
          <w:sz w:val="20"/>
          <w:szCs w:val="20"/>
          <w:lang w:val="en-US"/>
        </w:rPr>
        <w:t>.</w:t>
      </w:r>
    </w:p>
    <w:p w14:paraId="31327035" w14:textId="77777777" w:rsidR="00225DE6" w:rsidRPr="003D6520" w:rsidRDefault="00225DE6" w:rsidP="00225DE6">
      <w:pPr>
        <w:pStyle w:val="ListParagraph"/>
        <w:ind w:left="709" w:hanging="283"/>
        <w:rPr>
          <w:rFonts w:ascii="Cambria" w:hAnsi="Cambria"/>
          <w:sz w:val="20"/>
          <w:szCs w:val="20"/>
          <w:lang w:val="en-US"/>
        </w:rPr>
      </w:pPr>
    </w:p>
    <w:p w14:paraId="7675858D" w14:textId="77777777" w:rsidR="00225DE6" w:rsidRDefault="00225DE6" w:rsidP="00225DE6">
      <w:pPr>
        <w:jc w:val="both"/>
        <w:rPr>
          <w:rFonts w:ascii="Cambria" w:hAnsi="Cambria"/>
          <w:sz w:val="20"/>
          <w:szCs w:val="20"/>
          <w:lang w:val="en-US"/>
        </w:rPr>
      </w:pPr>
    </w:p>
    <w:p w14:paraId="5019F1FE" w14:textId="1151DBE5" w:rsidR="00225DE6" w:rsidRPr="00225DE6" w:rsidRDefault="00225DE6" w:rsidP="00225DE6">
      <w:pPr>
        <w:jc w:val="both"/>
        <w:rPr>
          <w:rFonts w:ascii="Cambria" w:hAnsi="Cambria"/>
          <w:i/>
          <w:iCs/>
          <w:sz w:val="20"/>
          <w:szCs w:val="20"/>
          <w:lang w:val="en-US"/>
        </w:rPr>
      </w:pPr>
      <w:r w:rsidRPr="00225DE6">
        <w:rPr>
          <w:rFonts w:ascii="Cambria" w:hAnsi="Cambria"/>
          <w:i/>
          <w:iCs/>
          <w:sz w:val="20"/>
          <w:szCs w:val="20"/>
          <w:lang w:val="en-US"/>
        </w:rPr>
        <w:t>Bluefin tuna</w:t>
      </w:r>
    </w:p>
    <w:p w14:paraId="284A2022" w14:textId="77777777" w:rsidR="00225DE6" w:rsidRDefault="00225DE6" w:rsidP="00225DE6">
      <w:pPr>
        <w:jc w:val="both"/>
        <w:rPr>
          <w:rFonts w:ascii="Cambria" w:hAnsi="Cambria"/>
          <w:sz w:val="20"/>
          <w:szCs w:val="20"/>
          <w:lang w:val="en-US"/>
        </w:rPr>
      </w:pPr>
    </w:p>
    <w:p w14:paraId="67186EAB" w14:textId="77777777" w:rsidR="00225DE6" w:rsidRPr="003D6520" w:rsidRDefault="00225DE6" w:rsidP="00225DE6">
      <w:pPr>
        <w:widowControl w:val="0"/>
        <w:numPr>
          <w:ilvl w:val="0"/>
          <w:numId w:val="44"/>
        </w:numPr>
        <w:ind w:left="426" w:hanging="426"/>
        <w:jc w:val="both"/>
        <w:rPr>
          <w:rFonts w:ascii="Cambria" w:eastAsia="Cambria" w:hAnsi="Cambria" w:cs="Cambria"/>
          <w:sz w:val="20"/>
          <w:szCs w:val="20"/>
          <w:lang w:val="en-GB"/>
        </w:rPr>
      </w:pPr>
      <w:r w:rsidRPr="003D6520">
        <w:rPr>
          <w:rFonts w:ascii="Cambria" w:eastAsia="Cambria" w:hAnsi="Cambria" w:cs="Cambria"/>
          <w:sz w:val="20"/>
          <w:szCs w:val="20"/>
          <w:lang w:val="en-GB"/>
        </w:rPr>
        <w:t>To support an AI-driven process for the collection and storage of length measurements at the first transfer of bluefin tuna (“</w:t>
      </w:r>
      <w:r w:rsidRPr="003D6520">
        <w:rPr>
          <w:rFonts w:ascii="Cambria" w:eastAsia="Yu Mincho" w:hAnsi="Cambria"/>
          <w:sz w:val="20"/>
          <w:szCs w:val="20"/>
          <w:lang w:val="en-US" w:eastAsia="ja-JP"/>
        </w:rPr>
        <w:t xml:space="preserve">Draft amendment of </w:t>
      </w:r>
      <w:hyperlink r:id="rId22" w:tgtFrame="_blank" w:history="1">
        <w:r w:rsidRPr="003D6520">
          <w:rPr>
            <w:rFonts w:ascii="Cambria" w:eastAsia="Yu Mincho" w:hAnsi="Cambria"/>
            <w:sz w:val="20"/>
            <w:szCs w:val="20"/>
            <w:lang w:val="en-US" w:eastAsia="ja-JP"/>
          </w:rPr>
          <w:t>Recommendation 25-04</w:t>
        </w:r>
      </w:hyperlink>
      <w:r w:rsidRPr="003D6520">
        <w:rPr>
          <w:rFonts w:ascii="Cambria" w:eastAsia="Yu Mincho" w:hAnsi="Cambria"/>
          <w:sz w:val="20"/>
          <w:szCs w:val="20"/>
          <w:lang w:val="en-US" w:eastAsia="ja-JP"/>
        </w:rPr>
        <w:t>” [IM</w:t>
      </w:r>
      <w:r w:rsidRPr="003D6520">
        <w:rPr>
          <w:rFonts w:ascii="Cambria" w:eastAsia="Cambria" w:hAnsi="Cambria" w:cs="Cambria"/>
          <w:sz w:val="20"/>
          <w:szCs w:val="20"/>
          <w:lang w:val="en-GB"/>
        </w:rPr>
        <w:t>M_03/i2026]), the SCRS recommends that the Commission considers establishing a technical Group that would include the SCRS and other relevant Commission bodies (PW</w:t>
      </w:r>
      <w:r w:rsidRPr="003D6520">
        <w:rPr>
          <w:rFonts w:ascii="Cambria" w:eastAsia="Cambria" w:hAnsi="Cambria" w:cs="Cambria"/>
          <w:sz w:val="20"/>
          <w:szCs w:val="20"/>
          <w:lang w:val="en-US"/>
        </w:rPr>
        <w:t>G</w:t>
      </w:r>
      <w:r w:rsidRPr="003D6520">
        <w:rPr>
          <w:rFonts w:ascii="Cambria" w:eastAsia="Cambria" w:hAnsi="Cambria" w:cs="Cambria"/>
          <w:sz w:val="20"/>
          <w:szCs w:val="20"/>
          <w:lang w:val="en-GB"/>
        </w:rPr>
        <w:t xml:space="preserve">) with the aim to developing the technical criteria and specifications required under </w:t>
      </w:r>
      <w:hyperlink r:id="rId23" w:history="1">
        <w:r w:rsidRPr="003D6520">
          <w:rPr>
            <w:rStyle w:val="Hyperlink"/>
            <w:rFonts w:ascii="Cambria" w:eastAsia="Cambria" w:hAnsi="Cambria" w:cs="Cambria"/>
            <w:sz w:val="20"/>
            <w:szCs w:val="20"/>
            <w:u w:val="none"/>
            <w:lang w:val="en-GB"/>
          </w:rPr>
          <w:t xml:space="preserve">Rec. 25-04 </w:t>
        </w:r>
      </w:hyperlink>
      <w:r w:rsidRPr="003D6520">
        <w:rPr>
          <w:rFonts w:ascii="Cambria" w:eastAsia="Cambria" w:hAnsi="Cambria" w:cs="Cambria"/>
          <w:sz w:val="20"/>
          <w:szCs w:val="20"/>
          <w:lang w:val="en-GB"/>
        </w:rPr>
        <w:t>paragraph 173 for the evaluation of AI-based systems at first transfer/caging.</w:t>
      </w:r>
    </w:p>
    <w:p w14:paraId="2F5A8F0F" w14:textId="77777777" w:rsidR="00225DE6" w:rsidRPr="003D6520" w:rsidRDefault="00225DE6" w:rsidP="00225DE6">
      <w:pPr>
        <w:widowControl w:val="0"/>
        <w:ind w:left="426"/>
        <w:jc w:val="both"/>
        <w:rPr>
          <w:rFonts w:ascii="Cambria" w:eastAsia="Cambria" w:hAnsi="Cambria" w:cs="Cambria"/>
          <w:sz w:val="20"/>
          <w:szCs w:val="20"/>
          <w:lang w:val="en-GB"/>
        </w:rPr>
      </w:pPr>
    </w:p>
    <w:p w14:paraId="439E967C" w14:textId="1FD56184" w:rsidR="00225DE6" w:rsidRPr="00C0646B" w:rsidRDefault="00225DE6" w:rsidP="00C0646B">
      <w:pPr>
        <w:widowControl w:val="0"/>
        <w:numPr>
          <w:ilvl w:val="0"/>
          <w:numId w:val="44"/>
        </w:numPr>
        <w:ind w:left="426" w:hanging="426"/>
        <w:jc w:val="both"/>
        <w:rPr>
          <w:rFonts w:ascii="Cambria" w:hAnsi="Cambria"/>
          <w:b/>
          <w:bCs/>
          <w:sz w:val="20"/>
          <w:szCs w:val="20"/>
          <w:lang w:val="en-US"/>
        </w:rPr>
      </w:pPr>
      <w:r w:rsidRPr="00C0646B">
        <w:rPr>
          <w:rFonts w:ascii="Cambria" w:eastAsia="Cambria" w:hAnsi="Cambria" w:cs="Cambria"/>
          <w:sz w:val="20"/>
          <w:szCs w:val="20"/>
          <w:lang w:val="en-GB"/>
        </w:rPr>
        <w:t>Acknowledging that important Task 2 size data (ST-04) from the Mediterranean purse seine have not been reported on time, the Committee reiterates the need for CPCs to comply with the data submission obligations adopted by the Commission. The Committee also acknowledged that some, but not all, CPCs have submitted their size data obtained in farm events (ST-06) and encouraged them to continue working with the Secretariat with the aim to ensure that these data are provided timely for the stock assessments.</w:t>
      </w:r>
    </w:p>
    <w:sectPr w:rsidR="00225DE6" w:rsidRPr="00C0646B" w:rsidSect="009B2781">
      <w:headerReference w:type="even" r:id="rId24"/>
      <w:headerReference w:type="default" r:id="rId25"/>
      <w:footerReference w:type="even" r:id="rId26"/>
      <w:footerReference w:type="default" r:id="rId27"/>
      <w:headerReference w:type="first" r:id="rId28"/>
      <w:footerReference w:type="first" r:id="rId29"/>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C57FF" w14:textId="77777777" w:rsidR="0058667D" w:rsidRDefault="0058667D" w:rsidP="00DD4C39">
      <w:r>
        <w:separator/>
      </w:r>
    </w:p>
  </w:endnote>
  <w:endnote w:type="continuationSeparator" w:id="0">
    <w:p w14:paraId="512C6166" w14:textId="77777777" w:rsidR="0058667D" w:rsidRDefault="0058667D"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BF4EB" w14:textId="77777777" w:rsidR="00D01653" w:rsidRDefault="00D016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58667D"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117370" w14:textId="77777777" w:rsidR="00D01653" w:rsidRDefault="00D016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BB9A94" w14:textId="77777777" w:rsidR="0058667D" w:rsidRDefault="0058667D" w:rsidP="00DD4C39">
      <w:r>
        <w:separator/>
      </w:r>
    </w:p>
  </w:footnote>
  <w:footnote w:type="continuationSeparator" w:id="0">
    <w:p w14:paraId="2FB55138" w14:textId="77777777" w:rsidR="0058667D" w:rsidRDefault="0058667D"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030CF" w14:textId="77777777" w:rsidR="00D01653" w:rsidRDefault="00D0165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68702262" w:rsidR="004F39B9" w:rsidRPr="00793F38" w:rsidRDefault="00857C38"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PA</w:t>
    </w:r>
    <w:r w:rsidR="00F76738">
      <w:rPr>
        <w:rFonts w:ascii="Cambria" w:eastAsia="Calibri" w:hAnsi="Cambria"/>
        <w:b/>
        <w:bCs/>
        <w:sz w:val="20"/>
        <w:szCs w:val="20"/>
        <w:lang w:val="en-US"/>
      </w:rPr>
      <w:t>2</w:t>
    </w:r>
    <w:r w:rsidR="004F39B9" w:rsidRPr="00793F38">
      <w:rPr>
        <w:rFonts w:ascii="Cambria" w:eastAsia="Calibri" w:hAnsi="Cambria"/>
        <w:b/>
        <w:bCs/>
        <w:sz w:val="20"/>
        <w:szCs w:val="20"/>
        <w:lang w:val="en-US"/>
      </w:rPr>
      <w:t>_</w:t>
    </w:r>
    <w:r w:rsidR="00F76738">
      <w:rPr>
        <w:rFonts w:ascii="Cambria" w:eastAsia="Calibri" w:hAnsi="Cambria"/>
        <w:b/>
        <w:bCs/>
        <w:sz w:val="20"/>
        <w:szCs w:val="20"/>
        <w:lang w:val="en-US"/>
      </w:rPr>
      <w:t>60</w:t>
    </w:r>
    <w:r w:rsidR="00D01653">
      <w:rPr>
        <w:rFonts w:ascii="Cambria" w:eastAsia="Calibri" w:hAnsi="Cambria"/>
        <w:b/>
        <w:bCs/>
        <w:sz w:val="20"/>
        <w:szCs w:val="20"/>
        <w:lang w:val="en-US"/>
      </w:rPr>
      <w:t>4</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75DE5DC1"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7E0A84">
      <w:rPr>
        <w:rFonts w:ascii="Cambria" w:hAnsi="Cambria"/>
        <w:b/>
        <w:bCs/>
        <w:noProof/>
        <w:sz w:val="16"/>
        <w:szCs w:val="16"/>
        <w:lang w:val="es-ES_tradnl"/>
      </w:rPr>
      <w:t>14/10/2026 12:35</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01AA3B" w14:textId="77777777" w:rsidR="00D01653" w:rsidRDefault="00D0165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AE2"/>
    <w:multiLevelType w:val="hybridMultilevel"/>
    <w:tmpl w:val="C3728716"/>
    <w:lvl w:ilvl="0" w:tplc="19D6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21533A"/>
    <w:multiLevelType w:val="multilevel"/>
    <w:tmpl w:val="D6260EB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841C0"/>
    <w:multiLevelType w:val="multilevel"/>
    <w:tmpl w:val="4D065C18"/>
    <w:lvl w:ilvl="0">
      <w:start w:val="1"/>
      <w:numFmt w:val="decimal"/>
      <w:lvlText w:val="%1."/>
      <w:lvlJc w:val="left"/>
      <w:pPr>
        <w:ind w:left="780" w:hanging="420"/>
      </w:pPr>
      <w:rPr>
        <w:rFonts w:hint="default"/>
        <w:color w:val="auto"/>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0E137FA"/>
    <w:multiLevelType w:val="hybridMultilevel"/>
    <w:tmpl w:val="60889BB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4077D74"/>
    <w:multiLevelType w:val="hybridMultilevel"/>
    <w:tmpl w:val="7F569F7C"/>
    <w:lvl w:ilvl="0" w:tplc="7BA6EB32">
      <w:start w:val="4"/>
      <w:numFmt w:val="bullet"/>
      <w:lvlText w:val="-"/>
      <w:lvlJc w:val="left"/>
      <w:pPr>
        <w:ind w:left="720" w:hanging="360"/>
      </w:pPr>
      <w:rPr>
        <w:rFonts w:ascii="Cambria" w:eastAsia="Times New Roman" w:hAnsi="Cambria"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5D78E3"/>
    <w:multiLevelType w:val="hybridMultilevel"/>
    <w:tmpl w:val="0BB69D2A"/>
    <w:lvl w:ilvl="0" w:tplc="560A1B2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7" w15:restartNumberingAfterBreak="0">
    <w:nsid w:val="193B2056"/>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8" w15:restartNumberingAfterBreak="0">
    <w:nsid w:val="1D0911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EA83AD5"/>
    <w:multiLevelType w:val="hybridMultilevel"/>
    <w:tmpl w:val="4B20887C"/>
    <w:lvl w:ilvl="0" w:tplc="DB8E674C">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202CC1"/>
    <w:multiLevelType w:val="hybridMultilevel"/>
    <w:tmpl w:val="DDB4D152"/>
    <w:lvl w:ilvl="0" w:tplc="505C658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0227397"/>
    <w:multiLevelType w:val="multilevel"/>
    <w:tmpl w:val="78A6DA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2" w15:restartNumberingAfterBreak="0">
    <w:nsid w:val="2AF377C1"/>
    <w:multiLevelType w:val="hybridMultilevel"/>
    <w:tmpl w:val="23467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B3B1FCD"/>
    <w:multiLevelType w:val="multilevel"/>
    <w:tmpl w:val="66AC5AA6"/>
    <w:lvl w:ilvl="0">
      <w:start w:val="4"/>
      <w:numFmt w:val="lowerLetter"/>
      <w:lvlText w:val="%1."/>
      <w:lvlJc w:val="left"/>
      <w:pPr>
        <w:tabs>
          <w:tab w:val="num" w:pos="1276"/>
        </w:tabs>
        <w:ind w:left="1276" w:hanging="360"/>
      </w:pPr>
    </w:lvl>
    <w:lvl w:ilvl="1" w:tentative="1">
      <w:start w:val="1"/>
      <w:numFmt w:val="lowerLetter"/>
      <w:lvlText w:val="%2."/>
      <w:lvlJc w:val="left"/>
      <w:pPr>
        <w:tabs>
          <w:tab w:val="num" w:pos="1996"/>
        </w:tabs>
        <w:ind w:left="1996" w:hanging="360"/>
      </w:pPr>
    </w:lvl>
    <w:lvl w:ilvl="2" w:tentative="1">
      <w:start w:val="1"/>
      <w:numFmt w:val="lowerLetter"/>
      <w:lvlText w:val="%3."/>
      <w:lvlJc w:val="left"/>
      <w:pPr>
        <w:tabs>
          <w:tab w:val="num" w:pos="2716"/>
        </w:tabs>
        <w:ind w:left="2716" w:hanging="360"/>
      </w:pPr>
    </w:lvl>
    <w:lvl w:ilvl="3" w:tentative="1">
      <w:start w:val="1"/>
      <w:numFmt w:val="lowerLetter"/>
      <w:lvlText w:val="%4."/>
      <w:lvlJc w:val="left"/>
      <w:pPr>
        <w:tabs>
          <w:tab w:val="num" w:pos="3436"/>
        </w:tabs>
        <w:ind w:left="3436" w:hanging="360"/>
      </w:pPr>
    </w:lvl>
    <w:lvl w:ilvl="4" w:tentative="1">
      <w:start w:val="1"/>
      <w:numFmt w:val="lowerLetter"/>
      <w:lvlText w:val="%5."/>
      <w:lvlJc w:val="left"/>
      <w:pPr>
        <w:tabs>
          <w:tab w:val="num" w:pos="4156"/>
        </w:tabs>
        <w:ind w:left="4156" w:hanging="360"/>
      </w:pPr>
    </w:lvl>
    <w:lvl w:ilvl="5" w:tentative="1">
      <w:start w:val="1"/>
      <w:numFmt w:val="lowerLetter"/>
      <w:lvlText w:val="%6."/>
      <w:lvlJc w:val="left"/>
      <w:pPr>
        <w:tabs>
          <w:tab w:val="num" w:pos="4876"/>
        </w:tabs>
        <w:ind w:left="4876" w:hanging="360"/>
      </w:pPr>
    </w:lvl>
    <w:lvl w:ilvl="6" w:tentative="1">
      <w:start w:val="1"/>
      <w:numFmt w:val="lowerLetter"/>
      <w:lvlText w:val="%7."/>
      <w:lvlJc w:val="left"/>
      <w:pPr>
        <w:tabs>
          <w:tab w:val="num" w:pos="5596"/>
        </w:tabs>
        <w:ind w:left="5596" w:hanging="360"/>
      </w:pPr>
    </w:lvl>
    <w:lvl w:ilvl="7" w:tentative="1">
      <w:start w:val="1"/>
      <w:numFmt w:val="lowerLetter"/>
      <w:lvlText w:val="%8."/>
      <w:lvlJc w:val="left"/>
      <w:pPr>
        <w:tabs>
          <w:tab w:val="num" w:pos="6316"/>
        </w:tabs>
        <w:ind w:left="6316" w:hanging="360"/>
      </w:pPr>
    </w:lvl>
    <w:lvl w:ilvl="8" w:tentative="1">
      <w:start w:val="1"/>
      <w:numFmt w:val="lowerLetter"/>
      <w:lvlText w:val="%9."/>
      <w:lvlJc w:val="left"/>
      <w:pPr>
        <w:tabs>
          <w:tab w:val="num" w:pos="7036"/>
        </w:tabs>
        <w:ind w:left="7036" w:hanging="360"/>
      </w:pPr>
    </w:lvl>
  </w:abstractNum>
  <w:abstractNum w:abstractNumId="14" w15:restartNumberingAfterBreak="0">
    <w:nsid w:val="35ED0BB4"/>
    <w:multiLevelType w:val="multilevel"/>
    <w:tmpl w:val="51BE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6F103F9"/>
    <w:multiLevelType w:val="hybridMultilevel"/>
    <w:tmpl w:val="8DC897C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9B93869"/>
    <w:multiLevelType w:val="multilevel"/>
    <w:tmpl w:val="A0D47B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15:restartNumberingAfterBreak="0">
    <w:nsid w:val="3B0B4BC9"/>
    <w:multiLevelType w:val="multilevel"/>
    <w:tmpl w:val="0E624B0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3E0E5D8C"/>
    <w:multiLevelType w:val="multilevel"/>
    <w:tmpl w:val="38A47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1F816F8"/>
    <w:multiLevelType w:val="multilevel"/>
    <w:tmpl w:val="C1FA0DDA"/>
    <w:lvl w:ilvl="0">
      <w:start w:val="14"/>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483E24E5"/>
    <w:multiLevelType w:val="hybridMultilevel"/>
    <w:tmpl w:val="748A6AAA"/>
    <w:lvl w:ilvl="0" w:tplc="13C6D560">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1" w15:restartNumberingAfterBreak="0">
    <w:nsid w:val="496A1ACE"/>
    <w:multiLevelType w:val="multilevel"/>
    <w:tmpl w:val="FC5AAB1E"/>
    <w:lvl w:ilvl="0">
      <w:start w:val="6"/>
      <w:numFmt w:val="decimal"/>
      <w:lvlText w:val="%1"/>
      <w:lvlJc w:val="left"/>
      <w:pPr>
        <w:ind w:left="360" w:hanging="360"/>
      </w:pPr>
      <w:rPr>
        <w:rFonts w:hint="default"/>
        <w:i w:val="0"/>
      </w:rPr>
    </w:lvl>
    <w:lvl w:ilvl="1">
      <w:start w:val="4"/>
      <w:numFmt w:val="decimal"/>
      <w:lvlText w:val="%1.%2"/>
      <w:lvlJc w:val="left"/>
      <w:pPr>
        <w:ind w:left="792" w:hanging="360"/>
      </w:pPr>
      <w:rPr>
        <w:rFonts w:hint="default"/>
        <w:i w:val="0"/>
      </w:rPr>
    </w:lvl>
    <w:lvl w:ilvl="2">
      <w:start w:val="1"/>
      <w:numFmt w:val="decimal"/>
      <w:lvlText w:val="%1.%2.%3"/>
      <w:lvlJc w:val="left"/>
      <w:pPr>
        <w:ind w:left="1584" w:hanging="720"/>
      </w:pPr>
      <w:rPr>
        <w:rFonts w:hint="default"/>
        <w:i w:val="0"/>
      </w:rPr>
    </w:lvl>
    <w:lvl w:ilvl="3">
      <w:start w:val="1"/>
      <w:numFmt w:val="decimal"/>
      <w:lvlText w:val="%1.%2.%3.%4"/>
      <w:lvlJc w:val="left"/>
      <w:pPr>
        <w:ind w:left="2016" w:hanging="720"/>
      </w:pPr>
      <w:rPr>
        <w:rFonts w:hint="default"/>
        <w:i w:val="0"/>
      </w:rPr>
    </w:lvl>
    <w:lvl w:ilvl="4">
      <w:start w:val="1"/>
      <w:numFmt w:val="decimal"/>
      <w:lvlText w:val="%1.%2.%3.%4.%5"/>
      <w:lvlJc w:val="left"/>
      <w:pPr>
        <w:ind w:left="2808" w:hanging="1080"/>
      </w:pPr>
      <w:rPr>
        <w:rFonts w:hint="default"/>
        <w:i w:val="0"/>
      </w:rPr>
    </w:lvl>
    <w:lvl w:ilvl="5">
      <w:start w:val="1"/>
      <w:numFmt w:val="decimal"/>
      <w:lvlText w:val="%1.%2.%3.%4.%5.%6"/>
      <w:lvlJc w:val="left"/>
      <w:pPr>
        <w:ind w:left="3240" w:hanging="1080"/>
      </w:pPr>
      <w:rPr>
        <w:rFonts w:hint="default"/>
        <w:i w:val="0"/>
      </w:rPr>
    </w:lvl>
    <w:lvl w:ilvl="6">
      <w:start w:val="1"/>
      <w:numFmt w:val="decimal"/>
      <w:lvlText w:val="%1.%2.%3.%4.%5.%6.%7"/>
      <w:lvlJc w:val="left"/>
      <w:pPr>
        <w:ind w:left="4032" w:hanging="1440"/>
      </w:pPr>
      <w:rPr>
        <w:rFonts w:hint="default"/>
        <w:i w:val="0"/>
      </w:rPr>
    </w:lvl>
    <w:lvl w:ilvl="7">
      <w:start w:val="1"/>
      <w:numFmt w:val="decimal"/>
      <w:lvlText w:val="%1.%2.%3.%4.%5.%6.%7.%8"/>
      <w:lvlJc w:val="left"/>
      <w:pPr>
        <w:ind w:left="4464" w:hanging="1440"/>
      </w:pPr>
      <w:rPr>
        <w:rFonts w:hint="default"/>
        <w:i w:val="0"/>
      </w:rPr>
    </w:lvl>
    <w:lvl w:ilvl="8">
      <w:start w:val="1"/>
      <w:numFmt w:val="decimal"/>
      <w:lvlText w:val="%1.%2.%3.%4.%5.%6.%7.%8.%9"/>
      <w:lvlJc w:val="left"/>
      <w:pPr>
        <w:ind w:left="4896" w:hanging="1440"/>
      </w:pPr>
      <w:rPr>
        <w:rFonts w:hint="default"/>
        <w:i w:val="0"/>
      </w:rPr>
    </w:lvl>
  </w:abstractNum>
  <w:abstractNum w:abstractNumId="22" w15:restartNumberingAfterBreak="0">
    <w:nsid w:val="4C4F34A4"/>
    <w:multiLevelType w:val="hybridMultilevel"/>
    <w:tmpl w:val="E9E235EC"/>
    <w:lvl w:ilvl="0" w:tplc="EA44CF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5B0435"/>
    <w:multiLevelType w:val="hybridMultilevel"/>
    <w:tmpl w:val="100259B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4" w15:restartNumberingAfterBreak="0">
    <w:nsid w:val="4D685163"/>
    <w:multiLevelType w:val="multilevel"/>
    <w:tmpl w:val="013A8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0CB4CE6"/>
    <w:multiLevelType w:val="multilevel"/>
    <w:tmpl w:val="1B48F66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52DB727F"/>
    <w:multiLevelType w:val="hybridMultilevel"/>
    <w:tmpl w:val="989871DE"/>
    <w:lvl w:ilvl="0" w:tplc="7BA6EB32">
      <w:start w:val="4"/>
      <w:numFmt w:val="bullet"/>
      <w:lvlText w:val="-"/>
      <w:lvlJc w:val="left"/>
      <w:pPr>
        <w:ind w:left="720" w:hanging="360"/>
      </w:pPr>
      <w:rPr>
        <w:rFonts w:ascii="Cambria" w:eastAsia="Times New Roman" w:hAnsi="Cambria"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AB7F25"/>
    <w:multiLevelType w:val="multilevel"/>
    <w:tmpl w:val="03E4A7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8" w15:restartNumberingAfterBreak="0">
    <w:nsid w:val="56DB4C0F"/>
    <w:multiLevelType w:val="multilevel"/>
    <w:tmpl w:val="27567292"/>
    <w:lvl w:ilvl="0">
      <w:start w:val="4"/>
      <w:numFmt w:val="bullet"/>
      <w:lvlText w:val="-"/>
      <w:lvlJc w:val="left"/>
      <w:pPr>
        <w:ind w:left="720" w:hanging="360"/>
      </w:pPr>
      <w:rPr>
        <w:rFonts w:ascii="Cambria" w:eastAsiaTheme="minorEastAsia" w:hAnsi="Cambria" w:cstheme="minorBid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8BD094C"/>
    <w:multiLevelType w:val="multilevel"/>
    <w:tmpl w:val="9B8856F4"/>
    <w:lvl w:ilvl="0">
      <w:start w:val="2"/>
      <w:numFmt w:val="lowerLetter"/>
      <w:lvlText w:val="%1."/>
      <w:lvlJc w:val="left"/>
      <w:pPr>
        <w:tabs>
          <w:tab w:val="num" w:pos="998"/>
        </w:tabs>
        <w:ind w:left="998" w:hanging="360"/>
      </w:pPr>
    </w:lvl>
    <w:lvl w:ilvl="1" w:tentative="1">
      <w:start w:val="1"/>
      <w:numFmt w:val="lowerLetter"/>
      <w:lvlText w:val="%2."/>
      <w:lvlJc w:val="left"/>
      <w:pPr>
        <w:tabs>
          <w:tab w:val="num" w:pos="1718"/>
        </w:tabs>
        <w:ind w:left="1718" w:hanging="360"/>
      </w:pPr>
    </w:lvl>
    <w:lvl w:ilvl="2" w:tentative="1">
      <w:start w:val="1"/>
      <w:numFmt w:val="lowerLetter"/>
      <w:lvlText w:val="%3."/>
      <w:lvlJc w:val="left"/>
      <w:pPr>
        <w:tabs>
          <w:tab w:val="num" w:pos="2438"/>
        </w:tabs>
        <w:ind w:left="2438" w:hanging="360"/>
      </w:pPr>
    </w:lvl>
    <w:lvl w:ilvl="3" w:tentative="1">
      <w:start w:val="1"/>
      <w:numFmt w:val="lowerLetter"/>
      <w:lvlText w:val="%4."/>
      <w:lvlJc w:val="left"/>
      <w:pPr>
        <w:tabs>
          <w:tab w:val="num" w:pos="3158"/>
        </w:tabs>
        <w:ind w:left="3158" w:hanging="360"/>
      </w:pPr>
    </w:lvl>
    <w:lvl w:ilvl="4" w:tentative="1">
      <w:start w:val="1"/>
      <w:numFmt w:val="lowerLetter"/>
      <w:lvlText w:val="%5."/>
      <w:lvlJc w:val="left"/>
      <w:pPr>
        <w:tabs>
          <w:tab w:val="num" w:pos="3878"/>
        </w:tabs>
        <w:ind w:left="3878" w:hanging="360"/>
      </w:pPr>
    </w:lvl>
    <w:lvl w:ilvl="5" w:tentative="1">
      <w:start w:val="1"/>
      <w:numFmt w:val="lowerLetter"/>
      <w:lvlText w:val="%6."/>
      <w:lvlJc w:val="left"/>
      <w:pPr>
        <w:tabs>
          <w:tab w:val="num" w:pos="4598"/>
        </w:tabs>
        <w:ind w:left="4598" w:hanging="360"/>
      </w:pPr>
    </w:lvl>
    <w:lvl w:ilvl="6" w:tentative="1">
      <w:start w:val="1"/>
      <w:numFmt w:val="lowerLetter"/>
      <w:lvlText w:val="%7."/>
      <w:lvlJc w:val="left"/>
      <w:pPr>
        <w:tabs>
          <w:tab w:val="num" w:pos="5318"/>
        </w:tabs>
        <w:ind w:left="5318" w:hanging="360"/>
      </w:pPr>
    </w:lvl>
    <w:lvl w:ilvl="7" w:tentative="1">
      <w:start w:val="1"/>
      <w:numFmt w:val="lowerLetter"/>
      <w:lvlText w:val="%8."/>
      <w:lvlJc w:val="left"/>
      <w:pPr>
        <w:tabs>
          <w:tab w:val="num" w:pos="6038"/>
        </w:tabs>
        <w:ind w:left="6038" w:hanging="360"/>
      </w:pPr>
    </w:lvl>
    <w:lvl w:ilvl="8" w:tentative="1">
      <w:start w:val="1"/>
      <w:numFmt w:val="lowerLetter"/>
      <w:lvlText w:val="%9."/>
      <w:lvlJc w:val="left"/>
      <w:pPr>
        <w:tabs>
          <w:tab w:val="num" w:pos="6758"/>
        </w:tabs>
        <w:ind w:left="6758" w:hanging="360"/>
      </w:pPr>
    </w:lvl>
  </w:abstractNum>
  <w:abstractNum w:abstractNumId="30" w15:restartNumberingAfterBreak="0">
    <w:nsid w:val="58F739BE"/>
    <w:multiLevelType w:val="multilevel"/>
    <w:tmpl w:val="DA1AB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B995643"/>
    <w:multiLevelType w:val="hybridMultilevel"/>
    <w:tmpl w:val="A18E6F28"/>
    <w:lvl w:ilvl="0" w:tplc="CA221E6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2" w15:restartNumberingAfterBreak="0">
    <w:nsid w:val="5D9271F8"/>
    <w:multiLevelType w:val="multilevel"/>
    <w:tmpl w:val="0068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DB069EA"/>
    <w:multiLevelType w:val="multilevel"/>
    <w:tmpl w:val="F11670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4" w15:restartNumberingAfterBreak="0">
    <w:nsid w:val="63341C23"/>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5" w15:restartNumberingAfterBreak="0">
    <w:nsid w:val="63E35756"/>
    <w:multiLevelType w:val="multilevel"/>
    <w:tmpl w:val="94365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40728CA"/>
    <w:multiLevelType w:val="multilevel"/>
    <w:tmpl w:val="2460BDBC"/>
    <w:lvl w:ilvl="0">
      <w:start w:val="11"/>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7" w15:restartNumberingAfterBreak="0">
    <w:nsid w:val="649C7A24"/>
    <w:multiLevelType w:val="multilevel"/>
    <w:tmpl w:val="145ED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8FE199A"/>
    <w:multiLevelType w:val="multilevel"/>
    <w:tmpl w:val="A7BC6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9" w15:restartNumberingAfterBreak="0">
    <w:nsid w:val="6A2F4AFD"/>
    <w:multiLevelType w:val="hybridMultilevel"/>
    <w:tmpl w:val="1DFA4142"/>
    <w:lvl w:ilvl="0" w:tplc="D8525C72">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130999"/>
    <w:multiLevelType w:val="hybridMultilevel"/>
    <w:tmpl w:val="E9D04DB0"/>
    <w:lvl w:ilvl="0" w:tplc="FA7869DC">
      <w:start w:val="4"/>
      <w:numFmt w:val="bullet"/>
      <w:lvlText w:val="-"/>
      <w:lvlJc w:val="left"/>
      <w:pPr>
        <w:ind w:left="720" w:hanging="360"/>
      </w:pPr>
      <w:rPr>
        <w:rFonts w:ascii="Cambria" w:eastAsiaTheme="minorEastAsia" w:hAnsi="Cambri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3AF5461"/>
    <w:multiLevelType w:val="multilevel"/>
    <w:tmpl w:val="C0066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2" w15:restartNumberingAfterBreak="0">
    <w:nsid w:val="771B137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9A45695"/>
    <w:multiLevelType w:val="multilevel"/>
    <w:tmpl w:val="D89ECFBC"/>
    <w:lvl w:ilvl="0">
      <w:start w:val="14"/>
      <w:numFmt w:val="decimal"/>
      <w:lvlText w:val="%1"/>
      <w:lvlJc w:val="left"/>
      <w:pPr>
        <w:ind w:left="528" w:hanging="528"/>
      </w:pPr>
      <w:rPr>
        <w:rFonts w:hint="default"/>
      </w:rPr>
    </w:lvl>
    <w:lvl w:ilvl="1">
      <w:start w:val="1"/>
      <w:numFmt w:val="decimal"/>
      <w:lvlText w:val="%1.%2"/>
      <w:lvlJc w:val="left"/>
      <w:pPr>
        <w:ind w:left="708" w:hanging="528"/>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4" w15:restartNumberingAfterBreak="0">
    <w:nsid w:val="7AF0260B"/>
    <w:multiLevelType w:val="multilevel"/>
    <w:tmpl w:val="FF9C962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23421499">
    <w:abstractNumId w:val="10"/>
  </w:num>
  <w:num w:numId="2" w16cid:durableId="1449546622">
    <w:abstractNumId w:val="6"/>
  </w:num>
  <w:num w:numId="3" w16cid:durableId="1669477334">
    <w:abstractNumId w:val="31"/>
  </w:num>
  <w:num w:numId="4" w16cid:durableId="2062551615">
    <w:abstractNumId w:val="34"/>
  </w:num>
  <w:num w:numId="5" w16cid:durableId="1334332422">
    <w:abstractNumId w:val="7"/>
  </w:num>
  <w:num w:numId="6" w16cid:durableId="142551678">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3663394">
    <w:abstractNumId w:val="15"/>
  </w:num>
  <w:num w:numId="8" w16cid:durableId="1031148757">
    <w:abstractNumId w:val="9"/>
  </w:num>
  <w:num w:numId="9" w16cid:durableId="1366442034">
    <w:abstractNumId w:val="12"/>
  </w:num>
  <w:num w:numId="10" w16cid:durableId="593592016">
    <w:abstractNumId w:val="22"/>
  </w:num>
  <w:num w:numId="11" w16cid:durableId="1440175051">
    <w:abstractNumId w:val="39"/>
  </w:num>
  <w:num w:numId="12" w16cid:durableId="982851329">
    <w:abstractNumId w:val="20"/>
  </w:num>
  <w:num w:numId="13" w16cid:durableId="77144801">
    <w:abstractNumId w:val="23"/>
  </w:num>
  <w:num w:numId="14" w16cid:durableId="1647279085">
    <w:abstractNumId w:val="5"/>
  </w:num>
  <w:num w:numId="15" w16cid:durableId="271133236">
    <w:abstractNumId w:val="14"/>
  </w:num>
  <w:num w:numId="16" w16cid:durableId="1738623123">
    <w:abstractNumId w:val="32"/>
  </w:num>
  <w:num w:numId="17" w16cid:durableId="913320329">
    <w:abstractNumId w:val="30"/>
  </w:num>
  <w:num w:numId="18" w16cid:durableId="418794546">
    <w:abstractNumId w:val="37"/>
  </w:num>
  <w:num w:numId="19" w16cid:durableId="1472021529">
    <w:abstractNumId w:val="24"/>
  </w:num>
  <w:num w:numId="20" w16cid:durableId="2017075213">
    <w:abstractNumId w:val="41"/>
  </w:num>
  <w:num w:numId="21" w16cid:durableId="591548215">
    <w:abstractNumId w:val="27"/>
  </w:num>
  <w:num w:numId="22" w16cid:durableId="1404647861">
    <w:abstractNumId w:val="11"/>
  </w:num>
  <w:num w:numId="23" w16cid:durableId="174223927">
    <w:abstractNumId w:val="13"/>
  </w:num>
  <w:num w:numId="24" w16cid:durableId="1101417208">
    <w:abstractNumId w:val="38"/>
  </w:num>
  <w:num w:numId="25" w16cid:durableId="801313979">
    <w:abstractNumId w:val="29"/>
  </w:num>
  <w:num w:numId="26" w16cid:durableId="1469083396">
    <w:abstractNumId w:val="16"/>
  </w:num>
  <w:num w:numId="27" w16cid:durableId="994603209">
    <w:abstractNumId w:val="33"/>
  </w:num>
  <w:num w:numId="28" w16cid:durableId="1157379616">
    <w:abstractNumId w:val="35"/>
  </w:num>
  <w:num w:numId="29" w16cid:durableId="438067770">
    <w:abstractNumId w:val="18"/>
  </w:num>
  <w:num w:numId="30" w16cid:durableId="2108188645">
    <w:abstractNumId w:val="44"/>
  </w:num>
  <w:num w:numId="31" w16cid:durableId="637416884">
    <w:abstractNumId w:val="1"/>
  </w:num>
  <w:num w:numId="32" w16cid:durableId="1707027479">
    <w:abstractNumId w:val="8"/>
  </w:num>
  <w:num w:numId="33" w16cid:durableId="220675060">
    <w:abstractNumId w:val="17"/>
  </w:num>
  <w:num w:numId="34" w16cid:durableId="683478542">
    <w:abstractNumId w:val="25"/>
  </w:num>
  <w:num w:numId="35" w16cid:durableId="374165365">
    <w:abstractNumId w:val="0"/>
  </w:num>
  <w:num w:numId="36" w16cid:durableId="133135331">
    <w:abstractNumId w:val="2"/>
  </w:num>
  <w:num w:numId="37" w16cid:durableId="1939672181">
    <w:abstractNumId w:val="3"/>
  </w:num>
  <w:num w:numId="38" w16cid:durableId="905067993">
    <w:abstractNumId w:val="42"/>
  </w:num>
  <w:num w:numId="39" w16cid:durableId="715666598">
    <w:abstractNumId w:val="22"/>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6957195">
    <w:abstractNumId w:val="21"/>
  </w:num>
  <w:num w:numId="41" w16cid:durableId="191919274">
    <w:abstractNumId w:val="43"/>
  </w:num>
  <w:num w:numId="42" w16cid:durableId="1523088920">
    <w:abstractNumId w:val="19"/>
  </w:num>
  <w:num w:numId="43" w16cid:durableId="704985200">
    <w:abstractNumId w:val="36"/>
  </w:num>
  <w:num w:numId="44" w16cid:durableId="1794251756">
    <w:abstractNumId w:val="40"/>
  </w:num>
  <w:num w:numId="45" w16cid:durableId="1585190823">
    <w:abstractNumId w:val="4"/>
  </w:num>
  <w:num w:numId="46" w16cid:durableId="1223181007">
    <w:abstractNumId w:val="26"/>
  </w:num>
  <w:num w:numId="47" w16cid:durableId="116204171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0ED"/>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51F3"/>
    <w:rsid w:val="00157B26"/>
    <w:rsid w:val="00160A09"/>
    <w:rsid w:val="00160B49"/>
    <w:rsid w:val="001630E3"/>
    <w:rsid w:val="00167923"/>
    <w:rsid w:val="00173393"/>
    <w:rsid w:val="00175CA4"/>
    <w:rsid w:val="00176A89"/>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5DE6"/>
    <w:rsid w:val="002265B1"/>
    <w:rsid w:val="00226609"/>
    <w:rsid w:val="002317E7"/>
    <w:rsid w:val="00232D1D"/>
    <w:rsid w:val="002360A7"/>
    <w:rsid w:val="00240A3D"/>
    <w:rsid w:val="00242005"/>
    <w:rsid w:val="00242111"/>
    <w:rsid w:val="00246631"/>
    <w:rsid w:val="00246705"/>
    <w:rsid w:val="00247B9A"/>
    <w:rsid w:val="00250C2F"/>
    <w:rsid w:val="0026489C"/>
    <w:rsid w:val="0027149A"/>
    <w:rsid w:val="00273D43"/>
    <w:rsid w:val="00275529"/>
    <w:rsid w:val="002762AB"/>
    <w:rsid w:val="00282F16"/>
    <w:rsid w:val="0028560B"/>
    <w:rsid w:val="00290481"/>
    <w:rsid w:val="002961C5"/>
    <w:rsid w:val="002A2405"/>
    <w:rsid w:val="002A46C2"/>
    <w:rsid w:val="002A6E00"/>
    <w:rsid w:val="002A70B6"/>
    <w:rsid w:val="002C12A9"/>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3DE6"/>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0AAA"/>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1C48"/>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7E7E"/>
    <w:rsid w:val="00560E37"/>
    <w:rsid w:val="0056180A"/>
    <w:rsid w:val="005644A2"/>
    <w:rsid w:val="00565E84"/>
    <w:rsid w:val="00567271"/>
    <w:rsid w:val="00571019"/>
    <w:rsid w:val="00571C5B"/>
    <w:rsid w:val="00571E4A"/>
    <w:rsid w:val="005727F9"/>
    <w:rsid w:val="005729BB"/>
    <w:rsid w:val="005738EF"/>
    <w:rsid w:val="00574050"/>
    <w:rsid w:val="00574941"/>
    <w:rsid w:val="00574F9E"/>
    <w:rsid w:val="00576291"/>
    <w:rsid w:val="00581207"/>
    <w:rsid w:val="005832CF"/>
    <w:rsid w:val="005847DE"/>
    <w:rsid w:val="00585A74"/>
    <w:rsid w:val="0058667D"/>
    <w:rsid w:val="00586D4A"/>
    <w:rsid w:val="00587082"/>
    <w:rsid w:val="005903D9"/>
    <w:rsid w:val="005915D1"/>
    <w:rsid w:val="00593A75"/>
    <w:rsid w:val="00594D79"/>
    <w:rsid w:val="00595988"/>
    <w:rsid w:val="00597C0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25E8"/>
    <w:rsid w:val="0062519C"/>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4722"/>
    <w:rsid w:val="007B10F9"/>
    <w:rsid w:val="007B2DE7"/>
    <w:rsid w:val="007B4D4C"/>
    <w:rsid w:val="007C21CB"/>
    <w:rsid w:val="007C4A02"/>
    <w:rsid w:val="007C4E4F"/>
    <w:rsid w:val="007D08A0"/>
    <w:rsid w:val="007D1671"/>
    <w:rsid w:val="007D413A"/>
    <w:rsid w:val="007D5CA9"/>
    <w:rsid w:val="007E0A84"/>
    <w:rsid w:val="007E4C2D"/>
    <w:rsid w:val="007E654F"/>
    <w:rsid w:val="007E69D1"/>
    <w:rsid w:val="007F4EF3"/>
    <w:rsid w:val="0080033F"/>
    <w:rsid w:val="008042B6"/>
    <w:rsid w:val="00805EFF"/>
    <w:rsid w:val="00811FA1"/>
    <w:rsid w:val="00816217"/>
    <w:rsid w:val="0081636C"/>
    <w:rsid w:val="00817E09"/>
    <w:rsid w:val="008207DE"/>
    <w:rsid w:val="00821CFF"/>
    <w:rsid w:val="00821F16"/>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73B"/>
    <w:rsid w:val="009373EA"/>
    <w:rsid w:val="00946422"/>
    <w:rsid w:val="009466F7"/>
    <w:rsid w:val="00947D0F"/>
    <w:rsid w:val="00952C5B"/>
    <w:rsid w:val="0095464C"/>
    <w:rsid w:val="00955E79"/>
    <w:rsid w:val="00957027"/>
    <w:rsid w:val="0095716F"/>
    <w:rsid w:val="00961741"/>
    <w:rsid w:val="0096664A"/>
    <w:rsid w:val="00972DB9"/>
    <w:rsid w:val="00975089"/>
    <w:rsid w:val="0097663E"/>
    <w:rsid w:val="009854B5"/>
    <w:rsid w:val="00991363"/>
    <w:rsid w:val="0099649A"/>
    <w:rsid w:val="009A0097"/>
    <w:rsid w:val="009A0A4D"/>
    <w:rsid w:val="009A1A60"/>
    <w:rsid w:val="009A4318"/>
    <w:rsid w:val="009A5016"/>
    <w:rsid w:val="009A7DD7"/>
    <w:rsid w:val="009B06B3"/>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6144"/>
    <w:rsid w:val="009F73D4"/>
    <w:rsid w:val="009F75B4"/>
    <w:rsid w:val="00A005BB"/>
    <w:rsid w:val="00A01DF7"/>
    <w:rsid w:val="00A03398"/>
    <w:rsid w:val="00A06AE9"/>
    <w:rsid w:val="00A10869"/>
    <w:rsid w:val="00A113D9"/>
    <w:rsid w:val="00A15828"/>
    <w:rsid w:val="00A15DC1"/>
    <w:rsid w:val="00A25934"/>
    <w:rsid w:val="00A25E82"/>
    <w:rsid w:val="00A3124A"/>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9DC"/>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46B"/>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F220B"/>
    <w:rsid w:val="00CF4014"/>
    <w:rsid w:val="00D00925"/>
    <w:rsid w:val="00D01653"/>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7C35"/>
    <w:rsid w:val="00DA0BB3"/>
    <w:rsid w:val="00DA0CA2"/>
    <w:rsid w:val="00DA0CF2"/>
    <w:rsid w:val="00DA165A"/>
    <w:rsid w:val="00DA3223"/>
    <w:rsid w:val="00DA5D27"/>
    <w:rsid w:val="00DA5D99"/>
    <w:rsid w:val="00DA684F"/>
    <w:rsid w:val="00DA711E"/>
    <w:rsid w:val="00DA79F5"/>
    <w:rsid w:val="00DB026B"/>
    <w:rsid w:val="00DB0D9F"/>
    <w:rsid w:val="00DB2942"/>
    <w:rsid w:val="00DB3557"/>
    <w:rsid w:val="00DB416A"/>
    <w:rsid w:val="00DB71C2"/>
    <w:rsid w:val="00DD1B58"/>
    <w:rsid w:val="00DD4C39"/>
    <w:rsid w:val="00DD72FD"/>
    <w:rsid w:val="00DE2507"/>
    <w:rsid w:val="00DE7887"/>
    <w:rsid w:val="00DF0742"/>
    <w:rsid w:val="00DF09DD"/>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6738"/>
    <w:rsid w:val="00F77217"/>
    <w:rsid w:val="00F7751B"/>
    <w:rsid w:val="00F800F1"/>
    <w:rsid w:val="00F823E5"/>
    <w:rsid w:val="00F82930"/>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6884"/>
    <w:rsid w:val="00FC1132"/>
    <w:rsid w:val="00FC1865"/>
    <w:rsid w:val="00FC1C55"/>
    <w:rsid w:val="00FC256E"/>
    <w:rsid w:val="00FC54AD"/>
    <w:rsid w:val="00FD1972"/>
    <w:rsid w:val="00FD1D26"/>
    <w:rsid w:val="00FD3601"/>
    <w:rsid w:val="00FD4DA8"/>
    <w:rsid w:val="00FD5025"/>
    <w:rsid w:val="00FD6700"/>
    <w:rsid w:val="00FD67D9"/>
    <w:rsid w:val="00FD6E5E"/>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semiHidden/>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 w:type="table" w:styleId="TableGrid">
    <w:name w:val="Table Grid"/>
    <w:basedOn w:val="TableNormal"/>
    <w:uiPriority w:val="39"/>
    <w:rsid w:val="00225DE6"/>
    <w:pPr>
      <w:spacing w:after="0" w:line="240" w:lineRule="auto"/>
    </w:pPr>
    <w:rPr>
      <w:lang w:val="pt-B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pact">
    <w:name w:val="Compact"/>
    <w:basedOn w:val="BodyText"/>
    <w:qFormat/>
    <w:rsid w:val="00225DE6"/>
    <w:pPr>
      <w:spacing w:before="36" w:after="36"/>
      <w:jc w:val="left"/>
    </w:pPr>
    <w:rPr>
      <w:rFonts w:asciiTheme="minorHAnsi" w:eastAsiaTheme="minorHAnsi" w:hAnsiTheme="minorHAnsi" w:cstheme="minorBidi"/>
      <w:b w:val="0"/>
      <w:bCs w:val="0"/>
      <w:lang w:val="en-US" w:eastAsia="en-US"/>
    </w:rPr>
  </w:style>
  <w:style w:type="table" w:customStyle="1" w:styleId="Table">
    <w:name w:val="Table"/>
    <w:semiHidden/>
    <w:unhideWhenUsed/>
    <w:qFormat/>
    <w:rsid w:val="00225DE6"/>
    <w:pPr>
      <w:spacing w:after="200" w:line="240" w:lineRule="auto"/>
    </w:pPr>
    <w:rPr>
      <w:sz w:val="24"/>
      <w:szCs w:val="24"/>
      <w:lang w:val="en-US"/>
    </w:rPr>
    <w:tblPr>
      <w:tblInd w:w="0" w:type="dxa"/>
      <w:tblCellMar>
        <w:top w:w="0" w:type="dxa"/>
        <w:left w:w="108" w:type="dxa"/>
        <w:bottom w:w="0" w:type="dxa"/>
        <w:right w:w="108" w:type="dxa"/>
      </w:tblCellMar>
    </w:tblPr>
  </w:style>
  <w:style w:type="paragraph" w:styleId="Caption">
    <w:name w:val="caption"/>
    <w:basedOn w:val="Normal"/>
    <w:link w:val="CaptionChar"/>
    <w:qFormat/>
    <w:rsid w:val="00225DE6"/>
    <w:pPr>
      <w:spacing w:after="120"/>
    </w:pPr>
    <w:rPr>
      <w:rFonts w:asciiTheme="minorHAnsi" w:eastAsiaTheme="minorHAnsi" w:hAnsiTheme="minorHAnsi" w:cstheme="minorBidi"/>
      <w:i/>
      <w:lang w:val="en-US"/>
    </w:rPr>
  </w:style>
  <w:style w:type="character" w:customStyle="1" w:styleId="CaptionChar">
    <w:name w:val="Caption Char"/>
    <w:basedOn w:val="DefaultParagraphFont"/>
    <w:link w:val="Caption"/>
    <w:rsid w:val="00225DE6"/>
    <w:rPr>
      <w:i/>
      <w:sz w:val="24"/>
      <w:szCs w:val="24"/>
      <w:lang w:val="en-US"/>
    </w:rPr>
  </w:style>
  <w:style w:type="character" w:customStyle="1" w:styleId="InternetLink">
    <w:name w:val="Internet Link"/>
    <w:basedOn w:val="DefaultParagraphFont"/>
    <w:uiPriority w:val="99"/>
    <w:unhideWhenUsed/>
    <w:rsid w:val="00225DE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21-04-e.pdf" TargetMode="External"/><Relationship Id="rId13" Type="http://schemas.openxmlformats.org/officeDocument/2006/relationships/image" Target="media/image4.tiff"/><Relationship Id="rId18" Type="http://schemas.openxmlformats.org/officeDocument/2006/relationships/image" Target="media/image5.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www.iccat.int/Documents/BienRep/REP_EN_24-25-I-2.pdf" TargetMode="External"/><Relationship Id="rId7" Type="http://schemas.openxmlformats.org/officeDocument/2006/relationships/endnotes" Target="endnotes.xml"/><Relationship Id="rId12" Type="http://schemas.openxmlformats.org/officeDocument/2006/relationships/image" Target="media/image3.tiff"/><Relationship Id="rId17" Type="http://schemas.openxmlformats.org/officeDocument/2006/relationships/hyperlink" Target="https://aztigps.shinyapps.io/shinyflbeia/?dataset=NALB"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aztigps.shinyapps.io/shinyflbeia/?dataset=NALB" TargetMode="External"/><Relationship Id="rId20" Type="http://schemas.openxmlformats.org/officeDocument/2006/relationships/hyperlink" Target="https://www.iccat.int/Documents/Recs/compendiopdf-e/2024-08-e.pdf" TargetMode="External"/><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tiff"/><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iccat.github.io/nalb-mse-2/TechSpec/Trial_Specs.html" TargetMode="External"/><Relationship Id="rId23" Type="http://schemas.openxmlformats.org/officeDocument/2006/relationships/hyperlink" Target="https://www.iccat.int/Documents/Recs/compendiopdf-e/2025-04-e.pdf" TargetMode="External"/><Relationship Id="rId28" Type="http://schemas.openxmlformats.org/officeDocument/2006/relationships/header" Target="header3.xml"/><Relationship Id="rId10" Type="http://schemas.openxmlformats.org/officeDocument/2006/relationships/image" Target="media/image1.jpeg"/><Relationship Id="rId19" Type="http://schemas.openxmlformats.org/officeDocument/2006/relationships/image" Target="media/image6.emf"/><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iccat.int/Documents/Recs/compendiopdf-e/2021-04-e.pdf" TargetMode="External"/><Relationship Id="rId14" Type="http://schemas.openxmlformats.org/officeDocument/2006/relationships/hyperlink" Target="https://www.iccat.int/Documents/Recs/compendiopdf-e/2021-04-e.pdf" TargetMode="External"/><Relationship Id="rId22" Type="http://schemas.openxmlformats.org/officeDocument/2006/relationships/hyperlink" Target="https://www.iccat.int/Documents/Recs/compendiopdf-e/2025-04-e.pdf" TargetMode="External"/><Relationship Id="rId27" Type="http://schemas.openxmlformats.org/officeDocument/2006/relationships/footer" Target="footer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2161</Words>
  <Characters>12322</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14455</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2026-10-08T12:27:00Z</dcterms:created>
  <dcterms:modified xsi:type="dcterms:W3CDTF">2026-10-14T12:36:00Z</dcterms:modified>
</cp:coreProperties>
</file>