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5CDA8" w14:textId="1F48460D" w:rsidR="009B62FA" w:rsidRPr="00980957" w:rsidRDefault="009B62FA" w:rsidP="00F7200F">
      <w:pPr>
        <w:jc w:val="right"/>
        <w:rPr>
          <w:rFonts w:ascii="Cambria" w:hAnsi="Cambria"/>
          <w:b/>
          <w:bCs/>
        </w:rPr>
      </w:pPr>
      <w:r w:rsidRPr="00980957">
        <w:rPr>
          <w:rFonts w:ascii="Cambria" w:hAnsi="Cambria"/>
          <w:b/>
          <w:bCs/>
        </w:rPr>
        <w:t>Original : anglais/espagnol/français</w:t>
      </w:r>
    </w:p>
    <w:p w14:paraId="696F0037" w14:textId="77777777" w:rsidR="009B62FA" w:rsidRPr="00980957" w:rsidRDefault="009B62FA" w:rsidP="00F7200F">
      <w:pPr>
        <w:rPr>
          <w:rFonts w:ascii="Cambria" w:hAnsi="Cambria"/>
          <w:b/>
          <w:bCs/>
        </w:rPr>
      </w:pPr>
    </w:p>
    <w:p w14:paraId="3A984C8B" w14:textId="7F2B84EF" w:rsidR="00874AD0" w:rsidRPr="00980957" w:rsidRDefault="00874AD0" w:rsidP="00F7200F">
      <w:pPr>
        <w:jc w:val="center"/>
        <w:rPr>
          <w:rFonts w:ascii="Cambria" w:hAnsi="Cambria"/>
          <w:b/>
          <w:bCs/>
        </w:rPr>
      </w:pPr>
      <w:bookmarkStart w:id="0" w:name="_Hlk174955518"/>
      <w:r w:rsidRPr="00980957">
        <w:rPr>
          <w:rFonts w:ascii="Cambria" w:hAnsi="Cambria"/>
          <w:b/>
          <w:bCs/>
        </w:rPr>
        <w:t>Réglementations et autres documents connexes adoptés par toutes les Parties contractantes concernées en vue de mettre en œuvre la Recommandation 24-05</w:t>
      </w:r>
    </w:p>
    <w:bookmarkEnd w:id="0"/>
    <w:p w14:paraId="7602D625" w14:textId="77777777" w:rsidR="00EA0B2E" w:rsidRPr="00980957" w:rsidRDefault="00EA0B2E" w:rsidP="00F7200F">
      <w:pPr>
        <w:rPr>
          <w:rFonts w:ascii="Cambria" w:hAnsi="Cambria"/>
        </w:rPr>
      </w:pPr>
    </w:p>
    <w:p w14:paraId="7BF2E1B4" w14:textId="72C389EA" w:rsidR="004F634A" w:rsidRPr="00980957" w:rsidRDefault="00874AD0" w:rsidP="00F7200F">
      <w:pPr>
        <w:jc w:val="both"/>
        <w:rPr>
          <w:rFonts w:ascii="Cambria" w:hAnsi="Cambria"/>
          <w:highlight w:val="yellow"/>
        </w:rPr>
      </w:pPr>
      <w:r w:rsidRPr="00980957">
        <w:rPr>
          <w:rFonts w:ascii="Cambria" w:hAnsi="Cambria"/>
        </w:rPr>
        <w:t xml:space="preserve">Conformément au paragraphe 238 de la </w:t>
      </w:r>
      <w:hyperlink r:id="rId8" w:history="1">
        <w:r w:rsidRPr="00980957">
          <w:rPr>
            <w:rStyle w:val="Lienhypertexte"/>
            <w:rFonts w:ascii="Cambria" w:hAnsi="Cambria"/>
            <w:i/>
            <w:iCs/>
            <w:u w:val="none"/>
          </w:rPr>
          <w:t xml:space="preserve">Recommandation de l’ICCAT amendant la Recommandation 22-08 établissant un plan pluriannuel de gestion du thon rouge dans l’Atlantique Est et la Méditerranée </w:t>
        </w:r>
        <w:r w:rsidRPr="006E6ED0">
          <w:rPr>
            <w:rStyle w:val="Lienhypertexte"/>
            <w:rFonts w:ascii="Cambria" w:hAnsi="Cambria"/>
            <w:u w:val="none"/>
          </w:rPr>
          <w:t>(Rec. 24-05)</w:t>
        </w:r>
      </w:hyperlink>
      <w:r w:rsidRPr="00980957">
        <w:rPr>
          <w:rFonts w:ascii="Cambria" w:hAnsi="Cambria"/>
        </w:rPr>
        <w:t>, afin d'assurer une plus grande transparence dans la mise en œuvre de cette Recommandation, le Secrétariat de l’ICCAT est chargé d’élaborer tous les deux ans un rapport sur la mise en œuvre de cette Recommandation. Ce rapport est présenté pour la première fois à la réunion annuelle de la Commission en 2026.</w:t>
      </w:r>
    </w:p>
    <w:p w14:paraId="4048499D" w14:textId="77777777" w:rsidR="00892B7B" w:rsidRPr="00980957" w:rsidRDefault="00892B7B" w:rsidP="00F7200F">
      <w:pPr>
        <w:jc w:val="both"/>
        <w:rPr>
          <w:rFonts w:ascii="Cambria" w:hAnsi="Cambria"/>
          <w:highlight w:val="yellow"/>
        </w:rPr>
      </w:pPr>
    </w:p>
    <w:p w14:paraId="011FC6AB" w14:textId="7B680CA9" w:rsidR="00874AD0" w:rsidRPr="00980957" w:rsidRDefault="00874AD0" w:rsidP="00F7200F">
      <w:pPr>
        <w:jc w:val="both"/>
        <w:rPr>
          <w:rFonts w:ascii="Cambria" w:hAnsi="Cambria"/>
        </w:rPr>
      </w:pPr>
      <w:r w:rsidRPr="00980957">
        <w:rPr>
          <w:rFonts w:ascii="Cambria" w:hAnsi="Cambria"/>
        </w:rPr>
        <w:t xml:space="preserve">Les documents relatifs à la mise en œuvre de cette Recommandation, reçus des diverses Parties contractantes concernées, sont les suivants et sont inclus </w:t>
      </w:r>
      <w:r w:rsidR="00C90813">
        <w:rPr>
          <w:rFonts w:ascii="Cambria" w:hAnsi="Cambria"/>
        </w:rPr>
        <w:t>à l’</w:t>
      </w:r>
      <w:r w:rsidR="00C90813" w:rsidRPr="00702C98">
        <w:rPr>
          <w:rFonts w:ascii="Cambria" w:hAnsi="Cambria"/>
          <w:b/>
          <w:bCs/>
        </w:rPr>
        <w:t>annex</w:t>
      </w:r>
      <w:r w:rsidR="00C90813">
        <w:rPr>
          <w:rFonts w:ascii="Cambria" w:hAnsi="Cambria"/>
          <w:b/>
          <w:bCs/>
        </w:rPr>
        <w:t>e</w:t>
      </w:r>
      <w:r w:rsidR="00C90813" w:rsidRPr="00702C98">
        <w:rPr>
          <w:rFonts w:ascii="Cambria" w:hAnsi="Cambria"/>
          <w:b/>
          <w:bCs/>
        </w:rPr>
        <w:t xml:space="preserve"> 1</w:t>
      </w:r>
      <w:r w:rsidR="00702C98">
        <w:rPr>
          <w:rFonts w:ascii="Cambria" w:hAnsi="Cambria"/>
        </w:rPr>
        <w:t xml:space="preserve"> </w:t>
      </w:r>
      <w:r w:rsidR="00C90813">
        <w:rPr>
          <w:rFonts w:ascii="Cambria" w:hAnsi="Cambria"/>
        </w:rPr>
        <w:t xml:space="preserve">du </w:t>
      </w:r>
      <w:r w:rsidR="00702C98" w:rsidRPr="00C90813">
        <w:rPr>
          <w:rFonts w:ascii="Cambria" w:hAnsi="Cambria"/>
        </w:rPr>
        <w:t>PA2_603</w:t>
      </w:r>
      <w:r w:rsidRPr="00980957">
        <w:rPr>
          <w:rFonts w:ascii="Cambria" w:hAnsi="Cambria"/>
        </w:rPr>
        <w:t>.</w:t>
      </w:r>
    </w:p>
    <w:p w14:paraId="500286C5" w14:textId="77777777" w:rsidR="00F7155B" w:rsidRPr="00980957" w:rsidRDefault="00F7155B" w:rsidP="00F7200F">
      <w:pPr>
        <w:rPr>
          <w:rFonts w:ascii="Cambria" w:hAnsi="Cambria"/>
        </w:rPr>
      </w:pPr>
    </w:p>
    <w:tbl>
      <w:tblPr>
        <w:tblW w:w="10456" w:type="dxa"/>
        <w:tblInd w:w="-572" w:type="dxa"/>
        <w:tblLook w:val="04A0" w:firstRow="1" w:lastRow="0" w:firstColumn="1" w:lastColumn="0" w:noHBand="0" w:noVBand="1"/>
      </w:tblPr>
      <w:tblGrid>
        <w:gridCol w:w="1241"/>
        <w:gridCol w:w="7572"/>
        <w:gridCol w:w="1779"/>
      </w:tblGrid>
      <w:tr w:rsidR="00EA0B2E" w:rsidRPr="00980957" w14:paraId="0DD41F4E" w14:textId="77777777" w:rsidTr="00943104">
        <w:tc>
          <w:tcPr>
            <w:tcW w:w="1134"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04B356C3" w14:textId="77777777" w:rsidR="00EA0B2E" w:rsidRPr="00980957" w:rsidRDefault="00EA0B2E" w:rsidP="00F7200F">
            <w:pPr>
              <w:widowControl/>
              <w:autoSpaceDE/>
              <w:autoSpaceDN/>
              <w:adjustRightInd/>
              <w:jc w:val="center"/>
              <w:rPr>
                <w:rFonts w:ascii="Cambria" w:hAnsi="Cambria" w:cs="Calibri"/>
                <w:b/>
                <w:bCs/>
                <w:color w:val="000000"/>
              </w:rPr>
            </w:pPr>
            <w:r w:rsidRPr="00980957">
              <w:rPr>
                <w:rFonts w:ascii="Cambria" w:hAnsi="Cambria"/>
                <w:b/>
                <w:bCs/>
                <w:color w:val="000000"/>
              </w:rPr>
              <w:t>CPC</w:t>
            </w:r>
          </w:p>
        </w:tc>
        <w:tc>
          <w:tcPr>
            <w:tcW w:w="7572" w:type="dxa"/>
            <w:tcBorders>
              <w:top w:val="single" w:sz="4" w:space="0" w:color="auto"/>
              <w:left w:val="nil"/>
              <w:bottom w:val="single" w:sz="4" w:space="0" w:color="auto"/>
              <w:right w:val="single" w:sz="4" w:space="0" w:color="auto"/>
            </w:tcBorders>
            <w:shd w:val="clear" w:color="000000" w:fill="E7E6E6"/>
            <w:noWrap/>
            <w:vAlign w:val="bottom"/>
            <w:hideMark/>
          </w:tcPr>
          <w:p w14:paraId="6F141CD3" w14:textId="4C4EA417" w:rsidR="00EA0B2E" w:rsidRPr="00980957" w:rsidRDefault="00EA0B2E" w:rsidP="00F7200F">
            <w:pPr>
              <w:widowControl/>
              <w:autoSpaceDE/>
              <w:autoSpaceDN/>
              <w:adjustRightInd/>
              <w:jc w:val="center"/>
              <w:rPr>
                <w:rFonts w:ascii="Cambria" w:hAnsi="Cambria" w:cs="Calibri"/>
                <w:b/>
                <w:bCs/>
                <w:color w:val="000000"/>
              </w:rPr>
            </w:pPr>
            <w:r w:rsidRPr="00980957">
              <w:rPr>
                <w:rFonts w:ascii="Cambria" w:hAnsi="Cambria"/>
                <w:b/>
                <w:bCs/>
                <w:color w:val="000000"/>
              </w:rPr>
              <w:t>Informations/Documentation reçues</w:t>
            </w:r>
          </w:p>
        </w:tc>
        <w:tc>
          <w:tcPr>
            <w:tcW w:w="1750" w:type="dxa"/>
            <w:tcBorders>
              <w:top w:val="single" w:sz="4" w:space="0" w:color="auto"/>
              <w:left w:val="nil"/>
              <w:bottom w:val="single" w:sz="4" w:space="0" w:color="auto"/>
              <w:right w:val="single" w:sz="4" w:space="0" w:color="auto"/>
            </w:tcBorders>
            <w:shd w:val="clear" w:color="000000" w:fill="E7E6E6"/>
            <w:noWrap/>
            <w:vAlign w:val="center"/>
            <w:hideMark/>
          </w:tcPr>
          <w:p w14:paraId="71A2CE60" w14:textId="35A764C3" w:rsidR="007562AF" w:rsidRPr="00980957" w:rsidRDefault="00EA0B2E" w:rsidP="00F7200F">
            <w:pPr>
              <w:widowControl/>
              <w:autoSpaceDE/>
              <w:autoSpaceDN/>
              <w:adjustRightInd/>
              <w:jc w:val="center"/>
              <w:rPr>
                <w:rFonts w:ascii="Cambria" w:hAnsi="Cambria"/>
                <w:b/>
                <w:bCs/>
                <w:color w:val="000000"/>
              </w:rPr>
            </w:pPr>
            <w:r w:rsidRPr="00980957">
              <w:rPr>
                <w:rFonts w:ascii="Cambria" w:hAnsi="Cambria"/>
                <w:b/>
                <w:bCs/>
                <w:color w:val="000000"/>
              </w:rPr>
              <w:t>Langue(s)</w:t>
            </w:r>
          </w:p>
        </w:tc>
      </w:tr>
      <w:tr w:rsidR="00AC1426" w:rsidRPr="00980957" w14:paraId="2BCBEB30" w14:textId="77777777" w:rsidTr="00943104">
        <w:tc>
          <w:tcPr>
            <w:tcW w:w="1134" w:type="dxa"/>
            <w:tcBorders>
              <w:top w:val="single" w:sz="4" w:space="0" w:color="auto"/>
              <w:left w:val="single" w:sz="4" w:space="0" w:color="auto"/>
              <w:bottom w:val="single" w:sz="4" w:space="0" w:color="auto"/>
              <w:right w:val="single" w:sz="4" w:space="0" w:color="auto"/>
            </w:tcBorders>
            <w:noWrap/>
            <w:vAlign w:val="center"/>
          </w:tcPr>
          <w:p w14:paraId="127522CE" w14:textId="1C8BA887" w:rsidR="00AC1426" w:rsidRPr="00980957" w:rsidRDefault="00AC1426" w:rsidP="00F7200F">
            <w:pPr>
              <w:widowControl/>
              <w:autoSpaceDE/>
              <w:autoSpaceDN/>
              <w:adjustRightInd/>
              <w:jc w:val="center"/>
              <w:rPr>
                <w:rFonts w:ascii="Cambria" w:hAnsi="Cambria"/>
                <w:color w:val="000000"/>
              </w:rPr>
            </w:pPr>
            <w:r w:rsidRPr="00980957">
              <w:rPr>
                <w:rFonts w:ascii="Cambria" w:hAnsi="Cambria"/>
                <w:color w:val="000000"/>
              </w:rPr>
              <w:t>Albanie</w:t>
            </w:r>
          </w:p>
        </w:tc>
        <w:tc>
          <w:tcPr>
            <w:tcW w:w="7572" w:type="dxa"/>
            <w:tcBorders>
              <w:top w:val="single" w:sz="4" w:space="0" w:color="auto"/>
              <w:left w:val="nil"/>
              <w:bottom w:val="single" w:sz="4" w:space="0" w:color="auto"/>
              <w:right w:val="single" w:sz="4" w:space="0" w:color="auto"/>
            </w:tcBorders>
            <w:noWrap/>
            <w:vAlign w:val="bottom"/>
          </w:tcPr>
          <w:p w14:paraId="2EB9530C" w14:textId="0C2CCC5F" w:rsidR="00C21340" w:rsidRPr="00980957" w:rsidRDefault="009D5B99" w:rsidP="00F7200F">
            <w:pPr>
              <w:widowControl/>
              <w:autoSpaceDE/>
              <w:autoSpaceDN/>
              <w:adjustRightInd/>
              <w:jc w:val="both"/>
              <w:rPr>
                <w:rFonts w:ascii="Cambria" w:hAnsi="Cambria"/>
                <w:color w:val="000000"/>
              </w:rPr>
            </w:pPr>
            <w:r w:rsidRPr="00980957">
              <w:rPr>
                <w:rFonts w:ascii="Cambria" w:hAnsi="Cambria"/>
                <w:color w:val="000000"/>
              </w:rPr>
              <w:t>Arrêté du Ministre de l’agriculture et du développement rural n°140/2025, « </w:t>
            </w:r>
            <w:r w:rsidRPr="00980957">
              <w:rPr>
                <w:rFonts w:ascii="Cambria" w:hAnsi="Cambria"/>
                <w:i/>
                <w:color w:val="000000"/>
              </w:rPr>
              <w:t>En ce qui concerne la mise en œuvre de la Recommandation 24-05 de l’ICCAT amendant la Recommandation 22-08 établissant un plan pluriannuel de gestion du thon rouge dans l’Atlantique Est et la Méditerranée</w:t>
            </w:r>
            <w:r w:rsidRPr="00980957">
              <w:rPr>
                <w:rFonts w:ascii="Cambria" w:hAnsi="Cambria"/>
                <w:color w:val="000000"/>
              </w:rPr>
              <w:t xml:space="preserve"> (Rec. 24-05) ».</w:t>
            </w:r>
          </w:p>
          <w:p w14:paraId="32C4E9EA" w14:textId="4B08E155" w:rsidR="00AC1426" w:rsidRPr="00980957" w:rsidRDefault="009D5B99" w:rsidP="00F7200F">
            <w:pPr>
              <w:widowControl/>
              <w:autoSpaceDE/>
              <w:autoSpaceDN/>
              <w:adjustRightInd/>
              <w:jc w:val="both"/>
              <w:rPr>
                <w:rFonts w:ascii="Cambria" w:hAnsi="Cambria"/>
                <w:color w:val="000000"/>
              </w:rPr>
            </w:pPr>
            <w:r w:rsidRPr="00980957">
              <w:rPr>
                <w:rFonts w:ascii="Cambria" w:hAnsi="Cambria"/>
                <w:color w:val="000000"/>
              </w:rPr>
              <w:br/>
              <w:t>Veuillez noter que l’Arrêté n°140/2025 met intégralement en œuvre la Recommandation 24-05. Le texte traduit de la Recommandation fait partie intégrante de l’Arrêté. Il définit principalement les responsabilités du Département des pêches, de l’Inspection des pêches et des armateurs ou capitaines des navires pour ce qui concerne la mise en œuvre et l’application des mesures énoncées dans la Recommandation.</w:t>
            </w:r>
          </w:p>
        </w:tc>
        <w:tc>
          <w:tcPr>
            <w:tcW w:w="1750" w:type="dxa"/>
            <w:tcBorders>
              <w:top w:val="single" w:sz="4" w:space="0" w:color="auto"/>
              <w:left w:val="nil"/>
              <w:bottom w:val="single" w:sz="4" w:space="0" w:color="auto"/>
              <w:right w:val="single" w:sz="4" w:space="0" w:color="auto"/>
            </w:tcBorders>
            <w:noWrap/>
            <w:vAlign w:val="center"/>
          </w:tcPr>
          <w:p w14:paraId="474E8EDF" w14:textId="446E96D6" w:rsidR="00AC1426" w:rsidRPr="00980957" w:rsidRDefault="0043485B" w:rsidP="00F7200F">
            <w:pPr>
              <w:widowControl/>
              <w:autoSpaceDE/>
              <w:autoSpaceDN/>
              <w:adjustRightInd/>
              <w:jc w:val="center"/>
              <w:rPr>
                <w:rFonts w:ascii="Cambria" w:hAnsi="Cambria"/>
                <w:color w:val="000000"/>
              </w:rPr>
            </w:pPr>
            <w:r>
              <w:rPr>
                <w:rFonts w:ascii="Cambria" w:hAnsi="Cambria"/>
                <w:color w:val="000000"/>
              </w:rPr>
              <w:t>a</w:t>
            </w:r>
            <w:r w:rsidR="00CF5DF2" w:rsidRPr="00980957">
              <w:rPr>
                <w:rFonts w:ascii="Cambria" w:hAnsi="Cambria"/>
                <w:color w:val="000000"/>
              </w:rPr>
              <w:t>nglais/albanais</w:t>
            </w:r>
          </w:p>
        </w:tc>
      </w:tr>
      <w:tr w:rsidR="00EA0B2E" w:rsidRPr="00980957" w14:paraId="7538DD4B" w14:textId="77777777" w:rsidTr="00943104">
        <w:tc>
          <w:tcPr>
            <w:tcW w:w="1134" w:type="dxa"/>
            <w:tcBorders>
              <w:top w:val="nil"/>
              <w:left w:val="single" w:sz="4" w:space="0" w:color="auto"/>
              <w:bottom w:val="single" w:sz="4" w:space="0" w:color="auto"/>
              <w:right w:val="single" w:sz="4" w:space="0" w:color="auto"/>
            </w:tcBorders>
            <w:noWrap/>
            <w:vAlign w:val="center"/>
            <w:hideMark/>
          </w:tcPr>
          <w:p w14:paraId="1DC1B281" w14:textId="72C80F80" w:rsidR="00EA0B2E" w:rsidRPr="00980957" w:rsidRDefault="0015797C" w:rsidP="00F7200F">
            <w:pPr>
              <w:widowControl/>
              <w:autoSpaceDE/>
              <w:autoSpaceDN/>
              <w:adjustRightInd/>
              <w:jc w:val="center"/>
              <w:rPr>
                <w:rFonts w:ascii="Cambria" w:hAnsi="Cambria" w:cs="Calibri"/>
                <w:color w:val="000000"/>
              </w:rPr>
            </w:pPr>
            <w:bookmarkStart w:id="1" w:name="_Hlk174954067"/>
            <w:r w:rsidRPr="00980957">
              <w:rPr>
                <w:rFonts w:ascii="Cambria" w:hAnsi="Cambria"/>
                <w:color w:val="000000"/>
              </w:rPr>
              <w:t>Chine</w:t>
            </w:r>
          </w:p>
        </w:tc>
        <w:tc>
          <w:tcPr>
            <w:tcW w:w="7572" w:type="dxa"/>
            <w:tcBorders>
              <w:top w:val="nil"/>
              <w:left w:val="nil"/>
              <w:bottom w:val="single" w:sz="4" w:space="0" w:color="auto"/>
              <w:right w:val="single" w:sz="4" w:space="0" w:color="auto"/>
            </w:tcBorders>
            <w:noWrap/>
            <w:vAlign w:val="bottom"/>
            <w:hideMark/>
          </w:tcPr>
          <w:p w14:paraId="2AE9B710" w14:textId="43207664" w:rsidR="006F6D88" w:rsidRPr="00980957" w:rsidRDefault="0015797C" w:rsidP="00F7200F">
            <w:pPr>
              <w:jc w:val="both"/>
              <w:rPr>
                <w:rFonts w:ascii="Cambria" w:hAnsi="Cambria" w:cs="Calibri"/>
                <w:color w:val="000000"/>
              </w:rPr>
            </w:pPr>
            <w:r w:rsidRPr="00980957">
              <w:rPr>
                <w:rFonts w:ascii="Cambria" w:hAnsi="Cambria"/>
              </w:rPr>
              <w:t>Principales mesures d’application pour les pêcheries de thonidés de l’Atlantique élaborées par le Bureau des pêches.</w:t>
            </w:r>
          </w:p>
        </w:tc>
        <w:tc>
          <w:tcPr>
            <w:tcW w:w="1750" w:type="dxa"/>
            <w:tcBorders>
              <w:top w:val="nil"/>
              <w:left w:val="nil"/>
              <w:bottom w:val="single" w:sz="4" w:space="0" w:color="auto"/>
              <w:right w:val="single" w:sz="4" w:space="0" w:color="auto"/>
            </w:tcBorders>
            <w:noWrap/>
            <w:vAlign w:val="center"/>
            <w:hideMark/>
          </w:tcPr>
          <w:p w14:paraId="63209D21" w14:textId="565C3D70" w:rsidR="00EA0B2E" w:rsidRPr="00980957" w:rsidRDefault="0043485B" w:rsidP="00F7200F">
            <w:pPr>
              <w:widowControl/>
              <w:autoSpaceDE/>
              <w:autoSpaceDN/>
              <w:adjustRightInd/>
              <w:jc w:val="center"/>
              <w:rPr>
                <w:rFonts w:ascii="Cambria" w:hAnsi="Cambria" w:cs="Calibri"/>
                <w:color w:val="000000"/>
              </w:rPr>
            </w:pPr>
            <w:r>
              <w:rPr>
                <w:rFonts w:ascii="Cambria" w:hAnsi="Cambria"/>
                <w:color w:val="000000"/>
              </w:rPr>
              <w:t>a</w:t>
            </w:r>
            <w:r w:rsidR="00375289" w:rsidRPr="00980957">
              <w:rPr>
                <w:rFonts w:ascii="Cambria" w:hAnsi="Cambria"/>
                <w:color w:val="000000"/>
              </w:rPr>
              <w:t>nglais/chinois</w:t>
            </w:r>
          </w:p>
        </w:tc>
      </w:tr>
      <w:bookmarkEnd w:id="1"/>
      <w:tr w:rsidR="00874AD0" w:rsidRPr="00980957" w14:paraId="69F42F94" w14:textId="77777777" w:rsidTr="00943104">
        <w:tc>
          <w:tcPr>
            <w:tcW w:w="1134" w:type="dxa"/>
            <w:tcBorders>
              <w:top w:val="nil"/>
              <w:left w:val="single" w:sz="4" w:space="0" w:color="auto"/>
              <w:bottom w:val="single" w:sz="4" w:space="0" w:color="auto"/>
              <w:right w:val="single" w:sz="4" w:space="0" w:color="auto"/>
            </w:tcBorders>
            <w:noWrap/>
            <w:vAlign w:val="center"/>
            <w:hideMark/>
          </w:tcPr>
          <w:p w14:paraId="13D245A5" w14:textId="56742549" w:rsidR="00874AD0" w:rsidRPr="00980957" w:rsidRDefault="00874AD0" w:rsidP="00F7200F">
            <w:pPr>
              <w:widowControl/>
              <w:autoSpaceDE/>
              <w:autoSpaceDN/>
              <w:adjustRightInd/>
              <w:jc w:val="center"/>
              <w:rPr>
                <w:rFonts w:ascii="Cambria" w:hAnsi="Cambria" w:cs="Calibri"/>
                <w:color w:val="000000"/>
              </w:rPr>
            </w:pPr>
            <w:r w:rsidRPr="00980957">
              <w:rPr>
                <w:rFonts w:ascii="Cambria" w:hAnsi="Cambria"/>
                <w:color w:val="000000"/>
              </w:rPr>
              <w:t>Taipei chinois</w:t>
            </w:r>
          </w:p>
        </w:tc>
        <w:tc>
          <w:tcPr>
            <w:tcW w:w="7572" w:type="dxa"/>
            <w:tcBorders>
              <w:top w:val="nil"/>
              <w:left w:val="nil"/>
              <w:bottom w:val="single" w:sz="4" w:space="0" w:color="auto"/>
              <w:right w:val="single" w:sz="4" w:space="0" w:color="auto"/>
            </w:tcBorders>
            <w:noWrap/>
            <w:vAlign w:val="bottom"/>
            <w:hideMark/>
          </w:tcPr>
          <w:p w14:paraId="04C68DB5" w14:textId="75447CE7" w:rsidR="00874AD0" w:rsidRPr="00980957" w:rsidRDefault="00121D5C" w:rsidP="00F7200F">
            <w:pPr>
              <w:widowControl/>
              <w:autoSpaceDE/>
              <w:autoSpaceDN/>
              <w:adjustRightInd/>
              <w:jc w:val="both"/>
              <w:rPr>
                <w:rFonts w:ascii="Cambria" w:hAnsi="Cambria" w:cs="Calibri"/>
                <w:color w:val="000000"/>
              </w:rPr>
            </w:pPr>
            <w:r w:rsidRPr="00980957">
              <w:rPr>
                <w:rFonts w:ascii="Cambria" w:hAnsi="Cambria"/>
              </w:rPr>
              <w:t>Règlementations pour les palangriers thoniers se dirigeant vers l’océan Atlantique pour réaliser des opérations de pêche.</w:t>
            </w:r>
          </w:p>
        </w:tc>
        <w:tc>
          <w:tcPr>
            <w:tcW w:w="1750" w:type="dxa"/>
            <w:tcBorders>
              <w:top w:val="nil"/>
              <w:left w:val="nil"/>
              <w:bottom w:val="single" w:sz="4" w:space="0" w:color="auto"/>
              <w:right w:val="single" w:sz="4" w:space="0" w:color="auto"/>
            </w:tcBorders>
            <w:noWrap/>
            <w:vAlign w:val="center"/>
            <w:hideMark/>
          </w:tcPr>
          <w:p w14:paraId="50370629" w14:textId="6ABBD2FE" w:rsidR="00874AD0" w:rsidRPr="00980957" w:rsidRDefault="00874AD0" w:rsidP="00F7200F">
            <w:pPr>
              <w:widowControl/>
              <w:autoSpaceDE/>
              <w:autoSpaceDN/>
              <w:adjustRightInd/>
              <w:jc w:val="center"/>
              <w:rPr>
                <w:rFonts w:ascii="Cambria" w:hAnsi="Cambria" w:cs="Calibri"/>
                <w:color w:val="000000"/>
              </w:rPr>
            </w:pPr>
            <w:r w:rsidRPr="00980957">
              <w:rPr>
                <w:rFonts w:ascii="Cambria" w:hAnsi="Cambria"/>
                <w:color w:val="000000"/>
              </w:rPr>
              <w:t>anglais</w:t>
            </w:r>
          </w:p>
        </w:tc>
      </w:tr>
      <w:tr w:rsidR="00AA5386" w:rsidRPr="00980957" w14:paraId="33D32889" w14:textId="77777777" w:rsidTr="00943104">
        <w:tc>
          <w:tcPr>
            <w:tcW w:w="1134" w:type="dxa"/>
            <w:tcBorders>
              <w:top w:val="nil"/>
              <w:left w:val="single" w:sz="4" w:space="0" w:color="auto"/>
              <w:bottom w:val="single" w:sz="4" w:space="0" w:color="auto"/>
              <w:right w:val="single" w:sz="4" w:space="0" w:color="auto"/>
            </w:tcBorders>
            <w:noWrap/>
            <w:vAlign w:val="center"/>
          </w:tcPr>
          <w:p w14:paraId="218E0070" w14:textId="130C92CB" w:rsidR="00AA5386" w:rsidRPr="00980957" w:rsidRDefault="00AA5386" w:rsidP="00F7200F">
            <w:pPr>
              <w:widowControl/>
              <w:autoSpaceDE/>
              <w:autoSpaceDN/>
              <w:adjustRightInd/>
              <w:jc w:val="center"/>
              <w:rPr>
                <w:rFonts w:ascii="Cambria" w:hAnsi="Cambria" w:cs="Calibri"/>
                <w:color w:val="000000"/>
              </w:rPr>
            </w:pPr>
            <w:r w:rsidRPr="00980957">
              <w:rPr>
                <w:rFonts w:ascii="Cambria" w:hAnsi="Cambria"/>
              </w:rPr>
              <w:t>Union européenne</w:t>
            </w:r>
          </w:p>
        </w:tc>
        <w:tc>
          <w:tcPr>
            <w:tcW w:w="7572" w:type="dxa"/>
            <w:tcBorders>
              <w:top w:val="nil"/>
              <w:left w:val="nil"/>
              <w:bottom w:val="single" w:sz="4" w:space="0" w:color="auto"/>
              <w:right w:val="single" w:sz="4" w:space="0" w:color="auto"/>
            </w:tcBorders>
            <w:noWrap/>
          </w:tcPr>
          <w:p w14:paraId="5FB395DD" w14:textId="72909367" w:rsidR="00AA5386" w:rsidRPr="00980957" w:rsidRDefault="00AA5386" w:rsidP="00F7200F">
            <w:pPr>
              <w:widowControl/>
              <w:autoSpaceDE/>
              <w:autoSpaceDN/>
              <w:adjustRightInd/>
              <w:jc w:val="both"/>
              <w:rPr>
                <w:rFonts w:ascii="Cambria" w:hAnsi="Cambria"/>
              </w:rPr>
            </w:pPr>
            <w:r w:rsidRPr="00980957">
              <w:rPr>
                <w:rFonts w:ascii="Cambria" w:hAnsi="Cambria"/>
              </w:rPr>
              <w:t xml:space="preserve">Résumé de la mise en œuvre par l’UE des recommandations de l’ICCAT relatives au thon rouge, notamment des </w:t>
            </w:r>
            <w:r w:rsidR="006E6ED0">
              <w:rPr>
                <w:rFonts w:ascii="Cambria" w:hAnsi="Cambria"/>
              </w:rPr>
              <w:t>R</w:t>
            </w:r>
            <w:r w:rsidRPr="00980957">
              <w:rPr>
                <w:rFonts w:ascii="Cambria" w:hAnsi="Cambria"/>
              </w:rPr>
              <w:t>ecommandations 24-05 et 25-04 de l’ICCAT. Pour obtenir des exemplaires de la législation actuelle en vigueur, les textes législatifs sont sous forme de liens hypertextes dans les notes de bas de page</w:t>
            </w:r>
            <w:r w:rsidR="00CC297D">
              <w:rPr>
                <w:rFonts w:ascii="Cambria" w:hAnsi="Cambria"/>
              </w:rPr>
              <w:t xml:space="preserve"> </w:t>
            </w:r>
            <w:r w:rsidR="00C90813">
              <w:rPr>
                <w:rFonts w:ascii="Cambria" w:hAnsi="Cambria"/>
              </w:rPr>
              <w:t>à l’</w:t>
            </w:r>
            <w:r w:rsidR="00C90813" w:rsidRPr="00702C98">
              <w:rPr>
                <w:rFonts w:ascii="Cambria" w:hAnsi="Cambria"/>
                <w:b/>
                <w:bCs/>
              </w:rPr>
              <w:t>annex</w:t>
            </w:r>
            <w:r w:rsidR="00C90813">
              <w:rPr>
                <w:rFonts w:ascii="Cambria" w:hAnsi="Cambria"/>
                <w:b/>
                <w:bCs/>
              </w:rPr>
              <w:t>e</w:t>
            </w:r>
            <w:r w:rsidR="00C90813" w:rsidRPr="00702C98">
              <w:rPr>
                <w:rFonts w:ascii="Cambria" w:hAnsi="Cambria"/>
                <w:b/>
                <w:bCs/>
              </w:rPr>
              <w:t xml:space="preserve"> 1</w:t>
            </w:r>
            <w:r w:rsidR="00C90813">
              <w:rPr>
                <w:rFonts w:ascii="Cambria" w:hAnsi="Cambria"/>
              </w:rPr>
              <w:t xml:space="preserve"> du </w:t>
            </w:r>
            <w:r w:rsidR="00C90813" w:rsidRPr="00C90813">
              <w:rPr>
                <w:rFonts w:ascii="Cambria" w:hAnsi="Cambria"/>
              </w:rPr>
              <w:t>PA2_603</w:t>
            </w:r>
            <w:r w:rsidRPr="00980957">
              <w:rPr>
                <w:rFonts w:ascii="Cambria" w:hAnsi="Cambria"/>
              </w:rPr>
              <w:t>.</w:t>
            </w:r>
          </w:p>
        </w:tc>
        <w:tc>
          <w:tcPr>
            <w:tcW w:w="1750" w:type="dxa"/>
            <w:tcBorders>
              <w:top w:val="nil"/>
              <w:left w:val="nil"/>
              <w:bottom w:val="single" w:sz="4" w:space="0" w:color="auto"/>
              <w:right w:val="single" w:sz="4" w:space="0" w:color="auto"/>
            </w:tcBorders>
            <w:noWrap/>
            <w:vAlign w:val="center"/>
          </w:tcPr>
          <w:p w14:paraId="07892813" w14:textId="0CA02EC2" w:rsidR="00AA5386" w:rsidRPr="00980957" w:rsidRDefault="00AA5386" w:rsidP="00F7200F">
            <w:pPr>
              <w:widowControl/>
              <w:autoSpaceDE/>
              <w:autoSpaceDN/>
              <w:adjustRightInd/>
              <w:jc w:val="center"/>
              <w:rPr>
                <w:rFonts w:ascii="Cambria" w:hAnsi="Cambria" w:cs="Calibri"/>
                <w:color w:val="000000"/>
              </w:rPr>
            </w:pPr>
            <w:r w:rsidRPr="00980957">
              <w:rPr>
                <w:rFonts w:ascii="Cambria" w:hAnsi="Cambria"/>
              </w:rPr>
              <w:t>anglais</w:t>
            </w:r>
          </w:p>
        </w:tc>
      </w:tr>
      <w:tr w:rsidR="001E77ED" w:rsidRPr="00980957" w14:paraId="6760E86B" w14:textId="77777777" w:rsidTr="00943104">
        <w:tc>
          <w:tcPr>
            <w:tcW w:w="1134" w:type="dxa"/>
            <w:tcBorders>
              <w:top w:val="nil"/>
              <w:left w:val="single" w:sz="4" w:space="0" w:color="auto"/>
              <w:bottom w:val="single" w:sz="4" w:space="0" w:color="auto"/>
              <w:right w:val="single" w:sz="4" w:space="0" w:color="auto"/>
            </w:tcBorders>
            <w:noWrap/>
          </w:tcPr>
          <w:p w14:paraId="71A3BD96" w14:textId="3222CC63" w:rsidR="001E77ED" w:rsidRPr="00980957" w:rsidRDefault="001E77ED" w:rsidP="00F7200F">
            <w:pPr>
              <w:widowControl/>
              <w:autoSpaceDE/>
              <w:autoSpaceDN/>
              <w:adjustRightInd/>
              <w:jc w:val="center"/>
              <w:rPr>
                <w:rFonts w:ascii="Cambria" w:hAnsi="Cambria"/>
              </w:rPr>
            </w:pPr>
            <w:r w:rsidRPr="00980957">
              <w:rPr>
                <w:rFonts w:ascii="Cambria" w:hAnsi="Cambria"/>
              </w:rPr>
              <w:t>Japon</w:t>
            </w:r>
          </w:p>
        </w:tc>
        <w:tc>
          <w:tcPr>
            <w:tcW w:w="7572" w:type="dxa"/>
            <w:tcBorders>
              <w:top w:val="nil"/>
              <w:left w:val="nil"/>
              <w:bottom w:val="single" w:sz="4" w:space="0" w:color="auto"/>
              <w:right w:val="single" w:sz="4" w:space="0" w:color="auto"/>
            </w:tcBorders>
            <w:noWrap/>
          </w:tcPr>
          <w:p w14:paraId="31AD25B8" w14:textId="7CCD967F" w:rsidR="001E77ED" w:rsidRPr="00980957" w:rsidRDefault="001E77ED" w:rsidP="00F7200F">
            <w:pPr>
              <w:widowControl/>
              <w:autoSpaceDE/>
              <w:autoSpaceDN/>
              <w:adjustRightInd/>
              <w:jc w:val="both"/>
              <w:rPr>
                <w:rFonts w:ascii="Cambria" w:hAnsi="Cambria"/>
              </w:rPr>
            </w:pPr>
            <w:r w:rsidRPr="00980957">
              <w:rPr>
                <w:rFonts w:ascii="Cambria" w:hAnsi="Cambria"/>
              </w:rPr>
              <w:t>Résumé des réglementations applicables et d’autres documents connexes pour la mise en œuvre de la Rec. 25-04 de l’ICCAT. Loi sur la pêche et Ordonnance ministérielle du Ministre de l'agriculture, de la sylviculture et de la pêche</w:t>
            </w:r>
            <w:r w:rsidR="001B769B">
              <w:rPr>
                <w:rFonts w:ascii="Cambria" w:hAnsi="Cambria"/>
              </w:rPr>
              <w:t>.</w:t>
            </w:r>
          </w:p>
        </w:tc>
        <w:tc>
          <w:tcPr>
            <w:tcW w:w="1750" w:type="dxa"/>
            <w:tcBorders>
              <w:top w:val="nil"/>
              <w:left w:val="nil"/>
              <w:bottom w:val="single" w:sz="4" w:space="0" w:color="auto"/>
              <w:right w:val="single" w:sz="4" w:space="0" w:color="auto"/>
            </w:tcBorders>
            <w:noWrap/>
          </w:tcPr>
          <w:p w14:paraId="5A8CD1FE" w14:textId="54036141" w:rsidR="001E77ED" w:rsidRPr="00980957" w:rsidRDefault="001E77ED" w:rsidP="00F7200F">
            <w:pPr>
              <w:widowControl/>
              <w:autoSpaceDE/>
              <w:autoSpaceDN/>
              <w:adjustRightInd/>
              <w:jc w:val="center"/>
              <w:rPr>
                <w:rFonts w:ascii="Cambria" w:hAnsi="Cambria"/>
              </w:rPr>
            </w:pPr>
            <w:r w:rsidRPr="00980957">
              <w:rPr>
                <w:rFonts w:ascii="Cambria" w:hAnsi="Cambria"/>
              </w:rPr>
              <w:t>anglais/japonais</w:t>
            </w:r>
          </w:p>
        </w:tc>
      </w:tr>
      <w:tr w:rsidR="00887922" w:rsidRPr="00980957" w14:paraId="2719202B" w14:textId="77777777" w:rsidTr="00943104">
        <w:tc>
          <w:tcPr>
            <w:tcW w:w="1134" w:type="dxa"/>
            <w:tcBorders>
              <w:top w:val="nil"/>
              <w:left w:val="single" w:sz="4" w:space="0" w:color="auto"/>
              <w:bottom w:val="single" w:sz="4" w:space="0" w:color="auto"/>
              <w:right w:val="single" w:sz="4" w:space="0" w:color="auto"/>
            </w:tcBorders>
            <w:noWrap/>
          </w:tcPr>
          <w:p w14:paraId="58A3390D" w14:textId="007F0BC5" w:rsidR="00887922" w:rsidRPr="00980957" w:rsidRDefault="00887922" w:rsidP="00F7200F">
            <w:pPr>
              <w:widowControl/>
              <w:autoSpaceDE/>
              <w:autoSpaceDN/>
              <w:adjustRightInd/>
              <w:jc w:val="center"/>
              <w:rPr>
                <w:rFonts w:ascii="Cambria" w:hAnsi="Cambria"/>
              </w:rPr>
            </w:pPr>
            <w:r w:rsidRPr="00980957">
              <w:rPr>
                <w:rFonts w:ascii="Cambria" w:hAnsi="Cambria"/>
              </w:rPr>
              <w:t>Corée</w:t>
            </w:r>
          </w:p>
        </w:tc>
        <w:tc>
          <w:tcPr>
            <w:tcW w:w="7572" w:type="dxa"/>
            <w:tcBorders>
              <w:top w:val="nil"/>
              <w:left w:val="nil"/>
              <w:bottom w:val="single" w:sz="4" w:space="0" w:color="auto"/>
              <w:right w:val="single" w:sz="4" w:space="0" w:color="auto"/>
            </w:tcBorders>
            <w:noWrap/>
          </w:tcPr>
          <w:p w14:paraId="08D09964" w14:textId="0CB78E9A" w:rsidR="00887922" w:rsidRPr="00980957" w:rsidRDefault="00887922" w:rsidP="00F7200F">
            <w:pPr>
              <w:widowControl/>
              <w:autoSpaceDE/>
              <w:autoSpaceDN/>
              <w:adjustRightInd/>
              <w:jc w:val="both"/>
              <w:rPr>
                <w:rFonts w:ascii="Cambria" w:hAnsi="Cambria"/>
              </w:rPr>
            </w:pPr>
            <w:r w:rsidRPr="00980957">
              <w:rPr>
                <w:rFonts w:ascii="Cambria" w:hAnsi="Cambria"/>
              </w:rPr>
              <w:t xml:space="preserve">La loi sur le développement des pêches en eaux lointaines qui constitue la base juridique pour s’assurer que les opérateurs coréens de pêche en eaux lointaines respectent les mesures de conservation et de gestion adoptées par </w:t>
            </w:r>
            <w:r w:rsidR="00830948">
              <w:rPr>
                <w:rFonts w:ascii="Cambria" w:hAnsi="Cambria"/>
              </w:rPr>
              <w:t>l</w:t>
            </w:r>
            <w:r w:rsidRPr="00980957">
              <w:rPr>
                <w:rFonts w:ascii="Cambria" w:hAnsi="Cambria"/>
              </w:rPr>
              <w:t>es organisations régionales de gestion des pêches (ORGP), ainsi que les normes internationales applicables pour les pêches en haute mer.</w:t>
            </w:r>
          </w:p>
        </w:tc>
        <w:tc>
          <w:tcPr>
            <w:tcW w:w="1750" w:type="dxa"/>
            <w:tcBorders>
              <w:top w:val="nil"/>
              <w:left w:val="nil"/>
              <w:bottom w:val="single" w:sz="4" w:space="0" w:color="auto"/>
              <w:right w:val="single" w:sz="4" w:space="0" w:color="auto"/>
            </w:tcBorders>
            <w:noWrap/>
          </w:tcPr>
          <w:p w14:paraId="459959DC" w14:textId="08436DCC" w:rsidR="00887922" w:rsidRPr="00980957" w:rsidRDefault="00887922" w:rsidP="00F7200F">
            <w:pPr>
              <w:widowControl/>
              <w:autoSpaceDE/>
              <w:autoSpaceDN/>
              <w:adjustRightInd/>
              <w:jc w:val="center"/>
              <w:rPr>
                <w:rFonts w:ascii="Cambria" w:hAnsi="Cambria"/>
              </w:rPr>
            </w:pPr>
            <w:r w:rsidRPr="00980957">
              <w:rPr>
                <w:rFonts w:ascii="Cambria" w:hAnsi="Cambria"/>
              </w:rPr>
              <w:t>anglais/coréen</w:t>
            </w:r>
          </w:p>
        </w:tc>
      </w:tr>
      <w:tr w:rsidR="00B833E7" w:rsidRPr="00980957" w14:paraId="203A2B3A" w14:textId="77777777" w:rsidTr="00943104">
        <w:tc>
          <w:tcPr>
            <w:tcW w:w="1134" w:type="dxa"/>
            <w:tcBorders>
              <w:top w:val="nil"/>
              <w:left w:val="single" w:sz="4" w:space="0" w:color="auto"/>
              <w:bottom w:val="single" w:sz="4" w:space="0" w:color="auto"/>
              <w:right w:val="single" w:sz="4" w:space="0" w:color="auto"/>
            </w:tcBorders>
            <w:noWrap/>
          </w:tcPr>
          <w:p w14:paraId="6D1442C2" w14:textId="3B017998" w:rsidR="00B833E7" w:rsidRPr="00980957" w:rsidRDefault="00B833E7" w:rsidP="00F7200F">
            <w:pPr>
              <w:widowControl/>
              <w:autoSpaceDE/>
              <w:autoSpaceDN/>
              <w:adjustRightInd/>
              <w:jc w:val="center"/>
              <w:rPr>
                <w:rFonts w:ascii="Cambria" w:hAnsi="Cambria"/>
              </w:rPr>
            </w:pPr>
            <w:r w:rsidRPr="00980957">
              <w:rPr>
                <w:rFonts w:ascii="Cambria" w:hAnsi="Cambria"/>
              </w:rPr>
              <w:t>Maroc</w:t>
            </w:r>
          </w:p>
        </w:tc>
        <w:tc>
          <w:tcPr>
            <w:tcW w:w="7572" w:type="dxa"/>
            <w:tcBorders>
              <w:top w:val="nil"/>
              <w:left w:val="nil"/>
              <w:bottom w:val="single" w:sz="4" w:space="0" w:color="auto"/>
              <w:right w:val="single" w:sz="4" w:space="0" w:color="auto"/>
            </w:tcBorders>
            <w:noWrap/>
          </w:tcPr>
          <w:p w14:paraId="3D51F41A" w14:textId="1D480B7D" w:rsidR="00B833E7" w:rsidRPr="00980957" w:rsidRDefault="00B833E7" w:rsidP="00F7200F">
            <w:pPr>
              <w:widowControl/>
              <w:autoSpaceDE/>
              <w:autoSpaceDN/>
              <w:adjustRightInd/>
              <w:jc w:val="both"/>
              <w:rPr>
                <w:rFonts w:ascii="Cambria" w:hAnsi="Cambria"/>
              </w:rPr>
            </w:pPr>
            <w:r w:rsidRPr="00980957">
              <w:rPr>
                <w:rFonts w:ascii="Cambria" w:hAnsi="Cambria"/>
              </w:rPr>
              <w:t>Réglementations et documents connexes adoptés pour la mise en œuvre de la Rec. ICCAT 24-05.</w:t>
            </w:r>
          </w:p>
        </w:tc>
        <w:tc>
          <w:tcPr>
            <w:tcW w:w="1750" w:type="dxa"/>
            <w:tcBorders>
              <w:top w:val="nil"/>
              <w:left w:val="nil"/>
              <w:bottom w:val="single" w:sz="4" w:space="0" w:color="auto"/>
              <w:right w:val="single" w:sz="4" w:space="0" w:color="auto"/>
            </w:tcBorders>
            <w:noWrap/>
          </w:tcPr>
          <w:p w14:paraId="0C0E6B61" w14:textId="7035BBCC" w:rsidR="00B833E7" w:rsidRPr="00980957" w:rsidRDefault="0043485B" w:rsidP="00F7200F">
            <w:pPr>
              <w:widowControl/>
              <w:autoSpaceDE/>
              <w:autoSpaceDN/>
              <w:adjustRightInd/>
              <w:jc w:val="center"/>
              <w:rPr>
                <w:rFonts w:ascii="Cambria" w:hAnsi="Cambria"/>
              </w:rPr>
            </w:pPr>
            <w:r>
              <w:rPr>
                <w:rFonts w:ascii="Cambria" w:hAnsi="Cambria"/>
              </w:rPr>
              <w:t>f</w:t>
            </w:r>
            <w:r w:rsidR="00B833E7" w:rsidRPr="00980957">
              <w:rPr>
                <w:rFonts w:ascii="Cambria" w:hAnsi="Cambria"/>
              </w:rPr>
              <w:t>rançais</w:t>
            </w:r>
          </w:p>
        </w:tc>
      </w:tr>
      <w:tr w:rsidR="00BC273A" w:rsidRPr="00980957" w14:paraId="1418D3A3" w14:textId="77777777" w:rsidTr="00D27D1F">
        <w:tc>
          <w:tcPr>
            <w:tcW w:w="1134" w:type="dxa"/>
            <w:tcBorders>
              <w:top w:val="nil"/>
              <w:left w:val="single" w:sz="4" w:space="0" w:color="auto"/>
              <w:bottom w:val="single" w:sz="4" w:space="0" w:color="auto"/>
              <w:right w:val="single" w:sz="4" w:space="0" w:color="auto"/>
            </w:tcBorders>
            <w:noWrap/>
          </w:tcPr>
          <w:p w14:paraId="55483201" w14:textId="1B330988" w:rsidR="00BC273A" w:rsidRPr="00980957" w:rsidRDefault="00BC273A" w:rsidP="00F7200F">
            <w:pPr>
              <w:widowControl/>
              <w:autoSpaceDE/>
              <w:autoSpaceDN/>
              <w:adjustRightInd/>
              <w:jc w:val="center"/>
              <w:rPr>
                <w:rFonts w:ascii="Cambria" w:hAnsi="Cambria"/>
              </w:rPr>
            </w:pPr>
            <w:r w:rsidRPr="00980957">
              <w:rPr>
                <w:rFonts w:ascii="Cambria" w:hAnsi="Cambria"/>
              </w:rPr>
              <w:t>Norvège</w:t>
            </w:r>
          </w:p>
        </w:tc>
        <w:tc>
          <w:tcPr>
            <w:tcW w:w="7572" w:type="dxa"/>
            <w:tcBorders>
              <w:top w:val="nil"/>
              <w:left w:val="nil"/>
              <w:bottom w:val="single" w:sz="4" w:space="0" w:color="auto"/>
              <w:right w:val="single" w:sz="4" w:space="0" w:color="auto"/>
            </w:tcBorders>
            <w:noWrap/>
          </w:tcPr>
          <w:p w14:paraId="4DB33ECF" w14:textId="07A4C8D9" w:rsidR="00BC273A" w:rsidRPr="00980957" w:rsidRDefault="00BC273A" w:rsidP="00F7200F">
            <w:pPr>
              <w:widowControl/>
              <w:autoSpaceDE/>
              <w:autoSpaceDN/>
              <w:adjustRightInd/>
              <w:jc w:val="both"/>
              <w:rPr>
                <w:rFonts w:ascii="Cambria" w:hAnsi="Cambria"/>
              </w:rPr>
            </w:pPr>
            <w:r w:rsidRPr="00980957">
              <w:rPr>
                <w:rFonts w:ascii="Cambria" w:hAnsi="Cambria"/>
              </w:rPr>
              <w:t xml:space="preserve">Rapport sur la mise en œuvre de la Rec. 24-05. Toutes les </w:t>
            </w:r>
            <w:r w:rsidRPr="006F2257">
              <w:rPr>
                <w:rFonts w:ascii="Cambria" w:hAnsi="Cambria"/>
              </w:rPr>
              <w:t xml:space="preserve">réglementations </w:t>
            </w:r>
            <w:r w:rsidR="00F854AB" w:rsidRPr="006F2257">
              <w:rPr>
                <w:rFonts w:ascii="Cambria" w:hAnsi="Cambria"/>
              </w:rPr>
              <w:t>sont</w:t>
            </w:r>
            <w:r w:rsidR="00F854AB">
              <w:rPr>
                <w:rFonts w:ascii="Cambria" w:hAnsi="Cambria"/>
              </w:rPr>
              <w:t xml:space="preserve"> </w:t>
            </w:r>
            <w:r w:rsidRPr="00980957">
              <w:rPr>
                <w:rFonts w:ascii="Cambria" w:hAnsi="Cambria"/>
              </w:rPr>
              <w:t>mentionnées dans le rapport.</w:t>
            </w:r>
          </w:p>
        </w:tc>
        <w:tc>
          <w:tcPr>
            <w:tcW w:w="1750" w:type="dxa"/>
            <w:tcBorders>
              <w:top w:val="nil"/>
              <w:left w:val="nil"/>
              <w:bottom w:val="single" w:sz="4" w:space="0" w:color="auto"/>
              <w:right w:val="single" w:sz="4" w:space="0" w:color="auto"/>
            </w:tcBorders>
            <w:noWrap/>
          </w:tcPr>
          <w:p w14:paraId="707D5AFF" w14:textId="4F01EDB7" w:rsidR="00BC273A" w:rsidRPr="00980957" w:rsidRDefault="00BC273A" w:rsidP="00F7200F">
            <w:pPr>
              <w:widowControl/>
              <w:autoSpaceDE/>
              <w:autoSpaceDN/>
              <w:adjustRightInd/>
              <w:jc w:val="center"/>
              <w:rPr>
                <w:rFonts w:ascii="Cambria" w:hAnsi="Cambria"/>
              </w:rPr>
            </w:pPr>
            <w:r w:rsidRPr="00980957">
              <w:rPr>
                <w:rFonts w:ascii="Cambria" w:hAnsi="Cambria"/>
              </w:rPr>
              <w:t>anglais/norvégien</w:t>
            </w:r>
          </w:p>
        </w:tc>
      </w:tr>
      <w:tr w:rsidR="00874AD0" w:rsidRPr="00980957" w14:paraId="700C7034" w14:textId="77777777" w:rsidTr="00D27D1F">
        <w:tc>
          <w:tcPr>
            <w:tcW w:w="1134" w:type="dxa"/>
            <w:tcBorders>
              <w:top w:val="single" w:sz="4" w:space="0" w:color="auto"/>
              <w:left w:val="single" w:sz="4" w:space="0" w:color="auto"/>
              <w:bottom w:val="single" w:sz="4" w:space="0" w:color="auto"/>
              <w:right w:val="single" w:sz="4" w:space="0" w:color="auto"/>
            </w:tcBorders>
            <w:noWrap/>
            <w:vAlign w:val="center"/>
            <w:hideMark/>
          </w:tcPr>
          <w:p w14:paraId="57D2350E" w14:textId="2A3C8F74" w:rsidR="00874AD0" w:rsidRPr="00980957" w:rsidRDefault="00121D5C" w:rsidP="00F7200F">
            <w:pPr>
              <w:widowControl/>
              <w:autoSpaceDE/>
              <w:autoSpaceDN/>
              <w:adjustRightInd/>
              <w:jc w:val="center"/>
              <w:rPr>
                <w:rFonts w:ascii="Cambria" w:hAnsi="Cambria" w:cs="Calibri"/>
                <w:color w:val="000000"/>
              </w:rPr>
            </w:pPr>
            <w:r w:rsidRPr="00980957">
              <w:rPr>
                <w:rFonts w:ascii="Cambria" w:hAnsi="Cambria"/>
                <w:color w:val="000000"/>
              </w:rPr>
              <w:t>Panama</w:t>
            </w:r>
          </w:p>
        </w:tc>
        <w:tc>
          <w:tcPr>
            <w:tcW w:w="7572" w:type="dxa"/>
            <w:tcBorders>
              <w:top w:val="single" w:sz="4" w:space="0" w:color="auto"/>
              <w:left w:val="nil"/>
              <w:bottom w:val="single" w:sz="4" w:space="0" w:color="auto"/>
              <w:right w:val="single" w:sz="4" w:space="0" w:color="auto"/>
            </w:tcBorders>
            <w:noWrap/>
            <w:vAlign w:val="bottom"/>
            <w:hideMark/>
          </w:tcPr>
          <w:p w14:paraId="63CD7BF1" w14:textId="0377E550" w:rsidR="00874AD0" w:rsidRPr="00980957" w:rsidRDefault="00121D5C" w:rsidP="00F7200F">
            <w:pPr>
              <w:widowControl/>
              <w:autoSpaceDE/>
              <w:autoSpaceDN/>
              <w:adjustRightInd/>
              <w:jc w:val="both"/>
              <w:rPr>
                <w:rFonts w:ascii="Cambria" w:hAnsi="Cambria" w:cs="Calibri"/>
                <w:color w:val="000000"/>
              </w:rPr>
            </w:pPr>
            <w:r w:rsidRPr="00980957">
              <w:rPr>
                <w:rFonts w:ascii="Cambria" w:hAnsi="Cambria"/>
                <w:color w:val="000000"/>
              </w:rPr>
              <w:t>Dispositions réglementaires adoptées au niveau national pour la mise en œuvre du plan de gestion pluriannuel du thon rouge de l’Atlantique Est et de la Méditerranée (Recommandation 24-05) :</w:t>
            </w:r>
          </w:p>
          <w:p w14:paraId="3CFF2F1F" w14:textId="77777777" w:rsidR="008F6158" w:rsidRPr="00980957" w:rsidRDefault="008F6158" w:rsidP="00F7200F">
            <w:pPr>
              <w:widowControl/>
              <w:autoSpaceDE/>
              <w:autoSpaceDN/>
              <w:adjustRightInd/>
              <w:jc w:val="both"/>
              <w:rPr>
                <w:rFonts w:ascii="Cambria" w:hAnsi="Cambria" w:cs="Calibri"/>
                <w:color w:val="000000"/>
                <w:lang w:eastAsia="en-GB"/>
              </w:rPr>
            </w:pPr>
          </w:p>
          <w:p w14:paraId="2DC89A51" w14:textId="4AEC6383" w:rsidR="00121D5C" w:rsidRPr="00980957" w:rsidRDefault="00121D5C" w:rsidP="00F7200F">
            <w:pPr>
              <w:pStyle w:val="Paragraphedeliste"/>
              <w:widowControl/>
              <w:numPr>
                <w:ilvl w:val="0"/>
                <w:numId w:val="2"/>
              </w:numPr>
              <w:autoSpaceDE/>
              <w:autoSpaceDN/>
              <w:adjustRightInd/>
              <w:jc w:val="both"/>
              <w:rPr>
                <w:rFonts w:ascii="Cambria" w:hAnsi="Cambria" w:cs="Calibri"/>
                <w:color w:val="000000"/>
              </w:rPr>
            </w:pPr>
            <w:r w:rsidRPr="00980957">
              <w:rPr>
                <w:rFonts w:ascii="Cambria" w:hAnsi="Cambria"/>
                <w:color w:val="000000"/>
              </w:rPr>
              <w:t>Résolution ADM/ARAP n°006 (du 4 février 2026) « adoptant et mettant en œuvre des mesures de conservation et de gestion du thon rouge de l'Atlantique Est et de la Méditerranée (</w:t>
            </w:r>
            <w:r w:rsidRPr="00980957">
              <w:rPr>
                <w:rFonts w:ascii="Cambria" w:hAnsi="Cambria"/>
                <w:i/>
                <w:color w:val="000000"/>
              </w:rPr>
              <w:t>Thunnus thynnus</w:t>
            </w:r>
            <w:r w:rsidRPr="00980957">
              <w:rPr>
                <w:rFonts w:ascii="Cambria" w:hAnsi="Cambria"/>
                <w:color w:val="000000"/>
              </w:rPr>
              <w:t>) dans la République du Panama, conformément aux recommandations de l’ICCAT pour 2026 et les années suivantes », publiée au Journal officiel numérique n°30462-A.</w:t>
            </w:r>
          </w:p>
          <w:p w14:paraId="06928A23" w14:textId="3062C684" w:rsidR="00121D5C" w:rsidRPr="00980957" w:rsidRDefault="008F6158" w:rsidP="00D27D1F">
            <w:pPr>
              <w:pStyle w:val="Paragraphedeliste"/>
              <w:widowControl/>
              <w:numPr>
                <w:ilvl w:val="0"/>
                <w:numId w:val="2"/>
              </w:numPr>
              <w:autoSpaceDE/>
              <w:autoSpaceDN/>
              <w:adjustRightInd/>
              <w:jc w:val="both"/>
              <w:rPr>
                <w:rFonts w:ascii="Cambria" w:hAnsi="Cambria" w:cs="Calibri"/>
                <w:color w:val="000000"/>
              </w:rPr>
            </w:pPr>
            <w:r w:rsidRPr="00980957">
              <w:rPr>
                <w:rFonts w:ascii="Cambria" w:hAnsi="Cambria"/>
                <w:color w:val="000000"/>
              </w:rPr>
              <w:t xml:space="preserve">Résolution ADM/ARAP n°008 du 5 février 2026 « réglementant l'utilisation, l'exploitation et le transfert du quota de cinquante-cinq (55) tonnes de thon </w:t>
            </w:r>
            <w:r w:rsidRPr="00980957">
              <w:rPr>
                <w:rFonts w:ascii="Cambria" w:hAnsi="Cambria"/>
                <w:color w:val="000000"/>
              </w:rPr>
              <w:lastRenderedPageBreak/>
              <w:t>rouge de l'Atlantique attribué à la République du Panama dans le cadre de l'ICCAT », publiée au Journal officiel numérique n°30463.</w:t>
            </w:r>
          </w:p>
          <w:p w14:paraId="619A408B" w14:textId="77777777" w:rsidR="008F6158" w:rsidRPr="00980957" w:rsidRDefault="008F6158" w:rsidP="00D27D1F">
            <w:pPr>
              <w:pStyle w:val="Paragraphedeliste"/>
              <w:widowControl/>
              <w:autoSpaceDE/>
              <w:autoSpaceDN/>
              <w:adjustRightInd/>
              <w:jc w:val="both"/>
              <w:rPr>
                <w:rFonts w:ascii="Cambria" w:hAnsi="Cambria" w:cs="Calibri"/>
                <w:color w:val="000000"/>
              </w:rPr>
            </w:pPr>
          </w:p>
          <w:p w14:paraId="364A3054" w14:textId="24E496F9" w:rsidR="008F6158" w:rsidRPr="00980957" w:rsidRDefault="008F6158" w:rsidP="00F7200F">
            <w:pPr>
              <w:widowControl/>
              <w:autoSpaceDE/>
              <w:autoSpaceDN/>
              <w:adjustRightInd/>
              <w:jc w:val="both"/>
              <w:rPr>
                <w:rFonts w:ascii="Cambria" w:hAnsi="Cambria" w:cs="Calibri"/>
                <w:color w:val="000000"/>
              </w:rPr>
            </w:pPr>
            <w:r w:rsidRPr="00980957">
              <w:rPr>
                <w:rFonts w:ascii="Cambria" w:hAnsi="Cambria"/>
                <w:color w:val="000000"/>
              </w:rPr>
              <w:t>À travers ces résolutions, le Panama établit le cadre juridique interne qui règlemente, entre autres, l’allocation, le contrôle, la documentation, le suivi, le transfert et le respect du quota national de thon rouge, ainsi que les obligations relatives aux débarquements, aux transbordements, aux observateurs, au VMS et à la documentation électronique des captures (eBCD), conformément à la Recommandation 24-05.</w:t>
            </w:r>
          </w:p>
        </w:tc>
        <w:tc>
          <w:tcPr>
            <w:tcW w:w="1750" w:type="dxa"/>
            <w:tcBorders>
              <w:top w:val="single" w:sz="4" w:space="0" w:color="auto"/>
              <w:left w:val="nil"/>
              <w:bottom w:val="single" w:sz="4" w:space="0" w:color="auto"/>
              <w:right w:val="single" w:sz="4" w:space="0" w:color="auto"/>
            </w:tcBorders>
            <w:noWrap/>
            <w:vAlign w:val="center"/>
            <w:hideMark/>
          </w:tcPr>
          <w:p w14:paraId="572CE2FA" w14:textId="39200B1B" w:rsidR="00874AD0" w:rsidRPr="00980957" w:rsidRDefault="0043485B" w:rsidP="00F7200F">
            <w:pPr>
              <w:widowControl/>
              <w:autoSpaceDE/>
              <w:autoSpaceDN/>
              <w:adjustRightInd/>
              <w:jc w:val="center"/>
              <w:rPr>
                <w:rFonts w:ascii="Cambria" w:hAnsi="Cambria" w:cs="Calibri"/>
                <w:color w:val="000000"/>
              </w:rPr>
            </w:pPr>
            <w:r>
              <w:rPr>
                <w:rFonts w:ascii="Cambria" w:hAnsi="Cambria"/>
                <w:color w:val="000000"/>
              </w:rPr>
              <w:lastRenderedPageBreak/>
              <w:t>e</w:t>
            </w:r>
            <w:r w:rsidR="008F6158" w:rsidRPr="00980957">
              <w:rPr>
                <w:rFonts w:ascii="Cambria" w:hAnsi="Cambria"/>
                <w:color w:val="000000"/>
              </w:rPr>
              <w:t>spagnol</w:t>
            </w:r>
          </w:p>
        </w:tc>
      </w:tr>
      <w:tr w:rsidR="00874AD0" w:rsidRPr="00980957" w14:paraId="3E453705" w14:textId="77777777" w:rsidTr="00D27D1F">
        <w:tc>
          <w:tcPr>
            <w:tcW w:w="1134" w:type="dxa"/>
            <w:tcBorders>
              <w:top w:val="single" w:sz="4" w:space="0" w:color="auto"/>
              <w:left w:val="single" w:sz="4" w:space="0" w:color="auto"/>
              <w:bottom w:val="single" w:sz="4" w:space="0" w:color="auto"/>
              <w:right w:val="single" w:sz="4" w:space="0" w:color="auto"/>
            </w:tcBorders>
            <w:noWrap/>
            <w:vAlign w:val="center"/>
          </w:tcPr>
          <w:p w14:paraId="4A387613" w14:textId="321E17E9" w:rsidR="00874AD0" w:rsidRPr="00980957" w:rsidRDefault="00DF16C9" w:rsidP="00F7200F">
            <w:pPr>
              <w:widowControl/>
              <w:autoSpaceDE/>
              <w:autoSpaceDN/>
              <w:adjustRightInd/>
              <w:jc w:val="center"/>
              <w:rPr>
                <w:rFonts w:ascii="Cambria" w:hAnsi="Cambria" w:cs="Calibri"/>
                <w:color w:val="000000"/>
              </w:rPr>
            </w:pPr>
            <w:r w:rsidRPr="00980957">
              <w:rPr>
                <w:rFonts w:ascii="Cambria" w:hAnsi="Cambria"/>
                <w:color w:val="000000"/>
              </w:rPr>
              <w:t>Sénégal</w:t>
            </w:r>
          </w:p>
        </w:tc>
        <w:tc>
          <w:tcPr>
            <w:tcW w:w="7572" w:type="dxa"/>
            <w:tcBorders>
              <w:top w:val="single" w:sz="4" w:space="0" w:color="auto"/>
              <w:left w:val="nil"/>
              <w:bottom w:val="single" w:sz="4" w:space="0" w:color="auto"/>
              <w:right w:val="single" w:sz="4" w:space="0" w:color="auto"/>
            </w:tcBorders>
            <w:noWrap/>
          </w:tcPr>
          <w:p w14:paraId="73169708" w14:textId="280EBF78" w:rsidR="00874AD0" w:rsidRPr="00980957" w:rsidRDefault="008F6158" w:rsidP="00F7200F">
            <w:pPr>
              <w:widowControl/>
              <w:autoSpaceDE/>
              <w:autoSpaceDN/>
              <w:adjustRightInd/>
              <w:jc w:val="both"/>
              <w:rPr>
                <w:rFonts w:ascii="Cambria" w:hAnsi="Cambria" w:cs="Calibri"/>
                <w:color w:val="000000"/>
              </w:rPr>
            </w:pPr>
            <w:r w:rsidRPr="00980957">
              <w:rPr>
                <w:rFonts w:ascii="Cambria" w:hAnsi="Cambria"/>
              </w:rPr>
              <w:t>Mesures de gestion du thon rouge pour les navires battant pavillon sénégalais.</w:t>
            </w:r>
          </w:p>
        </w:tc>
        <w:tc>
          <w:tcPr>
            <w:tcW w:w="1750" w:type="dxa"/>
            <w:tcBorders>
              <w:top w:val="single" w:sz="4" w:space="0" w:color="auto"/>
              <w:left w:val="nil"/>
              <w:bottom w:val="single" w:sz="4" w:space="0" w:color="auto"/>
              <w:right w:val="single" w:sz="4" w:space="0" w:color="auto"/>
            </w:tcBorders>
            <w:noWrap/>
            <w:vAlign w:val="center"/>
          </w:tcPr>
          <w:p w14:paraId="44AD0FD5" w14:textId="2A82DAFC" w:rsidR="00874AD0" w:rsidRPr="00980957" w:rsidRDefault="0043485B" w:rsidP="00F7200F">
            <w:pPr>
              <w:widowControl/>
              <w:autoSpaceDE/>
              <w:autoSpaceDN/>
              <w:adjustRightInd/>
              <w:jc w:val="center"/>
              <w:rPr>
                <w:rFonts w:ascii="Cambria" w:hAnsi="Cambria" w:cs="Calibri"/>
                <w:color w:val="000000"/>
              </w:rPr>
            </w:pPr>
            <w:r>
              <w:rPr>
                <w:rFonts w:ascii="Cambria" w:hAnsi="Cambria"/>
              </w:rPr>
              <w:t>f</w:t>
            </w:r>
            <w:r w:rsidR="008F6158" w:rsidRPr="00980957">
              <w:rPr>
                <w:rFonts w:ascii="Cambria" w:hAnsi="Cambria"/>
              </w:rPr>
              <w:t>rançais</w:t>
            </w:r>
          </w:p>
        </w:tc>
      </w:tr>
      <w:tr w:rsidR="002A0650" w:rsidRPr="00980957" w14:paraId="4DFC1748" w14:textId="77777777" w:rsidTr="00943104">
        <w:tc>
          <w:tcPr>
            <w:tcW w:w="1134" w:type="dxa"/>
            <w:tcBorders>
              <w:top w:val="single" w:sz="4" w:space="0" w:color="auto"/>
              <w:left w:val="single" w:sz="4" w:space="0" w:color="auto"/>
              <w:bottom w:val="single" w:sz="4" w:space="0" w:color="auto"/>
              <w:right w:val="single" w:sz="4" w:space="0" w:color="auto"/>
            </w:tcBorders>
            <w:noWrap/>
            <w:vAlign w:val="center"/>
          </w:tcPr>
          <w:p w14:paraId="053675F1" w14:textId="5DD28D9F" w:rsidR="002A0650" w:rsidRPr="00980957" w:rsidRDefault="002A0650" w:rsidP="00F7200F">
            <w:pPr>
              <w:widowControl/>
              <w:autoSpaceDE/>
              <w:autoSpaceDN/>
              <w:adjustRightInd/>
              <w:jc w:val="center"/>
              <w:rPr>
                <w:rFonts w:ascii="Cambria" w:hAnsi="Cambria" w:cs="Calibri"/>
                <w:color w:val="000000"/>
              </w:rPr>
            </w:pPr>
            <w:r w:rsidRPr="00980957">
              <w:rPr>
                <w:rFonts w:ascii="Cambria" w:hAnsi="Cambria"/>
                <w:color w:val="000000"/>
              </w:rPr>
              <w:t>Tunisie</w:t>
            </w:r>
          </w:p>
        </w:tc>
        <w:tc>
          <w:tcPr>
            <w:tcW w:w="7572" w:type="dxa"/>
            <w:tcBorders>
              <w:top w:val="single" w:sz="4" w:space="0" w:color="auto"/>
              <w:left w:val="nil"/>
              <w:bottom w:val="single" w:sz="4" w:space="0" w:color="auto"/>
              <w:right w:val="single" w:sz="4" w:space="0" w:color="auto"/>
            </w:tcBorders>
            <w:noWrap/>
          </w:tcPr>
          <w:p w14:paraId="15574045" w14:textId="067E6139" w:rsidR="002A0650" w:rsidRPr="00980957" w:rsidRDefault="002A0650" w:rsidP="00F7200F">
            <w:pPr>
              <w:widowControl/>
              <w:autoSpaceDE/>
              <w:autoSpaceDN/>
              <w:adjustRightInd/>
              <w:jc w:val="both"/>
              <w:rPr>
                <w:rFonts w:ascii="Cambria" w:hAnsi="Cambria"/>
              </w:rPr>
            </w:pPr>
            <w:r w:rsidRPr="00980957">
              <w:rPr>
                <w:rFonts w:ascii="Cambria" w:hAnsi="Cambria"/>
              </w:rPr>
              <w:t>Arrêté du ministre de l’agriculture, des ressources hydrauliques et de la pêche maritime du 7 avril 2025, relatif à l'organisation de la pêche et de l’engraissement du thon rouge.</w:t>
            </w:r>
          </w:p>
        </w:tc>
        <w:tc>
          <w:tcPr>
            <w:tcW w:w="1750" w:type="dxa"/>
            <w:tcBorders>
              <w:top w:val="single" w:sz="4" w:space="0" w:color="auto"/>
              <w:left w:val="nil"/>
              <w:bottom w:val="single" w:sz="4" w:space="0" w:color="auto"/>
              <w:right w:val="single" w:sz="4" w:space="0" w:color="auto"/>
            </w:tcBorders>
            <w:noWrap/>
            <w:vAlign w:val="center"/>
          </w:tcPr>
          <w:p w14:paraId="4F4966DD" w14:textId="20AA0414" w:rsidR="002A0650" w:rsidRPr="00980957" w:rsidRDefault="0043485B" w:rsidP="00F7200F">
            <w:pPr>
              <w:widowControl/>
              <w:autoSpaceDE/>
              <w:autoSpaceDN/>
              <w:adjustRightInd/>
              <w:jc w:val="center"/>
              <w:rPr>
                <w:rFonts w:ascii="Cambria" w:hAnsi="Cambria"/>
              </w:rPr>
            </w:pPr>
            <w:r>
              <w:rPr>
                <w:rFonts w:ascii="Cambria" w:hAnsi="Cambria"/>
              </w:rPr>
              <w:t>f</w:t>
            </w:r>
            <w:r w:rsidR="002A0650" w:rsidRPr="00980957">
              <w:rPr>
                <w:rFonts w:ascii="Cambria" w:hAnsi="Cambria"/>
              </w:rPr>
              <w:t>rançais</w:t>
            </w:r>
          </w:p>
        </w:tc>
      </w:tr>
      <w:tr w:rsidR="00A05D76" w:rsidRPr="00980957" w14:paraId="4D707B13" w14:textId="77777777" w:rsidTr="00943104">
        <w:tc>
          <w:tcPr>
            <w:tcW w:w="1134" w:type="dxa"/>
            <w:tcBorders>
              <w:top w:val="single" w:sz="4" w:space="0" w:color="auto"/>
              <w:left w:val="single" w:sz="4" w:space="0" w:color="auto"/>
              <w:bottom w:val="single" w:sz="4" w:space="0" w:color="auto"/>
              <w:right w:val="single" w:sz="4" w:space="0" w:color="auto"/>
            </w:tcBorders>
            <w:noWrap/>
          </w:tcPr>
          <w:p w14:paraId="33299002" w14:textId="621EBCB2" w:rsidR="00A05D76" w:rsidRPr="00980957" w:rsidRDefault="00A05D76" w:rsidP="00F7200F">
            <w:pPr>
              <w:widowControl/>
              <w:autoSpaceDE/>
              <w:autoSpaceDN/>
              <w:adjustRightInd/>
              <w:jc w:val="center"/>
              <w:rPr>
                <w:rFonts w:ascii="Cambria" w:hAnsi="Cambria" w:cs="Calibri"/>
                <w:color w:val="000000"/>
              </w:rPr>
            </w:pPr>
            <w:r w:rsidRPr="00980957">
              <w:rPr>
                <w:rFonts w:ascii="Cambria" w:hAnsi="Cambria"/>
              </w:rPr>
              <w:t>Türkiye</w:t>
            </w:r>
          </w:p>
        </w:tc>
        <w:tc>
          <w:tcPr>
            <w:tcW w:w="7572" w:type="dxa"/>
            <w:tcBorders>
              <w:top w:val="single" w:sz="4" w:space="0" w:color="auto"/>
              <w:left w:val="nil"/>
              <w:bottom w:val="single" w:sz="4" w:space="0" w:color="auto"/>
              <w:right w:val="single" w:sz="4" w:space="0" w:color="auto"/>
            </w:tcBorders>
            <w:noWrap/>
          </w:tcPr>
          <w:p w14:paraId="5C86694D" w14:textId="29DE7F0F" w:rsidR="00A05D76" w:rsidRPr="00980957" w:rsidRDefault="00A05D76" w:rsidP="00F7200F">
            <w:pPr>
              <w:widowControl/>
              <w:autoSpaceDE/>
              <w:autoSpaceDN/>
              <w:adjustRightInd/>
              <w:jc w:val="both"/>
              <w:rPr>
                <w:rFonts w:ascii="Cambria" w:hAnsi="Cambria"/>
              </w:rPr>
            </w:pPr>
            <w:r w:rsidRPr="00980957">
              <w:rPr>
                <w:rFonts w:ascii="Cambria" w:hAnsi="Cambria"/>
              </w:rPr>
              <w:t>Résumé des réglementations applicables et d’autres documents connexes pour la mise en œuvre de la Rec. 24-05 de l’ICCAT. Communiqué ministériel de 2025 relatif aux demandes des navires de pêche de capturer du thon rouge (BFT) ; capture, transport, élevage, exportation et importation de BFT.</w:t>
            </w:r>
          </w:p>
        </w:tc>
        <w:tc>
          <w:tcPr>
            <w:tcW w:w="1750" w:type="dxa"/>
            <w:tcBorders>
              <w:top w:val="single" w:sz="4" w:space="0" w:color="auto"/>
              <w:left w:val="nil"/>
              <w:bottom w:val="single" w:sz="4" w:space="0" w:color="auto"/>
              <w:right w:val="single" w:sz="4" w:space="0" w:color="auto"/>
            </w:tcBorders>
            <w:noWrap/>
          </w:tcPr>
          <w:p w14:paraId="2B82A13D" w14:textId="7002F7BE" w:rsidR="00A05D76" w:rsidRPr="00980957" w:rsidRDefault="00A05D76" w:rsidP="00F7200F">
            <w:pPr>
              <w:widowControl/>
              <w:autoSpaceDE/>
              <w:autoSpaceDN/>
              <w:adjustRightInd/>
              <w:jc w:val="center"/>
              <w:rPr>
                <w:rFonts w:ascii="Cambria" w:hAnsi="Cambria"/>
              </w:rPr>
            </w:pPr>
            <w:r w:rsidRPr="00980957">
              <w:rPr>
                <w:rFonts w:ascii="Cambria" w:hAnsi="Cambria"/>
              </w:rPr>
              <w:t>anglais/turc</w:t>
            </w:r>
          </w:p>
        </w:tc>
      </w:tr>
    </w:tbl>
    <w:p w14:paraId="1A2C8298" w14:textId="77777777" w:rsidR="00EA0B2E" w:rsidRPr="00980957" w:rsidRDefault="00EA0B2E" w:rsidP="00F7200F">
      <w:pPr>
        <w:rPr>
          <w:rFonts w:ascii="Cambria" w:hAnsi="Cambria"/>
        </w:rPr>
      </w:pPr>
    </w:p>
    <w:sectPr w:rsidR="00EA0B2E" w:rsidRPr="00980957" w:rsidSect="000F14FD">
      <w:headerReference w:type="default" r:id="rId9"/>
      <w:footerReference w:type="default" r:id="rId10"/>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BD473" w14:textId="77777777" w:rsidR="00D5537A" w:rsidRDefault="00D5537A" w:rsidP="00A33042">
      <w:r>
        <w:separator/>
      </w:r>
    </w:p>
  </w:endnote>
  <w:endnote w:type="continuationSeparator" w:id="0">
    <w:p w14:paraId="2ACF4FAD" w14:textId="77777777" w:rsidR="00D5537A" w:rsidRDefault="00D5537A" w:rsidP="00A3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C3D8" w14:textId="77777777" w:rsidR="00FC4EBE" w:rsidRDefault="00000000" w:rsidP="00FC4EBE">
    <w:pPr>
      <w:pStyle w:val="Pieddepage"/>
      <w:jc w:val="center"/>
    </w:pPr>
    <w:sdt>
      <w:sdtPr>
        <w:rPr>
          <w:rFonts w:ascii="Cambria" w:eastAsia="Calibri" w:hAnsi="Cambria" w:cs="Calibri"/>
        </w:rPr>
        <w:id w:val="810910487"/>
        <w:docPartObj>
          <w:docPartGallery w:val="Page Numbers (Top of Page)"/>
          <w:docPartUnique/>
        </w:docPartObj>
      </w:sdtPr>
      <w:sdtContent>
        <w:r w:rsidR="00FC4EBE" w:rsidRPr="00817AE2">
          <w:rPr>
            <w:rFonts w:ascii="Cambria" w:eastAsia="Calibri" w:hAnsi="Cambria" w:cs="Calibri"/>
          </w:rPr>
          <w:fldChar w:fldCharType="begin"/>
        </w:r>
        <w:r w:rsidR="00FC4EBE" w:rsidRPr="00817AE2">
          <w:rPr>
            <w:rFonts w:ascii="Cambria" w:eastAsia="Calibri" w:hAnsi="Cambria" w:cs="Calibri"/>
          </w:rPr>
          <w:instrText xml:space="preserve"> PAGE </w:instrText>
        </w:r>
        <w:r w:rsidR="00FC4EBE" w:rsidRPr="00817AE2">
          <w:rPr>
            <w:rFonts w:ascii="Cambria" w:eastAsia="Calibri" w:hAnsi="Cambria" w:cs="Calibri"/>
          </w:rPr>
          <w:fldChar w:fldCharType="separate"/>
        </w:r>
        <w:r w:rsidR="00FC4EBE">
          <w:rPr>
            <w:rFonts w:ascii="Cambria" w:eastAsia="Calibri" w:hAnsi="Cambria" w:cs="Calibri"/>
          </w:rPr>
          <w:t>1</w:t>
        </w:r>
        <w:r w:rsidR="00FC4EBE" w:rsidRPr="00817AE2">
          <w:rPr>
            <w:rFonts w:ascii="Cambria" w:eastAsia="Calibri" w:hAnsi="Cambria" w:cs="Calibri"/>
          </w:rPr>
          <w:fldChar w:fldCharType="end"/>
        </w:r>
        <w:r w:rsidR="006F124E">
          <w:rPr>
            <w:rFonts w:ascii="Cambria" w:hAnsi="Cambria"/>
          </w:rPr>
          <w:t xml:space="preserve"> / </w:t>
        </w:r>
        <w:r w:rsidR="00FC4EBE" w:rsidRPr="00817AE2">
          <w:rPr>
            <w:rFonts w:ascii="Cambria" w:eastAsia="Calibri" w:hAnsi="Cambria" w:cs="Calibri"/>
          </w:rPr>
          <w:fldChar w:fldCharType="begin"/>
        </w:r>
        <w:r w:rsidR="00FC4EBE" w:rsidRPr="00817AE2">
          <w:rPr>
            <w:rFonts w:ascii="Cambria" w:eastAsia="Calibri" w:hAnsi="Cambria" w:cs="Calibri"/>
          </w:rPr>
          <w:instrText xml:space="preserve"> NUMPAGES  </w:instrText>
        </w:r>
        <w:r w:rsidR="00FC4EBE" w:rsidRPr="00817AE2">
          <w:rPr>
            <w:rFonts w:ascii="Cambria" w:eastAsia="Calibri" w:hAnsi="Cambria" w:cs="Calibri"/>
          </w:rPr>
          <w:fldChar w:fldCharType="separate"/>
        </w:r>
        <w:r w:rsidR="00FC4EBE">
          <w:rPr>
            <w:rFonts w:ascii="Cambria" w:eastAsia="Calibri" w:hAnsi="Cambria" w:cs="Calibri"/>
          </w:rPr>
          <w:t>1</w:t>
        </w:r>
        <w:r w:rsidR="00FC4EBE" w:rsidRPr="00817AE2">
          <w:rPr>
            <w:rFonts w:ascii="Cambria" w:eastAsia="Calibri" w:hAnsi="Cambria" w:cs="Calibri"/>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144FB" w14:textId="77777777" w:rsidR="00D5537A" w:rsidRDefault="00D5537A" w:rsidP="00A33042">
      <w:r>
        <w:separator/>
      </w:r>
    </w:p>
  </w:footnote>
  <w:footnote w:type="continuationSeparator" w:id="0">
    <w:p w14:paraId="37F9C8C6" w14:textId="77777777" w:rsidR="00D5537A" w:rsidRDefault="00D5537A" w:rsidP="00A33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DB5B" w14:textId="26A56F5D" w:rsidR="00A33042" w:rsidRDefault="00A33042" w:rsidP="00A33042">
    <w:pPr>
      <w:pStyle w:val="En-tte"/>
      <w:jc w:val="right"/>
      <w:rPr>
        <w:rFonts w:ascii="Cambria" w:hAnsi="Cambria"/>
        <w:b/>
        <w:bCs/>
      </w:rPr>
    </w:pPr>
    <w:r>
      <w:rPr>
        <w:rFonts w:ascii="Cambria" w:hAnsi="Cambria"/>
        <w:b/>
        <w:bCs/>
      </w:rPr>
      <w:t>PA2_603/2026</w:t>
    </w:r>
  </w:p>
  <w:p w14:paraId="094364D3" w14:textId="106DBB28" w:rsidR="00A33042" w:rsidRPr="00613A7D" w:rsidRDefault="00980957" w:rsidP="00A33042">
    <w:pPr>
      <w:tabs>
        <w:tab w:val="left" w:pos="7320"/>
      </w:tabs>
      <w:spacing w:line="240" w:lineRule="exact"/>
      <w:jc w:val="right"/>
      <w:rPr>
        <w:rFonts w:ascii="Cambria" w:hAnsi="Cambria"/>
        <w:b/>
        <w:bCs/>
        <w:sz w:val="16"/>
        <w:szCs w:val="16"/>
      </w:rPr>
    </w:pPr>
    <w:r>
      <w:rPr>
        <w:rFonts w:ascii="Cambria" w:hAnsi="Cambria"/>
        <w:b/>
        <w:bCs/>
        <w:sz w:val="16"/>
        <w:szCs w:val="16"/>
      </w:rPr>
      <w:fldChar w:fldCharType="begin"/>
    </w:r>
    <w:r>
      <w:rPr>
        <w:rFonts w:ascii="Cambria" w:hAnsi="Cambria"/>
        <w:b/>
        <w:bCs/>
        <w:sz w:val="16"/>
        <w:szCs w:val="16"/>
      </w:rPr>
      <w:instrText xml:space="preserve"> TIME  \@ "dd/MM/yyyy HH:mm"  \* MERGEFORMAT </w:instrText>
    </w:r>
    <w:r>
      <w:rPr>
        <w:rFonts w:ascii="Cambria" w:hAnsi="Cambria"/>
        <w:b/>
        <w:bCs/>
        <w:sz w:val="16"/>
        <w:szCs w:val="16"/>
      </w:rPr>
      <w:fldChar w:fldCharType="separate"/>
    </w:r>
    <w:r w:rsidR="00C90813">
      <w:rPr>
        <w:rFonts w:ascii="Cambria" w:hAnsi="Cambria"/>
        <w:b/>
        <w:bCs/>
        <w:noProof/>
        <w:sz w:val="16"/>
        <w:szCs w:val="16"/>
      </w:rPr>
      <w:t>16/10/2026 12:00</w:t>
    </w:r>
    <w:r>
      <w:rPr>
        <w:rFonts w:ascii="Cambria" w:hAnsi="Cambria"/>
        <w:b/>
        <w:bCs/>
        <w:sz w:val="16"/>
        <w:szCs w:val="16"/>
      </w:rPr>
      <w:fldChar w:fldCharType="end"/>
    </w:r>
  </w:p>
  <w:p w14:paraId="1B636B52" w14:textId="77777777" w:rsidR="00A33042" w:rsidRPr="00A33042" w:rsidRDefault="00A33042" w:rsidP="00A33042">
    <w:pPr>
      <w:pStyle w:val="En-tte"/>
      <w:jc w:val="right"/>
      <w:rPr>
        <w:rFonts w:ascii="Cambria" w:hAnsi="Cambria"/>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23415"/>
    <w:multiLevelType w:val="hybridMultilevel"/>
    <w:tmpl w:val="813C7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8D38C0"/>
    <w:multiLevelType w:val="hybridMultilevel"/>
    <w:tmpl w:val="C680CB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8966797">
    <w:abstractNumId w:val="0"/>
  </w:num>
  <w:num w:numId="2" w16cid:durableId="869611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34A"/>
    <w:rsid w:val="00007A97"/>
    <w:rsid w:val="000866EA"/>
    <w:rsid w:val="000F14FD"/>
    <w:rsid w:val="00121D5C"/>
    <w:rsid w:val="0015797C"/>
    <w:rsid w:val="00191150"/>
    <w:rsid w:val="001B47CB"/>
    <w:rsid w:val="001B769B"/>
    <w:rsid w:val="001E77ED"/>
    <w:rsid w:val="001F022C"/>
    <w:rsid w:val="00212CEF"/>
    <w:rsid w:val="00257755"/>
    <w:rsid w:val="002A0650"/>
    <w:rsid w:val="002A4115"/>
    <w:rsid w:val="002B4C7A"/>
    <w:rsid w:val="002D78E2"/>
    <w:rsid w:val="002E05B9"/>
    <w:rsid w:val="0034360F"/>
    <w:rsid w:val="00352DAE"/>
    <w:rsid w:val="00361E92"/>
    <w:rsid w:val="00375289"/>
    <w:rsid w:val="003E76BA"/>
    <w:rsid w:val="003F3EAD"/>
    <w:rsid w:val="00400924"/>
    <w:rsid w:val="0043485B"/>
    <w:rsid w:val="00457326"/>
    <w:rsid w:val="004E2391"/>
    <w:rsid w:val="004F634A"/>
    <w:rsid w:val="00541392"/>
    <w:rsid w:val="00584597"/>
    <w:rsid w:val="005C74FB"/>
    <w:rsid w:val="005E6D6E"/>
    <w:rsid w:val="0062038B"/>
    <w:rsid w:val="00644409"/>
    <w:rsid w:val="006727A2"/>
    <w:rsid w:val="006E1A99"/>
    <w:rsid w:val="006E6ED0"/>
    <w:rsid w:val="006F088D"/>
    <w:rsid w:val="006F124E"/>
    <w:rsid w:val="006F2257"/>
    <w:rsid w:val="006F6D88"/>
    <w:rsid w:val="00702C98"/>
    <w:rsid w:val="0073771E"/>
    <w:rsid w:val="0075129A"/>
    <w:rsid w:val="007562AF"/>
    <w:rsid w:val="00792EF2"/>
    <w:rsid w:val="007A59B0"/>
    <w:rsid w:val="007D20CD"/>
    <w:rsid w:val="00806051"/>
    <w:rsid w:val="00830948"/>
    <w:rsid w:val="008661CC"/>
    <w:rsid w:val="00867491"/>
    <w:rsid w:val="00874AD0"/>
    <w:rsid w:val="00887922"/>
    <w:rsid w:val="00892B7B"/>
    <w:rsid w:val="008A3F94"/>
    <w:rsid w:val="008A57EC"/>
    <w:rsid w:val="008E11E2"/>
    <w:rsid w:val="008F6158"/>
    <w:rsid w:val="00931887"/>
    <w:rsid w:val="00943104"/>
    <w:rsid w:val="0096040F"/>
    <w:rsid w:val="00962590"/>
    <w:rsid w:val="00980957"/>
    <w:rsid w:val="0099489A"/>
    <w:rsid w:val="009A5E4A"/>
    <w:rsid w:val="009B62FA"/>
    <w:rsid w:val="009B7F10"/>
    <w:rsid w:val="009D5B99"/>
    <w:rsid w:val="00A05D76"/>
    <w:rsid w:val="00A33042"/>
    <w:rsid w:val="00A4083E"/>
    <w:rsid w:val="00A46046"/>
    <w:rsid w:val="00A60C49"/>
    <w:rsid w:val="00AA5386"/>
    <w:rsid w:val="00AB7720"/>
    <w:rsid w:val="00AC1426"/>
    <w:rsid w:val="00AE1BBC"/>
    <w:rsid w:val="00AF1F75"/>
    <w:rsid w:val="00B833E7"/>
    <w:rsid w:val="00BC273A"/>
    <w:rsid w:val="00BC32CD"/>
    <w:rsid w:val="00C03654"/>
    <w:rsid w:val="00C21340"/>
    <w:rsid w:val="00C516E2"/>
    <w:rsid w:val="00C54C8A"/>
    <w:rsid w:val="00C83748"/>
    <w:rsid w:val="00C90813"/>
    <w:rsid w:val="00CC297D"/>
    <w:rsid w:val="00CF5DF2"/>
    <w:rsid w:val="00D27D1F"/>
    <w:rsid w:val="00D5537A"/>
    <w:rsid w:val="00DD1DA1"/>
    <w:rsid w:val="00DE1805"/>
    <w:rsid w:val="00DE625B"/>
    <w:rsid w:val="00DF16C9"/>
    <w:rsid w:val="00DF3961"/>
    <w:rsid w:val="00E0120D"/>
    <w:rsid w:val="00E77B62"/>
    <w:rsid w:val="00EA0B2E"/>
    <w:rsid w:val="00F03E84"/>
    <w:rsid w:val="00F2359F"/>
    <w:rsid w:val="00F42D66"/>
    <w:rsid w:val="00F61BE8"/>
    <w:rsid w:val="00F7155B"/>
    <w:rsid w:val="00F7200F"/>
    <w:rsid w:val="00F75920"/>
    <w:rsid w:val="00F854AB"/>
    <w:rsid w:val="00FA46D5"/>
    <w:rsid w:val="00FA7257"/>
    <w:rsid w:val="00FC4EBE"/>
    <w:rsid w:val="00FD1E41"/>
    <w:rsid w:val="00FE0A1D"/>
    <w:rsid w:val="00FE39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CB5A9"/>
  <w15:chartTrackingRefBased/>
  <w15:docId w15:val="{1E293976-6E47-408B-93D7-80BCA709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34A"/>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4F634A"/>
    <w:rPr>
      <w:color w:val="0563C1" w:themeColor="hyperlink"/>
      <w:u w:val="single"/>
    </w:rPr>
  </w:style>
  <w:style w:type="character" w:styleId="Mentionnonrsolue">
    <w:name w:val="Unresolved Mention"/>
    <w:basedOn w:val="Policepardfaut"/>
    <w:uiPriority w:val="99"/>
    <w:semiHidden/>
    <w:unhideWhenUsed/>
    <w:rsid w:val="009B7F10"/>
    <w:rPr>
      <w:color w:val="605E5C"/>
      <w:shd w:val="clear" w:color="auto" w:fill="E1DFDD"/>
    </w:rPr>
  </w:style>
  <w:style w:type="paragraph" w:styleId="Paragraphedeliste">
    <w:name w:val="List Paragraph"/>
    <w:basedOn w:val="Normal"/>
    <w:uiPriority w:val="34"/>
    <w:qFormat/>
    <w:rsid w:val="009B7F10"/>
    <w:pPr>
      <w:ind w:left="720"/>
      <w:contextualSpacing/>
    </w:pPr>
  </w:style>
  <w:style w:type="paragraph" w:styleId="En-tte">
    <w:name w:val="header"/>
    <w:basedOn w:val="Normal"/>
    <w:link w:val="En-tteCar"/>
    <w:uiPriority w:val="99"/>
    <w:unhideWhenUsed/>
    <w:rsid w:val="00A33042"/>
    <w:pPr>
      <w:tabs>
        <w:tab w:val="center" w:pos="4536"/>
        <w:tab w:val="right" w:pos="9072"/>
      </w:tabs>
    </w:pPr>
  </w:style>
  <w:style w:type="character" w:customStyle="1" w:styleId="En-tteCar">
    <w:name w:val="En-tête Car"/>
    <w:basedOn w:val="Policepardfaut"/>
    <w:link w:val="En-tte"/>
    <w:uiPriority w:val="99"/>
    <w:rsid w:val="00A33042"/>
    <w:rPr>
      <w:rFonts w:ascii="Times New Roman" w:eastAsia="Times New Roman" w:hAnsi="Times New Roman" w:cs="Times New Roman"/>
      <w:kern w:val="0"/>
      <w:sz w:val="20"/>
      <w:szCs w:val="20"/>
      <w14:ligatures w14:val="none"/>
    </w:rPr>
  </w:style>
  <w:style w:type="paragraph" w:styleId="Pieddepage">
    <w:name w:val="footer"/>
    <w:basedOn w:val="Normal"/>
    <w:link w:val="PieddepageCar"/>
    <w:uiPriority w:val="99"/>
    <w:unhideWhenUsed/>
    <w:rsid w:val="00A33042"/>
    <w:pPr>
      <w:tabs>
        <w:tab w:val="center" w:pos="4536"/>
        <w:tab w:val="right" w:pos="9072"/>
      </w:tabs>
    </w:pPr>
  </w:style>
  <w:style w:type="character" w:customStyle="1" w:styleId="PieddepageCar">
    <w:name w:val="Pied de page Car"/>
    <w:basedOn w:val="Policepardfaut"/>
    <w:link w:val="Pieddepage"/>
    <w:uiPriority w:val="99"/>
    <w:rsid w:val="00A33042"/>
    <w:rPr>
      <w:rFonts w:ascii="Times New Roman" w:eastAsia="Times New Roman" w:hAnsi="Times New Roman" w:cs="Times New Roman"/>
      <w:kern w:val="0"/>
      <w:sz w:val="20"/>
      <w:szCs w:val="20"/>
      <w14:ligatures w14:val="none"/>
    </w:rPr>
  </w:style>
  <w:style w:type="character" w:styleId="Lienhypertextesuivivisit">
    <w:name w:val="FollowedHyperlink"/>
    <w:basedOn w:val="Policepardfaut"/>
    <w:uiPriority w:val="99"/>
    <w:semiHidden/>
    <w:unhideWhenUsed/>
    <w:rsid w:val="00212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393059">
      <w:bodyDiv w:val="1"/>
      <w:marLeft w:val="0"/>
      <w:marRight w:val="0"/>
      <w:marTop w:val="0"/>
      <w:marBottom w:val="0"/>
      <w:divBdr>
        <w:top w:val="none" w:sz="0" w:space="0" w:color="auto"/>
        <w:left w:val="none" w:sz="0" w:space="0" w:color="auto"/>
        <w:bottom w:val="none" w:sz="0" w:space="0" w:color="auto"/>
        <w:right w:val="none" w:sz="0" w:space="0" w:color="auto"/>
      </w:divBdr>
    </w:div>
    <w:div w:id="1808163876">
      <w:bodyDiv w:val="1"/>
      <w:marLeft w:val="0"/>
      <w:marRight w:val="0"/>
      <w:marTop w:val="0"/>
      <w:marBottom w:val="0"/>
      <w:divBdr>
        <w:top w:val="none" w:sz="0" w:space="0" w:color="auto"/>
        <w:left w:val="none" w:sz="0" w:space="0" w:color="auto"/>
        <w:bottom w:val="none" w:sz="0" w:space="0" w:color="auto"/>
        <w:right w:val="none" w:sz="0" w:space="0" w:color="auto"/>
      </w:divBdr>
    </w:div>
    <w:div w:id="1946302891">
      <w:bodyDiv w:val="1"/>
      <w:marLeft w:val="0"/>
      <w:marRight w:val="0"/>
      <w:marTop w:val="0"/>
      <w:marBottom w:val="0"/>
      <w:divBdr>
        <w:top w:val="none" w:sz="0" w:space="0" w:color="auto"/>
        <w:left w:val="none" w:sz="0" w:space="0" w:color="auto"/>
        <w:bottom w:val="none" w:sz="0" w:space="0" w:color="auto"/>
        <w:right w:val="none" w:sz="0" w:space="0" w:color="auto"/>
      </w:divBdr>
    </w:div>
    <w:div w:id="202744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4-05-f.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FB83E-4393-4B15-865C-15CDA4183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2</Pages>
  <Words>791</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Thais Parrilla Moruno</dc:creator>
  <cp:keywords/>
  <dc:description/>
  <cp:lastModifiedBy>christel navarret</cp:lastModifiedBy>
  <cp:revision>60</cp:revision>
  <cp:lastPrinted>2024-08-23T06:44:00Z</cp:lastPrinted>
  <dcterms:created xsi:type="dcterms:W3CDTF">2023-10-18T10:33:00Z</dcterms:created>
  <dcterms:modified xsi:type="dcterms:W3CDTF">2026-10-16T10:02:00Z</dcterms:modified>
</cp:coreProperties>
</file>